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66" w:lineRule="auto" w:before="165"/>
        <w:ind w:left="2425" w:right="1341" w:hanging="1326"/>
        <w:jc w:val="left"/>
        <w:rPr>
          <w:b/>
          <w:sz w:val="44"/>
        </w:rPr>
      </w:pPr>
      <w:r>
        <w:rPr>
          <w:b/>
          <w:sz w:val="44"/>
        </w:rPr>
        <w:t>华夏优势精选股票型证券投资基金招募说明书（更新）</w:t>
      </w:r>
    </w:p>
    <w:p>
      <w:pPr>
        <w:pStyle w:val="BodyText"/>
        <w:spacing w:before="5"/>
        <w:rPr>
          <w:b/>
          <w:sz w:val="48"/>
        </w:rPr>
      </w:pPr>
    </w:p>
    <w:p>
      <w:pPr>
        <w:spacing w:before="0"/>
        <w:ind w:left="888" w:right="245" w:firstLine="0"/>
        <w:jc w:val="center"/>
        <w:rPr>
          <w:b/>
          <w:sz w:val="44"/>
        </w:rPr>
      </w:pPr>
      <w:r>
        <w:rPr>
          <w:rFonts w:ascii="Times New Roman" w:eastAsia="Times New Roman"/>
          <w:b/>
          <w:sz w:val="44"/>
        </w:rPr>
        <w:t>2020 </w:t>
      </w:r>
      <w:r>
        <w:rPr>
          <w:b/>
          <w:spacing w:val="-56"/>
          <w:sz w:val="44"/>
        </w:rPr>
        <w:t>年 </w:t>
      </w:r>
      <w:r>
        <w:rPr>
          <w:rFonts w:ascii="Times New Roman" w:eastAsia="Times New Roman"/>
          <w:b/>
          <w:sz w:val="44"/>
        </w:rPr>
        <w:t>10 </w:t>
      </w:r>
      <w:r>
        <w:rPr>
          <w:b/>
          <w:spacing w:val="-55"/>
          <w:sz w:val="44"/>
        </w:rPr>
        <w:t>月 </w:t>
      </w:r>
      <w:r>
        <w:rPr>
          <w:rFonts w:ascii="Times New Roman" w:eastAsia="Times New Roman"/>
          <w:b/>
          <w:sz w:val="44"/>
        </w:rPr>
        <w:t>14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11"/>
        <w:rPr>
          <w:b/>
          <w:sz w:val="65"/>
        </w:rPr>
      </w:pPr>
    </w:p>
    <w:p>
      <w:pPr>
        <w:spacing w:before="0"/>
        <w:ind w:left="2103" w:right="0" w:firstLine="0"/>
        <w:jc w:val="left"/>
        <w:rPr>
          <w:sz w:val="28"/>
        </w:rPr>
      </w:pPr>
      <w:r>
        <w:rPr>
          <w:sz w:val="28"/>
        </w:rPr>
        <w:t>基金管理人：华夏基金管理有限公司</w:t>
      </w:r>
    </w:p>
    <w:p>
      <w:pPr>
        <w:pStyle w:val="BodyText"/>
        <w:spacing w:before="9"/>
        <w:rPr>
          <w:sz w:val="20"/>
        </w:rPr>
      </w:pPr>
    </w:p>
    <w:p>
      <w:pPr>
        <w:spacing w:before="0"/>
        <w:ind w:left="2103" w:right="0" w:firstLine="0"/>
        <w:jc w:val="left"/>
        <w:rPr>
          <w:sz w:val="28"/>
        </w:rPr>
      </w:pPr>
      <w:r>
        <w:rPr>
          <w:sz w:val="28"/>
        </w:rPr>
        <w:t>基金托管人：中国农业银行股份有限公司</w:t>
      </w:r>
    </w:p>
    <w:p>
      <w:pPr>
        <w:spacing w:after="0"/>
        <w:jc w:val="left"/>
        <w:rPr>
          <w:sz w:val="28"/>
        </w:rPr>
        <w:sectPr>
          <w:type w:val="continuous"/>
          <w:pgSz w:w="11910" w:h="16840"/>
          <w:pgMar w:top="1580" w:bottom="280" w:left="1540" w:right="1300"/>
        </w:sectPr>
      </w:pPr>
    </w:p>
    <w:p>
      <w:pPr>
        <w:spacing w:before="110"/>
        <w:ind w:left="12" w:right="245" w:firstLine="0"/>
        <w:jc w:val="center"/>
        <w:rPr>
          <w:b/>
          <w:sz w:val="21"/>
        </w:rPr>
      </w:pPr>
      <w:r>
        <w:rPr>
          <w:b/>
          <w:sz w:val="21"/>
        </w:rPr>
        <w:t>重要提示</w:t>
      </w:r>
    </w:p>
    <w:p>
      <w:pPr>
        <w:pStyle w:val="BodyText"/>
        <w:rPr>
          <w:b/>
          <w:sz w:val="20"/>
        </w:rPr>
      </w:pPr>
    </w:p>
    <w:p>
      <w:pPr>
        <w:pStyle w:val="BodyText"/>
        <w:spacing w:before="11"/>
        <w:rPr>
          <w:b/>
          <w:sz w:val="19"/>
        </w:rPr>
      </w:pPr>
    </w:p>
    <w:p>
      <w:pPr>
        <w:pStyle w:val="BodyText"/>
        <w:spacing w:line="417" w:lineRule="auto"/>
        <w:ind w:left="260" w:right="496" w:firstLine="419"/>
      </w:pPr>
      <w:r>
        <w:rPr/>
        <w:t>华夏优势精选股票型证券投资基金（以下简称“本基金”）经中国证监会</w:t>
      </w:r>
      <w:r>
        <w:rPr>
          <w:rFonts w:ascii="Times New Roman" w:hAnsi="Times New Roman" w:eastAsia="Times New Roman"/>
        </w:rPr>
        <w:t>2018</w:t>
      </w:r>
      <w:r>
        <w:rPr/>
        <w:t>年</w:t>
      </w:r>
      <w:r>
        <w:rPr>
          <w:rFonts w:ascii="Times New Roman" w:hAnsi="Times New Roman" w:eastAsia="Times New Roman"/>
        </w:rPr>
        <w:t>4</w:t>
      </w:r>
      <w:r>
        <w:rPr/>
        <w:t>月</w:t>
      </w:r>
      <w:r>
        <w:rPr>
          <w:rFonts w:ascii="Times New Roman" w:hAnsi="Times New Roman" w:eastAsia="Times New Roman"/>
        </w:rPr>
        <w:t>9 </w:t>
      </w:r>
      <w:r>
        <w:rPr/>
        <w:t>日证监许可</w:t>
      </w:r>
      <w:r>
        <w:rPr>
          <w:rFonts w:ascii="Times New Roman" w:hAnsi="Times New Roman" w:eastAsia="Times New Roman"/>
        </w:rPr>
        <w:t>[2018]626</w:t>
      </w:r>
      <w:r>
        <w:rPr/>
        <w:t>号文准予注册。本基金基金合同于</w:t>
      </w:r>
      <w:r>
        <w:rPr>
          <w:rFonts w:ascii="Times New Roman" w:hAnsi="Times New Roman" w:eastAsia="Times New Roman"/>
        </w:rPr>
        <w:t>2018</w:t>
      </w:r>
      <w:r>
        <w:rPr/>
        <w:t>年</w:t>
      </w:r>
      <w:r>
        <w:rPr>
          <w:rFonts w:ascii="Times New Roman" w:hAnsi="Times New Roman" w:eastAsia="Times New Roman"/>
        </w:rPr>
        <w:t>8</w:t>
      </w:r>
      <w:r>
        <w:rPr/>
        <w:t>月</w:t>
      </w:r>
      <w:r>
        <w:rPr>
          <w:rFonts w:ascii="Times New Roman" w:hAnsi="Times New Roman" w:eastAsia="Times New Roman"/>
        </w:rPr>
        <w:t>7</w:t>
      </w:r>
      <w:r>
        <w:rPr/>
        <w:t>日正式生效。</w:t>
      </w:r>
    </w:p>
    <w:p>
      <w:pPr>
        <w:pStyle w:val="BodyText"/>
        <w:spacing w:line="417" w:lineRule="auto"/>
        <w:ind w:left="260" w:right="49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260" w:right="385"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14"/>
        </w:rPr>
        <w:t>在基金管理实施过程中产生的积极管理风险，本基金的特定风险等。本基金属于股票型基金， </w:t>
      </w:r>
      <w:r>
        <w:rPr>
          <w:spacing w:val="-12"/>
        </w:rPr>
        <w:t>长期风险收益水平高于混合型基金、债券型基金和货币市场基金。根据</w:t>
      </w:r>
      <w:r>
        <w:rPr>
          <w:rFonts w:ascii="Times New Roman" w:eastAsia="Times New Roman"/>
        </w:rPr>
        <w:t>2017</w:t>
      </w:r>
      <w:r>
        <w:rPr/>
        <w:t>年</w:t>
      </w:r>
      <w:r>
        <w:rPr>
          <w:rFonts w:ascii="Times New Roman" w:eastAsia="Times New Roman"/>
        </w:rPr>
        <w:t>7</w:t>
      </w:r>
      <w:r>
        <w:rPr/>
        <w:t>月</w:t>
      </w:r>
      <w:r>
        <w:rPr>
          <w:rFonts w:ascii="Times New Roman" w:eastAsia="Times New Roman"/>
          <w:spacing w:val="-3"/>
        </w:rPr>
        <w:t>1</w:t>
      </w:r>
      <w:r>
        <w:rPr>
          <w:spacing w:val="-2"/>
        </w:rPr>
        <w:t>日施行的</w:t>
      </w:r>
    </w:p>
    <w:p>
      <w:pPr>
        <w:pStyle w:val="BodyText"/>
        <w:spacing w:line="417" w:lineRule="auto"/>
        <w:ind w:left="260" w:right="385"/>
      </w:pPr>
      <w:r>
        <w:rPr>
          <w:spacing w:val="-15"/>
        </w:rPr>
        <w:t>《证券期货投资者适当性管理办法》，基金管理人和销售机构已对本基金重新进行风险评级， </w:t>
      </w:r>
      <w:r>
        <w:rPr>
          <w:spacing w:val="-11"/>
        </w:rPr>
        <w:t>风险评级行为不改变基金的实质性风险收益特征，但由于风险分类标准的变化，本基金的风</w:t>
      </w:r>
      <w:r>
        <w:rPr>
          <w:spacing w:val="-13"/>
        </w:rPr>
        <w:t>险等级表述可能有相应变化，具体风险评级结果应以基金管理人和销售机构提供的评级结果为准。</w:t>
      </w:r>
    </w:p>
    <w:p>
      <w:pPr>
        <w:pStyle w:val="BodyText"/>
        <w:spacing w:line="417" w:lineRule="auto"/>
        <w:ind w:left="260" w:right="491" w:firstLine="419"/>
        <w:jc w:val="both"/>
      </w:pPr>
      <w:r>
        <w:rPr>
          <w:spacing w:val="-7"/>
        </w:rPr>
        <w:t>基金资产通过港股通机制投资于港股，会面临港股通机制下因投资环境、投资标的、市</w:t>
      </w:r>
      <w:r>
        <w:rPr>
          <w:spacing w:val="-10"/>
        </w:rPr>
        <w:t>场制度以及交易规则等差异带来的特有风险，包括港股市场股价波动较大的风险</w:t>
      </w:r>
      <w:r>
        <w:rPr>
          <w:spacing w:val="-3"/>
        </w:rPr>
        <w:t>（</w:t>
      </w:r>
      <w:r>
        <w:rPr>
          <w:spacing w:val="-2"/>
        </w:rPr>
        <w:t>港股市场实行</w:t>
      </w:r>
      <w:r>
        <w:rPr>
          <w:rFonts w:ascii="Times New Roman" w:eastAsia="Times New Roman"/>
          <w:spacing w:val="-2"/>
        </w:rPr>
        <w:t>T+0</w:t>
      </w:r>
      <w:r>
        <w:rPr>
          <w:spacing w:val="-3"/>
        </w:rPr>
        <w:t>回转交易，且对个股不设涨跌幅限制，港股股价可能表现出比</w:t>
      </w:r>
      <w:r>
        <w:rPr>
          <w:rFonts w:ascii="Times New Roman" w:eastAsia="Times New Roman"/>
        </w:rPr>
        <w:t>A</w:t>
      </w:r>
      <w:r>
        <w:rPr>
          <w:spacing w:val="-4"/>
        </w:rPr>
        <w:t>股更为剧烈的股价</w:t>
      </w:r>
      <w:r>
        <w:rPr/>
        <w:t>波动</w:t>
      </w:r>
      <w:r>
        <w:rPr>
          <w:spacing w:val="-108"/>
        </w:rPr>
        <w:t>）</w:t>
      </w:r>
      <w:r>
        <w:rPr>
          <w:spacing w:val="-15"/>
        </w:rPr>
        <w:t>、汇率风险</w:t>
      </w:r>
      <w:r>
        <w:rPr>
          <w:spacing w:val="-3"/>
        </w:rPr>
        <w:t>（汇率波动可能对基金的投资收益造成损失</w:t>
      </w:r>
      <w:r>
        <w:rPr>
          <w:spacing w:val="-108"/>
        </w:rPr>
        <w:t>）</w:t>
      </w:r>
      <w:r>
        <w:rPr>
          <w:spacing w:val="-7"/>
        </w:rPr>
        <w:t>、港股通机制下交易日不连贯</w:t>
      </w:r>
      <w:r>
        <w:rPr>
          <w:spacing w:val="-20"/>
        </w:rPr>
        <w:t>可能带来的风险</w:t>
      </w:r>
      <w:r>
        <w:rPr>
          <w:spacing w:val="-3"/>
        </w:rPr>
        <w:t>（</w:t>
      </w:r>
      <w:r>
        <w:rPr>
          <w:spacing w:val="-15"/>
        </w:rPr>
        <w:t>在内地开市香港休市的情形下，港股通不能正常交易，港股不能及时卖出， </w:t>
      </w:r>
      <w:r>
        <w:rPr>
          <w:spacing w:val="-7"/>
        </w:rPr>
        <w:t>可能带来一定的流动性风险</w:t>
      </w:r>
      <w:r>
        <w:rPr/>
        <w:t>）</w:t>
      </w:r>
      <w:r>
        <w:rPr>
          <w:spacing w:val="-2"/>
        </w:rPr>
        <w:t>等。</w:t>
      </w:r>
    </w:p>
    <w:p>
      <w:pPr>
        <w:pStyle w:val="BodyText"/>
        <w:spacing w:line="417" w:lineRule="auto"/>
        <w:ind w:left="260" w:right="491" w:firstLine="419"/>
      </w:pPr>
      <w:r>
        <w:rPr>
          <w:spacing w:val="-7"/>
        </w:rPr>
        <w:t>本基金可根据投资策略需要或不同配置地市场环境的变化，选择将部分基金资产投资于</w:t>
      </w:r>
      <w:r>
        <w:rPr>
          <w:spacing w:val="-5"/>
        </w:rPr>
        <w:t>港股或选择不将基金资产投资于港股，基金资产并非必然投资港股。</w:t>
      </w:r>
    </w:p>
    <w:p>
      <w:pPr>
        <w:pStyle w:val="BodyText"/>
        <w:spacing w:line="417" w:lineRule="auto"/>
        <w:ind w:left="260" w:right="49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spacing w:line="417" w:lineRule="auto"/>
        <w:ind w:left="260" w:right="38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spacing w:after="0" w:line="417" w:lineRule="auto"/>
        <w:sectPr>
          <w:headerReference w:type="default" r:id="rId5"/>
          <w:footerReference w:type="default" r:id="rId6"/>
          <w:pgSz w:w="11910" w:h="16840"/>
          <w:pgMar w:header="877" w:footer="995" w:top="1420" w:bottom="1180" w:left="1540" w:right="1300"/>
          <w:pgNumType w:start="2"/>
        </w:sectPr>
      </w:pPr>
    </w:p>
    <w:p>
      <w:pPr>
        <w:pStyle w:val="BodyText"/>
        <w:spacing w:line="417" w:lineRule="auto" w:before="110"/>
        <w:ind w:left="260" w:right="491" w:firstLine="419"/>
      </w:pPr>
      <w:r>
        <w:rPr>
          <w:spacing w:val="-9"/>
        </w:rPr>
        <w:t>基金产品资料概要编制、披露与更新要求，自《信息披露办法》实施之日起一年后开始执行。</w:t>
      </w:r>
    </w:p>
    <w:p>
      <w:pPr>
        <w:pStyle w:val="BodyText"/>
        <w:spacing w:line="269" w:lineRule="exact"/>
        <w:ind w:left="680"/>
      </w:pPr>
      <w:r>
        <w:rPr/>
        <w:t>基金的过往业绩并不预示其未来表现。</w:t>
      </w:r>
    </w:p>
    <w:p>
      <w:pPr>
        <w:pStyle w:val="BodyText"/>
        <w:spacing w:before="6"/>
        <w:rPr>
          <w:sz w:val="15"/>
        </w:rPr>
      </w:pPr>
    </w:p>
    <w:p>
      <w:pPr>
        <w:pStyle w:val="BodyText"/>
        <w:spacing w:line="417" w:lineRule="auto"/>
        <w:ind w:left="260" w:right="495" w:firstLine="419"/>
      </w:pPr>
      <w:r>
        <w:rPr>
          <w:spacing w:val="-9"/>
        </w:rPr>
        <w:t>基金管理人依照恪尽职守、诚实信用、谨慎勤勉的原则管理和运用基金财产，但不保证</w:t>
      </w:r>
      <w:r>
        <w:rPr>
          <w:spacing w:val="-5"/>
        </w:rPr>
        <w:t>基金一定盈利，也不保证最低收益。</w:t>
      </w:r>
    </w:p>
    <w:p>
      <w:pPr>
        <w:pStyle w:val="BodyText"/>
        <w:spacing w:line="269" w:lineRule="exact"/>
        <w:ind w:left="680"/>
      </w:pPr>
      <w:r>
        <w:rPr/>
        <w:t>投资者应当认真阅读并完全理解基金合同规定的免责条款和规定的争议处理方式。</w:t>
      </w:r>
    </w:p>
    <w:p>
      <w:pPr>
        <w:pStyle w:val="BodyText"/>
        <w:spacing w:before="7"/>
        <w:rPr>
          <w:sz w:val="15"/>
        </w:rPr>
      </w:pPr>
    </w:p>
    <w:p>
      <w:pPr>
        <w:pStyle w:val="BodyText"/>
        <w:spacing w:line="417" w:lineRule="auto"/>
        <w:ind w:left="260" w:right="49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14</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pgSz w:w="11910" w:h="16840"/>
          <w:pgMar w:header="877" w:footer="995" w:top="1420" w:bottom="1180" w:left="1540" w:right="1300"/>
        </w:sectPr>
      </w:pPr>
    </w:p>
    <w:p>
      <w:pPr>
        <w:spacing w:before="110"/>
        <w:ind w:left="7" w:right="245" w:firstLine="0"/>
        <w:jc w:val="center"/>
        <w:rPr>
          <w:b/>
          <w:sz w:val="21"/>
        </w:rPr>
      </w:pPr>
      <w:r>
        <w:rPr>
          <w:b/>
          <w:sz w:val="21"/>
        </w:rPr>
        <w:t>目录</w:t>
      </w:r>
    </w:p>
    <w:sdt>
      <w:sdtPr>
        <w:docPartObj>
          <w:docPartGallery w:val="Table of Contents"/>
          <w:docPartUnique/>
        </w:docPartObj>
      </w:sdtPr>
      <w:sdtEndPr/>
      <w:sdtContent>
        <w:p>
          <w:pPr>
            <w:pStyle w:val="TOC1"/>
            <w:tabs>
              <w:tab w:pos="8298" w:val="right" w:leader="dot"/>
            </w:tabs>
            <w:rPr>
              <w:rFonts w:ascii="Times New Roman" w:eastAsia="Times New Roman"/>
            </w:rPr>
          </w:pPr>
          <w:hyperlink w:history="true" w:anchor="_bookmark0">
            <w:r>
              <w:rPr/>
              <w:t>一、</w:t>
            </w:r>
            <w:r>
              <w:rPr>
                <w:spacing w:val="-3"/>
              </w:rPr>
              <w:t>绪</w:t>
            </w:r>
            <w:r>
              <w:rPr/>
              <w:t>言</w:t>
              <w:tab/>
            </w:r>
            <w:r>
              <w:rPr>
                <w:rFonts w:ascii="Times New Roman" w:eastAsia="Times New Roman"/>
              </w:rPr>
              <w:t>5</w:t>
            </w:r>
          </w:hyperlink>
        </w:p>
        <w:p>
          <w:pPr>
            <w:pStyle w:val="TOC1"/>
            <w:tabs>
              <w:tab w:pos="8298" w:val="right" w:leader="dot"/>
            </w:tabs>
            <w:rPr>
              <w:rFonts w:ascii="Times New Roman" w:eastAsia="Times New Roman"/>
            </w:rPr>
          </w:pPr>
          <w:hyperlink w:history="true" w:anchor="_bookmark0">
            <w:r>
              <w:rPr/>
              <w:t>一、</w:t>
            </w:r>
            <w:r>
              <w:rPr>
                <w:spacing w:val="-3"/>
              </w:rPr>
              <w:t>绪</w:t>
            </w:r>
            <w:r>
              <w:rPr/>
              <w:t>言</w:t>
              <w:tab/>
            </w:r>
            <w:r>
              <w:rPr>
                <w:rFonts w:ascii="Times New Roman" w:eastAsia="Times New Roman"/>
              </w:rPr>
              <w:t>5</w:t>
            </w:r>
          </w:hyperlink>
        </w:p>
        <w:p>
          <w:pPr>
            <w:pStyle w:val="TOC1"/>
            <w:tabs>
              <w:tab w:pos="8298"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6</w:t>
            </w:r>
          </w:hyperlink>
        </w:p>
        <w:p>
          <w:pPr>
            <w:pStyle w:val="TOC1"/>
            <w:tabs>
              <w:tab w:pos="8298" w:val="right" w:leader="dot"/>
            </w:tabs>
            <w:spacing w:before="198"/>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10</w:t>
            </w:r>
          </w:hyperlink>
        </w:p>
        <w:p>
          <w:pPr>
            <w:pStyle w:val="TOC1"/>
            <w:tabs>
              <w:tab w:pos="8298" w:val="right" w:leader="dot"/>
            </w:tabs>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18</w:t>
            </w:r>
          </w:hyperlink>
        </w:p>
        <w:p>
          <w:pPr>
            <w:pStyle w:val="TOC1"/>
            <w:tabs>
              <w:tab w:pos="829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21</w:t>
            </w:r>
          </w:hyperlink>
        </w:p>
        <w:p>
          <w:pPr>
            <w:pStyle w:val="TOC1"/>
            <w:tabs>
              <w:tab w:pos="8298" w:val="right" w:leader="dot"/>
            </w:tabs>
            <w:spacing w:before="200"/>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57</w:t>
            </w:r>
          </w:hyperlink>
        </w:p>
        <w:p>
          <w:pPr>
            <w:pStyle w:val="TOC1"/>
            <w:tabs>
              <w:tab w:pos="8298" w:val="right" w:leader="dot"/>
            </w:tabs>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58</w:t>
            </w:r>
          </w:hyperlink>
        </w:p>
        <w:p>
          <w:pPr>
            <w:pStyle w:val="TOC1"/>
            <w:tabs>
              <w:tab w:pos="829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59</w:t>
            </w:r>
          </w:hyperlink>
        </w:p>
        <w:p>
          <w:pPr>
            <w:pStyle w:val="TOC1"/>
            <w:tabs>
              <w:tab w:pos="829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85</w:t>
            </w:r>
          </w:hyperlink>
        </w:p>
        <w:p>
          <w:pPr>
            <w:pStyle w:val="TOC1"/>
            <w:tabs>
              <w:tab w:pos="8298"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97</w:t>
            </w:r>
          </w:hyperlink>
        </w:p>
        <w:p>
          <w:pPr>
            <w:pStyle w:val="TOC1"/>
            <w:tabs>
              <w:tab w:pos="829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98</w:t>
            </w:r>
          </w:hyperlink>
        </w:p>
        <w:p>
          <w:pPr>
            <w:pStyle w:val="TOC1"/>
            <w:tabs>
              <w:tab w:pos="8298" w:val="right" w:leader="dot"/>
            </w:tabs>
            <w:spacing w:before="198"/>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99</w:t>
            </w:r>
          </w:hyperlink>
        </w:p>
        <w:p>
          <w:pPr>
            <w:pStyle w:val="TOC1"/>
            <w:tabs>
              <w:tab w:pos="8300" w:val="right" w:leader="dot"/>
            </w:tabs>
            <w:spacing w:before="200"/>
            <w:ind w:right="242"/>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104</w:t>
            </w:r>
          </w:hyperlink>
        </w:p>
        <w:p>
          <w:pPr>
            <w:pStyle w:val="TOC1"/>
            <w:tabs>
              <w:tab w:pos="8300" w:val="right" w:leader="dot"/>
            </w:tabs>
            <w:ind w:right="242"/>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106</w:t>
            </w:r>
          </w:hyperlink>
        </w:p>
        <w:p>
          <w:pPr>
            <w:pStyle w:val="TOC1"/>
            <w:tabs>
              <w:tab w:pos="8300" w:val="right" w:leader="dot"/>
            </w:tabs>
            <w:ind w:right="242"/>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108</w:t>
            </w:r>
          </w:hyperlink>
        </w:p>
        <w:p>
          <w:pPr>
            <w:pStyle w:val="TOC1"/>
            <w:tabs>
              <w:tab w:pos="8300" w:val="right" w:leader="dot"/>
            </w:tabs>
            <w:ind w:right="242"/>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109</w:t>
            </w:r>
          </w:hyperlink>
        </w:p>
        <w:p>
          <w:pPr>
            <w:pStyle w:val="TOC1"/>
            <w:tabs>
              <w:tab w:pos="8300" w:val="right" w:leader="dot"/>
            </w:tabs>
            <w:ind w:right="242"/>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spacing w:val="-3"/>
              </w:rPr>
              <w:t>115</w:t>
            </w:r>
          </w:hyperlink>
        </w:p>
        <w:p>
          <w:pPr>
            <w:pStyle w:val="TOC1"/>
            <w:tabs>
              <w:tab w:pos="8300" w:val="right" w:leader="dot"/>
            </w:tabs>
            <w:ind w:right="242"/>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123</w:t>
            </w:r>
          </w:hyperlink>
        </w:p>
        <w:p>
          <w:pPr>
            <w:pStyle w:val="TOC1"/>
            <w:tabs>
              <w:tab w:pos="8300" w:val="right" w:leader="dot"/>
            </w:tabs>
            <w:spacing w:before="198"/>
            <w:ind w:right="242"/>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125</w:t>
            </w:r>
          </w:hyperlink>
        </w:p>
        <w:p>
          <w:pPr>
            <w:pStyle w:val="TOC1"/>
            <w:tabs>
              <w:tab w:pos="8300" w:val="right" w:leader="dot"/>
            </w:tabs>
            <w:spacing w:before="200"/>
            <w:ind w:right="242"/>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140</w:t>
            </w:r>
          </w:hyperlink>
        </w:p>
        <w:p>
          <w:pPr>
            <w:pStyle w:val="TOC1"/>
            <w:tabs>
              <w:tab w:pos="8300" w:val="right" w:leader="dot"/>
            </w:tabs>
            <w:ind w:right="242"/>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151</w:t>
            </w:r>
          </w:hyperlink>
        </w:p>
        <w:p>
          <w:pPr>
            <w:pStyle w:val="TOC1"/>
            <w:tabs>
              <w:tab w:pos="8300" w:val="right" w:leader="dot"/>
            </w:tabs>
            <w:ind w:right="242"/>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153</w:t>
            </w:r>
          </w:hyperlink>
        </w:p>
        <w:p>
          <w:pPr>
            <w:pStyle w:val="TOC1"/>
            <w:tabs>
              <w:tab w:pos="8300" w:val="right" w:leader="dot"/>
            </w:tabs>
            <w:ind w:right="242"/>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154</w:t>
            </w:r>
          </w:hyperlink>
        </w:p>
        <w:p>
          <w:pPr>
            <w:pStyle w:val="TOC1"/>
            <w:tabs>
              <w:tab w:pos="8300" w:val="right" w:leader="dot"/>
            </w:tabs>
            <w:ind w:right="242"/>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155</w:t>
            </w:r>
          </w:hyperlink>
        </w:p>
      </w:sdtContent>
    </w:sdt>
    <w:p>
      <w:pPr>
        <w:spacing w:after="0"/>
        <w:rPr>
          <w:rFonts w:ascii="Times New Roman" w:eastAsia="Times New Roman"/>
        </w:rPr>
        <w:sectPr>
          <w:pgSz w:w="11910" w:h="16840"/>
          <w:pgMar w:header="877" w:footer="995" w:top="1420" w:bottom="1180" w:left="1540" w:right="1300"/>
        </w:sectPr>
      </w:pPr>
    </w:p>
    <w:p>
      <w:pPr>
        <w:pStyle w:val="BodyText"/>
        <w:rPr>
          <w:rFonts w:ascii="Times New Roman"/>
          <w:sz w:val="20"/>
        </w:rPr>
      </w:pPr>
    </w:p>
    <w:p>
      <w:pPr>
        <w:pStyle w:val="BodyText"/>
        <w:spacing w:before="2"/>
        <w:rPr>
          <w:rFonts w:ascii="Times New Roman"/>
          <w:sz w:val="19"/>
        </w:rPr>
      </w:pPr>
    </w:p>
    <w:p>
      <w:pPr>
        <w:pStyle w:val="Heading1"/>
        <w:spacing w:before="0"/>
      </w:pPr>
      <w:bookmarkStart w:name="_bookmark0" w:id="1"/>
      <w:bookmarkEnd w:id="1"/>
      <w:r>
        <w:rPr>
          <w:b w:val="0"/>
        </w:rPr>
      </w:r>
      <w:r>
        <w:rPr/>
        <w:t>一、绪言</w:t>
      </w:r>
    </w:p>
    <w:p>
      <w:pPr>
        <w:pStyle w:val="BodyText"/>
        <w:rPr>
          <w:b/>
          <w:sz w:val="20"/>
        </w:rPr>
      </w:pPr>
    </w:p>
    <w:p>
      <w:pPr>
        <w:pStyle w:val="BodyText"/>
        <w:spacing w:before="2"/>
        <w:rPr>
          <w:b/>
        </w:rPr>
      </w:pPr>
    </w:p>
    <w:p>
      <w:pPr>
        <w:pStyle w:val="BodyText"/>
        <w:spacing w:line="417" w:lineRule="auto"/>
        <w:ind w:left="260" w:right="385" w:firstLine="419"/>
      </w:pPr>
      <w:r>
        <w:rPr>
          <w:spacing w:val="-8"/>
        </w:rPr>
        <w:t>《华夏优势精选股票型证券投资基金招募说明书</w:t>
      </w:r>
      <w:r>
        <w:rPr/>
        <w:t>（</w:t>
      </w:r>
      <w:r>
        <w:rPr>
          <w:spacing w:val="-2"/>
        </w:rPr>
        <w:t>更新</w:t>
      </w:r>
      <w:r>
        <w:rPr>
          <w:spacing w:val="-106"/>
        </w:rPr>
        <w:t>）</w:t>
      </w:r>
      <w:r>
        <w:rPr>
          <w:spacing w:val="-207"/>
        </w:rPr>
        <w:t>》</w:t>
      </w:r>
      <w:r>
        <w:rPr/>
        <w:t>（</w:t>
      </w:r>
      <w:r>
        <w:rPr>
          <w:spacing w:val="-3"/>
        </w:rPr>
        <w:t>以下简称“本招募说明书”</w:t>
      </w:r>
      <w:r>
        <w:rPr/>
        <w:t>） </w:t>
      </w:r>
      <w:r>
        <w:rPr>
          <w:spacing w:val="-9"/>
          <w:w w:val="100"/>
        </w:rPr>
        <w:t>依据《中华人民共和国证券投资基金法》</w:t>
      </w:r>
      <w:r>
        <w:rPr>
          <w:w w:val="100"/>
        </w:rPr>
        <w:t>（</w:t>
      </w:r>
      <w:r>
        <w:rPr>
          <w:spacing w:val="-3"/>
          <w:w w:val="100"/>
        </w:rPr>
        <w:t>以下简称“《基金法》”</w:t>
      </w:r>
      <w:r>
        <w:rPr>
          <w:spacing w:val="-106"/>
          <w:w w:val="100"/>
        </w:rPr>
        <w:t>）</w:t>
      </w:r>
      <w:r>
        <w:rPr>
          <w:spacing w:val="-14"/>
          <w:w w:val="100"/>
        </w:rPr>
        <w:t>、《证券投资基金销售</w:t>
      </w:r>
      <w:r>
        <w:rPr>
          <w:spacing w:val="-33"/>
          <w:w w:val="100"/>
        </w:rPr>
        <w:t>管理办法》</w:t>
      </w:r>
      <w:r>
        <w:rPr>
          <w:w w:val="100"/>
        </w:rPr>
        <w:t>（</w:t>
      </w:r>
      <w:r>
        <w:rPr>
          <w:spacing w:val="-8"/>
          <w:w w:val="100"/>
        </w:rPr>
        <w:t>以下简称“《销售办法》”</w:t>
      </w:r>
      <w:r>
        <w:rPr>
          <w:spacing w:val="-106"/>
          <w:w w:val="100"/>
        </w:rPr>
        <w:t>）</w:t>
      </w:r>
      <w:r>
        <w:rPr>
          <w:spacing w:val="-13"/>
          <w:w w:val="100"/>
        </w:rPr>
        <w:t>、《公开募集证券投资基金运作管理办法</w:t>
      </w:r>
      <w:r>
        <w:rPr>
          <w:spacing w:val="-128"/>
          <w:w w:val="100"/>
        </w:rPr>
        <w:t>》</w:t>
      </w:r>
      <w:r>
        <w:rPr>
          <w:w w:val="100"/>
        </w:rPr>
        <w:t>（</w:t>
      </w:r>
      <w:r>
        <w:rPr>
          <w:spacing w:val="-2"/>
          <w:w w:val="100"/>
        </w:rPr>
        <w:t>以下简</w:t>
      </w:r>
      <w:r>
        <w:rPr>
          <w:spacing w:val="-3"/>
          <w:w w:val="100"/>
        </w:rPr>
        <w:t>称“《运作办法》”</w:t>
      </w:r>
      <w:r>
        <w:rPr>
          <w:spacing w:val="-106"/>
          <w:w w:val="100"/>
        </w:rPr>
        <w:t>）</w:t>
      </w:r>
      <w:r>
        <w:rPr>
          <w:spacing w:val="-18"/>
          <w:w w:val="100"/>
        </w:rPr>
        <w:t>、《公开募集证券投资基金信息披露管理办法》</w:t>
      </w:r>
      <w:r>
        <w:rPr>
          <w:spacing w:val="-3"/>
          <w:w w:val="100"/>
        </w:rPr>
        <w:t>（</w:t>
      </w:r>
      <w:r>
        <w:rPr>
          <w:spacing w:val="-2"/>
          <w:w w:val="100"/>
        </w:rPr>
        <w:t>以下简称“《信息披</w:t>
      </w:r>
      <w:r>
        <w:rPr>
          <w:spacing w:val="-3"/>
          <w:w w:val="100"/>
        </w:rPr>
        <w:t>露办法》”</w:t>
      </w:r>
      <w:r>
        <w:rPr>
          <w:spacing w:val="-106"/>
          <w:w w:val="100"/>
        </w:rPr>
        <w:t>）</w:t>
      </w:r>
      <w:r>
        <w:rPr>
          <w:spacing w:val="-16"/>
          <w:w w:val="100"/>
        </w:rPr>
        <w:t>、《公开募集开放式证券投资基金流动性风险管理规定》</w:t>
      </w:r>
      <w:r>
        <w:rPr>
          <w:spacing w:val="-3"/>
          <w:w w:val="100"/>
        </w:rPr>
        <w:t>（</w:t>
      </w:r>
      <w:r>
        <w:rPr>
          <w:spacing w:val="-2"/>
          <w:w w:val="100"/>
        </w:rPr>
        <w:t>以下简称“《流动性</w:t>
      </w:r>
      <w:r>
        <w:rPr>
          <w:spacing w:val="-13"/>
        </w:rPr>
        <w:t>风险管理规定》”</w:t>
      </w:r>
      <w:r>
        <w:rPr>
          <w:spacing w:val="-26"/>
        </w:rPr>
        <w:t>）</w:t>
      </w:r>
      <w:r>
        <w:rPr>
          <w:spacing w:val="-9"/>
        </w:rPr>
        <w:t>及其他有关规定以及《华夏优势精选股票型证券投资基金基金合同</w:t>
      </w:r>
      <w:r>
        <w:rPr>
          <w:spacing w:val="-157"/>
        </w:rPr>
        <w:t>》</w:t>
      </w:r>
      <w:r>
        <w:rPr>
          <w:spacing w:val="-3"/>
        </w:rPr>
        <w:t>（</w:t>
      </w:r>
      <w:r>
        <w:rPr/>
        <w:t>以</w:t>
      </w:r>
      <w:r>
        <w:rPr>
          <w:spacing w:val="-3"/>
        </w:rPr>
        <w:t>下简称“基金合同”</w:t>
      </w:r>
      <w:r>
        <w:rPr/>
        <w:t>）</w:t>
      </w:r>
      <w:r>
        <w:rPr>
          <w:spacing w:val="-2"/>
        </w:rPr>
        <w:t>编写。</w:t>
      </w:r>
    </w:p>
    <w:p>
      <w:pPr>
        <w:pStyle w:val="BodyText"/>
        <w:spacing w:line="417" w:lineRule="auto"/>
        <w:ind w:left="260" w:right="491"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260" w:right="49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spacing w:after="0" w:line="417" w:lineRule="auto"/>
        <w:jc w:val="both"/>
        <w:sectPr>
          <w:pgSz w:w="11910" w:h="16840"/>
          <w:pgMar w:header="877" w:footer="995" w:top="1420" w:bottom="1180" w:left="1540" w:right="1300"/>
        </w:sectPr>
      </w:pPr>
    </w:p>
    <w:p>
      <w:pPr>
        <w:pStyle w:val="BodyText"/>
        <w:spacing w:before="7"/>
        <w:rPr>
          <w:sz w:val="29"/>
        </w:rPr>
      </w:pPr>
    </w:p>
    <w:p>
      <w:pPr>
        <w:pStyle w:val="Heading1"/>
      </w:pPr>
      <w:bookmarkStart w:name="_bookmark1" w:id="2"/>
      <w:bookmarkEnd w:id="2"/>
      <w:r>
        <w:rPr>
          <w:b w:val="0"/>
        </w:rPr>
      </w:r>
      <w:r>
        <w:rPr/>
        <w:t>二、释义</w:t>
      </w:r>
    </w:p>
    <w:p>
      <w:pPr>
        <w:pStyle w:val="BodyText"/>
        <w:rPr>
          <w:b/>
          <w:sz w:val="20"/>
        </w:rPr>
      </w:pPr>
    </w:p>
    <w:p>
      <w:pPr>
        <w:pStyle w:val="BodyText"/>
        <w:spacing w:before="2"/>
        <w:rPr>
          <w:b/>
        </w:rPr>
      </w:pPr>
    </w:p>
    <w:p>
      <w:pPr>
        <w:pStyle w:val="BodyText"/>
        <w:ind w:left="680"/>
      </w:pPr>
      <w:r>
        <w:rPr/>
        <w:t>本招募说明书中，除非文意另有所指，下列词语或简称具有如下含义：</w:t>
      </w:r>
    </w:p>
    <w:p>
      <w:pPr>
        <w:pStyle w:val="BodyText"/>
        <w:spacing w:before="7"/>
        <w:rPr>
          <w:sz w:val="15"/>
        </w:rPr>
      </w:pPr>
    </w:p>
    <w:p>
      <w:pPr>
        <w:pStyle w:val="BodyText"/>
        <w:ind w:left="680"/>
      </w:pPr>
      <w:r>
        <w:rPr>
          <w:rFonts w:ascii="Times New Roman" w:eastAsia="Times New Roman"/>
        </w:rPr>
        <w:t>1</w:t>
      </w:r>
      <w:r>
        <w:rPr/>
        <w:t>、基金或本基金：指华夏优势精选股票型证券投资基金。</w:t>
      </w:r>
    </w:p>
    <w:p>
      <w:pPr>
        <w:pStyle w:val="BodyText"/>
        <w:spacing w:before="7"/>
        <w:rPr>
          <w:sz w:val="15"/>
        </w:rPr>
      </w:pPr>
    </w:p>
    <w:p>
      <w:pPr>
        <w:pStyle w:val="BodyText"/>
        <w:ind w:left="680"/>
      </w:pPr>
      <w:r>
        <w:rPr>
          <w:rFonts w:ascii="Times New Roman" w:eastAsia="Times New Roman"/>
        </w:rPr>
        <w:t>2</w:t>
      </w:r>
      <w:r>
        <w:rPr/>
        <w:t>、基金管理人：指华夏基金管理有限公司。</w:t>
      </w:r>
    </w:p>
    <w:p>
      <w:pPr>
        <w:pStyle w:val="BodyText"/>
        <w:spacing w:before="6"/>
        <w:rPr>
          <w:sz w:val="15"/>
        </w:rPr>
      </w:pPr>
    </w:p>
    <w:p>
      <w:pPr>
        <w:pStyle w:val="BodyText"/>
        <w:spacing w:before="1"/>
        <w:ind w:left="680"/>
      </w:pPr>
      <w:r>
        <w:rPr>
          <w:rFonts w:ascii="Times New Roman" w:eastAsia="Times New Roman"/>
        </w:rPr>
        <w:t>3</w:t>
      </w:r>
      <w:r>
        <w:rPr/>
        <w:t>、基金托管人：指中国农业银行股份有限公司。</w:t>
      </w:r>
    </w:p>
    <w:p>
      <w:pPr>
        <w:pStyle w:val="BodyText"/>
        <w:spacing w:before="6"/>
        <w:rPr>
          <w:sz w:val="15"/>
        </w:rPr>
      </w:pPr>
    </w:p>
    <w:p>
      <w:pPr>
        <w:pStyle w:val="BodyText"/>
        <w:spacing w:line="417" w:lineRule="auto"/>
        <w:ind w:left="260" w:right="494" w:firstLine="419"/>
      </w:pPr>
      <w:r>
        <w:rPr>
          <w:rFonts w:ascii="Times New Roman" w:eastAsia="Times New Roman"/>
        </w:rPr>
        <w:t>4</w:t>
      </w:r>
      <w:r>
        <w:rPr>
          <w:spacing w:val="-16"/>
        </w:rPr>
        <w:t>、基金合同、《基金合同》：指《华夏优势精选股票型证券投资基金基金合同》及对基</w:t>
      </w:r>
      <w:r>
        <w:rPr>
          <w:spacing w:val="-7"/>
        </w:rPr>
        <w:t>金合同的任何有效修订和补充。</w:t>
      </w:r>
    </w:p>
    <w:p>
      <w:pPr>
        <w:pStyle w:val="BodyText"/>
        <w:spacing w:line="417" w:lineRule="auto" w:before="1"/>
        <w:ind w:left="260" w:right="494" w:firstLine="419"/>
      </w:pPr>
      <w:r>
        <w:rPr>
          <w:rFonts w:ascii="Times New Roman" w:eastAsia="Times New Roman"/>
        </w:rPr>
        <w:t>5</w:t>
      </w:r>
      <w:r>
        <w:rPr/>
        <w:t>、托管协议：指基金管理人与基金托管人就本基金签订之《华夏优势精选股票型证券投资基金托管协议》及对该托管协议的任何有效修订和补充。</w:t>
      </w:r>
    </w:p>
    <w:p>
      <w:pPr>
        <w:pStyle w:val="BodyText"/>
        <w:spacing w:line="269" w:lineRule="exact"/>
        <w:ind w:left="680"/>
      </w:pPr>
      <w:r>
        <w:rPr>
          <w:rFonts w:ascii="Times New Roman" w:eastAsia="Times New Roman"/>
        </w:rPr>
        <w:t>6</w:t>
      </w:r>
      <w:r>
        <w:rPr/>
        <w:t>、招募说明书：指《华夏优势精选股票型证券投资基金招募说明书》及其更新。</w:t>
      </w:r>
    </w:p>
    <w:p>
      <w:pPr>
        <w:pStyle w:val="BodyText"/>
        <w:spacing w:before="6"/>
        <w:rPr>
          <w:sz w:val="15"/>
        </w:rPr>
      </w:pPr>
    </w:p>
    <w:p>
      <w:pPr>
        <w:pStyle w:val="BodyText"/>
        <w:ind w:left="680"/>
      </w:pPr>
      <w:r>
        <w:rPr>
          <w:rFonts w:ascii="Times New Roman" w:eastAsia="Times New Roman"/>
        </w:rPr>
        <w:t>7</w:t>
      </w:r>
      <w:r>
        <w:rPr/>
        <w:t>、基金份额发售公告：指《华夏优势精选股票型证券投资基金基金份额发售公告》。</w:t>
      </w:r>
    </w:p>
    <w:p>
      <w:pPr>
        <w:pStyle w:val="BodyText"/>
        <w:spacing w:before="7"/>
        <w:rPr>
          <w:sz w:val="15"/>
        </w:rPr>
      </w:pPr>
    </w:p>
    <w:p>
      <w:pPr>
        <w:pStyle w:val="BodyText"/>
        <w:spacing w:line="417" w:lineRule="auto"/>
        <w:ind w:left="260" w:right="494"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ind w:left="680"/>
      </w:pPr>
      <w:r>
        <w:rPr>
          <w:rFonts w:ascii="Times New Roman" w:eastAsia="Times New Roman"/>
        </w:rPr>
        <w:t>9</w:t>
      </w:r>
      <w:r>
        <w:rPr/>
        <w:t>、《基金法》：指《中华人民共和国证券投资基金法》及颁布机关对其不时做出的修订。</w:t>
      </w:r>
    </w:p>
    <w:p>
      <w:pPr>
        <w:pStyle w:val="BodyText"/>
        <w:spacing w:before="7"/>
        <w:rPr>
          <w:sz w:val="15"/>
        </w:rPr>
      </w:pPr>
    </w:p>
    <w:p>
      <w:pPr>
        <w:pStyle w:val="BodyText"/>
        <w:ind w:left="680"/>
      </w:pPr>
      <w:r>
        <w:rPr>
          <w:rFonts w:ascii="Times New Roman" w:eastAsia="Times New Roman"/>
        </w:rPr>
        <w:t>10</w:t>
      </w:r>
      <w:r>
        <w:rPr/>
        <w:t>、《销售办法》：指《证券投资基金销售管理办法》及颁布机关对其不时做出的修订。</w:t>
      </w:r>
    </w:p>
    <w:p>
      <w:pPr>
        <w:pStyle w:val="BodyText"/>
        <w:spacing w:before="6"/>
        <w:rPr>
          <w:sz w:val="15"/>
        </w:rPr>
      </w:pPr>
    </w:p>
    <w:p>
      <w:pPr>
        <w:pStyle w:val="BodyText"/>
        <w:spacing w:line="417" w:lineRule="auto" w:before="1"/>
        <w:ind w:left="260" w:right="491" w:firstLine="419"/>
      </w:pPr>
      <w:r>
        <w:rPr>
          <w:rFonts w:ascii="Times New Roman" w:eastAsia="Times New Roman"/>
          <w:spacing w:val="-4"/>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260" w:right="491" w:firstLine="419"/>
      </w:pPr>
      <w:r>
        <w:rPr>
          <w:rFonts w:ascii="Times New Roman" w:eastAsia="Times New Roman"/>
        </w:rPr>
        <w:t>12</w:t>
      </w:r>
      <w:r>
        <w:rPr>
          <w:spacing w:val="-20"/>
        </w:rPr>
        <w:t>、《运作办法》：指《公开募集证券投资基金运作管理办法》及颁布机关对其不时做出</w:t>
      </w:r>
      <w:r>
        <w:rPr>
          <w:spacing w:val="-12"/>
        </w:rPr>
        <w:t>的修订。</w:t>
      </w:r>
    </w:p>
    <w:p>
      <w:pPr>
        <w:pStyle w:val="BodyText"/>
        <w:spacing w:line="417" w:lineRule="auto"/>
        <w:ind w:left="260" w:right="388"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ind w:left="680"/>
      </w:pPr>
      <w:r>
        <w:rPr>
          <w:rFonts w:ascii="Times New Roman" w:eastAsia="Times New Roman"/>
        </w:rPr>
        <w:t>14</w:t>
      </w:r>
      <w:r>
        <w:rPr/>
        <w:t>、中国证监会：指中国证券监督管理委员会。</w:t>
      </w:r>
    </w:p>
    <w:p>
      <w:pPr>
        <w:pStyle w:val="BodyText"/>
        <w:spacing w:before="6"/>
        <w:rPr>
          <w:sz w:val="15"/>
        </w:rPr>
      </w:pPr>
    </w:p>
    <w:p>
      <w:pPr>
        <w:pStyle w:val="BodyText"/>
        <w:ind w:left="680"/>
      </w:pPr>
      <w:r>
        <w:rPr>
          <w:rFonts w:ascii="Times New Roman" w:eastAsia="Times New Roman"/>
        </w:rPr>
        <w:t>15</w:t>
      </w:r>
      <w:r>
        <w:rPr/>
        <w:t>、银行业监督管理机构：指中国人民银行和</w:t>
      </w:r>
      <w:r>
        <w:rPr>
          <w:rFonts w:ascii="Times New Roman" w:eastAsia="Times New Roman"/>
        </w:rPr>
        <w:t>/</w:t>
      </w:r>
      <w:r>
        <w:rPr/>
        <w:t>或中国银行保险业监督管理委员会。</w:t>
      </w:r>
    </w:p>
    <w:p>
      <w:pPr>
        <w:pStyle w:val="BodyText"/>
        <w:spacing w:before="7"/>
        <w:rPr>
          <w:sz w:val="15"/>
        </w:rPr>
      </w:pPr>
    </w:p>
    <w:p>
      <w:pPr>
        <w:pStyle w:val="BodyText"/>
        <w:spacing w:line="417" w:lineRule="auto"/>
        <w:ind w:left="260" w:right="49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680"/>
      </w:pPr>
      <w:r>
        <w:rPr>
          <w:rFonts w:ascii="Times New Roman" w:eastAsia="Times New Roman"/>
        </w:rPr>
        <w:t>17</w:t>
      </w:r>
      <w:r>
        <w:rPr/>
        <w:t>、个人投资者：指依据有关法律法规规定可投资于证券投资基金的自然人。</w:t>
      </w:r>
    </w:p>
    <w:p>
      <w:pPr>
        <w:pStyle w:val="BodyText"/>
        <w:spacing w:before="6"/>
        <w:rPr>
          <w:sz w:val="15"/>
        </w:rPr>
      </w:pPr>
    </w:p>
    <w:p>
      <w:pPr>
        <w:pStyle w:val="BodyText"/>
        <w:spacing w:line="417" w:lineRule="auto" w:before="1"/>
        <w:ind w:left="260" w:right="49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spacing w:after="0" w:line="417" w:lineRule="auto"/>
        <w:sectPr>
          <w:pgSz w:w="11910" w:h="16840"/>
          <w:pgMar w:header="877" w:footer="995" w:top="1420" w:bottom="1180" w:left="1540" w:right="1300"/>
        </w:sectPr>
      </w:pPr>
    </w:p>
    <w:p>
      <w:pPr>
        <w:pStyle w:val="BodyText"/>
        <w:spacing w:line="417" w:lineRule="auto" w:before="110"/>
        <w:ind w:left="260" w:right="390"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260" w:right="491" w:firstLine="419"/>
        <w:jc w:val="both"/>
      </w:pPr>
      <w:r>
        <w:rPr>
          <w:rFonts w:ascii="Times New Roman" w:eastAsia="Times New Roman"/>
        </w:rPr>
        <w:t>20</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417" w:lineRule="auto"/>
        <w:ind w:left="260" w:right="491" w:firstLine="419"/>
      </w:pPr>
      <w:r>
        <w:rPr>
          <w:rFonts w:ascii="Times New Roman" w:eastAsia="Times New Roman"/>
        </w:rPr>
        <w:t>21</w:t>
      </w:r>
      <w:r>
        <w:rPr>
          <w:spacing w:val="-11"/>
        </w:rPr>
        <w:t>、投资人、投资者：指个人投资者、机构投资者、合格境外机构投资者和人民币合格</w:t>
      </w:r>
      <w:r>
        <w:rPr>
          <w:spacing w:val="-6"/>
        </w:rPr>
        <w:t>境外机构投资者以及法律法规或中国证监会允许购买证券投资基金的其他投资人的合称。</w:t>
      </w:r>
    </w:p>
    <w:p>
      <w:pPr>
        <w:pStyle w:val="BodyText"/>
        <w:ind w:left="680"/>
      </w:pPr>
      <w:r>
        <w:rPr>
          <w:rFonts w:ascii="Times New Roman" w:eastAsia="Times New Roman"/>
        </w:rPr>
        <w:t>22</w:t>
      </w:r>
      <w:r>
        <w:rPr/>
        <w:t>、基金份额持有人：指依基金合同和招募说明书合法取得基金份额的投资人。</w:t>
      </w:r>
    </w:p>
    <w:p>
      <w:pPr>
        <w:pStyle w:val="BodyText"/>
        <w:spacing w:before="6"/>
        <w:rPr>
          <w:sz w:val="15"/>
        </w:rPr>
      </w:pPr>
    </w:p>
    <w:p>
      <w:pPr>
        <w:pStyle w:val="BodyText"/>
        <w:spacing w:line="417" w:lineRule="auto"/>
        <w:ind w:left="260" w:right="491" w:firstLine="419"/>
      </w:pPr>
      <w:r>
        <w:rPr>
          <w:rFonts w:ascii="Times New Roman" w:eastAsia="Times New Roman"/>
        </w:rPr>
        <w:t>23</w:t>
      </w:r>
      <w:r>
        <w:rPr>
          <w:spacing w:val="-11"/>
        </w:rPr>
        <w:t>、基金销售业务：指基金管理人或销售机构宣传推介基金，发售基金份额，办理基金</w:t>
      </w:r>
      <w:r>
        <w:rPr>
          <w:spacing w:val="-6"/>
        </w:rPr>
        <w:t>份额的申购、赎回、转换、转托管及定期定额投资等业务。</w:t>
      </w:r>
    </w:p>
    <w:p>
      <w:pPr>
        <w:pStyle w:val="BodyText"/>
        <w:spacing w:line="417" w:lineRule="auto"/>
        <w:ind w:left="260" w:right="491" w:firstLine="419"/>
        <w:jc w:val="both"/>
      </w:pPr>
      <w:r>
        <w:rPr>
          <w:rFonts w:ascii="Times New Roman" w:eastAsia="Times New Roman"/>
        </w:rPr>
        <w:t>24</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260" w:right="491" w:firstLine="419"/>
        <w:jc w:val="both"/>
      </w:pPr>
      <w:r>
        <w:rPr>
          <w:rFonts w:ascii="Times New Roman" w:eastAsia="Times New Roman"/>
        </w:rPr>
        <w:t>25</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260" w:right="491" w:firstLine="419"/>
      </w:pPr>
      <w:r>
        <w:rPr>
          <w:rFonts w:ascii="Times New Roman" w:eastAsia="Times New Roman"/>
        </w:rPr>
        <w:t>26</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260" w:right="491" w:firstLine="419"/>
      </w:pPr>
      <w:r>
        <w:rPr>
          <w:rFonts w:ascii="Times New Roman" w:eastAsia="Times New Roman"/>
        </w:rPr>
        <w:t>27</w:t>
      </w:r>
      <w:r>
        <w:rPr>
          <w:spacing w:val="-11"/>
        </w:rPr>
        <w:t>、基金账户：指登记机构为投资人开立的、记录其持有的、由该登记机构登记的基金</w:t>
      </w:r>
      <w:r>
        <w:rPr>
          <w:spacing w:val="-6"/>
        </w:rPr>
        <w:t>份额余额及其变动情况的账户。</w:t>
      </w:r>
    </w:p>
    <w:p>
      <w:pPr>
        <w:pStyle w:val="BodyText"/>
        <w:spacing w:line="417" w:lineRule="auto"/>
        <w:ind w:left="260" w:right="491" w:firstLine="419"/>
        <w:jc w:val="right"/>
      </w:pPr>
      <w:r>
        <w:rPr>
          <w:rFonts w:ascii="Times New Roman" w:eastAsia="Times New Roman"/>
        </w:rPr>
        <w:t>28</w:t>
      </w:r>
      <w:r>
        <w:rPr>
          <w:spacing w:val="-21"/>
        </w:rPr>
        <w:t>、基金交易账户：指销售机构为投资人开立的、记录投资人通过该销售机构办理认购、申购、赎回、转换、转托管及定期定额投资等业务而引起的基金份额变动及结余情况的账户。</w:t>
      </w:r>
      <w:r>
        <w:rPr>
          <w:rFonts w:ascii="Times New Roman" w:eastAsia="Times New Roman"/>
          <w:spacing w:val="-21"/>
        </w:rPr>
        <w:t>29</w:t>
      </w:r>
      <w:r>
        <w:rPr>
          <w:spacing w:val="-11"/>
        </w:rPr>
        <w:t>、基金合同生效日：指基金募集达到法律法规规定及基金合同规定的条件，基金管理</w:t>
      </w:r>
    </w:p>
    <w:p>
      <w:pPr>
        <w:pStyle w:val="BodyText"/>
        <w:ind w:left="260"/>
      </w:pPr>
      <w:r>
        <w:rPr/>
        <w:t>人向中国证监会办理基金备案手续完毕，并获得中国证监会书面确认的日期。</w:t>
      </w:r>
    </w:p>
    <w:p>
      <w:pPr>
        <w:pStyle w:val="BodyText"/>
        <w:spacing w:before="5"/>
        <w:rPr>
          <w:sz w:val="15"/>
        </w:rPr>
      </w:pPr>
    </w:p>
    <w:p>
      <w:pPr>
        <w:pStyle w:val="BodyText"/>
        <w:spacing w:line="417" w:lineRule="auto"/>
        <w:ind w:left="260" w:right="491" w:firstLine="419"/>
      </w:pPr>
      <w:r>
        <w:rPr>
          <w:rFonts w:ascii="Times New Roman" w:eastAsia="Times New Roman"/>
        </w:rPr>
        <w:t>30</w:t>
      </w:r>
      <w:r>
        <w:rPr>
          <w:spacing w:val="-20"/>
        </w:rPr>
        <w:t>、基金合同终止日：指基金合同规定的基金合同终止事由出现后，基金财产清算完毕， </w:t>
      </w:r>
      <w:r>
        <w:rPr>
          <w:spacing w:val="-8"/>
        </w:rPr>
        <w:t>清算结果报中国证监会备案并予以公告的日期。</w:t>
      </w:r>
    </w:p>
    <w:p>
      <w:pPr>
        <w:pStyle w:val="BodyText"/>
        <w:spacing w:line="269" w:lineRule="exact"/>
        <w:ind w:left="680"/>
        <w:rPr>
          <w:rFonts w:ascii="Times New Roman" w:eastAsia="Times New Roman"/>
        </w:rPr>
      </w:pPr>
      <w:r>
        <w:rPr>
          <w:rFonts w:ascii="Times New Roman" w:eastAsia="Times New Roman"/>
        </w:rPr>
        <w:t>31</w:t>
      </w:r>
      <w:r>
        <w:rPr/>
        <w:t>、基金募集期：指自基金份额发售之日起至发售结束之日止的期间，最长不得超过 </w:t>
      </w:r>
      <w:r>
        <w:rPr>
          <w:rFonts w:ascii="Times New Roman" w:eastAsia="Times New Roman"/>
        </w:rPr>
        <w:t>3</w:t>
      </w:r>
    </w:p>
    <w:p>
      <w:pPr>
        <w:pStyle w:val="BodyText"/>
        <w:spacing w:before="3"/>
        <w:rPr>
          <w:rFonts w:ascii="Times New Roman"/>
          <w:sz w:val="17"/>
        </w:rPr>
      </w:pPr>
    </w:p>
    <w:p>
      <w:pPr>
        <w:pStyle w:val="BodyText"/>
        <w:spacing w:before="1"/>
        <w:ind w:left="260"/>
      </w:pPr>
      <w:r>
        <w:rPr/>
        <w:t>个月。</w:t>
      </w:r>
    </w:p>
    <w:p>
      <w:pPr>
        <w:pStyle w:val="BodyText"/>
        <w:spacing w:before="7"/>
        <w:rPr>
          <w:sz w:val="15"/>
        </w:rPr>
      </w:pPr>
    </w:p>
    <w:p>
      <w:pPr>
        <w:pStyle w:val="BodyText"/>
        <w:ind w:left="680"/>
      </w:pPr>
      <w:r>
        <w:rPr>
          <w:rFonts w:ascii="Times New Roman" w:eastAsia="Times New Roman"/>
        </w:rPr>
        <w:t>32</w:t>
      </w:r>
      <w:r>
        <w:rPr/>
        <w:t>、存续期：指基金合同生效至终止之间的不定期期限。</w:t>
      </w:r>
    </w:p>
    <w:p>
      <w:pPr>
        <w:pStyle w:val="BodyText"/>
        <w:spacing w:before="6"/>
        <w:rPr>
          <w:sz w:val="15"/>
        </w:rPr>
      </w:pPr>
    </w:p>
    <w:p>
      <w:pPr>
        <w:pStyle w:val="BodyText"/>
        <w:ind w:left="680"/>
      </w:pPr>
      <w:r>
        <w:rPr>
          <w:rFonts w:ascii="Times New Roman" w:eastAsia="Times New Roman"/>
        </w:rPr>
        <w:t>33</w:t>
      </w:r>
      <w:r>
        <w:rPr/>
        <w:t>、工作日：指上海证券交易所、深圳证券交易所的正常交易日。</w:t>
      </w:r>
    </w:p>
    <w:p>
      <w:pPr>
        <w:spacing w:after="0"/>
        <w:sectPr>
          <w:pgSz w:w="11910" w:h="16840"/>
          <w:pgMar w:header="877" w:footer="995" w:top="1420" w:bottom="1180" w:left="1540" w:right="1300"/>
        </w:sectPr>
      </w:pPr>
    </w:p>
    <w:p>
      <w:pPr>
        <w:pStyle w:val="BodyText"/>
        <w:spacing w:before="110"/>
        <w:ind w:left="680"/>
      </w:pPr>
      <w:r>
        <w:rPr>
          <w:rFonts w:ascii="Times New Roman" w:eastAsia="Times New Roman"/>
        </w:rPr>
        <w:t>34</w:t>
      </w:r>
      <w:r>
        <w:rPr/>
        <w:t>、</w:t>
      </w:r>
      <w:r>
        <w:rPr>
          <w:rFonts w:ascii="Times New Roman" w:eastAsia="Times New Roman"/>
        </w:rPr>
        <w:t>T </w:t>
      </w:r>
      <w:r>
        <w:rPr/>
        <w:t>日：指销售机构在规定时间受理投资人申购、赎回或其他业务申请的开放日。</w:t>
      </w:r>
    </w:p>
    <w:p>
      <w:pPr>
        <w:pStyle w:val="BodyText"/>
        <w:spacing w:before="6"/>
        <w:rPr>
          <w:sz w:val="15"/>
        </w:rPr>
      </w:pPr>
    </w:p>
    <w:p>
      <w:pPr>
        <w:pStyle w:val="BodyText"/>
        <w:ind w:left="680"/>
      </w:pPr>
      <w:r>
        <w:rPr>
          <w:rFonts w:ascii="Times New Roman" w:eastAsia="Times New Roman"/>
        </w:rPr>
        <w:t>35</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7"/>
        <w:rPr>
          <w:sz w:val="15"/>
        </w:rPr>
      </w:pPr>
    </w:p>
    <w:p>
      <w:pPr>
        <w:pStyle w:val="BodyText"/>
        <w:ind w:left="680"/>
      </w:pPr>
      <w:r>
        <w:rPr>
          <w:rFonts w:ascii="Times New Roman" w:eastAsia="Times New Roman"/>
        </w:rPr>
        <w:t>36</w:t>
      </w:r>
      <w:r>
        <w:rPr/>
        <w:t>、开放日：指为投资人办理基金份额申购、赎回或其他业务的工作日。</w:t>
      </w:r>
    </w:p>
    <w:p>
      <w:pPr>
        <w:pStyle w:val="BodyText"/>
        <w:spacing w:before="7"/>
        <w:rPr>
          <w:sz w:val="15"/>
        </w:rPr>
      </w:pPr>
    </w:p>
    <w:p>
      <w:pPr>
        <w:pStyle w:val="BodyText"/>
        <w:ind w:left="680"/>
      </w:pPr>
      <w:r>
        <w:rPr>
          <w:rFonts w:ascii="Times New Roman" w:eastAsia="Times New Roman"/>
        </w:rPr>
        <w:t>37</w:t>
      </w:r>
      <w:r>
        <w:rPr/>
        <w:t>、开放时间：指开放日基金接受申购、赎回或其他交易的时间段。</w:t>
      </w:r>
    </w:p>
    <w:p>
      <w:pPr>
        <w:pStyle w:val="BodyText"/>
        <w:spacing w:before="7"/>
        <w:rPr>
          <w:sz w:val="15"/>
        </w:rPr>
      </w:pPr>
    </w:p>
    <w:p>
      <w:pPr>
        <w:pStyle w:val="BodyText"/>
        <w:spacing w:line="417" w:lineRule="auto"/>
        <w:ind w:left="260" w:right="491" w:firstLine="419"/>
        <w:jc w:val="both"/>
      </w:pPr>
      <w:r>
        <w:rPr>
          <w:rFonts w:ascii="Times New Roman" w:eastAsia="Times New Roman"/>
        </w:rPr>
        <w:t>38</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ind w:left="680"/>
      </w:pPr>
      <w:r>
        <w:rPr>
          <w:rFonts w:ascii="Times New Roman" w:eastAsia="Times New Roman"/>
        </w:rPr>
        <w:t>39</w:t>
      </w:r>
      <w:r>
        <w:rPr/>
        <w:t>、认购：指在基金募集期内，投资人申请购买基金份额的行为。</w:t>
      </w:r>
    </w:p>
    <w:p>
      <w:pPr>
        <w:pStyle w:val="BodyText"/>
        <w:spacing w:before="6"/>
        <w:rPr>
          <w:sz w:val="15"/>
        </w:rPr>
      </w:pPr>
    </w:p>
    <w:p>
      <w:pPr>
        <w:pStyle w:val="BodyText"/>
        <w:spacing w:line="417" w:lineRule="auto" w:before="1"/>
        <w:ind w:left="260" w:right="491" w:firstLine="419"/>
      </w:pPr>
      <w:r>
        <w:rPr>
          <w:rFonts w:ascii="Times New Roman" w:eastAsia="Times New Roman"/>
        </w:rPr>
        <w:t>40</w:t>
      </w:r>
      <w:r>
        <w:rPr>
          <w:spacing w:val="-12"/>
        </w:rPr>
        <w:t>、申购：指基金合同生效后，投资人根据基金合同和招募说明书的规定申请购买基金</w:t>
      </w:r>
      <w:r>
        <w:rPr>
          <w:spacing w:val="-6"/>
        </w:rPr>
        <w:t>份额的行为。</w:t>
      </w:r>
    </w:p>
    <w:p>
      <w:pPr>
        <w:pStyle w:val="BodyText"/>
        <w:spacing w:line="417" w:lineRule="auto"/>
        <w:ind w:left="260" w:right="491" w:firstLine="419"/>
      </w:pPr>
      <w:r>
        <w:rPr>
          <w:rFonts w:ascii="Times New Roman" w:eastAsia="Times New Roman"/>
        </w:rPr>
        <w:t>41</w:t>
      </w:r>
      <w:r>
        <w:rPr>
          <w:spacing w:val="-12"/>
        </w:rPr>
        <w:t>、赎回：指基金合同生效后，基金份额持有人按基金合同和招募说明书规定的条件要</w:t>
      </w:r>
      <w:r>
        <w:rPr>
          <w:spacing w:val="-6"/>
        </w:rPr>
        <w:t>求将基金份额兑换为现金的行为。</w:t>
      </w:r>
    </w:p>
    <w:p>
      <w:pPr>
        <w:pStyle w:val="BodyText"/>
        <w:spacing w:line="417" w:lineRule="auto"/>
        <w:ind w:left="260" w:right="385" w:firstLine="419"/>
      </w:pPr>
      <w:r>
        <w:rPr>
          <w:rFonts w:ascii="Times New Roman" w:eastAsia="Times New Roman"/>
        </w:rPr>
        <w:t>42</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260" w:right="491" w:firstLine="419"/>
      </w:pPr>
      <w:r>
        <w:rPr>
          <w:rFonts w:ascii="Times New Roman" w:eastAsia="Times New Roman"/>
        </w:rPr>
        <w:t>43</w:t>
      </w:r>
      <w:r>
        <w:rPr>
          <w:spacing w:val="-12"/>
        </w:rPr>
        <w:t>、转托管：指基金份额持有人在本基金的不同销售机构之间实施的变更所持基金份额</w:t>
      </w:r>
      <w:r>
        <w:rPr>
          <w:spacing w:val="-6"/>
        </w:rPr>
        <w:t>销售机构的操作。</w:t>
      </w:r>
    </w:p>
    <w:p>
      <w:pPr>
        <w:pStyle w:val="BodyText"/>
        <w:spacing w:line="417" w:lineRule="auto"/>
        <w:ind w:left="260" w:right="491" w:firstLine="419"/>
        <w:jc w:val="both"/>
      </w:pPr>
      <w:r>
        <w:rPr>
          <w:rFonts w:ascii="Times New Roman" w:eastAsia="Times New Roman"/>
        </w:rPr>
        <w:t>44</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260" w:right="388" w:firstLine="419"/>
      </w:pPr>
      <w:r>
        <w:rPr>
          <w:rFonts w:ascii="Times New Roman" w:eastAsia="Times New Roman"/>
        </w:rPr>
        <w:t>45</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spacing w:line="417" w:lineRule="auto"/>
        <w:ind w:left="260" w:right="491" w:firstLine="419"/>
        <w:jc w:val="both"/>
      </w:pPr>
      <w:r>
        <w:rPr>
          <w:rFonts w:ascii="Times New Roman" w:eastAsia="Times New Roman"/>
        </w:rPr>
        <w:t>46</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260" w:right="491" w:firstLine="419"/>
        <w:jc w:val="both"/>
      </w:pPr>
      <w:r>
        <w:rPr>
          <w:rFonts w:ascii="Times New Roman" w:eastAsia="Times New Roman"/>
        </w:rPr>
        <w:t>47</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spacing w:after="0" w:line="417" w:lineRule="auto"/>
        <w:jc w:val="both"/>
        <w:sectPr>
          <w:pgSz w:w="11910" w:h="16840"/>
          <w:pgMar w:header="877" w:footer="995" w:top="1420" w:bottom="1180" w:left="1540" w:right="1300"/>
        </w:sectPr>
      </w:pPr>
    </w:p>
    <w:p>
      <w:pPr>
        <w:pStyle w:val="BodyText"/>
        <w:spacing w:before="110"/>
        <w:ind w:left="680"/>
      </w:pPr>
      <w:r>
        <w:rPr>
          <w:rFonts w:ascii="Times New Roman" w:eastAsia="Times New Roman"/>
        </w:rPr>
        <w:t>48</w:t>
      </w:r>
      <w:r>
        <w:rPr/>
        <w:t>、元：指人民币元。</w:t>
      </w:r>
    </w:p>
    <w:p>
      <w:pPr>
        <w:pStyle w:val="BodyText"/>
        <w:spacing w:before="6"/>
        <w:rPr>
          <w:sz w:val="15"/>
        </w:rPr>
      </w:pPr>
    </w:p>
    <w:p>
      <w:pPr>
        <w:pStyle w:val="BodyText"/>
        <w:spacing w:line="417" w:lineRule="auto"/>
        <w:ind w:left="260" w:right="491" w:firstLine="419"/>
      </w:pPr>
      <w:r>
        <w:rPr>
          <w:rFonts w:ascii="Times New Roman" w:eastAsia="Times New Roman"/>
        </w:rPr>
        <w:t>49</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260" w:right="491" w:firstLine="419"/>
      </w:pPr>
      <w:r>
        <w:rPr>
          <w:rFonts w:ascii="Times New Roman" w:eastAsia="Times New Roman"/>
        </w:rPr>
        <w:t>50</w:t>
      </w:r>
      <w:r>
        <w:rPr>
          <w:spacing w:val="-11"/>
        </w:rPr>
        <w:t>、基金资产总值：指基金拥有的各类有价证券、银行存款本息、基金应收申购款及其</w:t>
      </w:r>
      <w:r>
        <w:rPr>
          <w:spacing w:val="-6"/>
        </w:rPr>
        <w:t>他资产的价值总和。</w:t>
      </w:r>
    </w:p>
    <w:p>
      <w:pPr>
        <w:pStyle w:val="BodyText"/>
        <w:spacing w:line="269" w:lineRule="exact"/>
        <w:ind w:left="680"/>
      </w:pPr>
      <w:r>
        <w:rPr>
          <w:rFonts w:ascii="Times New Roman" w:eastAsia="Times New Roman"/>
        </w:rPr>
        <w:t>51</w:t>
      </w:r>
      <w:r>
        <w:rPr/>
        <w:t>、基金资产净值：指基金资产总值减去基金负债后的价值。</w:t>
      </w:r>
    </w:p>
    <w:p>
      <w:pPr>
        <w:pStyle w:val="BodyText"/>
        <w:spacing w:before="7"/>
        <w:rPr>
          <w:sz w:val="15"/>
        </w:rPr>
      </w:pPr>
    </w:p>
    <w:p>
      <w:pPr>
        <w:pStyle w:val="BodyText"/>
        <w:ind w:left="680"/>
      </w:pPr>
      <w:r>
        <w:rPr>
          <w:rFonts w:ascii="Times New Roman" w:eastAsia="Times New Roman"/>
        </w:rPr>
        <w:t>52</w:t>
      </w:r>
      <w:r>
        <w:rPr/>
        <w:t>、基金份额净值：指计算日基金资产净值除以计算日基金份额总数。</w:t>
      </w:r>
    </w:p>
    <w:p>
      <w:pPr>
        <w:pStyle w:val="BodyText"/>
        <w:spacing w:before="7"/>
        <w:rPr>
          <w:sz w:val="15"/>
        </w:rPr>
      </w:pPr>
    </w:p>
    <w:p>
      <w:pPr>
        <w:pStyle w:val="BodyText"/>
        <w:spacing w:line="417" w:lineRule="auto"/>
        <w:ind w:left="260" w:right="491" w:firstLine="419"/>
      </w:pPr>
      <w:r>
        <w:rPr>
          <w:rFonts w:ascii="Times New Roman" w:eastAsia="Times New Roman"/>
        </w:rPr>
        <w:t>53</w:t>
      </w:r>
      <w:r>
        <w:rPr>
          <w:spacing w:val="-11"/>
        </w:rPr>
        <w:t>、基金资产估值：指计算评估基金资产和负债的价值，以确定基金资产净值和基金份</w:t>
      </w:r>
      <w:r>
        <w:rPr>
          <w:spacing w:val="-6"/>
        </w:rPr>
        <w:t>额净值的过程。</w:t>
      </w:r>
    </w:p>
    <w:p>
      <w:pPr>
        <w:pStyle w:val="BodyText"/>
        <w:spacing w:line="269" w:lineRule="exact"/>
        <w:ind w:left="680"/>
      </w:pPr>
      <w:r>
        <w:rPr>
          <w:rFonts w:ascii="Times New Roman" w:eastAsia="Times New Roman"/>
        </w:rPr>
        <w:t>54</w:t>
      </w:r>
      <w:r>
        <w:rPr/>
        <w:t>、指定媒介：指中国证监会指定的用以进行信息披露的媒介。</w:t>
      </w:r>
    </w:p>
    <w:p>
      <w:pPr>
        <w:pStyle w:val="BodyText"/>
        <w:spacing w:before="7"/>
        <w:rPr>
          <w:sz w:val="15"/>
        </w:rPr>
      </w:pPr>
    </w:p>
    <w:p>
      <w:pPr>
        <w:pStyle w:val="BodyText"/>
        <w:ind w:left="680"/>
      </w:pPr>
      <w:r>
        <w:rPr>
          <w:rFonts w:ascii="Times New Roman" w:eastAsia="Times New Roman"/>
        </w:rPr>
        <w:t>55</w:t>
      </w:r>
      <w:r>
        <w:rPr/>
        <w:t>、不可抗力：指基金合同当事人不能预见、不能避免且不能克服的客观事件。</w:t>
      </w:r>
    </w:p>
    <w:p>
      <w:pPr>
        <w:pStyle w:val="BodyText"/>
        <w:spacing w:before="7"/>
        <w:rPr>
          <w:sz w:val="15"/>
        </w:rPr>
      </w:pPr>
    </w:p>
    <w:p>
      <w:pPr>
        <w:pStyle w:val="BodyText"/>
        <w:spacing w:line="417" w:lineRule="auto"/>
        <w:ind w:left="260" w:right="491" w:firstLine="419"/>
      </w:pPr>
      <w:r>
        <w:rPr>
          <w:rFonts w:ascii="Times New Roman" w:eastAsia="Times New Roman"/>
        </w:rPr>
        <w:t>56</w:t>
      </w:r>
      <w:r>
        <w:rPr>
          <w:spacing w:val="-12"/>
        </w:rPr>
        <w:t>、基金产品资料概要：指《华夏优势精选股票型证券投资基金基金产品资料概要》及</w:t>
      </w:r>
      <w:r>
        <w:rPr>
          <w:spacing w:val="-7"/>
        </w:rPr>
        <w:t>其更新。</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pPr>
      <w:bookmarkStart w:name="_bookmark2" w:id="3"/>
      <w:bookmarkEnd w:id="3"/>
      <w:r>
        <w:rPr>
          <w:b w:val="0"/>
        </w:rPr>
      </w:r>
      <w:r>
        <w:rPr/>
        <w:t>三、基金管理人</w:t>
      </w:r>
    </w:p>
    <w:p>
      <w:pPr>
        <w:pStyle w:val="BodyText"/>
        <w:rPr>
          <w:b/>
          <w:sz w:val="20"/>
        </w:rPr>
      </w:pPr>
    </w:p>
    <w:p>
      <w:pPr>
        <w:pStyle w:val="BodyText"/>
        <w:spacing w:before="8"/>
        <w:rPr>
          <w:b/>
          <w:sz w:val="15"/>
        </w:rPr>
      </w:pPr>
    </w:p>
    <w:p>
      <w:pPr>
        <w:pStyle w:val="BodyText"/>
        <w:spacing w:before="71"/>
        <w:ind w:left="680"/>
      </w:pPr>
      <w:r>
        <w:rPr/>
        <w:t>（一）基金管理人概况</w:t>
      </w:r>
    </w:p>
    <w:p>
      <w:pPr>
        <w:pStyle w:val="BodyText"/>
        <w:spacing w:before="7"/>
        <w:rPr>
          <w:sz w:val="15"/>
        </w:rPr>
      </w:pPr>
    </w:p>
    <w:p>
      <w:pPr>
        <w:pStyle w:val="BodyText"/>
        <w:ind w:left="680"/>
      </w:pPr>
      <w:r>
        <w:rPr/>
        <w:t>名称：华夏基金管理有限公司</w:t>
      </w:r>
    </w:p>
    <w:p>
      <w:pPr>
        <w:pStyle w:val="BodyText"/>
        <w:spacing w:before="7"/>
        <w:rPr>
          <w:sz w:val="15"/>
        </w:rPr>
      </w:pPr>
    </w:p>
    <w:p>
      <w:pPr>
        <w:pStyle w:val="BodyText"/>
        <w:ind w:left="680"/>
      </w:pPr>
      <w:r>
        <w:rPr/>
        <w:t>住所：北京市顺义区安庆大街甲 </w:t>
      </w:r>
      <w:r>
        <w:rPr>
          <w:rFonts w:ascii="Times New Roman" w:eastAsia="Times New Roman"/>
        </w:rPr>
        <w:t>3 </w:t>
      </w:r>
      <w:r>
        <w:rPr/>
        <w:t>号院</w:t>
      </w:r>
    </w:p>
    <w:p>
      <w:pPr>
        <w:pStyle w:val="BodyText"/>
        <w:spacing w:before="6"/>
        <w:rPr>
          <w:sz w:val="15"/>
        </w:rPr>
      </w:pPr>
    </w:p>
    <w:p>
      <w:pPr>
        <w:pStyle w:val="BodyText"/>
        <w:spacing w:line="417" w:lineRule="auto"/>
        <w:ind w:left="680" w:right="292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before="1"/>
        <w:ind w:left="680" w:right="6490"/>
      </w:pPr>
      <w:r>
        <w:rPr/>
        <w:t>法定代表人：杨明辉联系人：邱曦</w:t>
      </w:r>
    </w:p>
    <w:p>
      <w:pPr>
        <w:pStyle w:val="BodyText"/>
        <w:spacing w:line="417" w:lineRule="auto"/>
        <w:ind w:left="680" w:right="572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680"/>
      </w:pPr>
      <w:r>
        <w:rPr/>
        <w:pict>
          <v:group style="position:absolute;margin-left:137.899994pt;margin-top:18.403147pt;width:319.55pt;height:26.55pt;mso-position-horizontal-relative:page;mso-position-vertical-relative:paragraph;z-index:251660288" coordorigin="2758,368" coordsize="6391,531">
            <v:line style="position:absolute" from="2758,382" to="6537,382" stroked="true" strokeweight="1.44pt" strokecolor="#000000">
              <v:stroke dashstyle="solid"/>
            </v:line>
            <v:shape style="position:absolute;left:6536;top:396;width:10;height:3" type="#_x0000_t75" stroked="false">
              <v:imagedata r:id="rId7" o:title=""/>
            </v:shape>
            <v:rect style="position:absolute;left:6536;top:368;width:29;height:29" filled="true" fillcolor="#000000" stroked="false">
              <v:fill type="solid"/>
            </v:rect>
            <v:line style="position:absolute" from="6565,382" to="9148,382" stroked="true" strokeweight="1.44pt" strokecolor="#000000">
              <v:stroke dashstyle="solid"/>
            </v:line>
            <v:shape style="position:absolute;left:2758;top:399;width:3789;height:478" type="#_x0000_t75" stroked="false">
              <v:imagedata r:id="rId8" o:title=""/>
            </v:shape>
            <v:shape style="position:absolute;left:6536;top:867;width:2612;height:32" type="#_x0000_t75" stroked="false">
              <v:imagedata r:id="rId9" o:title=""/>
            </v:shape>
            <v:shape style="position:absolute;left:4227;top:527;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527;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pict>
          <v:group style="position:absolute;margin-left:137.899994pt;margin-top:60.403168pt;width:319.55pt;height:.5pt;mso-position-horizontal-relative:page;mso-position-vertical-relative:paragraph;z-index:-259907584" coordorigin="2758,1208" coordsize="6391,10">
            <v:shape style="position:absolute;left:2758;top:1208;width:3779;height:10" type="#_x0000_t75" stroked="false">
              <v:imagedata r:id="rId10" o:title=""/>
            </v:shape>
            <v:shape style="position:absolute;left:6536;top:1208;width:2612;height:10" type="#_x0000_t75" stroked="false">
              <v:imagedata r:id="rId11" o:titl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spacing w:before="1"/>
        <w:rPr>
          <w:sz w:val="29"/>
        </w:rPr>
      </w:pPr>
    </w:p>
    <w:tbl>
      <w:tblPr>
        <w:tblW w:w="0" w:type="auto"/>
        <w:jc w:val="left"/>
        <w:tblInd w:w="1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5"/>
        <w:gridCol w:w="1627"/>
      </w:tblGrid>
      <w:tr>
        <w:trPr>
          <w:trHeight w:val="317" w:hRule="atLeast"/>
        </w:trPr>
        <w:tc>
          <w:tcPr>
            <w:tcW w:w="3725" w:type="dxa"/>
            <w:tcBorders>
              <w:right w:val="single" w:sz="4" w:space="0" w:color="000000"/>
            </w:tcBorders>
          </w:tcPr>
          <w:p>
            <w:pPr>
              <w:pStyle w:val="TableParagraph"/>
              <w:spacing w:before="20"/>
              <w:ind w:left="50"/>
              <w:jc w:val="left"/>
              <w:rPr>
                <w:rFonts w:ascii="宋体" w:eastAsia="宋体" w:hint="eastAsia"/>
                <w:sz w:val="21"/>
              </w:rPr>
            </w:pPr>
            <w:r>
              <w:rPr>
                <w:rFonts w:ascii="宋体" w:eastAsia="宋体" w:hint="eastAsia"/>
                <w:sz w:val="21"/>
              </w:rPr>
              <w:t>中信证券股份有限公司</w:t>
            </w:r>
          </w:p>
        </w:tc>
        <w:tc>
          <w:tcPr>
            <w:tcW w:w="1627" w:type="dxa"/>
            <w:tcBorders>
              <w:left w:val="single" w:sz="4" w:space="0" w:color="000000"/>
            </w:tcBorders>
          </w:tcPr>
          <w:p>
            <w:pPr>
              <w:pStyle w:val="TableParagraph"/>
              <w:spacing w:before="32"/>
              <w:ind w:right="47"/>
              <w:rPr>
                <w:sz w:val="21"/>
              </w:rPr>
            </w:pPr>
            <w:r>
              <w:rPr>
                <w:sz w:val="21"/>
              </w:rPr>
              <w:t>62.2%</w:t>
            </w:r>
          </w:p>
        </w:tc>
      </w:tr>
      <w:tr>
        <w:trPr>
          <w:trHeight w:val="321" w:hRule="atLeast"/>
        </w:trPr>
        <w:tc>
          <w:tcPr>
            <w:tcW w:w="3725" w:type="dxa"/>
            <w:tcBorders>
              <w:right w:val="single" w:sz="4" w:space="0" w:color="000000"/>
            </w:tcBorders>
          </w:tcPr>
          <w:p>
            <w:pPr>
              <w:pStyle w:val="TableParagraph"/>
              <w:spacing w:before="36"/>
              <w:ind w:left="50"/>
              <w:jc w:val="left"/>
              <w:rPr>
                <w:sz w:val="21"/>
              </w:rPr>
            </w:pPr>
            <w:r>
              <w:rPr>
                <w:sz w:val="21"/>
              </w:rPr>
              <w:t>POWER CORPORATION OF CANADA</w:t>
            </w:r>
          </w:p>
        </w:tc>
        <w:tc>
          <w:tcPr>
            <w:tcW w:w="1627" w:type="dxa"/>
            <w:tcBorders>
              <w:left w:val="single" w:sz="4" w:space="0" w:color="000000"/>
            </w:tcBorders>
          </w:tcPr>
          <w:p>
            <w:pPr>
              <w:pStyle w:val="TableParagraph"/>
              <w:spacing w:before="36"/>
              <w:ind w:right="47"/>
              <w:rPr>
                <w:sz w:val="21"/>
              </w:rPr>
            </w:pPr>
            <w:r>
              <w:rPr>
                <w:sz w:val="21"/>
              </w:rPr>
              <w:t>13.9%</w:t>
            </w:r>
          </w:p>
        </w:tc>
      </w:tr>
      <w:tr>
        <w:trPr>
          <w:trHeight w:val="322" w:hRule="atLeast"/>
        </w:trPr>
        <w:tc>
          <w:tcPr>
            <w:tcW w:w="3725" w:type="dxa"/>
            <w:tcBorders>
              <w:right w:val="single" w:sz="4" w:space="0" w:color="000000"/>
            </w:tcBorders>
          </w:tcPr>
          <w:p>
            <w:pPr>
              <w:pStyle w:val="TableParagraph"/>
              <w:spacing w:before="52"/>
              <w:ind w:left="50"/>
              <w:jc w:val="left"/>
              <w:rPr>
                <w:sz w:val="18"/>
              </w:rPr>
            </w:pPr>
            <w:r>
              <w:rPr>
                <w:sz w:val="18"/>
              </w:rPr>
              <w:t>MACKENZIE FINANCIAL CORPORATION</w:t>
            </w:r>
          </w:p>
        </w:tc>
        <w:tc>
          <w:tcPr>
            <w:tcW w:w="1627" w:type="dxa"/>
            <w:tcBorders>
              <w:left w:val="single" w:sz="4" w:space="0" w:color="000000"/>
            </w:tcBorders>
          </w:tcPr>
          <w:p>
            <w:pPr>
              <w:pStyle w:val="TableParagraph"/>
              <w:spacing w:before="36"/>
              <w:ind w:right="47"/>
              <w:rPr>
                <w:sz w:val="21"/>
              </w:rPr>
            </w:pPr>
            <w:r>
              <w:rPr>
                <w:sz w:val="21"/>
              </w:rPr>
              <w:t>13.9%</w:t>
            </w:r>
          </w:p>
        </w:tc>
      </w:tr>
      <w:tr>
        <w:trPr>
          <w:trHeight w:val="288" w:hRule="atLeast"/>
        </w:trPr>
        <w:tc>
          <w:tcPr>
            <w:tcW w:w="3725" w:type="dxa"/>
            <w:tcBorders>
              <w:right w:val="single" w:sz="4" w:space="0" w:color="000000"/>
            </w:tcBorders>
          </w:tcPr>
          <w:p>
            <w:pPr>
              <w:pStyle w:val="TableParagraph"/>
              <w:spacing w:line="243" w:lineRule="exact" w:before="25"/>
              <w:ind w:left="50"/>
              <w:jc w:val="left"/>
              <w:rPr>
                <w:rFonts w:ascii="宋体" w:eastAsia="宋体" w:hint="eastAsia"/>
                <w:sz w:val="21"/>
              </w:rPr>
            </w:pPr>
            <w:r>
              <w:rPr>
                <w:rFonts w:ascii="宋体" w:eastAsia="宋体" w:hint="eastAsia"/>
                <w:sz w:val="21"/>
              </w:rPr>
              <w:t>天津海鹏科技咨询有限公司</w:t>
            </w:r>
          </w:p>
        </w:tc>
        <w:tc>
          <w:tcPr>
            <w:tcW w:w="1627" w:type="dxa"/>
            <w:tcBorders>
              <w:left w:val="single" w:sz="4" w:space="0" w:color="000000"/>
            </w:tcBorders>
          </w:tcPr>
          <w:p>
            <w:pPr>
              <w:pStyle w:val="TableParagraph"/>
              <w:spacing w:line="231" w:lineRule="exact" w:before="37"/>
              <w:ind w:right="126"/>
              <w:rPr>
                <w:sz w:val="21"/>
              </w:rPr>
            </w:pPr>
            <w:r>
              <w:rPr>
                <w:sz w:val="21"/>
              </w:rPr>
              <w:t>10%</w:t>
            </w:r>
          </w:p>
        </w:tc>
      </w:tr>
    </w:tbl>
    <w:p>
      <w:pPr>
        <w:pStyle w:val="BodyText"/>
        <w:rPr>
          <w:sz w:val="20"/>
        </w:rPr>
      </w:pPr>
    </w:p>
    <w:p>
      <w:pPr>
        <w:pStyle w:val="BodyText"/>
        <w:spacing w:before="9"/>
        <w:rPr>
          <w:sz w:val="23"/>
        </w:rPr>
      </w:pPr>
    </w:p>
    <w:p>
      <w:pPr>
        <w:pStyle w:val="BodyText"/>
        <w:spacing w:before="72"/>
        <w:ind w:left="680"/>
      </w:pPr>
      <w:r>
        <w:rPr/>
        <w:pict>
          <v:group style="position:absolute;margin-left:137.899994pt;margin-top:-58.979984pt;width:319.55pt;height:.5pt;mso-position-horizontal-relative:page;mso-position-vertical-relative:paragraph;z-index:-259906560" coordorigin="2758,-1180" coordsize="6391,10">
            <v:shape style="position:absolute;left:2758;top:-1180;width:3779;height:10" type="#_x0000_t75" stroked="false">
              <v:imagedata r:id="rId10" o:title=""/>
            </v:shape>
            <v:shape style="position:absolute;left:6536;top:-1180;width:2612;height:10" type="#_x0000_t75" stroked="false">
              <v:imagedata r:id="rId11" o:title=""/>
            </v:shape>
            <w10:wrap type="none"/>
          </v:group>
        </w:pict>
      </w:r>
      <w:r>
        <w:rPr/>
        <w:pict>
          <v:group style="position:absolute;margin-left:137.899994pt;margin-top:-42.900013pt;width:319.55pt;height:.5pt;mso-position-horizontal-relative:page;mso-position-vertical-relative:paragraph;z-index:-259905536" coordorigin="2758,-858" coordsize="6391,10">
            <v:shape style="position:absolute;left:2758;top:-858;width:3779;height:10" type="#_x0000_t75" stroked="false">
              <v:imagedata r:id="rId10" o:title=""/>
            </v:shape>
            <v:shape style="position:absolute;left:6536;top:-858;width:2612;height:10" type="#_x0000_t75" stroked="false">
              <v:imagedata r:id="rId11" o:title=""/>
            </v:shape>
            <w10:wrap type="none"/>
          </v:group>
        </w:pict>
      </w:r>
      <w:r>
        <w:rPr/>
        <w:pict>
          <v:group style="position:absolute;margin-left:137.179993pt;margin-top:-28.020002pt;width:320.25pt;height:26.65pt;mso-position-horizontal-relative:page;mso-position-vertical-relative:paragraph;z-index:251666432" coordorigin="2744,-560" coordsize="6405,533">
            <v:rect style="position:absolute;left:6536;top:-561;width:10;height:27" filled="true" fillcolor="#000000" stroked="false">
              <v:fill type="solid"/>
            </v:rect>
            <v:shape style="position:absolute;left:2758;top:-534;width:3779;height:10" type="#_x0000_t75" stroked="false">
              <v:imagedata r:id="rId10" o:title=""/>
            </v:shape>
            <v:rect style="position:absolute;left:6536;top:-534;width:10;height:10" filled="true" fillcolor="#000000" stroked="false">
              <v:fill type="solid"/>
            </v:rect>
            <v:shape style="position:absolute;left:6536;top:-534;width:2612;height:478" type="#_x0000_t75" stroked="false">
              <v:imagedata r:id="rId12" o:title=""/>
            </v:shape>
            <v:line style="position:absolute" from="2744,-42" to="6537,-42" stroked="true" strokeweight="1.44pt" strokecolor="#000000">
              <v:stroke dashstyle="solid"/>
            </v:line>
            <v:rect style="position:absolute;left:6536;top:-57;width:29;height:29" filled="true" fillcolor="#000000" stroked="false">
              <v:fill type="solid"/>
            </v:rect>
            <v:line style="position:absolute" from="6565,-42" to="9148,-42" stroked="true" strokeweight="1.44pt" strokecolor="#000000">
              <v:stroke dashstyle="solid"/>
            </v:line>
            <v:shape style="position:absolute;left:4438;top:-397;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7580;top:-401;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（二）主要人员情况</w:t>
      </w:r>
    </w:p>
    <w:p>
      <w:pPr>
        <w:pStyle w:val="BodyText"/>
        <w:spacing w:before="7"/>
        <w:rPr>
          <w:sz w:val="15"/>
        </w:rPr>
      </w:pPr>
    </w:p>
    <w:p>
      <w:pPr>
        <w:pStyle w:val="BodyText"/>
        <w:ind w:left="680"/>
      </w:pPr>
      <w:r>
        <w:rPr>
          <w:rFonts w:ascii="Times New Roman" w:eastAsia="Times New Roman"/>
        </w:rPr>
        <w:t>1</w:t>
      </w:r>
      <w:r>
        <w:rPr/>
        <w:t>、基金管理人董事、监事、经理及其他高级管理人员基本情况</w:t>
      </w:r>
    </w:p>
    <w:p>
      <w:pPr>
        <w:pStyle w:val="BodyText"/>
        <w:spacing w:before="6"/>
        <w:rPr>
          <w:sz w:val="15"/>
        </w:rPr>
      </w:pPr>
    </w:p>
    <w:p>
      <w:pPr>
        <w:pStyle w:val="BodyText"/>
        <w:spacing w:line="417" w:lineRule="auto" w:before="1"/>
        <w:ind w:left="260" w:right="49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260" w:right="494"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260" w:right="49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spacing w:after="0" w:line="417" w:lineRule="auto"/>
        <w:jc w:val="both"/>
        <w:sectPr>
          <w:pgSz w:w="11910" w:h="16840"/>
          <w:pgMar w:header="877" w:footer="995" w:top="1420" w:bottom="1180" w:left="1540" w:right="1300"/>
        </w:sectPr>
      </w:pPr>
    </w:p>
    <w:p>
      <w:pPr>
        <w:pStyle w:val="BodyText"/>
        <w:spacing w:line="417" w:lineRule="auto" w:before="110"/>
        <w:ind w:left="260" w:right="49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260" w:right="38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260" w:right="49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260" w:right="49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260" w:right="49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260" w:right="38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ind w:left="680"/>
      </w:pPr>
      <w:r>
        <w:rPr/>
        <w:t>杨一夫先生：监事长，硕士。现任鲍尔太平有限公司总裁，负责总部加拿大鲍尔公司</w:t>
      </w:r>
    </w:p>
    <w:p>
      <w:pPr>
        <w:pStyle w:val="BodyText"/>
        <w:spacing w:before="4"/>
        <w:rPr>
          <w:sz w:val="15"/>
        </w:rPr>
      </w:pPr>
    </w:p>
    <w:p>
      <w:pPr>
        <w:pStyle w:val="BodyText"/>
        <w:spacing w:line="417" w:lineRule="auto" w:before="1"/>
        <w:ind w:left="260" w:right="49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ind w:left="680"/>
      </w:pPr>
      <w:r>
        <w:rPr/>
        <w:t>杨维华先生：监事，硕士。现任中信证券股份有限公司风险管理部行政负责人、公司副</w:t>
      </w:r>
    </w:p>
    <w:p>
      <w:pPr>
        <w:spacing w:after="0"/>
        <w:sectPr>
          <w:pgSz w:w="11910" w:h="16840"/>
          <w:pgMar w:header="877" w:footer="995" w:top="1420" w:bottom="1180" w:left="1540" w:right="1300"/>
        </w:sectPr>
      </w:pPr>
    </w:p>
    <w:p>
      <w:pPr>
        <w:pStyle w:val="BodyText"/>
        <w:spacing w:before="110"/>
        <w:ind w:left="260"/>
      </w:pPr>
      <w:r>
        <w:rPr>
          <w:spacing w:val="-3"/>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before="6"/>
        <w:rPr>
          <w:sz w:val="15"/>
        </w:rPr>
      </w:pPr>
    </w:p>
    <w:p>
      <w:pPr>
        <w:pStyle w:val="BodyText"/>
        <w:spacing w:line="417" w:lineRule="auto"/>
        <w:ind w:left="260" w:right="49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ind w:left="260" w:right="49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260" w:right="38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260" w:right="49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ind w:left="260" w:right="49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260" w:right="38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260" w:right="38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260" w:right="38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680"/>
      </w:pPr>
      <w:r>
        <w:rPr>
          <w:rFonts w:ascii="Times New Roman" w:eastAsia="Times New Roman"/>
        </w:rPr>
        <w:t>2</w:t>
      </w:r>
      <w:r>
        <w:rPr/>
        <w:t>、本基金基金经理</w:t>
      </w:r>
    </w:p>
    <w:p>
      <w:pPr>
        <w:pStyle w:val="BodyText"/>
        <w:spacing w:line="417" w:lineRule="auto" w:before="198"/>
        <w:ind w:left="260" w:right="491" w:firstLine="419"/>
        <w:jc w:val="both"/>
      </w:pPr>
      <w:r>
        <w:rPr>
          <w:spacing w:val="-6"/>
        </w:rPr>
        <w:t>李湘杰先生，国立台湾大学商学硕士。曾任台湾</w:t>
      </w:r>
      <w:r>
        <w:rPr>
          <w:rFonts w:ascii="Times New Roman" w:eastAsia="Times New Roman"/>
        </w:rPr>
        <w:t>ING</w:t>
      </w:r>
      <w:r>
        <w:rPr>
          <w:spacing w:val="-5"/>
        </w:rPr>
        <w:t>投信基金经理、台湾元大投信基金</w:t>
      </w:r>
      <w:r>
        <w:rPr>
          <w:spacing w:val="-12"/>
        </w:rPr>
        <w:t>经理、华润元大基金投资管理部总经理、华润元大安鑫灵活配置混合型证券投资基金基金经理（</w:t>
      </w:r>
      <w:r>
        <w:rPr>
          <w:rFonts w:ascii="Times New Roman" w:eastAsia="Times New Roman"/>
          <w:spacing w:val="-12"/>
        </w:rPr>
        <w:t>2013</w:t>
      </w:r>
      <w:r>
        <w:rPr>
          <w:spacing w:val="-12"/>
        </w:rPr>
        <w:t>年</w:t>
      </w:r>
      <w:r>
        <w:rPr>
          <w:rFonts w:ascii="Times New Roman" w:eastAsia="Times New Roman"/>
          <w:spacing w:val="-12"/>
        </w:rPr>
        <w:t>9</w:t>
      </w:r>
      <w:r>
        <w:rPr>
          <w:spacing w:val="-12"/>
        </w:rPr>
        <w:t>月</w:t>
      </w:r>
      <w:r>
        <w:rPr>
          <w:rFonts w:ascii="Times New Roman" w:eastAsia="Times New Roman"/>
          <w:spacing w:val="-6"/>
        </w:rPr>
        <w:t>11</w:t>
      </w:r>
      <w:r>
        <w:rPr/>
        <w:t>日至</w:t>
      </w:r>
      <w:r>
        <w:rPr>
          <w:rFonts w:ascii="Times New Roman" w:eastAsia="Times New Roman"/>
        </w:rPr>
        <w:t>2014</w:t>
      </w:r>
      <w:r>
        <w:rPr/>
        <w:t>年</w:t>
      </w:r>
      <w:r>
        <w:rPr>
          <w:rFonts w:ascii="Times New Roman" w:eastAsia="Times New Roman"/>
        </w:rPr>
        <w:t>9</w:t>
      </w:r>
      <w:r>
        <w:rPr/>
        <w:t>月</w:t>
      </w:r>
      <w:r>
        <w:rPr>
          <w:rFonts w:ascii="Times New Roman" w:eastAsia="Times New Roman"/>
        </w:rPr>
        <w:t>18</w:t>
      </w:r>
      <w:r>
        <w:rPr>
          <w:spacing w:val="-2"/>
        </w:rPr>
        <w:t>日期间</w:t>
      </w:r>
      <w:r>
        <w:rPr>
          <w:spacing w:val="-106"/>
        </w:rPr>
        <w:t>）</w:t>
      </w:r>
      <w:r>
        <w:rPr>
          <w:spacing w:val="-3"/>
        </w:rPr>
        <w:t>、华润元大医疗保健量化混合型证券投资基金基</w:t>
      </w:r>
      <w:r>
        <w:rPr>
          <w:spacing w:val="-25"/>
        </w:rPr>
        <w:t>金经理</w:t>
      </w:r>
      <w:r>
        <w:rPr>
          <w:spacing w:val="-1"/>
        </w:rPr>
        <w:t>（</w:t>
      </w:r>
      <w:r>
        <w:rPr>
          <w:rFonts w:ascii="Times New Roman" w:eastAsia="Times New Roman"/>
          <w:spacing w:val="-1"/>
        </w:rPr>
        <w:t>2014</w:t>
      </w:r>
      <w:r>
        <w:rPr/>
        <w:t>年</w:t>
      </w:r>
      <w:r>
        <w:rPr>
          <w:rFonts w:ascii="Times New Roman" w:eastAsia="Times New Roman"/>
          <w:spacing w:val="-3"/>
        </w:rPr>
        <w:t>8</w:t>
      </w:r>
      <w:r>
        <w:rPr/>
        <w:t>月</w:t>
      </w:r>
      <w:r>
        <w:rPr>
          <w:rFonts w:ascii="Times New Roman" w:eastAsia="Times New Roman"/>
        </w:rPr>
        <w:t>18</w:t>
      </w:r>
      <w:r>
        <w:rPr/>
        <w:t>日至</w:t>
      </w:r>
      <w:r>
        <w:rPr>
          <w:rFonts w:ascii="Times New Roman" w:eastAsia="Times New Roman"/>
        </w:rPr>
        <w:t>2015</w:t>
      </w:r>
      <w:r>
        <w:rPr/>
        <w:t>年</w:t>
      </w:r>
      <w:r>
        <w:rPr>
          <w:rFonts w:ascii="Times New Roman" w:eastAsia="Times New Roman"/>
          <w:spacing w:val="-3"/>
        </w:rPr>
        <w:t>9</w:t>
      </w:r>
      <w:r>
        <w:rPr/>
        <w:t>月</w:t>
      </w:r>
      <w:r>
        <w:rPr>
          <w:rFonts w:ascii="Times New Roman" w:eastAsia="Times New Roman"/>
        </w:rPr>
        <w:t>23</w:t>
      </w:r>
      <w:r>
        <w:rPr>
          <w:spacing w:val="-2"/>
        </w:rPr>
        <w:t>日期间</w:t>
      </w:r>
      <w:r>
        <w:rPr>
          <w:spacing w:val="-70"/>
        </w:rPr>
        <w:t>）</w:t>
      </w:r>
      <w:r>
        <w:rPr>
          <w:spacing w:val="-34"/>
        </w:rPr>
        <w:t>等。</w:t>
      </w:r>
      <w:r>
        <w:rPr>
          <w:rFonts w:ascii="Times New Roman" w:eastAsia="Times New Roman"/>
        </w:rPr>
        <w:t>2015</w:t>
      </w:r>
      <w:r>
        <w:rPr/>
        <w:t>年</w:t>
      </w:r>
      <w:r>
        <w:rPr>
          <w:rFonts w:ascii="Times New Roman" w:eastAsia="Times New Roman"/>
          <w:spacing w:val="-3"/>
        </w:rPr>
        <w:t>9</w:t>
      </w:r>
      <w:r>
        <w:rPr>
          <w:spacing w:val="-3"/>
        </w:rPr>
        <w:t>月加入华夏基金管理有限公司， 现任国际投资部董事总经理，华夏全球精选股票型证券投资基金基金经理</w:t>
      </w:r>
      <w:r>
        <w:rPr/>
        <w:t>（</w:t>
      </w:r>
      <w:r>
        <w:rPr>
          <w:rFonts w:ascii="Times New Roman" w:eastAsia="Times New Roman"/>
        </w:rPr>
        <w:t>2016</w:t>
      </w:r>
      <w:r>
        <w:rPr/>
        <w:t>年</w:t>
      </w:r>
      <w:r>
        <w:rPr>
          <w:rFonts w:ascii="Times New Roman" w:eastAsia="Times New Roman"/>
        </w:rPr>
        <w:t>5</w:t>
      </w:r>
      <w:r>
        <w:rPr>
          <w:spacing w:val="-3"/>
        </w:rPr>
        <w:t>月</w:t>
      </w:r>
      <w:r>
        <w:rPr>
          <w:rFonts w:ascii="Times New Roman" w:eastAsia="Times New Roman"/>
        </w:rPr>
        <w:t>25</w:t>
      </w:r>
      <w:r>
        <w:rPr/>
        <w:t>日</w:t>
      </w:r>
    </w:p>
    <w:p>
      <w:pPr>
        <w:spacing w:after="0" w:line="417" w:lineRule="auto"/>
        <w:jc w:val="both"/>
        <w:sectPr>
          <w:pgSz w:w="11910" w:h="16840"/>
          <w:pgMar w:header="877" w:footer="995" w:top="1420" w:bottom="1180" w:left="1540" w:right="1300"/>
        </w:sectPr>
      </w:pPr>
    </w:p>
    <w:p>
      <w:pPr>
        <w:pStyle w:val="BodyText"/>
        <w:spacing w:line="417" w:lineRule="auto" w:before="110"/>
        <w:ind w:left="260" w:right="488"/>
        <w:jc w:val="both"/>
      </w:pPr>
      <w:r>
        <w:rPr/>
        <w:t>起任职</w:t>
      </w:r>
      <w:r>
        <w:rPr>
          <w:spacing w:val="-106"/>
        </w:rPr>
        <w:t>）</w:t>
      </w:r>
      <w:r>
        <w:rPr/>
        <w:t>、华夏港股通精选股票型发起式证券投资基金（</w:t>
      </w:r>
      <w:r>
        <w:rPr>
          <w:rFonts w:ascii="Times New Roman" w:eastAsia="Times New Roman"/>
        </w:rPr>
        <w:t>LOF</w:t>
      </w:r>
      <w:r>
        <w:rPr/>
        <w:t>）基金经理（</w:t>
      </w:r>
      <w:r>
        <w:rPr>
          <w:rFonts w:ascii="Times New Roman" w:eastAsia="Times New Roman"/>
        </w:rPr>
        <w:t>2016</w:t>
      </w:r>
      <w:r>
        <w:rPr/>
        <w:t>年</w:t>
      </w:r>
      <w:r>
        <w:rPr>
          <w:rFonts w:ascii="Times New Roman" w:eastAsia="Times New Roman"/>
          <w:spacing w:val="-5"/>
        </w:rPr>
        <w:t>11</w:t>
      </w:r>
      <w:r>
        <w:rPr/>
        <w:t>月</w:t>
      </w:r>
      <w:r>
        <w:rPr>
          <w:rFonts w:ascii="Times New Roman" w:eastAsia="Times New Roman"/>
          <w:spacing w:val="-4"/>
        </w:rPr>
        <w:t>11</w:t>
      </w:r>
      <w:r>
        <w:rPr/>
        <w:t>日起任职</w:t>
      </w:r>
      <w:r>
        <w:rPr>
          <w:spacing w:val="-104"/>
        </w:rPr>
        <w:t>）</w:t>
      </w:r>
      <w:r>
        <w:rPr/>
        <w:t>、华夏全球科技先锋混合型证券投资基金（</w:t>
      </w:r>
      <w:r>
        <w:rPr>
          <w:rFonts w:ascii="Times New Roman" w:eastAsia="Times New Roman"/>
        </w:rPr>
        <w:t>QDII</w:t>
      </w:r>
      <w:r>
        <w:rPr/>
        <w:t>）基金经理（</w:t>
      </w:r>
      <w:r>
        <w:rPr>
          <w:rFonts w:ascii="Times New Roman" w:eastAsia="Times New Roman"/>
        </w:rPr>
        <w:t>2018</w:t>
      </w:r>
      <w:r>
        <w:rPr/>
        <w:t>年</w:t>
      </w:r>
      <w:r>
        <w:rPr>
          <w:rFonts w:ascii="Times New Roman" w:eastAsia="Times New Roman"/>
        </w:rPr>
        <w:t>4</w:t>
      </w:r>
      <w:r>
        <w:rPr/>
        <w:t>月</w:t>
      </w:r>
      <w:r>
        <w:rPr>
          <w:rFonts w:ascii="Times New Roman" w:eastAsia="Times New Roman"/>
        </w:rPr>
        <w:t>17</w:t>
      </w:r>
      <w:r>
        <w:rPr/>
        <w:t>日起任职</w:t>
      </w:r>
      <w:r>
        <w:rPr>
          <w:spacing w:val="-106"/>
        </w:rPr>
        <w:t>）</w:t>
      </w:r>
      <w:r>
        <w:rPr>
          <w:spacing w:val="-3"/>
        </w:rPr>
        <w:t>、华夏优势精选股票型证券投资基金基金经理</w:t>
      </w:r>
      <w:r>
        <w:rPr/>
        <w:t>（</w:t>
      </w:r>
      <w:r>
        <w:rPr>
          <w:rFonts w:ascii="Times New Roman" w:eastAsia="Times New Roman"/>
        </w:rPr>
        <w:t>2018</w:t>
      </w:r>
      <w:r>
        <w:rPr/>
        <w:t>年</w:t>
      </w:r>
      <w:r>
        <w:rPr>
          <w:rFonts w:ascii="Times New Roman" w:eastAsia="Times New Roman"/>
          <w:spacing w:val="-3"/>
        </w:rPr>
        <w:t>8</w:t>
      </w:r>
      <w:r>
        <w:rPr/>
        <w:t>月</w:t>
      </w:r>
      <w:r>
        <w:rPr>
          <w:rFonts w:ascii="Times New Roman" w:eastAsia="Times New Roman"/>
          <w:spacing w:val="-3"/>
        </w:rPr>
        <w:t>7</w:t>
      </w:r>
      <w:r>
        <w:rPr>
          <w:spacing w:val="-2"/>
        </w:rPr>
        <w:t>日起任职</w:t>
      </w:r>
      <w:r>
        <w:rPr>
          <w:spacing w:val="-108"/>
        </w:rPr>
        <w:t>）</w:t>
      </w:r>
      <w:r>
        <w:rPr/>
        <w:t>。</w:t>
      </w:r>
    </w:p>
    <w:p>
      <w:pPr>
        <w:pStyle w:val="BodyText"/>
        <w:spacing w:line="269" w:lineRule="exact"/>
        <w:ind w:left="680"/>
      </w:pPr>
      <w:r>
        <w:rPr>
          <w:rFonts w:ascii="Times New Roman" w:eastAsia="Times New Roman"/>
        </w:rPr>
        <w:t>3</w:t>
      </w:r>
      <w:r>
        <w:rPr/>
        <w:t>、本公司国际投资决策委员会</w:t>
      </w:r>
    </w:p>
    <w:p>
      <w:pPr>
        <w:pStyle w:val="BodyText"/>
        <w:spacing w:before="6"/>
        <w:rPr>
          <w:sz w:val="15"/>
        </w:rPr>
      </w:pPr>
    </w:p>
    <w:p>
      <w:pPr>
        <w:pStyle w:val="BodyText"/>
        <w:ind w:left="680"/>
      </w:pPr>
      <w:r>
        <w:rPr/>
        <w:t>主任：潘中宁先生，华夏基金管理有限公司董事总经理，基金经理。</w:t>
      </w:r>
    </w:p>
    <w:p>
      <w:pPr>
        <w:pStyle w:val="BodyText"/>
        <w:spacing w:before="7"/>
        <w:rPr>
          <w:sz w:val="15"/>
        </w:rPr>
      </w:pPr>
    </w:p>
    <w:p>
      <w:pPr>
        <w:pStyle w:val="BodyText"/>
        <w:spacing w:line="417" w:lineRule="auto"/>
        <w:ind w:left="680" w:right="1446"/>
      </w:pPr>
      <w:r>
        <w:rPr>
          <w:spacing w:val="-3"/>
        </w:rPr>
        <w:t>成员：阳琨先生，华夏基金管理有限公司副总经理、投资总监，基金经理。孙彬先生，华夏基金管理有限公司总经理助理，董事总经理，投资经理。 李湘杰先生，华夏基金管理有限公司董事总经理，基金经理。</w:t>
      </w:r>
    </w:p>
    <w:p>
      <w:pPr>
        <w:pStyle w:val="BodyText"/>
        <w:ind w:left="680"/>
      </w:pPr>
      <w:r>
        <w:rPr/>
        <w:t>郑鹏先生，基金经理，执行总经理。</w:t>
      </w:r>
    </w:p>
    <w:p>
      <w:pPr>
        <w:pStyle w:val="BodyText"/>
        <w:spacing w:before="7"/>
        <w:rPr>
          <w:sz w:val="15"/>
        </w:rPr>
      </w:pPr>
    </w:p>
    <w:p>
      <w:pPr>
        <w:pStyle w:val="BodyText"/>
        <w:ind w:left="680"/>
      </w:pPr>
      <w:r>
        <w:rPr/>
        <w:t>魏晓鹏女士，华夏基金（香港）有限公司投资总监，董事总经理。</w:t>
      </w:r>
    </w:p>
    <w:p>
      <w:pPr>
        <w:pStyle w:val="BodyText"/>
        <w:spacing w:before="7"/>
        <w:rPr>
          <w:sz w:val="15"/>
        </w:rPr>
      </w:pPr>
    </w:p>
    <w:p>
      <w:pPr>
        <w:pStyle w:val="BodyText"/>
        <w:ind w:left="680"/>
      </w:pPr>
      <w:r>
        <w:rPr>
          <w:rFonts w:ascii="Times New Roman" w:eastAsia="Times New Roman"/>
        </w:rPr>
        <w:t>4</w:t>
      </w:r>
      <w:r>
        <w:rPr/>
        <w:t>、上述人员之间不存在近亲属关系。</w:t>
      </w:r>
    </w:p>
    <w:p>
      <w:pPr>
        <w:pStyle w:val="BodyText"/>
        <w:spacing w:before="6"/>
        <w:rPr>
          <w:sz w:val="15"/>
        </w:rPr>
      </w:pPr>
    </w:p>
    <w:p>
      <w:pPr>
        <w:pStyle w:val="BodyText"/>
        <w:spacing w:before="1"/>
        <w:ind w:left="680"/>
      </w:pPr>
      <w:r>
        <w:rPr/>
        <w:t>（三）基金管理人的职责</w:t>
      </w:r>
    </w:p>
    <w:p>
      <w:pPr>
        <w:pStyle w:val="BodyText"/>
        <w:spacing w:before="6"/>
        <w:rPr>
          <w:sz w:val="15"/>
        </w:rPr>
      </w:pPr>
    </w:p>
    <w:p>
      <w:pPr>
        <w:pStyle w:val="BodyText"/>
        <w:spacing w:line="417" w:lineRule="auto"/>
        <w:ind w:left="260" w:right="49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ind w:left="680"/>
      </w:pPr>
      <w:r>
        <w:rPr>
          <w:rFonts w:ascii="Times New Roman" w:eastAsia="Times New Roman"/>
        </w:rPr>
        <w:t>2</w:t>
      </w:r>
      <w:r>
        <w:rPr/>
        <w:t>、办理基金备案手续。</w:t>
      </w:r>
    </w:p>
    <w:p>
      <w:pPr>
        <w:pStyle w:val="BodyText"/>
        <w:spacing w:before="7"/>
        <w:rPr>
          <w:sz w:val="15"/>
        </w:rPr>
      </w:pPr>
    </w:p>
    <w:p>
      <w:pPr>
        <w:pStyle w:val="BodyText"/>
        <w:ind w:left="680"/>
      </w:pPr>
      <w:r>
        <w:rPr>
          <w:rFonts w:ascii="Times New Roman" w:eastAsia="Times New Roman"/>
        </w:rPr>
        <w:t>3</w:t>
      </w:r>
      <w:r>
        <w:rPr/>
        <w:t>、对所管理的不同基金财产分别管理、分别记账，进行证券投资。</w:t>
      </w:r>
    </w:p>
    <w:p>
      <w:pPr>
        <w:pStyle w:val="BodyText"/>
        <w:spacing w:before="7"/>
        <w:rPr>
          <w:sz w:val="15"/>
        </w:rPr>
      </w:pPr>
    </w:p>
    <w:p>
      <w:pPr>
        <w:pStyle w:val="BodyText"/>
        <w:ind w:left="680"/>
      </w:pPr>
      <w:r>
        <w:rPr>
          <w:rFonts w:ascii="Times New Roman" w:eastAsia="Times New Roman"/>
        </w:rPr>
        <w:t>4</w:t>
      </w:r>
      <w:r>
        <w:rPr/>
        <w:t>、按照基金合同的约定确定基金收益分配方案，及时向基金份额持有人分配收益。</w:t>
      </w:r>
    </w:p>
    <w:p>
      <w:pPr>
        <w:pStyle w:val="BodyText"/>
        <w:spacing w:before="6"/>
        <w:rPr>
          <w:sz w:val="15"/>
        </w:rPr>
      </w:pPr>
    </w:p>
    <w:p>
      <w:pPr>
        <w:pStyle w:val="BodyText"/>
        <w:spacing w:before="1"/>
        <w:ind w:left="680"/>
      </w:pPr>
      <w:r>
        <w:rPr>
          <w:rFonts w:ascii="Times New Roman" w:eastAsia="Times New Roman"/>
        </w:rPr>
        <w:t>5</w:t>
      </w:r>
      <w:r>
        <w:rPr/>
        <w:t>、进行基金会计核算并编制基金财务会计报告。</w:t>
      </w:r>
    </w:p>
    <w:p>
      <w:pPr>
        <w:pStyle w:val="BodyText"/>
        <w:spacing w:before="6"/>
        <w:rPr>
          <w:sz w:val="15"/>
        </w:rPr>
      </w:pPr>
    </w:p>
    <w:p>
      <w:pPr>
        <w:pStyle w:val="BodyText"/>
        <w:ind w:left="680"/>
      </w:pPr>
      <w:r>
        <w:rPr>
          <w:rFonts w:ascii="Times New Roman" w:eastAsia="Times New Roman"/>
        </w:rPr>
        <w:t>6</w:t>
      </w:r>
      <w:r>
        <w:rPr/>
        <w:t>、编制中期和年度基金报告。</w:t>
      </w:r>
    </w:p>
    <w:p>
      <w:pPr>
        <w:pStyle w:val="BodyText"/>
        <w:spacing w:before="7"/>
        <w:rPr>
          <w:sz w:val="15"/>
        </w:rPr>
      </w:pPr>
    </w:p>
    <w:p>
      <w:pPr>
        <w:pStyle w:val="BodyText"/>
        <w:ind w:left="680"/>
      </w:pPr>
      <w:r>
        <w:rPr>
          <w:rFonts w:ascii="Times New Roman" w:eastAsia="Times New Roman"/>
        </w:rPr>
        <w:t>7</w:t>
      </w:r>
      <w:r>
        <w:rPr/>
        <w:t>、计算并公告基金净值信息，确定基金份额申购、赎回价格。</w:t>
      </w:r>
    </w:p>
    <w:p>
      <w:pPr>
        <w:pStyle w:val="BodyText"/>
        <w:spacing w:before="7"/>
        <w:rPr>
          <w:sz w:val="15"/>
        </w:rPr>
      </w:pPr>
    </w:p>
    <w:p>
      <w:pPr>
        <w:pStyle w:val="BodyText"/>
        <w:ind w:left="68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680"/>
      </w:pPr>
      <w:r>
        <w:rPr>
          <w:rFonts w:ascii="Times New Roman" w:eastAsia="Times New Roman"/>
        </w:rPr>
        <w:t>9</w:t>
      </w:r>
      <w:r>
        <w:rPr/>
        <w:t>、召集基金份额持有人大会。</w:t>
      </w:r>
    </w:p>
    <w:p>
      <w:pPr>
        <w:pStyle w:val="BodyText"/>
        <w:spacing w:before="7"/>
        <w:rPr>
          <w:sz w:val="15"/>
        </w:rPr>
      </w:pPr>
    </w:p>
    <w:p>
      <w:pPr>
        <w:pStyle w:val="BodyText"/>
        <w:ind w:left="680"/>
      </w:pPr>
      <w:r>
        <w:rPr>
          <w:rFonts w:ascii="Times New Roman" w:eastAsia="Times New Roman"/>
        </w:rPr>
        <w:t>10</w:t>
      </w:r>
      <w:r>
        <w:rPr/>
        <w:t>、保存基金财产管理业务活动的记录、账册、报表和其他相关资料。</w:t>
      </w:r>
    </w:p>
    <w:p>
      <w:pPr>
        <w:pStyle w:val="BodyText"/>
        <w:spacing w:before="7"/>
        <w:rPr>
          <w:sz w:val="15"/>
        </w:rPr>
      </w:pPr>
    </w:p>
    <w:p>
      <w:pPr>
        <w:pStyle w:val="BodyText"/>
        <w:ind w:left="680"/>
      </w:pPr>
      <w:r>
        <w:rPr>
          <w:rFonts w:ascii="Times New Roman" w:eastAsia="Times New Roman"/>
        </w:rPr>
        <w:t>11</w:t>
      </w:r>
      <w:r>
        <w:rPr/>
        <w:t>、以基金管理人名义，代表基金份额持有人利益行使诉讼权利或者实施其他法律行为。</w:t>
      </w:r>
    </w:p>
    <w:p>
      <w:pPr>
        <w:pStyle w:val="BodyText"/>
        <w:spacing w:before="6"/>
        <w:rPr>
          <w:sz w:val="15"/>
        </w:rPr>
      </w:pPr>
    </w:p>
    <w:p>
      <w:pPr>
        <w:pStyle w:val="BodyText"/>
        <w:ind w:left="680"/>
      </w:pPr>
      <w:r>
        <w:rPr>
          <w:rFonts w:ascii="Times New Roman" w:eastAsia="Times New Roman"/>
        </w:rPr>
        <w:t>12</w:t>
      </w:r>
      <w:r>
        <w:rPr/>
        <w:t>、国务院证券监督管理机构规定的其他职责。</w:t>
      </w:r>
    </w:p>
    <w:p>
      <w:pPr>
        <w:pStyle w:val="BodyText"/>
        <w:spacing w:before="7"/>
        <w:rPr>
          <w:sz w:val="15"/>
        </w:rPr>
      </w:pPr>
    </w:p>
    <w:p>
      <w:pPr>
        <w:pStyle w:val="BodyText"/>
        <w:ind w:left="680"/>
      </w:pPr>
      <w:r>
        <w:rPr/>
        <w:t>（四）基金管理人承诺</w:t>
      </w:r>
    </w:p>
    <w:p>
      <w:pPr>
        <w:pStyle w:val="BodyText"/>
        <w:spacing w:before="7"/>
        <w:rPr>
          <w:sz w:val="15"/>
        </w:rPr>
      </w:pPr>
    </w:p>
    <w:p>
      <w:pPr>
        <w:pStyle w:val="BodyText"/>
        <w:spacing w:line="417" w:lineRule="auto"/>
        <w:ind w:left="260" w:right="49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260" w:right="49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spacing w:after="0" w:line="417" w:lineRule="auto"/>
        <w:sectPr>
          <w:pgSz w:w="11910" w:h="16840"/>
          <w:pgMar w:header="877" w:footer="995" w:top="1420" w:bottom="1180" w:left="1540" w:right="1300"/>
        </w:sectPr>
      </w:pPr>
    </w:p>
    <w:p>
      <w:pPr>
        <w:pStyle w:val="BodyText"/>
        <w:spacing w:line="417" w:lineRule="auto" w:before="110"/>
        <w:ind w:left="260" w:right="49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210" w:val="left" w:leader="none"/>
        </w:tabs>
        <w:spacing w:line="269" w:lineRule="exact" w:before="0" w:after="0"/>
        <w:ind w:left="120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买卖其他基金份额，但是中国证监会另有规定的除外。</w:t>
      </w:r>
    </w:p>
    <w:p>
      <w:pPr>
        <w:pStyle w:val="BodyText"/>
        <w:spacing w:before="7"/>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1"/>
        </w:numPr>
        <w:tabs>
          <w:tab w:pos="1210" w:val="left" w:leader="none"/>
        </w:tabs>
        <w:spacing w:line="240" w:lineRule="auto" w:before="0" w:after="0"/>
        <w:ind w:left="1209" w:right="0" w:hanging="530"/>
        <w:jc w:val="left"/>
        <w:rPr>
          <w:sz w:val="21"/>
        </w:rPr>
      </w:pPr>
      <w:r>
        <w:rPr>
          <w:spacing w:val="-3"/>
          <w:sz w:val="21"/>
        </w:rPr>
        <w:t>法律、行政法规和中国证监会规定禁止的其他活动。</w:t>
      </w:r>
    </w:p>
    <w:p>
      <w:pPr>
        <w:pStyle w:val="BodyText"/>
        <w:spacing w:before="6"/>
        <w:rPr>
          <w:sz w:val="15"/>
        </w:rPr>
      </w:pPr>
    </w:p>
    <w:p>
      <w:pPr>
        <w:pStyle w:val="BodyText"/>
        <w:spacing w:line="417" w:lineRule="auto" w:before="1"/>
        <w:ind w:left="260" w:right="28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260" w:right="491" w:firstLine="419"/>
        <w:jc w:val="both"/>
      </w:pPr>
      <w:r>
        <w:rPr>
          <w:spacing w:val="-7"/>
        </w:rPr>
        <w:t>法律法规或监管部门取消或变更上述禁止性规定的，如适用于本基金，则本基金投资不</w:t>
      </w:r>
      <w:r>
        <w:rPr>
          <w:spacing w:val="-12"/>
        </w:rPr>
        <w:t>再受上述相关限制，自动遵守届时有效的法律法规或监管规定，不需另行召开基金份额持有</w:t>
      </w:r>
      <w:r>
        <w:rPr>
          <w:spacing w:val="-7"/>
        </w:rPr>
        <w:t>人大会。</w:t>
      </w:r>
    </w:p>
    <w:p>
      <w:pPr>
        <w:pStyle w:val="BodyText"/>
        <w:spacing w:line="417" w:lineRule="auto"/>
        <w:ind w:left="260" w:right="49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210" w:val="left" w:leader="none"/>
        </w:tabs>
        <w:spacing w:line="269" w:lineRule="exact" w:before="0" w:after="0"/>
        <w:ind w:left="120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210" w:val="left" w:leader="none"/>
        </w:tabs>
        <w:spacing w:line="240" w:lineRule="auto" w:before="0" w:after="0"/>
        <w:ind w:left="1209" w:right="0" w:hanging="530"/>
        <w:jc w:val="left"/>
        <w:rPr>
          <w:sz w:val="21"/>
        </w:rPr>
      </w:pPr>
      <w:r>
        <w:rPr>
          <w:spacing w:val="-3"/>
          <w:sz w:val="21"/>
        </w:rPr>
        <w:t>不公平地对待其管理的不同基金财产。</w:t>
      </w:r>
    </w:p>
    <w:p>
      <w:pPr>
        <w:pStyle w:val="BodyText"/>
        <w:spacing w:before="6"/>
        <w:rPr>
          <w:sz w:val="15"/>
        </w:rPr>
      </w:pPr>
    </w:p>
    <w:p>
      <w:pPr>
        <w:pStyle w:val="ListParagraph"/>
        <w:numPr>
          <w:ilvl w:val="0"/>
          <w:numId w:val="2"/>
        </w:numPr>
        <w:tabs>
          <w:tab w:pos="1210" w:val="left" w:leader="none"/>
        </w:tabs>
        <w:spacing w:line="240" w:lineRule="auto" w:before="1" w:after="0"/>
        <w:ind w:left="1209" w:right="0" w:hanging="530"/>
        <w:jc w:val="left"/>
        <w:rPr>
          <w:sz w:val="21"/>
        </w:rPr>
      </w:pPr>
      <w:r>
        <w:rPr>
          <w:spacing w:val="-3"/>
          <w:sz w:val="21"/>
        </w:rPr>
        <w:t>利用基金财产为基金份额持有人以外的第三人牟取利益。</w:t>
      </w:r>
    </w:p>
    <w:p>
      <w:pPr>
        <w:pStyle w:val="BodyText"/>
        <w:spacing w:before="6"/>
        <w:rPr>
          <w:sz w:val="15"/>
        </w:rPr>
      </w:pPr>
    </w:p>
    <w:p>
      <w:pPr>
        <w:pStyle w:val="ListParagraph"/>
        <w:numPr>
          <w:ilvl w:val="0"/>
          <w:numId w:val="2"/>
        </w:numPr>
        <w:tabs>
          <w:tab w:pos="1210" w:val="left" w:leader="none"/>
        </w:tabs>
        <w:spacing w:line="240" w:lineRule="auto" w:before="0" w:after="0"/>
        <w:ind w:left="120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210" w:val="left" w:leader="none"/>
        </w:tabs>
        <w:spacing w:line="240" w:lineRule="auto" w:before="0" w:after="0"/>
        <w:ind w:left="1209" w:right="0" w:hanging="530"/>
        <w:jc w:val="left"/>
        <w:rPr>
          <w:sz w:val="21"/>
        </w:rPr>
      </w:pPr>
      <w:r>
        <w:rPr>
          <w:spacing w:val="-14"/>
          <w:sz w:val="21"/>
        </w:rPr>
        <w:t>依照法律、行政法规有关规定，由国务院证券监督管理机构规定禁止的其他行为。</w:t>
      </w:r>
    </w:p>
    <w:p>
      <w:pPr>
        <w:pStyle w:val="BodyText"/>
        <w:spacing w:before="7"/>
        <w:rPr>
          <w:sz w:val="15"/>
        </w:rPr>
      </w:pPr>
    </w:p>
    <w:p>
      <w:pPr>
        <w:pStyle w:val="BodyText"/>
        <w:ind w:left="680"/>
      </w:pPr>
      <w:r>
        <w:rPr>
          <w:rFonts w:ascii="Times New Roman" w:eastAsia="Times New Roman"/>
        </w:rPr>
        <w:t>5</w:t>
      </w:r>
      <w:r>
        <w:rPr/>
        <w:t>、基金经理承诺</w:t>
      </w:r>
    </w:p>
    <w:p>
      <w:pPr>
        <w:pStyle w:val="BodyText"/>
        <w:spacing w:before="6"/>
        <w:rPr>
          <w:sz w:val="15"/>
        </w:rPr>
      </w:pPr>
    </w:p>
    <w:p>
      <w:pPr>
        <w:pStyle w:val="ListParagraph"/>
        <w:numPr>
          <w:ilvl w:val="0"/>
          <w:numId w:val="3"/>
        </w:numPr>
        <w:tabs>
          <w:tab w:pos="1210" w:val="left" w:leader="none"/>
        </w:tabs>
        <w:spacing w:line="417" w:lineRule="auto" w:before="1" w:after="0"/>
        <w:ind w:left="260" w:right="49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210" w:val="left" w:leader="none"/>
        </w:tabs>
        <w:spacing w:line="417" w:lineRule="auto" w:before="0" w:after="0"/>
        <w:ind w:left="260" w:right="494" w:firstLine="419"/>
        <w:jc w:val="left"/>
        <w:rPr>
          <w:sz w:val="21"/>
        </w:rPr>
      </w:pPr>
      <w:r>
        <w:rPr>
          <w:spacing w:val="-3"/>
          <w:sz w:val="21"/>
        </w:rPr>
        <w:t>不利用职务之便为自己、被代理人、被代表人、受雇人或任何其他第三人谋取不当利益。</w:t>
      </w:r>
    </w:p>
    <w:p>
      <w:pPr>
        <w:spacing w:after="0" w:line="417" w:lineRule="auto"/>
        <w:jc w:val="left"/>
        <w:rPr>
          <w:sz w:val="21"/>
        </w:rPr>
        <w:sectPr>
          <w:pgSz w:w="11910" w:h="16840"/>
          <w:pgMar w:header="877" w:footer="995" w:top="1420" w:bottom="1180" w:left="1540" w:right="1300"/>
        </w:sectPr>
      </w:pPr>
    </w:p>
    <w:p>
      <w:pPr>
        <w:pStyle w:val="ListParagraph"/>
        <w:numPr>
          <w:ilvl w:val="0"/>
          <w:numId w:val="3"/>
        </w:numPr>
        <w:tabs>
          <w:tab w:pos="1210" w:val="left" w:leader="none"/>
        </w:tabs>
        <w:spacing w:line="429" w:lineRule="auto" w:before="119" w:after="0"/>
        <w:ind w:left="260" w:right="49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4"/>
        <w:ind w:left="694"/>
      </w:pPr>
      <w:r>
        <w:rPr/>
        <w:t>（五）基金管理人的内部控制制度</w:t>
      </w:r>
    </w:p>
    <w:p>
      <w:pPr>
        <w:pStyle w:val="BodyText"/>
        <w:spacing w:before="8"/>
        <w:rPr>
          <w:sz w:val="16"/>
        </w:rPr>
      </w:pPr>
    </w:p>
    <w:p>
      <w:pPr>
        <w:pStyle w:val="BodyText"/>
        <w:spacing w:line="432" w:lineRule="auto" w:before="1"/>
        <w:ind w:left="260" w:right="38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7" w:lineRule="exact"/>
        <w:ind w:left="680"/>
      </w:pPr>
      <w:r>
        <w:rPr>
          <w:rFonts w:ascii="Times New Roman" w:eastAsia="Times New Roman"/>
        </w:rPr>
        <w:t>1</w:t>
      </w:r>
      <w:r>
        <w:rPr/>
        <w:t>、控制环境</w:t>
      </w:r>
    </w:p>
    <w:p>
      <w:pPr>
        <w:pStyle w:val="BodyText"/>
        <w:spacing w:before="8"/>
        <w:rPr>
          <w:sz w:val="16"/>
        </w:rPr>
      </w:pPr>
    </w:p>
    <w:p>
      <w:pPr>
        <w:pStyle w:val="BodyText"/>
        <w:spacing w:line="432" w:lineRule="auto"/>
        <w:ind w:left="260" w:right="504" w:firstLine="434"/>
      </w:pPr>
      <w:r>
        <w:rPr/>
        <w:t>良好的控制环境包括科学的公司治理、有效的监督管理、合理的组织结构和有力的控制文化。</w:t>
      </w:r>
    </w:p>
    <w:p>
      <w:pPr>
        <w:pStyle w:val="ListParagraph"/>
        <w:numPr>
          <w:ilvl w:val="0"/>
          <w:numId w:val="4"/>
        </w:numPr>
        <w:tabs>
          <w:tab w:pos="1224" w:val="left" w:leader="none"/>
        </w:tabs>
        <w:spacing w:line="432" w:lineRule="auto" w:before="0" w:after="0"/>
        <w:ind w:left="260" w:right="49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222" w:val="left" w:leader="none"/>
        </w:tabs>
        <w:spacing w:line="432" w:lineRule="auto" w:before="0" w:after="0"/>
        <w:ind w:left="260" w:right="49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224" w:val="left" w:leader="none"/>
        </w:tabs>
        <w:spacing w:line="432" w:lineRule="auto" w:before="0" w:after="0"/>
        <w:ind w:left="260" w:right="49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line="268" w:lineRule="exact"/>
        <w:ind w:left="694"/>
      </w:pPr>
      <w:r>
        <w:rPr>
          <w:rFonts w:ascii="Times New Roman" w:eastAsia="Times New Roman"/>
        </w:rPr>
        <w:t>2</w:t>
      </w:r>
      <w:r>
        <w:rPr/>
        <w:t>、风险评估</w:t>
      </w:r>
    </w:p>
    <w:p>
      <w:pPr>
        <w:pStyle w:val="BodyText"/>
        <w:spacing w:before="7"/>
        <w:rPr>
          <w:sz w:val="16"/>
        </w:rPr>
      </w:pPr>
    </w:p>
    <w:p>
      <w:pPr>
        <w:pStyle w:val="BodyText"/>
        <w:spacing w:line="432" w:lineRule="auto"/>
        <w:ind w:left="680" w:right="388"/>
      </w:pPr>
      <w:r>
        <w:rPr>
          <w:spacing w:val="-3"/>
        </w:rPr>
        <w:t>公司各层面和各业务部门在确定各自的目标后，对影响目标实现的风险因素进行分析。</w:t>
      </w:r>
      <w:r>
        <w:rPr>
          <w:spacing w:val="-11"/>
        </w:rPr>
        <w:t>对于不可控风险，风险评估的目的是决定是否承担该风险或减少相关业务；对于可控风险，风险评估的目的是分析如何通过制度安排来控制风险程度。风险评估还包括各业务</w:t>
      </w:r>
      <w:r>
        <w:rPr>
          <w:spacing w:val="-10"/>
        </w:rPr>
        <w:t>部门对日常工作中新出现的风险进行再评估并完善相应的制度，以及新业务设计过程中</w:t>
      </w:r>
      <w:r>
        <w:rPr>
          <w:spacing w:val="-5"/>
        </w:rPr>
        <w:t>评估相关风险并制定风险控制制度。</w:t>
      </w:r>
    </w:p>
    <w:p>
      <w:pPr>
        <w:pStyle w:val="BodyText"/>
        <w:spacing w:before="116"/>
        <w:ind w:left="694"/>
      </w:pPr>
      <w:r>
        <w:rPr>
          <w:rFonts w:ascii="Times New Roman" w:eastAsia="Times New Roman"/>
        </w:rPr>
        <w:t>3</w:t>
      </w:r>
      <w:r>
        <w:rPr/>
        <w:t>、控制活动</w:t>
      </w:r>
    </w:p>
    <w:p>
      <w:pPr>
        <w:pStyle w:val="BodyText"/>
        <w:spacing w:before="10"/>
        <w:rPr>
          <w:sz w:val="16"/>
        </w:rPr>
      </w:pPr>
    </w:p>
    <w:p>
      <w:pPr>
        <w:pStyle w:val="BodyText"/>
        <w:spacing w:line="432" w:lineRule="auto"/>
        <w:ind w:left="260" w:right="49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spacing w:after="0" w:line="432" w:lineRule="auto"/>
        <w:jc w:val="both"/>
        <w:sectPr>
          <w:pgSz w:w="11910" w:h="16840"/>
          <w:pgMar w:header="877" w:footer="995" w:top="1420" w:bottom="1180" w:left="1540" w:right="1300"/>
        </w:sectPr>
      </w:pPr>
    </w:p>
    <w:p>
      <w:pPr>
        <w:pStyle w:val="ListParagraph"/>
        <w:numPr>
          <w:ilvl w:val="0"/>
          <w:numId w:val="5"/>
        </w:numPr>
        <w:tabs>
          <w:tab w:pos="1224" w:val="left" w:leader="none"/>
        </w:tabs>
        <w:spacing w:line="240" w:lineRule="auto" w:before="119" w:after="0"/>
        <w:ind w:left="1223" w:right="0" w:hanging="530"/>
        <w:jc w:val="left"/>
        <w:rPr>
          <w:sz w:val="21"/>
        </w:rPr>
      </w:pPr>
      <w:r>
        <w:rPr>
          <w:spacing w:val="-3"/>
          <w:sz w:val="21"/>
        </w:rPr>
        <w:t>投资控制制度</w:t>
      </w:r>
    </w:p>
    <w:p>
      <w:pPr>
        <w:pStyle w:val="BodyText"/>
        <w:spacing w:before="8"/>
        <w:rPr>
          <w:sz w:val="16"/>
        </w:rPr>
      </w:pPr>
    </w:p>
    <w:p>
      <w:pPr>
        <w:pStyle w:val="BodyText"/>
        <w:spacing w:line="432" w:lineRule="auto" w:before="1"/>
        <w:ind w:left="260" w:right="28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294" w:lineRule="exact"/>
        <w:ind w:left="694"/>
      </w:pPr>
      <w:r>
        <w:rPr>
          <w:rFonts w:ascii="等线" w:hAnsi="等线" w:eastAsia="等线" w:hint="eastAsia"/>
        </w:rPr>
        <w:t>①</w:t>
      </w:r>
      <w:r>
        <w:rPr/>
        <w:t>投资决策与执行相分离。投资管理决策职能和交易执行职能严格隔离，实行集中交</w:t>
      </w:r>
    </w:p>
    <w:p>
      <w:pPr>
        <w:pStyle w:val="BodyText"/>
        <w:spacing w:before="187"/>
        <w:ind w:left="260"/>
      </w:pPr>
      <w:r>
        <w:rPr/>
        <w:t>易制度，建立和完善公平的交易分配制度，确保各投资组合享有公平的交易执行机会。</w:t>
      </w:r>
    </w:p>
    <w:p>
      <w:pPr>
        <w:pStyle w:val="BodyText"/>
        <w:spacing w:before="8"/>
        <w:rPr>
          <w:sz w:val="14"/>
        </w:rPr>
      </w:pPr>
    </w:p>
    <w:p>
      <w:pPr>
        <w:pStyle w:val="BodyText"/>
        <w:spacing w:line="369" w:lineRule="auto"/>
        <w:ind w:left="260" w:right="491" w:firstLine="434"/>
      </w:pPr>
      <w:r>
        <w:rPr>
          <w:rFonts w:ascii="等线" w:hAnsi="等线" w:eastAsia="等线" w:hint="eastAsia"/>
        </w:rPr>
        <w:t>②</w:t>
      </w:r>
      <w:r>
        <w:rPr/>
        <w:t>投资授权控制。建立明确的投资决策授权制度，防止越权决策。投资决策委员会负</w:t>
      </w:r>
      <w:r>
        <w:rPr>
          <w:spacing w:val="-8"/>
        </w:rPr>
        <w:t>责制定投资原则并审定资产配置比例；基金经理小组在投资决策委员会确定的范围内，负责</w:t>
      </w:r>
    </w:p>
    <w:p>
      <w:pPr>
        <w:pStyle w:val="BodyText"/>
        <w:spacing w:line="417" w:lineRule="auto" w:before="54"/>
        <w:ind w:left="260" w:right="491"/>
        <w:jc w:val="both"/>
      </w:pPr>
      <w:r>
        <w:rPr>
          <w:spacing w:val="-10"/>
        </w:rPr>
        <w:t>确定与实施投资策略、建立和调整投资组合并下达投资指令，对于超过投资权限的操作需要</w:t>
      </w:r>
      <w:r>
        <w:rPr>
          <w:spacing w:val="-13"/>
        </w:rPr>
        <w:t>经过严格的审批程序；交易管理部依据基金经理或基金经理授权的小组成员的指令负责交易执行。</w:t>
      </w:r>
    </w:p>
    <w:p>
      <w:pPr>
        <w:pStyle w:val="BodyText"/>
        <w:spacing w:line="297" w:lineRule="exact"/>
        <w:ind w:left="694"/>
      </w:pPr>
      <w:r>
        <w:rPr>
          <w:rFonts w:ascii="等线" w:hAnsi="等线" w:eastAsia="等线" w:hint="eastAsia"/>
        </w:rPr>
        <w:t>③</w:t>
      </w:r>
      <w:r>
        <w:rPr/>
        <w:t>警示性控制。按照法规或公司规定设置各类资产投资比例的预警线，交易系统在投</w:t>
      </w:r>
    </w:p>
    <w:p>
      <w:pPr>
        <w:pStyle w:val="BodyText"/>
        <w:spacing w:before="170"/>
        <w:ind w:left="260"/>
      </w:pPr>
      <w:r>
        <w:rPr/>
        <w:t>资比例达到接近限制比例前的某一数值时自动预警。</w:t>
      </w:r>
    </w:p>
    <w:p>
      <w:pPr>
        <w:pStyle w:val="BodyText"/>
        <w:spacing w:before="1"/>
        <w:rPr>
          <w:sz w:val="14"/>
        </w:rPr>
      </w:pPr>
    </w:p>
    <w:p>
      <w:pPr>
        <w:pStyle w:val="BodyText"/>
        <w:spacing w:line="369" w:lineRule="auto"/>
        <w:ind w:left="260" w:right="491" w:firstLine="419"/>
      </w:pPr>
      <w:r>
        <w:rPr>
          <w:rFonts w:ascii="等线" w:hAnsi="等线" w:eastAsia="等线" w:hint="eastAsia"/>
        </w:rPr>
        <w:t>④</w:t>
      </w:r>
      <w:r>
        <w:rPr>
          <w:spacing w:val="-12"/>
        </w:rPr>
        <w:t>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369" w:lineRule="auto" w:before="35"/>
        <w:ind w:left="260" w:right="504" w:firstLine="434"/>
      </w:pPr>
      <w:r>
        <w:rPr>
          <w:rFonts w:ascii="等线" w:hAnsi="等线" w:eastAsia="等线" w:hint="eastAsia"/>
        </w:rPr>
        <w:t>⑤</w:t>
      </w:r>
      <w:r>
        <w:rPr/>
        <w:t>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224" w:val="left" w:leader="none"/>
        </w:tabs>
        <w:spacing w:line="240" w:lineRule="auto" w:before="53" w:after="0"/>
        <w:ind w:left="1223" w:right="0" w:hanging="530"/>
        <w:jc w:val="left"/>
        <w:rPr>
          <w:sz w:val="21"/>
        </w:rPr>
      </w:pPr>
      <w:r>
        <w:rPr>
          <w:spacing w:val="-3"/>
          <w:sz w:val="21"/>
        </w:rPr>
        <w:t>会计控制制度</w:t>
      </w:r>
    </w:p>
    <w:p>
      <w:pPr>
        <w:pStyle w:val="BodyText"/>
        <w:spacing w:before="181"/>
        <w:ind w:left="680"/>
      </w:pPr>
      <w:r>
        <w:rPr>
          <w:rFonts w:ascii="等线" w:hAnsi="等线" w:eastAsia="等线" w:hint="eastAsia"/>
        </w:rPr>
        <w:t>①</w:t>
      </w:r>
      <w:r>
        <w:rPr/>
        <w:t>建立了基金会计的工作制度及相应的操作和控制规程，确保会计业务有章可循。</w:t>
      </w:r>
    </w:p>
    <w:p>
      <w:pPr>
        <w:pStyle w:val="BodyText"/>
        <w:spacing w:line="369" w:lineRule="auto" w:before="151"/>
        <w:ind w:left="260" w:right="491" w:firstLine="419"/>
      </w:pPr>
      <w:r>
        <w:rPr>
          <w:rFonts w:ascii="等线" w:hAnsi="等线" w:eastAsia="等线" w:hint="eastAsia"/>
        </w:rPr>
        <w:t>②</w:t>
      </w:r>
      <w:r>
        <w:rPr>
          <w:spacing w:val="-12"/>
        </w:rPr>
        <w:t>按照相互制约原则，建立了基金会计业务的复核制度以及与托管人相关业务的相互核</w:t>
      </w:r>
      <w:r>
        <w:rPr>
          <w:spacing w:val="-6"/>
        </w:rPr>
        <w:t>查监督制度。</w:t>
      </w:r>
    </w:p>
    <w:p>
      <w:pPr>
        <w:pStyle w:val="BodyText"/>
        <w:spacing w:before="36"/>
        <w:ind w:left="680"/>
      </w:pPr>
      <w:r>
        <w:rPr>
          <w:rFonts w:ascii="等线" w:hAnsi="等线" w:eastAsia="等线" w:hint="eastAsia"/>
        </w:rPr>
        <w:t>③</w:t>
      </w:r>
      <w:r>
        <w:rPr/>
        <w:t>为了防范基金会计在资金头寸管理上出现透支风险，制定了资金头寸管理制度。</w:t>
      </w:r>
    </w:p>
    <w:p>
      <w:pPr>
        <w:pStyle w:val="BodyText"/>
        <w:spacing w:before="151"/>
        <w:ind w:left="694"/>
      </w:pPr>
      <w:r>
        <w:rPr>
          <w:rFonts w:ascii="等线" w:hAnsi="等线" w:eastAsia="等线" w:hint="eastAsia"/>
        </w:rPr>
        <w:t>④</w:t>
      </w:r>
      <w:r>
        <w:rPr/>
        <w:t>制定了完善的档案保管和财务交接制度。</w:t>
      </w:r>
    </w:p>
    <w:p>
      <w:pPr>
        <w:pStyle w:val="ListParagraph"/>
        <w:numPr>
          <w:ilvl w:val="0"/>
          <w:numId w:val="5"/>
        </w:numPr>
        <w:tabs>
          <w:tab w:pos="1224" w:val="left" w:leader="none"/>
        </w:tabs>
        <w:spacing w:line="240" w:lineRule="auto" w:before="171" w:after="0"/>
        <w:ind w:left="1223" w:right="0" w:hanging="530"/>
        <w:jc w:val="left"/>
        <w:rPr>
          <w:sz w:val="21"/>
        </w:rPr>
      </w:pPr>
      <w:r>
        <w:rPr>
          <w:spacing w:val="-3"/>
          <w:sz w:val="21"/>
        </w:rPr>
        <w:t>技术系统控制制度</w:t>
      </w:r>
    </w:p>
    <w:p>
      <w:pPr>
        <w:pStyle w:val="BodyText"/>
        <w:spacing w:before="6"/>
        <w:rPr>
          <w:sz w:val="15"/>
        </w:rPr>
      </w:pPr>
    </w:p>
    <w:p>
      <w:pPr>
        <w:pStyle w:val="BodyText"/>
        <w:spacing w:line="417" w:lineRule="auto"/>
        <w:ind w:left="260" w:right="49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224" w:val="left" w:leader="none"/>
        </w:tabs>
        <w:spacing w:line="269" w:lineRule="exact" w:before="0" w:after="0"/>
        <w:ind w:left="1223" w:right="0" w:hanging="530"/>
        <w:jc w:val="left"/>
        <w:rPr>
          <w:sz w:val="21"/>
        </w:rPr>
      </w:pPr>
      <w:r>
        <w:rPr>
          <w:spacing w:val="-3"/>
          <w:sz w:val="21"/>
        </w:rPr>
        <w:t>人力资源管理制度</w:t>
      </w:r>
    </w:p>
    <w:p>
      <w:pPr>
        <w:pStyle w:val="BodyText"/>
        <w:spacing w:before="11"/>
        <w:rPr>
          <w:sz w:val="16"/>
        </w:rPr>
      </w:pPr>
    </w:p>
    <w:p>
      <w:pPr>
        <w:pStyle w:val="BodyText"/>
        <w:ind w:left="694"/>
      </w:pPr>
      <w:r>
        <w:rPr/>
        <w:t>公司建立了科学的招聘解聘制度、培训制度、考核制度、薪酬制度等人事管理制度，</w:t>
      </w:r>
    </w:p>
    <w:p>
      <w:pPr>
        <w:spacing w:after="0"/>
        <w:sectPr>
          <w:pgSz w:w="11910" w:h="16840"/>
          <w:pgMar w:header="877" w:footer="995" w:top="1420" w:bottom="1180" w:left="1540" w:right="1300"/>
        </w:sectPr>
      </w:pPr>
    </w:p>
    <w:p>
      <w:pPr>
        <w:pStyle w:val="BodyText"/>
        <w:spacing w:before="126"/>
        <w:ind w:left="260"/>
      </w:pPr>
      <w:r>
        <w:rPr/>
        <w:t>确保人力资源的有效管理。</w:t>
      </w:r>
    </w:p>
    <w:p>
      <w:pPr>
        <w:pStyle w:val="BodyText"/>
        <w:rPr>
          <w:sz w:val="18"/>
        </w:rPr>
      </w:pPr>
    </w:p>
    <w:p>
      <w:pPr>
        <w:pStyle w:val="ListParagraph"/>
        <w:numPr>
          <w:ilvl w:val="0"/>
          <w:numId w:val="5"/>
        </w:numPr>
        <w:tabs>
          <w:tab w:pos="1224" w:val="left" w:leader="none"/>
        </w:tabs>
        <w:spacing w:line="240" w:lineRule="auto" w:before="0" w:after="0"/>
        <w:ind w:left="1223" w:right="0" w:hanging="530"/>
        <w:jc w:val="left"/>
        <w:rPr>
          <w:sz w:val="21"/>
        </w:rPr>
      </w:pPr>
      <w:r>
        <w:rPr>
          <w:spacing w:val="-2"/>
          <w:sz w:val="21"/>
        </w:rPr>
        <w:t>监察制度</w:t>
      </w:r>
    </w:p>
    <w:p>
      <w:pPr>
        <w:pStyle w:val="BodyText"/>
        <w:spacing w:before="12"/>
        <w:rPr>
          <w:sz w:val="17"/>
        </w:rPr>
      </w:pPr>
    </w:p>
    <w:p>
      <w:pPr>
        <w:pStyle w:val="BodyText"/>
        <w:spacing w:line="446" w:lineRule="auto"/>
        <w:ind w:left="260" w:right="50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224" w:val="left" w:leader="none"/>
        </w:tabs>
        <w:spacing w:line="250" w:lineRule="exact" w:before="0" w:after="0"/>
        <w:ind w:left="1223" w:right="0" w:hanging="530"/>
        <w:jc w:val="left"/>
        <w:rPr>
          <w:sz w:val="21"/>
        </w:rPr>
      </w:pPr>
      <w:r>
        <w:rPr>
          <w:spacing w:val="-3"/>
          <w:sz w:val="21"/>
        </w:rPr>
        <w:t>反洗钱制度</w:t>
      </w:r>
    </w:p>
    <w:p>
      <w:pPr>
        <w:pStyle w:val="BodyText"/>
        <w:spacing w:before="7"/>
        <w:rPr>
          <w:sz w:val="15"/>
        </w:rPr>
      </w:pPr>
    </w:p>
    <w:p>
      <w:pPr>
        <w:pStyle w:val="BodyText"/>
        <w:spacing w:line="417" w:lineRule="auto"/>
        <w:ind w:left="260" w:right="49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pStyle w:val="BodyText"/>
        <w:spacing w:before="17"/>
        <w:ind w:left="694"/>
      </w:pPr>
      <w:r>
        <w:rPr>
          <w:rFonts w:ascii="Times New Roman" w:eastAsia="Times New Roman"/>
        </w:rPr>
        <w:t>4</w:t>
      </w:r>
      <w:r>
        <w:rPr/>
        <w:t>、信息沟通</w:t>
      </w:r>
    </w:p>
    <w:p>
      <w:pPr>
        <w:pStyle w:val="BodyText"/>
        <w:spacing w:before="12"/>
        <w:rPr>
          <w:sz w:val="17"/>
        </w:rPr>
      </w:pPr>
    </w:p>
    <w:p>
      <w:pPr>
        <w:pStyle w:val="BodyText"/>
        <w:spacing w:line="446" w:lineRule="auto"/>
        <w:ind w:left="260" w:right="512"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4" w:lineRule="exact"/>
        <w:ind w:left="694"/>
      </w:pPr>
      <w:r>
        <w:rPr>
          <w:rFonts w:ascii="Times New Roman" w:eastAsia="Times New Roman"/>
        </w:rPr>
        <w:t>5</w:t>
      </w:r>
      <w:r>
        <w:rPr/>
        <w:t>、内部监控</w:t>
      </w:r>
    </w:p>
    <w:p>
      <w:pPr>
        <w:pStyle w:val="BodyText"/>
        <w:spacing w:before="12"/>
        <w:rPr>
          <w:sz w:val="17"/>
        </w:rPr>
      </w:pPr>
    </w:p>
    <w:p>
      <w:pPr>
        <w:pStyle w:val="BodyText"/>
        <w:spacing w:line="446" w:lineRule="auto"/>
        <w:ind w:left="260" w:right="49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5" w:lineRule="exact"/>
        <w:ind w:left="680"/>
      </w:pPr>
      <w:r>
        <w:rPr>
          <w:rFonts w:ascii="Times New Roman" w:eastAsia="Times New Roman"/>
        </w:rPr>
        <w:t>6</w:t>
      </w:r>
      <w:r>
        <w:rPr/>
        <w:t>、基金管理人关于内部控制的声明</w:t>
      </w:r>
    </w:p>
    <w:p>
      <w:pPr>
        <w:pStyle w:val="BodyText"/>
        <w:rPr>
          <w:sz w:val="18"/>
        </w:rPr>
      </w:pPr>
    </w:p>
    <w:p>
      <w:pPr>
        <w:pStyle w:val="ListParagraph"/>
        <w:numPr>
          <w:ilvl w:val="0"/>
          <w:numId w:val="6"/>
        </w:numPr>
        <w:tabs>
          <w:tab w:pos="1210" w:val="left" w:leader="none"/>
        </w:tabs>
        <w:spacing w:line="240" w:lineRule="auto" w:before="0" w:after="0"/>
        <w:ind w:left="1209" w:right="0" w:hanging="530"/>
        <w:jc w:val="left"/>
        <w:rPr>
          <w:sz w:val="21"/>
        </w:rPr>
      </w:pPr>
      <w:r>
        <w:rPr>
          <w:spacing w:val="-3"/>
          <w:sz w:val="21"/>
        </w:rPr>
        <w:t>本公司确知建立、实施和维持内部控制制度是本公司董事会及管理层的责任。</w:t>
      </w:r>
    </w:p>
    <w:p>
      <w:pPr>
        <w:pStyle w:val="BodyText"/>
        <w:rPr>
          <w:sz w:val="18"/>
        </w:rPr>
      </w:pPr>
    </w:p>
    <w:p>
      <w:pPr>
        <w:pStyle w:val="ListParagraph"/>
        <w:numPr>
          <w:ilvl w:val="0"/>
          <w:numId w:val="6"/>
        </w:numPr>
        <w:tabs>
          <w:tab w:pos="1210" w:val="left" w:leader="none"/>
        </w:tabs>
        <w:spacing w:line="240" w:lineRule="auto" w:before="0" w:after="0"/>
        <w:ind w:left="1209" w:right="0" w:hanging="530"/>
        <w:jc w:val="left"/>
        <w:rPr>
          <w:sz w:val="21"/>
        </w:rPr>
      </w:pPr>
      <w:r>
        <w:rPr>
          <w:spacing w:val="-3"/>
          <w:sz w:val="21"/>
        </w:rPr>
        <w:t>上述关于内部控制的披露真实、准确。</w:t>
      </w:r>
    </w:p>
    <w:p>
      <w:pPr>
        <w:pStyle w:val="BodyText"/>
        <w:spacing w:before="8"/>
        <w:rPr>
          <w:sz w:val="16"/>
        </w:rPr>
      </w:pPr>
    </w:p>
    <w:p>
      <w:pPr>
        <w:pStyle w:val="ListParagraph"/>
        <w:numPr>
          <w:ilvl w:val="0"/>
          <w:numId w:val="6"/>
        </w:numPr>
        <w:tabs>
          <w:tab w:pos="1210" w:val="left" w:leader="none"/>
        </w:tabs>
        <w:spacing w:line="240" w:lineRule="auto" w:before="0" w:after="0"/>
        <w:ind w:left="1209" w:right="0" w:hanging="530"/>
        <w:jc w:val="left"/>
        <w:rPr>
          <w:sz w:val="21"/>
        </w:rPr>
      </w:pPr>
      <w:r>
        <w:rPr>
          <w:spacing w:val="-3"/>
          <w:sz w:val="21"/>
        </w:rPr>
        <w:t>本公司承诺将根据市场环境的变化及公司的发展不断完善内部控制制度。</w:t>
      </w:r>
    </w:p>
    <w:p>
      <w:pPr>
        <w:spacing w:after="0" w:line="240" w:lineRule="auto"/>
        <w:jc w:val="left"/>
        <w:rPr>
          <w:sz w:val="21"/>
        </w:rPr>
        <w:sectPr>
          <w:pgSz w:w="11910" w:h="16840"/>
          <w:pgMar w:header="877" w:footer="995" w:top="1420" w:bottom="1180" w:left="1540" w:right="1300"/>
        </w:sectPr>
      </w:pPr>
    </w:p>
    <w:p>
      <w:pPr>
        <w:pStyle w:val="BodyText"/>
        <w:spacing w:before="7"/>
        <w:rPr>
          <w:sz w:val="29"/>
        </w:rPr>
      </w:pPr>
    </w:p>
    <w:p>
      <w:pPr>
        <w:pStyle w:val="Heading1"/>
      </w:pPr>
      <w:bookmarkStart w:name="_bookmark3" w:id="4"/>
      <w:bookmarkEnd w:id="4"/>
      <w:r>
        <w:rPr>
          <w:b w:val="0"/>
        </w:rPr>
      </w:r>
      <w:r>
        <w:rPr/>
        <w:t>四、基金托管人</w:t>
      </w:r>
    </w:p>
    <w:p>
      <w:pPr>
        <w:pStyle w:val="BodyText"/>
        <w:rPr>
          <w:b/>
          <w:sz w:val="20"/>
        </w:rPr>
      </w:pPr>
    </w:p>
    <w:p>
      <w:pPr>
        <w:pStyle w:val="BodyText"/>
        <w:spacing w:before="8"/>
        <w:rPr>
          <w:b/>
          <w:sz w:val="15"/>
        </w:rPr>
      </w:pPr>
    </w:p>
    <w:p>
      <w:pPr>
        <w:pStyle w:val="BodyText"/>
        <w:spacing w:before="71"/>
        <w:ind w:left="680"/>
      </w:pPr>
      <w:r>
        <w:rPr/>
        <w:t>（一）基金托管人情况</w:t>
      </w:r>
    </w:p>
    <w:p>
      <w:pPr>
        <w:pStyle w:val="BodyText"/>
        <w:spacing w:before="7"/>
        <w:rPr>
          <w:sz w:val="15"/>
        </w:rPr>
      </w:pPr>
    </w:p>
    <w:p>
      <w:pPr>
        <w:pStyle w:val="BodyText"/>
        <w:ind w:left="680"/>
      </w:pPr>
      <w:r>
        <w:rPr>
          <w:rFonts w:ascii="Times New Roman" w:eastAsia="Times New Roman"/>
        </w:rPr>
        <w:t>1</w:t>
      </w:r>
      <w:r>
        <w:rPr/>
        <w:t>、基本情况</w:t>
      </w:r>
    </w:p>
    <w:p>
      <w:pPr>
        <w:pStyle w:val="BodyText"/>
        <w:spacing w:before="7"/>
        <w:rPr>
          <w:sz w:val="15"/>
        </w:rPr>
      </w:pPr>
    </w:p>
    <w:p>
      <w:pPr>
        <w:pStyle w:val="BodyText"/>
        <w:spacing w:line="417" w:lineRule="auto"/>
        <w:ind w:left="680" w:right="3127"/>
      </w:pPr>
      <w:r>
        <w:rPr/>
        <w:t>名称：中国农业银行股份有限公司（简称中国农业银行） 住所：北京市东城区建国门内大街</w:t>
      </w:r>
      <w:r>
        <w:rPr>
          <w:rFonts w:ascii="Times New Roman" w:eastAsia="Times New Roman"/>
        </w:rPr>
        <w:t>69</w:t>
      </w:r>
      <w:r>
        <w:rPr/>
        <w:t>号</w:t>
      </w:r>
    </w:p>
    <w:p>
      <w:pPr>
        <w:pStyle w:val="BodyText"/>
        <w:spacing w:line="417" w:lineRule="auto"/>
        <w:ind w:left="680" w:right="2707"/>
      </w:pPr>
      <w:r>
        <w:rPr/>
        <w:t>办公地址：北京市西城区复兴门内大街</w:t>
      </w:r>
      <w:r>
        <w:rPr>
          <w:rFonts w:ascii="Times New Roman" w:eastAsia="Times New Roman"/>
        </w:rPr>
        <w:t>28</w:t>
      </w:r>
      <w:r>
        <w:rPr/>
        <w:t>号凯晨世贸中心东座法定代表人：周慕冰</w:t>
      </w:r>
    </w:p>
    <w:p>
      <w:pPr>
        <w:pStyle w:val="BodyText"/>
        <w:ind w:left="680"/>
      </w:pPr>
      <w:r>
        <w:rPr/>
        <w:t>成立日期：</w:t>
      </w:r>
      <w:r>
        <w:rPr>
          <w:rFonts w:ascii="Times New Roman" w:eastAsia="Times New Roman"/>
        </w:rPr>
        <w:t>2009</w:t>
      </w:r>
      <w:r>
        <w:rPr/>
        <w:t>年</w:t>
      </w:r>
      <w:r>
        <w:rPr>
          <w:rFonts w:ascii="Times New Roman" w:eastAsia="Times New Roman"/>
        </w:rPr>
        <w:t>1</w:t>
      </w:r>
      <w:r>
        <w:rPr/>
        <w:t>月</w:t>
      </w:r>
      <w:r>
        <w:rPr>
          <w:rFonts w:ascii="Times New Roman" w:eastAsia="Times New Roman"/>
        </w:rPr>
        <w:t>15</w:t>
      </w:r>
      <w:r>
        <w:rPr/>
        <w:t>日</w:t>
      </w:r>
    </w:p>
    <w:p>
      <w:pPr>
        <w:pStyle w:val="BodyText"/>
        <w:spacing w:before="6"/>
        <w:rPr>
          <w:sz w:val="15"/>
        </w:rPr>
      </w:pPr>
    </w:p>
    <w:p>
      <w:pPr>
        <w:pStyle w:val="BodyText"/>
        <w:spacing w:line="417" w:lineRule="auto"/>
        <w:ind w:left="680" w:right="2779"/>
      </w:pPr>
      <w:r>
        <w:rPr>
          <w:spacing w:val="-3"/>
        </w:rPr>
        <w:t>批准设立机关和批准设立文号：中国银监会银监复</w:t>
      </w:r>
      <w:r>
        <w:rPr>
          <w:rFonts w:ascii="Times New Roman" w:eastAsia="Times New Roman"/>
        </w:rPr>
        <w:t>[2009]13</w:t>
      </w:r>
      <w:r>
        <w:rPr/>
        <w:t>号</w:t>
      </w:r>
      <w:r>
        <w:rPr>
          <w:spacing w:val="-3"/>
        </w:rPr>
        <w:t>基金托管资格批文及文号：中国证监会证监基字</w:t>
      </w:r>
      <w:r>
        <w:rPr>
          <w:rFonts w:ascii="Times New Roman" w:eastAsia="Times New Roman"/>
        </w:rPr>
        <w:t>[1998]23</w:t>
      </w:r>
      <w:r>
        <w:rPr/>
        <w:t>号 </w:t>
      </w:r>
      <w:r>
        <w:rPr>
          <w:spacing w:val="-1"/>
        </w:rPr>
        <w:t>注册资本：</w:t>
      </w:r>
      <w:r>
        <w:rPr>
          <w:rFonts w:ascii="Times New Roman" w:eastAsia="Times New Roman"/>
        </w:rPr>
        <w:t>34,998,303.4</w:t>
      </w:r>
      <w:r>
        <w:rPr>
          <w:spacing w:val="-3"/>
        </w:rPr>
        <w:t>万元人民币</w:t>
      </w:r>
    </w:p>
    <w:p>
      <w:pPr>
        <w:pStyle w:val="BodyText"/>
        <w:spacing w:line="269" w:lineRule="exact"/>
        <w:ind w:left="680"/>
      </w:pPr>
      <w:r>
        <w:rPr>
          <w:spacing w:val="-3"/>
        </w:rPr>
        <w:t>存续期间：持续经营</w:t>
      </w:r>
    </w:p>
    <w:p>
      <w:pPr>
        <w:pStyle w:val="BodyText"/>
        <w:spacing w:before="7"/>
        <w:rPr>
          <w:sz w:val="15"/>
        </w:rPr>
      </w:pPr>
    </w:p>
    <w:p>
      <w:pPr>
        <w:pStyle w:val="BodyText"/>
        <w:spacing w:line="417" w:lineRule="auto"/>
        <w:ind w:left="680" w:right="6106"/>
        <w:rPr>
          <w:rFonts w:ascii="Times New Roman" w:eastAsia="Times New Roman"/>
        </w:rPr>
      </w:pPr>
      <w:r>
        <w:rPr>
          <w:spacing w:val="-2"/>
        </w:rPr>
        <w:t>联系电话：</w:t>
      </w:r>
      <w:r>
        <w:rPr>
          <w:rFonts w:ascii="Times New Roman" w:eastAsia="Times New Roman"/>
          <w:spacing w:val="-3"/>
        </w:rPr>
        <w:t>010-66060069 </w:t>
      </w:r>
      <w:r>
        <w:rPr/>
        <w:t>传真：</w:t>
      </w:r>
      <w:r>
        <w:rPr>
          <w:rFonts w:ascii="Times New Roman" w:eastAsia="Times New Roman"/>
        </w:rPr>
        <w:t>010-68121816</w:t>
      </w:r>
    </w:p>
    <w:p>
      <w:pPr>
        <w:pStyle w:val="BodyText"/>
        <w:ind w:left="680"/>
      </w:pPr>
      <w:r>
        <w:rPr/>
        <w:t>联系人：贺倩</w:t>
      </w:r>
    </w:p>
    <w:p>
      <w:pPr>
        <w:pStyle w:val="BodyText"/>
        <w:spacing w:before="7"/>
        <w:rPr>
          <w:sz w:val="15"/>
        </w:rPr>
      </w:pPr>
    </w:p>
    <w:p>
      <w:pPr>
        <w:pStyle w:val="BodyText"/>
        <w:spacing w:line="417" w:lineRule="auto"/>
        <w:ind w:left="260" w:right="385" w:firstLine="419"/>
      </w:pPr>
      <w:r>
        <w:rPr/>
        <w:t>中国农业银行股份有限公司是中国金融体系的重要组成部分</w:t>
      </w:r>
      <w:r>
        <w:rPr>
          <w:rFonts w:ascii="Times New Roman" w:hAnsi="Times New Roman" w:eastAsia="Times New Roman"/>
        </w:rPr>
        <w:t>,</w:t>
      </w:r>
      <w:r>
        <w:rPr/>
        <w:t>总行设在北京。经国务院</w:t>
      </w:r>
      <w:r>
        <w:rPr>
          <w:spacing w:val="-3"/>
        </w:rPr>
        <w:t>批准，中国农业银行整体改制为中国农业银行股份有限公司并于</w:t>
      </w:r>
      <w:r>
        <w:rPr>
          <w:rFonts w:ascii="Times New Roman" w:hAnsi="Times New Roman" w:eastAsia="Times New Roman"/>
        </w:rPr>
        <w:t>2009</w:t>
      </w:r>
      <w:r>
        <w:rPr>
          <w:spacing w:val="-3"/>
        </w:rPr>
        <w:t>年</w:t>
      </w:r>
      <w:r>
        <w:rPr>
          <w:rFonts w:ascii="Times New Roman" w:hAnsi="Times New Roman" w:eastAsia="Times New Roman"/>
        </w:rPr>
        <w:t>1</w:t>
      </w:r>
      <w:r>
        <w:rPr/>
        <w:t>月</w:t>
      </w:r>
      <w:r>
        <w:rPr>
          <w:rFonts w:ascii="Times New Roman" w:hAnsi="Times New Roman" w:eastAsia="Times New Roman"/>
        </w:rPr>
        <w:t>15</w:t>
      </w:r>
      <w:r>
        <w:rPr>
          <w:spacing w:val="-1"/>
        </w:rPr>
        <w:t>日依法成立。</w:t>
      </w:r>
      <w:r>
        <w:rPr>
          <w:spacing w:val="-3"/>
        </w:rPr>
        <w:t>中国农业银行股份有限公司承继原中国农业银行全部资产、负债、业务、机构网点和员工。中国农业银行网点遍布中国城乡，成为国内网点最多、业务辐射范围最广，服务领域最广， </w:t>
      </w:r>
      <w:r>
        <w:rPr>
          <w:spacing w:val="-9"/>
        </w:rPr>
        <w:t>服务对象最多，业务功能齐全的大型国有商业银行之一。在海外，中国农业银行同样通过自</w:t>
      </w:r>
      <w:r>
        <w:rPr>
          <w:spacing w:val="-6"/>
        </w:rPr>
        <w:t>己的努力赢得了良好的信誉，每年位居《财富》世界</w:t>
      </w:r>
      <w:r>
        <w:rPr>
          <w:rFonts w:ascii="Times New Roman" w:hAnsi="Times New Roman" w:eastAsia="Times New Roman"/>
        </w:rPr>
        <w:t>500</w:t>
      </w:r>
      <w:r>
        <w:rPr>
          <w:spacing w:val="-3"/>
        </w:rPr>
        <w:t>强企业之列。作为一家城乡并举、</w:t>
      </w:r>
      <w:r>
        <w:rPr>
          <w:spacing w:val="-18"/>
        </w:rPr>
        <w:t>联通国际、功能齐备的大型国有商业银行，中国农业银行一贯秉承以客户为中心的经营理念， </w:t>
      </w:r>
      <w:r>
        <w:rPr>
          <w:spacing w:val="-13"/>
        </w:rPr>
        <w:t>坚持审慎稳健经营、可持续发展，立足县域和城市两大市场，实施差异化竞争策略，着力打造</w:t>
      </w:r>
      <w:r>
        <w:rPr>
          <w:rFonts w:ascii="Times New Roman" w:hAnsi="Times New Roman" w:eastAsia="Times New Roman"/>
          <w:spacing w:val="-13"/>
        </w:rPr>
        <w:t>“</w:t>
      </w:r>
      <w:r>
        <w:rPr>
          <w:spacing w:val="-3"/>
        </w:rPr>
        <w:t>伴你成长</w:t>
      </w:r>
      <w:r>
        <w:rPr>
          <w:rFonts w:ascii="Times New Roman" w:hAnsi="Times New Roman" w:eastAsia="Times New Roman"/>
        </w:rPr>
        <w:t>”</w:t>
      </w:r>
      <w:r>
        <w:rPr>
          <w:spacing w:val="-16"/>
        </w:rPr>
        <w:t>服务品牌，依托覆盖全国的分支机构、庞大的电子化网络和多元化的金融产品， </w:t>
      </w:r>
      <w:r>
        <w:rPr>
          <w:spacing w:val="-7"/>
        </w:rPr>
        <w:t>致力为广大客户提供优质的金融服务，与广大客户共创价值、共同成长。</w:t>
      </w:r>
    </w:p>
    <w:p>
      <w:pPr>
        <w:pStyle w:val="BodyText"/>
        <w:spacing w:line="417" w:lineRule="auto"/>
        <w:ind w:left="260" w:right="493" w:firstLine="419"/>
        <w:jc w:val="both"/>
      </w:pPr>
      <w:r>
        <w:rPr>
          <w:spacing w:val="-7"/>
        </w:rPr>
        <w:t>中国农业银行是中国第一批开展托管业务的国内商业银行，经验丰富，服务优质，业绩</w:t>
      </w:r>
      <w:r>
        <w:rPr>
          <w:spacing w:val="-5"/>
        </w:rPr>
        <w:t>突出，</w:t>
      </w:r>
      <w:r>
        <w:rPr>
          <w:rFonts w:ascii="Times New Roman" w:hAnsi="Times New Roman" w:eastAsia="Times New Roman"/>
          <w:spacing w:val="-5"/>
        </w:rPr>
        <w:t>2004</w:t>
      </w:r>
      <w:r>
        <w:rPr>
          <w:spacing w:val="-7"/>
        </w:rPr>
        <w:t>年被英国《全球托管人》评为中国</w:t>
      </w:r>
      <w:r>
        <w:rPr>
          <w:rFonts w:ascii="Times New Roman" w:hAnsi="Times New Roman" w:eastAsia="Times New Roman"/>
        </w:rPr>
        <w:t>“</w:t>
      </w:r>
      <w:r>
        <w:rPr>
          <w:spacing w:val="-3"/>
        </w:rPr>
        <w:t>最佳托管银行</w:t>
      </w:r>
      <w:r>
        <w:rPr>
          <w:rFonts w:ascii="Times New Roman" w:hAnsi="Times New Roman" w:eastAsia="Times New Roman"/>
          <w:spacing w:val="-3"/>
        </w:rPr>
        <w:t>”</w:t>
      </w:r>
      <w:r>
        <w:rPr>
          <w:spacing w:val="-17"/>
        </w:rPr>
        <w:t>。</w:t>
      </w:r>
      <w:r>
        <w:rPr>
          <w:rFonts w:ascii="Times New Roman" w:hAnsi="Times New Roman" w:eastAsia="Times New Roman"/>
        </w:rPr>
        <w:t>2007</w:t>
      </w:r>
      <w:r>
        <w:rPr>
          <w:spacing w:val="-3"/>
        </w:rPr>
        <w:t>年中国农业银行通过了美国</w:t>
      </w:r>
      <w:r>
        <w:rPr>
          <w:rFonts w:ascii="Times New Roman" w:hAnsi="Times New Roman" w:eastAsia="Times New Roman"/>
          <w:spacing w:val="-3"/>
        </w:rPr>
        <w:t>SAS70</w:t>
      </w:r>
      <w:r>
        <w:rPr>
          <w:spacing w:val="-5"/>
        </w:rPr>
        <w:t>内部控制审计，并获得无保留意见的</w:t>
      </w:r>
      <w:r>
        <w:rPr>
          <w:rFonts w:ascii="Times New Roman" w:hAnsi="Times New Roman" w:eastAsia="Times New Roman"/>
        </w:rPr>
        <w:t>SAS70</w:t>
      </w:r>
      <w:r>
        <w:rPr>
          <w:spacing w:val="-5"/>
        </w:rPr>
        <w:t>审计报告。自</w:t>
      </w:r>
      <w:r>
        <w:rPr>
          <w:rFonts w:ascii="Times New Roman" w:hAnsi="Times New Roman" w:eastAsia="Times New Roman"/>
        </w:rPr>
        <w:t>2010</w:t>
      </w:r>
      <w:r>
        <w:rPr>
          <w:spacing w:val="-3"/>
        </w:rPr>
        <w:t>年起中国农业银行</w:t>
      </w:r>
    </w:p>
    <w:p>
      <w:pPr>
        <w:spacing w:after="0" w:line="417" w:lineRule="auto"/>
        <w:jc w:val="both"/>
        <w:sectPr>
          <w:pgSz w:w="11910" w:h="16840"/>
          <w:pgMar w:header="877" w:footer="995" w:top="1420" w:bottom="1180" w:left="1540" w:right="1300"/>
        </w:sectPr>
      </w:pPr>
    </w:p>
    <w:p>
      <w:pPr>
        <w:pStyle w:val="BodyText"/>
        <w:spacing w:line="417" w:lineRule="auto" w:before="110"/>
        <w:ind w:left="260" w:right="402"/>
      </w:pPr>
      <w:r>
        <w:rPr/>
        <w:t>连续通过托管业务国际内控标准（</w:t>
      </w:r>
      <w:r>
        <w:rPr>
          <w:rFonts w:ascii="Times New Roman" w:hAnsi="Times New Roman" w:eastAsia="Times New Roman"/>
        </w:rPr>
        <w:t>ISAE3402</w:t>
      </w:r>
      <w:r>
        <w:rPr/>
        <w:t>）认证，表明了独立公正第三方对中国农业银</w:t>
      </w:r>
      <w:r>
        <w:rPr>
          <w:spacing w:val="-8"/>
        </w:rPr>
        <w:t>行托管服务运作流程的风险管理、内部控制的健全有效性的全面认可。中国农业银行着力加</w:t>
      </w:r>
      <w:r>
        <w:rPr>
          <w:spacing w:val="-6"/>
        </w:rPr>
        <w:t>强能力建设，品牌声誉进一步提升，在</w:t>
      </w:r>
      <w:r>
        <w:rPr>
          <w:rFonts w:ascii="Times New Roman" w:hAnsi="Times New Roman" w:eastAsia="Times New Roman"/>
        </w:rPr>
        <w:t>2010</w:t>
      </w:r>
      <w:r>
        <w:rPr>
          <w:spacing w:val="-3"/>
        </w:rPr>
        <w:t>年首届</w:t>
      </w:r>
      <w:r>
        <w:rPr>
          <w:rFonts w:ascii="Times New Roman" w:hAnsi="Times New Roman" w:eastAsia="Times New Roman"/>
        </w:rPr>
        <w:t>“„</w:t>
      </w:r>
      <w:r>
        <w:rPr>
          <w:spacing w:val="-1"/>
        </w:rPr>
        <w:t>金牌理财</w:t>
      </w:r>
      <w:r>
        <w:rPr>
          <w:rFonts w:ascii="Times New Roman" w:hAnsi="Times New Roman" w:eastAsia="Times New Roman"/>
        </w:rPr>
        <w:t>‟</w:t>
      </w:r>
      <w:r>
        <w:rPr>
          <w:spacing w:val="-3"/>
        </w:rPr>
        <w:t>牌理财表明颁奖盛典</w:t>
      </w:r>
      <w:r>
        <w:rPr>
          <w:rFonts w:ascii="Times New Roman" w:hAnsi="Times New Roman" w:eastAsia="Times New Roman"/>
          <w:spacing w:val="-3"/>
        </w:rPr>
        <w:t>”</w:t>
      </w:r>
      <w:r>
        <w:rPr>
          <w:spacing w:val="-2"/>
        </w:rPr>
        <w:t>中成绩</w:t>
      </w:r>
      <w:r>
        <w:rPr>
          <w:spacing w:val="-19"/>
        </w:rPr>
        <w:t>突出，获</w:t>
      </w:r>
      <w:r>
        <w:rPr>
          <w:rFonts w:ascii="Times New Roman" w:hAnsi="Times New Roman" w:eastAsia="Times New Roman"/>
        </w:rPr>
        <w:t>“</w:t>
      </w:r>
      <w:r>
        <w:rPr>
          <w:spacing w:val="-3"/>
        </w:rPr>
        <w:t>最佳托管银行</w:t>
      </w:r>
      <w:r>
        <w:rPr>
          <w:rFonts w:ascii="Times New Roman" w:hAnsi="Times New Roman" w:eastAsia="Times New Roman"/>
          <w:spacing w:val="-3"/>
        </w:rPr>
        <w:t>”</w:t>
      </w:r>
      <w:r>
        <w:rPr>
          <w:spacing w:val="-34"/>
        </w:rPr>
        <w:t>奖。</w:t>
      </w:r>
      <w:r>
        <w:rPr>
          <w:rFonts w:ascii="Times New Roman" w:hAnsi="Times New Roman" w:eastAsia="Times New Roman"/>
        </w:rPr>
        <w:t>2010</w:t>
      </w:r>
      <w:r>
        <w:rPr>
          <w:spacing w:val="-14"/>
        </w:rPr>
        <w:t>年再次荣获《首席财务官》杂志颁发的</w:t>
      </w:r>
      <w:r>
        <w:rPr>
          <w:rFonts w:ascii="Times New Roman" w:hAnsi="Times New Roman" w:eastAsia="Times New Roman"/>
        </w:rPr>
        <w:t>“</w:t>
      </w:r>
      <w:r>
        <w:rPr>
          <w:spacing w:val="-3"/>
        </w:rPr>
        <w:t>最佳资产托管奖</w:t>
      </w:r>
      <w:r>
        <w:rPr>
          <w:rFonts w:ascii="Times New Roman" w:hAnsi="Times New Roman" w:eastAsia="Times New Roman"/>
          <w:spacing w:val="-3"/>
        </w:rPr>
        <w:t>”</w:t>
      </w:r>
      <w:r>
        <w:rPr/>
        <w:t>。</w:t>
      </w:r>
      <w:r>
        <w:rPr>
          <w:rFonts w:ascii="Times New Roman" w:hAnsi="Times New Roman" w:eastAsia="Times New Roman"/>
        </w:rPr>
        <w:t>2012</w:t>
      </w:r>
      <w:r>
        <w:rPr>
          <w:spacing w:val="-3"/>
        </w:rPr>
        <w:t>年荣获第十届中国财经风云榜</w:t>
      </w:r>
      <w:r>
        <w:rPr>
          <w:rFonts w:ascii="Times New Roman" w:hAnsi="Times New Roman" w:eastAsia="Times New Roman"/>
          <w:spacing w:val="-3"/>
        </w:rPr>
        <w:t>“</w:t>
      </w:r>
      <w:r>
        <w:rPr>
          <w:spacing w:val="-3"/>
        </w:rPr>
        <w:t>最佳资产托管银行</w:t>
      </w:r>
      <w:r>
        <w:rPr>
          <w:rFonts w:ascii="Times New Roman" w:hAnsi="Times New Roman" w:eastAsia="Times New Roman"/>
        </w:rPr>
        <w:t>”</w:t>
      </w:r>
      <w:r>
        <w:rPr>
          <w:spacing w:val="-7"/>
        </w:rPr>
        <w:t>称号；</w:t>
      </w:r>
      <w:r>
        <w:rPr>
          <w:rFonts w:ascii="Times New Roman" w:hAnsi="Times New Roman" w:eastAsia="Times New Roman"/>
          <w:spacing w:val="-16"/>
        </w:rPr>
        <w:t>2013</w:t>
      </w:r>
      <w:r>
        <w:rPr>
          <w:spacing w:val="-2"/>
        </w:rPr>
        <w:t>年至</w:t>
      </w:r>
      <w:r>
        <w:rPr>
          <w:rFonts w:ascii="Times New Roman" w:hAnsi="Times New Roman" w:eastAsia="Times New Roman"/>
        </w:rPr>
        <w:t>2017</w:t>
      </w:r>
      <w:r>
        <w:rPr>
          <w:spacing w:val="-3"/>
        </w:rPr>
        <w:t>年连续荣获上海清算所授予的</w:t>
      </w:r>
      <w:r>
        <w:rPr>
          <w:rFonts w:ascii="Times New Roman" w:hAnsi="Times New Roman" w:eastAsia="Times New Roman"/>
          <w:spacing w:val="-3"/>
        </w:rPr>
        <w:t>“</w:t>
      </w:r>
      <w:r>
        <w:rPr>
          <w:spacing w:val="-3"/>
        </w:rPr>
        <w:t>托管银行优秀奖</w:t>
      </w:r>
      <w:r>
        <w:rPr>
          <w:rFonts w:ascii="Times New Roman" w:hAnsi="Times New Roman" w:eastAsia="Times New Roman"/>
          <w:spacing w:val="-3"/>
        </w:rPr>
        <w:t>”</w:t>
      </w:r>
      <w:r>
        <w:rPr>
          <w:spacing w:val="-3"/>
        </w:rPr>
        <w:t>和中央国债登记结算有限责任公司授予的</w:t>
      </w:r>
      <w:r>
        <w:rPr>
          <w:rFonts w:ascii="Times New Roman" w:hAnsi="Times New Roman" w:eastAsia="Times New Roman"/>
          <w:spacing w:val="-3"/>
        </w:rPr>
        <w:t>“</w:t>
      </w:r>
      <w:r>
        <w:rPr>
          <w:spacing w:val="-3"/>
        </w:rPr>
        <w:t>优秀托管机构奖</w:t>
      </w:r>
      <w:r>
        <w:rPr>
          <w:rFonts w:ascii="Times New Roman" w:hAnsi="Times New Roman" w:eastAsia="Times New Roman"/>
          <w:spacing w:val="-13"/>
        </w:rPr>
        <w:t>” </w:t>
      </w:r>
      <w:r>
        <w:rPr>
          <w:spacing w:val="-2"/>
        </w:rPr>
        <w:t>称号；</w:t>
      </w:r>
      <w:r>
        <w:rPr>
          <w:rFonts w:ascii="Times New Roman" w:hAnsi="Times New Roman" w:eastAsia="Times New Roman"/>
          <w:spacing w:val="-6"/>
        </w:rPr>
        <w:t>2015</w:t>
      </w:r>
      <w:r>
        <w:rPr>
          <w:spacing w:val="-12"/>
        </w:rPr>
        <w:t>年、</w:t>
      </w:r>
      <w:r>
        <w:rPr>
          <w:rFonts w:ascii="Times New Roman" w:hAnsi="Times New Roman" w:eastAsia="Times New Roman"/>
        </w:rPr>
        <w:t>2016</w:t>
      </w:r>
      <w:r>
        <w:rPr>
          <w:spacing w:val="-3"/>
        </w:rPr>
        <w:t>年荣获中国银行业协会授予的</w:t>
      </w:r>
      <w:r>
        <w:rPr>
          <w:rFonts w:ascii="Times New Roman" w:hAnsi="Times New Roman" w:eastAsia="Times New Roman"/>
          <w:spacing w:val="-3"/>
        </w:rPr>
        <w:t>“</w:t>
      </w:r>
      <w:r>
        <w:rPr>
          <w:spacing w:val="-3"/>
        </w:rPr>
        <w:t>养老金业务最佳发展奖</w:t>
      </w:r>
      <w:r>
        <w:rPr>
          <w:rFonts w:ascii="Times New Roman" w:hAnsi="Times New Roman" w:eastAsia="Times New Roman"/>
          <w:spacing w:val="-3"/>
        </w:rPr>
        <w:t>”</w:t>
      </w:r>
      <w:r>
        <w:rPr>
          <w:spacing w:val="-4"/>
        </w:rPr>
        <w:t>称号；</w:t>
      </w:r>
      <w:r>
        <w:rPr>
          <w:rFonts w:ascii="Times New Roman" w:hAnsi="Times New Roman" w:eastAsia="Times New Roman"/>
          <w:spacing w:val="-6"/>
        </w:rPr>
        <w:t>2018</w:t>
      </w:r>
      <w:r>
        <w:rPr>
          <w:spacing w:val="-3"/>
        </w:rPr>
        <w:t>年荣</w:t>
      </w:r>
      <w:r>
        <w:rPr>
          <w:spacing w:val="6"/>
        </w:rPr>
        <w:t>获中国基金报授予的公募基金</w:t>
      </w:r>
      <w:r>
        <w:rPr>
          <w:rFonts w:ascii="Times New Roman" w:hAnsi="Times New Roman" w:eastAsia="Times New Roman"/>
          <w:spacing w:val="3"/>
        </w:rPr>
        <w:t>20</w:t>
      </w:r>
      <w:r>
        <w:rPr>
          <w:spacing w:val="9"/>
        </w:rPr>
        <w:t>年</w:t>
      </w:r>
      <w:r>
        <w:rPr>
          <w:rFonts w:ascii="Times New Roman" w:hAnsi="Times New Roman" w:eastAsia="Times New Roman"/>
          <w:spacing w:val="7"/>
        </w:rPr>
        <w:t>“</w:t>
      </w:r>
      <w:r>
        <w:rPr>
          <w:spacing w:val="6"/>
        </w:rPr>
        <w:t>最佳基金托管银行</w:t>
      </w:r>
      <w:r>
        <w:rPr>
          <w:rFonts w:ascii="Times New Roman" w:hAnsi="Times New Roman" w:eastAsia="Times New Roman"/>
          <w:spacing w:val="7"/>
        </w:rPr>
        <w:t>”</w:t>
      </w:r>
      <w:r>
        <w:rPr>
          <w:spacing w:val="5"/>
        </w:rPr>
        <w:t>奖；</w:t>
      </w:r>
      <w:r>
        <w:rPr>
          <w:rFonts w:ascii="Times New Roman" w:hAnsi="Times New Roman" w:eastAsia="Times New Roman"/>
          <w:spacing w:val="2"/>
        </w:rPr>
        <w:t>2019</w:t>
      </w:r>
      <w:r>
        <w:rPr>
          <w:spacing w:val="5"/>
        </w:rPr>
        <w:t>年荣获证券时报授予的“</w:t>
      </w:r>
      <w:r>
        <w:rPr>
          <w:rFonts w:ascii="Times New Roman" w:hAnsi="Times New Roman" w:eastAsia="Times New Roman"/>
          <w:spacing w:val="5"/>
        </w:rPr>
        <w:t>2019</w:t>
      </w:r>
      <w:r>
        <w:rPr>
          <w:spacing w:val="-3"/>
        </w:rPr>
        <w:t>年度资产托管银行天玑奖”称号。</w:t>
      </w:r>
    </w:p>
    <w:p>
      <w:pPr>
        <w:pStyle w:val="BodyText"/>
        <w:spacing w:line="417" w:lineRule="auto"/>
        <w:ind w:left="260" w:right="282" w:firstLine="419"/>
      </w:pPr>
      <w:r>
        <w:rPr>
          <w:spacing w:val="-3"/>
        </w:rPr>
        <w:t>中国农业银行证券投资基金托管部于</w:t>
      </w:r>
      <w:r>
        <w:rPr>
          <w:rFonts w:ascii="Times New Roman" w:eastAsia="Times New Roman"/>
        </w:rPr>
        <w:t>1998</w:t>
      </w:r>
      <w:r>
        <w:rPr/>
        <w:t>年</w:t>
      </w:r>
      <w:r>
        <w:rPr>
          <w:rFonts w:ascii="Times New Roman" w:eastAsia="Times New Roman"/>
          <w:spacing w:val="-3"/>
        </w:rPr>
        <w:t>5</w:t>
      </w:r>
      <w:r>
        <w:rPr>
          <w:spacing w:val="-3"/>
        </w:rPr>
        <w:t>月经中国证监会和中国人民银行批准成立， </w:t>
      </w:r>
      <w:r>
        <w:rPr>
          <w:spacing w:val="-10"/>
        </w:rPr>
        <w:t>目前内设综合管理部、业务管理部、客户一部、客户二部、客户三部、客户四部、风险合规 </w:t>
      </w:r>
      <w:r>
        <w:rPr>
          <w:spacing w:val="-21"/>
        </w:rPr>
        <w:t>部、产品研发与信息技术部、营运一部、营运二部、市场营销部、内控监管部、账户管理部， </w:t>
      </w:r>
      <w:r>
        <w:rPr>
          <w:spacing w:val="-8"/>
        </w:rPr>
        <w:t>拥有先进的安全防范设施和基金托管业务系统。</w:t>
      </w:r>
    </w:p>
    <w:p>
      <w:pPr>
        <w:pStyle w:val="BodyText"/>
        <w:spacing w:line="268" w:lineRule="exact"/>
        <w:ind w:left="680"/>
      </w:pPr>
      <w:r>
        <w:rPr>
          <w:rFonts w:ascii="Times New Roman" w:eastAsia="Times New Roman"/>
        </w:rPr>
        <w:t>2</w:t>
      </w:r>
      <w:r>
        <w:rPr/>
        <w:t>、主要人员情况</w:t>
      </w:r>
    </w:p>
    <w:p>
      <w:pPr>
        <w:pStyle w:val="BodyText"/>
        <w:spacing w:before="6"/>
        <w:rPr>
          <w:sz w:val="15"/>
        </w:rPr>
      </w:pPr>
    </w:p>
    <w:p>
      <w:pPr>
        <w:pStyle w:val="BodyText"/>
        <w:spacing w:line="417" w:lineRule="auto"/>
        <w:ind w:left="260" w:right="491" w:firstLine="419"/>
        <w:jc w:val="both"/>
      </w:pPr>
      <w:r>
        <w:rPr>
          <w:spacing w:val="-3"/>
        </w:rPr>
        <w:t>中国农业银行托管业务部现有员工近</w:t>
      </w:r>
      <w:r>
        <w:rPr>
          <w:rFonts w:ascii="Times New Roman" w:eastAsia="Times New Roman"/>
        </w:rPr>
        <w:t>310</w:t>
      </w:r>
      <w:r>
        <w:rPr>
          <w:spacing w:val="-3"/>
        </w:rPr>
        <w:t>名，其中具有高级职称的专家</w:t>
      </w:r>
      <w:r>
        <w:rPr>
          <w:rFonts w:ascii="Times New Roman" w:eastAsia="Times New Roman"/>
        </w:rPr>
        <w:t>60</w:t>
      </w:r>
      <w:r>
        <w:rPr>
          <w:spacing w:val="-3"/>
        </w:rPr>
        <w:t>名，服务团队</w:t>
      </w:r>
      <w:r>
        <w:rPr>
          <w:spacing w:val="-11"/>
        </w:rPr>
        <w:t>成员专业水平高、业务素质好、服务能力强，高级管理层均有</w:t>
      </w:r>
      <w:r>
        <w:rPr>
          <w:rFonts w:ascii="Times New Roman" w:eastAsia="Times New Roman"/>
        </w:rPr>
        <w:t>20</w:t>
      </w:r>
      <w:r>
        <w:rPr>
          <w:spacing w:val="-3"/>
        </w:rPr>
        <w:t>年以上金融从业经验和高级技术职称，精通国内外证券市场的运作。</w:t>
      </w:r>
    </w:p>
    <w:p>
      <w:pPr>
        <w:pStyle w:val="BodyText"/>
        <w:spacing w:line="269" w:lineRule="exact"/>
        <w:ind w:left="680"/>
      </w:pPr>
      <w:r>
        <w:rPr>
          <w:rFonts w:ascii="Times New Roman" w:eastAsia="Times New Roman"/>
        </w:rPr>
        <w:t>3</w:t>
      </w:r>
      <w:r>
        <w:rPr/>
        <w:t>、基金托管业务经营情况</w:t>
      </w:r>
    </w:p>
    <w:p>
      <w:pPr>
        <w:pStyle w:val="BodyText"/>
        <w:spacing w:before="6"/>
        <w:rPr>
          <w:sz w:val="15"/>
        </w:rPr>
      </w:pPr>
    </w:p>
    <w:p>
      <w:pPr>
        <w:pStyle w:val="BodyText"/>
        <w:spacing w:line="417" w:lineRule="auto" w:before="1"/>
        <w:ind w:left="260" w:right="493" w:firstLine="419"/>
      </w:pPr>
      <w:r>
        <w:rPr/>
        <w:t>截止到</w:t>
      </w:r>
      <w:r>
        <w:rPr>
          <w:rFonts w:ascii="Times New Roman" w:eastAsia="Times New Roman"/>
        </w:rPr>
        <w:t>2020</w:t>
      </w:r>
      <w:r>
        <w:rPr/>
        <w:t>年</w:t>
      </w:r>
      <w:r>
        <w:rPr>
          <w:rFonts w:ascii="Times New Roman" w:eastAsia="Times New Roman"/>
        </w:rPr>
        <w:t>6</w:t>
      </w:r>
      <w:r>
        <w:rPr/>
        <w:t>月</w:t>
      </w:r>
      <w:r>
        <w:rPr>
          <w:rFonts w:ascii="Times New Roman" w:eastAsia="Times New Roman"/>
        </w:rPr>
        <w:t>30</w:t>
      </w:r>
      <w:r>
        <w:rPr/>
        <w:t>日，中国农业银行托管的封闭式证券投资基金和开放式证券投资基金共</w:t>
      </w:r>
      <w:r>
        <w:rPr>
          <w:rFonts w:ascii="Times New Roman" w:eastAsia="Times New Roman"/>
        </w:rPr>
        <w:t>529</w:t>
      </w:r>
      <w:r>
        <w:rPr/>
        <w:t>只。</w:t>
      </w:r>
    </w:p>
    <w:p>
      <w:pPr>
        <w:pStyle w:val="BodyText"/>
        <w:spacing w:line="269" w:lineRule="exact"/>
        <w:ind w:left="680"/>
      </w:pPr>
      <w:r>
        <w:rPr/>
        <w:t>（二）基金托管人的内部风险控制制度说明</w:t>
      </w:r>
    </w:p>
    <w:p>
      <w:pPr>
        <w:pStyle w:val="BodyText"/>
        <w:spacing w:before="7"/>
        <w:rPr>
          <w:sz w:val="15"/>
        </w:rPr>
      </w:pPr>
    </w:p>
    <w:p>
      <w:pPr>
        <w:pStyle w:val="BodyText"/>
        <w:ind w:left="680"/>
      </w:pPr>
      <w:r>
        <w:rPr>
          <w:rFonts w:ascii="Times New Roman" w:eastAsia="Times New Roman"/>
        </w:rPr>
        <w:t>1</w:t>
      </w:r>
      <w:r>
        <w:rPr/>
        <w:t>、内部控制目标</w:t>
      </w:r>
    </w:p>
    <w:p>
      <w:pPr>
        <w:pStyle w:val="BodyText"/>
        <w:spacing w:before="7"/>
        <w:rPr>
          <w:sz w:val="15"/>
        </w:rPr>
      </w:pPr>
    </w:p>
    <w:p>
      <w:pPr>
        <w:pStyle w:val="BodyText"/>
        <w:spacing w:line="417" w:lineRule="auto"/>
        <w:ind w:left="260" w:right="385" w:firstLine="419"/>
      </w:pPr>
      <w:r>
        <w:rPr>
          <w:spacing w:val="-12"/>
        </w:rPr>
        <w:t>严格遵守国家有关托管业务的法律法规、行业监管规章和行内有关管理规定，守法经营、规范运作、严格监察，确保业务的稳健运行，保证基金财产的安全完整，确保有关信息的真</w:t>
      </w:r>
      <w:r>
        <w:rPr>
          <w:spacing w:val="-6"/>
        </w:rPr>
        <w:t>实、准确、完整、及时，保护基金份额持有人的合法权益。</w:t>
      </w:r>
    </w:p>
    <w:p>
      <w:pPr>
        <w:pStyle w:val="BodyText"/>
        <w:spacing w:line="269" w:lineRule="exact"/>
        <w:ind w:left="680"/>
      </w:pPr>
      <w:r>
        <w:rPr>
          <w:rFonts w:ascii="Times New Roman" w:eastAsia="Times New Roman"/>
        </w:rPr>
        <w:t>2</w:t>
      </w:r>
      <w:r>
        <w:rPr/>
        <w:t>、内部控制组织结构</w:t>
      </w:r>
    </w:p>
    <w:p>
      <w:pPr>
        <w:pStyle w:val="BodyText"/>
        <w:spacing w:before="6"/>
        <w:rPr>
          <w:sz w:val="15"/>
        </w:rPr>
      </w:pPr>
    </w:p>
    <w:p>
      <w:pPr>
        <w:pStyle w:val="BodyText"/>
        <w:spacing w:line="417" w:lineRule="auto" w:before="1"/>
        <w:ind w:left="260" w:right="491" w:firstLine="419"/>
        <w:jc w:val="both"/>
      </w:pPr>
      <w:r>
        <w:rPr>
          <w:spacing w:val="-7"/>
        </w:rPr>
        <w:t>风险管理委员会总体负责中国农业银行的风险管理与内部控制工作，对托管业务风险管</w:t>
      </w:r>
      <w:r>
        <w:rPr>
          <w:spacing w:val="-10"/>
        </w:rPr>
        <w:t>理和内部控制工作进行监督和评价。托管业务部专门设置了风险管理处，配备了专职内控监</w:t>
      </w:r>
      <w:r>
        <w:rPr>
          <w:spacing w:val="-5"/>
        </w:rPr>
        <w:t>督人员负责托管业务的内控监督工作，独立行使监督稽核职权。</w:t>
      </w:r>
    </w:p>
    <w:p>
      <w:pPr>
        <w:pStyle w:val="BodyText"/>
        <w:ind w:left="680"/>
      </w:pPr>
      <w:r>
        <w:rPr>
          <w:rFonts w:ascii="Times New Roman" w:eastAsia="Times New Roman"/>
        </w:rPr>
        <w:t>3</w:t>
      </w:r>
      <w:r>
        <w:rPr/>
        <w:t>、内部控制制度及措施</w:t>
      </w:r>
    </w:p>
    <w:p>
      <w:pPr>
        <w:spacing w:after="0"/>
        <w:sectPr>
          <w:pgSz w:w="11910" w:h="16840"/>
          <w:pgMar w:header="877" w:footer="995" w:top="1420" w:bottom="1180" w:left="1540" w:right="1300"/>
        </w:sectPr>
      </w:pPr>
    </w:p>
    <w:p>
      <w:pPr>
        <w:pStyle w:val="BodyText"/>
        <w:spacing w:line="417" w:lineRule="auto" w:before="110"/>
        <w:ind w:left="260" w:right="491" w:firstLine="419"/>
        <w:jc w:val="both"/>
      </w:pPr>
      <w:r>
        <w:rPr>
          <w:spacing w:val="-9"/>
        </w:rPr>
        <w:t>具备系统、完善的制度控制体系，建立了管理制度、控制制度、岗位职责、业务操作流</w:t>
      </w:r>
      <w:r>
        <w:rPr>
          <w:spacing w:val="-10"/>
        </w:rPr>
        <w:t>程，可以保证托管业务的规范操作和顺利进行；业务人员具备从业资格；业务管理实行严格</w:t>
      </w:r>
      <w:r>
        <w:rPr>
          <w:spacing w:val="-13"/>
        </w:rPr>
        <w:t>的复核、审核、检查制度，授权工作实行集中控制，业务印章按规程保管、存放、使用，账</w:t>
      </w:r>
      <w:r>
        <w:rPr>
          <w:spacing w:val="-12"/>
        </w:rPr>
        <w:t>户资料严格保管，制约机制严格有效；业务操作区专门设置，封闭管理，实施音像监控；业</w:t>
      </w:r>
      <w:r>
        <w:rPr>
          <w:spacing w:val="-11"/>
        </w:rPr>
        <w:t>务信息由专职信息披露人负责，防止泄密；业务实现自动化操作，防止人为事故的发生，技</w:t>
      </w:r>
      <w:r>
        <w:rPr>
          <w:spacing w:val="-6"/>
        </w:rPr>
        <w:t>术系统完整、独立。</w:t>
      </w:r>
    </w:p>
    <w:p>
      <w:pPr>
        <w:pStyle w:val="BodyText"/>
        <w:spacing w:line="268" w:lineRule="exact"/>
        <w:ind w:left="680"/>
      </w:pPr>
      <w:r>
        <w:rPr/>
        <w:t>（三）基金托管人对基金管理人运作基金进行监督的方法和程序</w:t>
      </w:r>
    </w:p>
    <w:p>
      <w:pPr>
        <w:pStyle w:val="BodyText"/>
        <w:spacing w:before="7"/>
        <w:rPr>
          <w:sz w:val="15"/>
        </w:rPr>
      </w:pPr>
    </w:p>
    <w:p>
      <w:pPr>
        <w:pStyle w:val="BodyText"/>
        <w:spacing w:line="417" w:lineRule="auto"/>
        <w:ind w:left="260" w:right="491" w:firstLine="419"/>
        <w:jc w:val="both"/>
      </w:pPr>
      <w:r>
        <w:rPr>
          <w:spacing w:val="-20"/>
        </w:rPr>
        <w:t>基金托管人通过参数设置将《基金法》、《运作办法》、基金合同、托管协议规定的投资</w:t>
      </w:r>
      <w:r>
        <w:rPr>
          <w:spacing w:val="-12"/>
        </w:rPr>
        <w:t>比例和禁止投资品种输入监控系统，每日登录监控系统监督基金管理人的投资运作，并通过</w:t>
      </w:r>
      <w:r>
        <w:rPr>
          <w:spacing w:val="-6"/>
        </w:rPr>
        <w:t>基金资金账户、基金管理人的投资指令等监督基金管理人的其他行为。</w:t>
      </w:r>
    </w:p>
    <w:p>
      <w:pPr>
        <w:pStyle w:val="BodyText"/>
        <w:spacing w:line="269" w:lineRule="exact"/>
        <w:ind w:left="680"/>
      </w:pPr>
      <w:r>
        <w:rPr/>
        <w:t>当基金出现异常交易行为时，基金托管人应当针对不同情况进行以下方式的处理：</w:t>
      </w:r>
    </w:p>
    <w:p>
      <w:pPr>
        <w:pStyle w:val="BodyText"/>
        <w:spacing w:before="7"/>
        <w:rPr>
          <w:sz w:val="15"/>
        </w:rPr>
      </w:pPr>
    </w:p>
    <w:p>
      <w:pPr>
        <w:pStyle w:val="BodyText"/>
        <w:ind w:left="680"/>
      </w:pPr>
      <w:r>
        <w:rPr>
          <w:rFonts w:ascii="Times New Roman" w:eastAsia="Times New Roman"/>
        </w:rPr>
        <w:t>1</w:t>
      </w:r>
      <w:r>
        <w:rPr/>
        <w:t>、电话提示。对媒体和舆论反映集中的问题，电话提示基金管理人；</w:t>
      </w:r>
    </w:p>
    <w:p>
      <w:pPr>
        <w:pStyle w:val="BodyText"/>
        <w:spacing w:before="6"/>
        <w:rPr>
          <w:sz w:val="15"/>
        </w:rPr>
      </w:pPr>
    </w:p>
    <w:p>
      <w:pPr>
        <w:pStyle w:val="BodyText"/>
        <w:spacing w:line="417" w:lineRule="auto" w:before="1"/>
        <w:ind w:left="260" w:right="494" w:firstLine="419"/>
      </w:pPr>
      <w:r>
        <w:rPr>
          <w:rFonts w:ascii="Times New Roman" w:eastAsia="Times New Roman"/>
        </w:rPr>
        <w:t>2</w:t>
      </w:r>
      <w:r>
        <w:rPr/>
        <w:t>、书面警示。对本基金投资比例接近超标、资金头寸不足等问题，以书面方式对基金管理人进行提示；</w:t>
      </w:r>
    </w:p>
    <w:p>
      <w:pPr>
        <w:pStyle w:val="BodyText"/>
        <w:spacing w:line="417" w:lineRule="auto"/>
        <w:ind w:left="260" w:right="494" w:firstLine="419"/>
      </w:pPr>
      <w:r>
        <w:rPr>
          <w:rFonts w:ascii="Times New Roman" w:eastAsia="Times New Roman"/>
        </w:rPr>
        <w:t>3</w:t>
      </w:r>
      <w:r>
        <w:rPr/>
        <w:t>、书面报告。对投资比例超标、清算资金透支以及其他涉嫌违规交易等行为，书面提示有关基金管理人并报中国证监会。</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pPr>
      <w:bookmarkStart w:name="_bookmark4" w:id="5"/>
      <w:bookmarkEnd w:id="5"/>
      <w:r>
        <w:rPr>
          <w:b w:val="0"/>
        </w:rPr>
      </w:r>
      <w:r>
        <w:rPr/>
        <w:t>五、相关服务机构</w:t>
      </w:r>
    </w:p>
    <w:p>
      <w:pPr>
        <w:pStyle w:val="BodyText"/>
        <w:rPr>
          <w:b/>
          <w:sz w:val="20"/>
        </w:rPr>
      </w:pPr>
    </w:p>
    <w:p>
      <w:pPr>
        <w:pStyle w:val="BodyText"/>
        <w:spacing w:before="8"/>
        <w:rPr>
          <w:b/>
          <w:sz w:val="15"/>
        </w:rPr>
      </w:pPr>
    </w:p>
    <w:p>
      <w:pPr>
        <w:pStyle w:val="BodyText"/>
        <w:spacing w:before="71"/>
        <w:ind w:left="680"/>
      </w:pPr>
      <w:r>
        <w:rPr/>
        <w:t>（一）销售机构</w:t>
      </w:r>
    </w:p>
    <w:p>
      <w:pPr>
        <w:pStyle w:val="BodyText"/>
        <w:spacing w:before="7"/>
        <w:rPr>
          <w:sz w:val="15"/>
        </w:rPr>
      </w:pPr>
    </w:p>
    <w:p>
      <w:pPr>
        <w:pStyle w:val="BodyText"/>
        <w:ind w:left="680"/>
      </w:pPr>
      <w:r>
        <w:rPr>
          <w:rFonts w:ascii="Times New Roman" w:eastAsia="Times New Roman"/>
        </w:rPr>
        <w:t>1</w:t>
      </w:r>
      <w:r>
        <w:rPr/>
        <w:t>、直销机构</w:t>
      </w:r>
    </w:p>
    <w:p>
      <w:pPr>
        <w:pStyle w:val="BodyText"/>
        <w:spacing w:before="7"/>
        <w:rPr>
          <w:sz w:val="15"/>
        </w:rPr>
      </w:pPr>
    </w:p>
    <w:p>
      <w:pPr>
        <w:pStyle w:val="BodyText"/>
        <w:ind w:left="680"/>
      </w:pPr>
      <w:r>
        <w:rPr/>
        <w:t>名称：华夏基金管理有限公司</w:t>
      </w:r>
    </w:p>
    <w:p>
      <w:pPr>
        <w:pStyle w:val="BodyText"/>
        <w:spacing w:before="6"/>
        <w:rPr>
          <w:sz w:val="15"/>
        </w:rPr>
      </w:pPr>
    </w:p>
    <w:p>
      <w:pPr>
        <w:pStyle w:val="BodyText"/>
        <w:ind w:left="68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680" w:right="298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before="1"/>
        <w:ind w:left="680" w:right="572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680"/>
      </w:pPr>
      <w:r>
        <w:rPr/>
        <w:t>联系人：张德根</w:t>
      </w:r>
    </w:p>
    <w:p>
      <w:pPr>
        <w:pStyle w:val="BodyText"/>
        <w:spacing w:before="6"/>
        <w:rPr>
          <w:sz w:val="15"/>
        </w:rPr>
      </w:pPr>
    </w:p>
    <w:p>
      <w:pPr>
        <w:pStyle w:val="BodyText"/>
        <w:spacing w:line="417" w:lineRule="auto"/>
        <w:ind w:left="680" w:right="5831"/>
      </w:pPr>
      <w:r>
        <w:rPr/>
        <w:t>网址：</w:t>
      </w:r>
      <w:hyperlink r:id="rId13">
        <w:r>
          <w:rPr>
            <w:rFonts w:ascii="Times New Roman" w:eastAsia="Times New Roman"/>
          </w:rPr>
          <w:t>www.ChinaAMC.com</w:t>
        </w:r>
      </w:hyperlink>
      <w:r>
        <w:rPr>
          <w:rFonts w:ascii="Times New Roman" w:eastAsia="Times New Roman"/>
        </w:rPr>
        <w:t> 2</w:t>
      </w:r>
      <w:r>
        <w:rPr/>
        <w:t>、代销机构</w:t>
      </w:r>
    </w:p>
    <w:p>
      <w:pPr>
        <w:pStyle w:val="ListParagraph"/>
        <w:numPr>
          <w:ilvl w:val="0"/>
          <w:numId w:val="7"/>
        </w:numPr>
        <w:tabs>
          <w:tab w:pos="1210" w:val="left" w:leader="none"/>
        </w:tabs>
        <w:spacing w:line="269" w:lineRule="exact" w:before="0" w:after="0"/>
        <w:ind w:left="1209" w:right="0" w:hanging="530"/>
        <w:jc w:val="left"/>
        <w:rPr>
          <w:sz w:val="21"/>
        </w:rPr>
      </w:pPr>
      <w:r>
        <w:rPr>
          <w:spacing w:val="-3"/>
          <w:sz w:val="21"/>
        </w:rPr>
        <w:t>中国工商银行股份有限公司</w:t>
      </w:r>
    </w:p>
    <w:p>
      <w:pPr>
        <w:pStyle w:val="BodyText"/>
        <w:spacing w:before="7"/>
        <w:rPr>
          <w:sz w:val="15"/>
        </w:rPr>
      </w:pPr>
    </w:p>
    <w:p>
      <w:pPr>
        <w:pStyle w:val="BodyText"/>
        <w:ind w:left="680"/>
      </w:pPr>
      <w:r>
        <w:rPr/>
        <w:t>住所：北京市西城区复兴门内大街</w:t>
      </w:r>
      <w:r>
        <w:rPr>
          <w:rFonts w:ascii="Times New Roman" w:eastAsia="Times New Roman"/>
        </w:rPr>
        <w:t>55</w:t>
      </w:r>
      <w:r>
        <w:rPr/>
        <w:t>号</w:t>
      </w:r>
    </w:p>
    <w:p>
      <w:pPr>
        <w:pStyle w:val="BodyText"/>
        <w:spacing w:before="7"/>
        <w:rPr>
          <w:sz w:val="15"/>
        </w:rPr>
      </w:pPr>
    </w:p>
    <w:p>
      <w:pPr>
        <w:pStyle w:val="BodyText"/>
        <w:spacing w:line="417" w:lineRule="auto"/>
        <w:ind w:left="680" w:right="4389"/>
      </w:pPr>
      <w:r>
        <w:rPr>
          <w:spacing w:val="-3"/>
        </w:rPr>
        <w:t>办公地址：北京市西城区复兴门内大街</w:t>
      </w:r>
      <w:r>
        <w:rPr>
          <w:rFonts w:ascii="Times New Roman" w:eastAsia="Times New Roman"/>
        </w:rPr>
        <w:t>55</w:t>
      </w:r>
      <w:r>
        <w:rPr>
          <w:spacing w:val="-12"/>
        </w:rPr>
        <w:t>号</w:t>
      </w:r>
      <w:r>
        <w:rPr>
          <w:spacing w:val="-3"/>
        </w:rPr>
        <w:t>法定代表人：陈四清</w:t>
      </w:r>
    </w:p>
    <w:p>
      <w:pPr>
        <w:pStyle w:val="BodyText"/>
        <w:spacing w:line="417" w:lineRule="auto"/>
        <w:ind w:left="680" w:right="638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spacing w:line="269" w:lineRule="exact"/>
        <w:ind w:left="680"/>
      </w:pPr>
      <w:r>
        <w:rPr/>
        <w:t>联系人：王佺</w:t>
      </w:r>
    </w:p>
    <w:p>
      <w:pPr>
        <w:pStyle w:val="BodyText"/>
        <w:spacing w:before="6"/>
        <w:rPr>
          <w:sz w:val="15"/>
        </w:rPr>
      </w:pPr>
    </w:p>
    <w:p>
      <w:pPr>
        <w:pStyle w:val="BodyText"/>
        <w:spacing w:before="1"/>
        <w:ind w:left="680"/>
        <w:rPr>
          <w:rFonts w:ascii="Times New Roman" w:eastAsia="Times New Roman"/>
        </w:rPr>
      </w:pPr>
      <w:r>
        <w:rPr/>
        <w:t>网址：</w:t>
      </w:r>
      <w:hyperlink r:id="rId14">
        <w:r>
          <w:rPr>
            <w:rFonts w:ascii="Times New Roman" w:eastAsia="Times New Roman"/>
          </w:rPr>
          <w:t>www.icbc.com.cn</w:t>
        </w:r>
      </w:hyperlink>
    </w:p>
    <w:p>
      <w:pPr>
        <w:pStyle w:val="BodyText"/>
        <w:spacing w:before="3"/>
        <w:rPr>
          <w:rFonts w:ascii="Times New Roman"/>
          <w:sz w:val="17"/>
        </w:rPr>
      </w:pPr>
    </w:p>
    <w:p>
      <w:pPr>
        <w:pStyle w:val="ListParagraph"/>
        <w:numPr>
          <w:ilvl w:val="0"/>
          <w:numId w:val="7"/>
        </w:numPr>
        <w:tabs>
          <w:tab w:pos="1210" w:val="left" w:leader="none"/>
        </w:tabs>
        <w:spacing w:line="240" w:lineRule="auto" w:before="1" w:after="0"/>
        <w:ind w:left="1209" w:right="0" w:hanging="530"/>
        <w:jc w:val="left"/>
        <w:rPr>
          <w:sz w:val="21"/>
        </w:rPr>
      </w:pPr>
      <w:r>
        <w:rPr>
          <w:spacing w:val="-3"/>
          <w:sz w:val="21"/>
        </w:rPr>
        <w:t>中国农业银行股份有限公司</w:t>
      </w:r>
    </w:p>
    <w:p>
      <w:pPr>
        <w:pStyle w:val="BodyText"/>
        <w:spacing w:before="6"/>
        <w:rPr>
          <w:sz w:val="15"/>
        </w:rPr>
      </w:pPr>
    </w:p>
    <w:p>
      <w:pPr>
        <w:pStyle w:val="BodyText"/>
        <w:ind w:left="680"/>
      </w:pPr>
      <w:r>
        <w:rPr/>
        <w:t>住所：北京市东城区建国门内大街</w:t>
      </w:r>
      <w:r>
        <w:rPr>
          <w:rFonts w:ascii="Times New Roman" w:eastAsia="Times New Roman"/>
        </w:rPr>
        <w:t>69</w:t>
      </w:r>
      <w:r>
        <w:rPr/>
        <w:t>号</w:t>
      </w:r>
    </w:p>
    <w:p>
      <w:pPr>
        <w:pStyle w:val="BodyText"/>
        <w:spacing w:before="7"/>
        <w:rPr>
          <w:sz w:val="15"/>
        </w:rPr>
      </w:pPr>
    </w:p>
    <w:p>
      <w:pPr>
        <w:pStyle w:val="BodyText"/>
        <w:spacing w:line="417" w:lineRule="auto"/>
        <w:ind w:left="680" w:right="4389"/>
      </w:pPr>
      <w:r>
        <w:rPr/>
        <w:t>办公地址：北京市东城区建国门内大街</w:t>
      </w:r>
      <w:r>
        <w:rPr>
          <w:rFonts w:ascii="Times New Roman" w:eastAsia="Times New Roman"/>
        </w:rPr>
        <w:t>69</w:t>
      </w:r>
      <w:r>
        <w:rPr/>
        <w:t>号法定代表人：周慕冰</w:t>
      </w:r>
    </w:p>
    <w:p>
      <w:pPr>
        <w:pStyle w:val="BodyText"/>
        <w:spacing w:line="417" w:lineRule="auto"/>
        <w:ind w:left="680" w:right="6188"/>
        <w:rPr>
          <w:rFonts w:ascii="Times New Roman" w:eastAsia="Times New Roman"/>
        </w:rPr>
      </w:pPr>
      <w:r>
        <w:rPr>
          <w:spacing w:val="-2"/>
        </w:rPr>
        <w:t>客户服务电话：</w:t>
      </w:r>
      <w:r>
        <w:rPr>
          <w:rFonts w:ascii="Times New Roman" w:eastAsia="Times New Roman"/>
        </w:rPr>
        <w:t>95599 </w:t>
      </w:r>
      <w:r>
        <w:rPr>
          <w:spacing w:val="-3"/>
        </w:rPr>
        <w:t>联系人：客户服务中心网址：</w:t>
      </w:r>
      <w:hyperlink r:id="rId15">
        <w:r>
          <w:rPr>
            <w:rFonts w:ascii="Times New Roman" w:eastAsia="Times New Roman"/>
            <w:spacing w:val="-3"/>
          </w:rPr>
          <w:t>www.abchina.com</w:t>
        </w:r>
      </w:hyperlink>
    </w:p>
    <w:p>
      <w:pPr>
        <w:pStyle w:val="ListParagraph"/>
        <w:numPr>
          <w:ilvl w:val="0"/>
          <w:numId w:val="7"/>
        </w:numPr>
        <w:tabs>
          <w:tab w:pos="1210" w:val="left" w:leader="none"/>
        </w:tabs>
        <w:spacing w:line="240" w:lineRule="auto" w:before="0" w:after="0"/>
        <w:ind w:left="1209" w:right="0" w:hanging="530"/>
        <w:jc w:val="left"/>
        <w:rPr>
          <w:sz w:val="21"/>
        </w:rPr>
      </w:pPr>
      <w:r>
        <w:rPr>
          <w:spacing w:val="-3"/>
          <w:sz w:val="21"/>
        </w:rPr>
        <w:t>中国银行股份有限公司</w:t>
      </w:r>
    </w:p>
    <w:p>
      <w:pPr>
        <w:spacing w:after="0" w:line="240" w:lineRule="auto"/>
        <w:jc w:val="left"/>
        <w:rPr>
          <w:sz w:val="21"/>
        </w:rPr>
        <w:sectPr>
          <w:pgSz w:w="11910" w:h="16840"/>
          <w:pgMar w:header="877" w:footer="995" w:top="1420" w:bottom="1180" w:left="1540" w:right="1300"/>
        </w:sectPr>
      </w:pPr>
    </w:p>
    <w:p>
      <w:pPr>
        <w:pStyle w:val="BodyText"/>
        <w:spacing w:before="110"/>
        <w:ind w:left="680"/>
      </w:pPr>
      <w:r>
        <w:rPr/>
        <w:t>住所：北京市西城区复兴门内大街</w:t>
      </w:r>
      <w:r>
        <w:rPr>
          <w:rFonts w:ascii="Times New Roman" w:eastAsia="Times New Roman"/>
        </w:rPr>
        <w:t>1</w:t>
      </w:r>
      <w:r>
        <w:rPr/>
        <w:t>号</w:t>
      </w:r>
    </w:p>
    <w:p>
      <w:pPr>
        <w:pStyle w:val="BodyText"/>
        <w:spacing w:before="6"/>
        <w:rPr>
          <w:sz w:val="15"/>
        </w:rPr>
      </w:pPr>
    </w:p>
    <w:p>
      <w:pPr>
        <w:pStyle w:val="BodyText"/>
        <w:spacing w:line="417" w:lineRule="auto"/>
        <w:ind w:left="680" w:right="4495"/>
      </w:pPr>
      <w:r>
        <w:rPr/>
        <w:t>办公地址：北京市西城区复兴门内大街</w:t>
      </w:r>
      <w:r>
        <w:rPr>
          <w:rFonts w:ascii="Times New Roman" w:eastAsia="Times New Roman"/>
        </w:rPr>
        <w:t>1</w:t>
      </w:r>
      <w:r>
        <w:rPr/>
        <w:t>号法定代表人：刘连舸</w:t>
      </w:r>
    </w:p>
    <w:p>
      <w:pPr>
        <w:pStyle w:val="BodyText"/>
        <w:spacing w:line="417" w:lineRule="auto"/>
        <w:ind w:left="680" w:right="6526"/>
        <w:rPr>
          <w:rFonts w:ascii="Times New Roman" w:eastAsia="Times New Roman"/>
        </w:rPr>
      </w:pPr>
      <w:r>
        <w:rPr/>
        <w:t>电话：</w:t>
      </w:r>
      <w:r>
        <w:rPr>
          <w:rFonts w:ascii="Times New Roman" w:eastAsia="Times New Roman"/>
        </w:rPr>
        <w:t>010-66596688 </w:t>
      </w:r>
      <w:r>
        <w:rPr/>
        <w:t>传真：</w:t>
      </w:r>
      <w:r>
        <w:rPr>
          <w:rFonts w:ascii="Times New Roman" w:eastAsia="Times New Roman"/>
        </w:rPr>
        <w:t>010-66593777</w:t>
      </w:r>
    </w:p>
    <w:p>
      <w:pPr>
        <w:pStyle w:val="BodyText"/>
        <w:spacing w:line="417" w:lineRule="auto"/>
        <w:ind w:left="680" w:right="6281"/>
        <w:rPr>
          <w:rFonts w:ascii="Times New Roman" w:eastAsia="Times New Roman"/>
        </w:rPr>
      </w:pPr>
      <w:r>
        <w:rPr/>
        <w:t>联系人：客户服务中心网址：</w:t>
      </w:r>
      <w:hyperlink r:id="rId16">
        <w:r>
          <w:rPr>
            <w:rFonts w:ascii="Times New Roman" w:eastAsia="Times New Roman"/>
          </w:rPr>
          <w:t>www.boc.cn</w:t>
        </w:r>
      </w:hyperlink>
    </w:p>
    <w:p>
      <w:pPr>
        <w:pStyle w:val="BodyText"/>
        <w:ind w:left="680"/>
        <w:rPr>
          <w:rFonts w:ascii="Times New Roman" w:eastAsia="Times New Roman"/>
        </w:rPr>
      </w:pPr>
      <w:r>
        <w:rPr/>
        <w:t>客户服务电话：</w:t>
      </w:r>
      <w:r>
        <w:rPr>
          <w:rFonts w:ascii="Times New Roman" w:eastAsia="Times New Roman"/>
        </w:rPr>
        <w:t>95566</w:t>
      </w:r>
    </w:p>
    <w:p>
      <w:pPr>
        <w:pStyle w:val="BodyText"/>
        <w:spacing w:before="3"/>
        <w:rPr>
          <w:rFonts w:ascii="Times New Roman"/>
          <w:sz w:val="17"/>
        </w:rPr>
      </w:pPr>
    </w:p>
    <w:p>
      <w:pPr>
        <w:pStyle w:val="ListParagraph"/>
        <w:numPr>
          <w:ilvl w:val="0"/>
          <w:numId w:val="7"/>
        </w:numPr>
        <w:tabs>
          <w:tab w:pos="1210" w:val="left" w:leader="none"/>
        </w:tabs>
        <w:spacing w:line="240" w:lineRule="auto" w:before="0" w:after="0"/>
        <w:ind w:left="1209" w:right="0" w:hanging="530"/>
        <w:jc w:val="left"/>
        <w:rPr>
          <w:sz w:val="21"/>
        </w:rPr>
      </w:pPr>
      <w:r>
        <w:rPr>
          <w:spacing w:val="-3"/>
          <w:sz w:val="21"/>
        </w:rPr>
        <w:t>交通银行股份有限公司</w:t>
      </w:r>
    </w:p>
    <w:p>
      <w:pPr>
        <w:pStyle w:val="BodyText"/>
        <w:spacing w:before="7"/>
        <w:rPr>
          <w:sz w:val="15"/>
        </w:rPr>
      </w:pPr>
    </w:p>
    <w:p>
      <w:pPr>
        <w:pStyle w:val="BodyText"/>
        <w:ind w:left="680"/>
      </w:pPr>
      <w:r>
        <w:rPr/>
        <w:t>住所：上海市浦东新区银城中路</w:t>
      </w:r>
      <w:r>
        <w:rPr>
          <w:rFonts w:ascii="Times New Roman" w:eastAsia="Times New Roman"/>
        </w:rPr>
        <w:t>188</w:t>
      </w:r>
      <w:r>
        <w:rPr/>
        <w:t>号</w:t>
      </w:r>
    </w:p>
    <w:p>
      <w:pPr>
        <w:pStyle w:val="BodyText"/>
        <w:spacing w:before="7"/>
        <w:rPr>
          <w:sz w:val="15"/>
        </w:rPr>
      </w:pPr>
    </w:p>
    <w:p>
      <w:pPr>
        <w:pStyle w:val="BodyText"/>
        <w:spacing w:line="417" w:lineRule="auto"/>
        <w:ind w:left="680" w:right="4495"/>
      </w:pPr>
      <w:r>
        <w:rPr/>
        <w:t>办公地址：上海市浦东新区银城中路</w:t>
      </w:r>
      <w:r>
        <w:rPr>
          <w:rFonts w:ascii="Times New Roman" w:eastAsia="Times New Roman"/>
        </w:rPr>
        <w:t>188</w:t>
      </w:r>
      <w:r>
        <w:rPr/>
        <w:t>号法定代表人：任德奇</w:t>
      </w:r>
    </w:p>
    <w:p>
      <w:pPr>
        <w:pStyle w:val="BodyText"/>
        <w:spacing w:line="417" w:lineRule="auto"/>
        <w:ind w:left="680" w:right="6526"/>
        <w:rPr>
          <w:rFonts w:ascii="Times New Roman" w:eastAsia="Times New Roman"/>
        </w:rPr>
      </w:pPr>
      <w:r>
        <w:rPr/>
        <w:t>电话：</w:t>
      </w:r>
      <w:r>
        <w:rPr>
          <w:rFonts w:ascii="Times New Roman" w:eastAsia="Times New Roman"/>
        </w:rPr>
        <w:t>021-58781234 </w:t>
      </w:r>
      <w:r>
        <w:rPr/>
        <w:t>传真：</w:t>
      </w:r>
      <w:r>
        <w:rPr>
          <w:rFonts w:ascii="Times New Roman" w:eastAsia="Times New Roman"/>
        </w:rPr>
        <w:t>021-58408483</w:t>
      </w:r>
    </w:p>
    <w:p>
      <w:pPr>
        <w:pStyle w:val="BodyText"/>
        <w:ind w:left="680"/>
      </w:pPr>
      <w:r>
        <w:rPr/>
        <w:t>联系人：陈旭</w:t>
      </w:r>
    </w:p>
    <w:p>
      <w:pPr>
        <w:pStyle w:val="BodyText"/>
        <w:spacing w:before="6"/>
        <w:rPr>
          <w:sz w:val="15"/>
        </w:rPr>
      </w:pPr>
    </w:p>
    <w:p>
      <w:pPr>
        <w:pStyle w:val="BodyText"/>
        <w:spacing w:line="417" w:lineRule="auto"/>
        <w:ind w:left="680" w:right="5868"/>
        <w:rPr>
          <w:rFonts w:ascii="Times New Roman" w:eastAsia="Times New Roman"/>
        </w:rPr>
      </w:pPr>
      <w:r>
        <w:rPr/>
        <w:t>网址：</w:t>
      </w:r>
      <w:hyperlink r:id="rId17">
        <w:r>
          <w:rPr>
            <w:rFonts w:ascii="Times New Roman" w:eastAsia="Times New Roman"/>
          </w:rPr>
          <w:t>www.bankcomm.com </w:t>
        </w:r>
      </w:hyperlink>
      <w:r>
        <w:rPr/>
        <w:t>客户服务电话：</w:t>
      </w:r>
      <w:r>
        <w:rPr>
          <w:rFonts w:ascii="Times New Roman" w:eastAsia="Times New Roman"/>
        </w:rPr>
        <w:t>95559</w:t>
      </w:r>
    </w:p>
    <w:p>
      <w:pPr>
        <w:pStyle w:val="ListParagraph"/>
        <w:numPr>
          <w:ilvl w:val="0"/>
          <w:numId w:val="7"/>
        </w:numPr>
        <w:tabs>
          <w:tab w:pos="1210" w:val="left" w:leader="none"/>
        </w:tabs>
        <w:spacing w:line="269" w:lineRule="exact" w:before="0" w:after="0"/>
        <w:ind w:left="1209" w:right="0" w:hanging="530"/>
        <w:jc w:val="left"/>
        <w:rPr>
          <w:sz w:val="21"/>
        </w:rPr>
      </w:pPr>
      <w:r>
        <w:rPr>
          <w:spacing w:val="-3"/>
          <w:sz w:val="21"/>
        </w:rPr>
        <w:t>招商银行股份有限公司</w:t>
      </w:r>
    </w:p>
    <w:p>
      <w:pPr>
        <w:pStyle w:val="BodyText"/>
        <w:spacing w:before="7"/>
        <w:rPr>
          <w:sz w:val="15"/>
        </w:rPr>
      </w:pPr>
    </w:p>
    <w:p>
      <w:pPr>
        <w:pStyle w:val="BodyText"/>
        <w:ind w:left="680"/>
      </w:pPr>
      <w:r>
        <w:rPr/>
        <w:t>住所：深圳市深南大道</w:t>
      </w:r>
      <w:r>
        <w:rPr>
          <w:rFonts w:ascii="Times New Roman" w:eastAsia="Times New Roman"/>
        </w:rPr>
        <w:t>7088</w:t>
      </w:r>
      <w:r>
        <w:rPr/>
        <w:t>号招商银行大厦</w:t>
      </w:r>
    </w:p>
    <w:p>
      <w:pPr>
        <w:pStyle w:val="BodyText"/>
        <w:spacing w:before="7"/>
        <w:rPr>
          <w:sz w:val="15"/>
        </w:rPr>
      </w:pPr>
    </w:p>
    <w:p>
      <w:pPr>
        <w:pStyle w:val="BodyText"/>
        <w:spacing w:line="417" w:lineRule="auto"/>
        <w:ind w:left="680" w:right="3969"/>
      </w:pPr>
      <w:r>
        <w:rPr/>
        <w:t>办公地址：深圳市深南大道</w:t>
      </w:r>
      <w:r>
        <w:rPr>
          <w:rFonts w:ascii="Times New Roman" w:eastAsia="Times New Roman"/>
        </w:rPr>
        <w:t>7088</w:t>
      </w:r>
      <w:r>
        <w:rPr/>
        <w:t>号招商银行大厦法定代表人：李建红</w:t>
      </w:r>
    </w:p>
    <w:p>
      <w:pPr>
        <w:pStyle w:val="BodyText"/>
        <w:spacing w:line="417" w:lineRule="auto"/>
        <w:ind w:left="680" w:right="6420"/>
        <w:rPr>
          <w:rFonts w:ascii="Times New Roman" w:eastAsia="Times New Roman"/>
        </w:rPr>
      </w:pPr>
      <w:r>
        <w:rPr/>
        <w:t>电话：</w:t>
      </w:r>
      <w:r>
        <w:rPr>
          <w:rFonts w:ascii="Times New Roman" w:eastAsia="Times New Roman"/>
        </w:rPr>
        <w:t>0755-83198888 </w:t>
      </w:r>
      <w:r>
        <w:rPr/>
        <w:t>传真：</w:t>
      </w:r>
      <w:r>
        <w:rPr>
          <w:rFonts w:ascii="Times New Roman" w:eastAsia="Times New Roman"/>
        </w:rPr>
        <w:t>0755-83195109</w:t>
      </w:r>
    </w:p>
    <w:p>
      <w:pPr>
        <w:pStyle w:val="BodyText"/>
        <w:spacing w:line="269" w:lineRule="exact"/>
        <w:ind w:left="680"/>
      </w:pPr>
      <w:r>
        <w:rPr/>
        <w:t>联系人：邓炯鹏</w:t>
      </w:r>
    </w:p>
    <w:p>
      <w:pPr>
        <w:pStyle w:val="BodyText"/>
        <w:spacing w:before="7"/>
        <w:rPr>
          <w:sz w:val="15"/>
        </w:rPr>
      </w:pPr>
    </w:p>
    <w:p>
      <w:pPr>
        <w:pStyle w:val="BodyText"/>
        <w:spacing w:line="417" w:lineRule="auto"/>
        <w:ind w:left="680" w:right="5983"/>
        <w:rPr>
          <w:rFonts w:ascii="Times New Roman" w:eastAsia="Times New Roman"/>
        </w:rPr>
      </w:pPr>
      <w:r>
        <w:rPr/>
        <w:t>网址：</w:t>
      </w:r>
      <w:hyperlink r:id="rId18">
        <w:r>
          <w:rPr>
            <w:rFonts w:ascii="Times New Roman" w:eastAsia="Times New Roman"/>
          </w:rPr>
          <w:t>www.cmbchina.com </w:t>
        </w:r>
      </w:hyperlink>
      <w:r>
        <w:rPr/>
        <w:t>客户服务电话：</w:t>
      </w:r>
      <w:r>
        <w:rPr>
          <w:rFonts w:ascii="Times New Roman" w:eastAsia="Times New Roman"/>
        </w:rPr>
        <w:t>95555</w:t>
      </w:r>
    </w:p>
    <w:p>
      <w:pPr>
        <w:pStyle w:val="ListParagraph"/>
        <w:numPr>
          <w:ilvl w:val="0"/>
          <w:numId w:val="7"/>
        </w:numPr>
        <w:tabs>
          <w:tab w:pos="1210" w:val="left" w:leader="none"/>
        </w:tabs>
        <w:spacing w:line="417" w:lineRule="auto" w:before="0" w:after="0"/>
        <w:ind w:left="680" w:right="4915" w:firstLine="0"/>
        <w:jc w:val="left"/>
        <w:rPr>
          <w:sz w:val="21"/>
        </w:rPr>
      </w:pPr>
      <w:r>
        <w:rPr>
          <w:spacing w:val="-4"/>
          <w:sz w:val="21"/>
        </w:rPr>
        <w:t>上海浦东发展银行股份有限公司</w:t>
      </w:r>
      <w:r>
        <w:rPr>
          <w:spacing w:val="-3"/>
          <w:sz w:val="21"/>
        </w:rPr>
        <w:t>住所：上海市中山东一路</w:t>
      </w:r>
      <w:r>
        <w:rPr>
          <w:rFonts w:ascii="Times New Roman" w:eastAsia="Times New Roman"/>
          <w:sz w:val="21"/>
        </w:rPr>
        <w:t>12</w:t>
      </w:r>
      <w:r>
        <w:rPr>
          <w:sz w:val="21"/>
        </w:rPr>
        <w:t>号</w:t>
      </w:r>
    </w:p>
    <w:p>
      <w:pPr>
        <w:pStyle w:val="BodyText"/>
        <w:spacing w:line="417" w:lineRule="auto"/>
        <w:ind w:left="680" w:right="5335"/>
      </w:pPr>
      <w:r>
        <w:rPr/>
        <w:t>办公地址：上海市北京东路</w:t>
      </w:r>
      <w:r>
        <w:rPr>
          <w:rFonts w:ascii="Times New Roman" w:eastAsia="Times New Roman"/>
        </w:rPr>
        <w:t>689</w:t>
      </w:r>
      <w:r>
        <w:rPr/>
        <w:t>号法定代表人：郑杨</w:t>
      </w:r>
    </w:p>
    <w:p>
      <w:pPr>
        <w:spacing w:after="0" w:line="417" w:lineRule="auto"/>
        <w:sectPr>
          <w:pgSz w:w="11910" w:h="16840"/>
          <w:pgMar w:header="877" w:footer="995" w:top="1420" w:bottom="1180" w:left="1540" w:right="1300"/>
        </w:sectPr>
      </w:pPr>
    </w:p>
    <w:p>
      <w:pPr>
        <w:pStyle w:val="BodyText"/>
        <w:spacing w:line="417" w:lineRule="auto" w:before="110"/>
        <w:ind w:left="680" w:right="652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680" w:right="6154"/>
        <w:rPr>
          <w:rFonts w:ascii="Times New Roman" w:eastAsia="Times New Roman"/>
        </w:rPr>
      </w:pPr>
      <w:r>
        <w:rPr/>
        <w:t>联系人：高天、汤嘉惠网址：</w:t>
      </w:r>
      <w:hyperlink r:id="rId19">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7"/>
        </w:numPr>
        <w:tabs>
          <w:tab w:pos="1210" w:val="left" w:leader="none"/>
        </w:tabs>
        <w:spacing w:line="417" w:lineRule="auto" w:before="0" w:after="0"/>
        <w:ind w:left="680" w:right="5757" w:firstLine="0"/>
        <w:jc w:val="left"/>
        <w:rPr>
          <w:sz w:val="21"/>
        </w:rPr>
      </w:pPr>
      <w:r>
        <w:rPr>
          <w:spacing w:val="-4"/>
          <w:sz w:val="21"/>
        </w:rPr>
        <w:t>兴业银行股份有限公司</w:t>
      </w:r>
      <w:r>
        <w:rPr>
          <w:spacing w:val="-3"/>
          <w:sz w:val="21"/>
        </w:rPr>
        <w:t>住所：福州市湖东路</w:t>
      </w:r>
      <w:r>
        <w:rPr>
          <w:rFonts w:ascii="Times New Roman" w:eastAsia="Times New Roman"/>
          <w:sz w:val="21"/>
        </w:rPr>
        <w:t>154</w:t>
      </w:r>
      <w:r>
        <w:rPr>
          <w:sz w:val="21"/>
        </w:rPr>
        <w:t>号</w:t>
      </w:r>
    </w:p>
    <w:p>
      <w:pPr>
        <w:pStyle w:val="BodyText"/>
        <w:spacing w:line="417" w:lineRule="auto"/>
        <w:ind w:left="680" w:right="5546"/>
      </w:pPr>
      <w:r>
        <w:rPr/>
        <w:t>办公地址：福州市湖东路</w:t>
      </w:r>
      <w:r>
        <w:rPr>
          <w:rFonts w:ascii="Times New Roman" w:eastAsia="Times New Roman"/>
        </w:rPr>
        <w:t>154</w:t>
      </w:r>
      <w:r>
        <w:rPr/>
        <w:t>号法定代表人：高建平</w:t>
      </w:r>
    </w:p>
    <w:p>
      <w:pPr>
        <w:pStyle w:val="BodyText"/>
        <w:spacing w:line="417" w:lineRule="auto"/>
        <w:ind w:left="680" w:right="6420"/>
        <w:rPr>
          <w:rFonts w:ascii="Times New Roman" w:eastAsia="Times New Roman"/>
        </w:rPr>
      </w:pPr>
      <w:r>
        <w:rPr/>
        <w:t>电话：</w:t>
      </w:r>
      <w:r>
        <w:rPr>
          <w:rFonts w:ascii="Times New Roman" w:eastAsia="Times New Roman"/>
        </w:rPr>
        <w:t>0591-87839338 </w:t>
      </w:r>
      <w:r>
        <w:rPr/>
        <w:t>传真：</w:t>
      </w:r>
      <w:r>
        <w:rPr>
          <w:rFonts w:ascii="Times New Roman" w:eastAsia="Times New Roman"/>
        </w:rPr>
        <w:t>0591-87841932</w:t>
      </w:r>
    </w:p>
    <w:p>
      <w:pPr>
        <w:pStyle w:val="BodyText"/>
        <w:spacing w:line="269" w:lineRule="exact"/>
        <w:ind w:left="680"/>
      </w:pPr>
      <w:r>
        <w:rPr/>
        <w:t>联系人：梁曦</w:t>
      </w:r>
    </w:p>
    <w:p>
      <w:pPr>
        <w:pStyle w:val="BodyText"/>
        <w:spacing w:before="5"/>
        <w:rPr>
          <w:sz w:val="15"/>
        </w:rPr>
      </w:pPr>
    </w:p>
    <w:p>
      <w:pPr>
        <w:pStyle w:val="BodyText"/>
        <w:spacing w:line="417" w:lineRule="auto" w:before="1"/>
        <w:ind w:left="680" w:right="6293"/>
        <w:rPr>
          <w:rFonts w:ascii="Times New Roman" w:eastAsia="Times New Roman"/>
        </w:rPr>
      </w:pPr>
      <w:r>
        <w:rPr/>
        <w:t>网址：</w:t>
      </w:r>
      <w:hyperlink r:id="rId20">
        <w:r>
          <w:rPr>
            <w:rFonts w:ascii="Times New Roman" w:eastAsia="Times New Roman"/>
          </w:rPr>
          <w:t>www.cib.com.cn </w:t>
        </w:r>
      </w:hyperlink>
      <w:r>
        <w:rPr/>
        <w:t>客户服务电话：</w:t>
      </w:r>
      <w:r>
        <w:rPr>
          <w:rFonts w:ascii="Times New Roman" w:eastAsia="Times New Roman"/>
        </w:rPr>
        <w:t>95561</w:t>
      </w:r>
    </w:p>
    <w:p>
      <w:pPr>
        <w:pStyle w:val="ListParagraph"/>
        <w:numPr>
          <w:ilvl w:val="0"/>
          <w:numId w:val="7"/>
        </w:numPr>
        <w:tabs>
          <w:tab w:pos="1210" w:val="left" w:leader="none"/>
        </w:tabs>
        <w:spacing w:line="240" w:lineRule="auto" w:before="0" w:after="0"/>
        <w:ind w:left="1209" w:right="0" w:hanging="530"/>
        <w:jc w:val="left"/>
        <w:rPr>
          <w:sz w:val="21"/>
        </w:rPr>
      </w:pPr>
      <w:r>
        <w:rPr>
          <w:spacing w:val="-3"/>
          <w:sz w:val="21"/>
        </w:rPr>
        <w:t>中国光大银行股份有限公司</w:t>
      </w:r>
    </w:p>
    <w:p>
      <w:pPr>
        <w:pStyle w:val="BodyText"/>
        <w:spacing w:before="6"/>
        <w:rPr>
          <w:sz w:val="15"/>
        </w:rPr>
      </w:pPr>
    </w:p>
    <w:p>
      <w:pPr>
        <w:pStyle w:val="BodyText"/>
        <w:spacing w:line="417" w:lineRule="auto"/>
        <w:ind w:left="680" w:right="2918"/>
      </w:pPr>
      <w:r>
        <w:rPr/>
        <w:t>住所：北京市西城区太平桥大街</w:t>
      </w:r>
      <w:r>
        <w:rPr>
          <w:rFonts w:ascii="Times New Roman" w:eastAsia="Times New Roman"/>
        </w:rPr>
        <w:t>25</w:t>
      </w:r>
      <w:r>
        <w:rPr/>
        <w:t>号、甲</w:t>
      </w:r>
      <w:r>
        <w:rPr>
          <w:rFonts w:ascii="Times New Roman" w:eastAsia="Times New Roman"/>
        </w:rPr>
        <w:t>25</w:t>
      </w:r>
      <w:r>
        <w:rPr/>
        <w:t>号中国光大中心办公地址：北京市西城区太平桥大街</w:t>
      </w:r>
      <w:r>
        <w:rPr>
          <w:rFonts w:ascii="Times New Roman" w:eastAsia="Times New Roman"/>
        </w:rPr>
        <w:t>25</w:t>
      </w:r>
      <w:r>
        <w:rPr/>
        <w:t>号中国光大中心</w:t>
      </w:r>
    </w:p>
    <w:p>
      <w:pPr>
        <w:pStyle w:val="BodyText"/>
        <w:spacing w:line="417" w:lineRule="auto"/>
        <w:ind w:left="680" w:right="6490"/>
        <w:jc w:val="both"/>
        <w:rPr>
          <w:rFonts w:ascii="Times New Roman" w:eastAsia="Times New Roman"/>
        </w:rPr>
      </w:pPr>
      <w:r>
        <w:rPr/>
        <w:t>法定代表人：李晓鹏电话：</w:t>
      </w:r>
      <w:r>
        <w:rPr>
          <w:rFonts w:ascii="Times New Roman" w:eastAsia="Times New Roman"/>
        </w:rPr>
        <w:t>010-63636153 </w:t>
      </w:r>
      <w:r>
        <w:rPr/>
        <w:t>传真：</w:t>
      </w:r>
      <w:r>
        <w:rPr>
          <w:rFonts w:ascii="Times New Roman" w:eastAsia="Times New Roman"/>
        </w:rPr>
        <w:t>010-63639709</w:t>
      </w:r>
    </w:p>
    <w:p>
      <w:pPr>
        <w:pStyle w:val="BodyText"/>
        <w:spacing w:line="269" w:lineRule="exact"/>
        <w:ind w:left="680"/>
      </w:pPr>
      <w:r>
        <w:rPr/>
        <w:t>联系人：朱红</w:t>
      </w:r>
    </w:p>
    <w:p>
      <w:pPr>
        <w:pStyle w:val="BodyText"/>
        <w:spacing w:before="7"/>
        <w:rPr>
          <w:sz w:val="15"/>
        </w:rPr>
      </w:pPr>
    </w:p>
    <w:p>
      <w:pPr>
        <w:pStyle w:val="BodyText"/>
        <w:spacing w:line="417" w:lineRule="auto"/>
        <w:ind w:left="680" w:right="6100"/>
        <w:rPr>
          <w:rFonts w:ascii="Times New Roman" w:eastAsia="Times New Roman"/>
        </w:rPr>
      </w:pPr>
      <w:r>
        <w:rPr/>
        <w:t>网址：</w:t>
      </w:r>
      <w:hyperlink r:id="rId21">
        <w:r>
          <w:rPr>
            <w:rFonts w:ascii="Times New Roman" w:eastAsia="Times New Roman"/>
          </w:rPr>
          <w:t>www.cebbank.com </w:t>
        </w:r>
      </w:hyperlink>
      <w:r>
        <w:rPr/>
        <w:t>客户服务电话：</w:t>
      </w:r>
      <w:r>
        <w:rPr>
          <w:rFonts w:ascii="Times New Roman" w:eastAsia="Times New Roman"/>
        </w:rPr>
        <w:t>95595</w:t>
      </w:r>
    </w:p>
    <w:p>
      <w:pPr>
        <w:pStyle w:val="ListParagraph"/>
        <w:numPr>
          <w:ilvl w:val="0"/>
          <w:numId w:val="7"/>
        </w:numPr>
        <w:tabs>
          <w:tab w:pos="1210" w:val="left" w:leader="none"/>
        </w:tabs>
        <w:spacing w:line="417" w:lineRule="auto" w:before="0" w:after="0"/>
        <w:ind w:left="680" w:right="4915" w:firstLine="0"/>
        <w:jc w:val="left"/>
        <w:rPr>
          <w:sz w:val="21"/>
        </w:rPr>
      </w:pPr>
      <w:r>
        <w:rPr>
          <w:spacing w:val="-4"/>
          <w:sz w:val="21"/>
        </w:rPr>
        <w:t>上海农村商业银行股份有限公司</w:t>
      </w:r>
      <w:r>
        <w:rPr>
          <w:spacing w:val="-3"/>
          <w:sz w:val="21"/>
        </w:rPr>
        <w:t>住所：上海市浦东新区浦东大道</w:t>
      </w:r>
      <w:r>
        <w:rPr>
          <w:rFonts w:ascii="Times New Roman" w:eastAsia="Times New Roman"/>
          <w:sz w:val="21"/>
        </w:rPr>
        <w:t>981</w:t>
      </w:r>
      <w:r>
        <w:rPr>
          <w:spacing w:val="-13"/>
          <w:sz w:val="21"/>
        </w:rPr>
        <w:t>号</w:t>
      </w:r>
    </w:p>
    <w:p>
      <w:pPr>
        <w:pStyle w:val="BodyText"/>
        <w:spacing w:line="417" w:lineRule="auto"/>
        <w:ind w:left="680" w:right="3446"/>
      </w:pPr>
      <w:r>
        <w:rPr/>
        <w:t>办公地址：上海市银城中路</w:t>
      </w:r>
      <w:r>
        <w:rPr>
          <w:rFonts w:ascii="Times New Roman" w:eastAsia="Times New Roman"/>
        </w:rPr>
        <w:t>8</w:t>
      </w:r>
      <w:r>
        <w:rPr/>
        <w:t>号中融碧玉蓝天大厦</w:t>
      </w:r>
      <w:r>
        <w:rPr>
          <w:rFonts w:ascii="Times New Roman" w:eastAsia="Times New Roman"/>
        </w:rPr>
        <w:t>15</w:t>
      </w:r>
      <w:r>
        <w:rPr/>
        <w:t>层法定代表人：胡平西</w:t>
      </w:r>
    </w:p>
    <w:p>
      <w:pPr>
        <w:pStyle w:val="BodyText"/>
        <w:spacing w:line="417" w:lineRule="auto"/>
        <w:ind w:left="680" w:right="6526"/>
        <w:rPr>
          <w:rFonts w:ascii="Times New Roman" w:eastAsia="Times New Roman"/>
        </w:rPr>
      </w:pPr>
      <w:r>
        <w:rPr/>
        <w:t>电话：</w:t>
      </w:r>
      <w:r>
        <w:rPr>
          <w:rFonts w:ascii="Times New Roman" w:eastAsia="Times New Roman"/>
        </w:rPr>
        <w:t>021-38523692 </w:t>
      </w:r>
      <w:r>
        <w:rPr/>
        <w:t>传真：</w:t>
      </w:r>
      <w:r>
        <w:rPr>
          <w:rFonts w:ascii="Times New Roman" w:eastAsia="Times New Roman"/>
        </w:rPr>
        <w:t>021-50105124</w:t>
      </w:r>
    </w:p>
    <w:p>
      <w:pPr>
        <w:pStyle w:val="BodyText"/>
        <w:ind w:left="680"/>
      </w:pPr>
      <w:r>
        <w:rPr/>
        <w:t>联系人：施传荣</w:t>
      </w:r>
    </w:p>
    <w:p>
      <w:pPr>
        <w:spacing w:after="0"/>
        <w:sectPr>
          <w:pgSz w:w="11910" w:h="16840"/>
          <w:pgMar w:header="877" w:footer="995" w:top="1420" w:bottom="1180" w:left="1540" w:right="1300"/>
        </w:sectPr>
      </w:pPr>
    </w:p>
    <w:p>
      <w:pPr>
        <w:pStyle w:val="BodyText"/>
        <w:spacing w:before="110"/>
        <w:ind w:left="680"/>
        <w:rPr>
          <w:rFonts w:ascii="Times New Roman" w:eastAsia="Times New Roman"/>
        </w:rPr>
      </w:pPr>
      <w:r>
        <w:rPr/>
        <w:t>网址：</w:t>
      </w:r>
      <w:hyperlink r:id="rId22">
        <w:r>
          <w:rPr>
            <w:rFonts w:ascii="Times New Roman" w:eastAsia="Times New Roman"/>
          </w:rPr>
          <w:t>www.srcb.com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021-962999</w:t>
      </w:r>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3"/>
          <w:sz w:val="21"/>
        </w:rPr>
        <w:t>浙商银行股份有限公司</w:t>
      </w:r>
    </w:p>
    <w:p>
      <w:pPr>
        <w:pStyle w:val="BodyText"/>
        <w:spacing w:before="6"/>
        <w:rPr>
          <w:sz w:val="15"/>
        </w:rPr>
      </w:pPr>
    </w:p>
    <w:p>
      <w:pPr>
        <w:pStyle w:val="BodyText"/>
        <w:ind w:left="680"/>
      </w:pPr>
      <w:r>
        <w:rPr/>
        <w:t>住所：杭州市萧山区鸿宁路</w:t>
      </w:r>
      <w:r>
        <w:rPr>
          <w:rFonts w:ascii="Times New Roman" w:eastAsia="Times New Roman"/>
        </w:rPr>
        <w:t>1788</w:t>
      </w:r>
      <w:r>
        <w:rPr/>
        <w:t>号</w:t>
      </w:r>
    </w:p>
    <w:p>
      <w:pPr>
        <w:pStyle w:val="BodyText"/>
        <w:spacing w:before="7"/>
        <w:rPr>
          <w:sz w:val="15"/>
        </w:rPr>
      </w:pPr>
    </w:p>
    <w:p>
      <w:pPr>
        <w:pStyle w:val="BodyText"/>
        <w:spacing w:line="417" w:lineRule="auto"/>
        <w:ind w:left="680" w:right="4284"/>
      </w:pPr>
      <w:r>
        <w:rPr/>
        <w:t>办公地址：浙江省杭州市下城区延安路</w:t>
      </w:r>
      <w:r>
        <w:rPr>
          <w:rFonts w:ascii="Times New Roman" w:eastAsia="Times New Roman"/>
        </w:rPr>
        <w:t>368</w:t>
      </w:r>
      <w:r>
        <w:rPr/>
        <w:t>号法定代表人：沈仁康</w:t>
      </w:r>
    </w:p>
    <w:p>
      <w:pPr>
        <w:pStyle w:val="BodyText"/>
        <w:spacing w:line="417" w:lineRule="auto"/>
        <w:ind w:left="680" w:right="6420"/>
        <w:rPr>
          <w:rFonts w:ascii="Times New Roman" w:eastAsia="Times New Roman"/>
        </w:rPr>
      </w:pPr>
      <w:r>
        <w:rPr/>
        <w:t>电话：</w:t>
      </w:r>
      <w:r>
        <w:rPr>
          <w:rFonts w:ascii="Times New Roman" w:eastAsia="Times New Roman"/>
        </w:rPr>
        <w:t>0571-87659546 </w:t>
      </w:r>
      <w:r>
        <w:rPr/>
        <w:t>传真：</w:t>
      </w:r>
      <w:r>
        <w:rPr>
          <w:rFonts w:ascii="Times New Roman" w:eastAsia="Times New Roman"/>
        </w:rPr>
        <w:t>0571-87659188</w:t>
      </w:r>
    </w:p>
    <w:p>
      <w:pPr>
        <w:pStyle w:val="BodyText"/>
        <w:ind w:left="680"/>
      </w:pPr>
      <w:r>
        <w:rPr/>
        <w:t>联系人：毛真海</w:t>
      </w:r>
    </w:p>
    <w:p>
      <w:pPr>
        <w:pStyle w:val="BodyText"/>
        <w:spacing w:before="7"/>
        <w:rPr>
          <w:sz w:val="15"/>
        </w:rPr>
      </w:pPr>
    </w:p>
    <w:p>
      <w:pPr>
        <w:pStyle w:val="BodyText"/>
        <w:spacing w:line="417" w:lineRule="auto"/>
        <w:ind w:left="680" w:right="6204"/>
        <w:rPr>
          <w:rFonts w:ascii="Times New Roman" w:eastAsia="Times New Roman"/>
        </w:rPr>
      </w:pPr>
      <w:r>
        <w:rPr/>
        <w:t>网址：</w:t>
      </w:r>
      <w:hyperlink r:id="rId23">
        <w:r>
          <w:rPr>
            <w:rFonts w:ascii="Times New Roman" w:eastAsia="Times New Roman"/>
          </w:rPr>
          <w:t>www.czbank.com </w:t>
        </w:r>
      </w:hyperlink>
      <w:r>
        <w:rPr/>
        <w:t>客户服务电话：</w:t>
      </w:r>
      <w:r>
        <w:rPr>
          <w:rFonts w:ascii="Times New Roman" w:eastAsia="Times New Roman"/>
        </w:rPr>
        <w:t>95527</w:t>
      </w:r>
    </w:p>
    <w:p>
      <w:pPr>
        <w:pStyle w:val="ListParagraph"/>
        <w:numPr>
          <w:ilvl w:val="0"/>
          <w:numId w:val="7"/>
        </w:numPr>
        <w:tabs>
          <w:tab w:pos="1306" w:val="left" w:leader="none"/>
        </w:tabs>
        <w:spacing w:line="269" w:lineRule="exact" w:before="0" w:after="0"/>
        <w:ind w:left="1305" w:right="0" w:hanging="626"/>
        <w:jc w:val="left"/>
        <w:rPr>
          <w:sz w:val="21"/>
        </w:rPr>
      </w:pPr>
      <w:r>
        <w:rPr>
          <w:spacing w:val="-3"/>
          <w:sz w:val="21"/>
        </w:rPr>
        <w:t>长沙银行股份有限公司</w:t>
      </w:r>
    </w:p>
    <w:p>
      <w:pPr>
        <w:pStyle w:val="BodyText"/>
        <w:spacing w:before="6"/>
        <w:rPr>
          <w:sz w:val="15"/>
        </w:rPr>
      </w:pPr>
    </w:p>
    <w:p>
      <w:pPr>
        <w:pStyle w:val="BodyText"/>
        <w:spacing w:before="1"/>
        <w:ind w:left="680"/>
      </w:pPr>
      <w:r>
        <w:rPr/>
        <w:t>住所：长沙市岳麓区滨江路</w:t>
      </w:r>
      <w:r>
        <w:rPr>
          <w:rFonts w:ascii="Times New Roman" w:eastAsia="Times New Roman"/>
        </w:rPr>
        <w:t>53</w:t>
      </w:r>
      <w:r>
        <w:rPr/>
        <w:t>号楷林商务中心</w:t>
      </w:r>
      <w:r>
        <w:rPr>
          <w:rFonts w:ascii="Times New Roman" w:eastAsia="Times New Roman"/>
        </w:rPr>
        <w:t>B</w:t>
      </w:r>
      <w:r>
        <w:rPr/>
        <w:t>座</w:t>
      </w:r>
    </w:p>
    <w:p>
      <w:pPr>
        <w:pStyle w:val="BodyText"/>
        <w:spacing w:before="6"/>
        <w:rPr>
          <w:sz w:val="15"/>
        </w:rPr>
      </w:pPr>
    </w:p>
    <w:p>
      <w:pPr>
        <w:pStyle w:val="BodyText"/>
        <w:spacing w:line="417" w:lineRule="auto"/>
        <w:ind w:left="680" w:right="3410"/>
      </w:pPr>
      <w:r>
        <w:rPr/>
        <w:t>办公地址：长沙市岳麓区滨江路</w:t>
      </w:r>
      <w:r>
        <w:rPr>
          <w:rFonts w:ascii="Times New Roman" w:eastAsia="Times New Roman"/>
        </w:rPr>
        <w:t>53</w:t>
      </w:r>
      <w:r>
        <w:rPr/>
        <w:t>号楷林商务中心</w:t>
      </w:r>
      <w:r>
        <w:rPr>
          <w:rFonts w:ascii="Times New Roman" w:eastAsia="Times New Roman"/>
        </w:rPr>
        <w:t>B</w:t>
      </w:r>
      <w:r>
        <w:rPr/>
        <w:t>座法定代表人：朱玉国</w:t>
      </w:r>
    </w:p>
    <w:p>
      <w:pPr>
        <w:pStyle w:val="BodyText"/>
        <w:spacing w:line="417" w:lineRule="auto"/>
        <w:ind w:left="680" w:right="6420"/>
        <w:rPr>
          <w:rFonts w:ascii="Times New Roman" w:eastAsia="Times New Roman"/>
        </w:rPr>
      </w:pPr>
      <w:r>
        <w:rPr/>
        <w:t>电话：</w:t>
      </w:r>
      <w:r>
        <w:rPr>
          <w:rFonts w:ascii="Times New Roman" w:eastAsia="Times New Roman"/>
        </w:rPr>
        <w:t>0731-89736250 </w:t>
      </w:r>
      <w:r>
        <w:rPr/>
        <w:t>传真：</w:t>
      </w:r>
      <w:r>
        <w:rPr>
          <w:rFonts w:ascii="Times New Roman" w:eastAsia="Times New Roman"/>
        </w:rPr>
        <w:t>0731-89736250</w:t>
      </w:r>
    </w:p>
    <w:p>
      <w:pPr>
        <w:pStyle w:val="BodyText"/>
        <w:spacing w:line="269" w:lineRule="exact"/>
        <w:ind w:left="680"/>
      </w:pPr>
      <w:r>
        <w:rPr/>
        <w:t>联系人：于立娜</w:t>
      </w:r>
    </w:p>
    <w:p>
      <w:pPr>
        <w:pStyle w:val="BodyText"/>
        <w:spacing w:before="7"/>
        <w:rPr>
          <w:sz w:val="15"/>
        </w:rPr>
      </w:pPr>
    </w:p>
    <w:p>
      <w:pPr>
        <w:pStyle w:val="BodyText"/>
        <w:spacing w:line="417" w:lineRule="auto"/>
        <w:ind w:left="680" w:right="5436"/>
        <w:rPr>
          <w:rFonts w:ascii="Times New Roman" w:eastAsia="Times New Roman"/>
        </w:rPr>
      </w:pPr>
      <w:r>
        <w:rPr/>
        <w:t>网址：</w:t>
      </w:r>
      <w:hyperlink r:id="rId24">
        <w:r>
          <w:rPr>
            <w:rFonts w:ascii="Times New Roman" w:eastAsia="Times New Roman"/>
          </w:rPr>
          <w:t>www.bankofchangsha.com </w:t>
        </w:r>
      </w:hyperlink>
      <w:r>
        <w:rPr/>
        <w:t>客户服务电话：</w:t>
      </w:r>
      <w:r>
        <w:rPr>
          <w:rFonts w:ascii="Times New Roman" w:eastAsia="Times New Roman"/>
        </w:rPr>
        <w:t>40067-96511</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天相投资顾问有限公司</w:t>
      </w:r>
    </w:p>
    <w:p>
      <w:pPr>
        <w:pStyle w:val="BodyText"/>
        <w:spacing w:before="7"/>
        <w:rPr>
          <w:sz w:val="15"/>
        </w:rPr>
      </w:pPr>
    </w:p>
    <w:p>
      <w:pPr>
        <w:pStyle w:val="BodyText"/>
        <w:spacing w:line="417" w:lineRule="auto"/>
        <w:ind w:left="680" w:right="3663"/>
      </w:pPr>
      <w:r>
        <w:rPr/>
        <w:t>住所：北京市西城区金融街</w:t>
      </w:r>
      <w:r>
        <w:rPr>
          <w:rFonts w:ascii="Times New Roman" w:eastAsia="Times New Roman"/>
        </w:rPr>
        <w:t>19</w:t>
      </w:r>
      <w:r>
        <w:rPr/>
        <w:t>号富凯大厦</w:t>
      </w:r>
      <w:r>
        <w:rPr>
          <w:rFonts w:ascii="Times New Roman" w:eastAsia="Times New Roman"/>
        </w:rPr>
        <w:t>B</w:t>
      </w:r>
      <w:r>
        <w:rPr/>
        <w:t>座</w:t>
      </w:r>
      <w:r>
        <w:rPr>
          <w:rFonts w:ascii="Times New Roman" w:eastAsia="Times New Roman"/>
        </w:rPr>
        <w:t>701 </w:t>
      </w:r>
      <w:r>
        <w:rPr/>
        <w:t>办公地址：北京市西城区新街口外大街</w:t>
      </w:r>
      <w:r>
        <w:rPr>
          <w:rFonts w:ascii="Times New Roman" w:eastAsia="Times New Roman"/>
        </w:rPr>
        <w:t>28</w:t>
      </w:r>
      <w:r>
        <w:rPr/>
        <w:t>号</w:t>
      </w:r>
      <w:r>
        <w:rPr>
          <w:rFonts w:ascii="Times New Roman" w:eastAsia="Times New Roman"/>
        </w:rPr>
        <w:t>C</w:t>
      </w:r>
      <w:r>
        <w:rPr/>
        <w:t>座</w:t>
      </w:r>
      <w:r>
        <w:rPr>
          <w:rFonts w:ascii="Times New Roman" w:eastAsia="Times New Roman"/>
        </w:rPr>
        <w:t>5</w:t>
      </w:r>
      <w:r>
        <w:rPr/>
        <w:t>层法定代表人：林义相</w:t>
      </w:r>
    </w:p>
    <w:p>
      <w:pPr>
        <w:pStyle w:val="BodyText"/>
        <w:spacing w:line="417" w:lineRule="auto"/>
        <w:ind w:left="680" w:right="6526"/>
        <w:rPr>
          <w:rFonts w:ascii="Times New Roman" w:eastAsia="Times New Roman"/>
        </w:rPr>
      </w:pPr>
      <w:r>
        <w:rPr/>
        <w:t>电话：</w:t>
      </w:r>
      <w:r>
        <w:rPr>
          <w:rFonts w:ascii="Times New Roman" w:eastAsia="Times New Roman"/>
        </w:rPr>
        <w:t>010-66045529 </w:t>
      </w:r>
      <w:r>
        <w:rPr/>
        <w:t>传真：</w:t>
      </w:r>
      <w:r>
        <w:rPr>
          <w:rFonts w:ascii="Times New Roman" w:eastAsia="Times New Roman"/>
        </w:rPr>
        <w:t>010-66045518</w:t>
      </w:r>
    </w:p>
    <w:p>
      <w:pPr>
        <w:pStyle w:val="BodyText"/>
        <w:spacing w:line="269" w:lineRule="exact"/>
        <w:ind w:left="680"/>
      </w:pPr>
      <w:r>
        <w:rPr/>
        <w:t>联系人：尹伶</w:t>
      </w:r>
    </w:p>
    <w:p>
      <w:pPr>
        <w:pStyle w:val="BodyText"/>
        <w:spacing w:before="6"/>
        <w:rPr>
          <w:sz w:val="15"/>
        </w:rPr>
      </w:pPr>
    </w:p>
    <w:p>
      <w:pPr>
        <w:pStyle w:val="BodyText"/>
        <w:spacing w:before="1"/>
        <w:ind w:left="680"/>
        <w:rPr>
          <w:rFonts w:ascii="Times New Roman" w:eastAsia="Times New Roman"/>
        </w:rPr>
      </w:pPr>
      <w:r>
        <w:rPr/>
        <w:t>网址：</w:t>
      </w:r>
      <w:hyperlink r:id="rId25">
        <w:r>
          <w:rPr>
            <w:rFonts w:ascii="Times New Roman" w:eastAsia="Times New Roman"/>
          </w:rPr>
          <w:t>www.txsec.com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010-66045678</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深圳市新兰德证券投资咨询有限公司</w:t>
      </w:r>
    </w:p>
    <w:p>
      <w:pPr>
        <w:spacing w:after="0" w:line="240" w:lineRule="auto"/>
        <w:jc w:val="left"/>
        <w:rPr>
          <w:sz w:val="21"/>
        </w:rPr>
        <w:sectPr>
          <w:pgSz w:w="11910" w:h="16840"/>
          <w:pgMar w:header="877" w:footer="995" w:top="1420" w:bottom="1180" w:left="1540" w:right="1300"/>
        </w:sectPr>
      </w:pPr>
    </w:p>
    <w:p>
      <w:pPr>
        <w:pStyle w:val="BodyText"/>
        <w:spacing w:line="417" w:lineRule="auto" w:before="110"/>
        <w:ind w:left="680" w:right="2814"/>
      </w:pPr>
      <w:r>
        <w:rPr>
          <w:spacing w:val="-3"/>
        </w:rPr>
        <w:t>住所：深圳市福田区福田街道民田路</w:t>
      </w:r>
      <w:r>
        <w:rPr>
          <w:rFonts w:ascii="Times New Roman" w:eastAsia="Times New Roman"/>
        </w:rPr>
        <w:t>178</w:t>
      </w:r>
      <w:r>
        <w:rPr>
          <w:spacing w:val="-3"/>
        </w:rPr>
        <w:t>号华融大厦</w:t>
      </w:r>
      <w:r>
        <w:rPr>
          <w:rFonts w:ascii="Times New Roman" w:eastAsia="Times New Roman"/>
        </w:rPr>
        <w:t>27</w:t>
      </w:r>
      <w:r>
        <w:rPr/>
        <w:t>层</w:t>
      </w:r>
      <w:r>
        <w:rPr>
          <w:rFonts w:ascii="Times New Roman" w:eastAsia="Times New Roman"/>
        </w:rPr>
        <w:t>2704 </w:t>
      </w:r>
      <w:r>
        <w:rPr>
          <w:spacing w:val="-3"/>
        </w:rPr>
        <w:t>办公地址：北京市西城区宣武门外大街</w:t>
      </w:r>
      <w:r>
        <w:rPr>
          <w:rFonts w:ascii="Times New Roman" w:eastAsia="Times New Roman"/>
        </w:rPr>
        <w:t>28</w:t>
      </w:r>
      <w:r>
        <w:rPr>
          <w:spacing w:val="-3"/>
        </w:rPr>
        <w:t>号富卓大厦</w:t>
      </w:r>
      <w:r>
        <w:rPr>
          <w:rFonts w:ascii="Times New Roman" w:eastAsia="Times New Roman"/>
        </w:rPr>
        <w:t>16</w:t>
      </w:r>
      <w:r>
        <w:rPr/>
        <w:t>层  </w:t>
      </w:r>
      <w:r>
        <w:rPr>
          <w:spacing w:val="-3"/>
        </w:rPr>
        <w:t>法定代表人：洪弘</w:t>
      </w:r>
    </w:p>
    <w:p>
      <w:pPr>
        <w:pStyle w:val="BodyText"/>
        <w:spacing w:line="417" w:lineRule="auto"/>
        <w:ind w:left="680" w:right="652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spacing w:line="269" w:lineRule="exact"/>
        <w:ind w:left="680"/>
      </w:pPr>
      <w:r>
        <w:rPr/>
        <w:t>联系人：文雯</w:t>
      </w:r>
    </w:p>
    <w:p>
      <w:pPr>
        <w:pStyle w:val="BodyText"/>
        <w:spacing w:before="6"/>
        <w:rPr>
          <w:sz w:val="15"/>
        </w:rPr>
      </w:pPr>
    </w:p>
    <w:p>
      <w:pPr>
        <w:pStyle w:val="BodyText"/>
        <w:ind w:left="680"/>
        <w:rPr>
          <w:rFonts w:ascii="Times New Roman" w:eastAsia="Times New Roman"/>
        </w:rPr>
      </w:pPr>
      <w:r>
        <w:rPr/>
        <w:t>网址：</w:t>
      </w:r>
      <w:hyperlink r:id="rId26">
        <w:r>
          <w:rPr>
            <w:rFonts w:ascii="Times New Roman" w:eastAsia="Times New Roman"/>
          </w:rPr>
          <w:t>http://8.jrj.com.cn/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400-166-1188</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上海挖财基金销售有限公司</w:t>
      </w:r>
    </w:p>
    <w:p>
      <w:pPr>
        <w:pStyle w:val="BodyText"/>
        <w:spacing w:before="7"/>
        <w:rPr>
          <w:sz w:val="15"/>
        </w:rPr>
      </w:pPr>
    </w:p>
    <w:p>
      <w:pPr>
        <w:pStyle w:val="BodyText"/>
        <w:ind w:left="680"/>
      </w:pPr>
      <w:r>
        <w:rPr/>
        <w:t>住所：中国（上海）自由贸易试验区杨高南路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w:t>
      </w:r>
    </w:p>
    <w:p>
      <w:pPr>
        <w:pStyle w:val="BodyText"/>
        <w:spacing w:before="7"/>
        <w:rPr>
          <w:sz w:val="15"/>
        </w:rPr>
      </w:pPr>
    </w:p>
    <w:p>
      <w:pPr>
        <w:pStyle w:val="BodyText"/>
        <w:spacing w:line="417" w:lineRule="auto"/>
        <w:ind w:left="680" w:right="1660"/>
      </w:pPr>
      <w:r>
        <w:rPr/>
        <w:t>办公地址：中国（上海）自由贸易试验区杨高南路</w:t>
      </w:r>
      <w:r>
        <w:rPr>
          <w:rFonts w:ascii="Times New Roman" w:eastAsia="Times New Roman"/>
        </w:rPr>
        <w:t>799</w:t>
      </w:r>
      <w:r>
        <w:rPr/>
        <w:t>号</w:t>
      </w:r>
      <w:r>
        <w:rPr>
          <w:rFonts w:ascii="Times New Roman" w:eastAsia="Times New Roman"/>
        </w:rPr>
        <w:t>5</w:t>
      </w:r>
      <w:r>
        <w:rPr/>
        <w:t>层</w:t>
      </w:r>
      <w:r>
        <w:rPr>
          <w:rFonts w:ascii="Times New Roman" w:eastAsia="Times New Roman"/>
        </w:rPr>
        <w:t>01</w:t>
      </w:r>
      <w:r>
        <w:rPr/>
        <w:t>、</w:t>
      </w:r>
      <w:r>
        <w:rPr>
          <w:rFonts w:ascii="Times New Roman" w:eastAsia="Times New Roman"/>
        </w:rPr>
        <w:t>02</w:t>
      </w:r>
      <w:r>
        <w:rPr/>
        <w:t>、</w:t>
      </w:r>
      <w:r>
        <w:rPr>
          <w:rFonts w:ascii="Times New Roman" w:eastAsia="Times New Roman"/>
        </w:rPr>
        <w:t>03</w:t>
      </w:r>
      <w:r>
        <w:rPr/>
        <w:t>室法定代表人：胡燕亮</w:t>
      </w:r>
    </w:p>
    <w:p>
      <w:pPr>
        <w:pStyle w:val="BodyText"/>
        <w:spacing w:line="417" w:lineRule="auto"/>
        <w:ind w:left="680" w:right="652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ind w:left="680"/>
      </w:pPr>
      <w:r>
        <w:rPr/>
        <w:t>联系人：李娟</w:t>
      </w:r>
    </w:p>
    <w:p>
      <w:pPr>
        <w:pStyle w:val="BodyText"/>
        <w:spacing w:before="6"/>
        <w:rPr>
          <w:sz w:val="15"/>
        </w:rPr>
      </w:pPr>
    </w:p>
    <w:p>
      <w:pPr>
        <w:pStyle w:val="BodyText"/>
        <w:ind w:left="680"/>
        <w:rPr>
          <w:rFonts w:ascii="Times New Roman" w:eastAsia="Times New Roman"/>
        </w:rPr>
      </w:pPr>
      <w:r>
        <w:rPr/>
        <w:t>网址：</w:t>
      </w:r>
      <w:hyperlink r:id="rId27">
        <w:r>
          <w:rPr>
            <w:rFonts w:ascii="Times New Roman" w:eastAsia="Times New Roman"/>
          </w:rPr>
          <w:t>www.wacaijijin.com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诺亚正行基金销售有限公司</w:t>
      </w:r>
    </w:p>
    <w:p>
      <w:pPr>
        <w:pStyle w:val="BodyText"/>
        <w:spacing w:before="7"/>
        <w:rPr>
          <w:sz w:val="15"/>
        </w:rPr>
      </w:pPr>
    </w:p>
    <w:p>
      <w:pPr>
        <w:pStyle w:val="BodyText"/>
        <w:ind w:left="680"/>
      </w:pPr>
      <w:r>
        <w:rPr/>
        <w:t>住所：上海市虹口区飞虹路</w:t>
      </w:r>
      <w:r>
        <w:rPr>
          <w:rFonts w:ascii="Times New Roman" w:eastAsia="Times New Roman"/>
        </w:rPr>
        <w:t>360</w:t>
      </w:r>
      <w:r>
        <w:rPr/>
        <w:t>弄</w:t>
      </w:r>
      <w:r>
        <w:rPr>
          <w:rFonts w:ascii="Times New Roman" w:eastAsia="Times New Roman"/>
        </w:rPr>
        <w:t>9</w:t>
      </w:r>
      <w:r>
        <w:rPr/>
        <w:t>号</w:t>
      </w:r>
      <w:r>
        <w:rPr>
          <w:rFonts w:ascii="Times New Roman" w:eastAsia="Times New Roman"/>
        </w:rPr>
        <w:t>3724</w:t>
      </w:r>
      <w:r>
        <w:rPr/>
        <w:t>室</w:t>
      </w:r>
    </w:p>
    <w:p>
      <w:pPr>
        <w:pStyle w:val="BodyText"/>
        <w:spacing w:before="7"/>
        <w:rPr>
          <w:sz w:val="15"/>
        </w:rPr>
      </w:pPr>
    </w:p>
    <w:p>
      <w:pPr>
        <w:pStyle w:val="BodyText"/>
        <w:spacing w:line="417" w:lineRule="auto"/>
        <w:ind w:left="680" w:right="3304"/>
      </w:pPr>
      <w:r>
        <w:rPr/>
        <w:t>办公地址：上海市杨浦区昆明路</w:t>
      </w:r>
      <w:r>
        <w:rPr>
          <w:rFonts w:ascii="Times New Roman" w:eastAsia="Times New Roman"/>
        </w:rPr>
        <w:t>508</w:t>
      </w:r>
      <w:r>
        <w:rPr/>
        <w:t>号北美广场</w:t>
      </w:r>
      <w:r>
        <w:rPr>
          <w:rFonts w:ascii="Times New Roman" w:eastAsia="Times New Roman"/>
        </w:rPr>
        <w:t>B</w:t>
      </w:r>
      <w:r>
        <w:rPr/>
        <w:t>座</w:t>
      </w:r>
      <w:r>
        <w:rPr>
          <w:rFonts w:ascii="Times New Roman" w:eastAsia="Times New Roman"/>
        </w:rPr>
        <w:t>12</w:t>
      </w:r>
      <w:r>
        <w:rPr/>
        <w:t>楼法定代表人：汪静波</w:t>
      </w:r>
    </w:p>
    <w:p>
      <w:pPr>
        <w:pStyle w:val="BodyText"/>
        <w:spacing w:line="417" w:lineRule="auto"/>
        <w:ind w:left="680" w:right="652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680"/>
      </w:pPr>
      <w:r>
        <w:rPr/>
        <w:t>联系人：张裕</w:t>
      </w:r>
    </w:p>
    <w:p>
      <w:pPr>
        <w:pStyle w:val="BodyText"/>
        <w:spacing w:before="7"/>
        <w:rPr>
          <w:sz w:val="15"/>
        </w:rPr>
      </w:pPr>
    </w:p>
    <w:p>
      <w:pPr>
        <w:pStyle w:val="BodyText"/>
        <w:spacing w:line="417" w:lineRule="auto"/>
        <w:ind w:left="680" w:right="5721"/>
        <w:rPr>
          <w:rFonts w:ascii="Times New Roman" w:eastAsia="Times New Roman"/>
        </w:rPr>
      </w:pPr>
      <w:r>
        <w:rPr/>
        <w:t>网址：</w:t>
      </w:r>
      <w:hyperlink r:id="rId28">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深圳众禄基金销售股份有限公司</w:t>
      </w:r>
    </w:p>
    <w:p>
      <w:pPr>
        <w:pStyle w:val="BodyText"/>
        <w:spacing w:before="6"/>
        <w:rPr>
          <w:sz w:val="15"/>
        </w:rPr>
      </w:pPr>
    </w:p>
    <w:p>
      <w:pPr>
        <w:pStyle w:val="BodyText"/>
        <w:spacing w:before="1"/>
        <w:ind w:left="680"/>
        <w:rPr>
          <w:rFonts w:ascii="Times New Roman" w:eastAsia="Times New Roman"/>
        </w:rPr>
      </w:pPr>
      <w:r>
        <w:rPr/>
        <w:t>住所：深圳市罗湖区梨园路物资控股置地大厦</w:t>
      </w:r>
      <w:r>
        <w:rPr>
          <w:rFonts w:ascii="Times New Roman" w:eastAsia="Times New Roman"/>
        </w:rPr>
        <w:t>8</w:t>
      </w:r>
      <w:r>
        <w:rPr/>
        <w:t>楼</w:t>
      </w:r>
      <w:r>
        <w:rPr>
          <w:rFonts w:ascii="Times New Roman" w:eastAsia="Times New Roman"/>
        </w:rPr>
        <w:t>801</w:t>
      </w:r>
    </w:p>
    <w:p>
      <w:pPr>
        <w:pStyle w:val="BodyText"/>
        <w:spacing w:before="3"/>
        <w:rPr>
          <w:rFonts w:ascii="Times New Roman"/>
          <w:sz w:val="17"/>
        </w:rPr>
      </w:pPr>
    </w:p>
    <w:p>
      <w:pPr>
        <w:pStyle w:val="BodyText"/>
        <w:spacing w:line="417" w:lineRule="auto"/>
        <w:ind w:left="680" w:right="3129"/>
      </w:pPr>
      <w:r>
        <w:rPr/>
        <w:t>办公地址：深圳市罗湖区梨园路物资控股置地大厦</w:t>
      </w:r>
      <w:r>
        <w:rPr>
          <w:rFonts w:ascii="Times New Roman" w:eastAsia="Times New Roman"/>
        </w:rPr>
        <w:t>8</w:t>
      </w:r>
      <w:r>
        <w:rPr/>
        <w:t>楼</w:t>
      </w:r>
      <w:r>
        <w:rPr>
          <w:rFonts w:ascii="Times New Roman" w:eastAsia="Times New Roman"/>
        </w:rPr>
        <w:t>801 </w:t>
      </w:r>
      <w:r>
        <w:rPr/>
        <w:t>法定代表人：薛峰</w:t>
      </w:r>
    </w:p>
    <w:p>
      <w:pPr>
        <w:spacing w:after="0" w:line="417" w:lineRule="auto"/>
        <w:sectPr>
          <w:pgSz w:w="11910" w:h="16840"/>
          <w:pgMar w:header="877" w:footer="995" w:top="1420" w:bottom="1180" w:left="1540" w:right="1300"/>
        </w:sectPr>
      </w:pPr>
    </w:p>
    <w:p>
      <w:pPr>
        <w:pStyle w:val="BodyText"/>
        <w:spacing w:line="417" w:lineRule="auto" w:before="110"/>
        <w:ind w:left="680" w:right="6420"/>
        <w:rPr>
          <w:rFonts w:ascii="Times New Roman" w:eastAsia="Times New Roman"/>
        </w:rPr>
      </w:pPr>
      <w:r>
        <w:rPr/>
        <w:t>电话：</w:t>
      </w:r>
      <w:r>
        <w:rPr>
          <w:rFonts w:ascii="Times New Roman" w:eastAsia="Times New Roman"/>
        </w:rPr>
        <w:t>0755-33227950 </w:t>
      </w:r>
      <w:r>
        <w:rPr/>
        <w:t>传真：</w:t>
      </w:r>
      <w:r>
        <w:rPr>
          <w:rFonts w:ascii="Times New Roman" w:eastAsia="Times New Roman"/>
        </w:rPr>
        <w:t>0755-33227951</w:t>
      </w:r>
    </w:p>
    <w:p>
      <w:pPr>
        <w:pStyle w:val="BodyText"/>
        <w:spacing w:line="269" w:lineRule="exact"/>
        <w:ind w:left="680"/>
      </w:pPr>
      <w:r>
        <w:rPr/>
        <w:t>联系人：童彩平</w:t>
      </w:r>
    </w:p>
    <w:p>
      <w:pPr>
        <w:pStyle w:val="BodyText"/>
        <w:spacing w:before="6"/>
        <w:rPr>
          <w:sz w:val="15"/>
        </w:rPr>
      </w:pPr>
    </w:p>
    <w:p>
      <w:pPr>
        <w:pStyle w:val="BodyText"/>
        <w:ind w:left="680"/>
        <w:rPr>
          <w:rFonts w:ascii="Times New Roman" w:eastAsia="Times New Roman"/>
        </w:rPr>
      </w:pPr>
      <w:r>
        <w:rPr/>
        <w:t>网址：</w:t>
      </w:r>
      <w:hyperlink r:id="rId29">
        <w:r>
          <w:rPr>
            <w:rFonts w:ascii="Times New Roman" w:eastAsia="Times New Roman"/>
          </w:rPr>
          <w:t>www.zlfund.cn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上海天天基金销售有限公司</w:t>
      </w:r>
    </w:p>
    <w:p>
      <w:pPr>
        <w:pStyle w:val="BodyText"/>
        <w:spacing w:before="7"/>
        <w:rPr>
          <w:sz w:val="15"/>
        </w:rPr>
      </w:pPr>
    </w:p>
    <w:p>
      <w:pPr>
        <w:pStyle w:val="BodyText"/>
        <w:ind w:left="680"/>
      </w:pPr>
      <w:r>
        <w:rPr/>
        <w:t>住所：上海市徐汇区龙田路</w:t>
      </w:r>
      <w:r>
        <w:rPr>
          <w:rFonts w:ascii="Times New Roman" w:eastAsia="Times New Roman"/>
        </w:rPr>
        <w:t>190</w:t>
      </w:r>
      <w:r>
        <w:rPr/>
        <w:t>号</w:t>
      </w:r>
      <w:r>
        <w:rPr>
          <w:rFonts w:ascii="Times New Roman" w:eastAsia="Times New Roman"/>
        </w:rPr>
        <w:t>2</w:t>
      </w:r>
      <w:r>
        <w:rPr/>
        <w:t>号楼</w:t>
      </w:r>
    </w:p>
    <w:p>
      <w:pPr>
        <w:pStyle w:val="BodyText"/>
        <w:spacing w:before="7"/>
        <w:rPr>
          <w:sz w:val="15"/>
        </w:rPr>
      </w:pPr>
    </w:p>
    <w:p>
      <w:pPr>
        <w:pStyle w:val="BodyText"/>
        <w:spacing w:line="417" w:lineRule="auto"/>
        <w:ind w:left="680" w:right="3127"/>
      </w:pPr>
      <w:r>
        <w:rPr/>
        <w:t>办公地址：上海市徐汇区宛平南路</w:t>
      </w:r>
      <w:r>
        <w:rPr>
          <w:rFonts w:ascii="Times New Roman" w:eastAsia="Times New Roman"/>
        </w:rPr>
        <w:t>88</w:t>
      </w:r>
      <w:r>
        <w:rPr/>
        <w:t>号金座东方财富大厦法定代表人：其实</w:t>
      </w:r>
    </w:p>
    <w:p>
      <w:pPr>
        <w:pStyle w:val="BodyText"/>
        <w:spacing w:line="269" w:lineRule="exact"/>
        <w:ind w:left="680"/>
        <w:rPr>
          <w:rFonts w:ascii="Times New Roman" w:eastAsia="Times New Roman"/>
        </w:rPr>
      </w:pPr>
      <w:r>
        <w:rPr/>
        <w:t>电话：</w:t>
      </w:r>
      <w:r>
        <w:rPr>
          <w:rFonts w:ascii="Times New Roman" w:eastAsia="Times New Roman"/>
        </w:rPr>
        <w:t>95021</w:t>
      </w:r>
    </w:p>
    <w:p>
      <w:pPr>
        <w:pStyle w:val="BodyText"/>
        <w:spacing w:before="4"/>
        <w:rPr>
          <w:rFonts w:ascii="Times New Roman"/>
          <w:sz w:val="17"/>
        </w:rPr>
      </w:pPr>
    </w:p>
    <w:p>
      <w:pPr>
        <w:pStyle w:val="BodyText"/>
        <w:ind w:left="68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ind w:left="680"/>
      </w:pPr>
      <w:r>
        <w:rPr/>
        <w:t>联系人：屠彦洋</w:t>
      </w:r>
    </w:p>
    <w:p>
      <w:pPr>
        <w:pStyle w:val="BodyText"/>
        <w:spacing w:before="7"/>
        <w:rPr>
          <w:sz w:val="15"/>
        </w:rPr>
      </w:pPr>
    </w:p>
    <w:p>
      <w:pPr>
        <w:pStyle w:val="BodyText"/>
        <w:spacing w:line="417" w:lineRule="auto"/>
        <w:ind w:left="680" w:right="5721"/>
        <w:rPr>
          <w:rFonts w:ascii="Times New Roman" w:eastAsia="Times New Roman"/>
        </w:rPr>
      </w:pPr>
      <w:r>
        <w:rPr/>
        <w:t>网址：</w:t>
      </w:r>
      <w:hyperlink r:id="rId30">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上海好买基金销售有限公司</w:t>
      </w:r>
    </w:p>
    <w:p>
      <w:pPr>
        <w:pStyle w:val="BodyText"/>
        <w:spacing w:before="7"/>
        <w:rPr>
          <w:sz w:val="15"/>
        </w:rPr>
      </w:pPr>
    </w:p>
    <w:p>
      <w:pPr>
        <w:pStyle w:val="BodyText"/>
        <w:ind w:left="680"/>
      </w:pPr>
      <w:r>
        <w:rPr/>
        <w:t>住所：上海市虹口区场中路</w:t>
      </w:r>
      <w:r>
        <w:rPr>
          <w:rFonts w:ascii="Times New Roman" w:eastAsia="Times New Roman"/>
        </w:rPr>
        <w:t>685</w:t>
      </w:r>
      <w:r>
        <w:rPr/>
        <w:t>弄</w:t>
      </w:r>
      <w:r>
        <w:rPr>
          <w:rFonts w:ascii="Times New Roman" w:eastAsia="Times New Roman"/>
        </w:rPr>
        <w:t>37</w:t>
      </w:r>
      <w:r>
        <w:rPr/>
        <w:t>号</w:t>
      </w:r>
      <w:r>
        <w:rPr>
          <w:rFonts w:ascii="Times New Roman" w:eastAsia="Times New Roman"/>
        </w:rPr>
        <w:t>4</w:t>
      </w:r>
      <w:r>
        <w:rPr/>
        <w:t>号楼</w:t>
      </w:r>
      <w:r>
        <w:rPr>
          <w:rFonts w:ascii="Times New Roman" w:eastAsia="Times New Roman"/>
        </w:rPr>
        <w:t>449</w:t>
      </w:r>
      <w:r>
        <w:rPr/>
        <w:t>室</w:t>
      </w:r>
    </w:p>
    <w:p>
      <w:pPr>
        <w:pStyle w:val="BodyText"/>
        <w:spacing w:before="6"/>
        <w:rPr>
          <w:sz w:val="15"/>
        </w:rPr>
      </w:pPr>
    </w:p>
    <w:p>
      <w:pPr>
        <w:pStyle w:val="BodyText"/>
        <w:spacing w:line="417" w:lineRule="auto" w:before="1"/>
        <w:ind w:left="680" w:right="1728"/>
      </w:pPr>
      <w:r>
        <w:rPr/>
        <w:t>办公地址：上海市浦东新区浦东南路</w:t>
      </w:r>
      <w:r>
        <w:rPr>
          <w:rFonts w:ascii="Times New Roman" w:eastAsia="Times New Roman"/>
        </w:rPr>
        <w:t>1118</w:t>
      </w:r>
      <w:r>
        <w:rPr/>
        <w:t>号鄂尔多斯国际大厦</w:t>
      </w:r>
      <w:r>
        <w:rPr>
          <w:rFonts w:ascii="Times New Roman" w:eastAsia="Times New Roman"/>
        </w:rPr>
        <w:t>903~906</w:t>
      </w:r>
      <w:r>
        <w:rPr/>
        <w:t>室法定代表人：杨文斌</w:t>
      </w:r>
    </w:p>
    <w:p>
      <w:pPr>
        <w:pStyle w:val="BodyText"/>
        <w:spacing w:line="417" w:lineRule="auto"/>
        <w:ind w:left="680" w:right="652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680"/>
      </w:pPr>
      <w:r>
        <w:rPr/>
        <w:t>联系人：周天雪</w:t>
      </w:r>
    </w:p>
    <w:p>
      <w:pPr>
        <w:pStyle w:val="BodyText"/>
        <w:spacing w:before="7"/>
        <w:rPr>
          <w:sz w:val="15"/>
        </w:rPr>
      </w:pPr>
    </w:p>
    <w:p>
      <w:pPr>
        <w:pStyle w:val="BodyText"/>
        <w:ind w:left="680"/>
        <w:rPr>
          <w:rFonts w:ascii="Times New Roman" w:eastAsia="Times New Roman"/>
        </w:rPr>
      </w:pPr>
      <w:r>
        <w:rPr/>
        <w:t>网址：</w:t>
      </w:r>
      <w:hyperlink r:id="rId31">
        <w:r>
          <w:rPr>
            <w:rFonts w:ascii="Times New Roman" w:eastAsia="Times New Roman"/>
          </w:rPr>
          <w:t>www.ehowbuy.com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6"/>
        <w:rPr>
          <w:sz w:val="15"/>
        </w:rPr>
      </w:pPr>
    </w:p>
    <w:p>
      <w:pPr>
        <w:pStyle w:val="BodyText"/>
        <w:spacing w:line="417" w:lineRule="auto"/>
        <w:ind w:left="680" w:right="2500"/>
        <w:jc w:val="both"/>
      </w:pPr>
      <w:r>
        <w:rPr/>
        <w:t>住所：浙江省杭州市余杭区五常街道文一西路</w:t>
      </w:r>
      <w:r>
        <w:rPr>
          <w:rFonts w:ascii="Times New Roman" w:eastAsia="Times New Roman"/>
        </w:rPr>
        <w:t>969</w:t>
      </w:r>
      <w:r>
        <w:rPr/>
        <w:t>号</w:t>
      </w:r>
      <w:r>
        <w:rPr>
          <w:rFonts w:ascii="Times New Roman" w:eastAsia="Times New Roman"/>
        </w:rPr>
        <w:t>3</w:t>
      </w:r>
      <w:r>
        <w:rPr/>
        <w:t>幢</w:t>
      </w:r>
      <w:r>
        <w:rPr>
          <w:rFonts w:ascii="Times New Roman" w:eastAsia="Times New Roman"/>
        </w:rPr>
        <w:t>5</w:t>
      </w:r>
      <w:r>
        <w:rPr/>
        <w:t>层</w:t>
      </w:r>
      <w:r>
        <w:rPr>
          <w:rFonts w:ascii="Times New Roman" w:eastAsia="Times New Roman"/>
        </w:rPr>
        <w:t>599</w:t>
      </w:r>
      <w:r>
        <w:rPr/>
        <w:t>室办公地址：浙江省杭州市西湖区万塘路</w:t>
      </w:r>
      <w:r>
        <w:rPr>
          <w:rFonts w:ascii="Times New Roman" w:eastAsia="Times New Roman"/>
        </w:rPr>
        <w:t>18</w:t>
      </w:r>
      <w:r>
        <w:rPr/>
        <w:t>号黄龙时代广场</w:t>
      </w:r>
      <w:r>
        <w:rPr>
          <w:rFonts w:ascii="Times New Roman" w:eastAsia="Times New Roman"/>
        </w:rPr>
        <w:t>B</w:t>
      </w:r>
      <w:r>
        <w:rPr/>
        <w:t>座</w:t>
      </w:r>
      <w:r>
        <w:rPr>
          <w:rFonts w:ascii="Times New Roman" w:eastAsia="Times New Roman"/>
        </w:rPr>
        <w:t>6F </w:t>
      </w:r>
      <w:r>
        <w:rPr/>
        <w:t>法定代表人：祖国明</w:t>
      </w:r>
    </w:p>
    <w:p>
      <w:pPr>
        <w:pStyle w:val="BodyText"/>
        <w:spacing w:line="269" w:lineRule="exact"/>
        <w:ind w:left="680"/>
        <w:rPr>
          <w:rFonts w:ascii="Times New Roman" w:eastAsia="Times New Roman"/>
        </w:rPr>
      </w:pPr>
      <w:r>
        <w:rPr/>
        <w:t>电话：</w:t>
      </w:r>
      <w:r>
        <w:rPr>
          <w:rFonts w:ascii="Times New Roman" w:eastAsia="Times New Roman"/>
        </w:rPr>
        <w:t>18205712248</w:t>
      </w:r>
    </w:p>
    <w:p>
      <w:pPr>
        <w:pStyle w:val="BodyText"/>
        <w:spacing w:before="4"/>
        <w:rPr>
          <w:rFonts w:ascii="Times New Roman"/>
          <w:sz w:val="17"/>
        </w:rPr>
      </w:pPr>
    </w:p>
    <w:p>
      <w:pPr>
        <w:pStyle w:val="BodyText"/>
        <w:ind w:left="680"/>
      </w:pPr>
      <w:r>
        <w:rPr/>
        <w:t>联系人：韩爱斌</w:t>
      </w:r>
    </w:p>
    <w:p>
      <w:pPr>
        <w:pStyle w:val="BodyText"/>
        <w:spacing w:before="7"/>
        <w:rPr>
          <w:sz w:val="15"/>
        </w:rPr>
      </w:pPr>
    </w:p>
    <w:p>
      <w:pPr>
        <w:pStyle w:val="BodyText"/>
        <w:ind w:left="680"/>
        <w:rPr>
          <w:rFonts w:ascii="Times New Roman" w:eastAsia="Times New Roman"/>
        </w:rPr>
      </w:pPr>
      <w:r>
        <w:rPr/>
        <w:t>网址：</w:t>
      </w:r>
      <w:hyperlink r:id="rId32">
        <w:r>
          <w:rPr>
            <w:rFonts w:ascii="Times New Roman" w:eastAsia="Times New Roman"/>
          </w:rPr>
          <w:t>www.fund123.cn</w:t>
        </w:r>
      </w:hyperlink>
    </w:p>
    <w:p>
      <w:pPr>
        <w:spacing w:after="0"/>
        <w:rPr>
          <w:rFonts w:ascii="Times New Roman" w:eastAsia="Times New Roman"/>
        </w:rPr>
        <w:sectPr>
          <w:pgSz w:w="11910" w:h="16840"/>
          <w:pgMar w:header="877" w:footer="995" w:top="1420" w:bottom="1180" w:left="1540" w:right="1300"/>
        </w:sectPr>
      </w:pPr>
    </w:p>
    <w:p>
      <w:pPr>
        <w:pStyle w:val="BodyText"/>
        <w:spacing w:before="110"/>
        <w:ind w:left="680"/>
        <w:rPr>
          <w:rFonts w:ascii="Times New Roman" w:eastAsia="Times New Roman"/>
        </w:rPr>
      </w:pPr>
      <w:r>
        <w:rPr/>
        <w:t>客户服务电话：</w:t>
      </w:r>
      <w:r>
        <w:rPr>
          <w:rFonts w:ascii="Times New Roman" w:eastAsia="Times New Roman"/>
        </w:rPr>
        <w:t>4000-766-123</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上海长量基金销售有限公司</w:t>
      </w:r>
    </w:p>
    <w:p>
      <w:pPr>
        <w:pStyle w:val="BodyText"/>
        <w:spacing w:before="7"/>
        <w:rPr>
          <w:sz w:val="15"/>
        </w:rPr>
      </w:pPr>
    </w:p>
    <w:p>
      <w:pPr>
        <w:pStyle w:val="BodyText"/>
        <w:ind w:left="680"/>
      </w:pPr>
      <w:r>
        <w:rPr/>
        <w:t>住所：上海市浦东新区高翔路</w:t>
      </w:r>
      <w:r>
        <w:rPr>
          <w:rFonts w:ascii="Times New Roman" w:eastAsia="Times New Roman"/>
        </w:rPr>
        <w:t>526</w:t>
      </w:r>
      <w:r>
        <w:rPr/>
        <w:t>号</w:t>
      </w:r>
      <w:r>
        <w:rPr>
          <w:rFonts w:ascii="Times New Roman" w:eastAsia="Times New Roman"/>
        </w:rPr>
        <w:t>2</w:t>
      </w:r>
      <w:r>
        <w:rPr/>
        <w:t>幢</w:t>
      </w:r>
      <w:r>
        <w:rPr>
          <w:rFonts w:ascii="Times New Roman" w:eastAsia="Times New Roman"/>
        </w:rPr>
        <w:t>220</w:t>
      </w:r>
      <w:r>
        <w:rPr/>
        <w:t>室</w:t>
      </w:r>
    </w:p>
    <w:p>
      <w:pPr>
        <w:pStyle w:val="BodyText"/>
        <w:spacing w:before="6"/>
        <w:rPr>
          <w:sz w:val="15"/>
        </w:rPr>
      </w:pPr>
    </w:p>
    <w:p>
      <w:pPr>
        <w:pStyle w:val="BodyText"/>
        <w:spacing w:line="417" w:lineRule="auto" w:before="1"/>
        <w:ind w:left="680" w:right="2884"/>
      </w:pPr>
      <w:r>
        <w:rPr/>
        <w:t>办公地址：上海市浦东新区浦东大道</w:t>
      </w:r>
      <w:r>
        <w:rPr>
          <w:rFonts w:ascii="Times New Roman" w:eastAsia="Times New Roman"/>
        </w:rPr>
        <w:t>555</w:t>
      </w:r>
      <w:r>
        <w:rPr/>
        <w:t>号裕景国际</w:t>
      </w:r>
      <w:r>
        <w:rPr>
          <w:rFonts w:ascii="Times New Roman" w:eastAsia="Times New Roman"/>
        </w:rPr>
        <w:t>B</w:t>
      </w:r>
      <w:r>
        <w:rPr/>
        <w:t>座</w:t>
      </w:r>
      <w:r>
        <w:rPr>
          <w:rFonts w:ascii="Times New Roman" w:eastAsia="Times New Roman"/>
        </w:rPr>
        <w:t>16</w:t>
      </w:r>
      <w:r>
        <w:rPr/>
        <w:t>层法定代表人：张跃伟</w:t>
      </w:r>
    </w:p>
    <w:p>
      <w:pPr>
        <w:pStyle w:val="BodyText"/>
        <w:spacing w:line="417" w:lineRule="auto"/>
        <w:ind w:left="680" w:right="652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ind w:left="680"/>
      </w:pPr>
      <w:r>
        <w:rPr/>
        <w:t>联系人：黄辉</w:t>
      </w:r>
    </w:p>
    <w:p>
      <w:pPr>
        <w:pStyle w:val="BodyText"/>
        <w:spacing w:before="6"/>
        <w:rPr>
          <w:sz w:val="15"/>
        </w:rPr>
      </w:pPr>
    </w:p>
    <w:p>
      <w:pPr>
        <w:pStyle w:val="BodyText"/>
        <w:ind w:left="680"/>
        <w:rPr>
          <w:rFonts w:ascii="Times New Roman" w:eastAsia="Times New Roman"/>
        </w:rPr>
      </w:pPr>
      <w:r>
        <w:rPr/>
        <w:t>网址：</w:t>
      </w:r>
      <w:hyperlink r:id="rId33">
        <w:r>
          <w:rPr>
            <w:rFonts w:ascii="Times New Roman" w:eastAsia="Times New Roman"/>
          </w:rPr>
          <w:t>www.erichfund.com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400-820-2899</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浙江同花顺基金销售有限公司</w:t>
      </w:r>
    </w:p>
    <w:p>
      <w:pPr>
        <w:pStyle w:val="BodyText"/>
        <w:spacing w:before="7"/>
        <w:rPr>
          <w:sz w:val="15"/>
        </w:rPr>
      </w:pPr>
    </w:p>
    <w:p>
      <w:pPr>
        <w:pStyle w:val="BodyText"/>
        <w:ind w:left="680"/>
      </w:pPr>
      <w:r>
        <w:rPr/>
        <w:t>住所：浙江省杭州市文二西路一号元茂大厦</w:t>
      </w:r>
      <w:r>
        <w:rPr>
          <w:rFonts w:ascii="Times New Roman" w:eastAsia="Times New Roman"/>
        </w:rPr>
        <w:t>903</w:t>
      </w:r>
      <w:r>
        <w:rPr/>
        <w:t>室</w:t>
      </w:r>
    </w:p>
    <w:p>
      <w:pPr>
        <w:pStyle w:val="BodyText"/>
        <w:spacing w:before="7"/>
        <w:rPr>
          <w:sz w:val="15"/>
        </w:rPr>
      </w:pPr>
    </w:p>
    <w:p>
      <w:pPr>
        <w:pStyle w:val="BodyText"/>
        <w:spacing w:line="417" w:lineRule="auto"/>
        <w:ind w:left="680" w:right="2183"/>
      </w:pPr>
      <w:r>
        <w:rPr/>
        <w:t>办公地址：浙江省杭州市余杭区五常街道同顺街</w:t>
      </w:r>
      <w:r>
        <w:rPr>
          <w:rFonts w:ascii="Times New Roman" w:eastAsia="Times New Roman"/>
        </w:rPr>
        <w:t>18</w:t>
      </w:r>
      <w:r>
        <w:rPr/>
        <w:t>号同花顺大楼</w:t>
      </w:r>
      <w:r>
        <w:rPr>
          <w:rFonts w:ascii="Times New Roman" w:eastAsia="Times New Roman"/>
        </w:rPr>
        <w:t>4</w:t>
      </w:r>
      <w:r>
        <w:rPr/>
        <w:t>层法定代表人：凌顺平</w:t>
      </w:r>
    </w:p>
    <w:p>
      <w:pPr>
        <w:pStyle w:val="BodyText"/>
        <w:spacing w:line="417" w:lineRule="auto"/>
        <w:ind w:left="680" w:right="594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spacing w:line="269" w:lineRule="exact"/>
        <w:ind w:left="680"/>
      </w:pPr>
      <w:r>
        <w:rPr/>
        <w:t>联系人：吴强</w:t>
      </w:r>
    </w:p>
    <w:p>
      <w:pPr>
        <w:pStyle w:val="BodyText"/>
        <w:spacing w:before="6"/>
        <w:rPr>
          <w:sz w:val="15"/>
        </w:rPr>
      </w:pPr>
    </w:p>
    <w:p>
      <w:pPr>
        <w:pStyle w:val="BodyText"/>
        <w:spacing w:before="1"/>
        <w:ind w:left="680"/>
        <w:rPr>
          <w:rFonts w:ascii="Times New Roman" w:eastAsia="Times New Roman"/>
        </w:rPr>
      </w:pPr>
      <w:r>
        <w:rPr/>
        <w:t>网址：</w:t>
      </w:r>
      <w:hyperlink r:id="rId34">
        <w:r>
          <w:rPr>
            <w:rFonts w:ascii="Times New Roman" w:eastAsia="Times New Roman"/>
          </w:rPr>
          <w:t>www.5ifund.com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北京展恒基金销售有限公司</w:t>
      </w:r>
    </w:p>
    <w:p>
      <w:pPr>
        <w:pStyle w:val="BodyText"/>
        <w:spacing w:before="7"/>
        <w:rPr>
          <w:sz w:val="15"/>
        </w:rPr>
      </w:pPr>
    </w:p>
    <w:p>
      <w:pPr>
        <w:pStyle w:val="BodyText"/>
        <w:ind w:left="680"/>
      </w:pPr>
      <w:r>
        <w:rPr/>
        <w:t>住所：北京市顺义区后沙峪镇安富街</w:t>
      </w:r>
      <w:r>
        <w:rPr>
          <w:rFonts w:ascii="Times New Roman" w:eastAsia="Times New Roman"/>
        </w:rPr>
        <w:t>6</w:t>
      </w:r>
      <w:r>
        <w:rPr/>
        <w:t>号</w:t>
      </w:r>
    </w:p>
    <w:p>
      <w:pPr>
        <w:pStyle w:val="BodyText"/>
        <w:spacing w:before="7"/>
        <w:rPr>
          <w:sz w:val="15"/>
        </w:rPr>
      </w:pPr>
    </w:p>
    <w:p>
      <w:pPr>
        <w:pStyle w:val="BodyText"/>
        <w:spacing w:line="417" w:lineRule="auto" w:before="1"/>
        <w:ind w:left="680" w:right="3758"/>
      </w:pPr>
      <w:r>
        <w:rPr>
          <w:spacing w:val="-3"/>
        </w:rPr>
        <w:t>办公地址：北京市朝阳区华严北里</w:t>
      </w:r>
      <w:r>
        <w:rPr>
          <w:rFonts w:ascii="Times New Roman" w:eastAsia="Times New Roman"/>
          <w:spacing w:val="-3"/>
        </w:rPr>
        <w:t>2</w:t>
      </w:r>
      <w:r>
        <w:rPr>
          <w:spacing w:val="-3"/>
        </w:rPr>
        <w:t>号民建大厦</w:t>
      </w:r>
      <w:r>
        <w:rPr>
          <w:rFonts w:ascii="Times New Roman" w:eastAsia="Times New Roman"/>
        </w:rPr>
        <w:t>6</w:t>
      </w:r>
      <w:r>
        <w:rPr>
          <w:spacing w:val="-11"/>
        </w:rPr>
        <w:t>层</w:t>
      </w:r>
      <w:r>
        <w:rPr>
          <w:spacing w:val="-3"/>
        </w:rPr>
        <w:t>法定代表人：闫振杰</w:t>
      </w:r>
    </w:p>
    <w:p>
      <w:pPr>
        <w:pStyle w:val="BodyText"/>
        <w:spacing w:line="417" w:lineRule="auto"/>
        <w:ind w:left="680" w:right="6036"/>
        <w:rPr>
          <w:rFonts w:ascii="Times New Roman" w:eastAsia="Times New Roman"/>
        </w:rPr>
      </w:pPr>
      <w:r>
        <w:rPr>
          <w:spacing w:val="-1"/>
        </w:rPr>
        <w:t>电话：</w:t>
      </w:r>
      <w:r>
        <w:rPr>
          <w:rFonts w:ascii="Times New Roman" w:eastAsia="Times New Roman"/>
          <w:spacing w:val="-1"/>
        </w:rPr>
        <w:t>010-62020088-6006 </w:t>
      </w:r>
      <w:r>
        <w:rPr/>
        <w:t>传真：</w:t>
      </w:r>
      <w:r>
        <w:rPr>
          <w:rFonts w:ascii="Times New Roman" w:eastAsia="Times New Roman"/>
        </w:rPr>
        <w:t>010-62020355</w:t>
      </w:r>
    </w:p>
    <w:p>
      <w:pPr>
        <w:pStyle w:val="BodyText"/>
        <w:spacing w:line="269" w:lineRule="exact"/>
        <w:ind w:left="680"/>
      </w:pPr>
      <w:r>
        <w:rPr/>
        <w:t>联系人：翟飞飞</w:t>
      </w:r>
    </w:p>
    <w:p>
      <w:pPr>
        <w:pStyle w:val="BodyText"/>
        <w:spacing w:before="6"/>
        <w:rPr>
          <w:sz w:val="15"/>
        </w:rPr>
      </w:pPr>
    </w:p>
    <w:p>
      <w:pPr>
        <w:pStyle w:val="BodyText"/>
        <w:ind w:left="680"/>
        <w:rPr>
          <w:rFonts w:ascii="Times New Roman" w:eastAsia="Times New Roman"/>
        </w:rPr>
      </w:pPr>
      <w:r>
        <w:rPr/>
        <w:t>网址：</w:t>
      </w:r>
      <w:hyperlink r:id="rId35">
        <w:r>
          <w:rPr>
            <w:rFonts w:ascii="Times New Roman" w:eastAsia="Times New Roman"/>
          </w:rPr>
          <w:t>www.myfund.com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400-888-6661</w:t>
      </w:r>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上海利得基金销售有限公司</w:t>
      </w:r>
    </w:p>
    <w:p>
      <w:pPr>
        <w:pStyle w:val="BodyText"/>
        <w:spacing w:before="7"/>
        <w:rPr>
          <w:sz w:val="15"/>
        </w:rPr>
      </w:pPr>
    </w:p>
    <w:p>
      <w:pPr>
        <w:pStyle w:val="BodyText"/>
        <w:ind w:left="680"/>
      </w:pPr>
      <w:r>
        <w:rPr/>
        <w:t>住所：上海市宝山区蕴川路</w:t>
      </w:r>
      <w:r>
        <w:rPr>
          <w:rFonts w:ascii="Times New Roman" w:eastAsia="Times New Roman"/>
        </w:rPr>
        <w:t>5475</w:t>
      </w:r>
      <w:r>
        <w:rPr/>
        <w:t>号</w:t>
      </w:r>
      <w:r>
        <w:rPr>
          <w:rFonts w:ascii="Times New Roman" w:eastAsia="Times New Roman"/>
        </w:rPr>
        <w:t>1033</w:t>
      </w:r>
      <w:r>
        <w:rPr/>
        <w:t>室</w:t>
      </w:r>
    </w:p>
    <w:p>
      <w:pPr>
        <w:spacing w:after="0"/>
        <w:sectPr>
          <w:pgSz w:w="11910" w:h="16840"/>
          <w:pgMar w:header="877" w:footer="995" w:top="1420" w:bottom="1180" w:left="1540" w:right="1300"/>
        </w:sectPr>
      </w:pPr>
    </w:p>
    <w:p>
      <w:pPr>
        <w:pStyle w:val="BodyText"/>
        <w:spacing w:line="417" w:lineRule="auto" w:before="110"/>
        <w:ind w:left="680" w:right="4178"/>
      </w:pPr>
      <w:r>
        <w:rPr/>
        <w:t>办公地址：上海市虹口区东大名路</w:t>
      </w:r>
      <w:r>
        <w:rPr>
          <w:rFonts w:ascii="Times New Roman" w:eastAsia="Times New Roman"/>
        </w:rPr>
        <w:t>1098</w:t>
      </w:r>
      <w:r>
        <w:rPr/>
        <w:t>号</w:t>
      </w:r>
      <w:r>
        <w:rPr>
          <w:rFonts w:ascii="Times New Roman" w:eastAsia="Times New Roman"/>
        </w:rPr>
        <w:t>53</w:t>
      </w:r>
      <w:r>
        <w:rPr/>
        <w:t>楼法定代表人：沈继伟</w:t>
      </w:r>
    </w:p>
    <w:p>
      <w:pPr>
        <w:pStyle w:val="BodyText"/>
        <w:spacing w:line="417" w:lineRule="auto"/>
        <w:ind w:left="680" w:right="652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680"/>
      </w:pPr>
      <w:r>
        <w:rPr/>
        <w:t>联系人：曹怡晨</w:t>
      </w:r>
    </w:p>
    <w:p>
      <w:pPr>
        <w:pStyle w:val="BodyText"/>
        <w:spacing w:before="6"/>
        <w:rPr>
          <w:sz w:val="15"/>
        </w:rPr>
      </w:pPr>
    </w:p>
    <w:p>
      <w:pPr>
        <w:pStyle w:val="BodyText"/>
        <w:spacing w:line="417" w:lineRule="auto"/>
        <w:ind w:left="680" w:right="5257"/>
        <w:rPr>
          <w:rFonts w:ascii="Times New Roman" w:eastAsia="Times New Roman"/>
        </w:rPr>
      </w:pPr>
      <w:r>
        <w:rPr/>
        <w:t>网址：</w:t>
      </w:r>
      <w:hyperlink r:id="rId36">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浙江金观诚基金销售有限公司</w:t>
      </w:r>
    </w:p>
    <w:p>
      <w:pPr>
        <w:pStyle w:val="BodyText"/>
        <w:spacing w:before="7"/>
        <w:rPr>
          <w:sz w:val="15"/>
        </w:rPr>
      </w:pPr>
    </w:p>
    <w:p>
      <w:pPr>
        <w:pStyle w:val="BodyText"/>
        <w:spacing w:line="417" w:lineRule="auto"/>
        <w:ind w:left="680" w:right="2707"/>
      </w:pPr>
      <w:r>
        <w:rPr/>
        <w:t>住所：杭州市拱墅区登云路</w:t>
      </w:r>
      <w:r>
        <w:rPr>
          <w:rFonts w:ascii="Times New Roman" w:eastAsia="Times New Roman"/>
        </w:rPr>
        <w:t>45</w:t>
      </w:r>
      <w:r>
        <w:rPr/>
        <w:t>号（锦昌大厦）</w:t>
      </w:r>
      <w:r>
        <w:rPr>
          <w:rFonts w:ascii="Times New Roman" w:eastAsia="Times New Roman"/>
        </w:rPr>
        <w:t>1</w:t>
      </w:r>
      <w:r>
        <w:rPr/>
        <w:t>幢</w:t>
      </w:r>
      <w:r>
        <w:rPr>
          <w:rFonts w:ascii="Times New Roman" w:eastAsia="Times New Roman"/>
        </w:rPr>
        <w:t>10</w:t>
      </w:r>
      <w:r>
        <w:rPr/>
        <w:t>楼</w:t>
      </w:r>
      <w:r>
        <w:rPr>
          <w:rFonts w:ascii="Times New Roman" w:eastAsia="Times New Roman"/>
        </w:rPr>
        <w:t>1001</w:t>
      </w:r>
      <w:r>
        <w:rPr/>
        <w:t>室办公地址：杭州市拱墅区登云路</w:t>
      </w:r>
      <w:r>
        <w:rPr>
          <w:rFonts w:ascii="Times New Roman" w:eastAsia="Times New Roman"/>
        </w:rPr>
        <w:t>45</w:t>
      </w:r>
      <w:r>
        <w:rPr/>
        <w:t>号锦昌大厦一楼金观诚财富法定代表人：徐黎云</w:t>
      </w:r>
    </w:p>
    <w:p>
      <w:pPr>
        <w:pStyle w:val="BodyText"/>
        <w:spacing w:line="417" w:lineRule="auto"/>
        <w:ind w:left="680" w:right="6420"/>
        <w:rPr>
          <w:rFonts w:ascii="Times New Roman" w:eastAsia="Times New Roman"/>
        </w:rPr>
      </w:pPr>
      <w:r>
        <w:rPr/>
        <w:t>电话：</w:t>
      </w:r>
      <w:r>
        <w:rPr>
          <w:rFonts w:ascii="Times New Roman" w:eastAsia="Times New Roman"/>
        </w:rPr>
        <w:t>0571-88337717 </w:t>
      </w:r>
      <w:r>
        <w:rPr/>
        <w:t>传真：</w:t>
      </w:r>
      <w:r>
        <w:rPr>
          <w:rFonts w:ascii="Times New Roman" w:eastAsia="Times New Roman"/>
        </w:rPr>
        <w:t>0571-88337666</w:t>
      </w:r>
    </w:p>
    <w:p>
      <w:pPr>
        <w:pStyle w:val="BodyText"/>
        <w:spacing w:line="269" w:lineRule="exact"/>
        <w:ind w:left="680"/>
      </w:pPr>
      <w:r>
        <w:rPr/>
        <w:t>联系人：孙成岩</w:t>
      </w:r>
    </w:p>
    <w:p>
      <w:pPr>
        <w:pStyle w:val="BodyText"/>
        <w:spacing w:before="7"/>
        <w:rPr>
          <w:sz w:val="15"/>
        </w:rPr>
      </w:pPr>
    </w:p>
    <w:p>
      <w:pPr>
        <w:pStyle w:val="BodyText"/>
        <w:spacing w:line="417" w:lineRule="auto"/>
        <w:ind w:left="680" w:right="5622"/>
        <w:rPr>
          <w:rFonts w:ascii="Times New Roman" w:eastAsia="Times New Roman"/>
        </w:rPr>
      </w:pPr>
      <w:r>
        <w:rPr/>
        <w:t>网址：</w:t>
      </w:r>
      <w:hyperlink r:id="rId37">
        <w:r>
          <w:rPr>
            <w:rFonts w:ascii="Times New Roman" w:eastAsia="Times New Roman"/>
          </w:rPr>
          <w:t>www.jincheng-fund.com </w:t>
        </w:r>
      </w:hyperlink>
      <w:r>
        <w:rPr/>
        <w:t>客户服务电话：</w:t>
      </w:r>
      <w:r>
        <w:rPr>
          <w:rFonts w:ascii="Times New Roman" w:eastAsia="Times New Roman"/>
        </w:rPr>
        <w:t>400-068-0058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6"/>
        <w:rPr>
          <w:sz w:val="15"/>
        </w:rPr>
      </w:pPr>
    </w:p>
    <w:p>
      <w:pPr>
        <w:pStyle w:val="BodyText"/>
        <w:spacing w:before="1"/>
        <w:ind w:left="680"/>
      </w:pPr>
      <w:r>
        <w:rPr/>
        <w:t>住所：北京市海淀区东北旺村南</w:t>
      </w:r>
      <w:r>
        <w:rPr>
          <w:rFonts w:ascii="Times New Roman" w:eastAsia="Times New Roman"/>
        </w:rPr>
        <w:t>1</w:t>
      </w:r>
      <w:r>
        <w:rPr/>
        <w:t>号楼</w:t>
      </w:r>
      <w:r>
        <w:rPr>
          <w:rFonts w:ascii="Times New Roman" w:eastAsia="Times New Roman"/>
        </w:rPr>
        <w:t>7</w:t>
      </w:r>
      <w:r>
        <w:rPr/>
        <w:t>层</w:t>
      </w:r>
      <w:r>
        <w:rPr>
          <w:rFonts w:ascii="Times New Roman" w:eastAsia="Times New Roman"/>
        </w:rPr>
        <w:t>7117</w:t>
      </w:r>
      <w:r>
        <w:rPr/>
        <w:t>室</w:t>
      </w:r>
    </w:p>
    <w:p>
      <w:pPr>
        <w:pStyle w:val="BodyText"/>
        <w:spacing w:before="6"/>
        <w:rPr>
          <w:sz w:val="15"/>
        </w:rPr>
      </w:pPr>
    </w:p>
    <w:p>
      <w:pPr>
        <w:pStyle w:val="BodyText"/>
        <w:spacing w:line="417" w:lineRule="auto"/>
        <w:ind w:left="680" w:right="3340"/>
      </w:pPr>
      <w:r>
        <w:rPr/>
        <w:t>办公地址：北京市西城区德外大街合生财富广场</w:t>
      </w:r>
      <w:r>
        <w:rPr>
          <w:rFonts w:ascii="Times New Roman" w:eastAsia="Times New Roman"/>
        </w:rPr>
        <w:t>1302</w:t>
      </w:r>
      <w:r>
        <w:rPr/>
        <w:t>室法定代表人：王兴吉</w:t>
      </w:r>
    </w:p>
    <w:p>
      <w:pPr>
        <w:pStyle w:val="BodyText"/>
        <w:spacing w:line="417" w:lineRule="auto"/>
        <w:ind w:left="680" w:right="652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ind w:left="680"/>
      </w:pPr>
      <w:r>
        <w:rPr/>
        <w:t>联系人：高雪超</w:t>
      </w:r>
    </w:p>
    <w:p>
      <w:pPr>
        <w:pStyle w:val="BodyText"/>
        <w:spacing w:before="7"/>
        <w:rPr>
          <w:sz w:val="15"/>
        </w:rPr>
      </w:pPr>
    </w:p>
    <w:p>
      <w:pPr>
        <w:pStyle w:val="BodyText"/>
        <w:spacing w:line="417" w:lineRule="auto"/>
        <w:ind w:left="680" w:right="5809"/>
        <w:rPr>
          <w:rFonts w:ascii="Times New Roman" w:eastAsia="Times New Roman"/>
        </w:rPr>
      </w:pPr>
      <w:r>
        <w:rPr/>
        <w:t>网 址 ：</w:t>
      </w:r>
      <w:hyperlink r:id="rId38">
        <w:r>
          <w:rPr>
            <w:rFonts w:ascii="Times New Roman" w:eastAsia="Times New Roman"/>
          </w:rPr>
          <w:t>www.qiandaojr.com</w:t>
        </w:r>
      </w:hyperlink>
      <w:r>
        <w:rPr>
          <w:rFonts w:ascii="Times New Roman" w:eastAsia="Times New Roman"/>
        </w:rPr>
        <w:t> </w:t>
      </w:r>
      <w:r>
        <w:rPr/>
        <w:t>客户服务电话：</w:t>
      </w:r>
      <w:r>
        <w:rPr>
          <w:rFonts w:ascii="Times New Roman" w:eastAsia="Times New Roman"/>
        </w:rPr>
        <w:t>4000888080</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北京创金启富基金销售有限公司</w:t>
      </w:r>
    </w:p>
    <w:p>
      <w:pPr>
        <w:pStyle w:val="BodyText"/>
        <w:spacing w:before="7"/>
        <w:rPr>
          <w:sz w:val="15"/>
        </w:rPr>
      </w:pPr>
    </w:p>
    <w:p>
      <w:pPr>
        <w:pStyle w:val="BodyText"/>
        <w:ind w:left="680"/>
      </w:pPr>
      <w:r>
        <w:rPr/>
        <w:t>住所：北京市西城区白纸坊东街</w:t>
      </w:r>
      <w:r>
        <w:rPr>
          <w:rFonts w:ascii="Times New Roman" w:eastAsia="Times New Roman"/>
        </w:rPr>
        <w:t>2</w:t>
      </w:r>
      <w:r>
        <w:rPr/>
        <w:t>号院</w:t>
      </w:r>
      <w:r>
        <w:rPr>
          <w:rFonts w:ascii="Times New Roman" w:eastAsia="Times New Roman"/>
        </w:rPr>
        <w:t>6</w:t>
      </w:r>
      <w:r>
        <w:rPr/>
        <w:t>号楼</w:t>
      </w:r>
      <w:r>
        <w:rPr>
          <w:rFonts w:ascii="Times New Roman" w:eastAsia="Times New Roman"/>
        </w:rPr>
        <w:t>712</w:t>
      </w:r>
      <w:r>
        <w:rPr/>
        <w:t>室</w:t>
      </w:r>
    </w:p>
    <w:p>
      <w:pPr>
        <w:pStyle w:val="BodyText"/>
        <w:spacing w:before="6"/>
        <w:rPr>
          <w:sz w:val="15"/>
        </w:rPr>
      </w:pPr>
    </w:p>
    <w:p>
      <w:pPr>
        <w:pStyle w:val="BodyText"/>
        <w:spacing w:line="417" w:lineRule="auto"/>
        <w:ind w:left="680" w:right="3446"/>
      </w:pPr>
      <w:r>
        <w:rPr/>
        <w:t>办公地址：北京市西城区白纸坊东街</w:t>
      </w:r>
      <w:r>
        <w:rPr>
          <w:rFonts w:ascii="Times New Roman" w:eastAsia="Times New Roman"/>
        </w:rPr>
        <w:t>2</w:t>
      </w:r>
      <w:r>
        <w:rPr/>
        <w:t>号院</w:t>
      </w:r>
      <w:r>
        <w:rPr>
          <w:rFonts w:ascii="Times New Roman" w:eastAsia="Times New Roman"/>
        </w:rPr>
        <w:t>6</w:t>
      </w:r>
      <w:r>
        <w:rPr/>
        <w:t>号楼</w:t>
      </w:r>
      <w:r>
        <w:rPr>
          <w:rFonts w:ascii="Times New Roman" w:eastAsia="Times New Roman"/>
        </w:rPr>
        <w:t>712</w:t>
      </w:r>
      <w:r>
        <w:rPr/>
        <w:t>室法定代表人：梁蓉</w:t>
      </w:r>
    </w:p>
    <w:p>
      <w:pPr>
        <w:pStyle w:val="BodyText"/>
        <w:spacing w:before="1"/>
        <w:ind w:left="680"/>
        <w:rPr>
          <w:rFonts w:ascii="Times New Roman" w:eastAsia="Times New Roman"/>
        </w:rPr>
      </w:pPr>
      <w:r>
        <w:rPr/>
        <w:t>电话：</w:t>
      </w:r>
      <w:r>
        <w:rPr>
          <w:rFonts w:ascii="Times New Roman" w:eastAsia="Times New Roman"/>
        </w:rPr>
        <w:t>010-66154828-809</w:t>
      </w:r>
    </w:p>
    <w:p>
      <w:pPr>
        <w:spacing w:after="0"/>
        <w:rPr>
          <w:rFonts w:ascii="Times New Roman" w:eastAsia="Times New Roman"/>
        </w:rPr>
        <w:sectPr>
          <w:pgSz w:w="11910" w:h="16840"/>
          <w:pgMar w:header="877" w:footer="995" w:top="1420" w:bottom="1180" w:left="1540" w:right="1300"/>
        </w:sectPr>
      </w:pPr>
    </w:p>
    <w:p>
      <w:pPr>
        <w:pStyle w:val="BodyText"/>
        <w:spacing w:before="110"/>
        <w:ind w:left="680"/>
        <w:rPr>
          <w:rFonts w:ascii="Times New Roman" w:eastAsia="Times New Roman"/>
        </w:rPr>
      </w:pPr>
      <w:r>
        <w:rPr/>
        <w:t>传真：</w:t>
      </w:r>
      <w:r>
        <w:rPr>
          <w:rFonts w:ascii="Times New Roman" w:eastAsia="Times New Roman"/>
        </w:rPr>
        <w:t>010-88067526</w:t>
      </w:r>
    </w:p>
    <w:p>
      <w:pPr>
        <w:pStyle w:val="BodyText"/>
        <w:spacing w:before="3"/>
        <w:rPr>
          <w:rFonts w:ascii="Times New Roman"/>
          <w:sz w:val="17"/>
        </w:rPr>
      </w:pPr>
    </w:p>
    <w:p>
      <w:pPr>
        <w:pStyle w:val="BodyText"/>
        <w:ind w:left="680"/>
      </w:pPr>
      <w:r>
        <w:rPr/>
        <w:t>联系人：马浩</w:t>
      </w:r>
    </w:p>
    <w:p>
      <w:pPr>
        <w:pStyle w:val="BodyText"/>
        <w:spacing w:before="7"/>
        <w:rPr>
          <w:sz w:val="15"/>
        </w:rPr>
      </w:pPr>
    </w:p>
    <w:p>
      <w:pPr>
        <w:pStyle w:val="BodyText"/>
        <w:ind w:left="680"/>
        <w:rPr>
          <w:rFonts w:ascii="Times New Roman" w:eastAsia="Times New Roman"/>
        </w:rPr>
      </w:pPr>
      <w:r>
        <w:rPr/>
        <w:t>网址：</w:t>
      </w:r>
      <w:hyperlink r:id="rId39">
        <w:r>
          <w:rPr>
            <w:rFonts w:ascii="Times New Roman" w:eastAsia="Times New Roman"/>
          </w:rPr>
          <w:t>www.5irich.com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400-6262-818</w:t>
      </w:r>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泛华普益基金销售有限公司</w:t>
      </w:r>
    </w:p>
    <w:p>
      <w:pPr>
        <w:pStyle w:val="BodyText"/>
        <w:spacing w:before="6"/>
        <w:rPr>
          <w:sz w:val="15"/>
        </w:rPr>
      </w:pPr>
    </w:p>
    <w:p>
      <w:pPr>
        <w:pStyle w:val="BodyText"/>
        <w:spacing w:before="1"/>
        <w:ind w:left="680"/>
      </w:pPr>
      <w:r>
        <w:rPr/>
        <w:t>住所：成都市成华区建设路</w:t>
      </w:r>
      <w:r>
        <w:rPr>
          <w:rFonts w:ascii="Times New Roman" w:eastAsia="Times New Roman"/>
        </w:rPr>
        <w:t>9</w:t>
      </w:r>
      <w:r>
        <w:rPr/>
        <w:t>号高地中心</w:t>
      </w:r>
      <w:r>
        <w:rPr>
          <w:rFonts w:ascii="Times New Roman" w:eastAsia="Times New Roman"/>
        </w:rPr>
        <w:t>1101</w:t>
      </w:r>
      <w:r>
        <w:rPr/>
        <w:t>室</w:t>
      </w:r>
    </w:p>
    <w:p>
      <w:pPr>
        <w:pStyle w:val="BodyText"/>
        <w:spacing w:before="6"/>
        <w:rPr>
          <w:sz w:val="15"/>
        </w:rPr>
      </w:pPr>
    </w:p>
    <w:p>
      <w:pPr>
        <w:pStyle w:val="BodyText"/>
        <w:spacing w:line="417" w:lineRule="auto"/>
        <w:ind w:left="680" w:right="1204"/>
      </w:pPr>
      <w:r>
        <w:rPr/>
        <w:t>办公地址：成都市金牛区花照壁西顺街</w:t>
      </w:r>
      <w:r>
        <w:rPr>
          <w:rFonts w:ascii="Times New Roman" w:eastAsia="Times New Roman"/>
        </w:rPr>
        <w:t>399</w:t>
      </w:r>
      <w:r>
        <w:rPr/>
        <w:t>号</w:t>
      </w:r>
      <w:r>
        <w:rPr>
          <w:rFonts w:ascii="Times New Roman" w:eastAsia="Times New Roman"/>
        </w:rPr>
        <w:t>1</w:t>
      </w:r>
      <w:r>
        <w:rPr/>
        <w:t>栋</w:t>
      </w:r>
      <w:r>
        <w:rPr>
          <w:rFonts w:ascii="Times New Roman" w:eastAsia="Times New Roman"/>
        </w:rPr>
        <w:t>1</w:t>
      </w:r>
      <w:r>
        <w:rPr/>
        <w:t>单元龙湖西宸天街</w:t>
      </w:r>
      <w:r>
        <w:rPr>
          <w:rFonts w:ascii="Times New Roman" w:eastAsia="Times New Roman"/>
        </w:rPr>
        <w:t>B</w:t>
      </w:r>
      <w:r>
        <w:rPr/>
        <w:t>座</w:t>
      </w:r>
      <w:r>
        <w:rPr>
          <w:rFonts w:ascii="Times New Roman" w:eastAsia="Times New Roman"/>
        </w:rPr>
        <w:t>1201</w:t>
      </w:r>
      <w:r>
        <w:rPr/>
        <w:t>号法定代表人：于海锋</w:t>
      </w:r>
    </w:p>
    <w:p>
      <w:pPr>
        <w:pStyle w:val="BodyText"/>
        <w:spacing w:before="1"/>
        <w:ind w:left="68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ind w:left="68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ind w:left="680"/>
      </w:pPr>
      <w:r>
        <w:rPr/>
        <w:t>联系人：隋亚方</w:t>
      </w:r>
    </w:p>
    <w:p>
      <w:pPr>
        <w:pStyle w:val="BodyText"/>
        <w:spacing w:before="7"/>
        <w:rPr>
          <w:sz w:val="15"/>
        </w:rPr>
      </w:pPr>
    </w:p>
    <w:p>
      <w:pPr>
        <w:pStyle w:val="BodyText"/>
        <w:spacing w:line="417" w:lineRule="auto"/>
        <w:ind w:left="680" w:right="5401"/>
        <w:rPr>
          <w:rFonts w:ascii="Times New Roman" w:eastAsia="Times New Roman"/>
        </w:rPr>
      </w:pPr>
      <w:r>
        <w:rPr/>
        <w:t>网址：</w:t>
      </w:r>
      <w:r>
        <w:rPr>
          <w:rFonts w:ascii="Times New Roman" w:eastAsia="Times New Roman"/>
        </w:rPr>
        <w:t>https://</w:t>
      </w:r>
      <w:hyperlink r:id="rId40">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7"/>
        </w:numPr>
        <w:tabs>
          <w:tab w:pos="1315" w:val="left" w:leader="none"/>
        </w:tabs>
        <w:spacing w:line="417" w:lineRule="auto" w:before="0" w:after="0"/>
        <w:ind w:left="680" w:right="4075" w:firstLine="0"/>
        <w:jc w:val="left"/>
        <w:rPr>
          <w:rFonts w:ascii="Times New Roman" w:eastAsia="Times New Roman"/>
          <w:sz w:val="21"/>
        </w:rPr>
      </w:pPr>
      <w:r>
        <w:rPr>
          <w:spacing w:val="-3"/>
          <w:sz w:val="21"/>
        </w:rPr>
        <w:t>宜信普泽</w:t>
      </w:r>
      <w:r>
        <w:rPr>
          <w:sz w:val="21"/>
        </w:rPr>
        <w:t>（</w:t>
      </w:r>
      <w:r>
        <w:rPr>
          <w:spacing w:val="-2"/>
          <w:sz w:val="21"/>
        </w:rPr>
        <w:t>北京</w:t>
      </w:r>
      <w:r>
        <w:rPr>
          <w:spacing w:val="-3"/>
          <w:sz w:val="21"/>
        </w:rPr>
        <w:t>）基金销售有限公司  住所：北京市朝阳区建国路</w:t>
      </w:r>
      <w:r>
        <w:rPr>
          <w:rFonts w:ascii="Times New Roman" w:eastAsia="Times New Roman"/>
          <w:sz w:val="21"/>
        </w:rPr>
        <w:t>88</w:t>
      </w:r>
      <w:r>
        <w:rPr>
          <w:spacing w:val="-3"/>
          <w:sz w:val="21"/>
        </w:rPr>
        <w:t>号</w:t>
      </w:r>
      <w:r>
        <w:rPr>
          <w:rFonts w:ascii="Times New Roman" w:eastAsia="Times New Roman"/>
          <w:sz w:val="21"/>
        </w:rPr>
        <w:t>9</w:t>
      </w:r>
      <w:r>
        <w:rPr>
          <w:spacing w:val="-2"/>
          <w:sz w:val="21"/>
        </w:rPr>
        <w:t>号楼</w:t>
      </w:r>
      <w:r>
        <w:rPr>
          <w:rFonts w:ascii="Times New Roman" w:eastAsia="Times New Roman"/>
          <w:sz w:val="21"/>
        </w:rPr>
        <w:t>15</w:t>
      </w:r>
      <w:r>
        <w:rPr>
          <w:sz w:val="21"/>
        </w:rPr>
        <w:t>层</w:t>
      </w:r>
      <w:r>
        <w:rPr>
          <w:rFonts w:ascii="Times New Roman" w:eastAsia="Times New Roman"/>
          <w:spacing w:val="-4"/>
          <w:sz w:val="21"/>
        </w:rPr>
        <w:t>1809</w:t>
      </w:r>
    </w:p>
    <w:p>
      <w:pPr>
        <w:pStyle w:val="BodyText"/>
        <w:spacing w:line="417" w:lineRule="auto"/>
        <w:ind w:left="680" w:right="2625"/>
      </w:pPr>
      <w:r>
        <w:rPr/>
        <w:t>办公地址：北京市朝阳区建国路</w:t>
      </w:r>
      <w:r>
        <w:rPr>
          <w:rFonts w:ascii="Times New Roman" w:eastAsia="Times New Roman"/>
        </w:rPr>
        <w:t>88</w:t>
      </w:r>
      <w:r>
        <w:rPr/>
        <w:t>号</w:t>
      </w:r>
      <w:r>
        <w:rPr>
          <w:rFonts w:ascii="Times New Roman" w:eastAsia="Times New Roman"/>
        </w:rPr>
        <w:t>SOHO</w:t>
      </w:r>
      <w:r>
        <w:rPr/>
        <w:t>现代城</w:t>
      </w:r>
      <w:r>
        <w:rPr>
          <w:rFonts w:ascii="Times New Roman" w:eastAsia="Times New Roman"/>
        </w:rPr>
        <w:t>C</w:t>
      </w:r>
      <w:r>
        <w:rPr/>
        <w:t>座</w:t>
      </w:r>
      <w:r>
        <w:rPr>
          <w:rFonts w:ascii="Times New Roman" w:eastAsia="Times New Roman"/>
        </w:rPr>
        <w:t>18</w:t>
      </w:r>
      <w:r>
        <w:rPr/>
        <w:t>层</w:t>
      </w:r>
      <w:r>
        <w:rPr>
          <w:rFonts w:ascii="Times New Roman" w:eastAsia="Times New Roman"/>
        </w:rPr>
        <w:t>1809 </w:t>
      </w:r>
      <w:r>
        <w:rPr/>
        <w:t>法定代表人：沈伟桦</w:t>
      </w:r>
    </w:p>
    <w:p>
      <w:pPr>
        <w:pStyle w:val="BodyText"/>
        <w:spacing w:line="417" w:lineRule="auto"/>
        <w:ind w:left="680" w:right="6526"/>
        <w:rPr>
          <w:rFonts w:ascii="Times New Roman" w:eastAsia="Times New Roman"/>
        </w:rPr>
      </w:pPr>
      <w:r>
        <w:rPr/>
        <w:t>电话：</w:t>
      </w:r>
      <w:r>
        <w:rPr>
          <w:rFonts w:ascii="Times New Roman" w:eastAsia="Times New Roman"/>
        </w:rPr>
        <w:t>010-52855713 </w:t>
      </w:r>
      <w:r>
        <w:rPr/>
        <w:t>传真：</w:t>
      </w:r>
      <w:r>
        <w:rPr>
          <w:rFonts w:ascii="Times New Roman" w:eastAsia="Times New Roman"/>
        </w:rPr>
        <w:t>010-85894285</w:t>
      </w:r>
    </w:p>
    <w:p>
      <w:pPr>
        <w:pStyle w:val="BodyText"/>
        <w:spacing w:line="269" w:lineRule="exact"/>
        <w:ind w:left="680"/>
      </w:pPr>
      <w:r>
        <w:rPr/>
        <w:t>联系人：程刚</w:t>
      </w:r>
    </w:p>
    <w:p>
      <w:pPr>
        <w:pStyle w:val="BodyText"/>
        <w:spacing w:before="6"/>
        <w:rPr>
          <w:sz w:val="15"/>
        </w:rPr>
      </w:pPr>
    </w:p>
    <w:p>
      <w:pPr>
        <w:pStyle w:val="BodyText"/>
        <w:ind w:left="680"/>
        <w:rPr>
          <w:rFonts w:ascii="Times New Roman" w:eastAsia="Times New Roman"/>
        </w:rPr>
      </w:pPr>
      <w:r>
        <w:rPr/>
        <w:t>网址：</w:t>
      </w:r>
      <w:hyperlink r:id="rId41">
        <w:r>
          <w:rPr>
            <w:rFonts w:ascii="Times New Roman" w:eastAsia="Times New Roman"/>
          </w:rPr>
          <w:t>www.yixinfund.com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400-609-9200</w:t>
      </w:r>
    </w:p>
    <w:p>
      <w:pPr>
        <w:pStyle w:val="BodyText"/>
        <w:spacing w:before="4"/>
        <w:rPr>
          <w:rFonts w:ascii="Times New Roman"/>
          <w:sz w:val="17"/>
        </w:rPr>
      </w:pPr>
    </w:p>
    <w:p>
      <w:pPr>
        <w:pStyle w:val="ListParagraph"/>
        <w:numPr>
          <w:ilvl w:val="0"/>
          <w:numId w:val="7"/>
        </w:numPr>
        <w:tabs>
          <w:tab w:pos="1315" w:val="left" w:leader="none"/>
        </w:tabs>
        <w:spacing w:line="417" w:lineRule="auto" w:before="0" w:after="0"/>
        <w:ind w:left="680" w:right="5160" w:firstLine="0"/>
        <w:jc w:val="left"/>
        <w:rPr>
          <w:sz w:val="21"/>
        </w:rPr>
      </w:pPr>
      <w:r>
        <w:rPr>
          <w:spacing w:val="-3"/>
          <w:sz w:val="21"/>
        </w:rPr>
        <w:t>南京苏宁基金销售有限公司住所：南京市玄武区苏宁大道</w:t>
      </w:r>
      <w:r>
        <w:rPr>
          <w:rFonts w:ascii="Times New Roman" w:eastAsia="Times New Roman"/>
          <w:sz w:val="21"/>
        </w:rPr>
        <w:t>1-5</w:t>
      </w:r>
      <w:r>
        <w:rPr>
          <w:spacing w:val="-13"/>
          <w:sz w:val="21"/>
        </w:rPr>
        <w:t>号</w:t>
      </w:r>
    </w:p>
    <w:p>
      <w:pPr>
        <w:pStyle w:val="BodyText"/>
        <w:spacing w:line="417" w:lineRule="auto"/>
        <w:ind w:left="680" w:right="4389"/>
      </w:pPr>
      <w:r>
        <w:rPr/>
        <w:t>办公地址：南京市玄武区苏宁大道苏宁总部法定代表人：刘汉青</w:t>
      </w:r>
    </w:p>
    <w:p>
      <w:pPr>
        <w:pStyle w:val="BodyText"/>
        <w:spacing w:line="417" w:lineRule="auto"/>
        <w:ind w:left="680" w:right="582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ind w:left="680"/>
      </w:pPr>
      <w:r>
        <w:rPr/>
        <w:t>联系人：王峰</w:t>
      </w:r>
    </w:p>
    <w:p>
      <w:pPr>
        <w:pStyle w:val="BodyText"/>
        <w:spacing w:before="6"/>
        <w:rPr>
          <w:sz w:val="15"/>
        </w:rPr>
      </w:pPr>
    </w:p>
    <w:p>
      <w:pPr>
        <w:pStyle w:val="BodyText"/>
        <w:ind w:left="680"/>
        <w:rPr>
          <w:rFonts w:ascii="Times New Roman" w:eastAsia="Times New Roman"/>
        </w:rPr>
      </w:pPr>
      <w:r>
        <w:rPr/>
        <w:t>网址：</w:t>
      </w:r>
      <w:hyperlink r:id="rId42">
        <w:r>
          <w:rPr>
            <w:rFonts w:ascii="Times New Roman" w:eastAsia="Times New Roman"/>
          </w:rPr>
          <w:t>www.snjijin.com</w:t>
        </w:r>
      </w:hyperlink>
    </w:p>
    <w:p>
      <w:pPr>
        <w:spacing w:after="0"/>
        <w:rPr>
          <w:rFonts w:ascii="Times New Roman" w:eastAsia="Times New Roman"/>
        </w:rPr>
        <w:sectPr>
          <w:pgSz w:w="11910" w:h="16840"/>
          <w:pgMar w:header="877" w:footer="995" w:top="1420" w:bottom="1180" w:left="1540" w:right="1300"/>
        </w:sectPr>
      </w:pPr>
    </w:p>
    <w:p>
      <w:pPr>
        <w:pStyle w:val="BodyText"/>
        <w:spacing w:before="110"/>
        <w:ind w:left="680"/>
        <w:rPr>
          <w:rFonts w:ascii="Times New Roman" w:eastAsia="Times New Roman"/>
        </w:rPr>
      </w:pPr>
      <w:r>
        <w:rPr/>
        <w:t>客户服务电话：</w:t>
      </w:r>
      <w:r>
        <w:rPr>
          <w:rFonts w:ascii="Times New Roman" w:eastAsia="Times New Roman"/>
        </w:rPr>
        <w:t>95177</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浦领基金销售有限公司</w:t>
      </w:r>
    </w:p>
    <w:p>
      <w:pPr>
        <w:pStyle w:val="BodyText"/>
        <w:spacing w:before="7"/>
        <w:rPr>
          <w:sz w:val="15"/>
        </w:rPr>
      </w:pPr>
    </w:p>
    <w:p>
      <w:pPr>
        <w:pStyle w:val="BodyText"/>
        <w:spacing w:line="417" w:lineRule="auto"/>
        <w:ind w:left="680" w:right="3235"/>
      </w:pPr>
      <w:r>
        <w:rPr/>
        <w:t>住所：北京市朝阳区望京东园四区</w:t>
      </w:r>
      <w:r>
        <w:rPr>
          <w:rFonts w:ascii="Times New Roman" w:eastAsia="Times New Roman"/>
        </w:rPr>
        <w:t>2</w:t>
      </w:r>
      <w:r>
        <w:rPr/>
        <w:t>号楼</w:t>
      </w:r>
      <w:r>
        <w:rPr>
          <w:rFonts w:ascii="Times New Roman" w:eastAsia="Times New Roman"/>
        </w:rPr>
        <w:t>10</w:t>
      </w:r>
      <w:r>
        <w:rPr/>
        <w:t>层</w:t>
      </w:r>
      <w:r>
        <w:rPr>
          <w:rFonts w:ascii="Times New Roman" w:eastAsia="Times New Roman"/>
        </w:rPr>
        <w:t>1001</w:t>
      </w:r>
      <w:r>
        <w:rPr/>
        <w:t>号</w:t>
      </w:r>
      <w:r>
        <w:rPr>
          <w:rFonts w:ascii="Times New Roman" w:eastAsia="Times New Roman"/>
        </w:rPr>
        <w:t>04</w:t>
      </w:r>
      <w:r>
        <w:rPr/>
        <w:t>室办公地址：北京市朝阳区望京中航资本大厦</w:t>
      </w:r>
      <w:r>
        <w:rPr>
          <w:rFonts w:ascii="Times New Roman" w:eastAsia="Times New Roman"/>
        </w:rPr>
        <w:t>10</w:t>
      </w:r>
      <w:r>
        <w:rPr/>
        <w:t>层</w:t>
      </w:r>
    </w:p>
    <w:p>
      <w:pPr>
        <w:pStyle w:val="BodyText"/>
        <w:spacing w:line="417" w:lineRule="auto"/>
        <w:ind w:left="680" w:right="6490"/>
        <w:jc w:val="both"/>
        <w:rPr>
          <w:rFonts w:ascii="Times New Roman" w:eastAsia="Times New Roman"/>
        </w:rPr>
      </w:pPr>
      <w:r>
        <w:rPr/>
        <w:t>法定代表人：聂婉君电话：</w:t>
      </w:r>
      <w:r>
        <w:rPr>
          <w:rFonts w:ascii="Times New Roman" w:eastAsia="Times New Roman"/>
        </w:rPr>
        <w:t>010-59497361 </w:t>
      </w:r>
      <w:r>
        <w:rPr/>
        <w:t>传真：</w:t>
      </w:r>
      <w:r>
        <w:rPr>
          <w:rFonts w:ascii="Times New Roman" w:eastAsia="Times New Roman"/>
        </w:rPr>
        <w:t>010-64788016</w:t>
      </w:r>
    </w:p>
    <w:p>
      <w:pPr>
        <w:pStyle w:val="BodyText"/>
        <w:ind w:left="680"/>
      </w:pPr>
      <w:r>
        <w:rPr/>
        <w:t>联系人：李艳</w:t>
      </w:r>
    </w:p>
    <w:p>
      <w:pPr>
        <w:pStyle w:val="BodyText"/>
        <w:spacing w:before="6"/>
        <w:rPr>
          <w:sz w:val="15"/>
        </w:rPr>
      </w:pPr>
    </w:p>
    <w:p>
      <w:pPr>
        <w:pStyle w:val="BodyText"/>
        <w:ind w:left="680"/>
        <w:rPr>
          <w:rFonts w:ascii="Times New Roman" w:eastAsia="Times New Roman"/>
        </w:rPr>
      </w:pPr>
      <w:r>
        <w:rPr/>
        <w:t>网址：</w:t>
      </w:r>
      <w:hyperlink r:id="rId43">
        <w:r>
          <w:rPr>
            <w:rFonts w:ascii="Times New Roman" w:eastAsia="Times New Roman"/>
          </w:rPr>
          <w:t>www.zscffund.com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400-012-5899</w:t>
      </w:r>
    </w:p>
    <w:p>
      <w:pPr>
        <w:pStyle w:val="BodyText"/>
        <w:spacing w:before="3"/>
        <w:rPr>
          <w:rFonts w:ascii="Times New Roman"/>
          <w:sz w:val="17"/>
        </w:rPr>
      </w:pPr>
    </w:p>
    <w:p>
      <w:pPr>
        <w:pStyle w:val="ListParagraph"/>
        <w:numPr>
          <w:ilvl w:val="0"/>
          <w:numId w:val="7"/>
        </w:numPr>
        <w:tabs>
          <w:tab w:pos="1315" w:val="left" w:leader="none"/>
        </w:tabs>
        <w:spacing w:line="417" w:lineRule="auto" w:before="0" w:after="0"/>
        <w:ind w:left="680" w:right="4284" w:firstLine="0"/>
        <w:jc w:val="left"/>
        <w:rPr>
          <w:sz w:val="21"/>
        </w:rPr>
      </w:pPr>
      <w:r>
        <w:rPr>
          <w:spacing w:val="-3"/>
          <w:sz w:val="21"/>
        </w:rPr>
        <w:t>通华财富</w:t>
      </w:r>
      <w:r>
        <w:rPr>
          <w:sz w:val="21"/>
        </w:rPr>
        <w:t>（</w:t>
      </w:r>
      <w:r>
        <w:rPr>
          <w:spacing w:val="-2"/>
          <w:sz w:val="21"/>
        </w:rPr>
        <w:t>上海</w:t>
      </w:r>
      <w:r>
        <w:rPr>
          <w:spacing w:val="-3"/>
          <w:sz w:val="21"/>
        </w:rPr>
        <w:t>）基金销售有限公司住所：上海市虹口区同丰路</w:t>
      </w:r>
      <w:r>
        <w:rPr>
          <w:rFonts w:ascii="Times New Roman" w:eastAsia="Times New Roman"/>
          <w:sz w:val="21"/>
        </w:rPr>
        <w:t>667</w:t>
      </w:r>
      <w:r>
        <w:rPr>
          <w:sz w:val="21"/>
        </w:rPr>
        <w:t>弄</w:t>
      </w:r>
      <w:r>
        <w:rPr>
          <w:rFonts w:ascii="Times New Roman" w:eastAsia="Times New Roman"/>
          <w:sz w:val="21"/>
        </w:rPr>
        <w:t>107</w:t>
      </w:r>
      <w:r>
        <w:rPr>
          <w:sz w:val="21"/>
        </w:rPr>
        <w:t>号</w:t>
      </w:r>
      <w:r>
        <w:rPr>
          <w:rFonts w:ascii="Times New Roman" w:eastAsia="Times New Roman"/>
          <w:sz w:val="21"/>
        </w:rPr>
        <w:t>201</w:t>
      </w:r>
      <w:r>
        <w:rPr>
          <w:spacing w:val="-11"/>
          <w:sz w:val="21"/>
        </w:rPr>
        <w:t>室</w:t>
      </w:r>
    </w:p>
    <w:p>
      <w:pPr>
        <w:pStyle w:val="BodyText"/>
        <w:spacing w:line="417" w:lineRule="auto"/>
        <w:ind w:left="680" w:right="3232"/>
      </w:pPr>
      <w:r>
        <w:rPr/>
        <w:t>办公地址：上海市浦东新区金沪路</w:t>
      </w:r>
      <w:r>
        <w:rPr>
          <w:rFonts w:ascii="Times New Roman" w:eastAsia="Times New Roman"/>
        </w:rPr>
        <w:t>55</w:t>
      </w:r>
      <w:r>
        <w:rPr/>
        <w:t>号通华科技大厦</w:t>
      </w:r>
      <w:r>
        <w:rPr>
          <w:rFonts w:ascii="Times New Roman" w:eastAsia="Times New Roman"/>
        </w:rPr>
        <w:t>2</w:t>
      </w:r>
      <w:r>
        <w:rPr/>
        <w:t>层法定代表人：沈丹义</w:t>
      </w:r>
    </w:p>
    <w:p>
      <w:pPr>
        <w:pStyle w:val="BodyText"/>
        <w:spacing w:line="417" w:lineRule="auto"/>
        <w:ind w:left="680" w:right="652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680"/>
      </w:pPr>
      <w:r>
        <w:rPr/>
        <w:t>联系人：周晶</w:t>
      </w:r>
    </w:p>
    <w:p>
      <w:pPr>
        <w:pStyle w:val="BodyText"/>
        <w:spacing w:before="7"/>
        <w:rPr>
          <w:sz w:val="15"/>
        </w:rPr>
      </w:pPr>
    </w:p>
    <w:p>
      <w:pPr>
        <w:pStyle w:val="BodyText"/>
        <w:spacing w:line="417" w:lineRule="auto"/>
        <w:ind w:left="680" w:right="5721"/>
        <w:rPr>
          <w:rFonts w:ascii="Times New Roman" w:eastAsia="Times New Roman"/>
        </w:rPr>
      </w:pPr>
      <w:r>
        <w:rPr/>
        <w:t>网址：</w:t>
      </w:r>
      <w:hyperlink r:id="rId44">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北京恒天明泽基金销售有限公司</w:t>
      </w:r>
    </w:p>
    <w:p>
      <w:pPr>
        <w:pStyle w:val="BodyText"/>
        <w:spacing w:before="6"/>
        <w:rPr>
          <w:sz w:val="15"/>
        </w:rPr>
      </w:pPr>
    </w:p>
    <w:p>
      <w:pPr>
        <w:pStyle w:val="BodyText"/>
        <w:spacing w:before="1"/>
        <w:ind w:left="680"/>
      </w:pPr>
      <w:r>
        <w:rPr/>
        <w:t>住所：北京市经济技术开发区宏达北路</w:t>
      </w:r>
      <w:r>
        <w:rPr>
          <w:rFonts w:ascii="Times New Roman" w:eastAsia="Times New Roman"/>
        </w:rPr>
        <w:t>10</w:t>
      </w:r>
      <w:r>
        <w:rPr/>
        <w:t>号五层</w:t>
      </w:r>
      <w:r>
        <w:rPr>
          <w:rFonts w:ascii="Times New Roman" w:eastAsia="Times New Roman"/>
        </w:rPr>
        <w:t>5122</w:t>
      </w:r>
      <w:r>
        <w:rPr/>
        <w:t>室</w:t>
      </w:r>
    </w:p>
    <w:p>
      <w:pPr>
        <w:pStyle w:val="BodyText"/>
        <w:spacing w:before="7"/>
        <w:rPr>
          <w:sz w:val="15"/>
        </w:rPr>
      </w:pPr>
    </w:p>
    <w:p>
      <w:pPr>
        <w:pStyle w:val="BodyText"/>
        <w:spacing w:line="417" w:lineRule="auto"/>
        <w:ind w:left="680" w:right="2975"/>
      </w:pPr>
      <w:r>
        <w:rPr/>
        <w:t>办公地址：北京市朝阳区东三环中路</w:t>
      </w:r>
      <w:r>
        <w:rPr>
          <w:rFonts w:ascii="Times New Roman" w:eastAsia="Times New Roman"/>
        </w:rPr>
        <w:t>20</w:t>
      </w:r>
      <w:r>
        <w:rPr/>
        <w:t>号乐成中心</w:t>
      </w:r>
      <w:r>
        <w:rPr>
          <w:rFonts w:ascii="Times New Roman" w:eastAsia="Times New Roman"/>
        </w:rPr>
        <w:t>A</w:t>
      </w:r>
      <w:r>
        <w:rPr/>
        <w:t>座</w:t>
      </w:r>
      <w:r>
        <w:rPr>
          <w:rFonts w:ascii="Times New Roman" w:eastAsia="Times New Roman"/>
        </w:rPr>
        <w:t>23</w:t>
      </w:r>
      <w:r>
        <w:rPr/>
        <w:t>层法定代表人：梁越</w:t>
      </w:r>
    </w:p>
    <w:p>
      <w:pPr>
        <w:pStyle w:val="BodyText"/>
        <w:spacing w:line="417" w:lineRule="auto"/>
        <w:ind w:left="680" w:right="652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680"/>
      </w:pPr>
      <w:r>
        <w:rPr/>
        <w:t>联系人：马鹏程</w:t>
      </w:r>
    </w:p>
    <w:p>
      <w:pPr>
        <w:pStyle w:val="BodyText"/>
        <w:spacing w:before="6"/>
        <w:rPr>
          <w:sz w:val="15"/>
        </w:rPr>
      </w:pPr>
    </w:p>
    <w:p>
      <w:pPr>
        <w:pStyle w:val="BodyText"/>
        <w:ind w:left="680"/>
        <w:rPr>
          <w:rFonts w:ascii="Times New Roman" w:eastAsia="Times New Roman"/>
        </w:rPr>
      </w:pPr>
      <w:r>
        <w:rPr/>
        <w:t>网址：</w:t>
      </w:r>
      <w:hyperlink r:id="rId45">
        <w:r>
          <w:rPr>
            <w:rFonts w:ascii="Times New Roman" w:eastAsia="Times New Roman"/>
          </w:rPr>
          <w:t>www.chtwm.com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3"/>
          <w:sz w:val="21"/>
        </w:rPr>
        <w:t>北京汇成基金销售有限公司</w:t>
      </w:r>
    </w:p>
    <w:p>
      <w:pPr>
        <w:pStyle w:val="BodyText"/>
        <w:spacing w:before="6"/>
        <w:rPr>
          <w:sz w:val="15"/>
        </w:rPr>
      </w:pPr>
    </w:p>
    <w:p>
      <w:pPr>
        <w:pStyle w:val="BodyText"/>
        <w:ind w:left="680"/>
        <w:rPr>
          <w:rFonts w:ascii="Times New Roman" w:eastAsia="Times New Roman"/>
        </w:rPr>
      </w:pPr>
      <w:r>
        <w:rPr/>
        <w:t>住所：北京市海淀区中关村大街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w:t>
      </w:r>
    </w:p>
    <w:p>
      <w:pPr>
        <w:spacing w:after="0"/>
        <w:rPr>
          <w:rFonts w:ascii="Times New Roman" w:eastAsia="Times New Roman"/>
        </w:rPr>
        <w:sectPr>
          <w:pgSz w:w="11910" w:h="16840"/>
          <w:pgMar w:header="877" w:footer="995" w:top="1420" w:bottom="1180" w:left="1540" w:right="1300"/>
        </w:sectPr>
      </w:pPr>
    </w:p>
    <w:p>
      <w:pPr>
        <w:pStyle w:val="BodyText"/>
        <w:spacing w:line="417" w:lineRule="auto" w:before="110"/>
        <w:ind w:left="680" w:right="3736"/>
      </w:pPr>
      <w:r>
        <w:rPr/>
        <w:t>办公地址：北京市海淀区中关村大街</w:t>
      </w:r>
      <w:r>
        <w:rPr>
          <w:rFonts w:ascii="Times New Roman" w:eastAsia="Times New Roman"/>
        </w:rPr>
        <w:t>11</w:t>
      </w:r>
      <w:r>
        <w:rPr/>
        <w:t>号</w:t>
      </w:r>
      <w:r>
        <w:rPr>
          <w:rFonts w:ascii="Times New Roman" w:eastAsia="Times New Roman"/>
        </w:rPr>
        <w:t>11</w:t>
      </w:r>
      <w:r>
        <w:rPr/>
        <w:t>层</w:t>
      </w:r>
      <w:r>
        <w:rPr>
          <w:rFonts w:ascii="Times New Roman" w:eastAsia="Times New Roman"/>
        </w:rPr>
        <w:t>1108 </w:t>
      </w:r>
      <w:r>
        <w:rPr/>
        <w:t>法定代表人：王伟刚</w:t>
      </w:r>
    </w:p>
    <w:p>
      <w:pPr>
        <w:pStyle w:val="BodyText"/>
        <w:spacing w:line="417" w:lineRule="auto"/>
        <w:ind w:left="680" w:right="6526"/>
        <w:rPr>
          <w:rFonts w:ascii="Times New Roman" w:eastAsia="Times New Roman"/>
        </w:rPr>
      </w:pPr>
      <w:r>
        <w:rPr/>
        <w:t>电话：</w:t>
      </w:r>
      <w:r>
        <w:rPr>
          <w:rFonts w:ascii="Times New Roman" w:eastAsia="Times New Roman"/>
        </w:rPr>
        <w:t>010-56282140 </w:t>
      </w:r>
      <w:r>
        <w:rPr/>
        <w:t>传真：</w:t>
      </w:r>
      <w:r>
        <w:rPr>
          <w:rFonts w:ascii="Times New Roman" w:eastAsia="Times New Roman"/>
        </w:rPr>
        <w:t>010-62680827</w:t>
      </w:r>
    </w:p>
    <w:p>
      <w:pPr>
        <w:pStyle w:val="BodyText"/>
        <w:spacing w:line="269" w:lineRule="exact"/>
        <w:ind w:left="680"/>
      </w:pPr>
      <w:r>
        <w:rPr/>
        <w:t>联系人：丁向坤</w:t>
      </w:r>
    </w:p>
    <w:p>
      <w:pPr>
        <w:pStyle w:val="BodyText"/>
        <w:spacing w:before="6"/>
        <w:rPr>
          <w:sz w:val="15"/>
        </w:rPr>
      </w:pPr>
    </w:p>
    <w:p>
      <w:pPr>
        <w:pStyle w:val="BodyText"/>
        <w:ind w:left="680"/>
        <w:rPr>
          <w:rFonts w:ascii="Times New Roman" w:eastAsia="Times New Roman"/>
        </w:rPr>
      </w:pPr>
      <w:r>
        <w:rPr/>
        <w:t>网址： </w:t>
      </w:r>
      <w:hyperlink r:id="rId46">
        <w:r>
          <w:rPr>
            <w:rFonts w:ascii="Times New Roman" w:eastAsia="Times New Roman"/>
          </w:rPr>
          <w:t>www.hcjijin.com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3"/>
          <w:sz w:val="21"/>
        </w:rPr>
        <w:t>北京钱景基金销售有限公司</w:t>
      </w:r>
    </w:p>
    <w:p>
      <w:pPr>
        <w:pStyle w:val="BodyText"/>
        <w:spacing w:before="6"/>
        <w:rPr>
          <w:sz w:val="15"/>
        </w:rPr>
      </w:pPr>
    </w:p>
    <w:p>
      <w:pPr>
        <w:pStyle w:val="BodyText"/>
        <w:ind w:left="680"/>
        <w:rPr>
          <w:rFonts w:ascii="Times New Roman" w:eastAsia="Times New Roman"/>
        </w:rPr>
      </w:pPr>
      <w:r>
        <w:rPr/>
        <w:t>住所：北京市海淀区丹棱街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w:t>
      </w:r>
    </w:p>
    <w:p>
      <w:pPr>
        <w:pStyle w:val="BodyText"/>
        <w:spacing w:before="4"/>
        <w:rPr>
          <w:rFonts w:ascii="Times New Roman"/>
          <w:sz w:val="17"/>
        </w:rPr>
      </w:pPr>
    </w:p>
    <w:p>
      <w:pPr>
        <w:pStyle w:val="BodyText"/>
        <w:spacing w:line="417" w:lineRule="auto"/>
        <w:ind w:left="680" w:right="3585"/>
      </w:pPr>
      <w:r>
        <w:rPr/>
        <w:t>办公地址：北京市海淀区丹棱街</w:t>
      </w:r>
      <w:r>
        <w:rPr>
          <w:rFonts w:ascii="Times New Roman" w:eastAsia="Times New Roman"/>
        </w:rPr>
        <w:t>6</w:t>
      </w:r>
      <w:r>
        <w:rPr/>
        <w:t>号</w:t>
      </w:r>
      <w:r>
        <w:rPr>
          <w:rFonts w:ascii="Times New Roman" w:eastAsia="Times New Roman"/>
        </w:rPr>
        <w:t>1</w:t>
      </w:r>
      <w:r>
        <w:rPr/>
        <w:t>幢</w:t>
      </w:r>
      <w:r>
        <w:rPr>
          <w:rFonts w:ascii="Times New Roman" w:eastAsia="Times New Roman"/>
        </w:rPr>
        <w:t>9</w:t>
      </w:r>
      <w:r>
        <w:rPr/>
        <w:t>层</w:t>
      </w:r>
      <w:r>
        <w:rPr>
          <w:rFonts w:ascii="Times New Roman" w:eastAsia="Times New Roman"/>
        </w:rPr>
        <w:t>1008-1012 </w:t>
      </w:r>
      <w:r>
        <w:rPr/>
        <w:t>法定代表人：赵荣春</w:t>
      </w:r>
    </w:p>
    <w:p>
      <w:pPr>
        <w:pStyle w:val="BodyText"/>
        <w:spacing w:line="417" w:lineRule="auto"/>
        <w:ind w:left="680" w:right="6526"/>
        <w:rPr>
          <w:rFonts w:ascii="Times New Roman" w:eastAsia="Times New Roman"/>
        </w:rPr>
      </w:pPr>
      <w:r>
        <w:rPr/>
        <w:t>电话：</w:t>
      </w:r>
      <w:r>
        <w:rPr>
          <w:rFonts w:ascii="Times New Roman" w:eastAsia="Times New Roman"/>
        </w:rPr>
        <w:t>010-57418829 </w:t>
      </w:r>
      <w:r>
        <w:rPr/>
        <w:t>传真：</w:t>
      </w:r>
      <w:r>
        <w:rPr>
          <w:rFonts w:ascii="Times New Roman" w:eastAsia="Times New Roman"/>
        </w:rPr>
        <w:t>010-57569671</w:t>
      </w:r>
    </w:p>
    <w:p>
      <w:pPr>
        <w:pStyle w:val="BodyText"/>
        <w:spacing w:line="269" w:lineRule="exact"/>
        <w:ind w:left="680"/>
      </w:pPr>
      <w:r>
        <w:rPr/>
        <w:t>联系人：魏争</w:t>
      </w:r>
    </w:p>
    <w:p>
      <w:pPr>
        <w:pStyle w:val="BodyText"/>
        <w:spacing w:before="6"/>
        <w:rPr>
          <w:sz w:val="15"/>
        </w:rPr>
      </w:pPr>
    </w:p>
    <w:p>
      <w:pPr>
        <w:pStyle w:val="BodyText"/>
        <w:spacing w:before="1"/>
        <w:ind w:left="680"/>
        <w:rPr>
          <w:rFonts w:ascii="Times New Roman" w:eastAsia="Times New Roman"/>
        </w:rPr>
      </w:pPr>
      <w:r>
        <w:rPr/>
        <w:t>网址：</w:t>
      </w:r>
      <w:hyperlink r:id="rId47">
        <w:r>
          <w:rPr>
            <w:rFonts w:ascii="Times New Roman" w:eastAsia="Times New Roman"/>
          </w:rPr>
          <w:t>www.niuji.net</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400-893-6885</w:t>
      </w:r>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3"/>
          <w:sz w:val="21"/>
        </w:rPr>
        <w:t>北京植信基金销售有限公司</w:t>
      </w:r>
    </w:p>
    <w:p>
      <w:pPr>
        <w:pStyle w:val="BodyText"/>
        <w:spacing w:before="6"/>
        <w:rPr>
          <w:sz w:val="15"/>
        </w:rPr>
      </w:pPr>
    </w:p>
    <w:p>
      <w:pPr>
        <w:pStyle w:val="BodyText"/>
        <w:spacing w:line="417" w:lineRule="auto"/>
        <w:ind w:left="680" w:right="3972"/>
        <w:jc w:val="both"/>
      </w:pPr>
      <w:r>
        <w:rPr/>
        <w:t>住所：北京市密云县兴盛南路</w:t>
      </w:r>
      <w:r>
        <w:rPr>
          <w:rFonts w:ascii="Times New Roman" w:eastAsia="Times New Roman"/>
        </w:rPr>
        <w:t>8</w:t>
      </w:r>
      <w:r>
        <w:rPr/>
        <w:t>号院</w:t>
      </w:r>
      <w:r>
        <w:rPr>
          <w:rFonts w:ascii="Times New Roman" w:eastAsia="Times New Roman"/>
        </w:rPr>
        <w:t>2</w:t>
      </w:r>
      <w:r>
        <w:rPr/>
        <w:t>号楼</w:t>
      </w:r>
      <w:r>
        <w:rPr>
          <w:rFonts w:ascii="Times New Roman" w:eastAsia="Times New Roman"/>
        </w:rPr>
        <w:t>106-67 </w:t>
      </w:r>
      <w:r>
        <w:rPr/>
        <w:t>办公地址：北京市朝阳区盛世龙源国食苑</w:t>
      </w:r>
      <w:r>
        <w:rPr>
          <w:rFonts w:ascii="Times New Roman" w:eastAsia="Times New Roman"/>
        </w:rPr>
        <w:t>10</w:t>
      </w:r>
      <w:r>
        <w:rPr/>
        <w:t>号楼法定代表人：王军辉</w:t>
      </w:r>
    </w:p>
    <w:p>
      <w:pPr>
        <w:pStyle w:val="BodyText"/>
        <w:spacing w:line="417" w:lineRule="auto"/>
        <w:ind w:left="680" w:right="5721"/>
      </w:pPr>
      <w:r>
        <w:rPr/>
        <w:t>客户服务电话：</w:t>
      </w:r>
      <w:r>
        <w:rPr>
          <w:rFonts w:ascii="Times New Roman" w:eastAsia="Times New Roman"/>
        </w:rPr>
        <w:t>400-680-2123 </w:t>
      </w:r>
      <w:r>
        <w:rPr/>
        <w:t>联系人：吴鹏</w:t>
      </w:r>
    </w:p>
    <w:p>
      <w:pPr>
        <w:pStyle w:val="BodyText"/>
        <w:ind w:left="680"/>
        <w:rPr>
          <w:rFonts w:ascii="Times New Roman" w:eastAsia="Times New Roman"/>
        </w:rPr>
      </w:pPr>
      <w:r>
        <w:rPr/>
        <w:t>网址：</w:t>
      </w:r>
      <w:hyperlink r:id="rId48">
        <w:r>
          <w:rPr>
            <w:rFonts w:ascii="Times New Roman" w:eastAsia="Times New Roman"/>
          </w:rPr>
          <w:t>www.zhixin-inv.com</w:t>
        </w:r>
      </w:hyperlink>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3"/>
          <w:sz w:val="21"/>
        </w:rPr>
        <w:t>上海大智慧基金销售有限公司</w:t>
      </w:r>
    </w:p>
    <w:p>
      <w:pPr>
        <w:pStyle w:val="BodyText"/>
        <w:spacing w:before="6"/>
        <w:rPr>
          <w:sz w:val="15"/>
        </w:rPr>
      </w:pPr>
    </w:p>
    <w:p>
      <w:pPr>
        <w:pStyle w:val="BodyText"/>
        <w:ind w:left="680"/>
      </w:pPr>
      <w:r>
        <w:rPr/>
        <w:t>住所：中国（上海）自由贸易试验区杨高南路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w:t>
      </w:r>
    </w:p>
    <w:p>
      <w:pPr>
        <w:pStyle w:val="BodyText"/>
        <w:spacing w:before="7"/>
        <w:rPr>
          <w:sz w:val="15"/>
        </w:rPr>
      </w:pPr>
    </w:p>
    <w:p>
      <w:pPr>
        <w:pStyle w:val="BodyText"/>
        <w:spacing w:line="417" w:lineRule="auto"/>
        <w:ind w:left="680" w:right="1876"/>
      </w:pPr>
      <w:r>
        <w:rPr/>
        <w:t>办公地址：中国（上海）自由贸易试验区杨高南路</w:t>
      </w:r>
      <w:r>
        <w:rPr>
          <w:rFonts w:ascii="Times New Roman" w:eastAsia="Times New Roman"/>
        </w:rPr>
        <w:t>428</w:t>
      </w:r>
      <w:r>
        <w:rPr/>
        <w:t>号</w:t>
      </w:r>
      <w:r>
        <w:rPr>
          <w:rFonts w:ascii="Times New Roman" w:eastAsia="Times New Roman"/>
        </w:rPr>
        <w:t>1</w:t>
      </w:r>
      <w:r>
        <w:rPr/>
        <w:t>号楼</w:t>
      </w:r>
      <w:r>
        <w:rPr>
          <w:rFonts w:ascii="Times New Roman" w:eastAsia="Times New Roman"/>
        </w:rPr>
        <w:t>1102</w:t>
      </w:r>
      <w:r>
        <w:rPr/>
        <w:t>单元法定代表人：申健</w:t>
      </w:r>
    </w:p>
    <w:p>
      <w:pPr>
        <w:pStyle w:val="BodyText"/>
        <w:spacing w:line="417" w:lineRule="auto"/>
        <w:ind w:left="680" w:right="6526"/>
        <w:rPr>
          <w:rFonts w:ascii="Times New Roman" w:eastAsia="Times New Roman"/>
        </w:rPr>
      </w:pPr>
      <w:r>
        <w:rPr/>
        <w:t>电话：</w:t>
      </w:r>
      <w:r>
        <w:rPr>
          <w:rFonts w:ascii="Times New Roman" w:eastAsia="Times New Roman"/>
        </w:rPr>
        <w:t>18017373527 </w:t>
      </w:r>
      <w:r>
        <w:rPr/>
        <w:t>传真：</w:t>
      </w:r>
      <w:r>
        <w:rPr>
          <w:rFonts w:ascii="Times New Roman" w:eastAsia="Times New Roman"/>
        </w:rPr>
        <w:t>021-20219923</w:t>
      </w:r>
    </w:p>
    <w:p>
      <w:pPr>
        <w:pStyle w:val="BodyText"/>
        <w:ind w:left="680"/>
      </w:pPr>
      <w:r>
        <w:rPr/>
        <w:t>联系人：张蜓</w:t>
      </w:r>
    </w:p>
    <w:p>
      <w:pPr>
        <w:spacing w:after="0"/>
        <w:sectPr>
          <w:pgSz w:w="11910" w:h="16840"/>
          <w:pgMar w:header="877" w:footer="995" w:top="1420" w:bottom="1180" w:left="1540" w:right="1300"/>
        </w:sectPr>
      </w:pPr>
    </w:p>
    <w:p>
      <w:pPr>
        <w:pStyle w:val="BodyText"/>
        <w:spacing w:line="417" w:lineRule="auto" w:before="110"/>
        <w:ind w:left="680" w:right="5685"/>
        <w:rPr>
          <w:rFonts w:ascii="Times New Roman" w:eastAsia="Times New Roman"/>
        </w:rPr>
      </w:pPr>
      <w:r>
        <w:rPr/>
        <w:t>网址：</w:t>
      </w:r>
      <w:r>
        <w:rPr>
          <w:rFonts w:ascii="Times New Roman" w:eastAsia="Times New Roman"/>
        </w:rPr>
        <w:t>https://</w:t>
      </w:r>
      <w:hyperlink r:id="rId49">
        <w:r>
          <w:rPr>
            <w:rFonts w:ascii="Times New Roman" w:eastAsia="Times New Roman"/>
          </w:rPr>
          <w:t>www.wg.com.cn/ </w:t>
        </w:r>
      </w:hyperlink>
      <w:r>
        <w:rPr/>
        <w:t>客户服务电话：</w:t>
      </w:r>
      <w:r>
        <w:rPr>
          <w:rFonts w:ascii="Times New Roman" w:eastAsia="Times New Roman"/>
        </w:rPr>
        <w:t>021-20292031</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北京辉腾汇富基金销售有限公司</w:t>
      </w:r>
    </w:p>
    <w:p>
      <w:pPr>
        <w:pStyle w:val="BodyText"/>
        <w:spacing w:before="6"/>
        <w:rPr>
          <w:sz w:val="15"/>
        </w:rPr>
      </w:pPr>
    </w:p>
    <w:p>
      <w:pPr>
        <w:pStyle w:val="BodyText"/>
        <w:ind w:left="680"/>
        <w:rPr>
          <w:rFonts w:ascii="Times New Roman" w:eastAsia="Times New Roman"/>
        </w:rPr>
      </w:pPr>
      <w:r>
        <w:rPr/>
        <w:t>住所：北京市东城区朝阳门北大街</w:t>
      </w:r>
      <w:r>
        <w:rPr>
          <w:rFonts w:ascii="Times New Roman" w:eastAsia="Times New Roman"/>
        </w:rPr>
        <w:t>8</w:t>
      </w:r>
      <w:r>
        <w:rPr/>
        <w:t>号</w:t>
      </w:r>
      <w:r>
        <w:rPr>
          <w:rFonts w:ascii="Times New Roman" w:eastAsia="Times New Roman"/>
        </w:rPr>
        <w:t>2-2-1</w:t>
      </w:r>
    </w:p>
    <w:p>
      <w:pPr>
        <w:pStyle w:val="BodyText"/>
        <w:spacing w:before="4"/>
        <w:rPr>
          <w:rFonts w:ascii="Times New Roman"/>
          <w:sz w:val="17"/>
        </w:rPr>
      </w:pPr>
    </w:p>
    <w:p>
      <w:pPr>
        <w:pStyle w:val="BodyText"/>
        <w:spacing w:line="417" w:lineRule="auto"/>
        <w:ind w:left="680" w:right="2770"/>
      </w:pPr>
      <w:r>
        <w:rPr/>
        <w:t>办公地址：北京市东城区朝阳门北大街</w:t>
      </w:r>
      <w:r>
        <w:rPr>
          <w:rFonts w:ascii="Times New Roman" w:eastAsia="Times New Roman"/>
        </w:rPr>
        <w:t>8</w:t>
      </w:r>
      <w:r>
        <w:rPr/>
        <w:t>号富华大厦</w:t>
      </w:r>
      <w:r>
        <w:rPr>
          <w:rFonts w:ascii="Times New Roman" w:eastAsia="Times New Roman"/>
        </w:rPr>
        <w:t>F</w:t>
      </w:r>
      <w:r>
        <w:rPr/>
        <w:t>座</w:t>
      </w:r>
      <w:r>
        <w:rPr>
          <w:rFonts w:ascii="Times New Roman" w:eastAsia="Times New Roman"/>
        </w:rPr>
        <w:t>12</w:t>
      </w:r>
      <w:r>
        <w:rPr/>
        <w:t>层</w:t>
      </w:r>
      <w:r>
        <w:rPr>
          <w:rFonts w:ascii="Times New Roman" w:eastAsia="Times New Roman"/>
        </w:rPr>
        <w:t>B </w:t>
      </w:r>
      <w:r>
        <w:rPr/>
        <w:t>法定代表人：许宁</w:t>
      </w:r>
    </w:p>
    <w:p>
      <w:pPr>
        <w:pStyle w:val="BodyText"/>
        <w:spacing w:line="417" w:lineRule="auto"/>
        <w:ind w:left="680" w:right="6526"/>
        <w:rPr>
          <w:rFonts w:ascii="Times New Roman" w:eastAsia="Times New Roman"/>
        </w:rPr>
      </w:pPr>
      <w:r>
        <w:rPr/>
        <w:t>电话：</w:t>
      </w:r>
      <w:r>
        <w:rPr>
          <w:rFonts w:ascii="Times New Roman" w:eastAsia="Times New Roman"/>
        </w:rPr>
        <w:t>010-85610733 </w:t>
      </w:r>
      <w:r>
        <w:rPr/>
        <w:t>传真：</w:t>
      </w:r>
      <w:r>
        <w:rPr>
          <w:rFonts w:ascii="Times New Roman" w:eastAsia="Times New Roman"/>
        </w:rPr>
        <w:t>010-85622351</w:t>
      </w:r>
    </w:p>
    <w:p>
      <w:pPr>
        <w:pStyle w:val="BodyText"/>
        <w:ind w:left="680"/>
      </w:pPr>
      <w:r>
        <w:rPr/>
        <w:t>联系人：彭雪琳</w:t>
      </w:r>
    </w:p>
    <w:p>
      <w:pPr>
        <w:pStyle w:val="BodyText"/>
        <w:spacing w:before="6"/>
        <w:rPr>
          <w:sz w:val="15"/>
        </w:rPr>
      </w:pPr>
    </w:p>
    <w:p>
      <w:pPr>
        <w:pStyle w:val="BodyText"/>
        <w:spacing w:line="417" w:lineRule="auto" w:before="1"/>
        <w:ind w:left="680" w:right="5612"/>
        <w:rPr>
          <w:rFonts w:ascii="Times New Roman" w:eastAsia="Times New Roman"/>
        </w:rPr>
      </w:pPr>
      <w:r>
        <w:rPr/>
        <w:t>网址：</w:t>
      </w:r>
      <w:r>
        <w:rPr>
          <w:rFonts w:ascii="Times New Roman" w:eastAsia="Times New Roman"/>
        </w:rPr>
        <w:t>https://</w:t>
      </w:r>
      <w:hyperlink r:id="rId50">
        <w:r>
          <w:rPr>
            <w:rFonts w:ascii="Times New Roman" w:eastAsia="Times New Roman"/>
          </w:rPr>
          <w:t>www.htfund.com/ </w:t>
        </w:r>
      </w:hyperlink>
      <w:r>
        <w:rPr/>
        <w:t>客户服务电话：</w:t>
      </w:r>
      <w:r>
        <w:rPr>
          <w:rFonts w:ascii="Times New Roman" w:eastAsia="Times New Roman"/>
        </w:rPr>
        <w:t>400-829-1218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6"/>
        <w:rPr>
          <w:sz w:val="15"/>
        </w:rPr>
      </w:pPr>
    </w:p>
    <w:p>
      <w:pPr>
        <w:pStyle w:val="BodyText"/>
        <w:ind w:left="680"/>
        <w:rPr>
          <w:rFonts w:ascii="Times New Roman" w:eastAsia="Times New Roman"/>
        </w:rPr>
      </w:pPr>
      <w:r>
        <w:rPr/>
        <w:t>住所：北京市朝阳区太阳宫中路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w:t>
      </w:r>
    </w:p>
    <w:p>
      <w:pPr>
        <w:pStyle w:val="BodyText"/>
        <w:spacing w:before="4"/>
        <w:rPr>
          <w:rFonts w:ascii="Times New Roman"/>
          <w:sz w:val="17"/>
        </w:rPr>
      </w:pPr>
    </w:p>
    <w:p>
      <w:pPr>
        <w:pStyle w:val="BodyText"/>
        <w:spacing w:line="417" w:lineRule="auto"/>
        <w:ind w:left="680" w:right="3232"/>
      </w:pPr>
      <w:r>
        <w:rPr/>
        <w:t>办公地址：北京市朝阳区太阳宫中路</w:t>
      </w:r>
      <w:r>
        <w:rPr>
          <w:rFonts w:ascii="Times New Roman" w:eastAsia="Times New Roman"/>
        </w:rPr>
        <w:t>16</w:t>
      </w:r>
      <w:r>
        <w:rPr/>
        <w:t>号院</w:t>
      </w:r>
      <w:r>
        <w:rPr>
          <w:rFonts w:ascii="Times New Roman" w:eastAsia="Times New Roman"/>
        </w:rPr>
        <w:t>1</w:t>
      </w:r>
      <w:r>
        <w:rPr/>
        <w:t>号楼</w:t>
      </w:r>
      <w:r>
        <w:rPr>
          <w:rFonts w:ascii="Times New Roman" w:eastAsia="Times New Roman"/>
        </w:rPr>
        <w:t>3</w:t>
      </w:r>
      <w:r>
        <w:rPr/>
        <w:t>层</w:t>
      </w:r>
      <w:r>
        <w:rPr>
          <w:rFonts w:ascii="Times New Roman" w:eastAsia="Times New Roman"/>
        </w:rPr>
        <w:t>307 </w:t>
      </w:r>
      <w:r>
        <w:rPr/>
        <w:t>法定代表人：杨健</w:t>
      </w:r>
    </w:p>
    <w:p>
      <w:pPr>
        <w:pStyle w:val="BodyText"/>
        <w:spacing w:line="417" w:lineRule="auto"/>
        <w:ind w:left="680" w:right="6526"/>
        <w:rPr>
          <w:rFonts w:ascii="Times New Roman" w:eastAsia="Times New Roman"/>
        </w:rPr>
      </w:pPr>
      <w:r>
        <w:rPr/>
        <w:t>电话：</w:t>
      </w:r>
      <w:r>
        <w:rPr>
          <w:rFonts w:ascii="Times New Roman" w:eastAsia="Times New Roman"/>
        </w:rPr>
        <w:t>010-65309516 </w:t>
      </w:r>
      <w:r>
        <w:rPr/>
        <w:t>传真：</w:t>
      </w:r>
      <w:r>
        <w:rPr>
          <w:rFonts w:ascii="Times New Roman" w:eastAsia="Times New Roman"/>
        </w:rPr>
        <w:t>010-65330699</w:t>
      </w:r>
    </w:p>
    <w:p>
      <w:pPr>
        <w:pStyle w:val="BodyText"/>
        <w:spacing w:line="269" w:lineRule="exact"/>
        <w:ind w:left="680"/>
      </w:pPr>
      <w:r>
        <w:rPr/>
        <w:t>联系人：李海燕</w:t>
      </w:r>
    </w:p>
    <w:p>
      <w:pPr>
        <w:pStyle w:val="BodyText"/>
        <w:spacing w:before="6"/>
        <w:rPr>
          <w:sz w:val="15"/>
        </w:rPr>
      </w:pPr>
    </w:p>
    <w:p>
      <w:pPr>
        <w:pStyle w:val="BodyText"/>
        <w:spacing w:line="417" w:lineRule="auto" w:before="1"/>
        <w:ind w:left="680" w:right="5721"/>
        <w:rPr>
          <w:rFonts w:ascii="Times New Roman" w:eastAsia="Times New Roman"/>
        </w:rPr>
      </w:pPr>
      <w:r>
        <w:rPr/>
        <w:t>网址：</w:t>
      </w:r>
      <w:hyperlink r:id="rId51">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上海联泰基金销售有限公司</w:t>
      </w:r>
    </w:p>
    <w:p>
      <w:pPr>
        <w:pStyle w:val="BodyText"/>
        <w:spacing w:before="7"/>
        <w:rPr>
          <w:sz w:val="15"/>
        </w:rPr>
      </w:pPr>
    </w:p>
    <w:p>
      <w:pPr>
        <w:pStyle w:val="BodyText"/>
        <w:spacing w:line="417" w:lineRule="auto"/>
        <w:ind w:left="680" w:right="2815"/>
      </w:pPr>
      <w:r>
        <w:rPr/>
        <w:t>住所：中国（上海）自由贸易试验区富特北路</w:t>
      </w:r>
      <w:r>
        <w:rPr>
          <w:rFonts w:ascii="Times New Roman" w:eastAsia="Times New Roman"/>
        </w:rPr>
        <w:t>277</w:t>
      </w:r>
      <w:r>
        <w:rPr/>
        <w:t>号</w:t>
      </w:r>
      <w:r>
        <w:rPr>
          <w:rFonts w:ascii="Times New Roman" w:eastAsia="Times New Roman"/>
        </w:rPr>
        <w:t>3</w:t>
      </w:r>
      <w:r>
        <w:rPr/>
        <w:t>层</w:t>
      </w:r>
      <w:r>
        <w:rPr>
          <w:rFonts w:ascii="Times New Roman" w:eastAsia="Times New Roman"/>
        </w:rPr>
        <w:t>310</w:t>
      </w:r>
      <w:r>
        <w:rPr/>
        <w:t>室办公地址：中国（上海）长宁区福泉北路</w:t>
      </w:r>
      <w:r>
        <w:rPr>
          <w:rFonts w:ascii="Times New Roman" w:eastAsia="Times New Roman"/>
        </w:rPr>
        <w:t>518</w:t>
      </w:r>
      <w:r>
        <w:rPr/>
        <w:t>号</w:t>
      </w:r>
      <w:r>
        <w:rPr>
          <w:rFonts w:ascii="Times New Roman" w:eastAsia="Times New Roman"/>
        </w:rPr>
        <w:t>8</w:t>
      </w:r>
      <w:r>
        <w:rPr/>
        <w:t>座</w:t>
      </w:r>
      <w:r>
        <w:rPr>
          <w:rFonts w:ascii="Times New Roman" w:eastAsia="Times New Roman"/>
        </w:rPr>
        <w:t>3</w:t>
      </w:r>
      <w:r>
        <w:rPr/>
        <w:t>层</w:t>
      </w:r>
    </w:p>
    <w:p>
      <w:pPr>
        <w:pStyle w:val="BodyText"/>
        <w:spacing w:line="417" w:lineRule="auto"/>
        <w:ind w:left="680" w:right="6490"/>
        <w:rPr>
          <w:rFonts w:ascii="Times New Roman" w:eastAsia="Times New Roman"/>
        </w:rPr>
      </w:pPr>
      <w:r>
        <w:rPr/>
        <w:t>法定代表人：尹彬彬电话：</w:t>
      </w:r>
      <w:r>
        <w:rPr>
          <w:rFonts w:ascii="Times New Roman" w:eastAsia="Times New Roman"/>
        </w:rPr>
        <w:t>15201924977 </w:t>
      </w:r>
      <w:r>
        <w:rPr/>
        <w:t>传真：</w:t>
      </w:r>
      <w:r>
        <w:rPr>
          <w:rFonts w:ascii="Times New Roman" w:eastAsia="Times New Roman"/>
        </w:rPr>
        <w:t>021-52975270</w:t>
      </w:r>
    </w:p>
    <w:p>
      <w:pPr>
        <w:pStyle w:val="BodyText"/>
        <w:spacing w:line="269" w:lineRule="exact"/>
        <w:ind w:left="680"/>
      </w:pPr>
      <w:r>
        <w:rPr/>
        <w:t>联系人：兰敏</w:t>
      </w:r>
    </w:p>
    <w:p>
      <w:pPr>
        <w:pStyle w:val="BodyText"/>
        <w:spacing w:before="6"/>
        <w:rPr>
          <w:sz w:val="15"/>
        </w:rPr>
      </w:pPr>
    </w:p>
    <w:p>
      <w:pPr>
        <w:pStyle w:val="BodyText"/>
        <w:ind w:left="680"/>
        <w:rPr>
          <w:rFonts w:ascii="Times New Roman" w:eastAsia="Times New Roman"/>
        </w:rPr>
      </w:pPr>
      <w:r>
        <w:rPr/>
        <w:t>网址：</w:t>
      </w:r>
      <w:hyperlink r:id="rId52">
        <w:r>
          <w:rPr>
            <w:rFonts w:ascii="Times New Roman" w:eastAsia="Times New Roman"/>
          </w:rPr>
          <w:t>www.66liantai.com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400-118-1188</w:t>
      </w:r>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3"/>
          <w:sz w:val="21"/>
        </w:rPr>
        <w:t>泰诚财富基金销售</w:t>
      </w:r>
      <w:r>
        <w:rPr>
          <w:sz w:val="21"/>
        </w:rPr>
        <w:t>（</w:t>
      </w:r>
      <w:r>
        <w:rPr>
          <w:spacing w:val="-2"/>
          <w:sz w:val="21"/>
        </w:rPr>
        <w:t>大连</w:t>
      </w:r>
      <w:r>
        <w:rPr>
          <w:sz w:val="21"/>
        </w:rPr>
        <w:t>）</w:t>
      </w:r>
      <w:r>
        <w:rPr>
          <w:spacing w:val="-3"/>
          <w:sz w:val="21"/>
        </w:rPr>
        <w:t>有限公司</w:t>
      </w:r>
    </w:p>
    <w:p>
      <w:pPr>
        <w:spacing w:after="0" w:line="240" w:lineRule="auto"/>
        <w:jc w:val="left"/>
        <w:rPr>
          <w:sz w:val="21"/>
        </w:rPr>
        <w:sectPr>
          <w:pgSz w:w="11910" w:h="16840"/>
          <w:pgMar w:header="877" w:footer="995" w:top="1420" w:bottom="1180" w:left="1540" w:right="1300"/>
        </w:sectPr>
      </w:pPr>
    </w:p>
    <w:p>
      <w:pPr>
        <w:pStyle w:val="BodyText"/>
        <w:spacing w:before="110"/>
        <w:ind w:left="680"/>
      </w:pPr>
      <w:r>
        <w:rPr/>
        <w:t>住所：辽宁省大连市沙河口区星海中龙园</w:t>
      </w:r>
      <w:r>
        <w:rPr>
          <w:rFonts w:ascii="Times New Roman" w:eastAsia="Times New Roman"/>
        </w:rPr>
        <w:t>3</w:t>
      </w:r>
      <w:r>
        <w:rPr/>
        <w:t>号</w:t>
      </w:r>
    </w:p>
    <w:p>
      <w:pPr>
        <w:pStyle w:val="BodyText"/>
        <w:spacing w:before="6"/>
        <w:rPr>
          <w:sz w:val="15"/>
        </w:rPr>
      </w:pPr>
    </w:p>
    <w:p>
      <w:pPr>
        <w:pStyle w:val="BodyText"/>
        <w:spacing w:line="417" w:lineRule="auto"/>
        <w:ind w:left="680" w:right="3863"/>
      </w:pPr>
      <w:r>
        <w:rPr/>
        <w:t>办公地址：辽宁省大连市沙河口区星海中龙园</w:t>
      </w:r>
      <w:r>
        <w:rPr>
          <w:rFonts w:ascii="Times New Roman" w:eastAsia="Times New Roman"/>
        </w:rPr>
        <w:t>3</w:t>
      </w:r>
      <w:r>
        <w:rPr/>
        <w:t>号法定代表人：李春光</w:t>
      </w:r>
    </w:p>
    <w:p>
      <w:pPr>
        <w:pStyle w:val="BodyText"/>
        <w:spacing w:line="417" w:lineRule="auto"/>
        <w:ind w:left="680" w:right="6045"/>
        <w:rPr>
          <w:rFonts w:ascii="Times New Roman" w:eastAsia="Times New Roman"/>
        </w:rPr>
      </w:pPr>
      <w:r>
        <w:rPr/>
        <w:t>电话：</w:t>
      </w:r>
      <w:r>
        <w:rPr>
          <w:rFonts w:ascii="Times New Roman" w:eastAsia="Times New Roman"/>
        </w:rPr>
        <w:t>0411-88891212-317 </w:t>
      </w:r>
      <w:r>
        <w:rPr/>
        <w:t>传真：</w:t>
      </w:r>
      <w:r>
        <w:rPr>
          <w:rFonts w:ascii="Times New Roman" w:eastAsia="Times New Roman"/>
        </w:rPr>
        <w:t>0411-84396536</w:t>
      </w:r>
    </w:p>
    <w:p>
      <w:pPr>
        <w:pStyle w:val="BodyText"/>
        <w:spacing w:line="269" w:lineRule="exact"/>
        <w:ind w:left="680"/>
      </w:pPr>
      <w:r>
        <w:rPr/>
        <w:t>联系人：张晓辉</w:t>
      </w:r>
    </w:p>
    <w:p>
      <w:pPr>
        <w:pStyle w:val="BodyText"/>
        <w:spacing w:before="7"/>
        <w:rPr>
          <w:sz w:val="15"/>
        </w:rPr>
      </w:pPr>
    </w:p>
    <w:p>
      <w:pPr>
        <w:pStyle w:val="BodyText"/>
        <w:spacing w:line="417" w:lineRule="auto"/>
        <w:ind w:left="680" w:right="5729"/>
        <w:rPr>
          <w:rFonts w:ascii="Times New Roman" w:eastAsia="Times New Roman"/>
        </w:rPr>
      </w:pPr>
      <w:r>
        <w:rPr/>
        <w:t>网址：</w:t>
      </w:r>
      <w:hyperlink r:id="rId53">
        <w:r>
          <w:rPr>
            <w:rFonts w:ascii="Times New Roman" w:eastAsia="Times New Roman"/>
          </w:rPr>
          <w:t>www.haojiyoujijin.com </w:t>
        </w:r>
      </w:hyperlink>
      <w:r>
        <w:rPr/>
        <w:t>客户服务电话：</w:t>
      </w:r>
      <w:r>
        <w:rPr>
          <w:rFonts w:ascii="Times New Roman" w:eastAsia="Times New Roman"/>
        </w:rPr>
        <w:t>400-0411-001</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上海汇付基金销售有限公司</w:t>
      </w:r>
    </w:p>
    <w:p>
      <w:pPr>
        <w:pStyle w:val="BodyText"/>
        <w:spacing w:before="7"/>
        <w:rPr>
          <w:sz w:val="15"/>
        </w:rPr>
      </w:pPr>
    </w:p>
    <w:p>
      <w:pPr>
        <w:pStyle w:val="BodyText"/>
        <w:ind w:left="680"/>
      </w:pPr>
      <w:r>
        <w:rPr/>
        <w:t>住所：上海市黄浦区黄河路</w:t>
      </w:r>
      <w:r>
        <w:rPr>
          <w:rFonts w:ascii="Times New Roman" w:eastAsia="Times New Roman"/>
        </w:rPr>
        <w:t>333</w:t>
      </w:r>
      <w:r>
        <w:rPr/>
        <w:t>号</w:t>
      </w:r>
      <w:r>
        <w:rPr>
          <w:rFonts w:ascii="Times New Roman" w:eastAsia="Times New Roman"/>
        </w:rPr>
        <w:t>201</w:t>
      </w:r>
      <w:r>
        <w:rPr/>
        <w:t>室</w:t>
      </w:r>
      <w:r>
        <w:rPr>
          <w:rFonts w:ascii="Times New Roman" w:eastAsia="Times New Roman"/>
        </w:rPr>
        <w:t>A</w:t>
      </w:r>
      <w:r>
        <w:rPr/>
        <w:t>区</w:t>
      </w:r>
      <w:r>
        <w:rPr>
          <w:rFonts w:ascii="Times New Roman" w:eastAsia="Times New Roman"/>
        </w:rPr>
        <w:t>056</w:t>
      </w:r>
      <w:r>
        <w:rPr/>
        <w:t>单元</w:t>
      </w:r>
    </w:p>
    <w:p>
      <w:pPr>
        <w:pStyle w:val="BodyText"/>
        <w:spacing w:before="6"/>
        <w:rPr>
          <w:sz w:val="15"/>
        </w:rPr>
      </w:pPr>
    </w:p>
    <w:p>
      <w:pPr>
        <w:pStyle w:val="BodyText"/>
        <w:spacing w:line="417" w:lineRule="auto" w:before="1"/>
        <w:ind w:left="680" w:right="2675"/>
      </w:pPr>
      <w:r>
        <w:rPr/>
        <w:t>办公地址：上海市徐汇区宜山路</w:t>
      </w:r>
      <w:r>
        <w:rPr>
          <w:rFonts w:ascii="Times New Roman" w:eastAsia="Times New Roman"/>
        </w:rPr>
        <w:t>700</w:t>
      </w:r>
      <w:r>
        <w:rPr/>
        <w:t>号普天信息产业园</w:t>
      </w:r>
      <w:r>
        <w:rPr>
          <w:rFonts w:ascii="Times New Roman" w:eastAsia="Times New Roman"/>
        </w:rPr>
        <w:t>2</w:t>
      </w:r>
      <w:r>
        <w:rPr/>
        <w:t>期</w:t>
      </w:r>
      <w:r>
        <w:rPr>
          <w:rFonts w:ascii="Times New Roman" w:eastAsia="Times New Roman"/>
        </w:rPr>
        <w:t>C5</w:t>
      </w:r>
      <w:r>
        <w:rPr/>
        <w:t>栋法定代表人：金佶</w:t>
      </w:r>
    </w:p>
    <w:p>
      <w:pPr>
        <w:pStyle w:val="BodyText"/>
        <w:spacing w:line="417" w:lineRule="auto"/>
        <w:ind w:left="680" w:right="652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ind w:left="680"/>
      </w:pPr>
      <w:r>
        <w:rPr/>
        <w:t>联系人：甄宝林</w:t>
      </w:r>
    </w:p>
    <w:p>
      <w:pPr>
        <w:pStyle w:val="BodyText"/>
        <w:spacing w:before="6"/>
        <w:rPr>
          <w:sz w:val="15"/>
        </w:rPr>
      </w:pPr>
    </w:p>
    <w:p>
      <w:pPr>
        <w:pStyle w:val="BodyText"/>
        <w:ind w:left="680"/>
        <w:rPr>
          <w:rFonts w:ascii="Times New Roman" w:eastAsia="Times New Roman"/>
        </w:rPr>
      </w:pPr>
      <w:r>
        <w:rPr/>
        <w:t>网址：</w:t>
      </w:r>
      <w:hyperlink r:id="rId54">
        <w:r>
          <w:rPr>
            <w:rFonts w:ascii="Times New Roman" w:eastAsia="Times New Roman"/>
          </w:rPr>
          <w:t>www.hotjijin.com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021-34013999</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上海基煜基金销售有限公司</w:t>
      </w:r>
    </w:p>
    <w:p>
      <w:pPr>
        <w:pStyle w:val="BodyText"/>
        <w:spacing w:before="7"/>
        <w:rPr>
          <w:sz w:val="15"/>
        </w:rPr>
      </w:pPr>
    </w:p>
    <w:p>
      <w:pPr>
        <w:pStyle w:val="BodyText"/>
        <w:spacing w:line="417" w:lineRule="auto"/>
        <w:ind w:left="680" w:right="712"/>
      </w:pPr>
      <w:r>
        <w:rPr/>
        <w:t>住所：上海市崇明县长兴镇路潘园公路</w:t>
      </w:r>
      <w:r>
        <w:rPr>
          <w:rFonts w:ascii="Times New Roman" w:eastAsia="Times New Roman"/>
        </w:rPr>
        <w:t>1800</w:t>
      </w:r>
      <w:r>
        <w:rPr/>
        <w:t>号</w:t>
      </w:r>
      <w:r>
        <w:rPr>
          <w:rFonts w:ascii="Times New Roman" w:eastAsia="Times New Roman"/>
        </w:rPr>
        <w:t>2</w:t>
      </w:r>
      <w:r>
        <w:rPr/>
        <w:t>号楼</w:t>
      </w:r>
      <w:r>
        <w:rPr>
          <w:rFonts w:ascii="Times New Roman" w:eastAsia="Times New Roman"/>
        </w:rPr>
        <w:t>6153</w:t>
      </w:r>
      <w:r>
        <w:rPr/>
        <w:t>室（上海泰和经济发展区） 办公地址：上海市浦东新区银城中路</w:t>
      </w:r>
      <w:r>
        <w:rPr>
          <w:rFonts w:ascii="Times New Roman" w:eastAsia="Times New Roman"/>
        </w:rPr>
        <w:t>488</w:t>
      </w:r>
      <w:r>
        <w:rPr/>
        <w:t>号太平金融大厦</w:t>
      </w:r>
      <w:r>
        <w:rPr>
          <w:rFonts w:ascii="Times New Roman" w:eastAsia="Times New Roman"/>
        </w:rPr>
        <w:t>1503</w:t>
      </w:r>
      <w:r>
        <w:rPr/>
        <w:t>室</w:t>
      </w:r>
    </w:p>
    <w:p>
      <w:pPr>
        <w:pStyle w:val="BodyText"/>
        <w:spacing w:line="269" w:lineRule="exact"/>
        <w:ind w:left="680"/>
      </w:pPr>
      <w:r>
        <w:rPr/>
        <w:t>法定代表人：王翔</w:t>
      </w:r>
    </w:p>
    <w:p>
      <w:pPr>
        <w:pStyle w:val="BodyText"/>
        <w:spacing w:before="7"/>
        <w:rPr>
          <w:sz w:val="15"/>
        </w:rPr>
      </w:pPr>
    </w:p>
    <w:p>
      <w:pPr>
        <w:pStyle w:val="BodyText"/>
        <w:spacing w:line="417" w:lineRule="auto"/>
        <w:ind w:left="680" w:right="610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680"/>
      </w:pPr>
      <w:r>
        <w:rPr/>
        <w:t>联系人：蓝杰</w:t>
      </w:r>
    </w:p>
    <w:p>
      <w:pPr>
        <w:pStyle w:val="BodyText"/>
        <w:spacing w:before="7"/>
        <w:rPr>
          <w:sz w:val="15"/>
        </w:rPr>
      </w:pPr>
    </w:p>
    <w:p>
      <w:pPr>
        <w:pStyle w:val="BodyText"/>
        <w:spacing w:line="417" w:lineRule="auto"/>
        <w:ind w:left="680" w:right="5721"/>
        <w:rPr>
          <w:rFonts w:ascii="Times New Roman" w:eastAsia="Times New Roman"/>
        </w:rPr>
      </w:pPr>
      <w:r>
        <w:rPr/>
        <w:t>网址：</w:t>
      </w:r>
      <w:hyperlink r:id="rId55">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7"/>
        </w:numPr>
        <w:tabs>
          <w:tab w:pos="1315" w:val="left" w:leader="none"/>
        </w:tabs>
        <w:spacing w:line="417" w:lineRule="auto" w:before="0" w:after="0"/>
        <w:ind w:left="680" w:right="4495" w:firstLine="0"/>
        <w:jc w:val="left"/>
        <w:rPr>
          <w:sz w:val="21"/>
        </w:rPr>
      </w:pPr>
      <w:r>
        <w:rPr>
          <w:spacing w:val="-3"/>
          <w:sz w:val="21"/>
        </w:rPr>
        <w:t>上海中正达广基金销售有限公司  住所：上海市徐汇区龙腾大道</w:t>
      </w:r>
      <w:r>
        <w:rPr>
          <w:rFonts w:ascii="Times New Roman" w:eastAsia="Times New Roman"/>
          <w:sz w:val="21"/>
        </w:rPr>
        <w:t>2815</w:t>
      </w:r>
      <w:r>
        <w:rPr>
          <w:spacing w:val="-3"/>
          <w:sz w:val="21"/>
        </w:rPr>
        <w:t>号</w:t>
      </w:r>
      <w:r>
        <w:rPr>
          <w:rFonts w:ascii="Times New Roman" w:eastAsia="Times New Roman"/>
          <w:sz w:val="21"/>
        </w:rPr>
        <w:t>302</w:t>
      </w:r>
      <w:r>
        <w:rPr>
          <w:spacing w:val="-11"/>
          <w:sz w:val="21"/>
        </w:rPr>
        <w:t>室</w:t>
      </w:r>
    </w:p>
    <w:p>
      <w:pPr>
        <w:pStyle w:val="BodyText"/>
        <w:spacing w:line="417" w:lineRule="auto"/>
        <w:ind w:left="680" w:right="4075"/>
      </w:pPr>
      <w:r>
        <w:rPr/>
        <w:t>办公地址：上海市徐汇区龙腾大道</w:t>
      </w:r>
      <w:r>
        <w:rPr>
          <w:rFonts w:ascii="Times New Roman" w:eastAsia="Times New Roman"/>
        </w:rPr>
        <w:t>2815</w:t>
      </w:r>
      <w:r>
        <w:rPr/>
        <w:t>号</w:t>
      </w:r>
      <w:r>
        <w:rPr>
          <w:rFonts w:ascii="Times New Roman" w:eastAsia="Times New Roman"/>
        </w:rPr>
        <w:t>302</w:t>
      </w:r>
      <w:r>
        <w:rPr/>
        <w:t>室法定代表人：黄欣</w:t>
      </w:r>
    </w:p>
    <w:p>
      <w:pPr>
        <w:spacing w:after="0" w:line="417" w:lineRule="auto"/>
        <w:sectPr>
          <w:pgSz w:w="11910" w:h="16840"/>
          <w:pgMar w:header="877" w:footer="995" w:top="1420" w:bottom="1180" w:left="1540" w:right="1300"/>
        </w:sectPr>
      </w:pPr>
    </w:p>
    <w:p>
      <w:pPr>
        <w:pStyle w:val="BodyText"/>
        <w:spacing w:line="417" w:lineRule="auto" w:before="110"/>
        <w:ind w:left="680" w:right="6141"/>
        <w:rPr>
          <w:rFonts w:ascii="Times New Roman" w:eastAsia="Times New Roman"/>
        </w:rPr>
      </w:pPr>
      <w:r>
        <w:rPr/>
        <w:t>电话：</w:t>
      </w:r>
      <w:r>
        <w:rPr>
          <w:rFonts w:ascii="Times New Roman" w:eastAsia="Times New Roman"/>
        </w:rPr>
        <w:t>021-33768132-801 </w:t>
      </w:r>
      <w:r>
        <w:rPr/>
        <w:t>传真：</w:t>
      </w:r>
      <w:r>
        <w:rPr>
          <w:rFonts w:ascii="Times New Roman" w:eastAsia="Times New Roman"/>
        </w:rPr>
        <w:t>021-33768132-802</w:t>
      </w:r>
    </w:p>
    <w:p>
      <w:pPr>
        <w:pStyle w:val="BodyText"/>
        <w:spacing w:line="269" w:lineRule="exact"/>
        <w:ind w:left="680"/>
      </w:pPr>
      <w:r>
        <w:rPr/>
        <w:t>联系人：戴珉微</w:t>
      </w:r>
    </w:p>
    <w:p>
      <w:pPr>
        <w:pStyle w:val="BodyText"/>
        <w:spacing w:before="6"/>
        <w:rPr>
          <w:sz w:val="15"/>
        </w:rPr>
      </w:pPr>
    </w:p>
    <w:p>
      <w:pPr>
        <w:pStyle w:val="BodyText"/>
        <w:spacing w:line="417" w:lineRule="auto"/>
        <w:ind w:left="680" w:right="5400"/>
        <w:rPr>
          <w:rFonts w:ascii="Times New Roman" w:eastAsia="Times New Roman"/>
        </w:rPr>
      </w:pPr>
      <w:r>
        <w:rPr/>
        <w:t>网址：</w:t>
      </w:r>
      <w:hyperlink r:id="rId56">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北京虹点基金销售有限公司</w:t>
      </w:r>
    </w:p>
    <w:p>
      <w:pPr>
        <w:pStyle w:val="BodyText"/>
        <w:spacing w:before="7"/>
        <w:rPr>
          <w:sz w:val="15"/>
        </w:rPr>
      </w:pPr>
    </w:p>
    <w:p>
      <w:pPr>
        <w:pStyle w:val="BodyText"/>
        <w:ind w:left="680"/>
      </w:pPr>
      <w:r>
        <w:rPr/>
        <w:t>住所：北京市朝阳区工人体育场北路甲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w:t>
      </w:r>
    </w:p>
    <w:p>
      <w:pPr>
        <w:pStyle w:val="BodyText"/>
        <w:spacing w:before="7"/>
        <w:rPr>
          <w:sz w:val="15"/>
        </w:rPr>
      </w:pPr>
    </w:p>
    <w:p>
      <w:pPr>
        <w:pStyle w:val="BodyText"/>
        <w:spacing w:line="417" w:lineRule="auto" w:before="1"/>
        <w:ind w:left="680" w:right="2603"/>
      </w:pPr>
      <w:r>
        <w:rPr/>
        <w:t>办公地址：北京市朝阳区工人体育场北路甲</w:t>
      </w:r>
      <w:r>
        <w:rPr>
          <w:rFonts w:ascii="Times New Roman" w:eastAsia="Times New Roman"/>
        </w:rPr>
        <w:t>2</w:t>
      </w:r>
      <w:r>
        <w:rPr/>
        <w:t>号裙房</w:t>
      </w:r>
      <w:r>
        <w:rPr>
          <w:rFonts w:ascii="Times New Roman" w:eastAsia="Times New Roman"/>
        </w:rPr>
        <w:t>2</w:t>
      </w:r>
      <w:r>
        <w:rPr/>
        <w:t>层</w:t>
      </w:r>
      <w:r>
        <w:rPr>
          <w:rFonts w:ascii="Times New Roman" w:eastAsia="Times New Roman"/>
        </w:rPr>
        <w:t>222</w:t>
      </w:r>
      <w:r>
        <w:rPr/>
        <w:t>单元法定代表人：郑毓栋</w:t>
      </w:r>
    </w:p>
    <w:p>
      <w:pPr>
        <w:pStyle w:val="BodyText"/>
        <w:spacing w:line="417" w:lineRule="auto"/>
        <w:ind w:left="680" w:right="652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spacing w:line="269" w:lineRule="exact"/>
        <w:ind w:left="680"/>
      </w:pPr>
      <w:r>
        <w:rPr/>
        <w:t>联系人：姜颖</w:t>
      </w:r>
    </w:p>
    <w:p>
      <w:pPr>
        <w:pStyle w:val="BodyText"/>
        <w:spacing w:before="6"/>
        <w:rPr>
          <w:sz w:val="15"/>
        </w:rPr>
      </w:pPr>
    </w:p>
    <w:p>
      <w:pPr>
        <w:pStyle w:val="BodyText"/>
        <w:spacing w:line="417" w:lineRule="auto"/>
        <w:ind w:left="680" w:right="5634"/>
        <w:rPr>
          <w:rFonts w:ascii="Times New Roman" w:eastAsia="Times New Roman"/>
        </w:rPr>
      </w:pPr>
      <w:r>
        <w:rPr/>
        <w:t>网址：</w:t>
      </w:r>
      <w:hyperlink r:id="rId57">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上海陆金所基金销售有限公司</w:t>
      </w:r>
    </w:p>
    <w:p>
      <w:pPr>
        <w:pStyle w:val="BodyText"/>
        <w:spacing w:before="7"/>
        <w:rPr>
          <w:sz w:val="15"/>
        </w:rPr>
      </w:pPr>
    </w:p>
    <w:p>
      <w:pPr>
        <w:pStyle w:val="BodyText"/>
        <w:spacing w:line="417" w:lineRule="auto"/>
        <w:ind w:left="680" w:right="3551"/>
      </w:pPr>
      <w:r>
        <w:rPr/>
        <w:t>住所：上海市浦东新区陆家嘴环路</w:t>
      </w:r>
      <w:r>
        <w:rPr>
          <w:rFonts w:ascii="Times New Roman" w:eastAsia="Times New Roman"/>
        </w:rPr>
        <w:t>1333</w:t>
      </w:r>
      <w:r>
        <w:rPr/>
        <w:t>号</w:t>
      </w:r>
      <w:r>
        <w:rPr>
          <w:rFonts w:ascii="Times New Roman" w:eastAsia="Times New Roman"/>
        </w:rPr>
        <w:t>14</w:t>
      </w:r>
      <w:r>
        <w:rPr/>
        <w:t>楼</w:t>
      </w:r>
      <w:r>
        <w:rPr>
          <w:rFonts w:ascii="Times New Roman" w:eastAsia="Times New Roman"/>
        </w:rPr>
        <w:t>09</w:t>
      </w:r>
      <w:r>
        <w:rPr/>
        <w:t>单元办公地址：上海市浦东新区陆家嘴环路</w:t>
      </w:r>
      <w:r>
        <w:rPr>
          <w:rFonts w:ascii="Times New Roman" w:eastAsia="Times New Roman"/>
        </w:rPr>
        <w:t>1333</w:t>
      </w:r>
      <w:r>
        <w:rPr/>
        <w:t>号</w:t>
      </w:r>
    </w:p>
    <w:p>
      <w:pPr>
        <w:pStyle w:val="BodyText"/>
        <w:spacing w:line="417" w:lineRule="auto"/>
        <w:ind w:left="680" w:right="6490"/>
        <w:jc w:val="both"/>
        <w:rPr>
          <w:rFonts w:ascii="Times New Roman" w:eastAsia="Times New Roman"/>
        </w:rPr>
      </w:pPr>
      <w:r>
        <w:rPr/>
        <w:t>法定代表人：王之光电话：</w:t>
      </w:r>
      <w:r>
        <w:rPr>
          <w:rFonts w:ascii="Times New Roman" w:eastAsia="Times New Roman"/>
        </w:rPr>
        <w:t>021-20665952 </w:t>
      </w:r>
      <w:r>
        <w:rPr/>
        <w:t>传真：</w:t>
      </w:r>
      <w:r>
        <w:rPr>
          <w:rFonts w:ascii="Times New Roman" w:eastAsia="Times New Roman"/>
        </w:rPr>
        <w:t>021-22066653</w:t>
      </w:r>
    </w:p>
    <w:p>
      <w:pPr>
        <w:pStyle w:val="BodyText"/>
        <w:spacing w:line="269" w:lineRule="exact"/>
        <w:ind w:left="680"/>
      </w:pPr>
      <w:r>
        <w:rPr/>
        <w:t>联系人：宁博宇</w:t>
      </w:r>
    </w:p>
    <w:p>
      <w:pPr>
        <w:pStyle w:val="BodyText"/>
        <w:spacing w:before="7"/>
        <w:rPr>
          <w:sz w:val="15"/>
        </w:rPr>
      </w:pPr>
    </w:p>
    <w:p>
      <w:pPr>
        <w:pStyle w:val="BodyText"/>
        <w:ind w:left="680"/>
        <w:rPr>
          <w:rFonts w:ascii="Times New Roman" w:eastAsia="Times New Roman"/>
        </w:rPr>
      </w:pPr>
      <w:r>
        <w:rPr/>
        <w:t>网址：</w:t>
      </w:r>
      <w:hyperlink r:id="rId58">
        <w:r>
          <w:rPr>
            <w:rFonts w:ascii="Times New Roman" w:eastAsia="Times New Roman"/>
          </w:rPr>
          <w:t>www.lufunds.com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400-821-9031</w:t>
      </w:r>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珠海盈米基金销售有限公司</w:t>
      </w:r>
    </w:p>
    <w:p>
      <w:pPr>
        <w:pStyle w:val="BodyText"/>
        <w:spacing w:before="6"/>
        <w:rPr>
          <w:sz w:val="15"/>
        </w:rPr>
      </w:pPr>
    </w:p>
    <w:p>
      <w:pPr>
        <w:pStyle w:val="BodyText"/>
        <w:ind w:left="680"/>
        <w:rPr>
          <w:rFonts w:ascii="Times New Roman" w:eastAsia="Times New Roman"/>
        </w:rPr>
      </w:pPr>
      <w:r>
        <w:rPr/>
        <w:t>住所：珠海市横琴新区宝华路</w:t>
      </w:r>
      <w:r>
        <w:rPr>
          <w:rFonts w:ascii="Times New Roman" w:eastAsia="Times New Roman"/>
        </w:rPr>
        <w:t>6</w:t>
      </w:r>
      <w:r>
        <w:rPr/>
        <w:t>号</w:t>
      </w:r>
      <w:r>
        <w:rPr>
          <w:rFonts w:ascii="Times New Roman" w:eastAsia="Times New Roman"/>
        </w:rPr>
        <w:t>105</w:t>
      </w:r>
      <w:r>
        <w:rPr/>
        <w:t>室</w:t>
      </w:r>
      <w:r>
        <w:rPr>
          <w:rFonts w:ascii="Times New Roman" w:eastAsia="Times New Roman"/>
        </w:rPr>
        <w:t>-3491</w:t>
      </w:r>
    </w:p>
    <w:p>
      <w:pPr>
        <w:pStyle w:val="BodyText"/>
        <w:spacing w:before="4"/>
        <w:rPr>
          <w:rFonts w:ascii="Times New Roman"/>
          <w:sz w:val="17"/>
        </w:rPr>
      </w:pPr>
    </w:p>
    <w:p>
      <w:pPr>
        <w:pStyle w:val="BodyText"/>
        <w:spacing w:line="417" w:lineRule="auto"/>
        <w:ind w:left="680" w:right="1346"/>
      </w:pPr>
      <w:r>
        <w:rPr/>
        <w:t>办公地址：广东省广州市海珠区琶洲大道东</w:t>
      </w:r>
      <w:r>
        <w:rPr>
          <w:rFonts w:ascii="Times New Roman" w:eastAsia="Times New Roman"/>
        </w:rPr>
        <w:t>1</w:t>
      </w:r>
      <w:r>
        <w:rPr/>
        <w:t>号保利国际广场南塔</w:t>
      </w:r>
      <w:r>
        <w:rPr>
          <w:rFonts w:ascii="Times New Roman" w:eastAsia="Times New Roman"/>
        </w:rPr>
        <w:t>B1201-1203 </w:t>
      </w:r>
      <w:r>
        <w:rPr/>
        <w:t>法定代表人：肖雯</w:t>
      </w:r>
    </w:p>
    <w:p>
      <w:pPr>
        <w:pStyle w:val="BodyText"/>
        <w:spacing w:line="417" w:lineRule="auto"/>
        <w:ind w:left="680" w:right="6526"/>
        <w:rPr>
          <w:rFonts w:ascii="Times New Roman" w:eastAsia="Times New Roman"/>
        </w:rPr>
      </w:pPr>
      <w:r>
        <w:rPr/>
        <w:t>电话：</w:t>
      </w:r>
      <w:r>
        <w:rPr>
          <w:rFonts w:ascii="Times New Roman" w:eastAsia="Times New Roman"/>
        </w:rPr>
        <w:t>020-89629021 </w:t>
      </w:r>
      <w:r>
        <w:rPr/>
        <w:t>传真：</w:t>
      </w:r>
      <w:r>
        <w:rPr>
          <w:rFonts w:ascii="Times New Roman" w:eastAsia="Times New Roman"/>
        </w:rPr>
        <w:t>020-89629011</w:t>
      </w:r>
    </w:p>
    <w:p>
      <w:pPr>
        <w:pStyle w:val="BodyText"/>
        <w:ind w:left="680"/>
      </w:pPr>
      <w:r>
        <w:rPr/>
        <w:t>联系人：吴煜浩</w:t>
      </w:r>
    </w:p>
    <w:p>
      <w:pPr>
        <w:spacing w:after="0"/>
        <w:sectPr>
          <w:pgSz w:w="11910" w:h="16840"/>
          <w:pgMar w:header="877" w:footer="995" w:top="1420" w:bottom="1180" w:left="1540" w:right="1300"/>
        </w:sectPr>
      </w:pPr>
    </w:p>
    <w:p>
      <w:pPr>
        <w:pStyle w:val="BodyText"/>
        <w:spacing w:before="110"/>
        <w:ind w:left="680"/>
        <w:rPr>
          <w:rFonts w:ascii="Times New Roman" w:eastAsia="Times New Roman"/>
        </w:rPr>
      </w:pPr>
      <w:r>
        <w:rPr/>
        <w:t>网址：</w:t>
      </w:r>
      <w:hyperlink r:id="rId59">
        <w:r>
          <w:rPr>
            <w:rFonts w:ascii="Times New Roman" w:eastAsia="Times New Roman"/>
          </w:rPr>
          <w:t>www.yingmi.cn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020-89629066</w:t>
      </w:r>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3"/>
          <w:sz w:val="21"/>
        </w:rPr>
        <w:t>和耕传承基金销售有限公司</w:t>
      </w:r>
    </w:p>
    <w:p>
      <w:pPr>
        <w:pStyle w:val="BodyText"/>
        <w:spacing w:before="6"/>
        <w:rPr>
          <w:sz w:val="15"/>
        </w:rPr>
      </w:pPr>
    </w:p>
    <w:p>
      <w:pPr>
        <w:pStyle w:val="BodyText"/>
        <w:spacing w:line="417" w:lineRule="auto"/>
        <w:ind w:left="680" w:right="493"/>
      </w:pPr>
      <w:r>
        <w:rPr>
          <w:spacing w:val="-7"/>
        </w:rPr>
        <w:t>住所：河南自贸试验区郑州片区</w:t>
      </w:r>
      <w:r>
        <w:rPr/>
        <w:t>（</w:t>
      </w:r>
      <w:r>
        <w:rPr>
          <w:spacing w:val="-2"/>
        </w:rPr>
        <w:t>郑东</w:t>
      </w:r>
      <w:r>
        <w:rPr>
          <w:spacing w:val="-22"/>
        </w:rPr>
        <w:t>）</w:t>
      </w:r>
      <w:r>
        <w:rPr>
          <w:spacing w:val="-6"/>
        </w:rPr>
        <w:t>东风东路东、康宁街北</w:t>
      </w:r>
      <w:r>
        <w:rPr>
          <w:rFonts w:ascii="Times New Roman" w:eastAsia="Times New Roman"/>
          <w:spacing w:val="-3"/>
        </w:rPr>
        <w:t>6</w:t>
      </w:r>
      <w:r>
        <w:rPr/>
        <w:t>号楼</w:t>
      </w:r>
      <w:r>
        <w:rPr>
          <w:rFonts w:ascii="Times New Roman" w:eastAsia="Times New Roman"/>
          <w:spacing w:val="-3"/>
        </w:rPr>
        <w:t>6</w:t>
      </w:r>
      <w:r>
        <w:rPr/>
        <w:t>楼</w:t>
      </w:r>
      <w:r>
        <w:rPr>
          <w:rFonts w:ascii="Times New Roman" w:eastAsia="Times New Roman"/>
        </w:rPr>
        <w:t>602</w:t>
      </w:r>
      <w:r>
        <w:rPr>
          <w:spacing w:val="-20"/>
        </w:rPr>
        <w:t>、</w:t>
      </w:r>
      <w:r>
        <w:rPr>
          <w:rFonts w:ascii="Times New Roman" w:eastAsia="Times New Roman"/>
        </w:rPr>
        <w:t>603</w:t>
      </w:r>
      <w:r>
        <w:rPr/>
        <w:t>房间</w:t>
      </w:r>
      <w:r>
        <w:rPr>
          <w:spacing w:val="-3"/>
        </w:rPr>
        <w:t>办公地址：北京市朝阳区酒仙桥路</w:t>
      </w:r>
      <w:r>
        <w:rPr>
          <w:rFonts w:ascii="Times New Roman" w:eastAsia="Times New Roman"/>
          <w:spacing w:val="-3"/>
        </w:rPr>
        <w:t>6</w:t>
      </w:r>
      <w:r>
        <w:rPr>
          <w:spacing w:val="-3"/>
        </w:rPr>
        <w:t>号院国际电子城</w:t>
      </w:r>
      <w:r>
        <w:rPr>
          <w:rFonts w:ascii="Times New Roman" w:eastAsia="Times New Roman"/>
        </w:rPr>
        <w:t>b</w:t>
      </w:r>
      <w:r>
        <w:rPr/>
        <w:t>座</w:t>
      </w:r>
    </w:p>
    <w:p>
      <w:pPr>
        <w:pStyle w:val="BodyText"/>
        <w:spacing w:line="417" w:lineRule="auto"/>
        <w:ind w:left="680" w:right="6358"/>
        <w:rPr>
          <w:rFonts w:ascii="Times New Roman" w:eastAsia="Times New Roman"/>
        </w:rPr>
      </w:pPr>
      <w:r>
        <w:rPr/>
        <w:t>法定代表人：王旋 电话：</w:t>
      </w:r>
      <w:r>
        <w:rPr>
          <w:rFonts w:ascii="Times New Roman" w:eastAsia="Times New Roman"/>
        </w:rPr>
        <w:t>0371-85518396 </w:t>
      </w:r>
      <w:r>
        <w:rPr/>
        <w:t>传真：</w:t>
      </w:r>
      <w:r>
        <w:rPr>
          <w:rFonts w:ascii="Times New Roman" w:eastAsia="Times New Roman"/>
        </w:rPr>
        <w:t>0371-85518397</w:t>
      </w:r>
    </w:p>
    <w:p>
      <w:pPr>
        <w:pStyle w:val="BodyText"/>
        <w:ind w:left="680"/>
      </w:pPr>
      <w:r>
        <w:rPr/>
        <w:t>联系人：胡静华</w:t>
      </w:r>
    </w:p>
    <w:p>
      <w:pPr>
        <w:pStyle w:val="BodyText"/>
        <w:spacing w:before="7"/>
        <w:rPr>
          <w:sz w:val="15"/>
        </w:rPr>
      </w:pPr>
    </w:p>
    <w:p>
      <w:pPr>
        <w:pStyle w:val="BodyText"/>
        <w:ind w:left="680"/>
        <w:rPr>
          <w:rFonts w:ascii="Times New Roman" w:eastAsia="Times New Roman"/>
        </w:rPr>
      </w:pPr>
      <w:r>
        <w:rPr/>
        <w:t>网址：</w:t>
      </w:r>
      <w:hyperlink r:id="rId60">
        <w:r>
          <w:rPr>
            <w:rFonts w:ascii="Times New Roman" w:eastAsia="Times New Roman"/>
          </w:rPr>
          <w:t>www.hgccpb.com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4000-555-671</w:t>
      </w:r>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奕丰基金销售有限公司</w:t>
      </w:r>
    </w:p>
    <w:p>
      <w:pPr>
        <w:pStyle w:val="BodyText"/>
        <w:spacing w:before="6"/>
        <w:rPr>
          <w:sz w:val="15"/>
        </w:rPr>
      </w:pPr>
    </w:p>
    <w:p>
      <w:pPr>
        <w:pStyle w:val="BodyText"/>
        <w:spacing w:before="1"/>
        <w:ind w:left="680"/>
      </w:pPr>
      <w:r>
        <w:rPr/>
        <w:t>住所：深圳市前海深港合作区前湾一路</w:t>
      </w:r>
      <w:r>
        <w:rPr>
          <w:rFonts w:ascii="Times New Roman" w:eastAsia="Times New Roman"/>
        </w:rPr>
        <w:t>1</w:t>
      </w:r>
      <w:r>
        <w:rPr/>
        <w:t>号</w:t>
      </w:r>
      <w:r>
        <w:rPr>
          <w:rFonts w:ascii="Times New Roman" w:eastAsia="Times New Roman"/>
        </w:rPr>
        <w:t>A</w:t>
      </w:r>
      <w:r>
        <w:rPr/>
        <w:t>栋</w:t>
      </w:r>
      <w:r>
        <w:rPr>
          <w:rFonts w:ascii="Times New Roman" w:eastAsia="Times New Roman"/>
        </w:rPr>
        <w:t>201</w:t>
      </w:r>
      <w:r>
        <w:rPr/>
        <w:t>室</w:t>
      </w:r>
    </w:p>
    <w:p>
      <w:pPr>
        <w:pStyle w:val="BodyText"/>
        <w:spacing w:before="6"/>
        <w:rPr>
          <w:sz w:val="15"/>
        </w:rPr>
      </w:pPr>
    </w:p>
    <w:p>
      <w:pPr>
        <w:pStyle w:val="BodyText"/>
        <w:spacing w:line="417" w:lineRule="auto"/>
        <w:ind w:left="680" w:right="2558"/>
        <w:rPr>
          <w:rFonts w:ascii="Times New Roman" w:eastAsia="Times New Roman"/>
        </w:rPr>
      </w:pPr>
      <w:r>
        <w:rPr/>
        <w:t>办公地址：深圳市南山区海德三道航天科技广场</w:t>
      </w:r>
      <w:r>
        <w:rPr>
          <w:rFonts w:ascii="Times New Roman" w:eastAsia="Times New Roman"/>
        </w:rPr>
        <w:t>A</w:t>
      </w:r>
      <w:r>
        <w:rPr/>
        <w:t>座</w:t>
      </w:r>
      <w:r>
        <w:rPr>
          <w:rFonts w:ascii="Times New Roman" w:eastAsia="Times New Roman"/>
        </w:rPr>
        <w:t>17</w:t>
      </w:r>
      <w:r>
        <w:rPr/>
        <w:t>楼</w:t>
      </w:r>
      <w:r>
        <w:rPr>
          <w:rFonts w:ascii="Times New Roman" w:eastAsia="Times New Roman"/>
        </w:rPr>
        <w:t>1704</w:t>
      </w:r>
      <w:r>
        <w:rPr/>
        <w:t>室法定代表人：</w:t>
      </w:r>
      <w:r>
        <w:rPr>
          <w:rFonts w:ascii="Times New Roman" w:eastAsia="Times New Roman"/>
        </w:rPr>
        <w:t>TEO WEE HOWE</w:t>
      </w:r>
    </w:p>
    <w:p>
      <w:pPr>
        <w:pStyle w:val="BodyText"/>
        <w:spacing w:line="417" w:lineRule="auto"/>
        <w:ind w:left="680" w:right="642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ind w:left="680"/>
      </w:pPr>
      <w:r>
        <w:rPr/>
        <w:t>联系人：叶健</w:t>
      </w:r>
    </w:p>
    <w:p>
      <w:pPr>
        <w:pStyle w:val="BodyText"/>
        <w:spacing w:before="7"/>
        <w:rPr>
          <w:sz w:val="15"/>
        </w:rPr>
      </w:pPr>
    </w:p>
    <w:p>
      <w:pPr>
        <w:pStyle w:val="BodyText"/>
        <w:ind w:left="680"/>
        <w:rPr>
          <w:rFonts w:ascii="Times New Roman" w:eastAsia="Times New Roman"/>
        </w:rPr>
      </w:pPr>
      <w:r>
        <w:rPr/>
        <w:t>网址：</w:t>
      </w:r>
      <w:hyperlink r:id="rId61">
        <w:r>
          <w:rPr>
            <w:rFonts w:ascii="Times New Roman" w:eastAsia="Times New Roman"/>
          </w:rPr>
          <w:t>www.ifastps.com.cn</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400-684-0500</w:t>
      </w:r>
    </w:p>
    <w:p>
      <w:pPr>
        <w:pStyle w:val="BodyText"/>
        <w:spacing w:before="3"/>
        <w:rPr>
          <w:rFonts w:ascii="Times New Roman"/>
          <w:sz w:val="17"/>
        </w:rPr>
      </w:pPr>
    </w:p>
    <w:p>
      <w:pPr>
        <w:pStyle w:val="ListParagraph"/>
        <w:numPr>
          <w:ilvl w:val="0"/>
          <w:numId w:val="7"/>
        </w:numPr>
        <w:tabs>
          <w:tab w:pos="1315" w:val="left" w:leader="none"/>
        </w:tabs>
        <w:spacing w:line="417" w:lineRule="auto" w:before="0" w:after="0"/>
        <w:ind w:left="680" w:right="4389" w:firstLine="0"/>
        <w:jc w:val="left"/>
        <w:rPr>
          <w:sz w:val="21"/>
        </w:rPr>
      </w:pPr>
      <w:r>
        <w:rPr>
          <w:spacing w:val="-3"/>
          <w:sz w:val="21"/>
        </w:rPr>
        <w:t>中证金牛</w:t>
      </w:r>
      <w:r>
        <w:rPr>
          <w:sz w:val="21"/>
        </w:rPr>
        <w:t>（</w:t>
      </w:r>
      <w:r>
        <w:rPr>
          <w:spacing w:val="-2"/>
          <w:sz w:val="21"/>
        </w:rPr>
        <w:t>北京</w:t>
      </w:r>
      <w:r>
        <w:rPr>
          <w:spacing w:val="-3"/>
          <w:sz w:val="21"/>
        </w:rPr>
        <w:t>）</w:t>
      </w:r>
      <w:r>
        <w:rPr>
          <w:spacing w:val="-5"/>
          <w:sz w:val="21"/>
        </w:rPr>
        <w:t>投资咨询有限公司</w:t>
      </w:r>
      <w:r>
        <w:rPr>
          <w:spacing w:val="-3"/>
          <w:sz w:val="21"/>
        </w:rPr>
        <w:t>住所：北京市丰台区东管头</w:t>
      </w:r>
      <w:r>
        <w:rPr>
          <w:rFonts w:ascii="Times New Roman" w:eastAsia="Times New Roman"/>
          <w:sz w:val="21"/>
        </w:rPr>
        <w:t>1</w:t>
      </w:r>
      <w:r>
        <w:rPr>
          <w:sz w:val="21"/>
        </w:rPr>
        <w:t>号</w:t>
      </w:r>
      <w:r>
        <w:rPr>
          <w:rFonts w:ascii="Times New Roman" w:eastAsia="Times New Roman"/>
          <w:spacing w:val="-3"/>
          <w:sz w:val="21"/>
        </w:rPr>
        <w:t>2</w:t>
      </w:r>
      <w:r>
        <w:rPr>
          <w:spacing w:val="-2"/>
          <w:sz w:val="21"/>
        </w:rPr>
        <w:t>号楼</w:t>
      </w:r>
      <w:r>
        <w:rPr>
          <w:rFonts w:ascii="Times New Roman" w:eastAsia="Times New Roman"/>
          <w:sz w:val="21"/>
        </w:rPr>
        <w:t>2-45</w:t>
      </w:r>
      <w:r>
        <w:rPr>
          <w:sz w:val="21"/>
        </w:rPr>
        <w:t>室</w:t>
      </w:r>
    </w:p>
    <w:p>
      <w:pPr>
        <w:pStyle w:val="BodyText"/>
        <w:spacing w:line="417" w:lineRule="auto"/>
        <w:ind w:left="680" w:right="2452"/>
      </w:pPr>
      <w:r>
        <w:rPr/>
        <w:t>办公地址：北京市宣武门外大街甲一号新华社第三工作区</w:t>
      </w:r>
      <w:r>
        <w:rPr>
          <w:rFonts w:ascii="Times New Roman" w:eastAsia="Times New Roman"/>
        </w:rPr>
        <w:t>A</w:t>
      </w:r>
      <w:r>
        <w:rPr/>
        <w:t>座</w:t>
      </w:r>
      <w:r>
        <w:rPr>
          <w:rFonts w:ascii="Times New Roman" w:eastAsia="Times New Roman"/>
        </w:rPr>
        <w:t>5</w:t>
      </w:r>
      <w:r>
        <w:rPr/>
        <w:t>层法定代表人：钱昊旻</w:t>
      </w:r>
    </w:p>
    <w:p>
      <w:pPr>
        <w:pStyle w:val="BodyText"/>
        <w:spacing w:line="417" w:lineRule="auto"/>
        <w:ind w:left="680" w:right="652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680"/>
      </w:pPr>
      <w:r>
        <w:rPr/>
        <w:t>联系人：孙雯</w:t>
      </w:r>
    </w:p>
    <w:p>
      <w:pPr>
        <w:pStyle w:val="BodyText"/>
        <w:spacing w:before="6"/>
        <w:rPr>
          <w:sz w:val="15"/>
        </w:rPr>
      </w:pPr>
    </w:p>
    <w:p>
      <w:pPr>
        <w:pStyle w:val="BodyText"/>
        <w:spacing w:before="1"/>
        <w:ind w:left="680"/>
        <w:rPr>
          <w:rFonts w:ascii="Times New Roman" w:eastAsia="Times New Roman"/>
        </w:rPr>
      </w:pPr>
      <w:r>
        <w:rPr/>
        <w:t>网址：</w:t>
      </w:r>
      <w:hyperlink r:id="rId62">
        <w:r>
          <w:rPr>
            <w:rFonts w:ascii="Times New Roman" w:eastAsia="Times New Roman"/>
          </w:rPr>
          <w:t>www.jnlc.com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4008-909-998</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京东肯特瑞基金销售有限公司</w:t>
      </w:r>
    </w:p>
    <w:p>
      <w:pPr>
        <w:spacing w:after="0" w:line="240" w:lineRule="auto"/>
        <w:jc w:val="left"/>
        <w:rPr>
          <w:sz w:val="21"/>
        </w:rPr>
        <w:sectPr>
          <w:pgSz w:w="11910" w:h="16840"/>
          <w:pgMar w:header="877" w:footer="995" w:top="1420" w:bottom="1180" w:left="1540" w:right="1300"/>
        </w:sectPr>
      </w:pPr>
    </w:p>
    <w:p>
      <w:pPr>
        <w:pStyle w:val="BodyText"/>
        <w:spacing w:before="110"/>
        <w:ind w:left="680"/>
        <w:rPr>
          <w:rFonts w:ascii="Times New Roman" w:eastAsia="Times New Roman"/>
        </w:rPr>
      </w:pPr>
      <w:r>
        <w:rPr/>
        <w:t>住所：北京市海淀区显龙山路</w:t>
      </w:r>
      <w:r>
        <w:rPr>
          <w:rFonts w:ascii="Times New Roman" w:eastAsia="Times New Roman"/>
        </w:rPr>
        <w:t>19</w:t>
      </w:r>
      <w:r>
        <w:rPr/>
        <w:t>号</w:t>
      </w:r>
      <w:r>
        <w:rPr>
          <w:rFonts w:ascii="Times New Roman" w:eastAsia="Times New Roman"/>
        </w:rPr>
        <w:t>1</w:t>
      </w:r>
      <w:r>
        <w:rPr/>
        <w:t>幢</w:t>
      </w:r>
      <w:r>
        <w:rPr>
          <w:rFonts w:ascii="Times New Roman" w:eastAsia="Times New Roman"/>
        </w:rPr>
        <w:t>4</w:t>
      </w:r>
      <w:r>
        <w:rPr/>
        <w:t>层</w:t>
      </w:r>
      <w:r>
        <w:rPr>
          <w:rFonts w:ascii="Times New Roman" w:eastAsia="Times New Roman"/>
        </w:rPr>
        <w:t>1</w:t>
      </w:r>
      <w:r>
        <w:rPr/>
        <w:t>座</w:t>
      </w:r>
      <w:r>
        <w:rPr>
          <w:rFonts w:ascii="Times New Roman" w:eastAsia="Times New Roman"/>
        </w:rPr>
        <w:t>401</w:t>
      </w:r>
    </w:p>
    <w:p>
      <w:pPr>
        <w:pStyle w:val="BodyText"/>
        <w:spacing w:before="3"/>
        <w:rPr>
          <w:rFonts w:ascii="Times New Roman"/>
          <w:sz w:val="17"/>
        </w:rPr>
      </w:pPr>
    </w:p>
    <w:p>
      <w:pPr>
        <w:pStyle w:val="BodyText"/>
        <w:spacing w:line="417" w:lineRule="auto"/>
        <w:ind w:left="680" w:right="1446"/>
      </w:pPr>
      <w:r>
        <w:rPr/>
        <w:t>办公地址：北京市大兴区亦庄经济开发区科创十一街十八号院京东集团总部法定代表人：江卉</w:t>
      </w:r>
    </w:p>
    <w:p>
      <w:pPr>
        <w:pStyle w:val="BodyText"/>
        <w:spacing w:line="417" w:lineRule="auto"/>
        <w:ind w:left="680" w:right="652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680"/>
      </w:pPr>
      <w:r>
        <w:rPr/>
        <w:t>联系人：黄立影</w:t>
      </w:r>
    </w:p>
    <w:p>
      <w:pPr>
        <w:pStyle w:val="BodyText"/>
        <w:spacing w:before="6"/>
        <w:rPr>
          <w:sz w:val="15"/>
        </w:rPr>
      </w:pPr>
    </w:p>
    <w:p>
      <w:pPr>
        <w:pStyle w:val="BodyText"/>
        <w:spacing w:before="1"/>
        <w:ind w:left="680"/>
        <w:rPr>
          <w:rFonts w:ascii="Times New Roman" w:eastAsia="Times New Roman"/>
        </w:rPr>
      </w:pPr>
      <w:r>
        <w:rPr/>
        <w:t>网址：</w:t>
      </w:r>
      <w:hyperlink r:id="rId63">
        <w:r>
          <w:rPr>
            <w:rFonts w:ascii="Times New Roman" w:eastAsia="Times New Roman"/>
          </w:rPr>
          <w:t>http://fund.jd.com/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大连网金基金销售有限公司</w:t>
      </w:r>
    </w:p>
    <w:p>
      <w:pPr>
        <w:pStyle w:val="BodyText"/>
        <w:spacing w:before="7"/>
        <w:rPr>
          <w:sz w:val="15"/>
        </w:rPr>
      </w:pPr>
    </w:p>
    <w:p>
      <w:pPr>
        <w:pStyle w:val="BodyText"/>
        <w:ind w:left="680"/>
        <w:rPr>
          <w:rFonts w:ascii="Times New Roman" w:eastAsia="Times New Roman"/>
        </w:rPr>
      </w:pPr>
      <w:r>
        <w:rPr/>
        <w:t>住所：中国大连市沙河口区体坛路</w:t>
      </w:r>
      <w:r>
        <w:rPr>
          <w:rFonts w:ascii="Times New Roman" w:eastAsia="Times New Roman"/>
        </w:rPr>
        <w:t>22</w:t>
      </w:r>
      <w:r>
        <w:rPr/>
        <w:t>号诺德大厦</w:t>
      </w:r>
      <w:r>
        <w:rPr>
          <w:rFonts w:ascii="Times New Roman" w:eastAsia="Times New Roman"/>
        </w:rPr>
        <w:t>202</w:t>
      </w:r>
    </w:p>
    <w:p>
      <w:pPr>
        <w:pStyle w:val="BodyText"/>
        <w:spacing w:before="3"/>
        <w:rPr>
          <w:rFonts w:ascii="Times New Roman"/>
          <w:sz w:val="17"/>
        </w:rPr>
      </w:pPr>
    </w:p>
    <w:p>
      <w:pPr>
        <w:pStyle w:val="BodyText"/>
        <w:spacing w:line="417" w:lineRule="auto"/>
        <w:ind w:left="680" w:right="3232"/>
      </w:pPr>
      <w:r>
        <w:rPr/>
        <w:t>办公地址：中国大连市沙河口区体坛路</w:t>
      </w:r>
      <w:r>
        <w:rPr>
          <w:rFonts w:ascii="Times New Roman" w:eastAsia="Times New Roman"/>
        </w:rPr>
        <w:t>22</w:t>
      </w:r>
      <w:r>
        <w:rPr/>
        <w:t>号诺德大厦</w:t>
      </w:r>
      <w:r>
        <w:rPr>
          <w:rFonts w:ascii="Times New Roman" w:eastAsia="Times New Roman"/>
        </w:rPr>
        <w:t>202 </w:t>
      </w:r>
      <w:r>
        <w:rPr/>
        <w:t>法定代表人：樊怀东</w:t>
      </w:r>
    </w:p>
    <w:p>
      <w:pPr>
        <w:pStyle w:val="BodyText"/>
        <w:spacing w:line="417" w:lineRule="auto"/>
        <w:ind w:left="680" w:right="6430"/>
        <w:rPr>
          <w:rFonts w:ascii="Times New Roman" w:eastAsia="Times New Roman"/>
        </w:rPr>
      </w:pPr>
      <w:r>
        <w:rPr/>
        <w:t>电话：</w:t>
      </w:r>
      <w:r>
        <w:rPr>
          <w:rFonts w:ascii="Times New Roman" w:eastAsia="Times New Roman"/>
        </w:rPr>
        <w:t>13522300698 </w:t>
      </w:r>
      <w:r>
        <w:rPr/>
        <w:t>传真：</w:t>
      </w:r>
      <w:r>
        <w:rPr>
          <w:rFonts w:ascii="Times New Roman" w:eastAsia="Times New Roman"/>
        </w:rPr>
        <w:t>0411-39027835</w:t>
      </w:r>
    </w:p>
    <w:p>
      <w:pPr>
        <w:pStyle w:val="BodyText"/>
        <w:ind w:left="680"/>
      </w:pPr>
      <w:r>
        <w:rPr/>
        <w:t>联系人：王清臣</w:t>
      </w:r>
    </w:p>
    <w:p>
      <w:pPr>
        <w:pStyle w:val="BodyText"/>
        <w:spacing w:before="7"/>
        <w:rPr>
          <w:sz w:val="15"/>
        </w:rPr>
      </w:pPr>
    </w:p>
    <w:p>
      <w:pPr>
        <w:pStyle w:val="BodyText"/>
        <w:spacing w:line="417" w:lineRule="auto"/>
        <w:ind w:left="680" w:right="5601"/>
        <w:rPr>
          <w:rFonts w:ascii="Times New Roman" w:eastAsia="Times New Roman"/>
        </w:rPr>
      </w:pPr>
      <w:r>
        <w:rPr/>
        <w:t>网址：</w:t>
      </w:r>
      <w:hyperlink r:id="rId64">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7"/>
        </w:numPr>
        <w:tabs>
          <w:tab w:pos="1315" w:val="left" w:leader="none"/>
        </w:tabs>
        <w:spacing w:line="417" w:lineRule="auto" w:before="0" w:after="0"/>
        <w:ind w:left="680" w:right="4178" w:firstLine="0"/>
        <w:jc w:val="left"/>
        <w:rPr>
          <w:sz w:val="21"/>
        </w:rPr>
      </w:pPr>
      <w:r>
        <w:rPr>
          <w:spacing w:val="-3"/>
          <w:sz w:val="21"/>
        </w:rPr>
        <w:t>中民财富基金销售</w:t>
      </w:r>
      <w:r>
        <w:rPr>
          <w:sz w:val="21"/>
        </w:rPr>
        <w:t>（</w:t>
      </w:r>
      <w:r>
        <w:rPr>
          <w:spacing w:val="-2"/>
          <w:sz w:val="21"/>
        </w:rPr>
        <w:t>上海</w:t>
      </w:r>
      <w:r>
        <w:rPr>
          <w:sz w:val="21"/>
        </w:rPr>
        <w:t>）</w:t>
      </w:r>
      <w:r>
        <w:rPr>
          <w:spacing w:val="-3"/>
          <w:sz w:val="21"/>
        </w:rPr>
        <w:t>有限公司 住所：上海市黄浦区中山南路</w:t>
      </w:r>
      <w:r>
        <w:rPr>
          <w:rFonts w:ascii="Times New Roman" w:eastAsia="Times New Roman"/>
          <w:sz w:val="21"/>
        </w:rPr>
        <w:t>100</w:t>
      </w:r>
      <w:r>
        <w:rPr>
          <w:sz w:val="21"/>
        </w:rPr>
        <w:t>号</w:t>
      </w:r>
      <w:r>
        <w:rPr>
          <w:rFonts w:ascii="Times New Roman" w:eastAsia="Times New Roman"/>
          <w:spacing w:val="-3"/>
          <w:sz w:val="21"/>
        </w:rPr>
        <w:t>7</w:t>
      </w:r>
      <w:r>
        <w:rPr>
          <w:sz w:val="21"/>
        </w:rPr>
        <w:t>层</w:t>
      </w:r>
      <w:r>
        <w:rPr>
          <w:rFonts w:ascii="Times New Roman" w:eastAsia="Times New Roman"/>
          <w:sz w:val="21"/>
        </w:rPr>
        <w:t>05</w:t>
      </w:r>
      <w:r>
        <w:rPr>
          <w:spacing w:val="-6"/>
          <w:sz w:val="21"/>
        </w:rPr>
        <w:t>单元</w:t>
      </w:r>
    </w:p>
    <w:p>
      <w:pPr>
        <w:pStyle w:val="BodyText"/>
        <w:spacing w:line="417" w:lineRule="auto"/>
        <w:ind w:left="680" w:right="2193"/>
      </w:pPr>
      <w:r>
        <w:rPr/>
        <w:t>办公地址：上海市浦东新区民生路</w:t>
      </w:r>
      <w:r>
        <w:rPr>
          <w:rFonts w:ascii="Times New Roman" w:eastAsia="Times New Roman"/>
        </w:rPr>
        <w:t>1199</w:t>
      </w:r>
      <w:r>
        <w:rPr/>
        <w:t>弄证大五道口广场</w:t>
      </w:r>
      <w:r>
        <w:rPr>
          <w:rFonts w:ascii="Times New Roman" w:eastAsia="Times New Roman"/>
        </w:rPr>
        <w:t>1</w:t>
      </w:r>
      <w:r>
        <w:rPr/>
        <w:t>号楼</w:t>
      </w:r>
      <w:r>
        <w:rPr>
          <w:rFonts w:ascii="Times New Roman" w:eastAsia="Times New Roman"/>
        </w:rPr>
        <w:t>27</w:t>
      </w:r>
      <w:r>
        <w:rPr/>
        <w:t>层法定代表人：弭洪军</w:t>
      </w:r>
    </w:p>
    <w:p>
      <w:pPr>
        <w:pStyle w:val="BodyText"/>
        <w:spacing w:line="417" w:lineRule="auto"/>
        <w:ind w:left="680" w:right="6526"/>
        <w:rPr>
          <w:rFonts w:ascii="Times New Roman" w:eastAsia="Times New Roman"/>
        </w:rPr>
      </w:pPr>
      <w:r>
        <w:rPr/>
        <w:t>电话：</w:t>
      </w:r>
      <w:r>
        <w:rPr>
          <w:rFonts w:ascii="Times New Roman" w:eastAsia="Times New Roman"/>
        </w:rPr>
        <w:t>021-33357030 </w:t>
      </w:r>
      <w:r>
        <w:rPr/>
        <w:t>传真：</w:t>
      </w:r>
      <w:r>
        <w:rPr>
          <w:rFonts w:ascii="Times New Roman" w:eastAsia="Times New Roman"/>
        </w:rPr>
        <w:t>021-63353736</w:t>
      </w:r>
    </w:p>
    <w:p>
      <w:pPr>
        <w:pStyle w:val="BodyText"/>
        <w:spacing w:line="269" w:lineRule="exact"/>
        <w:ind w:left="680"/>
      </w:pPr>
      <w:r>
        <w:rPr/>
        <w:t>联系人：李娜</w:t>
      </w:r>
    </w:p>
    <w:p>
      <w:pPr>
        <w:pStyle w:val="BodyText"/>
        <w:spacing w:before="6"/>
        <w:rPr>
          <w:sz w:val="15"/>
        </w:rPr>
      </w:pPr>
    </w:p>
    <w:p>
      <w:pPr>
        <w:pStyle w:val="BodyText"/>
        <w:ind w:left="680"/>
        <w:rPr>
          <w:rFonts w:ascii="Times New Roman" w:eastAsia="Times New Roman"/>
        </w:rPr>
      </w:pPr>
      <w:r>
        <w:rPr/>
        <w:t>网址：</w:t>
      </w:r>
      <w:hyperlink r:id="rId65">
        <w:r>
          <w:rPr>
            <w:rFonts w:ascii="Times New Roman" w:eastAsia="Times New Roman"/>
          </w:rPr>
          <w:t>www.cmiwm.com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400-876-5716</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深圳市金斧子基金销售有限公司</w:t>
      </w:r>
    </w:p>
    <w:p>
      <w:pPr>
        <w:pStyle w:val="BodyText"/>
        <w:spacing w:before="7"/>
        <w:rPr>
          <w:sz w:val="15"/>
        </w:rPr>
      </w:pPr>
    </w:p>
    <w:p>
      <w:pPr>
        <w:pStyle w:val="BodyText"/>
        <w:ind w:left="680"/>
        <w:rPr>
          <w:rFonts w:ascii="Times New Roman" w:eastAsia="Times New Roman"/>
        </w:rPr>
      </w:pPr>
      <w:r>
        <w:rPr/>
        <w:t>住所：深圳市南山区粤海街道科技园中区科苑路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r>
        <w:rPr>
          <w:rFonts w:ascii="Times New Roman" w:eastAsia="Times New Roman"/>
        </w:rPr>
        <w:t>1108</w:t>
      </w:r>
    </w:p>
    <w:p>
      <w:pPr>
        <w:pStyle w:val="BodyText"/>
        <w:spacing w:before="6"/>
        <w:rPr>
          <w:rFonts w:ascii="Times New Roman"/>
          <w:sz w:val="10"/>
        </w:rPr>
      </w:pPr>
    </w:p>
    <w:p>
      <w:pPr>
        <w:pStyle w:val="BodyText"/>
        <w:spacing w:before="78"/>
        <w:ind w:left="680"/>
      </w:pPr>
      <w:r>
        <w:rPr/>
        <w:t>办公地址：深圳市南山区粤海街道科技园中区科苑路</w:t>
      </w:r>
      <w:r>
        <w:rPr>
          <w:rFonts w:ascii="Times New Roman" w:eastAsia="Times New Roman"/>
        </w:rPr>
        <w:t>15</w:t>
      </w:r>
      <w:r>
        <w:rPr/>
        <w:t>号科兴科学园</w:t>
      </w:r>
      <w:r>
        <w:rPr>
          <w:rFonts w:ascii="Times New Roman" w:eastAsia="Times New Roman"/>
        </w:rPr>
        <w:t>B</w:t>
      </w:r>
      <w:r>
        <w:rPr/>
        <w:t>栋</w:t>
      </w:r>
      <w:r>
        <w:rPr>
          <w:rFonts w:ascii="Times New Roman" w:eastAsia="Times New Roman"/>
        </w:rPr>
        <w:t>3</w:t>
      </w:r>
      <w:r>
        <w:rPr/>
        <w:t>单元</w:t>
      </w:r>
      <w:r>
        <w:rPr>
          <w:rFonts w:ascii="Times New Roman" w:eastAsia="Times New Roman"/>
        </w:rPr>
        <w:t>11</w:t>
      </w:r>
      <w:r>
        <w:rPr/>
        <w:t>层</w:t>
      </w:r>
    </w:p>
    <w:p>
      <w:pPr>
        <w:pStyle w:val="BodyText"/>
        <w:spacing w:before="5"/>
        <w:rPr>
          <w:sz w:val="16"/>
        </w:rPr>
      </w:pPr>
    </w:p>
    <w:p>
      <w:pPr>
        <w:pStyle w:val="BodyText"/>
        <w:spacing w:before="1"/>
        <w:ind w:left="260"/>
        <w:rPr>
          <w:rFonts w:ascii="Times New Roman"/>
        </w:rPr>
      </w:pPr>
      <w:r>
        <w:rPr>
          <w:rFonts w:ascii="Times New Roman"/>
        </w:rPr>
        <w:t>1108</w:t>
      </w:r>
    </w:p>
    <w:p>
      <w:pPr>
        <w:spacing w:after="0"/>
        <w:rPr>
          <w:rFonts w:ascii="Times New Roman"/>
        </w:rPr>
        <w:sectPr>
          <w:pgSz w:w="11910" w:h="16840"/>
          <w:pgMar w:header="877" w:footer="995" w:top="1420" w:bottom="1180" w:left="1540" w:right="1300"/>
        </w:sectPr>
      </w:pPr>
    </w:p>
    <w:p>
      <w:pPr>
        <w:pStyle w:val="BodyText"/>
        <w:spacing w:line="417" w:lineRule="auto" w:before="110"/>
        <w:ind w:left="680" w:right="642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line="269" w:lineRule="exact"/>
        <w:ind w:left="680"/>
      </w:pPr>
      <w:r>
        <w:rPr/>
        <w:t>联系人：陈丽霞</w:t>
      </w:r>
    </w:p>
    <w:p>
      <w:pPr>
        <w:pStyle w:val="BodyText"/>
        <w:spacing w:before="6"/>
        <w:rPr>
          <w:sz w:val="15"/>
        </w:rPr>
      </w:pPr>
    </w:p>
    <w:p>
      <w:pPr>
        <w:pStyle w:val="BodyText"/>
        <w:ind w:left="680"/>
        <w:rPr>
          <w:rFonts w:ascii="Times New Roman" w:eastAsia="Times New Roman"/>
        </w:rPr>
      </w:pPr>
      <w:r>
        <w:rPr/>
        <w:t>网址：</w:t>
      </w:r>
      <w:hyperlink r:id="rId66">
        <w:r>
          <w:rPr>
            <w:rFonts w:ascii="Times New Roman" w:eastAsia="Times New Roman"/>
          </w:rPr>
          <w:t>www.jfzinv.com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北京蛋卷基金销售有限公司</w:t>
      </w:r>
    </w:p>
    <w:p>
      <w:pPr>
        <w:pStyle w:val="BodyText"/>
        <w:spacing w:before="8"/>
        <w:rPr>
          <w:sz w:val="15"/>
        </w:rPr>
      </w:pPr>
    </w:p>
    <w:p>
      <w:pPr>
        <w:pStyle w:val="BodyText"/>
        <w:ind w:left="680"/>
        <w:rPr>
          <w:rFonts w:ascii="Times New Roman" w:eastAsia="Times New Roman"/>
        </w:rPr>
      </w:pPr>
      <w:r>
        <w:rPr/>
        <w:t>住所：北京市朝阳区阜通东大街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w:t>
      </w:r>
    </w:p>
    <w:p>
      <w:pPr>
        <w:pStyle w:val="BodyText"/>
        <w:spacing w:before="3"/>
        <w:rPr>
          <w:rFonts w:ascii="Times New Roman"/>
          <w:sz w:val="17"/>
        </w:rPr>
      </w:pPr>
    </w:p>
    <w:p>
      <w:pPr>
        <w:pStyle w:val="BodyText"/>
        <w:spacing w:line="417" w:lineRule="auto"/>
        <w:ind w:left="680" w:right="2394"/>
      </w:pPr>
      <w:r>
        <w:rPr/>
        <w:t>办公地址：北京市朝阳区阜通东大街</w:t>
      </w:r>
      <w:r>
        <w:rPr>
          <w:rFonts w:ascii="Times New Roman" w:eastAsia="Times New Roman"/>
        </w:rPr>
        <w:t>1</w:t>
      </w:r>
      <w:r>
        <w:rPr/>
        <w:t>号院</w:t>
      </w:r>
      <w:r>
        <w:rPr>
          <w:rFonts w:ascii="Times New Roman" w:eastAsia="Times New Roman"/>
        </w:rPr>
        <w:t>6</w:t>
      </w:r>
      <w:r>
        <w:rPr/>
        <w:t>号楼</w:t>
      </w:r>
      <w:r>
        <w:rPr>
          <w:rFonts w:ascii="Times New Roman" w:eastAsia="Times New Roman"/>
        </w:rPr>
        <w:t>2</w:t>
      </w:r>
      <w:r>
        <w:rPr/>
        <w:t>单元</w:t>
      </w:r>
      <w:r>
        <w:rPr>
          <w:rFonts w:ascii="Times New Roman" w:eastAsia="Times New Roman"/>
        </w:rPr>
        <w:t>21</w:t>
      </w:r>
      <w:r>
        <w:rPr/>
        <w:t>层</w:t>
      </w:r>
      <w:r>
        <w:rPr>
          <w:rFonts w:ascii="Times New Roman" w:eastAsia="Times New Roman"/>
        </w:rPr>
        <w:t>222507 </w:t>
      </w:r>
      <w:r>
        <w:rPr/>
        <w:t>法定代表人：钟斐斐</w:t>
      </w:r>
    </w:p>
    <w:p>
      <w:pPr>
        <w:pStyle w:val="BodyText"/>
        <w:spacing w:line="417" w:lineRule="auto"/>
        <w:ind w:left="680" w:right="6526"/>
        <w:rPr>
          <w:rFonts w:ascii="Times New Roman" w:eastAsia="Times New Roman"/>
        </w:rPr>
      </w:pPr>
      <w:r>
        <w:rPr/>
        <w:t>电话：</w:t>
      </w:r>
      <w:r>
        <w:rPr>
          <w:rFonts w:ascii="Times New Roman" w:eastAsia="Times New Roman"/>
        </w:rPr>
        <w:t>010-61840688 </w:t>
      </w:r>
      <w:r>
        <w:rPr/>
        <w:t>传真：</w:t>
      </w:r>
      <w:r>
        <w:rPr>
          <w:rFonts w:ascii="Times New Roman" w:eastAsia="Times New Roman"/>
        </w:rPr>
        <w:t>010-61840699</w:t>
      </w:r>
    </w:p>
    <w:p>
      <w:pPr>
        <w:pStyle w:val="BodyText"/>
        <w:spacing w:line="269" w:lineRule="exact"/>
        <w:ind w:left="680"/>
      </w:pPr>
      <w:r>
        <w:rPr/>
        <w:t>联系人：袁永姣</w:t>
      </w:r>
    </w:p>
    <w:p>
      <w:pPr>
        <w:pStyle w:val="BodyText"/>
        <w:spacing w:before="6"/>
        <w:rPr>
          <w:sz w:val="15"/>
        </w:rPr>
      </w:pPr>
    </w:p>
    <w:p>
      <w:pPr>
        <w:pStyle w:val="BodyText"/>
        <w:spacing w:line="417" w:lineRule="auto" w:before="1"/>
        <w:ind w:left="680" w:right="572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天津万家财富资产管理有限公司</w:t>
      </w:r>
    </w:p>
    <w:p>
      <w:pPr>
        <w:pStyle w:val="BodyText"/>
        <w:spacing w:before="6"/>
        <w:rPr>
          <w:sz w:val="15"/>
        </w:rPr>
      </w:pPr>
    </w:p>
    <w:p>
      <w:pPr>
        <w:pStyle w:val="BodyText"/>
        <w:spacing w:line="417" w:lineRule="auto"/>
        <w:ind w:left="680" w:right="1273"/>
      </w:pPr>
      <w:r>
        <w:rPr/>
        <w:t>住所：天津自贸区（中心商务区）迎宾大道</w:t>
      </w:r>
      <w:r>
        <w:rPr>
          <w:rFonts w:ascii="Times New Roman" w:eastAsia="Times New Roman"/>
        </w:rPr>
        <w:t>1988</w:t>
      </w:r>
      <w:r>
        <w:rPr/>
        <w:t>号滨海浙商大厦公寓</w:t>
      </w:r>
      <w:r>
        <w:rPr>
          <w:rFonts w:ascii="Times New Roman" w:eastAsia="Times New Roman"/>
        </w:rPr>
        <w:t>2-2413</w:t>
      </w:r>
      <w:r>
        <w:rPr/>
        <w:t>室办公地址：北京市西城区丰盛胡同</w:t>
      </w:r>
      <w:r>
        <w:rPr>
          <w:rFonts w:ascii="Times New Roman" w:eastAsia="Times New Roman"/>
        </w:rPr>
        <w:t>28</w:t>
      </w:r>
      <w:r>
        <w:rPr/>
        <w:t>号太平洋保险大厦</w:t>
      </w:r>
      <w:r>
        <w:rPr>
          <w:rFonts w:ascii="Times New Roman" w:eastAsia="Times New Roman"/>
        </w:rPr>
        <w:t>5</w:t>
      </w:r>
      <w:r>
        <w:rPr/>
        <w:t>层</w:t>
      </w:r>
    </w:p>
    <w:p>
      <w:pPr>
        <w:pStyle w:val="BodyText"/>
        <w:spacing w:line="417" w:lineRule="auto"/>
        <w:ind w:left="680" w:right="6490"/>
        <w:rPr>
          <w:rFonts w:ascii="Times New Roman" w:eastAsia="Times New Roman"/>
        </w:rPr>
      </w:pPr>
      <w:r>
        <w:rPr/>
        <w:t>法定代表人：李修辞电话：</w:t>
      </w:r>
      <w:r>
        <w:rPr>
          <w:rFonts w:ascii="Times New Roman" w:eastAsia="Times New Roman"/>
        </w:rPr>
        <w:t>18511290872 </w:t>
      </w:r>
      <w:r>
        <w:rPr/>
        <w:t>传真：</w:t>
      </w:r>
      <w:r>
        <w:rPr>
          <w:rFonts w:ascii="Times New Roman" w:eastAsia="Times New Roman"/>
        </w:rPr>
        <w:t>010-59013828</w:t>
      </w:r>
    </w:p>
    <w:p>
      <w:pPr>
        <w:pStyle w:val="BodyText"/>
        <w:ind w:left="680"/>
      </w:pPr>
      <w:r>
        <w:rPr/>
        <w:t>联系人：邵玉磊</w:t>
      </w:r>
    </w:p>
    <w:p>
      <w:pPr>
        <w:pStyle w:val="BodyText"/>
        <w:spacing w:before="7"/>
        <w:rPr>
          <w:sz w:val="15"/>
        </w:rPr>
      </w:pPr>
    </w:p>
    <w:p>
      <w:pPr>
        <w:pStyle w:val="BodyText"/>
        <w:spacing w:line="417" w:lineRule="auto"/>
        <w:ind w:left="680" w:right="5685"/>
        <w:rPr>
          <w:rFonts w:ascii="Times New Roman" w:eastAsia="Times New Roman"/>
        </w:rPr>
      </w:pPr>
      <w:r>
        <w:rPr/>
        <w:t>网址：</w:t>
      </w:r>
      <w:hyperlink r:id="rId67">
        <w:r>
          <w:rPr>
            <w:rFonts w:ascii="Times New Roman" w:eastAsia="Times New Roman"/>
          </w:rPr>
          <w:t>www.wanjiawealth.com </w:t>
        </w:r>
      </w:hyperlink>
      <w:r>
        <w:rPr/>
        <w:t>客户服务电话：</w:t>
      </w:r>
      <w:r>
        <w:rPr>
          <w:rFonts w:ascii="Times New Roman" w:eastAsia="Times New Roman"/>
        </w:rPr>
        <w:t>010-59013842</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上海华夏财富投资管理有限公司</w:t>
      </w:r>
    </w:p>
    <w:p>
      <w:pPr>
        <w:pStyle w:val="BodyText"/>
        <w:spacing w:before="6"/>
        <w:rPr>
          <w:sz w:val="15"/>
        </w:rPr>
      </w:pPr>
    </w:p>
    <w:p>
      <w:pPr>
        <w:pStyle w:val="BodyText"/>
        <w:spacing w:before="1"/>
        <w:ind w:left="680"/>
      </w:pPr>
      <w:r>
        <w:rPr/>
        <w:t>住所：上海市虹口区东大名路</w:t>
      </w:r>
      <w:r>
        <w:rPr>
          <w:rFonts w:ascii="Times New Roman" w:eastAsia="Times New Roman"/>
        </w:rPr>
        <w:t>687</w:t>
      </w:r>
      <w:r>
        <w:rPr/>
        <w:t>号一幢二楼</w:t>
      </w:r>
      <w:r>
        <w:rPr>
          <w:rFonts w:ascii="Times New Roman" w:eastAsia="Times New Roman"/>
        </w:rPr>
        <w:t>268</w:t>
      </w:r>
      <w:r>
        <w:rPr/>
        <w:t>室</w:t>
      </w:r>
    </w:p>
    <w:p>
      <w:pPr>
        <w:pStyle w:val="BodyText"/>
        <w:spacing w:before="6"/>
        <w:rPr>
          <w:sz w:val="15"/>
        </w:rPr>
      </w:pPr>
    </w:p>
    <w:p>
      <w:pPr>
        <w:pStyle w:val="BodyText"/>
        <w:spacing w:line="417" w:lineRule="auto"/>
        <w:ind w:left="680" w:right="3304"/>
      </w:pPr>
      <w:r>
        <w:rPr/>
        <w:t>办公地址：北京市西城区金融大街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8</w:t>
      </w:r>
      <w:r>
        <w:rPr/>
        <w:t>层法定代表人：毛淮平</w:t>
      </w:r>
    </w:p>
    <w:p>
      <w:pPr>
        <w:pStyle w:val="BodyText"/>
        <w:spacing w:line="417" w:lineRule="auto"/>
        <w:ind w:left="680" w:right="652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spacing w:after="0" w:line="417" w:lineRule="auto"/>
        <w:rPr>
          <w:rFonts w:ascii="Times New Roman" w:eastAsia="Times New Roman"/>
        </w:rPr>
        <w:sectPr>
          <w:pgSz w:w="11910" w:h="16840"/>
          <w:pgMar w:header="877" w:footer="995" w:top="1420" w:bottom="1180" w:left="1540" w:right="1300"/>
        </w:sectPr>
      </w:pPr>
    </w:p>
    <w:p>
      <w:pPr>
        <w:pStyle w:val="BodyText"/>
        <w:spacing w:before="110"/>
        <w:ind w:left="680"/>
      </w:pPr>
      <w:r>
        <w:rPr/>
        <w:t>联系人：张静怡</w:t>
      </w:r>
    </w:p>
    <w:p>
      <w:pPr>
        <w:pStyle w:val="BodyText"/>
        <w:spacing w:before="6"/>
        <w:rPr>
          <w:sz w:val="15"/>
        </w:rPr>
      </w:pPr>
    </w:p>
    <w:p>
      <w:pPr>
        <w:pStyle w:val="BodyText"/>
        <w:spacing w:line="417" w:lineRule="auto"/>
        <w:ind w:left="680" w:right="5721"/>
        <w:rPr>
          <w:rFonts w:ascii="Times New Roman" w:eastAsia="Times New Roman"/>
        </w:rPr>
      </w:pPr>
      <w:r>
        <w:rPr/>
        <w:t>网址：</w:t>
      </w:r>
      <w:hyperlink r:id="rId68">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中信期货有限公司</w:t>
      </w:r>
    </w:p>
    <w:p>
      <w:pPr>
        <w:pStyle w:val="BodyText"/>
        <w:spacing w:before="7"/>
        <w:rPr>
          <w:sz w:val="15"/>
        </w:rPr>
      </w:pPr>
    </w:p>
    <w:p>
      <w:pPr>
        <w:pStyle w:val="BodyText"/>
        <w:ind w:left="680"/>
      </w:pPr>
      <w:r>
        <w:rPr/>
        <w:t>住所：深圳市福田区中心三路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r>
        <w:rPr/>
        <w:t>层</w:t>
      </w:r>
    </w:p>
    <w:p>
      <w:pPr>
        <w:pStyle w:val="BodyText"/>
        <w:spacing w:before="7"/>
        <w:rPr>
          <w:sz w:val="15"/>
        </w:rPr>
      </w:pPr>
    </w:p>
    <w:p>
      <w:pPr>
        <w:pStyle w:val="BodyText"/>
        <w:ind w:left="680"/>
        <w:rPr>
          <w:rFonts w:ascii="Times New Roman" w:eastAsia="Times New Roman"/>
        </w:rPr>
      </w:pPr>
      <w:r>
        <w:rPr/>
        <w:t>办公地址：深圳市福田区中心三路</w:t>
      </w:r>
      <w:r>
        <w:rPr>
          <w:rFonts w:ascii="Times New Roman" w:eastAsia="Times New Roman"/>
        </w:rPr>
        <w:t>8</w:t>
      </w:r>
      <w:r>
        <w:rPr/>
        <w:t>号卓越时代广场（二期）北座</w:t>
      </w:r>
      <w:r>
        <w:rPr>
          <w:rFonts w:ascii="Times New Roman" w:eastAsia="Times New Roman"/>
        </w:rPr>
        <w:t>13</w:t>
      </w:r>
      <w:r>
        <w:rPr/>
        <w:t>层</w:t>
      </w:r>
      <w:r>
        <w:rPr>
          <w:rFonts w:ascii="Times New Roman" w:eastAsia="Times New Roman"/>
        </w:rPr>
        <w:t>1301-1305</w:t>
      </w:r>
      <w:r>
        <w:rPr/>
        <w:t>、</w:t>
      </w:r>
      <w:r>
        <w:rPr>
          <w:rFonts w:ascii="Times New Roman" w:eastAsia="Times New Roman"/>
        </w:rPr>
        <w:t>14</w:t>
      </w:r>
    </w:p>
    <w:p>
      <w:pPr>
        <w:pStyle w:val="BodyText"/>
        <w:spacing w:before="1"/>
        <w:rPr>
          <w:rFonts w:ascii="Times New Roman"/>
          <w:sz w:val="11"/>
        </w:rPr>
      </w:pPr>
    </w:p>
    <w:p>
      <w:pPr>
        <w:pStyle w:val="BodyText"/>
        <w:spacing w:before="71"/>
        <w:ind w:left="260"/>
      </w:pPr>
      <w:r>
        <w:rPr>
          <w:w w:val="100"/>
        </w:rPr>
        <w:t>层</w:t>
      </w:r>
    </w:p>
    <w:p>
      <w:pPr>
        <w:pStyle w:val="BodyText"/>
        <w:rPr>
          <w:sz w:val="10"/>
        </w:rPr>
      </w:pPr>
    </w:p>
    <w:p>
      <w:pPr>
        <w:pStyle w:val="BodyText"/>
        <w:spacing w:line="417" w:lineRule="auto" w:before="72"/>
        <w:ind w:left="680" w:right="636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spacing w:line="269" w:lineRule="exact"/>
        <w:ind w:left="680"/>
      </w:pPr>
      <w:r>
        <w:rPr/>
        <w:t>联系人：刘宏莹</w:t>
      </w:r>
    </w:p>
    <w:p>
      <w:pPr>
        <w:pStyle w:val="BodyText"/>
        <w:spacing w:before="6"/>
        <w:rPr>
          <w:sz w:val="15"/>
        </w:rPr>
      </w:pPr>
    </w:p>
    <w:p>
      <w:pPr>
        <w:pStyle w:val="BodyText"/>
        <w:spacing w:before="1"/>
        <w:ind w:left="680"/>
        <w:rPr>
          <w:rFonts w:ascii="Times New Roman" w:eastAsia="Times New Roman"/>
        </w:rPr>
      </w:pPr>
      <w:r>
        <w:rPr/>
        <w:t>网址：</w:t>
      </w:r>
      <w:hyperlink r:id="rId69">
        <w:r>
          <w:rPr>
            <w:rFonts w:ascii="Times New Roman" w:eastAsia="Times New Roman"/>
          </w:rPr>
          <w:t>www.citicsf.com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7"/>
        </w:numPr>
        <w:tabs>
          <w:tab w:pos="1315" w:val="left" w:leader="none"/>
        </w:tabs>
        <w:spacing w:line="417" w:lineRule="auto" w:before="0" w:after="0"/>
        <w:ind w:left="680" w:right="5650" w:firstLine="0"/>
        <w:jc w:val="left"/>
        <w:rPr>
          <w:sz w:val="21"/>
        </w:rPr>
      </w:pPr>
      <w:r>
        <w:rPr>
          <w:spacing w:val="-5"/>
          <w:sz w:val="21"/>
        </w:rPr>
        <w:t>弘业期货股份有限公司</w:t>
      </w:r>
      <w:r>
        <w:rPr>
          <w:spacing w:val="-3"/>
          <w:sz w:val="21"/>
        </w:rPr>
        <w:t>住所：南京市中华路</w:t>
      </w:r>
      <w:r>
        <w:rPr>
          <w:rFonts w:ascii="Times New Roman" w:eastAsia="Times New Roman"/>
          <w:sz w:val="21"/>
        </w:rPr>
        <w:t>50</w:t>
      </w:r>
      <w:r>
        <w:rPr>
          <w:sz w:val="21"/>
        </w:rPr>
        <w:t>号</w:t>
      </w:r>
    </w:p>
    <w:p>
      <w:pPr>
        <w:pStyle w:val="BodyText"/>
        <w:spacing w:line="417" w:lineRule="auto" w:before="1"/>
        <w:ind w:left="680" w:right="4812"/>
      </w:pPr>
      <w:r>
        <w:rPr/>
        <w:t>办公地址：南京市中华路</w:t>
      </w:r>
      <w:r>
        <w:rPr>
          <w:rFonts w:ascii="Times New Roman" w:eastAsia="Times New Roman"/>
        </w:rPr>
        <w:t>50</w:t>
      </w:r>
      <w:r>
        <w:rPr/>
        <w:t>号弘业大厦法定代表人：周剑秋</w:t>
      </w:r>
    </w:p>
    <w:p>
      <w:pPr>
        <w:pStyle w:val="BodyText"/>
        <w:spacing w:line="417" w:lineRule="auto"/>
        <w:ind w:left="680" w:right="652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spacing w:line="269" w:lineRule="exact"/>
        <w:ind w:left="680"/>
      </w:pPr>
      <w:r>
        <w:rPr/>
        <w:t>联系人：张苏怡</w:t>
      </w:r>
    </w:p>
    <w:p>
      <w:pPr>
        <w:pStyle w:val="BodyText"/>
        <w:spacing w:before="6"/>
        <w:rPr>
          <w:sz w:val="15"/>
        </w:rPr>
      </w:pPr>
    </w:p>
    <w:p>
      <w:pPr>
        <w:pStyle w:val="BodyText"/>
        <w:ind w:left="680"/>
        <w:rPr>
          <w:rFonts w:ascii="Times New Roman" w:eastAsia="Times New Roman"/>
        </w:rPr>
      </w:pPr>
      <w:r>
        <w:rPr/>
        <w:t>网址：</w:t>
      </w:r>
      <w:hyperlink r:id="rId70">
        <w:r>
          <w:rPr>
            <w:rFonts w:ascii="Times New Roman" w:eastAsia="Times New Roman"/>
          </w:rPr>
          <w:t>www.ftol.com.cn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400-828-8288</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国泰君安证券股份有限公司</w:t>
      </w:r>
    </w:p>
    <w:p>
      <w:pPr>
        <w:pStyle w:val="BodyText"/>
        <w:spacing w:before="7"/>
        <w:rPr>
          <w:sz w:val="15"/>
        </w:rPr>
      </w:pPr>
    </w:p>
    <w:p>
      <w:pPr>
        <w:pStyle w:val="BodyText"/>
        <w:ind w:left="680"/>
      </w:pPr>
      <w:r>
        <w:rPr/>
        <w:t>住所：中国（上海）自由贸易试验区商城路</w:t>
      </w:r>
      <w:r>
        <w:rPr>
          <w:rFonts w:ascii="Times New Roman" w:eastAsia="Times New Roman"/>
        </w:rPr>
        <w:t>618</w:t>
      </w:r>
      <w:r>
        <w:rPr/>
        <w:t>号</w:t>
      </w:r>
    </w:p>
    <w:p>
      <w:pPr>
        <w:pStyle w:val="BodyText"/>
        <w:spacing w:before="7"/>
        <w:rPr>
          <w:sz w:val="15"/>
        </w:rPr>
      </w:pPr>
    </w:p>
    <w:p>
      <w:pPr>
        <w:pStyle w:val="BodyText"/>
        <w:spacing w:line="417" w:lineRule="auto"/>
        <w:ind w:left="680" w:right="3446"/>
      </w:pPr>
      <w:r>
        <w:rPr/>
        <w:t>办公地址：上海市静安区南京西路</w:t>
      </w:r>
      <w:r>
        <w:rPr>
          <w:rFonts w:ascii="Times New Roman" w:eastAsia="Times New Roman"/>
        </w:rPr>
        <w:t>768</w:t>
      </w:r>
      <w:r>
        <w:rPr/>
        <w:t>号国泰君安大厦法定代表人：贺青</w:t>
      </w:r>
    </w:p>
    <w:p>
      <w:pPr>
        <w:pStyle w:val="BodyText"/>
        <w:spacing w:line="417" w:lineRule="auto"/>
        <w:ind w:left="680" w:right="6526"/>
        <w:rPr>
          <w:rFonts w:ascii="Times New Roman" w:eastAsia="Times New Roman"/>
        </w:rPr>
      </w:pPr>
      <w:r>
        <w:rPr/>
        <w:t>电话：</w:t>
      </w:r>
      <w:r>
        <w:rPr>
          <w:rFonts w:ascii="Times New Roman" w:eastAsia="Times New Roman"/>
        </w:rPr>
        <w:t>021-38676666 </w:t>
      </w:r>
      <w:r>
        <w:rPr/>
        <w:t>传真：</w:t>
      </w:r>
      <w:r>
        <w:rPr>
          <w:rFonts w:ascii="Times New Roman" w:eastAsia="Times New Roman"/>
        </w:rPr>
        <w:t>021-38670666</w:t>
      </w:r>
    </w:p>
    <w:p>
      <w:pPr>
        <w:pStyle w:val="BodyText"/>
        <w:ind w:left="680"/>
      </w:pPr>
      <w:r>
        <w:rPr/>
        <w:t>联系人：黄博铭</w:t>
      </w:r>
    </w:p>
    <w:p>
      <w:pPr>
        <w:pStyle w:val="BodyText"/>
        <w:spacing w:before="6"/>
        <w:rPr>
          <w:sz w:val="15"/>
        </w:rPr>
      </w:pPr>
    </w:p>
    <w:p>
      <w:pPr>
        <w:pStyle w:val="BodyText"/>
        <w:ind w:left="680"/>
        <w:rPr>
          <w:rFonts w:ascii="Times New Roman" w:eastAsia="Times New Roman"/>
        </w:rPr>
      </w:pPr>
      <w:r>
        <w:rPr/>
        <w:t>网址：</w:t>
      </w:r>
      <w:hyperlink r:id="rId71">
        <w:r>
          <w:rPr>
            <w:rFonts w:ascii="Times New Roman" w:eastAsia="Times New Roman"/>
          </w:rPr>
          <w:t>www.gtja.com</w:t>
        </w:r>
      </w:hyperlink>
    </w:p>
    <w:p>
      <w:pPr>
        <w:spacing w:after="0"/>
        <w:rPr>
          <w:rFonts w:ascii="Times New Roman" w:eastAsia="Times New Roman"/>
        </w:rPr>
        <w:sectPr>
          <w:pgSz w:w="11910" w:h="16840"/>
          <w:pgMar w:header="877" w:footer="995" w:top="1420" w:bottom="1180" w:left="1540" w:right="1300"/>
        </w:sectPr>
      </w:pPr>
    </w:p>
    <w:p>
      <w:pPr>
        <w:pStyle w:val="BodyText"/>
        <w:spacing w:before="110"/>
        <w:ind w:left="680"/>
        <w:rPr>
          <w:rFonts w:ascii="Times New Roman" w:eastAsia="Times New Roman"/>
        </w:rPr>
      </w:pPr>
      <w:r>
        <w:rPr/>
        <w:t>客户服务电话：</w:t>
      </w:r>
      <w:r>
        <w:rPr>
          <w:rFonts w:ascii="Times New Roman" w:eastAsia="Times New Roman"/>
        </w:rPr>
        <w:t>95521</w:t>
      </w:r>
    </w:p>
    <w:p>
      <w:pPr>
        <w:pStyle w:val="BodyText"/>
        <w:spacing w:before="3"/>
        <w:rPr>
          <w:rFonts w:ascii="Times New Roman"/>
          <w:sz w:val="17"/>
        </w:rPr>
      </w:pPr>
    </w:p>
    <w:p>
      <w:pPr>
        <w:pStyle w:val="ListParagraph"/>
        <w:numPr>
          <w:ilvl w:val="0"/>
          <w:numId w:val="7"/>
        </w:numPr>
        <w:tabs>
          <w:tab w:pos="1315" w:val="left" w:leader="none"/>
        </w:tabs>
        <w:spacing w:line="417" w:lineRule="auto" w:before="0" w:after="0"/>
        <w:ind w:left="680" w:right="4915" w:firstLine="0"/>
        <w:jc w:val="left"/>
        <w:rPr>
          <w:sz w:val="21"/>
        </w:rPr>
      </w:pPr>
      <w:r>
        <w:rPr>
          <w:spacing w:val="-3"/>
          <w:sz w:val="21"/>
        </w:rPr>
        <w:t>中信建投证券股份有限公司  住所：北京市朝阳区安立路</w:t>
      </w:r>
      <w:r>
        <w:rPr>
          <w:rFonts w:ascii="Times New Roman" w:eastAsia="Times New Roman"/>
          <w:sz w:val="21"/>
        </w:rPr>
        <w:t>66</w:t>
      </w:r>
      <w:r>
        <w:rPr>
          <w:spacing w:val="-3"/>
          <w:sz w:val="21"/>
        </w:rPr>
        <w:t>号</w:t>
      </w:r>
      <w:r>
        <w:rPr>
          <w:rFonts w:ascii="Times New Roman" w:eastAsia="Times New Roman"/>
          <w:sz w:val="21"/>
        </w:rPr>
        <w:t>4</w:t>
      </w:r>
      <w:r>
        <w:rPr>
          <w:spacing w:val="-3"/>
          <w:sz w:val="21"/>
        </w:rPr>
        <w:t>号楼办公地址：北京市朝阳门内大街</w:t>
      </w:r>
      <w:r>
        <w:rPr>
          <w:rFonts w:ascii="Times New Roman" w:eastAsia="Times New Roman"/>
          <w:sz w:val="21"/>
        </w:rPr>
        <w:t>188</w:t>
      </w:r>
      <w:r>
        <w:rPr>
          <w:spacing w:val="-13"/>
          <w:sz w:val="21"/>
        </w:rPr>
        <w:t>号</w:t>
      </w:r>
      <w:r>
        <w:rPr>
          <w:spacing w:val="-3"/>
          <w:sz w:val="21"/>
        </w:rPr>
        <w:t>法定代表人：王常青</w:t>
      </w:r>
    </w:p>
    <w:p>
      <w:pPr>
        <w:pStyle w:val="BodyText"/>
        <w:spacing w:line="417" w:lineRule="auto"/>
        <w:ind w:left="680" w:right="638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ind w:left="680"/>
      </w:pPr>
      <w:r>
        <w:rPr/>
        <w:t>联系人：权唐</w:t>
      </w:r>
    </w:p>
    <w:p>
      <w:pPr>
        <w:pStyle w:val="BodyText"/>
        <w:spacing w:before="6"/>
        <w:rPr>
          <w:sz w:val="15"/>
        </w:rPr>
      </w:pPr>
    </w:p>
    <w:p>
      <w:pPr>
        <w:pStyle w:val="BodyText"/>
        <w:ind w:left="680"/>
        <w:rPr>
          <w:rFonts w:ascii="Times New Roman" w:eastAsia="Times New Roman"/>
        </w:rPr>
      </w:pPr>
      <w:r>
        <w:rPr/>
        <w:t>网址：</w:t>
      </w:r>
      <w:hyperlink r:id="rId72">
        <w:r>
          <w:rPr>
            <w:rFonts w:ascii="Times New Roman" w:eastAsia="Times New Roman"/>
          </w:rPr>
          <w:t>www.csc108.com</w:t>
        </w:r>
      </w:hyperlink>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国信证券股份有限公司</w:t>
      </w:r>
    </w:p>
    <w:p>
      <w:pPr>
        <w:pStyle w:val="BodyText"/>
        <w:spacing w:before="7"/>
        <w:rPr>
          <w:sz w:val="15"/>
        </w:rPr>
      </w:pPr>
    </w:p>
    <w:p>
      <w:pPr>
        <w:pStyle w:val="BodyText"/>
        <w:ind w:left="680"/>
      </w:pPr>
      <w:r>
        <w:rPr/>
        <w:t>住所：深圳市罗湖区红岭中路</w:t>
      </w:r>
      <w:r>
        <w:rPr>
          <w:rFonts w:ascii="Times New Roman" w:eastAsia="Times New Roman"/>
        </w:rPr>
        <w:t>1012</w:t>
      </w:r>
      <w:r>
        <w:rPr/>
        <w:t>号国信证券大厦十六层至二十六层</w:t>
      </w:r>
    </w:p>
    <w:p>
      <w:pPr>
        <w:pStyle w:val="BodyText"/>
        <w:spacing w:before="6"/>
        <w:rPr>
          <w:sz w:val="15"/>
        </w:rPr>
      </w:pPr>
    </w:p>
    <w:p>
      <w:pPr>
        <w:pStyle w:val="BodyText"/>
        <w:spacing w:line="417" w:lineRule="auto"/>
        <w:ind w:left="680" w:right="1658"/>
      </w:pPr>
      <w:r>
        <w:rPr/>
        <w:t>办公地址：深圳市罗湖区红岭中路</w:t>
      </w:r>
      <w:r>
        <w:rPr>
          <w:rFonts w:ascii="Times New Roman" w:eastAsia="Times New Roman"/>
        </w:rPr>
        <w:t>1012</w:t>
      </w:r>
      <w:r>
        <w:rPr/>
        <w:t>号国信证券大厦十六层至二十六层法定代表人：何如</w:t>
      </w:r>
    </w:p>
    <w:p>
      <w:pPr>
        <w:pStyle w:val="BodyText"/>
        <w:spacing w:line="417" w:lineRule="auto"/>
        <w:ind w:left="680" w:right="642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ind w:left="680"/>
      </w:pPr>
      <w:r>
        <w:rPr/>
        <w:t>联系人：李颖</w:t>
      </w:r>
    </w:p>
    <w:p>
      <w:pPr>
        <w:pStyle w:val="BodyText"/>
        <w:spacing w:before="7"/>
        <w:rPr>
          <w:sz w:val="15"/>
        </w:rPr>
      </w:pPr>
    </w:p>
    <w:p>
      <w:pPr>
        <w:pStyle w:val="BodyText"/>
        <w:spacing w:line="417" w:lineRule="auto"/>
        <w:ind w:left="680" w:right="5955"/>
        <w:rPr>
          <w:rFonts w:ascii="Times New Roman" w:eastAsia="Times New Roman"/>
        </w:rPr>
      </w:pPr>
      <w:r>
        <w:rPr/>
        <w:t>网址：</w:t>
      </w:r>
      <w:hyperlink r:id="rId73">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中信证券股份有限公司</w:t>
      </w:r>
    </w:p>
    <w:p>
      <w:pPr>
        <w:pStyle w:val="BodyText"/>
        <w:spacing w:before="6"/>
        <w:rPr>
          <w:sz w:val="15"/>
        </w:rPr>
      </w:pPr>
    </w:p>
    <w:p>
      <w:pPr>
        <w:pStyle w:val="BodyText"/>
        <w:spacing w:line="417" w:lineRule="auto" w:before="1"/>
        <w:ind w:left="680" w:right="2183"/>
      </w:pPr>
      <w:r>
        <w:rPr/>
        <w:t>住所：广东省深圳市福田区中心三路</w:t>
      </w:r>
      <w:r>
        <w:rPr>
          <w:rFonts w:ascii="Times New Roman" w:eastAsia="Times New Roman"/>
        </w:rPr>
        <w:t>8</w:t>
      </w:r>
      <w:r>
        <w:rPr/>
        <w:t>号卓越时代广场（二期）北座办公地址：北京市朝阳区亮马桥路</w:t>
      </w:r>
      <w:r>
        <w:rPr>
          <w:rFonts w:ascii="Times New Roman" w:eastAsia="Times New Roman"/>
        </w:rPr>
        <w:t>48</w:t>
      </w:r>
      <w:r>
        <w:rPr/>
        <w:t>号中信证券大厦</w:t>
      </w:r>
    </w:p>
    <w:p>
      <w:pPr>
        <w:pStyle w:val="BodyText"/>
        <w:spacing w:line="417" w:lineRule="auto"/>
        <w:ind w:left="680" w:right="6490"/>
        <w:jc w:val="both"/>
        <w:rPr>
          <w:rFonts w:ascii="Times New Roman" w:eastAsia="Times New Roman"/>
        </w:rPr>
      </w:pPr>
      <w:r>
        <w:rPr/>
        <w:t>法定代表人：张佑君电话：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680"/>
      </w:pPr>
      <w:r>
        <w:rPr/>
        <w:t>联系人：郑慧</w:t>
      </w:r>
    </w:p>
    <w:p>
      <w:pPr>
        <w:pStyle w:val="BodyText"/>
        <w:spacing w:before="6"/>
        <w:rPr>
          <w:sz w:val="15"/>
        </w:rPr>
      </w:pPr>
    </w:p>
    <w:p>
      <w:pPr>
        <w:pStyle w:val="BodyText"/>
        <w:spacing w:line="417" w:lineRule="auto" w:before="1"/>
        <w:ind w:left="680" w:right="6118"/>
        <w:rPr>
          <w:rFonts w:ascii="Times New Roman" w:eastAsia="Times New Roman"/>
        </w:rPr>
      </w:pPr>
      <w:r>
        <w:rPr/>
        <w:t>网址：</w:t>
      </w:r>
      <w:hyperlink r:id="rId74">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申万宏源证券有限公司</w:t>
      </w:r>
    </w:p>
    <w:p>
      <w:pPr>
        <w:pStyle w:val="BodyText"/>
        <w:spacing w:before="7"/>
        <w:rPr>
          <w:sz w:val="15"/>
        </w:rPr>
      </w:pPr>
    </w:p>
    <w:p>
      <w:pPr>
        <w:pStyle w:val="BodyText"/>
        <w:ind w:left="680"/>
      </w:pPr>
      <w:r>
        <w:rPr/>
        <w:t>住所：上海市徐汇区长乐路</w:t>
      </w:r>
      <w:r>
        <w:rPr>
          <w:rFonts w:ascii="Times New Roman" w:eastAsia="Times New Roman"/>
        </w:rPr>
        <w:t>989</w:t>
      </w:r>
      <w:r>
        <w:rPr/>
        <w:t>号</w:t>
      </w:r>
      <w:r>
        <w:rPr>
          <w:rFonts w:ascii="Times New Roman" w:eastAsia="Times New Roman"/>
        </w:rPr>
        <w:t>45</w:t>
      </w:r>
      <w:r>
        <w:rPr/>
        <w:t>层</w:t>
      </w:r>
    </w:p>
    <w:p>
      <w:pPr>
        <w:pStyle w:val="BodyText"/>
        <w:spacing w:before="6"/>
        <w:rPr>
          <w:sz w:val="15"/>
        </w:rPr>
      </w:pPr>
    </w:p>
    <w:p>
      <w:pPr>
        <w:pStyle w:val="BodyText"/>
        <w:spacing w:before="1"/>
        <w:ind w:left="680"/>
      </w:pPr>
      <w:r>
        <w:rPr/>
        <w:t>办公地址：上海市徐汇区长乐路</w:t>
      </w:r>
      <w:r>
        <w:rPr>
          <w:rFonts w:ascii="Times New Roman" w:eastAsia="Times New Roman"/>
        </w:rPr>
        <w:t>989</w:t>
      </w:r>
      <w:r>
        <w:rPr/>
        <w:t>号</w:t>
      </w:r>
      <w:r>
        <w:rPr>
          <w:rFonts w:ascii="Times New Roman" w:eastAsia="Times New Roman"/>
        </w:rPr>
        <w:t>45</w:t>
      </w:r>
      <w:r>
        <w:rPr/>
        <w:t>层（</w:t>
      </w:r>
      <w:r>
        <w:rPr>
          <w:rFonts w:ascii="Times New Roman" w:eastAsia="Times New Roman"/>
        </w:rPr>
        <w:t>200031</w:t>
      </w:r>
      <w:r>
        <w:rPr/>
        <w:t>）</w:t>
      </w:r>
    </w:p>
    <w:p>
      <w:pPr>
        <w:spacing w:after="0"/>
        <w:sectPr>
          <w:pgSz w:w="11910" w:h="16840"/>
          <w:pgMar w:header="877" w:footer="995" w:top="1420" w:bottom="1180" w:left="1540" w:right="1300"/>
        </w:sectPr>
      </w:pPr>
    </w:p>
    <w:p>
      <w:pPr>
        <w:pStyle w:val="BodyText"/>
        <w:spacing w:line="417" w:lineRule="auto" w:before="110"/>
        <w:ind w:left="680" w:right="6464"/>
        <w:rPr>
          <w:rFonts w:ascii="Times New Roman" w:eastAsia="Times New Roman"/>
        </w:rPr>
      </w:pPr>
      <w:r>
        <w:rPr/>
        <w:t>法定代表人：李梅电话：</w:t>
      </w:r>
      <w:r>
        <w:rPr>
          <w:rFonts w:ascii="Times New Roman" w:eastAsia="Times New Roman"/>
        </w:rPr>
        <w:t>021-33389888 </w:t>
      </w:r>
      <w:r>
        <w:rPr/>
        <w:t>传真：</w:t>
      </w:r>
      <w:r>
        <w:rPr>
          <w:rFonts w:ascii="Times New Roman" w:eastAsia="Times New Roman"/>
        </w:rPr>
        <w:t>021-33388224</w:t>
      </w:r>
    </w:p>
    <w:p>
      <w:pPr>
        <w:pStyle w:val="BodyText"/>
        <w:spacing w:line="269" w:lineRule="exact"/>
        <w:ind w:left="680"/>
      </w:pPr>
      <w:r>
        <w:rPr/>
        <w:t>联系人：陈宇</w:t>
      </w:r>
    </w:p>
    <w:p>
      <w:pPr>
        <w:pStyle w:val="BodyText"/>
        <w:spacing w:before="6"/>
        <w:rPr>
          <w:sz w:val="15"/>
        </w:rPr>
      </w:pPr>
    </w:p>
    <w:p>
      <w:pPr>
        <w:pStyle w:val="BodyText"/>
        <w:ind w:left="680"/>
        <w:rPr>
          <w:rFonts w:ascii="Times New Roman" w:eastAsia="Times New Roman"/>
        </w:rPr>
      </w:pPr>
      <w:r>
        <w:rPr/>
        <w:t>网址：</w:t>
      </w:r>
      <w:hyperlink r:id="rId75">
        <w:r>
          <w:rPr>
            <w:rFonts w:ascii="Times New Roman" w:eastAsia="Times New Roman"/>
          </w:rPr>
          <w:t>www.swhysc.com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7"/>
        </w:numPr>
        <w:tabs>
          <w:tab w:pos="1315" w:val="left" w:leader="none"/>
        </w:tabs>
        <w:spacing w:line="417" w:lineRule="auto" w:before="0" w:after="0"/>
        <w:ind w:left="680" w:right="5650" w:firstLine="0"/>
        <w:jc w:val="left"/>
        <w:rPr>
          <w:sz w:val="21"/>
        </w:rPr>
      </w:pPr>
      <w:r>
        <w:rPr>
          <w:spacing w:val="-5"/>
          <w:sz w:val="21"/>
        </w:rPr>
        <w:t>兴业证券股份有限公司</w:t>
      </w:r>
      <w:r>
        <w:rPr>
          <w:spacing w:val="-3"/>
          <w:sz w:val="21"/>
        </w:rPr>
        <w:t>住所：福州市湖东路</w:t>
      </w:r>
      <w:r>
        <w:rPr>
          <w:rFonts w:ascii="Times New Roman" w:eastAsia="Times New Roman"/>
          <w:sz w:val="21"/>
        </w:rPr>
        <w:t>268</w:t>
      </w:r>
      <w:r>
        <w:rPr>
          <w:sz w:val="21"/>
        </w:rPr>
        <w:t>号</w:t>
      </w:r>
    </w:p>
    <w:p>
      <w:pPr>
        <w:pStyle w:val="BodyText"/>
        <w:spacing w:line="417" w:lineRule="auto" w:before="1"/>
        <w:ind w:left="680" w:right="4809"/>
      </w:pPr>
      <w:r>
        <w:rPr/>
        <w:t>办公地址：上海市浦东新区长柳路</w:t>
      </w:r>
      <w:r>
        <w:rPr>
          <w:rFonts w:ascii="Times New Roman" w:eastAsia="Times New Roman"/>
        </w:rPr>
        <w:t>36</w:t>
      </w:r>
      <w:r>
        <w:rPr/>
        <w:t>号法定代表人：杨华辉</w:t>
      </w:r>
    </w:p>
    <w:p>
      <w:pPr>
        <w:pStyle w:val="BodyText"/>
        <w:spacing w:line="417" w:lineRule="auto"/>
        <w:ind w:left="680" w:right="652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spacing w:line="269" w:lineRule="exact"/>
        <w:ind w:left="680"/>
      </w:pPr>
      <w:r>
        <w:rPr/>
        <w:t>联系人：乔琳雪</w:t>
      </w:r>
    </w:p>
    <w:p>
      <w:pPr>
        <w:pStyle w:val="BodyText"/>
        <w:spacing w:before="6"/>
        <w:rPr>
          <w:sz w:val="15"/>
        </w:rPr>
      </w:pPr>
    </w:p>
    <w:p>
      <w:pPr>
        <w:pStyle w:val="BodyText"/>
        <w:spacing w:line="417" w:lineRule="auto"/>
        <w:ind w:left="680" w:right="6143"/>
        <w:rPr>
          <w:rFonts w:ascii="Times New Roman" w:eastAsia="Times New Roman"/>
        </w:rPr>
      </w:pPr>
      <w:r>
        <w:rPr/>
        <w:t>网址：</w:t>
      </w:r>
      <w:hyperlink r:id="rId76">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长江证券股份有限公司</w:t>
      </w:r>
    </w:p>
    <w:p>
      <w:pPr>
        <w:pStyle w:val="BodyText"/>
        <w:spacing w:before="7"/>
        <w:rPr>
          <w:sz w:val="15"/>
        </w:rPr>
      </w:pPr>
    </w:p>
    <w:p>
      <w:pPr>
        <w:pStyle w:val="BodyText"/>
        <w:ind w:left="680"/>
      </w:pPr>
      <w:r>
        <w:rPr/>
        <w:t>住所：武汉市新华路特</w:t>
      </w:r>
      <w:r>
        <w:rPr>
          <w:rFonts w:ascii="Times New Roman" w:eastAsia="Times New Roman"/>
        </w:rPr>
        <w:t>8</w:t>
      </w:r>
      <w:r>
        <w:rPr/>
        <w:t>号长江证券大厦</w:t>
      </w:r>
    </w:p>
    <w:p>
      <w:pPr>
        <w:pStyle w:val="BodyText"/>
        <w:spacing w:before="6"/>
        <w:rPr>
          <w:sz w:val="15"/>
        </w:rPr>
      </w:pPr>
    </w:p>
    <w:p>
      <w:pPr>
        <w:pStyle w:val="BodyText"/>
        <w:spacing w:line="417" w:lineRule="auto" w:before="1"/>
        <w:ind w:left="680" w:right="4283"/>
      </w:pPr>
      <w:r>
        <w:rPr/>
        <w:t>办公地址：武汉市新华路特</w:t>
      </w:r>
      <w:r>
        <w:rPr>
          <w:rFonts w:ascii="Times New Roman" w:eastAsia="Times New Roman"/>
        </w:rPr>
        <w:t>8</w:t>
      </w:r>
      <w:r>
        <w:rPr/>
        <w:t>号长江证券大厦法定代表人：杨泽柱</w:t>
      </w:r>
    </w:p>
    <w:p>
      <w:pPr>
        <w:pStyle w:val="BodyText"/>
        <w:spacing w:line="417" w:lineRule="auto"/>
        <w:ind w:left="680" w:right="652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ind w:left="680"/>
      </w:pPr>
      <w:r>
        <w:rPr/>
        <w:t>联系人：李良</w:t>
      </w:r>
    </w:p>
    <w:p>
      <w:pPr>
        <w:pStyle w:val="BodyText"/>
        <w:spacing w:before="6"/>
        <w:rPr>
          <w:sz w:val="15"/>
        </w:rPr>
      </w:pPr>
    </w:p>
    <w:p>
      <w:pPr>
        <w:pStyle w:val="BodyText"/>
        <w:ind w:left="680"/>
        <w:rPr>
          <w:rFonts w:ascii="Times New Roman" w:eastAsia="Times New Roman"/>
        </w:rPr>
      </w:pPr>
      <w:r>
        <w:rPr/>
        <w:t>网址：</w:t>
      </w:r>
      <w:hyperlink r:id="rId77">
        <w:r>
          <w:rPr>
            <w:rFonts w:ascii="Times New Roman" w:eastAsia="Times New Roman"/>
          </w:rPr>
          <w:t>www.95579.com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安信证券股份有限公司</w:t>
      </w:r>
    </w:p>
    <w:p>
      <w:pPr>
        <w:pStyle w:val="BodyText"/>
        <w:spacing w:before="7"/>
        <w:rPr>
          <w:sz w:val="15"/>
        </w:rPr>
      </w:pPr>
    </w:p>
    <w:p>
      <w:pPr>
        <w:pStyle w:val="BodyText"/>
        <w:ind w:left="680"/>
      </w:pPr>
      <w:r>
        <w:rPr/>
        <w:t>住所：深圳市福田区金田路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w:t>
      </w:r>
    </w:p>
    <w:p>
      <w:pPr>
        <w:pStyle w:val="BodyText"/>
        <w:spacing w:before="6"/>
        <w:rPr>
          <w:sz w:val="15"/>
        </w:rPr>
      </w:pPr>
    </w:p>
    <w:p>
      <w:pPr>
        <w:pStyle w:val="BodyText"/>
        <w:spacing w:line="417" w:lineRule="auto" w:before="1"/>
        <w:ind w:left="680" w:right="2135"/>
      </w:pPr>
      <w:r>
        <w:rPr/>
        <w:t>办公地址：深圳市福田区金田路</w:t>
      </w:r>
      <w:r>
        <w:rPr>
          <w:rFonts w:ascii="Times New Roman" w:eastAsia="Times New Roman"/>
        </w:rPr>
        <w:t>4018</w:t>
      </w:r>
      <w:r>
        <w:rPr/>
        <w:t>号安联大厦</w:t>
      </w:r>
      <w:r>
        <w:rPr>
          <w:rFonts w:ascii="Times New Roman" w:eastAsia="Times New Roman"/>
        </w:rPr>
        <w:t>35</w:t>
      </w:r>
      <w:r>
        <w:rPr/>
        <w:t>层、</w:t>
      </w:r>
      <w:r>
        <w:rPr>
          <w:rFonts w:ascii="Times New Roman" w:eastAsia="Times New Roman"/>
        </w:rPr>
        <w:t>28</w:t>
      </w:r>
      <w:r>
        <w:rPr/>
        <w:t>层</w:t>
      </w:r>
      <w:r>
        <w:rPr>
          <w:rFonts w:ascii="Times New Roman" w:eastAsia="Times New Roman"/>
        </w:rPr>
        <w:t>A02</w:t>
      </w:r>
      <w:r>
        <w:rPr/>
        <w:t>单元法定代表人：黄炎勋</w:t>
      </w:r>
    </w:p>
    <w:p>
      <w:pPr>
        <w:pStyle w:val="BodyText"/>
        <w:spacing w:line="417" w:lineRule="auto"/>
        <w:ind w:left="680" w:right="642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spacing w:after="0" w:line="417" w:lineRule="auto"/>
        <w:rPr>
          <w:rFonts w:ascii="Times New Roman" w:eastAsia="Times New Roman"/>
        </w:rPr>
        <w:sectPr>
          <w:pgSz w:w="11910" w:h="16840"/>
          <w:pgMar w:header="877" w:footer="995" w:top="1420" w:bottom="1180" w:left="1540" w:right="1300"/>
        </w:sectPr>
      </w:pPr>
    </w:p>
    <w:p>
      <w:pPr>
        <w:pStyle w:val="BodyText"/>
        <w:spacing w:before="110"/>
        <w:ind w:left="680"/>
      </w:pPr>
      <w:r>
        <w:rPr/>
        <w:t>联系人：陈剑虹</w:t>
      </w:r>
    </w:p>
    <w:p>
      <w:pPr>
        <w:pStyle w:val="BodyText"/>
        <w:spacing w:before="6"/>
        <w:rPr>
          <w:sz w:val="15"/>
        </w:rPr>
      </w:pPr>
    </w:p>
    <w:p>
      <w:pPr>
        <w:pStyle w:val="BodyText"/>
        <w:spacing w:line="417" w:lineRule="auto"/>
        <w:ind w:left="680" w:right="5909"/>
        <w:rPr>
          <w:rFonts w:ascii="Times New Roman" w:eastAsia="Times New Roman"/>
        </w:rPr>
      </w:pPr>
      <w:r>
        <w:rPr/>
        <w:t>网址：</w:t>
      </w:r>
      <w:hyperlink r:id="rId78">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7"/>
        </w:numPr>
        <w:tabs>
          <w:tab w:pos="1315" w:val="left" w:leader="none"/>
        </w:tabs>
        <w:spacing w:line="417" w:lineRule="auto" w:before="0" w:after="0"/>
        <w:ind w:left="680" w:right="5544" w:firstLine="0"/>
        <w:jc w:val="left"/>
        <w:rPr>
          <w:sz w:val="21"/>
        </w:rPr>
      </w:pPr>
      <w:r>
        <w:rPr>
          <w:spacing w:val="-3"/>
          <w:sz w:val="21"/>
        </w:rPr>
        <w:t>西南证券股份有限公司住所：重庆市江北区桥北苑</w:t>
      </w:r>
      <w:r>
        <w:rPr>
          <w:rFonts w:ascii="Times New Roman" w:eastAsia="Times New Roman"/>
          <w:sz w:val="21"/>
        </w:rPr>
        <w:t>8</w:t>
      </w:r>
      <w:r>
        <w:rPr>
          <w:spacing w:val="-14"/>
          <w:sz w:val="21"/>
        </w:rPr>
        <w:t>号</w:t>
      </w:r>
    </w:p>
    <w:p>
      <w:pPr>
        <w:pStyle w:val="BodyText"/>
        <w:spacing w:line="417" w:lineRule="auto"/>
        <w:ind w:left="680" w:right="3863"/>
      </w:pPr>
      <w:r>
        <w:rPr/>
        <w:t>办公地址：重庆市江北区桥北苑</w:t>
      </w:r>
      <w:r>
        <w:rPr>
          <w:rFonts w:ascii="Times New Roman" w:eastAsia="Times New Roman"/>
        </w:rPr>
        <w:t>8</w:t>
      </w:r>
      <w:r>
        <w:rPr/>
        <w:t>号西南证券大厦法定代表人：廖庆轩</w:t>
      </w:r>
    </w:p>
    <w:p>
      <w:pPr>
        <w:pStyle w:val="BodyText"/>
        <w:spacing w:line="417" w:lineRule="auto"/>
        <w:ind w:left="680" w:right="652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spacing w:line="269" w:lineRule="exact"/>
        <w:ind w:left="680"/>
      </w:pPr>
      <w:r>
        <w:rPr/>
        <w:t>联系人：周青</w:t>
      </w:r>
    </w:p>
    <w:p>
      <w:pPr>
        <w:pStyle w:val="BodyText"/>
        <w:spacing w:before="7"/>
        <w:rPr>
          <w:sz w:val="15"/>
        </w:rPr>
      </w:pPr>
    </w:p>
    <w:p>
      <w:pPr>
        <w:pStyle w:val="BodyText"/>
        <w:ind w:left="680"/>
        <w:rPr>
          <w:rFonts w:ascii="Times New Roman" w:eastAsia="Times New Roman"/>
        </w:rPr>
      </w:pPr>
      <w:r>
        <w:rPr/>
        <w:t>网址：</w:t>
      </w:r>
      <w:hyperlink r:id="rId79">
        <w:r>
          <w:rPr>
            <w:rFonts w:ascii="Times New Roman" w:eastAsia="Times New Roman"/>
          </w:rPr>
          <w:t>www.swsc.com.cn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400-809-6096</w:t>
      </w:r>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湘财证券股份有限公司</w:t>
      </w:r>
    </w:p>
    <w:p>
      <w:pPr>
        <w:pStyle w:val="BodyText"/>
        <w:spacing w:before="6"/>
        <w:rPr>
          <w:sz w:val="15"/>
        </w:rPr>
      </w:pPr>
    </w:p>
    <w:p>
      <w:pPr>
        <w:pStyle w:val="BodyText"/>
        <w:ind w:left="680"/>
      </w:pPr>
      <w:r>
        <w:rPr/>
        <w:t>住所：湖南省长沙市天心区湘府中路</w:t>
      </w:r>
      <w:r>
        <w:rPr>
          <w:rFonts w:ascii="Times New Roman" w:eastAsia="Times New Roman"/>
        </w:rPr>
        <w:t>198</w:t>
      </w:r>
      <w:r>
        <w:rPr/>
        <w:t>号新南城商务中心</w:t>
      </w:r>
      <w:r>
        <w:rPr>
          <w:rFonts w:ascii="Times New Roman" w:eastAsia="Times New Roman"/>
        </w:rPr>
        <w:t>A</w:t>
      </w:r>
      <w:r>
        <w:rPr/>
        <w:t>栋</w:t>
      </w:r>
      <w:r>
        <w:rPr>
          <w:rFonts w:ascii="Times New Roman" w:eastAsia="Times New Roman"/>
        </w:rPr>
        <w:t>11</w:t>
      </w:r>
      <w:r>
        <w:rPr/>
        <w:t>楼</w:t>
      </w:r>
    </w:p>
    <w:p>
      <w:pPr>
        <w:pStyle w:val="BodyText"/>
        <w:spacing w:before="7"/>
        <w:rPr>
          <w:sz w:val="15"/>
        </w:rPr>
      </w:pPr>
    </w:p>
    <w:p>
      <w:pPr>
        <w:pStyle w:val="BodyText"/>
        <w:spacing w:line="417" w:lineRule="auto" w:before="1"/>
        <w:ind w:left="680" w:right="1831"/>
      </w:pPr>
      <w:r>
        <w:rPr>
          <w:spacing w:val="-3"/>
        </w:rPr>
        <w:t>办公地址：湖南省长沙市天心区湘府中路</w:t>
      </w:r>
      <w:r>
        <w:rPr>
          <w:rFonts w:ascii="Times New Roman" w:eastAsia="Times New Roman"/>
        </w:rPr>
        <w:t>198</w:t>
      </w:r>
      <w:r>
        <w:rPr>
          <w:spacing w:val="-3"/>
        </w:rPr>
        <w:t>号新南城商务中心</w:t>
      </w:r>
      <w:r>
        <w:rPr>
          <w:rFonts w:ascii="Times New Roman" w:eastAsia="Times New Roman"/>
        </w:rPr>
        <w:t>A</w:t>
      </w:r>
      <w:r>
        <w:rPr/>
        <w:t>栋</w:t>
      </w:r>
      <w:r>
        <w:rPr>
          <w:rFonts w:ascii="Times New Roman" w:eastAsia="Times New Roman"/>
          <w:spacing w:val="-5"/>
        </w:rPr>
        <w:t>11</w:t>
      </w:r>
      <w:r>
        <w:rPr/>
        <w:t>楼</w:t>
      </w:r>
      <w:r>
        <w:rPr>
          <w:spacing w:val="-3"/>
        </w:rPr>
        <w:t>法定代表人：孙永祥</w:t>
      </w:r>
    </w:p>
    <w:p>
      <w:pPr>
        <w:pStyle w:val="BodyText"/>
        <w:spacing w:line="417" w:lineRule="auto"/>
        <w:ind w:left="680" w:right="603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spacing w:line="269" w:lineRule="exact"/>
        <w:ind w:left="680"/>
      </w:pPr>
      <w:r>
        <w:rPr/>
        <w:t>联系人：李欣</w:t>
      </w:r>
    </w:p>
    <w:p>
      <w:pPr>
        <w:pStyle w:val="BodyText"/>
        <w:spacing w:before="6"/>
        <w:rPr>
          <w:sz w:val="15"/>
        </w:rPr>
      </w:pPr>
    </w:p>
    <w:p>
      <w:pPr>
        <w:pStyle w:val="BodyText"/>
        <w:spacing w:line="417" w:lineRule="auto"/>
        <w:ind w:left="680" w:right="6387"/>
        <w:rPr>
          <w:rFonts w:ascii="Times New Roman" w:eastAsia="Times New Roman"/>
        </w:rPr>
      </w:pPr>
      <w:r>
        <w:rPr/>
        <w:t>网址：</w:t>
      </w:r>
      <w:hyperlink r:id="rId80">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万联证券股份有限公司</w:t>
      </w:r>
    </w:p>
    <w:p>
      <w:pPr>
        <w:pStyle w:val="BodyText"/>
        <w:spacing w:before="7"/>
        <w:rPr>
          <w:sz w:val="15"/>
        </w:rPr>
      </w:pPr>
    </w:p>
    <w:p>
      <w:pPr>
        <w:pStyle w:val="BodyText"/>
        <w:ind w:left="680"/>
      </w:pPr>
      <w:r>
        <w:rPr/>
        <w:t>住所：广州市天河区珠江东路</w:t>
      </w:r>
      <w:r>
        <w:rPr>
          <w:rFonts w:ascii="Times New Roman" w:eastAsia="Times New Roman"/>
        </w:rPr>
        <w:t>11</w:t>
      </w:r>
      <w:r>
        <w:rPr/>
        <w:t>号高德置地广场</w:t>
      </w:r>
      <w:r>
        <w:rPr>
          <w:rFonts w:ascii="Times New Roman" w:eastAsia="Times New Roman"/>
        </w:rPr>
        <w:t>F</w:t>
      </w:r>
      <w:r>
        <w:rPr/>
        <w:t>座</w:t>
      </w:r>
      <w:r>
        <w:rPr>
          <w:rFonts w:ascii="Times New Roman" w:eastAsia="Times New Roman"/>
        </w:rPr>
        <w:t>18</w:t>
      </w:r>
      <w:r>
        <w:rPr/>
        <w:t>、</w:t>
      </w:r>
      <w:r>
        <w:rPr>
          <w:rFonts w:ascii="Times New Roman" w:eastAsia="Times New Roman"/>
        </w:rPr>
        <w:t>19</w:t>
      </w:r>
      <w:r>
        <w:rPr/>
        <w:t>楼</w:t>
      </w:r>
    </w:p>
    <w:p>
      <w:pPr>
        <w:pStyle w:val="BodyText"/>
        <w:spacing w:before="7"/>
        <w:rPr>
          <w:sz w:val="15"/>
        </w:rPr>
      </w:pPr>
    </w:p>
    <w:p>
      <w:pPr>
        <w:pStyle w:val="BodyText"/>
        <w:spacing w:line="417" w:lineRule="auto"/>
        <w:ind w:left="680" w:right="2390"/>
      </w:pPr>
      <w:r>
        <w:rPr>
          <w:spacing w:val="-3"/>
        </w:rPr>
        <w:t>办公地址：广州市天河区珠江东路</w:t>
      </w:r>
      <w:r>
        <w:rPr>
          <w:rFonts w:ascii="Times New Roman" w:eastAsia="Times New Roman"/>
          <w:spacing w:val="-5"/>
        </w:rPr>
        <w:t>11</w:t>
      </w:r>
      <w:r>
        <w:rPr>
          <w:spacing w:val="-3"/>
        </w:rPr>
        <w:t>号高德置地广场</w:t>
      </w:r>
      <w:r>
        <w:rPr>
          <w:rFonts w:ascii="Times New Roman" w:eastAsia="Times New Roman"/>
          <w:spacing w:val="-5"/>
        </w:rPr>
        <w:t>F</w:t>
      </w:r>
      <w:r>
        <w:rPr/>
        <w:t>座</w:t>
      </w:r>
      <w:r>
        <w:rPr>
          <w:rFonts w:ascii="Times New Roman" w:eastAsia="Times New Roman"/>
        </w:rPr>
        <w:t>18</w:t>
      </w:r>
      <w:r>
        <w:rPr/>
        <w:t>、</w:t>
      </w:r>
      <w:r>
        <w:rPr>
          <w:rFonts w:ascii="Times New Roman" w:eastAsia="Times New Roman"/>
        </w:rPr>
        <w:t>19</w:t>
      </w:r>
      <w:r>
        <w:rPr/>
        <w:t>楼</w:t>
      </w:r>
      <w:r>
        <w:rPr>
          <w:spacing w:val="-3"/>
        </w:rPr>
        <w:t>法定代表人：张建军</w:t>
      </w:r>
    </w:p>
    <w:p>
      <w:pPr>
        <w:pStyle w:val="BodyText"/>
        <w:spacing w:line="269" w:lineRule="exact"/>
        <w:ind w:left="680"/>
        <w:rPr>
          <w:rFonts w:ascii="Times New Roman" w:eastAsia="Times New Roman"/>
        </w:rPr>
      </w:pPr>
      <w:r>
        <w:rPr>
          <w:spacing w:val="-1"/>
        </w:rPr>
        <w:t>电话：</w:t>
      </w:r>
      <w:r>
        <w:rPr>
          <w:rFonts w:ascii="Times New Roman" w:eastAsia="Times New Roman"/>
          <w:spacing w:val="-1"/>
        </w:rPr>
        <w:t>020-38286588</w:t>
      </w:r>
    </w:p>
    <w:p>
      <w:pPr>
        <w:pStyle w:val="BodyText"/>
        <w:spacing w:before="3"/>
        <w:rPr>
          <w:rFonts w:ascii="Times New Roman"/>
          <w:sz w:val="17"/>
        </w:rPr>
      </w:pPr>
    </w:p>
    <w:p>
      <w:pPr>
        <w:pStyle w:val="BodyText"/>
        <w:ind w:left="68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spacing w:before="1"/>
        <w:ind w:left="680"/>
      </w:pPr>
      <w:r>
        <w:rPr/>
        <w:t>联系人：王鑫</w:t>
      </w:r>
    </w:p>
    <w:p>
      <w:pPr>
        <w:pStyle w:val="BodyText"/>
        <w:spacing w:before="7"/>
        <w:rPr>
          <w:sz w:val="15"/>
        </w:rPr>
      </w:pPr>
    </w:p>
    <w:p>
      <w:pPr>
        <w:pStyle w:val="BodyText"/>
        <w:spacing w:line="417" w:lineRule="auto"/>
        <w:ind w:left="680" w:right="6142"/>
        <w:rPr>
          <w:rFonts w:ascii="Times New Roman" w:eastAsia="Times New Roman"/>
        </w:rPr>
      </w:pPr>
      <w:r>
        <w:rPr/>
        <w:t>网址：</w:t>
      </w:r>
      <w:hyperlink r:id="rId81">
        <w:r>
          <w:rPr>
            <w:rFonts w:ascii="Times New Roman" w:eastAsia="Times New Roman"/>
          </w:rPr>
          <w:t>www.wlzq.com.cn </w:t>
        </w:r>
      </w:hyperlink>
      <w:r>
        <w:rPr/>
        <w:t>客户服务电话：</w:t>
      </w:r>
      <w:r>
        <w:rPr>
          <w:rFonts w:ascii="Times New Roman" w:eastAsia="Times New Roman"/>
        </w:rPr>
        <w:t>95322</w:t>
      </w:r>
    </w:p>
    <w:p>
      <w:pPr>
        <w:spacing w:after="0" w:line="417" w:lineRule="auto"/>
        <w:rPr>
          <w:rFonts w:ascii="Times New Roman" w:eastAsia="Times New Roman"/>
        </w:rPr>
        <w:sectPr>
          <w:pgSz w:w="11910" w:h="16840"/>
          <w:pgMar w:header="877" w:footer="995" w:top="1420" w:bottom="1180" w:left="1540" w:right="1300"/>
        </w:sectPr>
      </w:pPr>
    </w:p>
    <w:p>
      <w:pPr>
        <w:pStyle w:val="ListParagraph"/>
        <w:numPr>
          <w:ilvl w:val="0"/>
          <w:numId w:val="7"/>
        </w:numPr>
        <w:tabs>
          <w:tab w:pos="1315" w:val="left" w:leader="none"/>
        </w:tabs>
        <w:spacing w:line="240" w:lineRule="auto" w:before="110" w:after="0"/>
        <w:ind w:left="1315" w:right="0" w:hanging="635"/>
        <w:jc w:val="left"/>
        <w:rPr>
          <w:sz w:val="21"/>
        </w:rPr>
      </w:pPr>
      <w:r>
        <w:rPr>
          <w:spacing w:val="-3"/>
          <w:sz w:val="21"/>
        </w:rPr>
        <w:t>民生证券股份有限公司</w:t>
      </w:r>
    </w:p>
    <w:p>
      <w:pPr>
        <w:pStyle w:val="BodyText"/>
        <w:spacing w:before="6"/>
        <w:rPr>
          <w:sz w:val="15"/>
        </w:rPr>
      </w:pPr>
    </w:p>
    <w:p>
      <w:pPr>
        <w:pStyle w:val="BodyText"/>
        <w:ind w:left="680"/>
      </w:pPr>
      <w:r>
        <w:rPr/>
        <w:t>住所：北京市东城区建国门内大街</w:t>
      </w:r>
      <w:r>
        <w:rPr>
          <w:rFonts w:ascii="Times New Roman" w:eastAsia="Times New Roman"/>
        </w:rPr>
        <w:t>28</w:t>
      </w:r>
      <w:r>
        <w:rPr/>
        <w:t>号民生金融中心</w:t>
      </w:r>
      <w:r>
        <w:rPr>
          <w:rFonts w:ascii="Times New Roman" w:eastAsia="Times New Roman"/>
        </w:rPr>
        <w:t>A</w:t>
      </w:r>
      <w:r>
        <w:rPr/>
        <w:t>座</w:t>
      </w:r>
      <w:r>
        <w:rPr>
          <w:rFonts w:ascii="Times New Roman" w:eastAsia="Times New Roman"/>
        </w:rPr>
        <w:t>16-20</w:t>
      </w:r>
      <w:r>
        <w:rPr/>
        <w:t>层</w:t>
      </w:r>
    </w:p>
    <w:p>
      <w:pPr>
        <w:pStyle w:val="BodyText"/>
        <w:spacing w:before="7"/>
        <w:rPr>
          <w:sz w:val="15"/>
        </w:rPr>
      </w:pPr>
    </w:p>
    <w:p>
      <w:pPr>
        <w:pStyle w:val="BodyText"/>
        <w:spacing w:line="417" w:lineRule="auto"/>
        <w:ind w:left="680" w:right="2066"/>
      </w:pPr>
      <w:r>
        <w:rPr/>
        <w:t>办公地址：北京市东城区建国门内大街</w:t>
      </w:r>
      <w:r>
        <w:rPr>
          <w:rFonts w:ascii="Times New Roman" w:eastAsia="Times New Roman"/>
        </w:rPr>
        <w:t>28</w:t>
      </w:r>
      <w:r>
        <w:rPr/>
        <w:t>号民生金融中心</w:t>
      </w:r>
      <w:r>
        <w:rPr>
          <w:rFonts w:ascii="Times New Roman" w:eastAsia="Times New Roman"/>
        </w:rPr>
        <w:t>A</w:t>
      </w:r>
      <w:r>
        <w:rPr/>
        <w:t>座</w:t>
      </w:r>
      <w:r>
        <w:rPr>
          <w:rFonts w:ascii="Times New Roman" w:eastAsia="Times New Roman"/>
        </w:rPr>
        <w:t>16-20</w:t>
      </w:r>
      <w:r>
        <w:rPr/>
        <w:t>层法定代表人：冯鹤年</w:t>
      </w:r>
    </w:p>
    <w:p>
      <w:pPr>
        <w:pStyle w:val="BodyText"/>
        <w:spacing w:line="417" w:lineRule="auto"/>
        <w:ind w:left="680" w:right="6526"/>
        <w:rPr>
          <w:rFonts w:ascii="Times New Roman" w:eastAsia="Times New Roman"/>
        </w:rPr>
      </w:pPr>
      <w:r>
        <w:rPr/>
        <w:t>电话：</w:t>
      </w:r>
      <w:r>
        <w:rPr>
          <w:rFonts w:ascii="Times New Roman" w:eastAsia="Times New Roman"/>
        </w:rPr>
        <w:t>010-85127609 </w:t>
      </w:r>
      <w:r>
        <w:rPr/>
        <w:t>传真：</w:t>
      </w:r>
      <w:r>
        <w:rPr>
          <w:rFonts w:ascii="Times New Roman" w:eastAsia="Times New Roman"/>
        </w:rPr>
        <w:t>010-85127641</w:t>
      </w:r>
    </w:p>
    <w:p>
      <w:pPr>
        <w:pStyle w:val="BodyText"/>
        <w:spacing w:line="269" w:lineRule="exact"/>
        <w:ind w:left="680"/>
      </w:pPr>
      <w:r>
        <w:rPr/>
        <w:t>联系人：韩秀萍</w:t>
      </w:r>
    </w:p>
    <w:p>
      <w:pPr>
        <w:pStyle w:val="BodyText"/>
        <w:spacing w:before="7"/>
        <w:rPr>
          <w:sz w:val="15"/>
        </w:rPr>
      </w:pPr>
    </w:p>
    <w:p>
      <w:pPr>
        <w:pStyle w:val="BodyText"/>
        <w:spacing w:line="417" w:lineRule="auto"/>
        <w:ind w:left="680" w:right="6387"/>
        <w:rPr>
          <w:rFonts w:ascii="Times New Roman" w:eastAsia="Times New Roman"/>
        </w:rPr>
      </w:pPr>
      <w:r>
        <w:rPr/>
        <w:t>网址：</w:t>
      </w:r>
      <w:hyperlink r:id="rId82">
        <w:r>
          <w:rPr>
            <w:rFonts w:ascii="Times New Roman" w:eastAsia="Times New Roman"/>
          </w:rPr>
          <w:t>www.mszq.com </w:t>
        </w:r>
      </w:hyperlink>
      <w:r>
        <w:rPr/>
        <w:t>客户服务电话：</w:t>
      </w:r>
      <w:r>
        <w:rPr>
          <w:rFonts w:ascii="Times New Roman" w:eastAsia="Times New Roman"/>
        </w:rPr>
        <w:t>95376</w:t>
      </w:r>
    </w:p>
    <w:p>
      <w:pPr>
        <w:pStyle w:val="ListParagraph"/>
        <w:numPr>
          <w:ilvl w:val="0"/>
          <w:numId w:val="7"/>
        </w:numPr>
        <w:tabs>
          <w:tab w:pos="1315" w:val="left" w:leader="none"/>
        </w:tabs>
        <w:spacing w:line="417" w:lineRule="auto" w:before="0" w:after="0"/>
        <w:ind w:left="680" w:right="5335" w:firstLine="0"/>
        <w:jc w:val="left"/>
        <w:rPr>
          <w:sz w:val="21"/>
        </w:rPr>
      </w:pPr>
      <w:r>
        <w:rPr>
          <w:spacing w:val="-3"/>
          <w:sz w:val="21"/>
        </w:rPr>
        <w:t>国元证券股份有限公司  住所：安徽省合肥市寿春路</w:t>
      </w:r>
      <w:r>
        <w:rPr>
          <w:rFonts w:ascii="Times New Roman" w:eastAsia="Times New Roman"/>
          <w:sz w:val="21"/>
        </w:rPr>
        <w:t>179</w:t>
      </w:r>
      <w:r>
        <w:rPr>
          <w:spacing w:val="-13"/>
          <w:sz w:val="21"/>
        </w:rPr>
        <w:t>号</w:t>
      </w:r>
    </w:p>
    <w:p>
      <w:pPr>
        <w:pStyle w:val="BodyText"/>
        <w:spacing w:line="417" w:lineRule="auto"/>
        <w:ind w:left="680" w:right="4915"/>
      </w:pPr>
      <w:r>
        <w:rPr/>
        <w:t>办公地址：安徽省合肥市寿春路</w:t>
      </w:r>
      <w:r>
        <w:rPr>
          <w:rFonts w:ascii="Times New Roman" w:eastAsia="Times New Roman"/>
        </w:rPr>
        <w:t>179</w:t>
      </w:r>
      <w:r>
        <w:rPr/>
        <w:t>号法定代表人：蔡咏</w:t>
      </w:r>
    </w:p>
    <w:p>
      <w:pPr>
        <w:pStyle w:val="BodyText"/>
        <w:spacing w:line="417" w:lineRule="auto"/>
        <w:ind w:left="680" w:right="6420"/>
        <w:rPr>
          <w:rFonts w:ascii="Times New Roman" w:eastAsia="Times New Roman"/>
        </w:rPr>
      </w:pPr>
      <w:r>
        <w:rPr/>
        <w:t>电话：</w:t>
      </w:r>
      <w:r>
        <w:rPr>
          <w:rFonts w:ascii="Times New Roman" w:eastAsia="Times New Roman"/>
        </w:rPr>
        <w:t>0551-62257012 </w:t>
      </w:r>
      <w:r>
        <w:rPr/>
        <w:t>传真：</w:t>
      </w:r>
      <w:r>
        <w:rPr>
          <w:rFonts w:ascii="Times New Roman" w:eastAsia="Times New Roman"/>
        </w:rPr>
        <w:t>0551-62272100</w:t>
      </w:r>
    </w:p>
    <w:p>
      <w:pPr>
        <w:pStyle w:val="BodyText"/>
        <w:ind w:left="680"/>
      </w:pPr>
      <w:r>
        <w:rPr/>
        <w:t>联系人：祝丽萍</w:t>
      </w:r>
    </w:p>
    <w:p>
      <w:pPr>
        <w:pStyle w:val="BodyText"/>
        <w:spacing w:before="6"/>
        <w:rPr>
          <w:sz w:val="15"/>
        </w:rPr>
      </w:pPr>
    </w:p>
    <w:p>
      <w:pPr>
        <w:pStyle w:val="BodyText"/>
        <w:spacing w:line="417" w:lineRule="auto"/>
        <w:ind w:left="680" w:right="6143"/>
        <w:rPr>
          <w:rFonts w:ascii="Times New Roman" w:eastAsia="Times New Roman"/>
        </w:rPr>
      </w:pPr>
      <w:r>
        <w:rPr/>
        <w:t>网址：</w:t>
      </w:r>
      <w:hyperlink r:id="rId83">
        <w:r>
          <w:rPr>
            <w:rFonts w:ascii="Times New Roman" w:eastAsia="Times New Roman"/>
          </w:rPr>
          <w:t>www.gyzq.com.cn </w:t>
        </w:r>
      </w:hyperlink>
      <w:r>
        <w:rPr/>
        <w:t>客户服务电话：</w:t>
      </w:r>
      <w:r>
        <w:rPr>
          <w:rFonts w:ascii="Times New Roman" w:eastAsia="Times New Roman"/>
        </w:rPr>
        <w:t>95578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渤海证券股份有限公司</w:t>
      </w:r>
    </w:p>
    <w:p>
      <w:pPr>
        <w:pStyle w:val="BodyText"/>
        <w:spacing w:before="7"/>
        <w:rPr>
          <w:sz w:val="15"/>
        </w:rPr>
      </w:pPr>
    </w:p>
    <w:p>
      <w:pPr>
        <w:pStyle w:val="BodyText"/>
        <w:spacing w:line="417" w:lineRule="auto"/>
        <w:ind w:left="680" w:right="3446"/>
      </w:pPr>
      <w:r>
        <w:rPr/>
        <w:t>住所：天津经济技术开发区第二大街</w:t>
      </w:r>
      <w:r>
        <w:rPr>
          <w:rFonts w:ascii="Times New Roman" w:eastAsia="Times New Roman"/>
        </w:rPr>
        <w:t>42</w:t>
      </w:r>
      <w:r>
        <w:rPr/>
        <w:t>号写字楼</w:t>
      </w:r>
      <w:r>
        <w:rPr>
          <w:rFonts w:ascii="Times New Roman" w:eastAsia="Times New Roman"/>
        </w:rPr>
        <w:t>101</w:t>
      </w:r>
      <w:r>
        <w:rPr/>
        <w:t>室办公地址：天津市南开区滨水西道</w:t>
      </w:r>
      <w:r>
        <w:rPr>
          <w:rFonts w:ascii="Times New Roman" w:eastAsia="Times New Roman"/>
        </w:rPr>
        <w:t>8</w:t>
      </w:r>
      <w:r>
        <w:rPr/>
        <w:t>号</w:t>
      </w:r>
    </w:p>
    <w:p>
      <w:pPr>
        <w:pStyle w:val="BodyText"/>
        <w:spacing w:line="417" w:lineRule="auto"/>
        <w:ind w:left="680" w:right="6490"/>
        <w:jc w:val="both"/>
        <w:rPr>
          <w:rFonts w:ascii="Times New Roman" w:eastAsia="Times New Roman"/>
        </w:rPr>
      </w:pPr>
      <w:r>
        <w:rPr/>
        <w:t>法定代表人：王春峰电话：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680"/>
      </w:pPr>
      <w:r>
        <w:rPr/>
        <w:t>联系人：蔡霆</w:t>
      </w:r>
    </w:p>
    <w:p>
      <w:pPr>
        <w:pStyle w:val="BodyText"/>
        <w:spacing w:before="7"/>
        <w:rPr>
          <w:sz w:val="15"/>
        </w:rPr>
      </w:pPr>
    </w:p>
    <w:p>
      <w:pPr>
        <w:pStyle w:val="BodyText"/>
        <w:ind w:left="680"/>
        <w:rPr>
          <w:rFonts w:ascii="Times New Roman" w:eastAsia="Times New Roman"/>
        </w:rPr>
      </w:pPr>
      <w:r>
        <w:rPr/>
        <w:t>网址：</w:t>
      </w:r>
      <w:hyperlink r:id="rId84">
        <w:r>
          <w:rPr>
            <w:rFonts w:ascii="Times New Roman" w:eastAsia="Times New Roman"/>
          </w:rPr>
          <w:t>www.ewww.com.cn</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400-651-5988</w:t>
      </w:r>
    </w:p>
    <w:p>
      <w:pPr>
        <w:pStyle w:val="BodyText"/>
        <w:spacing w:before="3"/>
        <w:rPr>
          <w:rFonts w:ascii="Times New Roman"/>
          <w:sz w:val="17"/>
        </w:rPr>
      </w:pPr>
    </w:p>
    <w:p>
      <w:pPr>
        <w:pStyle w:val="ListParagraph"/>
        <w:numPr>
          <w:ilvl w:val="0"/>
          <w:numId w:val="7"/>
        </w:numPr>
        <w:tabs>
          <w:tab w:pos="1315" w:val="left" w:leader="none"/>
        </w:tabs>
        <w:spacing w:line="240" w:lineRule="auto" w:before="1" w:after="0"/>
        <w:ind w:left="131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680"/>
        <w:rPr>
          <w:rFonts w:ascii="Times New Roman" w:eastAsia="Times New Roman"/>
        </w:rPr>
      </w:pPr>
      <w:r>
        <w:rPr/>
        <w:t>住所：山东省青岛市崂山区深圳路</w:t>
      </w:r>
      <w:r>
        <w:rPr>
          <w:rFonts w:ascii="Times New Roman" w:eastAsia="Times New Roman"/>
        </w:rPr>
        <w:t>222</w:t>
      </w:r>
      <w:r>
        <w:rPr/>
        <w:t>号</w:t>
      </w:r>
      <w:r>
        <w:rPr>
          <w:rFonts w:ascii="Times New Roman" w:eastAsia="Times New Roman"/>
        </w:rPr>
        <w:t>1</w:t>
      </w:r>
      <w:r>
        <w:rPr/>
        <w:t>号楼</w:t>
      </w:r>
      <w:r>
        <w:rPr>
          <w:rFonts w:ascii="Times New Roman" w:eastAsia="Times New Roman"/>
        </w:rPr>
        <w:t>2001</w:t>
      </w:r>
    </w:p>
    <w:p>
      <w:pPr>
        <w:pStyle w:val="BodyText"/>
        <w:spacing w:before="3"/>
        <w:rPr>
          <w:rFonts w:ascii="Times New Roman"/>
          <w:sz w:val="17"/>
        </w:rPr>
      </w:pPr>
    </w:p>
    <w:p>
      <w:pPr>
        <w:pStyle w:val="BodyText"/>
        <w:ind w:left="680"/>
      </w:pPr>
      <w:r>
        <w:rPr/>
        <w:t>办公地址：山东省青岛市市南区东海西路</w:t>
      </w:r>
      <w:r>
        <w:rPr>
          <w:rFonts w:ascii="Times New Roman" w:eastAsia="Times New Roman"/>
        </w:rPr>
        <w:t>28</w:t>
      </w:r>
      <w:r>
        <w:rPr/>
        <w:t>号龙翔广场东座</w:t>
      </w:r>
      <w:r>
        <w:rPr>
          <w:rFonts w:ascii="Times New Roman" w:eastAsia="Times New Roman"/>
        </w:rPr>
        <w:t>5</w:t>
      </w:r>
      <w:r>
        <w:rPr/>
        <w:t>层</w:t>
      </w:r>
    </w:p>
    <w:p>
      <w:pPr>
        <w:spacing w:after="0"/>
        <w:sectPr>
          <w:pgSz w:w="11910" w:h="16840"/>
          <w:pgMar w:header="877" w:footer="995" w:top="1420" w:bottom="1180" w:left="1540" w:right="1300"/>
        </w:sectPr>
      </w:pPr>
    </w:p>
    <w:p>
      <w:pPr>
        <w:pStyle w:val="BodyText"/>
        <w:spacing w:line="417" w:lineRule="auto" w:before="110"/>
        <w:ind w:left="680" w:right="6420"/>
        <w:rPr>
          <w:rFonts w:ascii="Times New Roman" w:eastAsia="Times New Roman"/>
        </w:rPr>
      </w:pPr>
      <w:r>
        <w:rPr/>
        <w:t>法定代表人：姜晓林电话：</w:t>
      </w:r>
      <w:r>
        <w:rPr>
          <w:rFonts w:ascii="Times New Roman" w:eastAsia="Times New Roman"/>
        </w:rPr>
        <w:t>0531-89606165 </w:t>
      </w:r>
      <w:r>
        <w:rPr/>
        <w:t>传真：</w:t>
      </w:r>
      <w:r>
        <w:rPr>
          <w:rFonts w:ascii="Times New Roman" w:eastAsia="Times New Roman"/>
        </w:rPr>
        <w:t>0532-85022605</w:t>
      </w:r>
    </w:p>
    <w:p>
      <w:pPr>
        <w:pStyle w:val="BodyText"/>
        <w:spacing w:line="269" w:lineRule="exact"/>
        <w:ind w:left="680"/>
      </w:pPr>
      <w:r>
        <w:rPr/>
        <w:t>联系人：刘晓明</w:t>
      </w:r>
    </w:p>
    <w:p>
      <w:pPr>
        <w:pStyle w:val="BodyText"/>
        <w:spacing w:before="6"/>
        <w:rPr>
          <w:sz w:val="15"/>
        </w:rPr>
      </w:pPr>
    </w:p>
    <w:p>
      <w:pPr>
        <w:pStyle w:val="BodyText"/>
        <w:spacing w:line="417" w:lineRule="auto"/>
        <w:ind w:left="680" w:right="6155"/>
        <w:rPr>
          <w:rFonts w:ascii="Times New Roman" w:eastAsia="Times New Roman"/>
        </w:rPr>
      </w:pPr>
      <w:r>
        <w:rPr/>
        <w:t>网址：</w:t>
      </w:r>
      <w:hyperlink r:id="rId85">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7"/>
        </w:numPr>
        <w:tabs>
          <w:tab w:pos="1315" w:val="left" w:leader="none"/>
        </w:tabs>
        <w:spacing w:line="417" w:lineRule="auto" w:before="0" w:after="0"/>
        <w:ind w:left="680" w:right="5335" w:firstLine="0"/>
        <w:jc w:val="left"/>
        <w:rPr>
          <w:sz w:val="21"/>
        </w:rPr>
      </w:pPr>
      <w:r>
        <w:rPr>
          <w:spacing w:val="-3"/>
          <w:sz w:val="21"/>
        </w:rPr>
        <w:t>东吴证券股份有限公司  住所：苏州工业园区翠园路</w:t>
      </w:r>
      <w:r>
        <w:rPr>
          <w:rFonts w:ascii="Times New Roman" w:eastAsia="Times New Roman"/>
          <w:sz w:val="21"/>
        </w:rPr>
        <w:t>181</w:t>
      </w:r>
      <w:r>
        <w:rPr>
          <w:spacing w:val="-13"/>
          <w:sz w:val="21"/>
        </w:rPr>
        <w:t>号</w:t>
      </w:r>
    </w:p>
    <w:p>
      <w:pPr>
        <w:pStyle w:val="BodyText"/>
        <w:spacing w:line="417" w:lineRule="auto"/>
        <w:ind w:left="680" w:right="5124"/>
      </w:pPr>
      <w:r>
        <w:rPr/>
        <w:t>办公地址：苏州工业园区星阳街</w:t>
      </w:r>
      <w:r>
        <w:rPr>
          <w:rFonts w:ascii="Times New Roman" w:eastAsia="Times New Roman"/>
        </w:rPr>
        <w:t>5</w:t>
      </w:r>
      <w:r>
        <w:rPr/>
        <w:t>号法定代表人：范力</w:t>
      </w:r>
    </w:p>
    <w:p>
      <w:pPr>
        <w:pStyle w:val="BodyText"/>
        <w:spacing w:line="417" w:lineRule="auto"/>
        <w:ind w:left="680" w:right="642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ind w:left="680"/>
      </w:pPr>
      <w:r>
        <w:rPr/>
        <w:t>联系人：方晓丹</w:t>
      </w:r>
    </w:p>
    <w:p>
      <w:pPr>
        <w:pStyle w:val="BodyText"/>
        <w:spacing w:before="7"/>
        <w:rPr>
          <w:sz w:val="15"/>
        </w:rPr>
      </w:pPr>
    </w:p>
    <w:p>
      <w:pPr>
        <w:pStyle w:val="BodyText"/>
        <w:spacing w:line="417" w:lineRule="auto"/>
        <w:ind w:left="680" w:right="6095"/>
        <w:rPr>
          <w:rFonts w:ascii="Times New Roman" w:eastAsia="Times New Roman"/>
        </w:rPr>
      </w:pPr>
      <w:r>
        <w:rPr/>
        <w:t>网址：</w:t>
      </w:r>
      <w:hyperlink r:id="rId86">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信达证券股份有限公司</w:t>
      </w:r>
    </w:p>
    <w:p>
      <w:pPr>
        <w:pStyle w:val="BodyText"/>
        <w:spacing w:before="6"/>
        <w:rPr>
          <w:sz w:val="15"/>
        </w:rPr>
      </w:pPr>
    </w:p>
    <w:p>
      <w:pPr>
        <w:pStyle w:val="BodyText"/>
        <w:spacing w:before="1"/>
        <w:ind w:left="680"/>
      </w:pPr>
      <w:r>
        <w:rPr/>
        <w:t>住所：北京市西城区闹市口大街</w:t>
      </w:r>
      <w:r>
        <w:rPr>
          <w:rFonts w:ascii="Times New Roman" w:eastAsia="Times New Roman"/>
        </w:rPr>
        <w:t>9</w:t>
      </w:r>
      <w:r>
        <w:rPr/>
        <w:t>号院</w:t>
      </w:r>
      <w:r>
        <w:rPr>
          <w:rFonts w:ascii="Times New Roman" w:eastAsia="Times New Roman"/>
        </w:rPr>
        <w:t>1</w:t>
      </w:r>
      <w:r>
        <w:rPr/>
        <w:t>号楼</w:t>
      </w:r>
    </w:p>
    <w:p>
      <w:pPr>
        <w:pStyle w:val="BodyText"/>
        <w:spacing w:before="6"/>
        <w:rPr>
          <w:sz w:val="15"/>
        </w:rPr>
      </w:pPr>
    </w:p>
    <w:p>
      <w:pPr>
        <w:pStyle w:val="BodyText"/>
        <w:spacing w:line="417" w:lineRule="auto"/>
        <w:ind w:left="680" w:right="3972"/>
      </w:pPr>
      <w:r>
        <w:rPr/>
        <w:t>办公地址：北京市西城区闹市口大街</w:t>
      </w:r>
      <w:r>
        <w:rPr>
          <w:rFonts w:ascii="Times New Roman" w:eastAsia="Times New Roman"/>
        </w:rPr>
        <w:t>9</w:t>
      </w:r>
      <w:r>
        <w:rPr/>
        <w:t>号院</w:t>
      </w:r>
      <w:r>
        <w:rPr>
          <w:rFonts w:ascii="Times New Roman" w:eastAsia="Times New Roman"/>
        </w:rPr>
        <w:t>1</w:t>
      </w:r>
      <w:r>
        <w:rPr/>
        <w:t>号楼法定代表人：肖林</w:t>
      </w:r>
    </w:p>
    <w:p>
      <w:pPr>
        <w:pStyle w:val="BodyText"/>
        <w:spacing w:line="417" w:lineRule="auto"/>
        <w:ind w:left="680" w:right="6526"/>
        <w:rPr>
          <w:rFonts w:ascii="Times New Roman" w:eastAsia="Times New Roman"/>
        </w:rPr>
      </w:pPr>
      <w:r>
        <w:rPr/>
        <w:t>电话：</w:t>
      </w:r>
      <w:r>
        <w:rPr>
          <w:rFonts w:ascii="Times New Roman" w:eastAsia="Times New Roman"/>
        </w:rPr>
        <w:t>010-83252185 </w:t>
      </w:r>
      <w:r>
        <w:rPr/>
        <w:t>传真：</w:t>
      </w:r>
      <w:r>
        <w:rPr>
          <w:rFonts w:ascii="Times New Roman" w:eastAsia="Times New Roman"/>
        </w:rPr>
        <w:t>010-63080978</w:t>
      </w:r>
    </w:p>
    <w:p>
      <w:pPr>
        <w:pStyle w:val="BodyText"/>
        <w:ind w:left="680"/>
      </w:pPr>
      <w:r>
        <w:rPr/>
        <w:t>联系人：付婷</w:t>
      </w:r>
    </w:p>
    <w:p>
      <w:pPr>
        <w:pStyle w:val="BodyText"/>
        <w:spacing w:before="7"/>
        <w:rPr>
          <w:sz w:val="15"/>
        </w:rPr>
      </w:pPr>
    </w:p>
    <w:p>
      <w:pPr>
        <w:pStyle w:val="BodyText"/>
        <w:spacing w:line="417" w:lineRule="auto"/>
        <w:ind w:left="680" w:right="6170"/>
        <w:rPr>
          <w:rFonts w:ascii="Times New Roman" w:eastAsia="Times New Roman"/>
        </w:rPr>
      </w:pPr>
      <w:r>
        <w:rPr/>
        <w:t>网址：</w:t>
      </w:r>
      <w:hyperlink r:id="rId87">
        <w:r>
          <w:rPr>
            <w:rFonts w:ascii="Times New Roman" w:eastAsia="Times New Roman"/>
          </w:rPr>
          <w:t>www.cindasc.com </w:t>
        </w:r>
      </w:hyperlink>
      <w:r>
        <w:rPr/>
        <w:t>客户服务电话：</w:t>
      </w:r>
      <w:r>
        <w:rPr>
          <w:rFonts w:ascii="Times New Roman" w:eastAsia="Times New Roman"/>
        </w:rPr>
        <w:t>95321</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长城证券股份有限公司</w:t>
      </w:r>
    </w:p>
    <w:p>
      <w:pPr>
        <w:pStyle w:val="BodyText"/>
        <w:spacing w:before="7"/>
        <w:rPr>
          <w:sz w:val="15"/>
        </w:rPr>
      </w:pPr>
    </w:p>
    <w:p>
      <w:pPr>
        <w:pStyle w:val="BodyText"/>
        <w:ind w:left="680"/>
      </w:pPr>
      <w:r>
        <w:rPr/>
        <w:t>住所：深圳市福田区福田街道金田路</w:t>
      </w:r>
      <w:r>
        <w:rPr>
          <w:rFonts w:ascii="Times New Roman" w:eastAsia="Times New Roman"/>
        </w:rPr>
        <w:t>2026</w:t>
      </w:r>
      <w:r>
        <w:rPr/>
        <w:t>号能源大厦南塔楼</w:t>
      </w:r>
      <w:r>
        <w:rPr>
          <w:rFonts w:ascii="Times New Roman" w:eastAsia="Times New Roman"/>
        </w:rPr>
        <w:t>10-19</w:t>
      </w:r>
      <w:r>
        <w:rPr/>
        <w:t>层</w:t>
      </w:r>
    </w:p>
    <w:p>
      <w:pPr>
        <w:pStyle w:val="BodyText"/>
        <w:spacing w:before="6"/>
        <w:rPr>
          <w:sz w:val="15"/>
        </w:rPr>
      </w:pPr>
    </w:p>
    <w:p>
      <w:pPr>
        <w:pStyle w:val="BodyText"/>
        <w:spacing w:line="417" w:lineRule="auto" w:before="1"/>
        <w:ind w:left="680" w:right="1797"/>
      </w:pPr>
      <w:r>
        <w:rPr/>
        <w:t>办公地址：深圳市福田区福田街道金田路</w:t>
      </w:r>
      <w:r>
        <w:rPr>
          <w:rFonts w:ascii="Times New Roman" w:eastAsia="Times New Roman"/>
        </w:rPr>
        <w:t>2026</w:t>
      </w:r>
      <w:r>
        <w:rPr/>
        <w:t>号能源大厦南塔楼</w:t>
      </w:r>
      <w:r>
        <w:rPr>
          <w:rFonts w:ascii="Times New Roman" w:eastAsia="Times New Roman"/>
        </w:rPr>
        <w:t>10-19</w:t>
      </w:r>
      <w:r>
        <w:rPr/>
        <w:t>层法定代表人：曹宏</w:t>
      </w:r>
    </w:p>
    <w:p>
      <w:pPr>
        <w:pStyle w:val="BodyText"/>
        <w:spacing w:line="417" w:lineRule="auto"/>
        <w:ind w:left="680" w:right="6420"/>
        <w:rPr>
          <w:rFonts w:ascii="Times New Roman" w:eastAsia="Times New Roman"/>
        </w:rPr>
      </w:pPr>
      <w:r>
        <w:rPr/>
        <w:t>电话：</w:t>
      </w:r>
      <w:r>
        <w:rPr>
          <w:rFonts w:ascii="Times New Roman" w:eastAsia="Times New Roman"/>
        </w:rPr>
        <w:t>0755-83530715 </w:t>
      </w:r>
      <w:r>
        <w:rPr/>
        <w:t>传真：</w:t>
      </w:r>
      <w:r>
        <w:rPr>
          <w:rFonts w:ascii="Times New Roman" w:eastAsia="Times New Roman"/>
        </w:rPr>
        <w:t>0755-83515567</w:t>
      </w:r>
    </w:p>
    <w:p>
      <w:pPr>
        <w:spacing w:after="0" w:line="417" w:lineRule="auto"/>
        <w:rPr>
          <w:rFonts w:ascii="Times New Roman" w:eastAsia="Times New Roman"/>
        </w:rPr>
        <w:sectPr>
          <w:pgSz w:w="11910" w:h="16840"/>
          <w:pgMar w:header="877" w:footer="995" w:top="1420" w:bottom="1180" w:left="1540" w:right="1300"/>
        </w:sectPr>
      </w:pPr>
    </w:p>
    <w:p>
      <w:pPr>
        <w:pStyle w:val="BodyText"/>
        <w:spacing w:before="110"/>
        <w:ind w:left="680"/>
      </w:pPr>
      <w:r>
        <w:rPr/>
        <w:t>联系人：梁浩</w:t>
      </w:r>
    </w:p>
    <w:p>
      <w:pPr>
        <w:pStyle w:val="BodyText"/>
        <w:spacing w:before="6"/>
        <w:rPr>
          <w:sz w:val="15"/>
        </w:rPr>
      </w:pPr>
    </w:p>
    <w:p>
      <w:pPr>
        <w:pStyle w:val="BodyText"/>
        <w:spacing w:line="417" w:lineRule="auto"/>
        <w:ind w:left="680" w:right="6387"/>
        <w:rPr>
          <w:rFonts w:ascii="Times New Roman" w:eastAsia="Times New Roman"/>
        </w:rPr>
      </w:pPr>
      <w:r>
        <w:rPr/>
        <w:t>网址：</w:t>
      </w:r>
      <w:hyperlink r:id="rId88">
        <w:r>
          <w:rPr>
            <w:rFonts w:ascii="Times New Roman" w:eastAsia="Times New Roman"/>
          </w:rPr>
          <w:t>www.cgws.com </w:t>
        </w:r>
      </w:hyperlink>
      <w:r>
        <w:rPr/>
        <w:t>客户服务电话：</w:t>
      </w:r>
      <w:r>
        <w:rPr>
          <w:rFonts w:ascii="Times New Roman" w:eastAsia="Times New Roman"/>
        </w:rPr>
        <w:t>95514</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光大证券股份有限公司</w:t>
      </w:r>
    </w:p>
    <w:p>
      <w:pPr>
        <w:pStyle w:val="BodyText"/>
        <w:spacing w:before="7"/>
        <w:rPr>
          <w:sz w:val="15"/>
        </w:rPr>
      </w:pPr>
    </w:p>
    <w:p>
      <w:pPr>
        <w:pStyle w:val="BodyText"/>
        <w:ind w:left="680"/>
      </w:pPr>
      <w:r>
        <w:rPr/>
        <w:t>住所：上海市静安区新闸路</w:t>
      </w:r>
      <w:r>
        <w:rPr>
          <w:rFonts w:ascii="Times New Roman" w:eastAsia="Times New Roman"/>
        </w:rPr>
        <w:t>1508</w:t>
      </w:r>
      <w:r>
        <w:rPr/>
        <w:t>号</w:t>
      </w:r>
    </w:p>
    <w:p>
      <w:pPr>
        <w:pStyle w:val="BodyText"/>
        <w:spacing w:before="7"/>
        <w:rPr>
          <w:sz w:val="15"/>
        </w:rPr>
      </w:pPr>
    </w:p>
    <w:p>
      <w:pPr>
        <w:pStyle w:val="BodyText"/>
        <w:spacing w:line="417" w:lineRule="auto"/>
        <w:ind w:left="680" w:right="4809"/>
      </w:pPr>
      <w:r>
        <w:rPr/>
        <w:t>办公地址：上海市静安区新闸路</w:t>
      </w:r>
      <w:r>
        <w:rPr>
          <w:rFonts w:ascii="Times New Roman" w:eastAsia="Times New Roman"/>
        </w:rPr>
        <w:t>1508</w:t>
      </w:r>
      <w:r>
        <w:rPr/>
        <w:t>号法定代表人：薛峰</w:t>
      </w:r>
    </w:p>
    <w:p>
      <w:pPr>
        <w:pStyle w:val="BodyText"/>
        <w:spacing w:line="417" w:lineRule="auto"/>
        <w:ind w:left="680" w:right="652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680"/>
      </w:pPr>
      <w:r>
        <w:rPr/>
        <w:t>联系人：刘晨</w:t>
      </w:r>
    </w:p>
    <w:p>
      <w:pPr>
        <w:pStyle w:val="BodyText"/>
        <w:spacing w:before="7"/>
        <w:rPr>
          <w:sz w:val="15"/>
        </w:rPr>
      </w:pPr>
    </w:p>
    <w:p>
      <w:pPr>
        <w:pStyle w:val="BodyText"/>
        <w:ind w:left="680"/>
        <w:rPr>
          <w:rFonts w:ascii="Times New Roman" w:eastAsia="Times New Roman"/>
        </w:rPr>
      </w:pPr>
      <w:r>
        <w:rPr/>
        <w:t>网址：</w:t>
      </w:r>
      <w:hyperlink r:id="rId89">
        <w:r>
          <w:rPr>
            <w:rFonts w:ascii="Times New Roman" w:eastAsia="Times New Roman"/>
          </w:rPr>
          <w:t>www.ebscn.com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中信证券华南股份有限公司</w:t>
      </w:r>
    </w:p>
    <w:p>
      <w:pPr>
        <w:pStyle w:val="BodyText"/>
        <w:spacing w:before="6"/>
        <w:rPr>
          <w:sz w:val="15"/>
        </w:rPr>
      </w:pPr>
    </w:p>
    <w:p>
      <w:pPr>
        <w:pStyle w:val="BodyText"/>
        <w:spacing w:before="1"/>
        <w:ind w:left="680"/>
      </w:pPr>
      <w:r>
        <w:rPr/>
        <w:t>住所：广州市天河区珠江西路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w:t>
      </w:r>
    </w:p>
    <w:p>
      <w:pPr>
        <w:pStyle w:val="BodyText"/>
        <w:spacing w:before="7"/>
        <w:rPr>
          <w:sz w:val="15"/>
        </w:rPr>
      </w:pPr>
    </w:p>
    <w:p>
      <w:pPr>
        <w:pStyle w:val="BodyText"/>
        <w:spacing w:line="417" w:lineRule="auto"/>
        <w:ind w:left="680" w:right="1763"/>
      </w:pPr>
      <w:r>
        <w:rPr/>
        <w:t>办公地址：广州市天河区珠江西路</w:t>
      </w:r>
      <w:r>
        <w:rPr>
          <w:rFonts w:ascii="Times New Roman" w:eastAsia="Times New Roman"/>
        </w:rPr>
        <w:t>5</w:t>
      </w:r>
      <w:r>
        <w:rPr/>
        <w:t>号广州国际金融中心主塔</w:t>
      </w:r>
      <w:r>
        <w:rPr>
          <w:rFonts w:ascii="Times New Roman" w:eastAsia="Times New Roman"/>
        </w:rPr>
        <w:t>19</w:t>
      </w:r>
      <w:r>
        <w:rPr/>
        <w:t>层、</w:t>
      </w:r>
      <w:r>
        <w:rPr>
          <w:rFonts w:ascii="Times New Roman" w:eastAsia="Times New Roman"/>
        </w:rPr>
        <w:t>20</w:t>
      </w:r>
      <w:r>
        <w:rPr/>
        <w:t>层法定代表人：胡伏云</w:t>
      </w:r>
    </w:p>
    <w:p>
      <w:pPr>
        <w:pStyle w:val="BodyText"/>
        <w:spacing w:line="417" w:lineRule="auto"/>
        <w:ind w:left="680" w:right="652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680"/>
      </w:pPr>
      <w:r>
        <w:rPr/>
        <w:t>联系人：陈靖</w:t>
      </w:r>
    </w:p>
    <w:p>
      <w:pPr>
        <w:pStyle w:val="BodyText"/>
        <w:spacing w:before="6"/>
        <w:rPr>
          <w:sz w:val="15"/>
        </w:rPr>
      </w:pPr>
    </w:p>
    <w:p>
      <w:pPr>
        <w:pStyle w:val="BodyText"/>
        <w:spacing w:line="417" w:lineRule="auto"/>
        <w:ind w:left="680" w:right="6271"/>
        <w:rPr>
          <w:rFonts w:ascii="Times New Roman" w:eastAsia="Times New Roman"/>
        </w:rPr>
      </w:pPr>
      <w:r>
        <w:rPr/>
        <w:t>网址：</w:t>
      </w:r>
      <w:hyperlink r:id="rId90">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7"/>
        </w:numPr>
        <w:tabs>
          <w:tab w:pos="1315" w:val="left" w:leader="none"/>
        </w:tabs>
        <w:spacing w:line="417" w:lineRule="auto" w:before="0" w:after="0"/>
        <w:ind w:left="680" w:right="5650" w:firstLine="0"/>
        <w:jc w:val="left"/>
        <w:rPr>
          <w:sz w:val="21"/>
        </w:rPr>
      </w:pPr>
      <w:r>
        <w:rPr>
          <w:spacing w:val="-5"/>
          <w:sz w:val="21"/>
        </w:rPr>
        <w:t>东北证券股份有限公司</w:t>
      </w:r>
      <w:r>
        <w:rPr>
          <w:spacing w:val="-3"/>
          <w:sz w:val="21"/>
        </w:rPr>
        <w:t>住所：长春市生态大街</w:t>
      </w:r>
      <w:r>
        <w:rPr>
          <w:rFonts w:ascii="Times New Roman" w:eastAsia="Times New Roman"/>
          <w:sz w:val="21"/>
        </w:rPr>
        <w:t>6666</w:t>
      </w:r>
      <w:r>
        <w:rPr>
          <w:spacing w:val="-11"/>
          <w:sz w:val="21"/>
        </w:rPr>
        <w:t>号</w:t>
      </w:r>
    </w:p>
    <w:p>
      <w:pPr>
        <w:pStyle w:val="BodyText"/>
        <w:spacing w:line="417" w:lineRule="auto"/>
        <w:ind w:left="680" w:right="5229"/>
      </w:pPr>
      <w:r>
        <w:rPr/>
        <w:t>办公地址：长春市生态大街</w:t>
      </w:r>
      <w:r>
        <w:rPr>
          <w:rFonts w:ascii="Times New Roman" w:eastAsia="Times New Roman"/>
        </w:rPr>
        <w:t>6666</w:t>
      </w:r>
      <w:r>
        <w:rPr/>
        <w:t>号法定代表人：李福春</w:t>
      </w:r>
    </w:p>
    <w:p>
      <w:pPr>
        <w:pStyle w:val="BodyText"/>
        <w:spacing w:line="417" w:lineRule="auto"/>
        <w:ind w:left="680" w:right="642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680" w:right="6634"/>
        <w:rPr>
          <w:rFonts w:ascii="Times New Roman" w:eastAsia="Times New Roman"/>
        </w:rPr>
      </w:pPr>
      <w:r>
        <w:rPr>
          <w:spacing w:val="-2"/>
        </w:rPr>
        <w:t>联系人：安岩岩 </w:t>
      </w:r>
      <w:r>
        <w:rPr>
          <w:spacing w:val="-3"/>
        </w:rPr>
        <w:t>网址：</w:t>
      </w:r>
      <w:hyperlink r:id="rId91">
        <w:r>
          <w:rPr>
            <w:rFonts w:ascii="Times New Roman" w:eastAsia="Times New Roman"/>
            <w:spacing w:val="-4"/>
          </w:rPr>
          <w:t>www.nesc.cn</w:t>
        </w:r>
      </w:hyperlink>
    </w:p>
    <w:p>
      <w:pPr>
        <w:pStyle w:val="BodyText"/>
        <w:ind w:left="680"/>
        <w:rPr>
          <w:rFonts w:ascii="Times New Roman" w:eastAsia="Times New Roman"/>
        </w:rPr>
      </w:pPr>
      <w:r>
        <w:rPr/>
        <w:t>客户服务电话：</w:t>
      </w:r>
      <w:r>
        <w:rPr>
          <w:rFonts w:ascii="Times New Roman" w:eastAsia="Times New Roman"/>
        </w:rPr>
        <w:t>95360</w:t>
      </w:r>
    </w:p>
    <w:p>
      <w:pPr>
        <w:spacing w:after="0"/>
        <w:rPr>
          <w:rFonts w:ascii="Times New Roman" w:eastAsia="Times New Roman"/>
        </w:rPr>
        <w:sectPr>
          <w:pgSz w:w="11910" w:h="16840"/>
          <w:pgMar w:header="877" w:footer="995" w:top="1420" w:bottom="1180" w:left="1540" w:right="1300"/>
        </w:sectPr>
      </w:pPr>
    </w:p>
    <w:p>
      <w:pPr>
        <w:pStyle w:val="ListParagraph"/>
        <w:numPr>
          <w:ilvl w:val="0"/>
          <w:numId w:val="7"/>
        </w:numPr>
        <w:tabs>
          <w:tab w:pos="1315" w:val="left" w:leader="none"/>
        </w:tabs>
        <w:spacing w:line="240" w:lineRule="auto" w:before="110" w:after="0"/>
        <w:ind w:left="1315" w:right="0" w:hanging="635"/>
        <w:jc w:val="left"/>
        <w:rPr>
          <w:sz w:val="21"/>
        </w:rPr>
      </w:pPr>
      <w:r>
        <w:rPr>
          <w:spacing w:val="-3"/>
          <w:sz w:val="21"/>
        </w:rPr>
        <w:t>南京证券股份有限公司</w:t>
      </w:r>
    </w:p>
    <w:p>
      <w:pPr>
        <w:pStyle w:val="BodyText"/>
        <w:spacing w:before="6"/>
        <w:rPr>
          <w:sz w:val="15"/>
        </w:rPr>
      </w:pPr>
    </w:p>
    <w:p>
      <w:pPr>
        <w:pStyle w:val="BodyText"/>
        <w:ind w:left="680"/>
      </w:pPr>
      <w:r>
        <w:rPr/>
        <w:t>住所：江苏省南京市江东中路</w:t>
      </w:r>
      <w:r>
        <w:rPr>
          <w:rFonts w:ascii="Times New Roman" w:eastAsia="Times New Roman"/>
        </w:rPr>
        <w:t>389</w:t>
      </w:r>
      <w:r>
        <w:rPr/>
        <w:t>号</w:t>
      </w:r>
    </w:p>
    <w:p>
      <w:pPr>
        <w:pStyle w:val="BodyText"/>
        <w:spacing w:before="7"/>
        <w:rPr>
          <w:sz w:val="15"/>
        </w:rPr>
      </w:pPr>
    </w:p>
    <w:p>
      <w:pPr>
        <w:pStyle w:val="BodyText"/>
        <w:spacing w:line="417" w:lineRule="auto"/>
        <w:ind w:left="680" w:right="4704"/>
      </w:pPr>
      <w:r>
        <w:rPr/>
        <w:t>办公地址：江苏省南京市江东中路</w:t>
      </w:r>
      <w:r>
        <w:rPr>
          <w:rFonts w:ascii="Times New Roman" w:eastAsia="Times New Roman"/>
        </w:rPr>
        <w:t>389</w:t>
      </w:r>
      <w:r>
        <w:rPr/>
        <w:t>号法定代表人：李剑锋</w:t>
      </w:r>
    </w:p>
    <w:p>
      <w:pPr>
        <w:pStyle w:val="BodyText"/>
        <w:spacing w:line="417" w:lineRule="auto"/>
        <w:ind w:left="680" w:right="652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680"/>
      </w:pPr>
      <w:r>
        <w:rPr/>
        <w:t>联系人：王万君</w:t>
      </w:r>
    </w:p>
    <w:p>
      <w:pPr>
        <w:pStyle w:val="BodyText"/>
        <w:spacing w:before="7"/>
        <w:rPr>
          <w:sz w:val="15"/>
        </w:rPr>
      </w:pPr>
    </w:p>
    <w:p>
      <w:pPr>
        <w:pStyle w:val="BodyText"/>
        <w:spacing w:line="417" w:lineRule="auto"/>
        <w:ind w:left="680" w:right="6189"/>
        <w:rPr>
          <w:rFonts w:ascii="Times New Roman" w:eastAsia="Times New Roman"/>
        </w:rPr>
      </w:pPr>
      <w:r>
        <w:rPr/>
        <w:t>网址：</w:t>
      </w:r>
      <w:hyperlink r:id="rId92">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新时代证券股份有限公司</w:t>
      </w:r>
    </w:p>
    <w:p>
      <w:pPr>
        <w:pStyle w:val="BodyText"/>
        <w:spacing w:before="7"/>
        <w:rPr>
          <w:sz w:val="15"/>
        </w:rPr>
      </w:pPr>
    </w:p>
    <w:p>
      <w:pPr>
        <w:pStyle w:val="BodyText"/>
        <w:ind w:left="680"/>
        <w:rPr>
          <w:rFonts w:ascii="Times New Roman" w:eastAsia="Times New Roman"/>
        </w:rPr>
      </w:pPr>
      <w:r>
        <w:rPr/>
        <w:t>住所：北京市海淀区北三环西路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w:t>
      </w:r>
    </w:p>
    <w:p>
      <w:pPr>
        <w:pStyle w:val="BodyText"/>
        <w:spacing w:before="3"/>
        <w:rPr>
          <w:rFonts w:ascii="Times New Roman"/>
          <w:sz w:val="17"/>
        </w:rPr>
      </w:pPr>
    </w:p>
    <w:p>
      <w:pPr>
        <w:pStyle w:val="BodyText"/>
        <w:spacing w:line="417" w:lineRule="auto"/>
        <w:ind w:left="680" w:right="3023"/>
      </w:pPr>
      <w:r>
        <w:rPr/>
        <w:t>办公地址：北京市海淀区北三环西路</w:t>
      </w:r>
      <w:r>
        <w:rPr>
          <w:rFonts w:ascii="Times New Roman" w:eastAsia="Times New Roman"/>
        </w:rPr>
        <w:t>99</w:t>
      </w:r>
      <w:r>
        <w:rPr/>
        <w:t>号院</w:t>
      </w:r>
      <w:r>
        <w:rPr>
          <w:rFonts w:ascii="Times New Roman" w:eastAsia="Times New Roman"/>
        </w:rPr>
        <w:t>1</w:t>
      </w:r>
      <w:r>
        <w:rPr/>
        <w:t>号楼</w:t>
      </w:r>
      <w:r>
        <w:rPr>
          <w:rFonts w:ascii="Times New Roman" w:eastAsia="Times New Roman"/>
        </w:rPr>
        <w:t>15</w:t>
      </w:r>
      <w:r>
        <w:rPr/>
        <w:t>层</w:t>
      </w:r>
      <w:r>
        <w:rPr>
          <w:rFonts w:ascii="Times New Roman" w:eastAsia="Times New Roman"/>
        </w:rPr>
        <w:t>1501 </w:t>
      </w:r>
      <w:r>
        <w:rPr/>
        <w:t>法定代表人：林雯</w:t>
      </w:r>
    </w:p>
    <w:p>
      <w:pPr>
        <w:pStyle w:val="BodyText"/>
        <w:spacing w:line="417" w:lineRule="auto"/>
        <w:ind w:left="680" w:right="6526"/>
        <w:rPr>
          <w:rFonts w:ascii="Times New Roman" w:eastAsia="Times New Roman"/>
        </w:rPr>
      </w:pPr>
      <w:r>
        <w:rPr/>
        <w:t>电话：</w:t>
      </w:r>
      <w:r>
        <w:rPr>
          <w:rFonts w:ascii="Times New Roman" w:eastAsia="Times New Roman"/>
        </w:rPr>
        <w:t>010-83561146 </w:t>
      </w:r>
      <w:r>
        <w:rPr/>
        <w:t>传真：</w:t>
      </w:r>
      <w:r>
        <w:rPr>
          <w:rFonts w:ascii="Times New Roman" w:eastAsia="Times New Roman"/>
        </w:rPr>
        <w:t>010-83561094</w:t>
      </w:r>
    </w:p>
    <w:p>
      <w:pPr>
        <w:pStyle w:val="BodyText"/>
        <w:ind w:left="680"/>
      </w:pPr>
      <w:r>
        <w:rPr/>
        <w:t>联系人：田芳芳</w:t>
      </w:r>
    </w:p>
    <w:p>
      <w:pPr>
        <w:pStyle w:val="BodyText"/>
        <w:spacing w:before="7"/>
        <w:rPr>
          <w:sz w:val="15"/>
        </w:rPr>
      </w:pPr>
    </w:p>
    <w:p>
      <w:pPr>
        <w:pStyle w:val="BodyText"/>
        <w:spacing w:line="417" w:lineRule="auto"/>
        <w:ind w:left="680" w:right="6387"/>
        <w:rPr>
          <w:rFonts w:ascii="Times New Roman" w:eastAsia="Times New Roman"/>
        </w:rPr>
      </w:pPr>
      <w:r>
        <w:rPr/>
        <w:t>网址：</w:t>
      </w:r>
      <w:hyperlink r:id="rId93">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大同证券有限责任公司</w:t>
      </w:r>
    </w:p>
    <w:p>
      <w:pPr>
        <w:pStyle w:val="BodyText"/>
        <w:spacing w:before="6"/>
        <w:rPr>
          <w:sz w:val="15"/>
        </w:rPr>
      </w:pPr>
    </w:p>
    <w:p>
      <w:pPr>
        <w:pStyle w:val="BodyText"/>
        <w:spacing w:before="1"/>
        <w:ind w:left="680"/>
      </w:pPr>
      <w:r>
        <w:rPr/>
        <w:t>住所：大同市城区迎宾街</w:t>
      </w:r>
      <w:r>
        <w:rPr>
          <w:rFonts w:ascii="Times New Roman" w:eastAsia="Times New Roman"/>
        </w:rPr>
        <w:t>15</w:t>
      </w:r>
      <w:r>
        <w:rPr/>
        <w:t>号桐城中央</w:t>
      </w:r>
      <w:r>
        <w:rPr>
          <w:rFonts w:ascii="Times New Roman" w:eastAsia="Times New Roman"/>
        </w:rPr>
        <w:t>21</w:t>
      </w:r>
      <w:r>
        <w:rPr/>
        <w:t>层</w:t>
      </w:r>
    </w:p>
    <w:p>
      <w:pPr>
        <w:pStyle w:val="BodyText"/>
        <w:spacing w:before="6"/>
        <w:rPr>
          <w:sz w:val="15"/>
        </w:rPr>
      </w:pPr>
    </w:p>
    <w:p>
      <w:pPr>
        <w:pStyle w:val="BodyText"/>
        <w:spacing w:line="417" w:lineRule="auto"/>
        <w:ind w:left="680" w:right="2403"/>
      </w:pPr>
      <w:r>
        <w:rPr/>
        <w:t>办公地址：山西省太原市长治路</w:t>
      </w:r>
      <w:r>
        <w:rPr>
          <w:rFonts w:ascii="Times New Roman" w:eastAsia="Times New Roman"/>
        </w:rPr>
        <w:t>111</w:t>
      </w:r>
      <w:r>
        <w:rPr/>
        <w:t>号山西世贸中心</w:t>
      </w:r>
      <w:r>
        <w:rPr>
          <w:rFonts w:ascii="Times New Roman" w:eastAsia="Times New Roman"/>
        </w:rPr>
        <w:t>A</w:t>
      </w:r>
      <w:r>
        <w:rPr/>
        <w:t>座</w:t>
      </w:r>
      <w:r>
        <w:rPr>
          <w:rFonts w:ascii="Times New Roman" w:eastAsia="Times New Roman"/>
        </w:rPr>
        <w:t>F12</w:t>
      </w:r>
      <w:r>
        <w:rPr/>
        <w:t>、</w:t>
      </w:r>
      <w:r>
        <w:rPr>
          <w:rFonts w:ascii="Times New Roman" w:eastAsia="Times New Roman"/>
        </w:rPr>
        <w:t>F13 </w:t>
      </w:r>
      <w:r>
        <w:rPr/>
        <w:t>法定代表人：董祥</w:t>
      </w:r>
    </w:p>
    <w:p>
      <w:pPr>
        <w:pStyle w:val="BodyText"/>
        <w:spacing w:line="417" w:lineRule="auto" w:before="1"/>
        <w:ind w:left="680" w:right="6526"/>
        <w:rPr>
          <w:rFonts w:ascii="Times New Roman" w:eastAsia="Times New Roman"/>
        </w:rPr>
      </w:pPr>
      <w:r>
        <w:rPr/>
        <w:t>电话：</w:t>
      </w:r>
      <w:r>
        <w:rPr>
          <w:rFonts w:ascii="Times New Roman" w:eastAsia="Times New Roman"/>
        </w:rPr>
        <w:t>0351-4130322 </w:t>
      </w:r>
      <w:r>
        <w:rPr/>
        <w:t>传真：</w:t>
      </w:r>
      <w:r>
        <w:rPr>
          <w:rFonts w:ascii="Times New Roman" w:eastAsia="Times New Roman"/>
        </w:rPr>
        <w:t>0351-4192803</w:t>
      </w:r>
    </w:p>
    <w:p>
      <w:pPr>
        <w:pStyle w:val="BodyText"/>
        <w:spacing w:line="269" w:lineRule="exact"/>
        <w:ind w:left="680"/>
      </w:pPr>
      <w:r>
        <w:rPr/>
        <w:t>联系人：薛津</w:t>
      </w:r>
    </w:p>
    <w:p>
      <w:pPr>
        <w:pStyle w:val="BodyText"/>
        <w:spacing w:before="6"/>
        <w:rPr>
          <w:sz w:val="15"/>
        </w:rPr>
      </w:pPr>
    </w:p>
    <w:p>
      <w:pPr>
        <w:pStyle w:val="BodyText"/>
        <w:ind w:left="680"/>
        <w:rPr>
          <w:rFonts w:ascii="Times New Roman" w:eastAsia="Times New Roman"/>
        </w:rPr>
      </w:pPr>
      <w:r>
        <w:rPr/>
        <w:t>网址：</w:t>
      </w:r>
      <w:hyperlink r:id="rId94">
        <w:r>
          <w:rPr>
            <w:rFonts w:ascii="Times New Roman" w:eastAsia="Times New Roman"/>
          </w:rPr>
          <w:t>www.dtsbc.com.cn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400-712-1212</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国联证券股份有限公司</w:t>
      </w:r>
    </w:p>
    <w:p>
      <w:pPr>
        <w:pStyle w:val="BodyText"/>
        <w:spacing w:before="7"/>
        <w:rPr>
          <w:sz w:val="15"/>
        </w:rPr>
      </w:pPr>
    </w:p>
    <w:p>
      <w:pPr>
        <w:pStyle w:val="BodyText"/>
        <w:ind w:left="680"/>
      </w:pPr>
      <w:r>
        <w:rPr/>
        <w:t>住所：无锡市太湖新城金融一街</w:t>
      </w:r>
      <w:r>
        <w:rPr>
          <w:rFonts w:ascii="Times New Roman" w:eastAsia="Times New Roman"/>
        </w:rPr>
        <w:t>8</w:t>
      </w:r>
      <w:r>
        <w:rPr/>
        <w:t>号国联金融大厦</w:t>
      </w:r>
    </w:p>
    <w:p>
      <w:pPr>
        <w:pStyle w:val="BodyText"/>
        <w:spacing w:before="7"/>
        <w:rPr>
          <w:sz w:val="15"/>
        </w:rPr>
      </w:pPr>
    </w:p>
    <w:p>
      <w:pPr>
        <w:pStyle w:val="BodyText"/>
        <w:ind w:left="680"/>
      </w:pPr>
      <w:r>
        <w:rPr/>
        <w:t>办公地址：无锡市太湖新城金融一街</w:t>
      </w:r>
      <w:r>
        <w:rPr>
          <w:rFonts w:ascii="Times New Roman" w:eastAsia="Times New Roman"/>
        </w:rPr>
        <w:t>8</w:t>
      </w:r>
      <w:r>
        <w:rPr/>
        <w:t>号国联金融大厦</w:t>
      </w:r>
    </w:p>
    <w:p>
      <w:pPr>
        <w:spacing w:after="0"/>
        <w:sectPr>
          <w:pgSz w:w="11910" w:h="16840"/>
          <w:pgMar w:header="877" w:footer="995" w:top="1420" w:bottom="1180" w:left="1540" w:right="1300"/>
        </w:sectPr>
      </w:pPr>
    </w:p>
    <w:p>
      <w:pPr>
        <w:pStyle w:val="BodyText"/>
        <w:spacing w:line="417" w:lineRule="auto" w:before="110"/>
        <w:ind w:left="680" w:right="6420"/>
        <w:rPr>
          <w:rFonts w:ascii="Times New Roman" w:eastAsia="Times New Roman"/>
        </w:rPr>
      </w:pPr>
      <w:r>
        <w:rPr/>
        <w:t>法定代表人：姚志勇电话：</w:t>
      </w:r>
      <w:r>
        <w:rPr>
          <w:rFonts w:ascii="Times New Roman" w:eastAsia="Times New Roman"/>
        </w:rPr>
        <w:t>0510-82831662 </w:t>
      </w:r>
      <w:r>
        <w:rPr/>
        <w:t>传真：</w:t>
      </w:r>
      <w:r>
        <w:rPr>
          <w:rFonts w:ascii="Times New Roman" w:eastAsia="Times New Roman"/>
        </w:rPr>
        <w:t>0510-82830162</w:t>
      </w:r>
    </w:p>
    <w:p>
      <w:pPr>
        <w:pStyle w:val="BodyText"/>
        <w:spacing w:line="269" w:lineRule="exact"/>
        <w:ind w:left="680"/>
      </w:pPr>
      <w:r>
        <w:rPr/>
        <w:t>联系人：祁昊</w:t>
      </w:r>
    </w:p>
    <w:p>
      <w:pPr>
        <w:pStyle w:val="BodyText"/>
        <w:spacing w:before="6"/>
        <w:rPr>
          <w:sz w:val="15"/>
        </w:rPr>
      </w:pPr>
    </w:p>
    <w:p>
      <w:pPr>
        <w:pStyle w:val="BodyText"/>
        <w:spacing w:line="417" w:lineRule="auto"/>
        <w:ind w:left="680" w:right="6211"/>
        <w:rPr>
          <w:rFonts w:ascii="Times New Roman" w:eastAsia="Times New Roman"/>
        </w:rPr>
      </w:pPr>
      <w:r>
        <w:rPr/>
        <w:t>网址：</w:t>
      </w:r>
      <w:hyperlink r:id="rId95">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平安证券股份有限公司</w:t>
      </w:r>
    </w:p>
    <w:p>
      <w:pPr>
        <w:pStyle w:val="BodyText"/>
        <w:spacing w:before="8"/>
        <w:rPr>
          <w:sz w:val="15"/>
        </w:rPr>
      </w:pPr>
    </w:p>
    <w:p>
      <w:pPr>
        <w:pStyle w:val="BodyText"/>
        <w:spacing w:line="417" w:lineRule="auto"/>
        <w:ind w:left="680" w:right="1869"/>
      </w:pPr>
      <w:r>
        <w:rPr/>
        <w:t>住所：深圳市福田区福田街道益田路</w:t>
      </w:r>
      <w:r>
        <w:rPr>
          <w:rFonts w:ascii="Times New Roman" w:eastAsia="Times New Roman"/>
        </w:rPr>
        <w:t>5023</w:t>
      </w:r>
      <w:r>
        <w:rPr/>
        <w:t>号平安金融中心</w:t>
      </w:r>
      <w:r>
        <w:rPr>
          <w:rFonts w:ascii="Times New Roman" w:eastAsia="Times New Roman"/>
        </w:rPr>
        <w:t>B</w:t>
      </w:r>
      <w:r>
        <w:rPr/>
        <w:t>座第</w:t>
      </w:r>
      <w:r>
        <w:rPr>
          <w:rFonts w:ascii="Times New Roman" w:eastAsia="Times New Roman"/>
        </w:rPr>
        <w:t>22-25</w:t>
      </w:r>
      <w:r>
        <w:rPr/>
        <w:t>层办公地址：深圳市福田中心区金田路</w:t>
      </w:r>
      <w:r>
        <w:rPr>
          <w:rFonts w:ascii="Times New Roman" w:eastAsia="Times New Roman"/>
        </w:rPr>
        <w:t>4036</w:t>
      </w:r>
      <w:r>
        <w:rPr/>
        <w:t>号荣超大厦</w:t>
      </w:r>
      <w:r>
        <w:rPr>
          <w:rFonts w:ascii="Times New Roman" w:eastAsia="Times New Roman"/>
        </w:rPr>
        <w:t>16-20</w:t>
      </w:r>
      <w:r>
        <w:rPr/>
        <w:t>层</w:t>
      </w:r>
    </w:p>
    <w:p>
      <w:pPr>
        <w:pStyle w:val="BodyText"/>
        <w:spacing w:line="417" w:lineRule="auto"/>
        <w:ind w:left="680" w:right="649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pStyle w:val="BodyText"/>
        <w:spacing w:line="269" w:lineRule="exact"/>
        <w:ind w:left="680"/>
      </w:pPr>
      <w:r>
        <w:rPr/>
        <w:t>联系人：王阳</w:t>
      </w:r>
    </w:p>
    <w:p>
      <w:pPr>
        <w:pStyle w:val="BodyText"/>
        <w:spacing w:before="6"/>
        <w:rPr>
          <w:sz w:val="15"/>
        </w:rPr>
      </w:pPr>
    </w:p>
    <w:p>
      <w:pPr>
        <w:pStyle w:val="BodyText"/>
        <w:spacing w:line="417" w:lineRule="auto"/>
        <w:ind w:left="680" w:right="6180"/>
        <w:rPr>
          <w:rFonts w:ascii="Times New Roman" w:eastAsia="Times New Roman"/>
        </w:rPr>
      </w:pPr>
      <w:r>
        <w:rPr/>
        <w:t>网址：</w:t>
      </w:r>
      <w:hyperlink r:id="rId96">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华安证券股份有限公司</w:t>
      </w:r>
    </w:p>
    <w:p>
      <w:pPr>
        <w:pStyle w:val="BodyText"/>
        <w:spacing w:before="7"/>
        <w:rPr>
          <w:sz w:val="15"/>
        </w:rPr>
      </w:pPr>
    </w:p>
    <w:p>
      <w:pPr>
        <w:pStyle w:val="BodyText"/>
        <w:ind w:left="680"/>
      </w:pPr>
      <w:r>
        <w:rPr/>
        <w:t>住所：安徽省合肥市政务文化新区天鹅湖路</w:t>
      </w:r>
      <w:r>
        <w:rPr>
          <w:rFonts w:ascii="Times New Roman" w:eastAsia="Times New Roman"/>
        </w:rPr>
        <w:t>198</w:t>
      </w:r>
      <w:r>
        <w:rPr/>
        <w:t>号</w:t>
      </w:r>
    </w:p>
    <w:p>
      <w:pPr>
        <w:pStyle w:val="BodyText"/>
        <w:spacing w:before="7"/>
        <w:rPr>
          <w:sz w:val="15"/>
        </w:rPr>
      </w:pPr>
    </w:p>
    <w:p>
      <w:pPr>
        <w:pStyle w:val="BodyText"/>
        <w:spacing w:line="417" w:lineRule="auto"/>
        <w:ind w:left="680" w:right="2150"/>
      </w:pPr>
      <w:r>
        <w:rPr/>
        <w:t>办公地址：安徽省合肥市政务文化新区天鹅湖路</w:t>
      </w:r>
      <w:r>
        <w:rPr>
          <w:rFonts w:ascii="Times New Roman" w:eastAsia="Times New Roman"/>
        </w:rPr>
        <w:t>198</w:t>
      </w:r>
      <w:r>
        <w:rPr/>
        <w:t>号财智中心</w:t>
      </w:r>
      <w:r>
        <w:rPr>
          <w:rFonts w:ascii="Times New Roman" w:eastAsia="Times New Roman"/>
        </w:rPr>
        <w:t>B1</w:t>
      </w:r>
      <w:r>
        <w:rPr/>
        <w:t>座法定代表人：章宏韬</w:t>
      </w:r>
    </w:p>
    <w:p>
      <w:pPr>
        <w:pStyle w:val="BodyText"/>
        <w:spacing w:line="417" w:lineRule="auto"/>
        <w:ind w:left="680" w:right="642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ind w:left="680"/>
      </w:pPr>
      <w:r>
        <w:rPr/>
        <w:t>联系人：范超</w:t>
      </w:r>
    </w:p>
    <w:p>
      <w:pPr>
        <w:pStyle w:val="BodyText"/>
        <w:spacing w:before="6"/>
        <w:rPr>
          <w:sz w:val="15"/>
        </w:rPr>
      </w:pPr>
    </w:p>
    <w:p>
      <w:pPr>
        <w:pStyle w:val="BodyText"/>
        <w:spacing w:line="417" w:lineRule="auto"/>
        <w:ind w:left="680" w:right="6387"/>
        <w:rPr>
          <w:rFonts w:ascii="Times New Roman" w:eastAsia="Times New Roman"/>
        </w:rPr>
      </w:pPr>
      <w:r>
        <w:rPr/>
        <w:t>网址：</w:t>
      </w:r>
      <w:hyperlink r:id="rId97">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东莞证券股份有限公司</w:t>
      </w:r>
    </w:p>
    <w:p>
      <w:pPr>
        <w:pStyle w:val="BodyText"/>
        <w:spacing w:before="7"/>
        <w:rPr>
          <w:sz w:val="15"/>
        </w:rPr>
      </w:pPr>
    </w:p>
    <w:p>
      <w:pPr>
        <w:pStyle w:val="BodyText"/>
        <w:ind w:left="680"/>
      </w:pPr>
      <w:r>
        <w:rPr/>
        <w:t>住所：东莞市莞城区可园南路</w:t>
      </w:r>
      <w:r>
        <w:rPr>
          <w:rFonts w:ascii="Times New Roman" w:eastAsia="Times New Roman"/>
        </w:rPr>
        <w:t>1</w:t>
      </w:r>
      <w:r>
        <w:rPr/>
        <w:t>号金源中心</w:t>
      </w:r>
    </w:p>
    <w:p>
      <w:pPr>
        <w:pStyle w:val="BodyText"/>
        <w:spacing w:before="7"/>
        <w:rPr>
          <w:sz w:val="15"/>
        </w:rPr>
      </w:pPr>
    </w:p>
    <w:p>
      <w:pPr>
        <w:pStyle w:val="BodyText"/>
        <w:spacing w:line="417" w:lineRule="auto"/>
        <w:ind w:left="680" w:right="3655"/>
      </w:pPr>
      <w:r>
        <w:rPr/>
        <w:t>办公地址：东莞市莞城区可园南路</w:t>
      </w:r>
      <w:r>
        <w:rPr>
          <w:rFonts w:ascii="Times New Roman" w:eastAsia="Times New Roman"/>
        </w:rPr>
        <w:t>1</w:t>
      </w:r>
      <w:r>
        <w:rPr/>
        <w:t>号金源中心</w:t>
      </w:r>
      <w:r>
        <w:rPr>
          <w:rFonts w:ascii="Times New Roman" w:eastAsia="Times New Roman"/>
        </w:rPr>
        <w:t>30</w:t>
      </w:r>
      <w:r>
        <w:rPr/>
        <w:t>楼法定代表人：张运勇</w:t>
      </w:r>
    </w:p>
    <w:p>
      <w:pPr>
        <w:pStyle w:val="BodyText"/>
        <w:spacing w:line="417" w:lineRule="auto"/>
        <w:ind w:left="680" w:right="4854"/>
        <w:rPr>
          <w:rFonts w:ascii="Times New Roman" w:eastAsia="Times New Roman"/>
        </w:rPr>
      </w:pPr>
      <w:r>
        <w:rPr/>
        <w:t>电话：</w:t>
      </w:r>
      <w:r>
        <w:rPr>
          <w:rFonts w:ascii="Times New Roman" w:eastAsia="Times New Roman"/>
        </w:rPr>
        <w:t>0769-22115712</w:t>
      </w:r>
      <w:r>
        <w:rPr/>
        <w:t>、</w:t>
      </w:r>
      <w:r>
        <w:rPr>
          <w:rFonts w:ascii="Times New Roman" w:eastAsia="Times New Roman"/>
        </w:rPr>
        <w:t>0769-22119348 </w:t>
      </w:r>
      <w:r>
        <w:rPr/>
        <w:t>传真：</w:t>
      </w:r>
      <w:r>
        <w:rPr>
          <w:rFonts w:ascii="Times New Roman" w:eastAsia="Times New Roman"/>
        </w:rPr>
        <w:t>0769-22119423</w:t>
      </w:r>
    </w:p>
    <w:p>
      <w:pPr>
        <w:spacing w:after="0" w:line="417" w:lineRule="auto"/>
        <w:rPr>
          <w:rFonts w:ascii="Times New Roman" w:eastAsia="Times New Roman"/>
        </w:rPr>
        <w:sectPr>
          <w:pgSz w:w="11910" w:h="16840"/>
          <w:pgMar w:header="877" w:footer="995" w:top="1420" w:bottom="1180" w:left="1540" w:right="1300"/>
        </w:sectPr>
      </w:pPr>
    </w:p>
    <w:p>
      <w:pPr>
        <w:pStyle w:val="BodyText"/>
        <w:spacing w:line="417" w:lineRule="auto" w:before="110"/>
        <w:ind w:left="680" w:right="6185"/>
        <w:rPr>
          <w:rFonts w:ascii="Times New Roman" w:eastAsia="Times New Roman"/>
        </w:rPr>
      </w:pPr>
      <w:r>
        <w:rPr>
          <w:spacing w:val="-3"/>
        </w:rPr>
        <w:t>联系人：李荣、孙旭  网址：</w:t>
      </w:r>
      <w:hyperlink r:id="rId98">
        <w:r>
          <w:rPr>
            <w:rFonts w:ascii="Times New Roman" w:eastAsia="Times New Roman"/>
            <w:spacing w:val="-3"/>
          </w:rPr>
          <w:t>www.dgzq.com.cn </w:t>
        </w:r>
      </w:hyperlink>
      <w:r>
        <w:rPr>
          <w:spacing w:val="-2"/>
        </w:rPr>
        <w:t>客户服务电话：</w:t>
      </w:r>
      <w:r>
        <w:rPr>
          <w:rFonts w:ascii="Times New Roman" w:eastAsia="Times New Roman"/>
        </w:rPr>
        <w:t>95328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国都证券股份有限公司</w:t>
      </w:r>
    </w:p>
    <w:p>
      <w:pPr>
        <w:pStyle w:val="BodyText"/>
        <w:spacing w:before="6"/>
        <w:rPr>
          <w:sz w:val="15"/>
        </w:rPr>
      </w:pPr>
    </w:p>
    <w:p>
      <w:pPr>
        <w:pStyle w:val="BodyText"/>
        <w:ind w:left="680"/>
      </w:pPr>
      <w:r>
        <w:rPr/>
        <w:t>住所：北京市东城区东直门南大街</w:t>
      </w:r>
      <w:r>
        <w:rPr>
          <w:rFonts w:ascii="Times New Roman" w:eastAsia="Times New Roman"/>
        </w:rPr>
        <w:t>3</w:t>
      </w:r>
      <w:r>
        <w:rPr/>
        <w:t>号国华投资大厦</w:t>
      </w:r>
      <w:r>
        <w:rPr>
          <w:rFonts w:ascii="Times New Roman" w:eastAsia="Times New Roman"/>
        </w:rPr>
        <w:t>9</w:t>
      </w:r>
      <w:r>
        <w:rPr/>
        <w:t>层、</w:t>
      </w:r>
      <w:r>
        <w:rPr>
          <w:rFonts w:ascii="Times New Roman" w:eastAsia="Times New Roman"/>
        </w:rPr>
        <w:t>10</w:t>
      </w:r>
      <w:r>
        <w:rPr/>
        <w:t>层</w:t>
      </w:r>
    </w:p>
    <w:p>
      <w:pPr>
        <w:pStyle w:val="BodyText"/>
        <w:spacing w:before="7"/>
        <w:rPr>
          <w:sz w:val="15"/>
        </w:rPr>
      </w:pPr>
    </w:p>
    <w:p>
      <w:pPr>
        <w:pStyle w:val="BodyText"/>
        <w:spacing w:line="417" w:lineRule="auto"/>
        <w:ind w:left="680" w:right="2289"/>
      </w:pPr>
      <w:r>
        <w:rPr>
          <w:spacing w:val="-3"/>
        </w:rPr>
        <w:t>办公地址：北京市东城区东直门南大街</w:t>
      </w:r>
      <w:r>
        <w:rPr>
          <w:rFonts w:ascii="Times New Roman" w:eastAsia="Times New Roman"/>
          <w:spacing w:val="-3"/>
        </w:rPr>
        <w:t>3</w:t>
      </w:r>
      <w:r>
        <w:rPr>
          <w:spacing w:val="-3"/>
        </w:rPr>
        <w:t>号国华投资大厦</w:t>
      </w:r>
      <w:r>
        <w:rPr>
          <w:rFonts w:ascii="Times New Roman" w:eastAsia="Times New Roman"/>
          <w:spacing w:val="-3"/>
        </w:rPr>
        <w:t>9</w:t>
      </w:r>
      <w:r>
        <w:rPr/>
        <w:t>层、</w:t>
      </w:r>
      <w:r>
        <w:rPr>
          <w:rFonts w:ascii="Times New Roman" w:eastAsia="Times New Roman"/>
        </w:rPr>
        <w:t>10</w:t>
      </w:r>
      <w:r>
        <w:rPr/>
        <w:t>层</w:t>
      </w:r>
      <w:r>
        <w:rPr>
          <w:spacing w:val="-3"/>
        </w:rPr>
        <w:t>法定代表人：翁振杰</w:t>
      </w:r>
    </w:p>
    <w:p>
      <w:pPr>
        <w:pStyle w:val="BodyText"/>
        <w:ind w:left="680"/>
        <w:rPr>
          <w:rFonts w:ascii="Times New Roman" w:eastAsia="Times New Roman"/>
        </w:rPr>
      </w:pPr>
      <w:r>
        <w:rPr>
          <w:spacing w:val="-1"/>
        </w:rPr>
        <w:t>电话：</w:t>
      </w:r>
      <w:r>
        <w:rPr>
          <w:rFonts w:ascii="Times New Roman" w:eastAsia="Times New Roman"/>
          <w:spacing w:val="-1"/>
        </w:rPr>
        <w:t>010-84183389</w:t>
      </w:r>
    </w:p>
    <w:p>
      <w:pPr>
        <w:pStyle w:val="BodyText"/>
        <w:spacing w:before="4"/>
        <w:rPr>
          <w:rFonts w:ascii="Times New Roman"/>
          <w:sz w:val="17"/>
        </w:rPr>
      </w:pPr>
    </w:p>
    <w:p>
      <w:pPr>
        <w:pStyle w:val="BodyText"/>
        <w:ind w:left="68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ind w:left="680"/>
      </w:pPr>
      <w:r>
        <w:rPr/>
        <w:t>联系人：黄静</w:t>
      </w:r>
    </w:p>
    <w:p>
      <w:pPr>
        <w:pStyle w:val="BodyText"/>
        <w:spacing w:before="7"/>
        <w:rPr>
          <w:sz w:val="15"/>
        </w:rPr>
      </w:pPr>
    </w:p>
    <w:p>
      <w:pPr>
        <w:pStyle w:val="BodyText"/>
        <w:ind w:left="680"/>
        <w:rPr>
          <w:rFonts w:ascii="Times New Roman" w:eastAsia="Times New Roman"/>
        </w:rPr>
      </w:pPr>
      <w:r>
        <w:rPr/>
        <w:t>网址：</w:t>
      </w:r>
      <w:hyperlink r:id="rId99">
        <w:r>
          <w:rPr>
            <w:rFonts w:ascii="Times New Roman" w:eastAsia="Times New Roman"/>
          </w:rPr>
          <w:t>www.guodu.com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400-818-8118</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东海证券股份有限公司</w:t>
      </w:r>
    </w:p>
    <w:p>
      <w:pPr>
        <w:pStyle w:val="BodyText"/>
        <w:spacing w:before="7"/>
        <w:rPr>
          <w:sz w:val="15"/>
        </w:rPr>
      </w:pPr>
    </w:p>
    <w:p>
      <w:pPr>
        <w:pStyle w:val="BodyText"/>
        <w:ind w:left="680"/>
      </w:pPr>
      <w:r>
        <w:rPr/>
        <w:t>住所：江苏省常州延陵西路</w:t>
      </w:r>
      <w:r>
        <w:rPr>
          <w:rFonts w:ascii="Times New Roman" w:eastAsia="Times New Roman"/>
        </w:rPr>
        <w:t>23</w:t>
      </w:r>
      <w:r>
        <w:rPr/>
        <w:t>号投资广场</w:t>
      </w:r>
      <w:r>
        <w:rPr>
          <w:rFonts w:ascii="Times New Roman" w:eastAsia="Times New Roman"/>
        </w:rPr>
        <w:t>18</w:t>
      </w:r>
      <w:r>
        <w:rPr/>
        <w:t>层</w:t>
      </w:r>
    </w:p>
    <w:p>
      <w:pPr>
        <w:pStyle w:val="BodyText"/>
        <w:spacing w:before="7"/>
        <w:rPr>
          <w:sz w:val="15"/>
        </w:rPr>
      </w:pPr>
    </w:p>
    <w:p>
      <w:pPr>
        <w:pStyle w:val="BodyText"/>
        <w:spacing w:line="417" w:lineRule="auto"/>
        <w:ind w:left="680" w:right="3338"/>
      </w:pPr>
      <w:r>
        <w:rPr/>
        <w:t>办公地址：上海市浦东新区东方路</w:t>
      </w:r>
      <w:r>
        <w:rPr>
          <w:rFonts w:ascii="Times New Roman" w:eastAsia="Times New Roman"/>
        </w:rPr>
        <w:t>1928</w:t>
      </w:r>
      <w:r>
        <w:rPr/>
        <w:t>号东海证券大厦法定代表人：钱俊文</w:t>
      </w:r>
    </w:p>
    <w:p>
      <w:pPr>
        <w:pStyle w:val="BodyText"/>
        <w:spacing w:line="417" w:lineRule="auto"/>
        <w:ind w:left="680" w:right="652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680"/>
      </w:pPr>
      <w:r>
        <w:rPr/>
        <w:t>联系人：王一彦</w:t>
      </w:r>
    </w:p>
    <w:p>
      <w:pPr>
        <w:pStyle w:val="BodyText"/>
        <w:spacing w:before="6"/>
        <w:rPr>
          <w:sz w:val="15"/>
        </w:rPr>
      </w:pPr>
    </w:p>
    <w:p>
      <w:pPr>
        <w:pStyle w:val="BodyText"/>
        <w:ind w:left="680"/>
        <w:rPr>
          <w:rFonts w:ascii="Times New Roman" w:eastAsia="Times New Roman"/>
        </w:rPr>
      </w:pPr>
      <w:r>
        <w:rPr/>
        <w:t>网址：</w:t>
      </w:r>
      <w:hyperlink r:id="rId100">
        <w:r>
          <w:rPr>
            <w:rFonts w:ascii="Times New Roman" w:eastAsia="Times New Roman"/>
          </w:rPr>
          <w:t>www.longone.com.cn</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中银国际证券股份有限公司</w:t>
      </w:r>
    </w:p>
    <w:p>
      <w:pPr>
        <w:pStyle w:val="BodyText"/>
        <w:spacing w:before="6"/>
        <w:rPr>
          <w:sz w:val="15"/>
        </w:rPr>
      </w:pPr>
    </w:p>
    <w:p>
      <w:pPr>
        <w:pStyle w:val="BodyText"/>
        <w:spacing w:before="1"/>
        <w:ind w:left="680"/>
      </w:pPr>
      <w:r>
        <w:rPr/>
        <w:t>住所：上海浦东新区银城中路</w:t>
      </w:r>
      <w:r>
        <w:rPr>
          <w:rFonts w:ascii="Times New Roman" w:eastAsia="Times New Roman"/>
        </w:rPr>
        <w:t>200</w:t>
      </w:r>
      <w:r>
        <w:rPr/>
        <w:t>号中银大厦</w:t>
      </w:r>
      <w:r>
        <w:rPr>
          <w:rFonts w:ascii="Times New Roman" w:eastAsia="Times New Roman"/>
        </w:rPr>
        <w:t>39</w:t>
      </w:r>
      <w:r>
        <w:rPr/>
        <w:t>层</w:t>
      </w:r>
    </w:p>
    <w:p>
      <w:pPr>
        <w:pStyle w:val="BodyText"/>
        <w:spacing w:before="6"/>
        <w:rPr>
          <w:sz w:val="15"/>
        </w:rPr>
      </w:pPr>
    </w:p>
    <w:p>
      <w:pPr>
        <w:pStyle w:val="BodyText"/>
        <w:spacing w:line="417" w:lineRule="auto"/>
        <w:ind w:left="680" w:right="3446"/>
      </w:pPr>
      <w:r>
        <w:rPr/>
        <w:t>办公地址：上海浦东新区银城中路</w:t>
      </w:r>
      <w:r>
        <w:rPr>
          <w:rFonts w:ascii="Times New Roman" w:eastAsia="Times New Roman"/>
        </w:rPr>
        <w:t>200</w:t>
      </w:r>
      <w:r>
        <w:rPr/>
        <w:t>号中银大厦</w:t>
      </w:r>
      <w:r>
        <w:rPr>
          <w:rFonts w:ascii="Times New Roman" w:eastAsia="Times New Roman"/>
        </w:rPr>
        <w:t>39</w:t>
      </w:r>
      <w:r>
        <w:rPr/>
        <w:t>层法定代表人：宁敏</w:t>
      </w:r>
    </w:p>
    <w:p>
      <w:pPr>
        <w:pStyle w:val="BodyText"/>
        <w:spacing w:line="417" w:lineRule="auto"/>
        <w:ind w:left="680" w:right="6526"/>
        <w:rPr>
          <w:rFonts w:ascii="Times New Roman" w:eastAsia="Times New Roman"/>
        </w:rPr>
      </w:pPr>
      <w:r>
        <w:rPr/>
        <w:t>电话：</w:t>
      </w:r>
      <w:r>
        <w:rPr>
          <w:rFonts w:ascii="Times New Roman" w:eastAsia="Times New Roman"/>
        </w:rPr>
        <w:t>021-20328000 </w:t>
      </w:r>
      <w:r>
        <w:rPr/>
        <w:t>传真：</w:t>
      </w:r>
      <w:r>
        <w:rPr>
          <w:rFonts w:ascii="Times New Roman" w:eastAsia="Times New Roman"/>
        </w:rPr>
        <w:t>021-50372474</w:t>
      </w:r>
    </w:p>
    <w:p>
      <w:pPr>
        <w:pStyle w:val="BodyText"/>
        <w:spacing w:line="269" w:lineRule="exact"/>
        <w:ind w:left="680"/>
      </w:pPr>
      <w:r>
        <w:rPr/>
        <w:t>联系人：王炜哲</w:t>
      </w:r>
    </w:p>
    <w:p>
      <w:pPr>
        <w:pStyle w:val="BodyText"/>
        <w:spacing w:before="7"/>
        <w:rPr>
          <w:sz w:val="15"/>
        </w:rPr>
      </w:pPr>
    </w:p>
    <w:p>
      <w:pPr>
        <w:pStyle w:val="BodyText"/>
        <w:spacing w:line="417" w:lineRule="auto"/>
        <w:ind w:left="680" w:right="5721"/>
        <w:rPr>
          <w:rFonts w:ascii="Times New Roman" w:eastAsia="Times New Roman"/>
        </w:rPr>
      </w:pPr>
      <w:r>
        <w:rPr/>
        <w:t>网址：</w:t>
      </w:r>
      <w:hyperlink r:id="rId101">
        <w:r>
          <w:rPr>
            <w:rFonts w:ascii="Times New Roman" w:eastAsia="Times New Roman"/>
          </w:rPr>
          <w:t>www.bocichina.com.cn </w:t>
        </w:r>
      </w:hyperlink>
      <w:r>
        <w:rPr/>
        <w:t>客户服务电话：</w:t>
      </w:r>
      <w:r>
        <w:rPr>
          <w:rFonts w:ascii="Times New Roman" w:eastAsia="Times New Roman"/>
        </w:rPr>
        <w:t>400-620-8888</w:t>
      </w:r>
    </w:p>
    <w:p>
      <w:pPr>
        <w:spacing w:after="0" w:line="417" w:lineRule="auto"/>
        <w:rPr>
          <w:rFonts w:ascii="Times New Roman" w:eastAsia="Times New Roman"/>
        </w:rPr>
        <w:sectPr>
          <w:pgSz w:w="11910" w:h="16840"/>
          <w:pgMar w:header="877" w:footer="995" w:top="1420" w:bottom="1180" w:left="1540" w:right="1300"/>
        </w:sectPr>
      </w:pPr>
    </w:p>
    <w:p>
      <w:pPr>
        <w:pStyle w:val="ListParagraph"/>
        <w:numPr>
          <w:ilvl w:val="0"/>
          <w:numId w:val="7"/>
        </w:numPr>
        <w:tabs>
          <w:tab w:pos="1315" w:val="left" w:leader="none"/>
        </w:tabs>
        <w:spacing w:line="240" w:lineRule="auto" w:before="110" w:after="0"/>
        <w:ind w:left="1315" w:right="0" w:hanging="635"/>
        <w:jc w:val="left"/>
        <w:rPr>
          <w:sz w:val="21"/>
        </w:rPr>
      </w:pPr>
      <w:r>
        <w:rPr>
          <w:spacing w:val="-3"/>
          <w:sz w:val="21"/>
        </w:rPr>
        <w:t>恒泰证券股份有限公司</w:t>
      </w:r>
    </w:p>
    <w:p>
      <w:pPr>
        <w:pStyle w:val="BodyText"/>
        <w:spacing w:before="6"/>
        <w:rPr>
          <w:sz w:val="15"/>
        </w:rPr>
      </w:pPr>
    </w:p>
    <w:p>
      <w:pPr>
        <w:pStyle w:val="BodyText"/>
        <w:ind w:left="680"/>
      </w:pPr>
      <w:r>
        <w:rPr/>
        <w:t>住所：内蒙古呼和浩特市新城区新华东街</w:t>
      </w:r>
      <w:r>
        <w:rPr>
          <w:rFonts w:ascii="Times New Roman" w:eastAsia="Times New Roman"/>
        </w:rPr>
        <w:t>111</w:t>
      </w:r>
      <w:r>
        <w:rPr/>
        <w:t>号</w:t>
      </w:r>
    </w:p>
    <w:p>
      <w:pPr>
        <w:pStyle w:val="BodyText"/>
        <w:spacing w:before="7"/>
        <w:rPr>
          <w:sz w:val="15"/>
        </w:rPr>
      </w:pPr>
    </w:p>
    <w:p>
      <w:pPr>
        <w:pStyle w:val="BodyText"/>
        <w:spacing w:line="417" w:lineRule="auto"/>
        <w:ind w:left="680" w:right="3627"/>
      </w:pPr>
      <w:r>
        <w:rPr/>
        <w:t>办公地址：内蒙古呼和浩特市新城区新华东街</w:t>
      </w:r>
      <w:r>
        <w:rPr>
          <w:rFonts w:ascii="Times New Roman" w:eastAsia="Times New Roman"/>
        </w:rPr>
        <w:t>111</w:t>
      </w:r>
      <w:r>
        <w:rPr/>
        <w:t>号法定代表人：庞介民</w:t>
      </w:r>
    </w:p>
    <w:p>
      <w:pPr>
        <w:pStyle w:val="BodyText"/>
        <w:spacing w:line="417" w:lineRule="auto"/>
        <w:ind w:left="680" w:right="652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spacing w:line="269" w:lineRule="exact"/>
        <w:ind w:left="680"/>
      </w:pPr>
      <w:r>
        <w:rPr/>
        <w:t>联系人：张同亮</w:t>
      </w:r>
    </w:p>
    <w:p>
      <w:pPr>
        <w:pStyle w:val="BodyText"/>
        <w:spacing w:before="7"/>
        <w:rPr>
          <w:sz w:val="15"/>
        </w:rPr>
      </w:pPr>
    </w:p>
    <w:p>
      <w:pPr>
        <w:pStyle w:val="BodyText"/>
        <w:spacing w:line="417" w:lineRule="auto"/>
        <w:ind w:left="680" w:right="6189"/>
        <w:rPr>
          <w:rFonts w:ascii="Times New Roman" w:eastAsia="Times New Roman"/>
        </w:rPr>
      </w:pPr>
      <w:r>
        <w:rPr/>
        <w:t>网址：</w:t>
      </w:r>
      <w:hyperlink r:id="rId102">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国盛证券有限责任公司</w:t>
      </w:r>
    </w:p>
    <w:p>
      <w:pPr>
        <w:pStyle w:val="BodyText"/>
        <w:spacing w:before="7"/>
        <w:rPr>
          <w:sz w:val="15"/>
        </w:rPr>
      </w:pPr>
    </w:p>
    <w:p>
      <w:pPr>
        <w:pStyle w:val="BodyText"/>
        <w:ind w:left="680"/>
      </w:pPr>
      <w:r>
        <w:rPr/>
        <w:t>住所：南昌市北京西路</w:t>
      </w:r>
      <w:r>
        <w:rPr>
          <w:rFonts w:ascii="Times New Roman" w:eastAsia="Times New Roman"/>
        </w:rPr>
        <w:t>88</w:t>
      </w:r>
      <w:r>
        <w:rPr/>
        <w:t>号江信国际金融大厦</w:t>
      </w:r>
    </w:p>
    <w:p>
      <w:pPr>
        <w:pStyle w:val="BodyText"/>
        <w:spacing w:before="7"/>
        <w:rPr>
          <w:sz w:val="15"/>
        </w:rPr>
      </w:pPr>
    </w:p>
    <w:p>
      <w:pPr>
        <w:pStyle w:val="BodyText"/>
        <w:spacing w:line="417" w:lineRule="auto"/>
        <w:ind w:left="680" w:right="2052"/>
      </w:pPr>
      <w:r>
        <w:rPr/>
        <w:t>办公地址：江西省南昌市红谷滩新区凤凰中大道</w:t>
      </w:r>
      <w:r>
        <w:rPr>
          <w:rFonts w:ascii="Times New Roman" w:eastAsia="Times New Roman"/>
        </w:rPr>
        <w:t>1115</w:t>
      </w:r>
      <w:r>
        <w:rPr/>
        <w:t>号北京银行大楼法定代表人：徐丽峰</w:t>
      </w:r>
    </w:p>
    <w:p>
      <w:pPr>
        <w:pStyle w:val="BodyText"/>
        <w:spacing w:line="417" w:lineRule="auto"/>
        <w:ind w:left="680" w:right="505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ind w:left="680"/>
      </w:pPr>
      <w:r>
        <w:rPr/>
        <w:t>联系人：占文驰</w:t>
      </w:r>
    </w:p>
    <w:p>
      <w:pPr>
        <w:pStyle w:val="BodyText"/>
        <w:spacing w:before="6"/>
        <w:rPr>
          <w:sz w:val="15"/>
        </w:rPr>
      </w:pPr>
    </w:p>
    <w:p>
      <w:pPr>
        <w:pStyle w:val="BodyText"/>
        <w:spacing w:line="417" w:lineRule="auto"/>
        <w:ind w:left="680" w:right="6281"/>
        <w:rPr>
          <w:rFonts w:ascii="Times New Roman" w:eastAsia="Times New Roman"/>
        </w:rPr>
      </w:pPr>
      <w:r>
        <w:rPr/>
        <w:t>网址：</w:t>
      </w:r>
      <w:hyperlink r:id="rId103">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华西证券股份有限公司</w:t>
      </w:r>
    </w:p>
    <w:p>
      <w:pPr>
        <w:pStyle w:val="BodyText"/>
        <w:spacing w:before="7"/>
        <w:rPr>
          <w:sz w:val="15"/>
        </w:rPr>
      </w:pPr>
    </w:p>
    <w:p>
      <w:pPr>
        <w:pStyle w:val="BodyText"/>
        <w:ind w:left="680"/>
      </w:pPr>
      <w:r>
        <w:rPr/>
        <w:t>住所：四川省成都市高新区天府二街</w:t>
      </w:r>
      <w:r>
        <w:rPr>
          <w:rFonts w:ascii="Times New Roman" w:eastAsia="Times New Roman"/>
        </w:rPr>
        <w:t>198</w:t>
      </w:r>
      <w:r>
        <w:rPr/>
        <w:t>号</w:t>
      </w:r>
    </w:p>
    <w:p>
      <w:pPr>
        <w:pStyle w:val="BodyText"/>
        <w:spacing w:before="6"/>
        <w:rPr>
          <w:sz w:val="15"/>
        </w:rPr>
      </w:pPr>
    </w:p>
    <w:p>
      <w:pPr>
        <w:pStyle w:val="BodyText"/>
        <w:spacing w:line="417" w:lineRule="auto" w:before="1"/>
        <w:ind w:left="680" w:right="4075"/>
      </w:pPr>
      <w:r>
        <w:rPr/>
        <w:t>办公地址：四川省成都市高新区天府二街</w:t>
      </w:r>
      <w:r>
        <w:rPr>
          <w:rFonts w:ascii="Times New Roman" w:eastAsia="Times New Roman"/>
        </w:rPr>
        <w:t>198</w:t>
      </w:r>
      <w:r>
        <w:rPr/>
        <w:t>号法定代表人：杨炯洋</w:t>
      </w:r>
    </w:p>
    <w:p>
      <w:pPr>
        <w:pStyle w:val="BodyText"/>
        <w:spacing w:line="417" w:lineRule="auto"/>
        <w:ind w:left="680" w:right="652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spacing w:line="269" w:lineRule="exact"/>
        <w:ind w:left="680"/>
      </w:pPr>
      <w:r>
        <w:rPr/>
        <w:t>联系人：谢国梅</w:t>
      </w:r>
    </w:p>
    <w:p>
      <w:pPr>
        <w:pStyle w:val="BodyText"/>
        <w:spacing w:before="7"/>
        <w:rPr>
          <w:sz w:val="15"/>
        </w:rPr>
      </w:pPr>
    </w:p>
    <w:p>
      <w:pPr>
        <w:pStyle w:val="BodyText"/>
        <w:spacing w:line="417" w:lineRule="auto"/>
        <w:ind w:left="680" w:right="6024"/>
        <w:rPr>
          <w:rFonts w:ascii="Times New Roman" w:eastAsia="Times New Roman"/>
        </w:rPr>
      </w:pPr>
      <w:r>
        <w:rPr/>
        <w:t>网址：</w:t>
      </w:r>
      <w:hyperlink r:id="rId104">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申万宏源西部证券有限公司</w:t>
      </w:r>
    </w:p>
    <w:p>
      <w:pPr>
        <w:pStyle w:val="BodyText"/>
        <w:spacing w:before="7"/>
        <w:rPr>
          <w:sz w:val="15"/>
        </w:rPr>
      </w:pPr>
    </w:p>
    <w:p>
      <w:pPr>
        <w:pStyle w:val="BodyText"/>
        <w:ind w:left="680"/>
      </w:pPr>
      <w:r>
        <w:rPr/>
        <w:t>住所：新疆乌鲁木齐市高新区（新市区）北京南路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pStyle w:val="BodyText"/>
        <w:spacing w:before="6"/>
        <w:rPr>
          <w:sz w:val="15"/>
        </w:rPr>
      </w:pPr>
    </w:p>
    <w:p>
      <w:pPr>
        <w:pStyle w:val="BodyText"/>
        <w:spacing w:before="1"/>
        <w:ind w:left="680"/>
      </w:pPr>
      <w:r>
        <w:rPr/>
        <w:t>办公地址：新疆乌鲁木齐市高新区（新市区）北京南路</w:t>
      </w:r>
      <w:r>
        <w:rPr>
          <w:rFonts w:ascii="Times New Roman" w:eastAsia="Times New Roman"/>
        </w:rPr>
        <w:t>358</w:t>
      </w:r>
      <w:r>
        <w:rPr/>
        <w:t>号大成国际大厦</w:t>
      </w:r>
      <w:r>
        <w:rPr>
          <w:rFonts w:ascii="Times New Roman" w:eastAsia="Times New Roman"/>
        </w:rPr>
        <w:t>20</w:t>
      </w:r>
      <w:r>
        <w:rPr/>
        <w:t>楼</w:t>
      </w:r>
      <w:r>
        <w:rPr>
          <w:rFonts w:ascii="Times New Roman" w:eastAsia="Times New Roman"/>
        </w:rPr>
        <w:t>2005</w:t>
      </w:r>
      <w:r>
        <w:rPr/>
        <w:t>室</w:t>
      </w:r>
    </w:p>
    <w:p>
      <w:pPr>
        <w:spacing w:after="0"/>
        <w:sectPr>
          <w:pgSz w:w="11910" w:h="16840"/>
          <w:pgMar w:header="877" w:footer="995" w:top="1420" w:bottom="1180" w:left="1540" w:right="1300"/>
        </w:sectPr>
      </w:pPr>
    </w:p>
    <w:p>
      <w:pPr>
        <w:pStyle w:val="BodyText"/>
        <w:spacing w:before="110"/>
        <w:ind w:left="260"/>
      </w:pPr>
      <w:r>
        <w:rPr/>
        <w:t>（</w:t>
      </w:r>
      <w:r>
        <w:rPr>
          <w:rFonts w:ascii="Times New Roman" w:eastAsia="Times New Roman"/>
        </w:rPr>
        <w:t>830002</w:t>
      </w:r>
      <w:r>
        <w:rPr/>
        <w:t>）</w:t>
      </w:r>
    </w:p>
    <w:p>
      <w:pPr>
        <w:pStyle w:val="BodyText"/>
        <w:spacing w:before="6"/>
        <w:rPr>
          <w:sz w:val="15"/>
        </w:rPr>
      </w:pPr>
    </w:p>
    <w:p>
      <w:pPr>
        <w:pStyle w:val="BodyText"/>
        <w:spacing w:line="417" w:lineRule="auto"/>
        <w:ind w:left="680" w:right="649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680"/>
      </w:pPr>
      <w:r>
        <w:rPr/>
        <w:t>联系人：王怀春</w:t>
      </w:r>
    </w:p>
    <w:p>
      <w:pPr>
        <w:pStyle w:val="BodyText"/>
        <w:spacing w:before="7"/>
        <w:rPr>
          <w:sz w:val="15"/>
        </w:rPr>
      </w:pPr>
    </w:p>
    <w:p>
      <w:pPr>
        <w:pStyle w:val="BodyText"/>
        <w:ind w:left="680"/>
        <w:rPr>
          <w:rFonts w:ascii="Times New Roman" w:eastAsia="Times New Roman"/>
        </w:rPr>
      </w:pPr>
      <w:r>
        <w:rPr/>
        <w:t>网址：</w:t>
      </w:r>
      <w:hyperlink r:id="rId105">
        <w:r>
          <w:rPr>
            <w:rFonts w:ascii="Times New Roman" w:eastAsia="Times New Roman"/>
          </w:rPr>
          <w:t>www.hysec.com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400-800-0562</w:t>
      </w:r>
    </w:p>
    <w:p>
      <w:pPr>
        <w:pStyle w:val="BodyText"/>
        <w:spacing w:before="4"/>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中泰证券股份有限公司</w:t>
      </w:r>
    </w:p>
    <w:p>
      <w:pPr>
        <w:pStyle w:val="BodyText"/>
        <w:spacing w:before="6"/>
        <w:rPr>
          <w:sz w:val="15"/>
        </w:rPr>
      </w:pPr>
    </w:p>
    <w:p>
      <w:pPr>
        <w:pStyle w:val="BodyText"/>
        <w:ind w:left="680"/>
      </w:pPr>
      <w:r>
        <w:rPr/>
        <w:t>住所：山东省济南市市中区经七路</w:t>
      </w:r>
      <w:r>
        <w:rPr>
          <w:rFonts w:ascii="Times New Roman" w:eastAsia="Times New Roman"/>
        </w:rPr>
        <w:t>86</w:t>
      </w:r>
      <w:r>
        <w:rPr/>
        <w:t>号</w:t>
      </w:r>
    </w:p>
    <w:p>
      <w:pPr>
        <w:pStyle w:val="BodyText"/>
        <w:spacing w:before="7"/>
        <w:rPr>
          <w:sz w:val="15"/>
        </w:rPr>
      </w:pPr>
    </w:p>
    <w:p>
      <w:pPr>
        <w:pStyle w:val="BodyText"/>
        <w:spacing w:line="417" w:lineRule="auto"/>
        <w:ind w:left="680" w:right="4389"/>
      </w:pPr>
      <w:r>
        <w:rPr/>
        <w:t>办公地址：山东省济南市市中区经七路</w:t>
      </w:r>
      <w:r>
        <w:rPr>
          <w:rFonts w:ascii="Times New Roman" w:eastAsia="Times New Roman"/>
        </w:rPr>
        <w:t>86</w:t>
      </w:r>
      <w:r>
        <w:rPr/>
        <w:t>号法定代表人：李玮</w:t>
      </w:r>
    </w:p>
    <w:p>
      <w:pPr>
        <w:pStyle w:val="BodyText"/>
        <w:spacing w:line="417" w:lineRule="auto"/>
        <w:ind w:left="680" w:right="652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680"/>
      </w:pPr>
      <w:r>
        <w:rPr/>
        <w:t>联系人：许曼华</w:t>
      </w:r>
    </w:p>
    <w:p>
      <w:pPr>
        <w:pStyle w:val="BodyText"/>
        <w:spacing w:before="7"/>
        <w:rPr>
          <w:sz w:val="15"/>
        </w:rPr>
      </w:pPr>
    </w:p>
    <w:p>
      <w:pPr>
        <w:pStyle w:val="BodyText"/>
        <w:spacing w:line="417" w:lineRule="auto"/>
        <w:ind w:left="680" w:right="6317"/>
        <w:rPr>
          <w:rFonts w:ascii="Times New Roman" w:eastAsia="Times New Roman"/>
        </w:rPr>
      </w:pPr>
      <w:r>
        <w:rPr/>
        <w:t>网址：</w:t>
      </w:r>
      <w:hyperlink r:id="rId106">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世纪证券有限责任公司</w:t>
      </w:r>
    </w:p>
    <w:p>
      <w:pPr>
        <w:pStyle w:val="BodyText"/>
        <w:spacing w:before="5"/>
        <w:rPr>
          <w:sz w:val="9"/>
        </w:rPr>
      </w:pPr>
    </w:p>
    <w:p>
      <w:pPr>
        <w:pStyle w:val="BodyText"/>
        <w:spacing w:before="79"/>
        <w:ind w:left="680"/>
      </w:pPr>
      <w:r>
        <w:rPr/>
        <w:t>住所：深圳市前海深港合作区南山街道桂湾五路</w:t>
      </w:r>
      <w:r>
        <w:rPr>
          <w:rFonts w:ascii="Times New Roman" w:eastAsia="Times New Roman"/>
        </w:rPr>
        <w:t>128</w:t>
      </w:r>
      <w:r>
        <w:rPr/>
        <w:t>号前海深港基金小镇对冲基金中心</w:t>
      </w:r>
    </w:p>
    <w:p>
      <w:pPr>
        <w:pStyle w:val="BodyText"/>
        <w:spacing w:before="5"/>
        <w:rPr>
          <w:sz w:val="16"/>
        </w:rPr>
      </w:pPr>
    </w:p>
    <w:p>
      <w:pPr>
        <w:pStyle w:val="BodyText"/>
        <w:ind w:left="26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9"/>
        <w:ind w:left="680" w:right="3268"/>
      </w:pPr>
      <w:r>
        <w:rPr/>
        <w:t>办公地址：深圳市福田区深南大道招商银行大厦</w:t>
      </w:r>
      <w:r>
        <w:rPr>
          <w:rFonts w:ascii="Times New Roman" w:eastAsia="Times New Roman"/>
        </w:rPr>
        <w:t>40-42</w:t>
      </w:r>
      <w:r>
        <w:rPr/>
        <w:t>层法定代表人：李强</w:t>
      </w:r>
    </w:p>
    <w:p>
      <w:pPr>
        <w:pStyle w:val="BodyText"/>
        <w:spacing w:line="417" w:lineRule="auto"/>
        <w:ind w:left="680" w:right="572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spacing w:line="269" w:lineRule="exact"/>
        <w:ind w:left="680"/>
      </w:pPr>
      <w:r>
        <w:rPr/>
        <w:t>联系人：王雯</w:t>
      </w:r>
    </w:p>
    <w:p>
      <w:pPr>
        <w:pStyle w:val="BodyText"/>
        <w:spacing w:before="6"/>
        <w:rPr>
          <w:sz w:val="15"/>
        </w:rPr>
      </w:pPr>
    </w:p>
    <w:p>
      <w:pPr>
        <w:pStyle w:val="BodyText"/>
        <w:spacing w:before="1"/>
        <w:ind w:left="680"/>
        <w:rPr>
          <w:rFonts w:ascii="Times New Roman" w:eastAsia="Times New Roman"/>
        </w:rPr>
      </w:pPr>
      <w:r>
        <w:rPr/>
        <w:t>网址：</w:t>
      </w:r>
      <w:hyperlink r:id="rId107">
        <w:r>
          <w:rPr>
            <w:rFonts w:ascii="Times New Roman" w:eastAsia="Times New Roman"/>
          </w:rPr>
          <w:t>www.csco.com.cn</w:t>
        </w:r>
      </w:hyperlink>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第一创业证券股份有限公司</w:t>
      </w:r>
    </w:p>
    <w:p>
      <w:pPr>
        <w:pStyle w:val="BodyText"/>
        <w:spacing w:before="7"/>
        <w:rPr>
          <w:sz w:val="15"/>
        </w:rPr>
      </w:pPr>
    </w:p>
    <w:p>
      <w:pPr>
        <w:pStyle w:val="BodyText"/>
        <w:ind w:left="680"/>
      </w:pPr>
      <w:r>
        <w:rPr>
          <w:spacing w:val="-3"/>
        </w:rPr>
        <w:t>住所：深圳市福田区福华一路</w:t>
      </w:r>
      <w:r>
        <w:rPr>
          <w:rFonts w:ascii="Times New Roman" w:eastAsia="Times New Roman"/>
          <w:spacing w:val="-4"/>
        </w:rPr>
        <w:t>115</w:t>
      </w:r>
      <w:r>
        <w:rPr>
          <w:spacing w:val="-3"/>
        </w:rPr>
        <w:t>号投行大厦</w:t>
      </w:r>
      <w:r>
        <w:rPr>
          <w:rFonts w:ascii="Times New Roman" w:eastAsia="Times New Roman"/>
        </w:rPr>
        <w:t>20</w:t>
      </w:r>
      <w:r>
        <w:rPr/>
        <w:t>楼</w:t>
      </w:r>
    </w:p>
    <w:p>
      <w:pPr>
        <w:pStyle w:val="BodyText"/>
        <w:spacing w:before="6"/>
        <w:rPr>
          <w:sz w:val="15"/>
        </w:rPr>
      </w:pPr>
    </w:p>
    <w:p>
      <w:pPr>
        <w:pStyle w:val="BodyText"/>
        <w:spacing w:line="417" w:lineRule="auto" w:before="1"/>
        <w:ind w:left="680" w:right="3453"/>
      </w:pPr>
      <w:r>
        <w:rPr/>
        <w:t>办公地址：深圳市福田区福华一路</w:t>
      </w:r>
      <w:r>
        <w:rPr>
          <w:rFonts w:ascii="Times New Roman" w:eastAsia="Times New Roman"/>
        </w:rPr>
        <w:t>115</w:t>
      </w:r>
      <w:r>
        <w:rPr/>
        <w:t>号投行大厦</w:t>
      </w:r>
      <w:r>
        <w:rPr>
          <w:rFonts w:ascii="Times New Roman" w:eastAsia="Times New Roman"/>
        </w:rPr>
        <w:t>18</w:t>
      </w:r>
      <w:r>
        <w:rPr/>
        <w:t>楼法定代表人：刘学民</w:t>
      </w:r>
    </w:p>
    <w:p>
      <w:pPr>
        <w:pStyle w:val="BodyText"/>
        <w:ind w:left="680"/>
        <w:rPr>
          <w:rFonts w:ascii="Times New Roman" w:eastAsia="Times New Roman"/>
        </w:rPr>
      </w:pPr>
      <w:r>
        <w:rPr/>
        <w:t>电话：</w:t>
      </w:r>
      <w:r>
        <w:rPr>
          <w:rFonts w:ascii="Times New Roman" w:eastAsia="Times New Roman"/>
        </w:rPr>
        <w:t>0755-23838750</w:t>
      </w:r>
    </w:p>
    <w:p>
      <w:pPr>
        <w:spacing w:after="0"/>
        <w:rPr>
          <w:rFonts w:ascii="Times New Roman" w:eastAsia="Times New Roman"/>
        </w:rPr>
        <w:sectPr>
          <w:pgSz w:w="11910" w:h="16840"/>
          <w:pgMar w:header="877" w:footer="995" w:top="1420" w:bottom="1180" w:left="1540" w:right="1300"/>
        </w:sectPr>
      </w:pPr>
    </w:p>
    <w:p>
      <w:pPr>
        <w:pStyle w:val="BodyText"/>
        <w:spacing w:before="110"/>
        <w:ind w:left="680"/>
        <w:rPr>
          <w:rFonts w:ascii="Times New Roman" w:eastAsia="Times New Roman"/>
        </w:rPr>
      </w:pPr>
      <w:r>
        <w:rPr/>
        <w:t>传真：</w:t>
      </w:r>
      <w:r>
        <w:rPr>
          <w:rFonts w:ascii="Times New Roman" w:eastAsia="Times New Roman"/>
        </w:rPr>
        <w:t>0755-25838701</w:t>
      </w:r>
    </w:p>
    <w:p>
      <w:pPr>
        <w:pStyle w:val="BodyText"/>
        <w:spacing w:before="3"/>
        <w:rPr>
          <w:rFonts w:ascii="Times New Roman"/>
          <w:sz w:val="17"/>
        </w:rPr>
      </w:pPr>
    </w:p>
    <w:p>
      <w:pPr>
        <w:pStyle w:val="BodyText"/>
        <w:ind w:left="680"/>
      </w:pPr>
      <w:r>
        <w:rPr/>
        <w:t>联系人：单晶</w:t>
      </w:r>
    </w:p>
    <w:p>
      <w:pPr>
        <w:pStyle w:val="BodyText"/>
        <w:spacing w:before="7"/>
        <w:rPr>
          <w:sz w:val="15"/>
        </w:rPr>
      </w:pPr>
    </w:p>
    <w:p>
      <w:pPr>
        <w:pStyle w:val="BodyText"/>
        <w:spacing w:line="417" w:lineRule="auto"/>
        <w:ind w:left="680" w:right="5652"/>
        <w:rPr>
          <w:rFonts w:ascii="Times New Roman" w:eastAsia="Times New Roman"/>
        </w:rPr>
      </w:pPr>
      <w:r>
        <w:rPr/>
        <w:t>网址：</w:t>
      </w:r>
      <w:hyperlink r:id="rId108">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7"/>
        </w:numPr>
        <w:tabs>
          <w:tab w:pos="1315" w:val="left" w:leader="none"/>
        </w:tabs>
        <w:spacing w:line="269" w:lineRule="exact" w:before="0" w:after="0"/>
        <w:ind w:left="1315" w:right="0" w:hanging="635"/>
        <w:jc w:val="left"/>
        <w:rPr>
          <w:sz w:val="21"/>
        </w:rPr>
      </w:pPr>
      <w:r>
        <w:rPr>
          <w:spacing w:val="-3"/>
          <w:sz w:val="21"/>
        </w:rPr>
        <w:t>金元证券股份有限公司</w:t>
      </w:r>
    </w:p>
    <w:p>
      <w:pPr>
        <w:pStyle w:val="BodyText"/>
        <w:spacing w:before="6"/>
        <w:rPr>
          <w:sz w:val="15"/>
        </w:rPr>
      </w:pPr>
    </w:p>
    <w:p>
      <w:pPr>
        <w:pStyle w:val="BodyText"/>
        <w:spacing w:before="1"/>
        <w:ind w:left="680"/>
      </w:pPr>
      <w:r>
        <w:rPr/>
        <w:t>住所：海口市南宝路</w:t>
      </w:r>
      <w:r>
        <w:rPr>
          <w:rFonts w:ascii="Times New Roman" w:eastAsia="Times New Roman"/>
        </w:rPr>
        <w:t>36</w:t>
      </w:r>
      <w:r>
        <w:rPr/>
        <w:t>号证券大厦</w:t>
      </w:r>
      <w:r>
        <w:rPr>
          <w:rFonts w:ascii="Times New Roman" w:eastAsia="Times New Roman"/>
        </w:rPr>
        <w:t>4</w:t>
      </w:r>
      <w:r>
        <w:rPr/>
        <w:t>楼</w:t>
      </w:r>
    </w:p>
    <w:p>
      <w:pPr>
        <w:pStyle w:val="BodyText"/>
        <w:spacing w:before="6"/>
        <w:rPr>
          <w:sz w:val="15"/>
        </w:rPr>
      </w:pPr>
    </w:p>
    <w:p>
      <w:pPr>
        <w:pStyle w:val="BodyText"/>
        <w:spacing w:line="417" w:lineRule="auto"/>
        <w:ind w:left="680" w:right="3549"/>
      </w:pPr>
      <w:r>
        <w:rPr/>
        <w:t>办公地址：深圳市深南大道</w:t>
      </w:r>
      <w:r>
        <w:rPr>
          <w:rFonts w:ascii="Times New Roman" w:eastAsia="Times New Roman"/>
        </w:rPr>
        <w:t>4001</w:t>
      </w:r>
      <w:r>
        <w:rPr/>
        <w:t>号时代金融中心</w:t>
      </w:r>
      <w:r>
        <w:rPr>
          <w:rFonts w:ascii="Times New Roman" w:eastAsia="Times New Roman"/>
        </w:rPr>
        <w:t>17</w:t>
      </w:r>
      <w:r>
        <w:rPr/>
        <w:t>层法定代表人：陆涛</w:t>
      </w:r>
    </w:p>
    <w:p>
      <w:pPr>
        <w:pStyle w:val="BodyText"/>
        <w:spacing w:line="417" w:lineRule="auto" w:before="1"/>
        <w:ind w:left="680" w:right="6420"/>
        <w:rPr>
          <w:rFonts w:ascii="Times New Roman" w:eastAsia="Times New Roman"/>
        </w:rPr>
      </w:pPr>
      <w:r>
        <w:rPr/>
        <w:t>电话：</w:t>
      </w:r>
      <w:r>
        <w:rPr>
          <w:rFonts w:ascii="Times New Roman" w:eastAsia="Times New Roman"/>
        </w:rPr>
        <w:t>0755-83025022 </w:t>
      </w:r>
      <w:r>
        <w:rPr/>
        <w:t>传真：</w:t>
      </w:r>
      <w:r>
        <w:rPr>
          <w:rFonts w:ascii="Times New Roman" w:eastAsia="Times New Roman"/>
        </w:rPr>
        <w:t>0755-83025625</w:t>
      </w:r>
    </w:p>
    <w:p>
      <w:pPr>
        <w:pStyle w:val="BodyText"/>
        <w:spacing w:line="417" w:lineRule="auto"/>
        <w:ind w:left="680" w:right="6648"/>
        <w:rPr>
          <w:rFonts w:ascii="Times New Roman" w:eastAsia="Times New Roman"/>
        </w:rPr>
      </w:pPr>
      <w:r>
        <w:rPr>
          <w:spacing w:val="-2"/>
        </w:rPr>
        <w:t>联系人：马贤清 </w:t>
      </w:r>
      <w:r>
        <w:rPr>
          <w:spacing w:val="-4"/>
        </w:rPr>
        <w:t>网址：</w:t>
      </w:r>
      <w:hyperlink r:id="rId109">
        <w:r>
          <w:rPr>
            <w:rFonts w:ascii="Times New Roman" w:eastAsia="Times New Roman"/>
            <w:spacing w:val="-5"/>
          </w:rPr>
          <w:t>www.jyzq.cn</w:t>
        </w:r>
      </w:hyperlink>
    </w:p>
    <w:p>
      <w:pPr>
        <w:pStyle w:val="BodyText"/>
        <w:spacing w:line="269" w:lineRule="exact"/>
        <w:ind w:left="680"/>
        <w:rPr>
          <w:rFonts w:ascii="Times New Roman" w:eastAsia="Times New Roman"/>
        </w:rPr>
      </w:pPr>
      <w:r>
        <w:rPr/>
        <w:t>客户服务电话：</w:t>
      </w:r>
      <w:r>
        <w:rPr>
          <w:rFonts w:ascii="Times New Roman" w:eastAsia="Times New Roman"/>
        </w:rPr>
        <w:t>95372</w:t>
      </w:r>
    </w:p>
    <w:p>
      <w:pPr>
        <w:pStyle w:val="BodyText"/>
        <w:spacing w:before="3"/>
        <w:rPr>
          <w:rFonts w:ascii="Times New Roman"/>
          <w:sz w:val="17"/>
        </w:rPr>
      </w:pPr>
    </w:p>
    <w:p>
      <w:pPr>
        <w:pStyle w:val="ListParagraph"/>
        <w:numPr>
          <w:ilvl w:val="0"/>
          <w:numId w:val="7"/>
        </w:numPr>
        <w:tabs>
          <w:tab w:pos="1315" w:val="left" w:leader="none"/>
        </w:tabs>
        <w:spacing w:line="240" w:lineRule="auto" w:before="0" w:after="0"/>
        <w:ind w:left="1315" w:right="0" w:hanging="635"/>
        <w:jc w:val="left"/>
        <w:rPr>
          <w:sz w:val="21"/>
        </w:rPr>
      </w:pPr>
      <w:r>
        <w:rPr>
          <w:spacing w:val="-3"/>
          <w:sz w:val="21"/>
        </w:rPr>
        <w:t>西部证券股份有限公司</w:t>
      </w:r>
    </w:p>
    <w:p>
      <w:pPr>
        <w:pStyle w:val="BodyText"/>
        <w:spacing w:before="7"/>
        <w:rPr>
          <w:sz w:val="15"/>
        </w:rPr>
      </w:pPr>
    </w:p>
    <w:p>
      <w:pPr>
        <w:pStyle w:val="BodyText"/>
        <w:ind w:left="680"/>
      </w:pPr>
      <w:r>
        <w:rPr/>
        <w:t>住所：陕西省西安市新城区东新街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w:t>
      </w:r>
    </w:p>
    <w:p>
      <w:pPr>
        <w:pStyle w:val="BodyText"/>
        <w:spacing w:before="6"/>
        <w:rPr>
          <w:sz w:val="15"/>
        </w:rPr>
      </w:pPr>
    </w:p>
    <w:p>
      <w:pPr>
        <w:pStyle w:val="BodyText"/>
        <w:spacing w:line="417" w:lineRule="auto" w:before="1"/>
        <w:ind w:left="680" w:right="3235"/>
      </w:pPr>
      <w:r>
        <w:rPr/>
        <w:t>办公地址：陕西省西安市新城区东新街</w:t>
      </w:r>
      <w:r>
        <w:rPr>
          <w:rFonts w:ascii="Times New Roman" w:eastAsia="Times New Roman"/>
        </w:rPr>
        <w:t>319</w:t>
      </w:r>
      <w:r>
        <w:rPr/>
        <w:t>号</w:t>
      </w:r>
      <w:r>
        <w:rPr>
          <w:rFonts w:ascii="Times New Roman" w:eastAsia="Times New Roman"/>
        </w:rPr>
        <w:t>8</w:t>
      </w:r>
      <w:r>
        <w:rPr/>
        <w:t>幢</w:t>
      </w:r>
      <w:r>
        <w:rPr>
          <w:rFonts w:ascii="Times New Roman" w:eastAsia="Times New Roman"/>
        </w:rPr>
        <w:t>10000</w:t>
      </w:r>
      <w:r>
        <w:rPr/>
        <w:t>室法定代表人：徐朝晖</w:t>
      </w:r>
    </w:p>
    <w:p>
      <w:pPr>
        <w:pStyle w:val="BodyText"/>
        <w:spacing w:line="417" w:lineRule="auto"/>
        <w:ind w:left="680" w:right="652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680"/>
      </w:pPr>
      <w:r>
        <w:rPr/>
        <w:t>联系人：梁承华</w:t>
      </w:r>
    </w:p>
    <w:p>
      <w:pPr>
        <w:pStyle w:val="BodyText"/>
        <w:spacing w:before="6"/>
        <w:rPr>
          <w:sz w:val="15"/>
        </w:rPr>
      </w:pPr>
    </w:p>
    <w:p>
      <w:pPr>
        <w:pStyle w:val="BodyText"/>
        <w:spacing w:line="417" w:lineRule="auto"/>
        <w:ind w:left="680" w:right="6041"/>
        <w:rPr>
          <w:rFonts w:ascii="Times New Roman" w:eastAsia="Times New Roman"/>
        </w:rPr>
      </w:pPr>
      <w:r>
        <w:rPr/>
        <w:t>网址：</w:t>
      </w:r>
      <w:hyperlink r:id="rId110">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7"/>
        </w:numPr>
        <w:tabs>
          <w:tab w:pos="1315" w:val="left" w:leader="none"/>
        </w:tabs>
        <w:spacing w:line="417" w:lineRule="auto" w:before="0" w:after="0"/>
        <w:ind w:left="680" w:right="5335" w:firstLine="0"/>
        <w:jc w:val="left"/>
        <w:rPr>
          <w:sz w:val="21"/>
        </w:rPr>
      </w:pPr>
      <w:r>
        <w:rPr>
          <w:spacing w:val="-3"/>
          <w:sz w:val="21"/>
        </w:rPr>
        <w:t>华龙证券股份有限公司  住所：甘肃省兰州市静宁路</w:t>
      </w:r>
      <w:r>
        <w:rPr>
          <w:rFonts w:ascii="Times New Roman" w:eastAsia="Times New Roman"/>
          <w:sz w:val="21"/>
        </w:rPr>
        <w:t>308</w:t>
      </w:r>
      <w:r>
        <w:rPr>
          <w:spacing w:val="-13"/>
          <w:sz w:val="21"/>
        </w:rPr>
        <w:t>号</w:t>
      </w:r>
    </w:p>
    <w:p>
      <w:pPr>
        <w:pStyle w:val="BodyText"/>
        <w:spacing w:line="417" w:lineRule="auto"/>
        <w:ind w:left="680" w:right="4915"/>
      </w:pPr>
      <w:r>
        <w:rPr>
          <w:spacing w:val="-3"/>
        </w:rPr>
        <w:t>办公地址：甘肃省兰州市静宁路</w:t>
      </w:r>
      <w:r>
        <w:rPr>
          <w:rFonts w:ascii="Times New Roman" w:eastAsia="Times New Roman"/>
        </w:rPr>
        <w:t>308</w:t>
      </w:r>
      <w:r>
        <w:rPr>
          <w:spacing w:val="-13"/>
        </w:rPr>
        <w:t>号</w:t>
      </w:r>
      <w:r>
        <w:rPr>
          <w:spacing w:val="-3"/>
        </w:rPr>
        <w:t>法定代表人：李晓安</w:t>
      </w:r>
    </w:p>
    <w:p>
      <w:pPr>
        <w:pStyle w:val="BodyText"/>
        <w:spacing w:line="269" w:lineRule="exact"/>
        <w:ind w:left="68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ind w:left="680"/>
      </w:pPr>
      <w:r>
        <w:rPr/>
        <w:t>联系人：李昕田</w:t>
      </w:r>
    </w:p>
    <w:p>
      <w:pPr>
        <w:pStyle w:val="BodyText"/>
        <w:spacing w:before="7"/>
        <w:rPr>
          <w:sz w:val="15"/>
        </w:rPr>
      </w:pPr>
    </w:p>
    <w:p>
      <w:pPr>
        <w:pStyle w:val="BodyText"/>
        <w:spacing w:before="1"/>
        <w:ind w:left="680"/>
        <w:rPr>
          <w:rFonts w:ascii="Times New Roman" w:eastAsia="Times New Roman"/>
        </w:rPr>
      </w:pPr>
      <w:r>
        <w:rPr/>
        <w:t>网址：</w:t>
      </w:r>
      <w:hyperlink r:id="rId111">
        <w:r>
          <w:rPr>
            <w:rFonts w:ascii="Times New Roman" w:eastAsia="Times New Roman"/>
          </w:rPr>
          <w:t>www.hlzqgs.com</w:t>
        </w:r>
      </w:hyperlink>
    </w:p>
    <w:p>
      <w:pPr>
        <w:pStyle w:val="BodyText"/>
        <w:spacing w:before="3"/>
        <w:rPr>
          <w:rFonts w:ascii="Times New Roman"/>
          <w:sz w:val="17"/>
        </w:rPr>
      </w:pPr>
    </w:p>
    <w:p>
      <w:pPr>
        <w:pStyle w:val="BodyText"/>
        <w:ind w:left="680"/>
      </w:pPr>
      <w:r>
        <w:rPr/>
        <w:t>客户服务电话：</w:t>
      </w:r>
      <w:r>
        <w:rPr>
          <w:rFonts w:ascii="Times New Roman" w:eastAsia="Times New Roman"/>
        </w:rPr>
        <w:t>95368</w:t>
      </w:r>
      <w:r>
        <w:rPr/>
        <w:t>、</w:t>
      </w:r>
      <w:r>
        <w:rPr>
          <w:rFonts w:ascii="Times New Roman" w:eastAsia="Times New Roman"/>
        </w:rPr>
        <w:t>400-468-8888</w:t>
      </w:r>
      <w:r>
        <w:rPr/>
        <w:t>（全国）</w:t>
      </w:r>
    </w:p>
    <w:p>
      <w:pPr>
        <w:spacing w:after="0"/>
        <w:sectPr>
          <w:pgSz w:w="11910" w:h="16840"/>
          <w:pgMar w:header="877" w:footer="995" w:top="1420" w:bottom="1180" w:left="1540" w:right="1300"/>
        </w:sectPr>
      </w:pPr>
    </w:p>
    <w:p>
      <w:pPr>
        <w:pStyle w:val="ListParagraph"/>
        <w:numPr>
          <w:ilvl w:val="0"/>
          <w:numId w:val="7"/>
        </w:numPr>
        <w:tabs>
          <w:tab w:pos="1419" w:val="left" w:leader="none"/>
        </w:tabs>
        <w:spacing w:line="240" w:lineRule="auto" w:before="110" w:after="0"/>
        <w:ind w:left="1418" w:right="0" w:hanging="739"/>
        <w:jc w:val="left"/>
        <w:rPr>
          <w:sz w:val="21"/>
        </w:rPr>
      </w:pPr>
      <w:r>
        <w:rPr>
          <w:spacing w:val="-3"/>
          <w:sz w:val="21"/>
        </w:rPr>
        <w:t>中国国际金融股份有限公司</w:t>
      </w:r>
    </w:p>
    <w:p>
      <w:pPr>
        <w:pStyle w:val="BodyText"/>
        <w:spacing w:before="6"/>
        <w:rPr>
          <w:sz w:val="15"/>
        </w:rPr>
      </w:pPr>
    </w:p>
    <w:p>
      <w:pPr>
        <w:pStyle w:val="BodyText"/>
        <w:ind w:left="680"/>
      </w:pPr>
      <w:r>
        <w:rPr/>
        <w:t>住所：北京市建国门外大街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w:t>
      </w:r>
    </w:p>
    <w:p>
      <w:pPr>
        <w:pStyle w:val="BodyText"/>
        <w:spacing w:before="7"/>
        <w:rPr>
          <w:sz w:val="15"/>
        </w:rPr>
      </w:pPr>
    </w:p>
    <w:p>
      <w:pPr>
        <w:pStyle w:val="BodyText"/>
        <w:spacing w:line="417" w:lineRule="auto"/>
        <w:ind w:left="680" w:right="2918"/>
      </w:pPr>
      <w:r>
        <w:rPr/>
        <w:t>办公地址：北京市建国门外大街</w:t>
      </w:r>
      <w:r>
        <w:rPr>
          <w:rFonts w:ascii="Times New Roman" w:eastAsia="Times New Roman"/>
        </w:rPr>
        <w:t>1</w:t>
      </w:r>
      <w:r>
        <w:rPr/>
        <w:t>号国贸大厦</w:t>
      </w:r>
      <w:r>
        <w:rPr>
          <w:rFonts w:ascii="Times New Roman" w:eastAsia="Times New Roman"/>
        </w:rPr>
        <w:t>2</w:t>
      </w:r>
      <w:r>
        <w:rPr/>
        <w:t>座</w:t>
      </w:r>
      <w:r>
        <w:rPr>
          <w:rFonts w:ascii="Times New Roman" w:eastAsia="Times New Roman"/>
        </w:rPr>
        <w:t>27</w:t>
      </w:r>
      <w:r>
        <w:rPr/>
        <w:t>层及</w:t>
      </w:r>
      <w:r>
        <w:rPr>
          <w:rFonts w:ascii="Times New Roman" w:eastAsia="Times New Roman"/>
        </w:rPr>
        <w:t>28</w:t>
      </w:r>
      <w:r>
        <w:rPr/>
        <w:t>层法定代表人：金立群</w:t>
      </w:r>
    </w:p>
    <w:p>
      <w:pPr>
        <w:pStyle w:val="BodyText"/>
        <w:spacing w:line="417" w:lineRule="auto"/>
        <w:ind w:left="680" w:right="652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680" w:right="6070"/>
        <w:rPr>
          <w:rFonts w:ascii="Times New Roman" w:eastAsia="Times New Roman"/>
        </w:rPr>
      </w:pPr>
      <w:r>
        <w:rPr/>
        <w:t>联系人：罗春蓉、武明明网址：</w:t>
      </w:r>
      <w:hyperlink r:id="rId112">
        <w:r>
          <w:rPr>
            <w:rFonts w:ascii="Times New Roman" w:eastAsia="Times New Roman"/>
          </w:rPr>
          <w:t>www.cicc.com.cn</w:t>
        </w:r>
      </w:hyperlink>
    </w:p>
    <w:p>
      <w:pPr>
        <w:pStyle w:val="BodyText"/>
        <w:ind w:left="68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7"/>
        </w:numPr>
        <w:tabs>
          <w:tab w:pos="1419" w:val="left" w:leader="none"/>
        </w:tabs>
        <w:spacing w:line="240" w:lineRule="auto" w:before="0" w:after="0"/>
        <w:ind w:left="1418" w:right="0" w:hanging="739"/>
        <w:jc w:val="left"/>
        <w:rPr>
          <w:sz w:val="21"/>
        </w:rPr>
      </w:pPr>
      <w:r>
        <w:rPr>
          <w:spacing w:val="-3"/>
          <w:sz w:val="21"/>
        </w:rPr>
        <w:t>财通证券股份有限公司</w:t>
      </w:r>
    </w:p>
    <w:p>
      <w:pPr>
        <w:pStyle w:val="BodyText"/>
        <w:spacing w:before="7"/>
        <w:rPr>
          <w:sz w:val="15"/>
        </w:rPr>
      </w:pPr>
    </w:p>
    <w:p>
      <w:pPr>
        <w:pStyle w:val="BodyText"/>
        <w:ind w:left="680"/>
      </w:pPr>
      <w:r>
        <w:rPr/>
        <w:t>住所：杭州市杭大路</w:t>
      </w:r>
      <w:r>
        <w:rPr>
          <w:rFonts w:ascii="Times New Roman" w:eastAsia="Times New Roman"/>
        </w:rPr>
        <w:t>15</w:t>
      </w:r>
      <w:r>
        <w:rPr/>
        <w:t>号嘉华国际商务中心</w:t>
      </w:r>
    </w:p>
    <w:p>
      <w:pPr>
        <w:pStyle w:val="BodyText"/>
        <w:spacing w:before="7"/>
        <w:rPr>
          <w:sz w:val="15"/>
        </w:rPr>
      </w:pPr>
    </w:p>
    <w:p>
      <w:pPr>
        <w:pStyle w:val="BodyText"/>
        <w:spacing w:line="417" w:lineRule="auto"/>
        <w:ind w:left="680" w:right="3971"/>
      </w:pPr>
      <w:r>
        <w:rPr/>
        <w:t>办公地址：杭州市杭大路</w:t>
      </w:r>
      <w:r>
        <w:rPr>
          <w:rFonts w:ascii="Times New Roman" w:eastAsia="Times New Roman"/>
        </w:rPr>
        <w:t>15</w:t>
      </w:r>
      <w:r>
        <w:rPr/>
        <w:t>号嘉华国际商务中心法定代表人：沈继宁</w:t>
      </w:r>
    </w:p>
    <w:p>
      <w:pPr>
        <w:pStyle w:val="BodyText"/>
        <w:spacing w:line="417" w:lineRule="auto"/>
        <w:ind w:left="680" w:right="6420"/>
        <w:rPr>
          <w:rFonts w:ascii="Times New Roman" w:eastAsia="Times New Roman"/>
        </w:rPr>
      </w:pPr>
      <w:r>
        <w:rPr/>
        <w:t>电话：</w:t>
      </w:r>
      <w:r>
        <w:rPr>
          <w:rFonts w:ascii="Times New Roman" w:eastAsia="Times New Roman"/>
        </w:rPr>
        <w:t>0571-87925129 </w:t>
      </w:r>
      <w:r>
        <w:rPr/>
        <w:t>传真：</w:t>
      </w:r>
      <w:r>
        <w:rPr>
          <w:rFonts w:ascii="Times New Roman" w:eastAsia="Times New Roman"/>
        </w:rPr>
        <w:t>0571-87818329</w:t>
      </w:r>
    </w:p>
    <w:p>
      <w:pPr>
        <w:pStyle w:val="BodyText"/>
        <w:ind w:left="680"/>
      </w:pPr>
      <w:r>
        <w:rPr/>
        <w:t>联系人：夏吉慧</w:t>
      </w:r>
    </w:p>
    <w:p>
      <w:pPr>
        <w:pStyle w:val="BodyText"/>
        <w:spacing w:before="6"/>
        <w:rPr>
          <w:sz w:val="15"/>
        </w:rPr>
      </w:pPr>
    </w:p>
    <w:p>
      <w:pPr>
        <w:pStyle w:val="BodyText"/>
        <w:spacing w:line="417" w:lineRule="auto"/>
        <w:ind w:left="680" w:right="6387"/>
        <w:rPr>
          <w:rFonts w:ascii="Times New Roman" w:eastAsia="Times New Roman"/>
        </w:rPr>
      </w:pPr>
      <w:r>
        <w:rPr/>
        <w:t>网址：</w:t>
      </w:r>
      <w:hyperlink r:id="rId113">
        <w:r>
          <w:rPr>
            <w:rFonts w:ascii="Times New Roman" w:eastAsia="Times New Roman"/>
          </w:rPr>
          <w:t>www.ctsec.com </w:t>
        </w:r>
      </w:hyperlink>
      <w:r>
        <w:rPr/>
        <w:t>客户服务电话：</w:t>
      </w:r>
      <w:r>
        <w:rPr>
          <w:rFonts w:ascii="Times New Roman" w:eastAsia="Times New Roman"/>
        </w:rPr>
        <w:t>95336</w:t>
      </w:r>
    </w:p>
    <w:p>
      <w:pPr>
        <w:pStyle w:val="ListParagraph"/>
        <w:numPr>
          <w:ilvl w:val="0"/>
          <w:numId w:val="7"/>
        </w:numPr>
        <w:tabs>
          <w:tab w:pos="1419" w:val="left" w:leader="none"/>
        </w:tabs>
        <w:spacing w:line="269" w:lineRule="exact" w:before="0" w:after="0"/>
        <w:ind w:left="1418" w:right="0" w:hanging="739"/>
        <w:jc w:val="left"/>
        <w:rPr>
          <w:sz w:val="21"/>
        </w:rPr>
      </w:pPr>
      <w:r>
        <w:rPr>
          <w:spacing w:val="-3"/>
          <w:sz w:val="21"/>
        </w:rPr>
        <w:t>上海华信证券有限责任公司</w:t>
      </w:r>
    </w:p>
    <w:p>
      <w:pPr>
        <w:pStyle w:val="BodyText"/>
        <w:spacing w:before="7"/>
        <w:rPr>
          <w:sz w:val="15"/>
        </w:rPr>
      </w:pPr>
    </w:p>
    <w:p>
      <w:pPr>
        <w:pStyle w:val="BodyText"/>
        <w:spacing w:line="417" w:lineRule="auto"/>
        <w:ind w:left="680" w:right="3446"/>
      </w:pPr>
      <w:r>
        <w:rPr>
          <w:spacing w:val="-3"/>
        </w:rPr>
        <w:t>住所：上海市浦东新区世纪大道</w:t>
      </w:r>
      <w:r>
        <w:rPr>
          <w:rFonts w:ascii="Times New Roman" w:eastAsia="Times New Roman"/>
        </w:rPr>
        <w:t>100</w:t>
      </w:r>
      <w:r>
        <w:rPr>
          <w:spacing w:val="-3"/>
        </w:rPr>
        <w:t>号环球金融中心 办公地址：上海市黄埔区南京西路</w:t>
      </w:r>
      <w:r>
        <w:rPr>
          <w:rFonts w:ascii="Times New Roman" w:eastAsia="Times New Roman"/>
        </w:rPr>
        <w:t>399</w:t>
      </w:r>
      <w:r>
        <w:rPr>
          <w:spacing w:val="-3"/>
        </w:rPr>
        <w:t>号明天广场</w:t>
      </w:r>
      <w:r>
        <w:rPr>
          <w:rFonts w:ascii="Times New Roman" w:eastAsia="Times New Roman"/>
          <w:spacing w:val="-3"/>
        </w:rPr>
        <w:t>20</w:t>
      </w:r>
      <w:r>
        <w:rPr/>
        <w:t>楼</w:t>
      </w:r>
      <w:r>
        <w:rPr>
          <w:spacing w:val="-3"/>
        </w:rPr>
        <w:t>法定代表人：陈灿辉</w:t>
      </w:r>
    </w:p>
    <w:p>
      <w:pPr>
        <w:pStyle w:val="BodyText"/>
        <w:ind w:left="680"/>
        <w:rPr>
          <w:rFonts w:ascii="Times New Roman" w:eastAsia="Times New Roman"/>
        </w:rPr>
      </w:pPr>
      <w:r>
        <w:rPr>
          <w:spacing w:val="-1"/>
        </w:rPr>
        <w:t>电话：</w:t>
      </w:r>
      <w:r>
        <w:rPr>
          <w:rFonts w:ascii="Times New Roman" w:eastAsia="Times New Roman"/>
          <w:spacing w:val="-1"/>
        </w:rPr>
        <w:t>021-63898427</w:t>
      </w:r>
    </w:p>
    <w:p>
      <w:pPr>
        <w:pStyle w:val="BodyText"/>
        <w:spacing w:before="3"/>
        <w:rPr>
          <w:rFonts w:ascii="Times New Roman"/>
          <w:sz w:val="17"/>
        </w:rPr>
      </w:pPr>
    </w:p>
    <w:p>
      <w:pPr>
        <w:pStyle w:val="BodyText"/>
        <w:spacing w:before="1"/>
        <w:ind w:left="680"/>
        <w:rPr>
          <w:rFonts w:ascii="Times New Roman" w:eastAsia="Times New Roman"/>
        </w:rPr>
      </w:pPr>
      <w:r>
        <w:rPr/>
        <w:t>传真：</w:t>
      </w:r>
      <w:r>
        <w:rPr>
          <w:rFonts w:ascii="Times New Roman" w:eastAsia="Times New Roman"/>
        </w:rPr>
        <w:t>021-68776977-8427</w:t>
      </w:r>
    </w:p>
    <w:p>
      <w:pPr>
        <w:pStyle w:val="BodyText"/>
        <w:spacing w:before="3"/>
        <w:rPr>
          <w:rFonts w:ascii="Times New Roman"/>
          <w:sz w:val="17"/>
        </w:rPr>
      </w:pPr>
    </w:p>
    <w:p>
      <w:pPr>
        <w:pStyle w:val="BodyText"/>
        <w:ind w:left="680"/>
      </w:pPr>
      <w:r>
        <w:rPr/>
        <w:t>联系人：徐璐</w:t>
      </w:r>
    </w:p>
    <w:p>
      <w:pPr>
        <w:pStyle w:val="BodyText"/>
        <w:spacing w:before="7"/>
        <w:rPr>
          <w:sz w:val="15"/>
        </w:rPr>
      </w:pPr>
    </w:p>
    <w:p>
      <w:pPr>
        <w:pStyle w:val="BodyText"/>
        <w:ind w:left="680"/>
        <w:rPr>
          <w:rFonts w:ascii="Times New Roman" w:eastAsia="Times New Roman"/>
        </w:rPr>
      </w:pPr>
      <w:r>
        <w:rPr/>
        <w:t>网址：</w:t>
      </w:r>
      <w:hyperlink r:id="rId114">
        <w:r>
          <w:rPr>
            <w:rFonts w:ascii="Times New Roman" w:eastAsia="Times New Roman"/>
          </w:rPr>
          <w:t>www.shhxzq.com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400-820-5999</w:t>
      </w:r>
    </w:p>
    <w:p>
      <w:pPr>
        <w:pStyle w:val="BodyText"/>
        <w:spacing w:before="3"/>
        <w:rPr>
          <w:rFonts w:ascii="Times New Roman"/>
          <w:sz w:val="17"/>
        </w:rPr>
      </w:pPr>
    </w:p>
    <w:p>
      <w:pPr>
        <w:pStyle w:val="ListParagraph"/>
        <w:numPr>
          <w:ilvl w:val="0"/>
          <w:numId w:val="7"/>
        </w:numPr>
        <w:tabs>
          <w:tab w:pos="1419" w:val="left" w:leader="none"/>
        </w:tabs>
        <w:spacing w:line="240" w:lineRule="auto" w:before="1" w:after="0"/>
        <w:ind w:left="1418" w:right="0" w:hanging="739"/>
        <w:jc w:val="left"/>
        <w:rPr>
          <w:sz w:val="21"/>
        </w:rPr>
      </w:pPr>
      <w:r>
        <w:rPr>
          <w:spacing w:val="-3"/>
          <w:sz w:val="21"/>
        </w:rPr>
        <w:t>中山证券有限责任公司</w:t>
      </w:r>
    </w:p>
    <w:p>
      <w:pPr>
        <w:pStyle w:val="BodyText"/>
        <w:spacing w:before="7"/>
        <w:rPr>
          <w:sz w:val="15"/>
        </w:rPr>
      </w:pPr>
    </w:p>
    <w:p>
      <w:pPr>
        <w:pStyle w:val="BodyText"/>
        <w:ind w:left="680"/>
      </w:pPr>
      <w:r>
        <w:rPr/>
        <w:t>住所：深圳市南山区创业路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w:t>
      </w:r>
    </w:p>
    <w:p>
      <w:pPr>
        <w:pStyle w:val="BodyText"/>
        <w:spacing w:before="6"/>
        <w:rPr>
          <w:sz w:val="15"/>
        </w:rPr>
      </w:pPr>
    </w:p>
    <w:p>
      <w:pPr>
        <w:pStyle w:val="BodyText"/>
        <w:spacing w:before="1"/>
        <w:ind w:left="680"/>
      </w:pPr>
      <w:r>
        <w:rPr/>
        <w:t>办公地址：深圳市南山区创业路</w:t>
      </w:r>
      <w:r>
        <w:rPr>
          <w:rFonts w:ascii="Times New Roman" w:eastAsia="Times New Roman"/>
        </w:rPr>
        <w:t>1777</w:t>
      </w:r>
      <w:r>
        <w:rPr/>
        <w:t>号海信南方大厦</w:t>
      </w:r>
      <w:r>
        <w:rPr>
          <w:rFonts w:ascii="Times New Roman" w:eastAsia="Times New Roman"/>
        </w:rPr>
        <w:t>21</w:t>
      </w:r>
      <w:r>
        <w:rPr/>
        <w:t>、</w:t>
      </w:r>
      <w:r>
        <w:rPr>
          <w:rFonts w:ascii="Times New Roman" w:eastAsia="Times New Roman"/>
        </w:rPr>
        <w:t>22</w:t>
      </w:r>
      <w:r>
        <w:rPr/>
        <w:t>层</w:t>
      </w:r>
    </w:p>
    <w:p>
      <w:pPr>
        <w:spacing w:after="0"/>
        <w:sectPr>
          <w:pgSz w:w="11910" w:h="16840"/>
          <w:pgMar w:header="877" w:footer="995" w:top="1420" w:bottom="1180" w:left="1540" w:right="1300"/>
        </w:sectPr>
      </w:pPr>
    </w:p>
    <w:p>
      <w:pPr>
        <w:pStyle w:val="BodyText"/>
        <w:spacing w:line="417" w:lineRule="auto" w:before="110"/>
        <w:ind w:left="680" w:right="6420"/>
        <w:rPr>
          <w:rFonts w:ascii="Times New Roman" w:eastAsia="Times New Roman"/>
        </w:rPr>
      </w:pPr>
      <w:r>
        <w:rPr/>
        <w:t>法定代表人：林炳城电话：</w:t>
      </w:r>
      <w:r>
        <w:rPr>
          <w:rFonts w:ascii="Times New Roman" w:eastAsia="Times New Roman"/>
        </w:rPr>
        <w:t>0755-82943755 </w:t>
      </w:r>
      <w:r>
        <w:rPr/>
        <w:t>传真：</w:t>
      </w:r>
      <w:r>
        <w:rPr>
          <w:rFonts w:ascii="Times New Roman" w:eastAsia="Times New Roman"/>
        </w:rPr>
        <w:t>0755-82960582</w:t>
      </w:r>
    </w:p>
    <w:p>
      <w:pPr>
        <w:pStyle w:val="BodyText"/>
        <w:spacing w:line="269" w:lineRule="exact"/>
        <w:ind w:left="680"/>
      </w:pPr>
      <w:r>
        <w:rPr/>
        <w:t>联系人：罗艺琳</w:t>
      </w:r>
    </w:p>
    <w:p>
      <w:pPr>
        <w:pStyle w:val="BodyText"/>
        <w:spacing w:before="6"/>
        <w:rPr>
          <w:sz w:val="15"/>
        </w:rPr>
      </w:pPr>
    </w:p>
    <w:p>
      <w:pPr>
        <w:pStyle w:val="BodyText"/>
        <w:spacing w:line="417" w:lineRule="auto"/>
        <w:ind w:left="680" w:right="6387"/>
        <w:rPr>
          <w:rFonts w:ascii="Times New Roman" w:eastAsia="Times New Roman"/>
        </w:rPr>
      </w:pPr>
      <w:r>
        <w:rPr/>
        <w:t>网址：</w:t>
      </w:r>
      <w:hyperlink r:id="rId115">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7"/>
        </w:numPr>
        <w:tabs>
          <w:tab w:pos="1419" w:val="left" w:leader="none"/>
        </w:tabs>
        <w:spacing w:line="269" w:lineRule="exact" w:before="0" w:after="0"/>
        <w:ind w:left="1418" w:right="0" w:hanging="739"/>
        <w:jc w:val="left"/>
        <w:rPr>
          <w:sz w:val="21"/>
        </w:rPr>
      </w:pPr>
      <w:r>
        <w:rPr>
          <w:spacing w:val="-3"/>
          <w:sz w:val="21"/>
        </w:rPr>
        <w:t>粤开证券股份有限公司</w:t>
      </w:r>
    </w:p>
    <w:p>
      <w:pPr>
        <w:pStyle w:val="BodyText"/>
        <w:spacing w:before="8"/>
        <w:rPr>
          <w:sz w:val="15"/>
        </w:rPr>
      </w:pPr>
    </w:p>
    <w:p>
      <w:pPr>
        <w:pStyle w:val="BodyText"/>
        <w:spacing w:line="417" w:lineRule="auto"/>
        <w:ind w:left="680" w:right="1867"/>
      </w:pPr>
      <w:r>
        <w:rPr/>
        <w:t>住所：广州经济技术开发区科学大道</w:t>
      </w:r>
      <w:r>
        <w:rPr>
          <w:rFonts w:ascii="Times New Roman" w:eastAsia="Times New Roman"/>
        </w:rPr>
        <w:t>60</w:t>
      </w:r>
      <w:r>
        <w:rPr/>
        <w:t>号开发区金控中心</w:t>
      </w:r>
      <w:r>
        <w:rPr>
          <w:rFonts w:ascii="Times New Roman" w:eastAsia="Times New Roman"/>
        </w:rPr>
        <w:t>21</w:t>
      </w:r>
      <w:r>
        <w:rPr/>
        <w:t>、</w:t>
      </w:r>
      <w:r>
        <w:rPr>
          <w:rFonts w:ascii="Times New Roman" w:eastAsia="Times New Roman"/>
        </w:rPr>
        <w:t>22</w:t>
      </w:r>
      <w:r>
        <w:rPr/>
        <w:t>、</w:t>
      </w:r>
      <w:r>
        <w:rPr>
          <w:rFonts w:ascii="Times New Roman" w:eastAsia="Times New Roman"/>
        </w:rPr>
        <w:t>23</w:t>
      </w:r>
      <w:r>
        <w:rPr/>
        <w:t>层办公地址：深圳市福田区深南中路</w:t>
      </w:r>
      <w:r>
        <w:rPr>
          <w:rFonts w:ascii="Times New Roman" w:eastAsia="Times New Roman"/>
        </w:rPr>
        <w:t>2002</w:t>
      </w:r>
      <w:r>
        <w:rPr/>
        <w:t>号中广核大厦北楼</w:t>
      </w:r>
      <w:r>
        <w:rPr>
          <w:rFonts w:ascii="Times New Roman" w:eastAsia="Times New Roman"/>
        </w:rPr>
        <w:t>10</w:t>
      </w:r>
      <w:r>
        <w:rPr/>
        <w:t>层</w:t>
      </w:r>
    </w:p>
    <w:p>
      <w:pPr>
        <w:pStyle w:val="BodyText"/>
        <w:spacing w:line="417" w:lineRule="auto"/>
        <w:ind w:left="680" w:right="6430"/>
        <w:rPr>
          <w:rFonts w:ascii="Times New Roman" w:eastAsia="Times New Roman"/>
        </w:rPr>
      </w:pPr>
      <w:r>
        <w:rPr/>
        <w:t>法定代表人：严亦斌电话：</w:t>
      </w:r>
      <w:r>
        <w:rPr>
          <w:rFonts w:ascii="Times New Roman" w:eastAsia="Times New Roman"/>
        </w:rPr>
        <w:t>0755-83331195</w:t>
      </w:r>
    </w:p>
    <w:p>
      <w:pPr>
        <w:pStyle w:val="BodyText"/>
        <w:spacing w:line="269" w:lineRule="exact"/>
        <w:ind w:left="680"/>
      </w:pPr>
      <w:r>
        <w:rPr/>
        <w:t>联系人：彭莲</w:t>
      </w:r>
    </w:p>
    <w:p>
      <w:pPr>
        <w:pStyle w:val="BodyText"/>
        <w:spacing w:before="6"/>
        <w:rPr>
          <w:sz w:val="15"/>
        </w:rPr>
      </w:pPr>
    </w:p>
    <w:p>
      <w:pPr>
        <w:pStyle w:val="BodyText"/>
        <w:spacing w:line="417" w:lineRule="auto"/>
        <w:ind w:left="680" w:right="5891"/>
        <w:rPr>
          <w:rFonts w:ascii="Times New Roman" w:eastAsia="Times New Roman"/>
        </w:rPr>
      </w:pPr>
      <w:r>
        <w:rPr/>
        <w:t>网址：</w:t>
      </w:r>
      <w:hyperlink r:id="rId116">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7"/>
        </w:numPr>
        <w:tabs>
          <w:tab w:pos="1419" w:val="left" w:leader="none"/>
        </w:tabs>
        <w:spacing w:line="240" w:lineRule="auto" w:before="0" w:after="0"/>
        <w:ind w:left="1418" w:right="0" w:hanging="739"/>
        <w:jc w:val="left"/>
        <w:rPr>
          <w:sz w:val="21"/>
        </w:rPr>
      </w:pPr>
      <w:r>
        <w:rPr>
          <w:spacing w:val="-3"/>
          <w:sz w:val="21"/>
        </w:rPr>
        <w:t>国金证券股份有限公司</w:t>
      </w:r>
    </w:p>
    <w:p>
      <w:pPr>
        <w:pStyle w:val="BodyText"/>
        <w:spacing w:before="7"/>
        <w:rPr>
          <w:sz w:val="15"/>
        </w:rPr>
      </w:pPr>
    </w:p>
    <w:p>
      <w:pPr>
        <w:pStyle w:val="BodyText"/>
        <w:ind w:left="680"/>
      </w:pPr>
      <w:r>
        <w:rPr/>
        <w:t>住所：成都市青羊区东城根上街</w:t>
      </w:r>
      <w:r>
        <w:rPr>
          <w:rFonts w:ascii="Times New Roman" w:eastAsia="Times New Roman"/>
        </w:rPr>
        <w:t>95</w:t>
      </w:r>
      <w:r>
        <w:rPr/>
        <w:t>号</w:t>
      </w:r>
    </w:p>
    <w:p>
      <w:pPr>
        <w:pStyle w:val="BodyText"/>
        <w:spacing w:before="7"/>
        <w:rPr>
          <w:sz w:val="15"/>
        </w:rPr>
      </w:pPr>
    </w:p>
    <w:p>
      <w:pPr>
        <w:pStyle w:val="BodyText"/>
        <w:spacing w:line="417" w:lineRule="auto"/>
        <w:ind w:left="680" w:right="4598"/>
      </w:pPr>
      <w:r>
        <w:rPr/>
        <w:t>办公地址：成都市青羊区东城根上街</w:t>
      </w:r>
      <w:r>
        <w:rPr>
          <w:rFonts w:ascii="Times New Roman" w:eastAsia="Times New Roman"/>
        </w:rPr>
        <w:t>95</w:t>
      </w:r>
      <w:r>
        <w:rPr/>
        <w:t>号法定代表人：冉云</w:t>
      </w:r>
    </w:p>
    <w:p>
      <w:pPr>
        <w:pStyle w:val="BodyText"/>
        <w:spacing w:line="417" w:lineRule="auto"/>
        <w:ind w:left="680" w:right="509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680" w:right="6233"/>
        <w:jc w:val="both"/>
        <w:rPr>
          <w:rFonts w:ascii="Times New Roman" w:eastAsia="Times New Roman"/>
        </w:rPr>
      </w:pPr>
      <w:r>
        <w:rPr>
          <w:spacing w:val="-3"/>
        </w:rPr>
        <w:t>联系人：刘婧漪、贾鹏网址：</w:t>
      </w:r>
      <w:hyperlink r:id="rId117">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7"/>
        </w:numPr>
        <w:tabs>
          <w:tab w:pos="1419" w:val="left" w:leader="none"/>
        </w:tabs>
        <w:spacing w:line="240" w:lineRule="auto" w:before="0" w:after="0"/>
        <w:ind w:left="1418" w:right="0" w:hanging="739"/>
        <w:jc w:val="left"/>
        <w:rPr>
          <w:sz w:val="21"/>
        </w:rPr>
      </w:pPr>
      <w:r>
        <w:rPr>
          <w:spacing w:val="-3"/>
          <w:sz w:val="21"/>
        </w:rPr>
        <w:t>长城国瑞证券有限公司</w:t>
      </w:r>
    </w:p>
    <w:p>
      <w:pPr>
        <w:pStyle w:val="BodyText"/>
        <w:spacing w:before="6"/>
        <w:rPr>
          <w:sz w:val="15"/>
        </w:rPr>
      </w:pPr>
    </w:p>
    <w:p>
      <w:pPr>
        <w:pStyle w:val="BodyText"/>
        <w:ind w:left="680"/>
      </w:pPr>
      <w:r>
        <w:rPr/>
        <w:t>住所：福建省厦门市莲前西路</w:t>
      </w:r>
      <w:r>
        <w:rPr>
          <w:rFonts w:ascii="Times New Roman" w:eastAsia="Times New Roman"/>
        </w:rPr>
        <w:t>2</w:t>
      </w:r>
      <w:r>
        <w:rPr/>
        <w:t>号莲富大厦十七层</w:t>
      </w:r>
    </w:p>
    <w:p>
      <w:pPr>
        <w:pStyle w:val="BodyText"/>
        <w:spacing w:before="7"/>
        <w:rPr>
          <w:sz w:val="15"/>
        </w:rPr>
      </w:pPr>
    </w:p>
    <w:p>
      <w:pPr>
        <w:pStyle w:val="BodyText"/>
        <w:spacing w:line="417" w:lineRule="auto"/>
        <w:ind w:left="680" w:right="3062"/>
      </w:pPr>
      <w:r>
        <w:rPr/>
        <w:t>办公地址：福建省厦门市深田路</w:t>
      </w:r>
      <w:r>
        <w:rPr>
          <w:rFonts w:ascii="Times New Roman" w:eastAsia="Times New Roman"/>
        </w:rPr>
        <w:t>46</w:t>
      </w:r>
      <w:r>
        <w:rPr/>
        <w:t>号深田国际大厦</w:t>
      </w:r>
      <w:r>
        <w:rPr>
          <w:rFonts w:ascii="Times New Roman" w:eastAsia="Times New Roman"/>
        </w:rPr>
        <w:t>19-20</w:t>
      </w:r>
      <w:r>
        <w:rPr/>
        <w:t>楼法定代表人：王勇</w:t>
      </w:r>
    </w:p>
    <w:p>
      <w:pPr>
        <w:pStyle w:val="BodyText"/>
        <w:spacing w:line="417" w:lineRule="auto"/>
        <w:ind w:left="680" w:right="652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ind w:left="680"/>
      </w:pPr>
      <w:r>
        <w:rPr/>
        <w:t>联系人：邱震</w:t>
      </w:r>
    </w:p>
    <w:p>
      <w:pPr>
        <w:spacing w:after="0"/>
        <w:sectPr>
          <w:pgSz w:w="11910" w:h="16840"/>
          <w:pgMar w:header="877" w:footer="995" w:top="1420" w:bottom="1180" w:left="1540" w:right="1300"/>
        </w:sectPr>
      </w:pPr>
    </w:p>
    <w:p>
      <w:pPr>
        <w:pStyle w:val="BodyText"/>
        <w:spacing w:before="110"/>
        <w:ind w:left="680"/>
        <w:rPr>
          <w:rFonts w:ascii="Times New Roman" w:eastAsia="Times New Roman"/>
        </w:rPr>
      </w:pPr>
      <w:r>
        <w:rPr/>
        <w:t>网址：</w:t>
      </w:r>
      <w:hyperlink r:id="rId118">
        <w:r>
          <w:rPr>
            <w:rFonts w:ascii="Times New Roman" w:eastAsia="Times New Roman"/>
          </w:rPr>
          <w:t>www.gwgsc.com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400-0099-886</w:t>
      </w:r>
    </w:p>
    <w:p>
      <w:pPr>
        <w:pStyle w:val="BodyText"/>
        <w:spacing w:before="3"/>
        <w:rPr>
          <w:rFonts w:ascii="Times New Roman"/>
          <w:sz w:val="17"/>
        </w:rPr>
      </w:pPr>
    </w:p>
    <w:p>
      <w:pPr>
        <w:pStyle w:val="ListParagraph"/>
        <w:numPr>
          <w:ilvl w:val="0"/>
          <w:numId w:val="7"/>
        </w:numPr>
        <w:tabs>
          <w:tab w:pos="1419" w:val="left" w:leader="none"/>
        </w:tabs>
        <w:spacing w:line="240" w:lineRule="auto" w:before="1" w:after="0"/>
        <w:ind w:left="1418" w:right="0" w:hanging="739"/>
        <w:jc w:val="left"/>
        <w:rPr>
          <w:sz w:val="21"/>
        </w:rPr>
      </w:pPr>
      <w:r>
        <w:rPr>
          <w:spacing w:val="-3"/>
          <w:sz w:val="21"/>
        </w:rPr>
        <w:t>爱建证券有限责任公司</w:t>
      </w:r>
    </w:p>
    <w:p>
      <w:pPr>
        <w:pStyle w:val="BodyText"/>
        <w:spacing w:before="6"/>
        <w:rPr>
          <w:sz w:val="15"/>
        </w:rPr>
      </w:pPr>
    </w:p>
    <w:p>
      <w:pPr>
        <w:pStyle w:val="BodyText"/>
        <w:ind w:left="680"/>
      </w:pPr>
      <w:r>
        <w:rPr/>
        <w:t>住所：中国（上海）自由贸易试验区世纪大道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w:t>
      </w:r>
    </w:p>
    <w:p>
      <w:pPr>
        <w:pStyle w:val="BodyText"/>
        <w:spacing w:before="7"/>
        <w:rPr>
          <w:sz w:val="15"/>
        </w:rPr>
      </w:pPr>
    </w:p>
    <w:p>
      <w:pPr>
        <w:pStyle w:val="BodyText"/>
        <w:spacing w:line="417" w:lineRule="auto"/>
        <w:ind w:left="680" w:right="2395"/>
      </w:pPr>
      <w:r>
        <w:rPr/>
        <w:t>办公地址：中国（上海）自由贸易试验区世纪大道</w:t>
      </w:r>
      <w:r>
        <w:rPr>
          <w:rFonts w:ascii="Times New Roman" w:eastAsia="Times New Roman"/>
        </w:rPr>
        <w:t>1600</w:t>
      </w:r>
      <w:r>
        <w:rPr/>
        <w:t>号</w:t>
      </w:r>
      <w:r>
        <w:rPr>
          <w:rFonts w:ascii="Times New Roman" w:eastAsia="Times New Roman"/>
        </w:rPr>
        <w:t>1</w:t>
      </w:r>
      <w:r>
        <w:rPr/>
        <w:t>幢</w:t>
      </w:r>
      <w:r>
        <w:rPr>
          <w:rFonts w:ascii="Times New Roman" w:eastAsia="Times New Roman"/>
        </w:rPr>
        <w:t>32</w:t>
      </w:r>
      <w:r>
        <w:rPr/>
        <w:t>楼法定代表人：祝健</w:t>
      </w:r>
    </w:p>
    <w:p>
      <w:pPr>
        <w:pStyle w:val="BodyText"/>
        <w:spacing w:line="417" w:lineRule="auto"/>
        <w:ind w:left="680" w:right="652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ind w:left="680"/>
      </w:pPr>
      <w:r>
        <w:rPr/>
        <w:t>联系人：庄丽珍</w:t>
      </w:r>
    </w:p>
    <w:p>
      <w:pPr>
        <w:pStyle w:val="BodyText"/>
        <w:spacing w:before="7"/>
        <w:rPr>
          <w:sz w:val="15"/>
        </w:rPr>
      </w:pPr>
    </w:p>
    <w:p>
      <w:pPr>
        <w:pStyle w:val="BodyText"/>
        <w:ind w:left="680"/>
        <w:rPr>
          <w:rFonts w:ascii="Times New Roman" w:eastAsia="Times New Roman"/>
        </w:rPr>
      </w:pPr>
      <w:r>
        <w:rPr/>
        <w:t>网址：</w:t>
      </w:r>
      <w:hyperlink r:id="rId119">
        <w:r>
          <w:rPr>
            <w:rFonts w:ascii="Times New Roman" w:eastAsia="Times New Roman"/>
          </w:rPr>
          <w:t>www.ajzq.com</w:t>
        </w:r>
      </w:hyperlink>
    </w:p>
    <w:p>
      <w:pPr>
        <w:pStyle w:val="BodyText"/>
        <w:spacing w:before="3"/>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400-196-2502</w:t>
      </w:r>
    </w:p>
    <w:p>
      <w:pPr>
        <w:pStyle w:val="BodyText"/>
        <w:spacing w:before="4"/>
        <w:rPr>
          <w:rFonts w:ascii="Times New Roman"/>
          <w:sz w:val="17"/>
        </w:rPr>
      </w:pPr>
    </w:p>
    <w:p>
      <w:pPr>
        <w:pStyle w:val="ListParagraph"/>
        <w:numPr>
          <w:ilvl w:val="0"/>
          <w:numId w:val="7"/>
        </w:numPr>
        <w:tabs>
          <w:tab w:pos="1419" w:val="left" w:leader="none"/>
        </w:tabs>
        <w:spacing w:line="417" w:lineRule="auto" w:before="0" w:after="0"/>
        <w:ind w:left="680" w:right="5335" w:firstLine="0"/>
        <w:jc w:val="left"/>
        <w:rPr>
          <w:sz w:val="21"/>
        </w:rPr>
      </w:pPr>
      <w:r>
        <w:rPr>
          <w:spacing w:val="-3"/>
          <w:sz w:val="21"/>
        </w:rPr>
        <w:t>华融证券股份有限公司 住所：北京市西城区金融大街</w:t>
      </w:r>
      <w:r>
        <w:rPr>
          <w:rFonts w:ascii="Times New Roman" w:eastAsia="Times New Roman"/>
          <w:spacing w:val="-3"/>
          <w:sz w:val="21"/>
        </w:rPr>
        <w:t>8</w:t>
      </w:r>
      <w:r>
        <w:rPr>
          <w:spacing w:val="-13"/>
          <w:sz w:val="21"/>
        </w:rPr>
        <w:t>号</w:t>
      </w:r>
    </w:p>
    <w:p>
      <w:pPr>
        <w:pStyle w:val="BodyText"/>
        <w:spacing w:line="417" w:lineRule="auto"/>
        <w:ind w:left="680" w:right="2707"/>
      </w:pPr>
      <w:r>
        <w:rPr/>
        <w:t>办公地址：北京市朝阳区朝阳门北大街</w:t>
      </w:r>
      <w:r>
        <w:rPr>
          <w:rFonts w:ascii="Times New Roman" w:eastAsia="Times New Roman"/>
        </w:rPr>
        <w:t>18</w:t>
      </w:r>
      <w:r>
        <w:rPr/>
        <w:t>号中国人保寿险大厦法定代表人：祝献忠</w:t>
      </w:r>
    </w:p>
    <w:p>
      <w:pPr>
        <w:pStyle w:val="BodyText"/>
        <w:spacing w:line="417" w:lineRule="auto"/>
        <w:ind w:left="680" w:right="652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680"/>
      </w:pPr>
      <w:r>
        <w:rPr/>
        <w:t>联系人：孙燕波</w:t>
      </w:r>
    </w:p>
    <w:p>
      <w:pPr>
        <w:pStyle w:val="BodyText"/>
        <w:spacing w:before="6"/>
        <w:rPr>
          <w:sz w:val="15"/>
        </w:rPr>
      </w:pPr>
    </w:p>
    <w:p>
      <w:pPr>
        <w:pStyle w:val="BodyText"/>
        <w:spacing w:line="417" w:lineRule="auto"/>
        <w:ind w:left="680" w:right="6107"/>
        <w:rPr>
          <w:rFonts w:ascii="Times New Roman" w:eastAsia="Times New Roman"/>
        </w:rPr>
      </w:pPr>
      <w:r>
        <w:rPr/>
        <w:t>网址：</w:t>
      </w:r>
      <w:hyperlink r:id="rId120">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7"/>
        </w:numPr>
        <w:tabs>
          <w:tab w:pos="1419" w:val="left" w:leader="none"/>
        </w:tabs>
        <w:spacing w:line="269" w:lineRule="exact" w:before="0" w:after="0"/>
        <w:ind w:left="1418" w:right="0" w:hanging="739"/>
        <w:jc w:val="left"/>
        <w:rPr>
          <w:sz w:val="21"/>
        </w:rPr>
      </w:pPr>
      <w:r>
        <w:rPr>
          <w:spacing w:val="-3"/>
          <w:sz w:val="21"/>
        </w:rPr>
        <w:t>天风证券股份有限公司</w:t>
      </w:r>
    </w:p>
    <w:p>
      <w:pPr>
        <w:pStyle w:val="BodyText"/>
        <w:spacing w:before="7"/>
        <w:rPr>
          <w:sz w:val="15"/>
        </w:rPr>
      </w:pPr>
    </w:p>
    <w:p>
      <w:pPr>
        <w:pStyle w:val="BodyText"/>
        <w:spacing w:before="1"/>
        <w:ind w:left="680"/>
      </w:pPr>
      <w:r>
        <w:rPr/>
        <w:t>住所：湖北省武汉市东湖新技术开发区关东园路</w:t>
      </w:r>
      <w:r>
        <w:rPr>
          <w:rFonts w:ascii="Times New Roman" w:eastAsia="Times New Roman"/>
        </w:rPr>
        <w:t>2</w:t>
      </w:r>
      <w:r>
        <w:rPr/>
        <w:t>号高科大厦四楼</w:t>
      </w:r>
    </w:p>
    <w:p>
      <w:pPr>
        <w:pStyle w:val="BodyText"/>
        <w:spacing w:before="6"/>
        <w:rPr>
          <w:sz w:val="15"/>
        </w:rPr>
      </w:pPr>
    </w:p>
    <w:p>
      <w:pPr>
        <w:pStyle w:val="BodyText"/>
        <w:spacing w:line="417" w:lineRule="auto"/>
        <w:ind w:left="680" w:right="1972"/>
      </w:pPr>
      <w:r>
        <w:rPr/>
        <w:t>办公地址：湖北省武汉市东湖新技术开发区关东园路</w:t>
      </w:r>
      <w:r>
        <w:rPr>
          <w:rFonts w:ascii="Times New Roman" w:eastAsia="Times New Roman"/>
        </w:rPr>
        <w:t>2</w:t>
      </w:r>
      <w:r>
        <w:rPr/>
        <w:t>号高科大厦四楼法定代表人：余磊</w:t>
      </w:r>
    </w:p>
    <w:p>
      <w:pPr>
        <w:pStyle w:val="BodyText"/>
        <w:spacing w:line="417" w:lineRule="auto"/>
        <w:ind w:left="680" w:right="652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680"/>
      </w:pPr>
      <w:r>
        <w:rPr/>
        <w:t>联系人：翟璟</w:t>
      </w:r>
    </w:p>
    <w:p>
      <w:pPr>
        <w:pStyle w:val="BodyText"/>
        <w:spacing w:before="6"/>
        <w:rPr>
          <w:sz w:val="15"/>
        </w:rPr>
      </w:pPr>
    </w:p>
    <w:p>
      <w:pPr>
        <w:pStyle w:val="BodyText"/>
        <w:spacing w:before="1"/>
        <w:ind w:left="680"/>
        <w:rPr>
          <w:rFonts w:ascii="Times New Roman" w:eastAsia="Times New Roman"/>
        </w:rPr>
      </w:pPr>
      <w:r>
        <w:rPr/>
        <w:t>网址：</w:t>
      </w:r>
      <w:hyperlink r:id="rId121">
        <w:r>
          <w:rPr>
            <w:rFonts w:ascii="Times New Roman" w:eastAsia="Times New Roman"/>
          </w:rPr>
          <w:t>www.tfzq.com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7"/>
        </w:numPr>
        <w:tabs>
          <w:tab w:pos="1411" w:val="left" w:leader="none"/>
        </w:tabs>
        <w:spacing w:line="240" w:lineRule="auto" w:before="0" w:after="0"/>
        <w:ind w:left="1411" w:right="0" w:hanging="731"/>
        <w:jc w:val="left"/>
        <w:rPr>
          <w:sz w:val="21"/>
        </w:rPr>
      </w:pPr>
      <w:r>
        <w:rPr>
          <w:spacing w:val="-3"/>
          <w:sz w:val="21"/>
        </w:rPr>
        <w:t>万和证券股份有限公司</w:t>
      </w:r>
    </w:p>
    <w:p>
      <w:pPr>
        <w:spacing w:after="0" w:line="240" w:lineRule="auto"/>
        <w:jc w:val="left"/>
        <w:rPr>
          <w:sz w:val="21"/>
        </w:rPr>
        <w:sectPr>
          <w:pgSz w:w="11910" w:h="16840"/>
          <w:pgMar w:header="877" w:footer="995" w:top="1420" w:bottom="1180" w:left="1540" w:right="1300"/>
        </w:sectPr>
      </w:pPr>
    </w:p>
    <w:p>
      <w:pPr>
        <w:pStyle w:val="BodyText"/>
        <w:spacing w:before="110"/>
        <w:ind w:left="680"/>
      </w:pPr>
      <w:r>
        <w:rPr/>
        <w:t>住所：海口市南沙路</w:t>
      </w:r>
      <w:r>
        <w:rPr>
          <w:rFonts w:ascii="Times New Roman" w:eastAsia="Times New Roman"/>
        </w:rPr>
        <w:t>49</w:t>
      </w:r>
      <w:r>
        <w:rPr/>
        <w:t>号通信广场二楼</w:t>
      </w:r>
    </w:p>
    <w:p>
      <w:pPr>
        <w:pStyle w:val="BodyText"/>
        <w:spacing w:before="6"/>
        <w:rPr>
          <w:sz w:val="15"/>
        </w:rPr>
      </w:pPr>
    </w:p>
    <w:p>
      <w:pPr>
        <w:pStyle w:val="BodyText"/>
        <w:spacing w:line="417" w:lineRule="auto"/>
        <w:ind w:left="680" w:right="2498"/>
      </w:pPr>
      <w:r>
        <w:rPr/>
        <w:t>办公地址：深圳市福田区深南大道</w:t>
      </w:r>
      <w:r>
        <w:rPr>
          <w:rFonts w:ascii="Times New Roman" w:eastAsia="Times New Roman"/>
        </w:rPr>
        <w:t>7028</w:t>
      </w:r>
      <w:r>
        <w:rPr/>
        <w:t>号时代科技大厦</w:t>
      </w:r>
      <w:r>
        <w:rPr>
          <w:rFonts w:ascii="Times New Roman" w:eastAsia="Times New Roman"/>
        </w:rPr>
        <w:t>20</w:t>
      </w:r>
      <w:r>
        <w:rPr/>
        <w:t>层西厅法定代表人：冯周让</w:t>
      </w:r>
    </w:p>
    <w:p>
      <w:pPr>
        <w:pStyle w:val="BodyText"/>
        <w:spacing w:line="417" w:lineRule="auto"/>
        <w:ind w:left="680" w:right="642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680"/>
      </w:pPr>
      <w:r>
        <w:rPr/>
        <w:t>联系人：王少峰</w:t>
      </w:r>
    </w:p>
    <w:p>
      <w:pPr>
        <w:pStyle w:val="BodyText"/>
        <w:spacing w:before="7"/>
        <w:rPr>
          <w:sz w:val="15"/>
        </w:rPr>
      </w:pPr>
    </w:p>
    <w:p>
      <w:pPr>
        <w:pStyle w:val="BodyText"/>
        <w:spacing w:line="417" w:lineRule="auto"/>
        <w:ind w:left="680" w:right="5233"/>
        <w:rPr>
          <w:rFonts w:ascii="Times New Roman" w:eastAsia="Times New Roman"/>
        </w:rPr>
      </w:pPr>
      <w:r>
        <w:rPr/>
        <w:t>网址：</w:t>
      </w:r>
      <w:hyperlink r:id="rId122">
        <w:r>
          <w:rPr>
            <w:rFonts w:ascii="Times New Roman" w:eastAsia="Times New Roman"/>
          </w:rPr>
          <w:t>http://www.wanhesec.com.cn </w:t>
        </w:r>
      </w:hyperlink>
      <w:r>
        <w:rPr/>
        <w:t>客户服务电话：</w:t>
      </w:r>
      <w:r>
        <w:rPr>
          <w:rFonts w:ascii="Times New Roman" w:eastAsia="Times New Roman"/>
        </w:rPr>
        <w:t>4008-882-882</w:t>
      </w:r>
    </w:p>
    <w:p>
      <w:pPr>
        <w:pStyle w:val="ListParagraph"/>
        <w:numPr>
          <w:ilvl w:val="0"/>
          <w:numId w:val="7"/>
        </w:numPr>
        <w:tabs>
          <w:tab w:pos="1404" w:val="left" w:leader="none"/>
        </w:tabs>
        <w:spacing w:line="240" w:lineRule="auto" w:before="0" w:after="0"/>
        <w:ind w:left="1403" w:right="0" w:hanging="724"/>
        <w:jc w:val="left"/>
        <w:rPr>
          <w:sz w:val="21"/>
        </w:rPr>
      </w:pPr>
      <w:r>
        <w:rPr>
          <w:spacing w:val="-3"/>
          <w:sz w:val="21"/>
        </w:rPr>
        <w:t>宏信证券有限责任公司</w:t>
      </w:r>
    </w:p>
    <w:p>
      <w:pPr>
        <w:pStyle w:val="BodyText"/>
        <w:spacing w:before="7"/>
        <w:rPr>
          <w:sz w:val="15"/>
        </w:rPr>
      </w:pPr>
    </w:p>
    <w:p>
      <w:pPr>
        <w:pStyle w:val="BodyText"/>
        <w:ind w:left="680"/>
      </w:pPr>
      <w:r>
        <w:rPr/>
        <w:t>住所：四川省成都市锦江区人民南路二段</w:t>
      </w:r>
      <w:r>
        <w:rPr>
          <w:rFonts w:ascii="Times New Roman" w:eastAsia="Times New Roman"/>
        </w:rPr>
        <w:t>18</w:t>
      </w:r>
      <w:r>
        <w:rPr/>
        <w:t>号川信大厦</w:t>
      </w:r>
      <w:r>
        <w:rPr>
          <w:rFonts w:ascii="Times New Roman" w:eastAsia="Times New Roman"/>
        </w:rPr>
        <w:t>10</w:t>
      </w:r>
      <w:r>
        <w:rPr/>
        <w:t>楼</w:t>
      </w:r>
    </w:p>
    <w:p>
      <w:pPr>
        <w:pStyle w:val="BodyText"/>
        <w:spacing w:before="6"/>
        <w:rPr>
          <w:sz w:val="15"/>
        </w:rPr>
      </w:pPr>
    </w:p>
    <w:p>
      <w:pPr>
        <w:pStyle w:val="BodyText"/>
        <w:spacing w:line="417" w:lineRule="auto" w:before="1"/>
        <w:ind w:left="680" w:right="2498"/>
      </w:pPr>
      <w:r>
        <w:rPr/>
        <w:t>办公地址：四川省成都市锦江区人民南路二段</w:t>
      </w:r>
      <w:r>
        <w:rPr>
          <w:rFonts w:ascii="Times New Roman" w:eastAsia="Times New Roman"/>
        </w:rPr>
        <w:t>18</w:t>
      </w:r>
      <w:r>
        <w:rPr/>
        <w:t>号川信大厦</w:t>
      </w:r>
      <w:r>
        <w:rPr>
          <w:rFonts w:ascii="Times New Roman" w:eastAsia="Times New Roman"/>
        </w:rPr>
        <w:t>10</w:t>
      </w:r>
      <w:r>
        <w:rPr/>
        <w:t>楼法定代表人：吴玉明</w:t>
      </w:r>
    </w:p>
    <w:p>
      <w:pPr>
        <w:pStyle w:val="BodyText"/>
        <w:spacing w:line="417" w:lineRule="auto"/>
        <w:ind w:left="680" w:right="6526"/>
        <w:rPr>
          <w:rFonts w:ascii="Times New Roman" w:eastAsia="Times New Roman"/>
        </w:rPr>
      </w:pPr>
      <w:r>
        <w:rPr>
          <w:spacing w:val="-1"/>
        </w:rPr>
        <w:t>电话：</w:t>
      </w:r>
      <w:r>
        <w:rPr>
          <w:rFonts w:ascii="Times New Roman" w:eastAsia="Times New Roman"/>
          <w:spacing w:val="-3"/>
        </w:rPr>
        <w:t>028-86199278 </w:t>
      </w:r>
      <w:r>
        <w:rPr>
          <w:spacing w:val="-1"/>
        </w:rPr>
        <w:t>传真：</w:t>
      </w:r>
      <w:r>
        <w:rPr>
          <w:rFonts w:ascii="Times New Roman" w:eastAsia="Times New Roman"/>
          <w:spacing w:val="-3"/>
        </w:rPr>
        <w:t>028-86199382</w:t>
      </w:r>
    </w:p>
    <w:p>
      <w:pPr>
        <w:pStyle w:val="BodyText"/>
        <w:spacing w:line="417" w:lineRule="auto"/>
        <w:ind w:left="680" w:right="6598"/>
        <w:rPr>
          <w:rFonts w:ascii="Times New Roman" w:eastAsia="Times New Roman"/>
        </w:rPr>
      </w:pPr>
      <w:r>
        <w:rPr>
          <w:spacing w:val="-2"/>
        </w:rPr>
        <w:t>联系人：郝俊杰  </w:t>
      </w:r>
      <w:r>
        <w:rPr>
          <w:spacing w:val="-3"/>
        </w:rPr>
        <w:t>网址：</w:t>
      </w:r>
      <w:hyperlink r:id="rId123">
        <w:r>
          <w:rPr>
            <w:rFonts w:ascii="Times New Roman" w:eastAsia="Times New Roman"/>
            <w:spacing w:val="-4"/>
          </w:rPr>
          <w:t>www.hxzq.cn</w:t>
        </w:r>
      </w:hyperlink>
    </w:p>
    <w:p>
      <w:pPr>
        <w:pStyle w:val="BodyText"/>
        <w:spacing w:line="269" w:lineRule="exact"/>
        <w:ind w:left="680"/>
        <w:rPr>
          <w:rFonts w:ascii="Times New Roman" w:eastAsia="Times New Roman"/>
        </w:rPr>
      </w:pPr>
      <w:r>
        <w:rPr/>
        <w:t>客户服务电话：</w:t>
      </w:r>
      <w:r>
        <w:rPr>
          <w:rFonts w:ascii="Times New Roman" w:eastAsia="Times New Roman"/>
        </w:rPr>
        <w:t>400-836-6366</w:t>
      </w:r>
    </w:p>
    <w:p>
      <w:pPr>
        <w:pStyle w:val="BodyText"/>
        <w:spacing w:before="3"/>
        <w:rPr>
          <w:rFonts w:ascii="Times New Roman"/>
          <w:sz w:val="17"/>
        </w:rPr>
      </w:pPr>
    </w:p>
    <w:p>
      <w:pPr>
        <w:pStyle w:val="ListParagraph"/>
        <w:numPr>
          <w:ilvl w:val="0"/>
          <w:numId w:val="7"/>
        </w:numPr>
        <w:tabs>
          <w:tab w:pos="1411" w:val="left" w:leader="none"/>
        </w:tabs>
        <w:spacing w:line="240" w:lineRule="auto" w:before="0" w:after="0"/>
        <w:ind w:left="1411" w:right="0" w:hanging="731"/>
        <w:jc w:val="left"/>
        <w:rPr>
          <w:sz w:val="21"/>
        </w:rPr>
      </w:pPr>
      <w:r>
        <w:rPr>
          <w:spacing w:val="-3"/>
          <w:sz w:val="21"/>
        </w:rPr>
        <w:t>川财证券有限责任公司</w:t>
      </w:r>
    </w:p>
    <w:p>
      <w:pPr>
        <w:pStyle w:val="BodyText"/>
        <w:spacing w:before="6"/>
        <w:rPr>
          <w:sz w:val="15"/>
        </w:rPr>
      </w:pPr>
    </w:p>
    <w:p>
      <w:pPr>
        <w:pStyle w:val="BodyText"/>
        <w:spacing w:line="417" w:lineRule="auto" w:before="1"/>
        <w:ind w:left="680" w:right="781"/>
      </w:pPr>
      <w:r>
        <w:rPr/>
        <w:t>住所：中国（四川）自由贸易试验区成都市高新区交子大道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楼办公地址：成都市高新区交子大道</w:t>
      </w:r>
      <w:r>
        <w:rPr>
          <w:rFonts w:ascii="Times New Roman" w:eastAsia="Times New Roman"/>
        </w:rPr>
        <w:t>177</w:t>
      </w:r>
      <w:r>
        <w:rPr/>
        <w:t>号中海国际</w:t>
      </w:r>
      <w:r>
        <w:rPr>
          <w:rFonts w:ascii="Times New Roman" w:eastAsia="Times New Roman"/>
        </w:rPr>
        <w:t>B</w:t>
      </w:r>
      <w:r>
        <w:rPr/>
        <w:t>座</w:t>
      </w:r>
      <w:r>
        <w:rPr>
          <w:rFonts w:ascii="Times New Roman" w:eastAsia="Times New Roman"/>
        </w:rPr>
        <w:t>17</w:t>
      </w:r>
      <w:r>
        <w:rPr/>
        <w:t>楼</w:t>
      </w:r>
    </w:p>
    <w:p>
      <w:pPr>
        <w:pStyle w:val="BodyText"/>
        <w:spacing w:line="417" w:lineRule="auto"/>
        <w:ind w:left="680" w:right="649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ind w:left="680"/>
      </w:pPr>
      <w:r>
        <w:rPr/>
        <w:t>联系人：匡婷</w:t>
      </w:r>
    </w:p>
    <w:p>
      <w:pPr>
        <w:pStyle w:val="BodyText"/>
        <w:spacing w:before="6"/>
        <w:rPr>
          <w:sz w:val="15"/>
        </w:rPr>
      </w:pPr>
    </w:p>
    <w:p>
      <w:pPr>
        <w:pStyle w:val="BodyText"/>
        <w:ind w:left="680"/>
        <w:rPr>
          <w:rFonts w:ascii="Times New Roman" w:eastAsia="Times New Roman"/>
        </w:rPr>
      </w:pPr>
      <w:r>
        <w:rPr/>
        <w:t>网址：</w:t>
      </w:r>
      <w:hyperlink r:id="rId124">
        <w:r>
          <w:rPr>
            <w:rFonts w:ascii="Times New Roman" w:eastAsia="Times New Roman"/>
          </w:rPr>
          <w:t>http://www.cczp.com</w:t>
        </w:r>
      </w:hyperlink>
    </w:p>
    <w:p>
      <w:pPr>
        <w:pStyle w:val="BodyText"/>
        <w:spacing w:before="3"/>
        <w:rPr>
          <w:rFonts w:ascii="Times New Roman"/>
          <w:sz w:val="17"/>
        </w:rPr>
      </w:pPr>
    </w:p>
    <w:p>
      <w:pPr>
        <w:pStyle w:val="BodyText"/>
        <w:spacing w:before="1"/>
        <w:ind w:left="68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7"/>
        </w:numPr>
        <w:tabs>
          <w:tab w:pos="1411" w:val="left" w:leader="none"/>
        </w:tabs>
        <w:spacing w:line="240" w:lineRule="auto" w:before="0" w:after="0"/>
        <w:ind w:left="1411" w:right="0" w:hanging="731"/>
        <w:jc w:val="left"/>
        <w:rPr>
          <w:sz w:val="21"/>
        </w:rPr>
      </w:pPr>
      <w:r>
        <w:rPr>
          <w:spacing w:val="-3"/>
          <w:sz w:val="21"/>
        </w:rPr>
        <w:t>联储证券有限责任公司</w:t>
      </w:r>
    </w:p>
    <w:p>
      <w:pPr>
        <w:pStyle w:val="BodyText"/>
        <w:spacing w:before="7"/>
        <w:rPr>
          <w:sz w:val="15"/>
        </w:rPr>
      </w:pPr>
    </w:p>
    <w:p>
      <w:pPr>
        <w:pStyle w:val="BodyText"/>
        <w:spacing w:line="417" w:lineRule="auto"/>
        <w:ind w:left="680" w:right="1972"/>
      </w:pPr>
      <w:r>
        <w:rPr>
          <w:spacing w:val="-3"/>
        </w:rPr>
        <w:t>住所：深圳市福田区福田街道岗厦社区深南大道南侧金地中心大厦</w:t>
      </w:r>
      <w:r>
        <w:rPr>
          <w:rFonts w:ascii="Times New Roman" w:eastAsia="Times New Roman"/>
        </w:rPr>
        <w:t>9</w:t>
      </w:r>
      <w:r>
        <w:rPr/>
        <w:t>楼</w:t>
      </w:r>
      <w:r>
        <w:rPr>
          <w:spacing w:val="-3"/>
        </w:rPr>
        <w:t>办公地址：北京市朝阳区安定路</w:t>
      </w:r>
      <w:r>
        <w:rPr>
          <w:rFonts w:ascii="Times New Roman" w:eastAsia="Times New Roman"/>
        </w:rPr>
        <w:t>5</w:t>
      </w:r>
      <w:r>
        <w:rPr>
          <w:spacing w:val="-2"/>
        </w:rPr>
        <w:t>号院</w:t>
      </w:r>
      <w:r>
        <w:rPr>
          <w:rFonts w:ascii="Times New Roman" w:eastAsia="Times New Roman"/>
        </w:rPr>
        <w:t>3</w:t>
      </w:r>
      <w:r>
        <w:rPr>
          <w:spacing w:val="-3"/>
        </w:rPr>
        <w:t>号楼中建财富国际中心</w:t>
      </w:r>
      <w:r>
        <w:rPr>
          <w:rFonts w:ascii="Times New Roman" w:eastAsia="Times New Roman"/>
        </w:rPr>
        <w:t>27</w:t>
      </w:r>
      <w:r>
        <w:rPr/>
        <w:t>层  </w:t>
      </w:r>
      <w:r>
        <w:rPr>
          <w:spacing w:val="-3"/>
        </w:rPr>
        <w:t>法定代表人：吕春卫</w:t>
      </w:r>
    </w:p>
    <w:p>
      <w:pPr>
        <w:spacing w:after="0" w:line="417" w:lineRule="auto"/>
        <w:sectPr>
          <w:pgSz w:w="11910" w:h="16840"/>
          <w:pgMar w:header="877" w:footer="995" w:top="1420" w:bottom="1180" w:left="1540" w:right="1300"/>
        </w:sectPr>
      </w:pPr>
    </w:p>
    <w:p>
      <w:pPr>
        <w:pStyle w:val="BodyText"/>
        <w:spacing w:line="417" w:lineRule="auto" w:before="110"/>
        <w:ind w:left="680" w:right="6526"/>
        <w:rPr>
          <w:rFonts w:ascii="Times New Roman" w:eastAsia="Times New Roman"/>
        </w:rPr>
      </w:pPr>
      <w:r>
        <w:rPr/>
        <w:t>电话：</w:t>
      </w:r>
      <w:r>
        <w:rPr>
          <w:rFonts w:ascii="Times New Roman" w:eastAsia="Times New Roman"/>
        </w:rPr>
        <w:t>010-86499427 </w:t>
      </w:r>
      <w:r>
        <w:rPr/>
        <w:t>传真：</w:t>
      </w:r>
      <w:r>
        <w:rPr>
          <w:rFonts w:ascii="Times New Roman" w:eastAsia="Times New Roman"/>
        </w:rPr>
        <w:t>010-86499401</w:t>
      </w:r>
    </w:p>
    <w:p>
      <w:pPr>
        <w:pStyle w:val="BodyText"/>
        <w:spacing w:line="269" w:lineRule="exact"/>
        <w:ind w:left="680"/>
      </w:pPr>
      <w:r>
        <w:rPr/>
        <w:t>联系人：丁倩云</w:t>
      </w:r>
    </w:p>
    <w:p>
      <w:pPr>
        <w:pStyle w:val="BodyText"/>
        <w:spacing w:before="6"/>
        <w:rPr>
          <w:sz w:val="15"/>
        </w:rPr>
      </w:pPr>
    </w:p>
    <w:p>
      <w:pPr>
        <w:pStyle w:val="BodyText"/>
        <w:ind w:left="680"/>
        <w:rPr>
          <w:rFonts w:ascii="Times New Roman" w:eastAsia="Times New Roman"/>
        </w:rPr>
      </w:pPr>
      <w:r>
        <w:rPr/>
        <w:t>网址：</w:t>
      </w:r>
      <w:hyperlink r:id="rId125">
        <w:r>
          <w:rPr>
            <w:rFonts w:ascii="Times New Roman" w:eastAsia="Times New Roman"/>
          </w:rPr>
          <w:t>www.lczq.com</w:t>
        </w:r>
      </w:hyperlink>
    </w:p>
    <w:p>
      <w:pPr>
        <w:pStyle w:val="BodyText"/>
        <w:spacing w:before="4"/>
        <w:rPr>
          <w:rFonts w:ascii="Times New Roman"/>
          <w:sz w:val="17"/>
        </w:rPr>
      </w:pPr>
    </w:p>
    <w:p>
      <w:pPr>
        <w:pStyle w:val="BodyText"/>
        <w:ind w:left="680"/>
        <w:rPr>
          <w:rFonts w:ascii="Times New Roman" w:eastAsia="Times New Roman"/>
        </w:rPr>
      </w:pPr>
      <w:r>
        <w:rPr/>
        <w:t>客户服务电话：</w:t>
      </w:r>
      <w:r>
        <w:rPr>
          <w:rFonts w:ascii="Times New Roman" w:eastAsia="Times New Roman"/>
        </w:rPr>
        <w:t>400-620-6868</w:t>
      </w:r>
    </w:p>
    <w:p>
      <w:pPr>
        <w:pStyle w:val="BodyText"/>
        <w:spacing w:before="3"/>
        <w:rPr>
          <w:rFonts w:ascii="Times New Roman"/>
          <w:sz w:val="17"/>
        </w:rPr>
      </w:pPr>
    </w:p>
    <w:p>
      <w:pPr>
        <w:pStyle w:val="ListParagraph"/>
        <w:numPr>
          <w:ilvl w:val="0"/>
          <w:numId w:val="7"/>
        </w:numPr>
        <w:tabs>
          <w:tab w:pos="1411" w:val="left" w:leader="none"/>
        </w:tabs>
        <w:spacing w:line="240" w:lineRule="auto" w:before="0" w:after="0"/>
        <w:ind w:left="1411" w:right="0" w:hanging="731"/>
        <w:jc w:val="left"/>
        <w:rPr>
          <w:sz w:val="21"/>
        </w:rPr>
      </w:pPr>
      <w:r>
        <w:rPr>
          <w:spacing w:val="-3"/>
          <w:sz w:val="21"/>
        </w:rPr>
        <w:t>玄元保险代理有限公司</w:t>
      </w:r>
    </w:p>
    <w:p>
      <w:pPr>
        <w:pStyle w:val="BodyText"/>
        <w:spacing w:before="7"/>
        <w:rPr>
          <w:sz w:val="15"/>
        </w:rPr>
      </w:pPr>
    </w:p>
    <w:p>
      <w:pPr>
        <w:pStyle w:val="BodyText"/>
        <w:ind w:left="680"/>
      </w:pPr>
      <w:r>
        <w:rPr/>
        <w:t>住所：中国（上海）自由贸易试验区张杨路</w:t>
      </w:r>
      <w:r>
        <w:rPr>
          <w:rFonts w:ascii="Times New Roman" w:eastAsia="Times New Roman"/>
        </w:rPr>
        <w:t>707</w:t>
      </w:r>
      <w:r>
        <w:rPr/>
        <w:t>号</w:t>
      </w:r>
      <w:r>
        <w:rPr>
          <w:rFonts w:ascii="Times New Roman" w:eastAsia="Times New Roman"/>
        </w:rPr>
        <w:t>1105</w:t>
      </w:r>
      <w:r>
        <w:rPr/>
        <w:t>室</w:t>
      </w:r>
    </w:p>
    <w:p>
      <w:pPr>
        <w:pStyle w:val="BodyText"/>
        <w:spacing w:before="7"/>
        <w:rPr>
          <w:sz w:val="15"/>
        </w:rPr>
      </w:pPr>
    </w:p>
    <w:p>
      <w:pPr>
        <w:pStyle w:val="BodyText"/>
        <w:spacing w:line="417" w:lineRule="auto"/>
        <w:ind w:left="680" w:right="2822"/>
      </w:pPr>
      <w:r>
        <w:rPr/>
        <w:t>办公地址：中国（上海）自由贸易试验区张杨路</w:t>
      </w:r>
      <w:r>
        <w:rPr>
          <w:rFonts w:ascii="Times New Roman" w:eastAsia="Times New Roman"/>
        </w:rPr>
        <w:t>707</w:t>
      </w:r>
      <w:r>
        <w:rPr/>
        <w:t>号</w:t>
      </w:r>
      <w:r>
        <w:rPr>
          <w:rFonts w:ascii="Times New Roman" w:eastAsia="Times New Roman"/>
        </w:rPr>
        <w:t>1105</w:t>
      </w:r>
      <w:r>
        <w:rPr/>
        <w:t>室法定代表人：马永谙</w:t>
      </w:r>
    </w:p>
    <w:p>
      <w:pPr>
        <w:pStyle w:val="BodyText"/>
        <w:spacing w:line="417" w:lineRule="auto"/>
        <w:ind w:left="680" w:right="6526"/>
        <w:rPr>
          <w:rFonts w:ascii="Times New Roman" w:eastAsia="Times New Roman"/>
        </w:rPr>
      </w:pPr>
      <w:r>
        <w:rPr/>
        <w:t>电话：</w:t>
      </w:r>
      <w:r>
        <w:rPr>
          <w:rFonts w:ascii="Times New Roman" w:eastAsia="Times New Roman"/>
        </w:rPr>
        <w:t>13752528013 </w:t>
      </w:r>
      <w:r>
        <w:rPr/>
        <w:t>传真：</w:t>
      </w:r>
      <w:r>
        <w:rPr>
          <w:rFonts w:ascii="Times New Roman" w:eastAsia="Times New Roman"/>
        </w:rPr>
        <w:t>021-50701053</w:t>
      </w:r>
    </w:p>
    <w:p>
      <w:pPr>
        <w:pStyle w:val="BodyText"/>
        <w:spacing w:line="269" w:lineRule="exact"/>
        <w:ind w:left="680"/>
      </w:pPr>
      <w:r>
        <w:rPr/>
        <w:t>联系人：卢亚博</w:t>
      </w:r>
    </w:p>
    <w:p>
      <w:pPr>
        <w:pStyle w:val="BodyText"/>
        <w:spacing w:before="7"/>
        <w:rPr>
          <w:sz w:val="15"/>
        </w:rPr>
      </w:pPr>
    </w:p>
    <w:p>
      <w:pPr>
        <w:pStyle w:val="BodyText"/>
        <w:spacing w:line="417" w:lineRule="auto"/>
        <w:ind w:left="680" w:right="4224"/>
        <w:rPr>
          <w:rFonts w:ascii="Times New Roman" w:eastAsia="Times New Roman"/>
        </w:rPr>
      </w:pPr>
      <w:r>
        <w:rPr/>
        <w:t>网址：</w:t>
      </w:r>
      <w:r>
        <w:rPr>
          <w:rFonts w:ascii="Times New Roman" w:eastAsia="Times New Roman"/>
        </w:rPr>
        <w:t>http://www.xyinsure.com:7100/kfit_xybx </w:t>
      </w:r>
      <w:r>
        <w:rPr/>
        <w:t>客户服务电话：</w:t>
      </w:r>
      <w:r>
        <w:rPr>
          <w:rFonts w:ascii="Times New Roman" w:eastAsia="Times New Roman"/>
        </w:rPr>
        <w:t>400-080-8208</w:t>
      </w:r>
    </w:p>
    <w:p>
      <w:pPr>
        <w:pStyle w:val="ListParagraph"/>
        <w:numPr>
          <w:ilvl w:val="0"/>
          <w:numId w:val="7"/>
        </w:numPr>
        <w:tabs>
          <w:tab w:pos="1411" w:val="left" w:leader="none"/>
        </w:tabs>
        <w:spacing w:line="240" w:lineRule="auto" w:before="0" w:after="0"/>
        <w:ind w:left="1411" w:right="0" w:hanging="731"/>
        <w:jc w:val="left"/>
        <w:rPr>
          <w:sz w:val="21"/>
        </w:rPr>
      </w:pPr>
      <w:r>
        <w:rPr>
          <w:spacing w:val="-3"/>
          <w:sz w:val="21"/>
        </w:rPr>
        <w:t>阳光人寿保险股份有限公司</w:t>
      </w:r>
    </w:p>
    <w:p>
      <w:pPr>
        <w:pStyle w:val="BodyText"/>
        <w:spacing w:before="6"/>
        <w:rPr>
          <w:sz w:val="15"/>
        </w:rPr>
      </w:pPr>
    </w:p>
    <w:p>
      <w:pPr>
        <w:pStyle w:val="BodyText"/>
        <w:spacing w:before="1"/>
        <w:ind w:left="680"/>
      </w:pPr>
      <w:r>
        <w:rPr/>
        <w:t>住所：海南省三亚市迎宾路</w:t>
      </w:r>
      <w:r>
        <w:rPr>
          <w:rFonts w:ascii="Times New Roman" w:eastAsia="Times New Roman"/>
        </w:rPr>
        <w:t>360-1</w:t>
      </w:r>
      <w:r>
        <w:rPr/>
        <w:t>号三亚阳光金融广场</w:t>
      </w:r>
      <w:r>
        <w:rPr>
          <w:rFonts w:ascii="Times New Roman" w:eastAsia="Times New Roman"/>
        </w:rPr>
        <w:t>16</w:t>
      </w:r>
      <w:r>
        <w:rPr/>
        <w:t>层</w:t>
      </w:r>
    </w:p>
    <w:p>
      <w:pPr>
        <w:pStyle w:val="BodyText"/>
        <w:spacing w:before="6"/>
        <w:rPr>
          <w:sz w:val="15"/>
        </w:rPr>
      </w:pPr>
    </w:p>
    <w:p>
      <w:pPr>
        <w:pStyle w:val="BodyText"/>
        <w:spacing w:line="417" w:lineRule="auto"/>
        <w:ind w:left="680" w:right="1975"/>
      </w:pPr>
      <w:r>
        <w:rPr/>
        <w:t>办公地址：北京市朝阳区朝阳门外大街乙</w:t>
      </w:r>
      <w:r>
        <w:rPr>
          <w:rFonts w:ascii="Times New Roman" w:eastAsia="Times New Roman"/>
        </w:rPr>
        <w:t>12</w:t>
      </w:r>
      <w:r>
        <w:rPr/>
        <w:t>号院</w:t>
      </w:r>
      <w:r>
        <w:rPr>
          <w:rFonts w:ascii="Times New Roman" w:eastAsia="Times New Roman"/>
        </w:rPr>
        <w:t>1</w:t>
      </w:r>
      <w:r>
        <w:rPr/>
        <w:t>号昆泰国际大厦</w:t>
      </w:r>
      <w:r>
        <w:rPr>
          <w:rFonts w:ascii="Times New Roman" w:eastAsia="Times New Roman"/>
        </w:rPr>
        <w:t>12</w:t>
      </w:r>
      <w:r>
        <w:rPr/>
        <w:t>层法定代表人：李科</w:t>
      </w:r>
    </w:p>
    <w:p>
      <w:pPr>
        <w:pStyle w:val="BodyText"/>
        <w:spacing w:line="417" w:lineRule="auto"/>
        <w:ind w:left="680" w:right="652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680"/>
      </w:pPr>
      <w:r>
        <w:rPr/>
        <w:t>联系人：王超</w:t>
      </w:r>
    </w:p>
    <w:p>
      <w:pPr>
        <w:pStyle w:val="BodyText"/>
        <w:spacing w:before="7"/>
        <w:rPr>
          <w:sz w:val="15"/>
        </w:rPr>
      </w:pPr>
    </w:p>
    <w:p>
      <w:pPr>
        <w:pStyle w:val="BodyText"/>
        <w:spacing w:line="417" w:lineRule="auto"/>
        <w:ind w:left="680" w:right="5750"/>
        <w:rPr>
          <w:rFonts w:ascii="Times New Roman" w:eastAsia="Times New Roman"/>
        </w:rPr>
      </w:pPr>
      <w:r>
        <w:rPr/>
        <w:t>网址：</w:t>
      </w:r>
      <w:hyperlink r:id="rId126">
        <w:r>
          <w:rPr>
            <w:rFonts w:ascii="Times New Roman" w:eastAsia="Times New Roman"/>
          </w:rPr>
          <w:t>http://fund.sinosig.com/ </w:t>
        </w:r>
      </w:hyperlink>
      <w:r>
        <w:rPr/>
        <w:t>客户服务电话：</w:t>
      </w:r>
      <w:r>
        <w:rPr>
          <w:rFonts w:ascii="Times New Roman" w:eastAsia="Times New Roman"/>
        </w:rPr>
        <w:t>95510</w:t>
      </w:r>
    </w:p>
    <w:p>
      <w:pPr>
        <w:pStyle w:val="BodyText"/>
        <w:spacing w:line="417" w:lineRule="auto"/>
        <w:ind w:left="260" w:right="493" w:firstLine="419"/>
      </w:pPr>
      <w:r>
        <w:rPr>
          <w:rFonts w:ascii="Times New Roman" w:eastAsia="Times New Roman"/>
        </w:rPr>
        <w:t>3</w:t>
      </w:r>
      <w:r>
        <w:rPr/>
        <w:t>、基金管理人可根据情况变化增加或者减少基金销售机构。基金销售机构可以根据情况增加或者减少其销售城市、网点。</w:t>
      </w:r>
    </w:p>
    <w:p>
      <w:pPr>
        <w:pStyle w:val="BodyText"/>
        <w:spacing w:line="269" w:lineRule="exact"/>
        <w:ind w:left="680"/>
      </w:pPr>
      <w:r>
        <w:rPr/>
        <w:t>（二）登记机构</w:t>
      </w:r>
    </w:p>
    <w:p>
      <w:pPr>
        <w:pStyle w:val="BodyText"/>
        <w:spacing w:before="7"/>
        <w:rPr>
          <w:sz w:val="15"/>
        </w:rPr>
      </w:pPr>
    </w:p>
    <w:p>
      <w:pPr>
        <w:pStyle w:val="BodyText"/>
        <w:ind w:left="680"/>
      </w:pPr>
      <w:r>
        <w:rPr/>
        <w:t>名称：华夏基金管理有限公司</w:t>
      </w:r>
    </w:p>
    <w:p>
      <w:pPr>
        <w:pStyle w:val="BodyText"/>
        <w:spacing w:before="6"/>
        <w:rPr>
          <w:sz w:val="15"/>
        </w:rPr>
      </w:pPr>
    </w:p>
    <w:p>
      <w:pPr>
        <w:pStyle w:val="BodyText"/>
        <w:spacing w:before="1"/>
        <w:ind w:left="68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ind w:left="680" w:right="3304"/>
      </w:pPr>
      <w:r>
        <w:rPr/>
        <w:t>办公地址：北京市西城区金融大街</w:t>
      </w:r>
      <w:r>
        <w:rPr>
          <w:rFonts w:ascii="Times New Roman" w:eastAsia="Times New Roman"/>
        </w:rPr>
        <w:t>33</w:t>
      </w:r>
      <w:r>
        <w:rPr/>
        <w:t>号通泰大厦</w:t>
      </w:r>
      <w:r>
        <w:rPr>
          <w:rFonts w:ascii="Times New Roman" w:eastAsia="Times New Roman"/>
        </w:rPr>
        <w:t>B</w:t>
      </w:r>
      <w:r>
        <w:rPr/>
        <w:t>座</w:t>
      </w:r>
      <w:r>
        <w:rPr>
          <w:rFonts w:ascii="Times New Roman" w:eastAsia="Times New Roman"/>
        </w:rPr>
        <w:t>8</w:t>
      </w:r>
      <w:r>
        <w:rPr/>
        <w:t>层法定代表人：杨明辉</w:t>
      </w:r>
    </w:p>
    <w:p>
      <w:pPr>
        <w:spacing w:after="0" w:line="417" w:lineRule="auto"/>
        <w:sectPr>
          <w:pgSz w:w="11910" w:h="16840"/>
          <w:pgMar w:header="877" w:footer="995" w:top="1420" w:bottom="1180" w:left="1540" w:right="1300"/>
        </w:sectPr>
      </w:pPr>
    </w:p>
    <w:p>
      <w:pPr>
        <w:pStyle w:val="BodyText"/>
        <w:spacing w:line="417" w:lineRule="auto" w:before="110"/>
        <w:ind w:left="680" w:right="572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680"/>
      </w:pPr>
      <w:r>
        <w:rPr/>
        <w:t>联系人：朱威</w:t>
      </w:r>
    </w:p>
    <w:p>
      <w:pPr>
        <w:pStyle w:val="BodyText"/>
        <w:spacing w:before="6"/>
        <w:rPr>
          <w:sz w:val="15"/>
        </w:rPr>
      </w:pPr>
    </w:p>
    <w:p>
      <w:pPr>
        <w:pStyle w:val="BodyText"/>
        <w:ind w:left="680"/>
      </w:pPr>
      <w:r>
        <w:rPr/>
        <w:t>（三）律师事务所</w:t>
      </w:r>
    </w:p>
    <w:p>
      <w:pPr>
        <w:pStyle w:val="BodyText"/>
        <w:spacing w:before="7"/>
        <w:rPr>
          <w:sz w:val="15"/>
        </w:rPr>
      </w:pPr>
    </w:p>
    <w:p>
      <w:pPr>
        <w:pStyle w:val="BodyText"/>
        <w:ind w:left="680"/>
      </w:pPr>
      <w:r>
        <w:rPr/>
        <w:t>名称：北京市天元律师事务所</w:t>
      </w:r>
    </w:p>
    <w:p>
      <w:pPr>
        <w:pStyle w:val="BodyText"/>
        <w:spacing w:before="7"/>
        <w:rPr>
          <w:sz w:val="15"/>
        </w:rPr>
      </w:pPr>
    </w:p>
    <w:p>
      <w:pPr>
        <w:pStyle w:val="BodyText"/>
        <w:ind w:left="68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680" w:right="270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680" w:right="610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spacing w:line="269" w:lineRule="exact"/>
        <w:ind w:left="680"/>
      </w:pPr>
      <w:r>
        <w:rPr/>
        <w:t>联系人：李晗</w:t>
      </w:r>
    </w:p>
    <w:p>
      <w:pPr>
        <w:pStyle w:val="BodyText"/>
        <w:spacing w:before="7"/>
        <w:rPr>
          <w:sz w:val="15"/>
        </w:rPr>
      </w:pPr>
    </w:p>
    <w:p>
      <w:pPr>
        <w:pStyle w:val="BodyText"/>
        <w:ind w:left="680"/>
      </w:pPr>
      <w:r>
        <w:rPr/>
        <w:t>经办律师：吴冠雄、李晗</w:t>
      </w:r>
    </w:p>
    <w:p>
      <w:pPr>
        <w:pStyle w:val="BodyText"/>
        <w:spacing w:before="6"/>
        <w:rPr>
          <w:sz w:val="15"/>
        </w:rPr>
      </w:pPr>
    </w:p>
    <w:p>
      <w:pPr>
        <w:pStyle w:val="BodyText"/>
        <w:ind w:left="680"/>
      </w:pPr>
      <w:r>
        <w:rPr/>
        <w:t>（四）会计师事务所</w:t>
      </w:r>
    </w:p>
    <w:p>
      <w:pPr>
        <w:pStyle w:val="BodyText"/>
        <w:spacing w:before="7"/>
        <w:rPr>
          <w:sz w:val="15"/>
        </w:rPr>
      </w:pPr>
    </w:p>
    <w:p>
      <w:pPr>
        <w:pStyle w:val="BodyText"/>
        <w:ind w:left="680"/>
      </w:pPr>
      <w:r>
        <w:rPr/>
        <w:t>名称：普华永道中天会计师事务所（特殊普通合伙）</w:t>
      </w:r>
    </w:p>
    <w:p>
      <w:pPr>
        <w:pStyle w:val="BodyText"/>
        <w:spacing w:before="7"/>
        <w:rPr>
          <w:sz w:val="15"/>
        </w:rPr>
      </w:pPr>
    </w:p>
    <w:p>
      <w:pPr>
        <w:pStyle w:val="BodyText"/>
        <w:ind w:left="680"/>
      </w:pPr>
      <w:r>
        <w:rPr/>
        <w:t>住所：上海市浦东新区陆家嘴环路</w:t>
      </w:r>
      <w:r>
        <w:rPr>
          <w:rFonts w:ascii="Times New Roman" w:eastAsia="Times New Roman"/>
        </w:rPr>
        <w:t>1318</w:t>
      </w:r>
      <w:r>
        <w:rPr/>
        <w:t>号星展银行大厦</w:t>
      </w:r>
      <w:r>
        <w:rPr>
          <w:rFonts w:ascii="Times New Roman" w:eastAsia="Times New Roman"/>
        </w:rPr>
        <w:t>6</w:t>
      </w:r>
      <w:r>
        <w:rPr/>
        <w:t>楼</w:t>
      </w:r>
    </w:p>
    <w:p>
      <w:pPr>
        <w:pStyle w:val="BodyText"/>
        <w:spacing w:before="7"/>
        <w:rPr>
          <w:sz w:val="15"/>
        </w:rPr>
      </w:pPr>
    </w:p>
    <w:p>
      <w:pPr>
        <w:pStyle w:val="BodyText"/>
        <w:spacing w:line="417" w:lineRule="auto"/>
        <w:ind w:left="680" w:right="1562"/>
      </w:pPr>
      <w:r>
        <w:rPr/>
        <w:t>办公地址：上海市黄浦区湖滨路</w:t>
      </w:r>
      <w:r>
        <w:rPr>
          <w:rFonts w:ascii="Times New Roman" w:eastAsia="Times New Roman"/>
        </w:rPr>
        <w:t>202</w:t>
      </w:r>
      <w:r>
        <w:rPr/>
        <w:t>号领展企业广场二座普华永道中心</w:t>
      </w:r>
      <w:r>
        <w:rPr>
          <w:rFonts w:ascii="Times New Roman" w:eastAsia="Times New Roman"/>
        </w:rPr>
        <w:t>11</w:t>
      </w:r>
      <w:r>
        <w:rPr/>
        <w:t>楼执行事务合伙人：李丹</w:t>
      </w:r>
    </w:p>
    <w:p>
      <w:pPr>
        <w:pStyle w:val="BodyText"/>
        <w:spacing w:line="417" w:lineRule="auto"/>
        <w:ind w:left="680" w:right="6106"/>
        <w:rPr>
          <w:rFonts w:ascii="Times New Roman" w:eastAsia="Times New Roman"/>
        </w:rPr>
      </w:pPr>
      <w:r>
        <w:rPr/>
        <w:t>联系电话：</w:t>
      </w:r>
      <w:r>
        <w:rPr>
          <w:rFonts w:ascii="Times New Roman" w:eastAsia="Times New Roman"/>
        </w:rPr>
        <w:t>021-23238888 </w:t>
      </w:r>
      <w:r>
        <w:rPr/>
        <w:t>传真：</w:t>
      </w:r>
      <w:r>
        <w:rPr>
          <w:rFonts w:ascii="Times New Roman" w:eastAsia="Times New Roman"/>
        </w:rPr>
        <w:t>021-23238800</w:t>
      </w:r>
    </w:p>
    <w:p>
      <w:pPr>
        <w:pStyle w:val="BodyText"/>
        <w:spacing w:line="269" w:lineRule="exact"/>
        <w:ind w:left="680"/>
      </w:pPr>
      <w:r>
        <w:rPr/>
        <w:t>联系人：单峰、程红粤</w:t>
      </w:r>
    </w:p>
    <w:p>
      <w:pPr>
        <w:pStyle w:val="BodyText"/>
        <w:spacing w:before="6"/>
        <w:rPr>
          <w:sz w:val="15"/>
        </w:rPr>
      </w:pPr>
    </w:p>
    <w:p>
      <w:pPr>
        <w:pStyle w:val="BodyText"/>
        <w:spacing w:before="1"/>
        <w:ind w:left="680"/>
      </w:pPr>
      <w:r>
        <w:rPr/>
        <w:t>经办注册会计师：单峰、程红粤</w:t>
      </w:r>
    </w:p>
    <w:p>
      <w:pPr>
        <w:spacing w:after="0"/>
        <w:sectPr>
          <w:pgSz w:w="11910" w:h="16840"/>
          <w:pgMar w:header="877" w:footer="995" w:top="1420" w:bottom="1180" w:left="1540" w:right="1300"/>
        </w:sectPr>
      </w:pPr>
    </w:p>
    <w:p>
      <w:pPr>
        <w:pStyle w:val="BodyText"/>
        <w:spacing w:before="7"/>
        <w:rPr>
          <w:sz w:val="29"/>
        </w:rPr>
      </w:pPr>
    </w:p>
    <w:p>
      <w:pPr>
        <w:pStyle w:val="Heading1"/>
      </w:pPr>
      <w:bookmarkStart w:name="_bookmark5" w:id="6"/>
      <w:bookmarkEnd w:id="6"/>
      <w:r>
        <w:rPr>
          <w:b w:val="0"/>
        </w:rPr>
      </w:r>
      <w:r>
        <w:rPr/>
        <w:t>六、基金的募集</w:t>
      </w:r>
    </w:p>
    <w:p>
      <w:pPr>
        <w:pStyle w:val="BodyText"/>
        <w:rPr>
          <w:b/>
          <w:sz w:val="20"/>
        </w:rPr>
      </w:pPr>
    </w:p>
    <w:p>
      <w:pPr>
        <w:pStyle w:val="BodyText"/>
        <w:spacing w:before="2"/>
        <w:rPr>
          <w:b/>
        </w:rPr>
      </w:pPr>
    </w:p>
    <w:p>
      <w:pPr>
        <w:pStyle w:val="BodyText"/>
        <w:spacing w:line="417" w:lineRule="auto"/>
        <w:ind w:left="260" w:right="390" w:firstLine="419"/>
      </w:pPr>
      <w:r>
        <w:rPr>
          <w:spacing w:val="-27"/>
        </w:rPr>
        <w:t>本基金由基金管理人依照《基金法》、《运作办法》、《销售办法》、基金合同及其他有关</w:t>
      </w:r>
      <w:r>
        <w:rPr>
          <w:spacing w:val="-11"/>
        </w:rPr>
        <w:t>规定募集。本基金募集申请已经中国证监会 </w:t>
      </w:r>
      <w:r>
        <w:rPr>
          <w:rFonts w:ascii="Times New Roman" w:eastAsia="Times New Roman"/>
        </w:rPr>
        <w:t>2018 </w:t>
      </w:r>
      <w:r>
        <w:rPr>
          <w:spacing w:val="-23"/>
        </w:rPr>
        <w:t>年 </w:t>
      </w:r>
      <w:r>
        <w:rPr>
          <w:rFonts w:ascii="Times New Roman" w:eastAsia="Times New Roman"/>
        </w:rPr>
        <w:t>4 </w:t>
      </w:r>
      <w:r>
        <w:rPr>
          <w:spacing w:val="-23"/>
        </w:rPr>
        <w:t>月 </w:t>
      </w:r>
      <w:r>
        <w:rPr>
          <w:rFonts w:ascii="Times New Roman" w:eastAsia="Times New Roman"/>
        </w:rPr>
        <w:t>9 </w:t>
      </w:r>
      <w:r>
        <w:rPr>
          <w:spacing w:val="-3"/>
        </w:rPr>
        <w:t>日证监许可</w:t>
      </w:r>
      <w:r>
        <w:rPr>
          <w:rFonts w:ascii="Times New Roman" w:eastAsia="Times New Roman"/>
        </w:rPr>
        <w:t>[2018]626 </w:t>
      </w:r>
      <w:r>
        <w:rPr/>
        <w:t>号文注册。</w:t>
      </w:r>
    </w:p>
    <w:p>
      <w:pPr>
        <w:pStyle w:val="BodyText"/>
        <w:spacing w:line="269" w:lineRule="exact"/>
        <w:ind w:left="680"/>
      </w:pPr>
      <w:r>
        <w:rPr/>
        <w:t>本基金为契约型开放式基金，基金存续期间为不定期。</w:t>
      </w:r>
    </w:p>
    <w:p>
      <w:pPr>
        <w:pStyle w:val="BodyText"/>
        <w:spacing w:before="7"/>
        <w:rPr>
          <w:sz w:val="15"/>
        </w:rPr>
      </w:pPr>
    </w:p>
    <w:p>
      <w:pPr>
        <w:pStyle w:val="BodyText"/>
        <w:spacing w:line="417" w:lineRule="auto"/>
        <w:ind w:left="260" w:right="501" w:firstLine="419"/>
      </w:pPr>
      <w:r>
        <w:rPr/>
        <w:t>本基金自</w:t>
      </w:r>
      <w:r>
        <w:rPr>
          <w:rFonts w:ascii="Times New Roman" w:eastAsia="Times New Roman"/>
        </w:rPr>
        <w:t>2018 </w:t>
      </w:r>
      <w:r>
        <w:rPr/>
        <w:t>年</w:t>
      </w:r>
      <w:r>
        <w:rPr>
          <w:rFonts w:ascii="Times New Roman" w:eastAsia="Times New Roman"/>
        </w:rPr>
        <w:t>7 </w:t>
      </w:r>
      <w:r>
        <w:rPr/>
        <w:t>月</w:t>
      </w:r>
      <w:r>
        <w:rPr>
          <w:rFonts w:ascii="Times New Roman" w:eastAsia="Times New Roman"/>
        </w:rPr>
        <w:t>5 </w:t>
      </w:r>
      <w:r>
        <w:rPr/>
        <w:t>日至</w:t>
      </w:r>
      <w:r>
        <w:rPr>
          <w:rFonts w:ascii="Times New Roman" w:eastAsia="Times New Roman"/>
        </w:rPr>
        <w:t>2018 </w:t>
      </w:r>
      <w:r>
        <w:rPr/>
        <w:t>年</w:t>
      </w:r>
      <w:r>
        <w:rPr>
          <w:rFonts w:ascii="Times New Roman" w:eastAsia="Times New Roman"/>
        </w:rPr>
        <w:t>8 </w:t>
      </w:r>
      <w:r>
        <w:rPr/>
        <w:t>月</w:t>
      </w:r>
      <w:r>
        <w:rPr>
          <w:rFonts w:ascii="Times New Roman" w:eastAsia="Times New Roman"/>
        </w:rPr>
        <w:t>2 </w:t>
      </w:r>
      <w:r>
        <w:rPr/>
        <w:t>日止进行发售。募集期间， 本基金共募集</w:t>
      </w:r>
      <w:r>
        <w:rPr>
          <w:rFonts w:ascii="Times New Roman" w:eastAsia="Times New Roman"/>
        </w:rPr>
        <w:t>455,511,065.10</w:t>
      </w:r>
      <w:r>
        <w:rPr/>
        <w:t>份基金份额，有效认购户数为</w:t>
      </w:r>
      <w:r>
        <w:rPr>
          <w:rFonts w:ascii="Times New Roman" w:eastAsia="Times New Roman"/>
        </w:rPr>
        <w:t>28,537</w:t>
      </w:r>
      <w:r>
        <w:rPr/>
        <w:t>户。</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pPr>
      <w:bookmarkStart w:name="_bookmark6" w:id="7"/>
      <w:bookmarkEnd w:id="7"/>
      <w:r>
        <w:rPr>
          <w:b w:val="0"/>
        </w:rPr>
      </w:r>
      <w:r>
        <w:rPr/>
        <w:t>七、基金合同的生效</w:t>
      </w:r>
    </w:p>
    <w:p>
      <w:pPr>
        <w:pStyle w:val="BodyText"/>
        <w:rPr>
          <w:b/>
          <w:sz w:val="20"/>
        </w:rPr>
      </w:pPr>
    </w:p>
    <w:p>
      <w:pPr>
        <w:pStyle w:val="BodyText"/>
        <w:spacing w:before="2"/>
        <w:rPr>
          <w:b/>
        </w:rPr>
      </w:pPr>
    </w:p>
    <w:p>
      <w:pPr>
        <w:pStyle w:val="BodyText"/>
        <w:spacing w:line="417" w:lineRule="auto"/>
        <w:ind w:left="260" w:right="491" w:firstLine="419"/>
        <w:jc w:val="both"/>
      </w:pPr>
      <w:r>
        <w:rPr>
          <w:spacing w:val="-19"/>
        </w:rPr>
        <w:t>根据有关规定，本基金满足基金合同生效条件，基金合同于 </w:t>
      </w:r>
      <w:r>
        <w:rPr>
          <w:rFonts w:ascii="Times New Roman" w:eastAsia="Times New Roman"/>
        </w:rPr>
        <w:t>2018 </w:t>
      </w:r>
      <w:r>
        <w:rPr>
          <w:spacing w:val="-23"/>
        </w:rPr>
        <w:t>年 </w:t>
      </w:r>
      <w:r>
        <w:rPr>
          <w:rFonts w:ascii="Times New Roman" w:eastAsia="Times New Roman"/>
        </w:rPr>
        <w:t>8 </w:t>
      </w:r>
      <w:r>
        <w:rPr>
          <w:spacing w:val="-23"/>
        </w:rPr>
        <w:t>月 </w:t>
      </w:r>
      <w:r>
        <w:rPr>
          <w:rFonts w:ascii="Times New Roman" w:eastAsia="Times New Roman"/>
        </w:rPr>
        <w:t>7 </w:t>
      </w:r>
      <w:r>
        <w:rPr>
          <w:spacing w:val="-3"/>
        </w:rPr>
        <w:t>日正式生效。自基金合同生效日起，本基金管理人正式开始管理本基金。</w:t>
      </w:r>
    </w:p>
    <w:p>
      <w:pPr>
        <w:pStyle w:val="BodyText"/>
        <w:spacing w:line="269" w:lineRule="exact"/>
        <w:ind w:left="680"/>
        <w:jc w:val="both"/>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人或者基金</w:t>
      </w:r>
    </w:p>
    <w:p>
      <w:pPr>
        <w:pStyle w:val="BodyText"/>
        <w:spacing w:before="7"/>
        <w:rPr>
          <w:sz w:val="15"/>
        </w:rPr>
      </w:pPr>
    </w:p>
    <w:p>
      <w:pPr>
        <w:pStyle w:val="BodyText"/>
        <w:spacing w:line="417" w:lineRule="auto"/>
        <w:ind w:left="260" w:right="491"/>
        <w:jc w:val="both"/>
      </w:pPr>
      <w:r>
        <w:rPr>
          <w:spacing w:val="-8"/>
        </w:rPr>
        <w:t>资产净值低于 </w:t>
      </w:r>
      <w:r>
        <w:rPr>
          <w:rFonts w:ascii="Times New Roman" w:eastAsia="Times New Roman"/>
        </w:rPr>
        <w:t>5000 </w:t>
      </w:r>
      <w:r>
        <w:rPr>
          <w:spacing w:val="-13"/>
        </w:rPr>
        <w:t>万元情形的，基金管理人应当在定期报告中予以披露；连续 </w:t>
      </w:r>
      <w:r>
        <w:rPr>
          <w:rFonts w:ascii="Times New Roman" w:eastAsia="Times New Roman"/>
        </w:rPr>
        <w:t>60 </w:t>
      </w:r>
      <w:r>
        <w:rPr>
          <w:spacing w:val="-2"/>
        </w:rPr>
        <w:t>个工作日</w:t>
      </w:r>
      <w:r>
        <w:rPr>
          <w:spacing w:val="-9"/>
        </w:rPr>
        <w:t>出现前述情形的，基金管理人应当向中国证监会报告并提出解决方案，如转换运作方式、与</w:t>
      </w:r>
      <w:r>
        <w:rPr>
          <w:spacing w:val="-5"/>
        </w:rPr>
        <w:t>其他基金合并或者终止基金合同等，并召开基金份额持有人大会进行表决。</w:t>
      </w:r>
    </w:p>
    <w:p>
      <w:pPr>
        <w:pStyle w:val="BodyText"/>
        <w:ind w:left="680"/>
      </w:pPr>
      <w:r>
        <w:rPr/>
        <w:t>法律法规另有规定时，从其规定。</w:t>
      </w:r>
    </w:p>
    <w:p>
      <w:pPr>
        <w:spacing w:after="0"/>
        <w:sectPr>
          <w:pgSz w:w="11910" w:h="16840"/>
          <w:pgMar w:header="877" w:footer="995" w:top="1420" w:bottom="1180" w:left="1540" w:right="1300"/>
        </w:sectPr>
      </w:pPr>
    </w:p>
    <w:p>
      <w:pPr>
        <w:pStyle w:val="BodyText"/>
        <w:spacing w:before="7"/>
        <w:rPr>
          <w:sz w:val="29"/>
        </w:rPr>
      </w:pPr>
    </w:p>
    <w:p>
      <w:pPr>
        <w:pStyle w:val="Heading1"/>
      </w:pPr>
      <w:bookmarkStart w:name="_bookmark7" w:id="8"/>
      <w:bookmarkEnd w:id="8"/>
      <w:r>
        <w:rPr>
          <w:b w:val="0"/>
        </w:rPr>
      </w:r>
      <w:r>
        <w:rPr/>
        <w:t>八、基金份额的申购、赎回与转换</w:t>
      </w:r>
    </w:p>
    <w:p>
      <w:pPr>
        <w:pStyle w:val="BodyText"/>
        <w:rPr>
          <w:b/>
          <w:sz w:val="20"/>
        </w:rPr>
      </w:pPr>
    </w:p>
    <w:p>
      <w:pPr>
        <w:pStyle w:val="BodyText"/>
        <w:spacing w:before="8"/>
        <w:rPr>
          <w:b/>
          <w:sz w:val="15"/>
        </w:rPr>
      </w:pPr>
    </w:p>
    <w:p>
      <w:pPr>
        <w:pStyle w:val="BodyText"/>
        <w:spacing w:before="71"/>
        <w:ind w:left="680"/>
      </w:pPr>
      <w:r>
        <w:rPr/>
        <w:t>（一</w:t>
      </w:r>
      <w:r>
        <w:rPr>
          <w:spacing w:val="-3"/>
        </w:rPr>
        <w:t>）申购和赎回场所</w:t>
      </w:r>
    </w:p>
    <w:p>
      <w:pPr>
        <w:pStyle w:val="BodyText"/>
        <w:spacing w:before="7"/>
        <w:rPr>
          <w:sz w:val="15"/>
        </w:rPr>
      </w:pPr>
    </w:p>
    <w:p>
      <w:pPr>
        <w:pStyle w:val="BodyText"/>
        <w:spacing w:line="417" w:lineRule="auto"/>
        <w:ind w:left="260" w:right="491" w:firstLine="419"/>
      </w:pPr>
      <w:r>
        <w:rPr>
          <w:spacing w:val="-8"/>
        </w:rPr>
        <w:t>本基金的申购与赎回将通过销售机构进行。具体的销售网点将由基金管理人在招募说明</w:t>
      </w:r>
      <w:r>
        <w:rPr>
          <w:spacing w:val="-5"/>
        </w:rPr>
        <w:t>书或其他相关公告中列明。</w:t>
      </w:r>
    </w:p>
    <w:p>
      <w:pPr>
        <w:pStyle w:val="BodyText"/>
        <w:spacing w:line="269" w:lineRule="exact"/>
        <w:ind w:left="680"/>
      </w:pPr>
      <w:r>
        <w:rPr>
          <w:rFonts w:ascii="Times New Roman" w:eastAsia="Times New Roman"/>
        </w:rPr>
        <w:t>1</w:t>
      </w:r>
      <w:r>
        <w:rPr/>
        <w:t>、直销机构</w:t>
      </w:r>
    </w:p>
    <w:p>
      <w:pPr>
        <w:pStyle w:val="BodyText"/>
        <w:spacing w:before="7"/>
        <w:rPr>
          <w:sz w:val="15"/>
        </w:rPr>
      </w:pPr>
    </w:p>
    <w:p>
      <w:pPr>
        <w:pStyle w:val="BodyText"/>
        <w:spacing w:line="417" w:lineRule="auto"/>
        <w:ind w:left="260" w:right="49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北京分公司</w:t>
      </w:r>
    </w:p>
    <w:p>
      <w:pPr>
        <w:pStyle w:val="BodyText"/>
        <w:spacing w:before="7"/>
        <w:rPr>
          <w:sz w:val="15"/>
        </w:rPr>
      </w:pPr>
    </w:p>
    <w:p>
      <w:pPr>
        <w:pStyle w:val="BodyText"/>
        <w:spacing w:line="417" w:lineRule="auto"/>
        <w:ind w:left="680" w:right="235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北京东中街投资理财中心</w:t>
      </w:r>
    </w:p>
    <w:p>
      <w:pPr>
        <w:pStyle w:val="BodyText"/>
        <w:spacing w:before="7"/>
        <w:rPr>
          <w:sz w:val="15"/>
        </w:rPr>
      </w:pPr>
    </w:p>
    <w:p>
      <w:pPr>
        <w:pStyle w:val="BodyText"/>
        <w:spacing w:line="417" w:lineRule="auto"/>
        <w:ind w:left="680" w:right="256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ind w:left="680"/>
        <w:rPr>
          <w:rFonts w:ascii="Times New Roman" w:eastAsia="Times New Roman"/>
        </w:rPr>
      </w:pPr>
      <w:r>
        <w:rPr>
          <w:spacing w:val="-1"/>
        </w:rPr>
        <w:t>传真：</w:t>
      </w:r>
      <w:r>
        <w:rPr>
          <w:rFonts w:ascii="Times New Roman" w:eastAsia="Times New Roman"/>
          <w:spacing w:val="-1"/>
        </w:rPr>
        <w:t>010-64185180</w:t>
      </w:r>
    </w:p>
    <w:p>
      <w:pPr>
        <w:pStyle w:val="BodyText"/>
        <w:spacing w:before="3"/>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北京科学院南路投资理财中心</w:t>
      </w:r>
    </w:p>
    <w:p>
      <w:pPr>
        <w:pStyle w:val="BodyText"/>
        <w:spacing w:before="7"/>
        <w:rPr>
          <w:sz w:val="15"/>
        </w:rPr>
      </w:pPr>
    </w:p>
    <w:p>
      <w:pPr>
        <w:pStyle w:val="BodyText"/>
        <w:spacing w:line="417" w:lineRule="auto"/>
        <w:ind w:left="680" w:right="71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010-82523196</w:t>
      </w:r>
    </w:p>
    <w:p>
      <w:pPr>
        <w:pStyle w:val="BodyText"/>
        <w:spacing w:before="3"/>
        <w:rPr>
          <w:rFonts w:ascii="Times New Roman"/>
          <w:sz w:val="17"/>
        </w:rPr>
      </w:pPr>
    </w:p>
    <w:p>
      <w:pPr>
        <w:pStyle w:val="ListParagraph"/>
        <w:numPr>
          <w:ilvl w:val="0"/>
          <w:numId w:val="8"/>
        </w:numPr>
        <w:tabs>
          <w:tab w:pos="1210" w:val="left" w:leader="none"/>
        </w:tabs>
        <w:spacing w:line="240" w:lineRule="auto" w:before="1" w:after="0"/>
        <w:ind w:left="120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680" w:right="92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010-85869575</w:t>
      </w:r>
    </w:p>
    <w:p>
      <w:pPr>
        <w:pStyle w:val="BodyText"/>
        <w:spacing w:before="3"/>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北京望京投资理财中心</w:t>
      </w:r>
    </w:p>
    <w:p>
      <w:pPr>
        <w:pStyle w:val="BodyText"/>
        <w:spacing w:before="7"/>
        <w:rPr>
          <w:sz w:val="15"/>
        </w:rPr>
      </w:pPr>
    </w:p>
    <w:p>
      <w:pPr>
        <w:pStyle w:val="BodyText"/>
        <w:spacing w:line="417" w:lineRule="auto"/>
        <w:ind w:left="680" w:right="275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68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4"/>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上海分公司</w:t>
      </w:r>
    </w:p>
    <w:p>
      <w:pPr>
        <w:spacing w:after="0" w:line="240" w:lineRule="auto"/>
        <w:jc w:val="left"/>
        <w:rPr>
          <w:sz w:val="21"/>
        </w:rPr>
        <w:sectPr>
          <w:pgSz w:w="11910" w:h="16840"/>
          <w:pgMar w:header="877" w:footer="995" w:top="1420" w:bottom="1180" w:left="1540" w:right="1300"/>
        </w:sectPr>
      </w:pPr>
    </w:p>
    <w:p>
      <w:pPr>
        <w:pStyle w:val="BodyText"/>
        <w:spacing w:line="417" w:lineRule="auto" w:before="110"/>
        <w:ind w:left="680" w:right="144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021-58771998</w:t>
      </w:r>
    </w:p>
    <w:p>
      <w:pPr>
        <w:pStyle w:val="BodyText"/>
        <w:spacing w:before="3"/>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深圳分公司</w:t>
      </w:r>
    </w:p>
    <w:p>
      <w:pPr>
        <w:pStyle w:val="BodyText"/>
        <w:spacing w:before="7"/>
        <w:rPr>
          <w:sz w:val="15"/>
        </w:rPr>
      </w:pPr>
    </w:p>
    <w:p>
      <w:pPr>
        <w:pStyle w:val="BodyText"/>
        <w:spacing w:line="417" w:lineRule="auto"/>
        <w:ind w:left="680" w:right="92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0755-82031949</w:t>
      </w:r>
    </w:p>
    <w:p>
      <w:pPr>
        <w:pStyle w:val="BodyText"/>
        <w:spacing w:before="4"/>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南京分公司</w:t>
      </w:r>
    </w:p>
    <w:p>
      <w:pPr>
        <w:pStyle w:val="BodyText"/>
        <w:spacing w:before="7"/>
        <w:rPr>
          <w:sz w:val="15"/>
        </w:rPr>
      </w:pPr>
    </w:p>
    <w:p>
      <w:pPr>
        <w:pStyle w:val="BodyText"/>
        <w:spacing w:line="417" w:lineRule="auto"/>
        <w:ind w:left="680" w:right="151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025-84733928</w:t>
      </w:r>
    </w:p>
    <w:p>
      <w:pPr>
        <w:pStyle w:val="BodyText"/>
        <w:spacing w:before="3"/>
        <w:rPr>
          <w:rFonts w:ascii="Times New Roman"/>
          <w:sz w:val="17"/>
        </w:rPr>
      </w:pPr>
    </w:p>
    <w:p>
      <w:pPr>
        <w:pStyle w:val="ListParagraph"/>
        <w:numPr>
          <w:ilvl w:val="0"/>
          <w:numId w:val="8"/>
        </w:numPr>
        <w:tabs>
          <w:tab w:pos="1210" w:val="left" w:leader="none"/>
        </w:tabs>
        <w:spacing w:line="240" w:lineRule="auto" w:before="0" w:after="0"/>
        <w:ind w:left="1209" w:right="0" w:hanging="530"/>
        <w:jc w:val="left"/>
        <w:rPr>
          <w:sz w:val="21"/>
        </w:rPr>
      </w:pPr>
      <w:r>
        <w:rPr>
          <w:spacing w:val="-3"/>
          <w:sz w:val="21"/>
        </w:rPr>
        <w:t>杭州分公司</w:t>
      </w:r>
    </w:p>
    <w:p>
      <w:pPr>
        <w:pStyle w:val="BodyText"/>
        <w:spacing w:before="7"/>
        <w:rPr>
          <w:sz w:val="15"/>
        </w:rPr>
      </w:pPr>
    </w:p>
    <w:p>
      <w:pPr>
        <w:pStyle w:val="BodyText"/>
        <w:spacing w:line="417" w:lineRule="auto"/>
        <w:ind w:left="680" w:right="49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ind w:left="680"/>
        <w:rPr>
          <w:rFonts w:ascii="Times New Roman" w:eastAsia="Times New Roman"/>
        </w:rPr>
      </w:pPr>
      <w:r>
        <w:rPr>
          <w:spacing w:val="-2"/>
        </w:rPr>
        <w:t>传真：</w:t>
      </w:r>
      <w:r>
        <w:rPr>
          <w:rFonts w:ascii="Times New Roman" w:eastAsia="Times New Roman"/>
          <w:spacing w:val="-2"/>
        </w:rPr>
        <w:t>0571-89716611</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广州分公司</w:t>
      </w:r>
    </w:p>
    <w:p>
      <w:pPr>
        <w:pStyle w:val="BodyText"/>
        <w:spacing w:before="7"/>
        <w:rPr>
          <w:sz w:val="15"/>
        </w:rPr>
      </w:pPr>
    </w:p>
    <w:p>
      <w:pPr>
        <w:pStyle w:val="BodyText"/>
        <w:spacing w:line="417" w:lineRule="auto"/>
        <w:ind w:left="680" w:right="71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68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8"/>
        </w:numPr>
        <w:tabs>
          <w:tab w:pos="1306" w:val="left" w:leader="none"/>
        </w:tabs>
        <w:spacing w:line="240" w:lineRule="auto" w:before="1" w:after="0"/>
        <w:ind w:left="1305" w:right="0" w:hanging="626"/>
        <w:jc w:val="left"/>
        <w:rPr>
          <w:sz w:val="21"/>
        </w:rPr>
      </w:pPr>
      <w:r>
        <w:rPr>
          <w:spacing w:val="-3"/>
          <w:sz w:val="21"/>
        </w:rPr>
        <w:t>广州天河投资理财中心</w:t>
      </w:r>
    </w:p>
    <w:p>
      <w:pPr>
        <w:pStyle w:val="BodyText"/>
        <w:spacing w:before="6"/>
        <w:rPr>
          <w:sz w:val="15"/>
        </w:rPr>
      </w:pPr>
    </w:p>
    <w:p>
      <w:pPr>
        <w:pStyle w:val="BodyText"/>
        <w:spacing w:line="417" w:lineRule="auto"/>
        <w:ind w:left="680" w:right="344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before="1"/>
        <w:ind w:left="68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8"/>
        </w:numPr>
        <w:tabs>
          <w:tab w:pos="1315" w:val="left" w:leader="none"/>
        </w:tabs>
        <w:spacing w:line="240" w:lineRule="auto" w:before="0" w:after="0"/>
        <w:ind w:left="1315" w:right="0" w:hanging="635"/>
        <w:jc w:val="left"/>
        <w:rPr>
          <w:sz w:val="21"/>
        </w:rPr>
      </w:pPr>
      <w:r>
        <w:rPr>
          <w:spacing w:val="-3"/>
          <w:sz w:val="21"/>
        </w:rPr>
        <w:t>成都分公司</w:t>
      </w:r>
    </w:p>
    <w:p>
      <w:pPr>
        <w:pStyle w:val="BodyText"/>
        <w:spacing w:before="7"/>
        <w:rPr>
          <w:sz w:val="15"/>
        </w:rPr>
      </w:pPr>
    </w:p>
    <w:p>
      <w:pPr>
        <w:pStyle w:val="BodyText"/>
        <w:ind w:left="68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6"/>
        <w:rPr>
          <w:sz w:val="15"/>
        </w:rPr>
      </w:pPr>
    </w:p>
    <w:p>
      <w:pPr>
        <w:pStyle w:val="BodyText"/>
        <w:spacing w:before="1"/>
        <w:ind w:left="260"/>
      </w:pPr>
      <w:r>
        <w:rPr/>
        <w:t>（</w:t>
      </w:r>
      <w:r>
        <w:rPr>
          <w:rFonts w:ascii="Times New Roman" w:eastAsia="Times New Roman"/>
        </w:rPr>
        <w:t>610000</w:t>
      </w:r>
      <w:r>
        <w:rPr/>
        <w:t>）</w:t>
      </w:r>
    </w:p>
    <w:p>
      <w:pPr>
        <w:pStyle w:val="BodyText"/>
        <w:spacing w:before="6"/>
        <w:rPr>
          <w:sz w:val="15"/>
        </w:rPr>
      </w:pPr>
    </w:p>
    <w:p>
      <w:pPr>
        <w:pStyle w:val="BodyText"/>
        <w:spacing w:line="417" w:lineRule="auto"/>
        <w:ind w:left="680" w:right="652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8"/>
        </w:numPr>
        <w:tabs>
          <w:tab w:pos="1315" w:val="left" w:leader="none"/>
        </w:tabs>
        <w:spacing w:line="240" w:lineRule="auto" w:before="0" w:after="0"/>
        <w:ind w:left="1315" w:right="0" w:hanging="635"/>
        <w:jc w:val="left"/>
        <w:rPr>
          <w:sz w:val="21"/>
        </w:rPr>
      </w:pPr>
      <w:r>
        <w:rPr>
          <w:spacing w:val="-2"/>
          <w:sz w:val="21"/>
        </w:rPr>
        <w:t>电子交易</w:t>
      </w:r>
    </w:p>
    <w:p>
      <w:pPr>
        <w:pStyle w:val="BodyText"/>
        <w:spacing w:before="7"/>
        <w:rPr>
          <w:sz w:val="15"/>
        </w:rPr>
      </w:pPr>
    </w:p>
    <w:p>
      <w:pPr>
        <w:pStyle w:val="BodyText"/>
        <w:ind w:left="680"/>
      </w:pPr>
      <w:r>
        <w:rPr/>
        <w:t>本公司电子交易包括网上交易、移动客户端交易等。投资者可以通过本公司网上交易系</w:t>
      </w:r>
    </w:p>
    <w:p>
      <w:pPr>
        <w:spacing w:after="0"/>
        <w:sectPr>
          <w:pgSz w:w="11910" w:h="16840"/>
          <w:pgMar w:header="877" w:footer="995" w:top="1420" w:bottom="1180" w:left="1540" w:right="1300"/>
        </w:sectPr>
      </w:pPr>
    </w:p>
    <w:p>
      <w:pPr>
        <w:pStyle w:val="BodyText"/>
        <w:spacing w:line="417" w:lineRule="auto" w:before="110"/>
        <w:ind w:left="260" w:right="491"/>
      </w:pPr>
      <w:r>
        <w:rPr>
          <w:spacing w:val="-9"/>
        </w:rPr>
        <w:t>统或移动客户端办理基金的申购、赎回等业务，具体业务办理情况及业务规则请登录本公司</w:t>
      </w:r>
      <w:r>
        <w:rPr>
          <w:spacing w:val="-5"/>
        </w:rPr>
        <w:t>网站查询。本公司网址：</w:t>
      </w:r>
      <w:hyperlink r:id="rId13">
        <w:r>
          <w:rPr>
            <w:rFonts w:ascii="Times New Roman" w:eastAsia="Times New Roman"/>
          </w:rPr>
          <w:t>www.ChinaAMC.com</w:t>
        </w:r>
      </w:hyperlink>
      <w:r>
        <w:rPr/>
        <w:t>。</w:t>
      </w:r>
    </w:p>
    <w:p>
      <w:pPr>
        <w:pStyle w:val="BodyText"/>
        <w:spacing w:line="269" w:lineRule="exact"/>
        <w:ind w:left="680"/>
      </w:pPr>
      <w:r>
        <w:rPr>
          <w:rFonts w:ascii="Times New Roman" w:eastAsia="Times New Roman"/>
        </w:rPr>
        <w:t>2</w:t>
      </w:r>
      <w:r>
        <w:rPr/>
        <w:t>、代销机构</w:t>
      </w:r>
    </w:p>
    <w:p>
      <w:pPr>
        <w:pStyle w:val="BodyText"/>
        <w:spacing w:before="6"/>
        <w:rPr>
          <w:sz w:val="15"/>
        </w:rPr>
      </w:pPr>
    </w:p>
    <w:p>
      <w:pPr>
        <w:pStyle w:val="BodyText"/>
        <w:spacing w:line="417" w:lineRule="auto"/>
        <w:ind w:left="260" w:right="49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417" w:lineRule="auto"/>
        <w:ind w:left="260" w:right="491" w:firstLine="419"/>
        <w:jc w:val="both"/>
      </w:pPr>
      <w:r>
        <w:rPr>
          <w:spacing w:val="-8"/>
        </w:rPr>
        <w:t>基金管理人可根据情况变更或增减销售机构，并在管理人网站公示。基金投资者应当在销售机构办理基金销售业务的营业场所或按销售机构提供的其他方式办理基金份额的申购</w:t>
      </w:r>
      <w:r>
        <w:rPr>
          <w:spacing w:val="-6"/>
        </w:rPr>
        <w:t>与赎回。</w:t>
      </w:r>
    </w:p>
    <w:p>
      <w:pPr>
        <w:pStyle w:val="BodyText"/>
        <w:ind w:left="680"/>
      </w:pPr>
      <w:r>
        <w:rPr/>
        <w:t>（二）申购和赎回的开放日及时间</w:t>
      </w:r>
    </w:p>
    <w:p>
      <w:pPr>
        <w:pStyle w:val="BodyText"/>
        <w:spacing w:before="7"/>
        <w:rPr>
          <w:sz w:val="15"/>
        </w:rPr>
      </w:pPr>
    </w:p>
    <w:p>
      <w:pPr>
        <w:pStyle w:val="BodyText"/>
        <w:ind w:left="680"/>
      </w:pPr>
      <w:r>
        <w:rPr>
          <w:rFonts w:ascii="Times New Roman" w:eastAsia="Times New Roman"/>
        </w:rPr>
        <w:t>1</w:t>
      </w:r>
      <w:r>
        <w:rPr/>
        <w:t>、开放日及开放时间</w:t>
      </w:r>
    </w:p>
    <w:p>
      <w:pPr>
        <w:pStyle w:val="BodyText"/>
        <w:spacing w:before="7"/>
        <w:rPr>
          <w:sz w:val="15"/>
        </w:rPr>
      </w:pPr>
    </w:p>
    <w:p>
      <w:pPr>
        <w:pStyle w:val="BodyText"/>
        <w:spacing w:line="417" w:lineRule="auto"/>
        <w:ind w:left="260" w:right="49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260" w:right="491" w:firstLine="419"/>
        <w:jc w:val="both"/>
      </w:pPr>
      <w:r>
        <w:rPr>
          <w:spacing w:val="-3"/>
        </w:rPr>
        <w:t>基金合同生效后，若出现新的证券</w:t>
      </w:r>
      <w:r>
        <w:rPr>
          <w:rFonts w:ascii="Times New Roman" w:eastAsia="Times New Roman"/>
        </w:rPr>
        <w:t>/</w:t>
      </w:r>
      <w:r>
        <w:rPr>
          <w:spacing w:val="-3"/>
        </w:rPr>
        <w:t>期货交易市场、证券</w:t>
      </w:r>
      <w:r>
        <w:rPr>
          <w:rFonts w:ascii="Times New Roman" w:eastAsia="Times New Roman"/>
        </w:rPr>
        <w:t>/</w:t>
      </w:r>
      <w:r>
        <w:rPr>
          <w:spacing w:val="-3"/>
        </w:rPr>
        <w:t>期货交易所交易时间变更或其</w:t>
      </w:r>
      <w:r>
        <w:rPr>
          <w:spacing w:val="-11"/>
        </w:rPr>
        <w:t>他特殊情况，基金管理人将视情况对前述开放日及开放时间进行相应的调整，但应在实施日</w:t>
      </w:r>
      <w:r>
        <w:rPr>
          <w:spacing w:val="-6"/>
        </w:rPr>
        <w:t>前依照《信息披露办法》的有关规定在指定媒介上公告。</w:t>
      </w:r>
    </w:p>
    <w:p>
      <w:pPr>
        <w:pStyle w:val="BodyText"/>
        <w:ind w:left="680"/>
      </w:pPr>
      <w:r>
        <w:rPr>
          <w:rFonts w:ascii="Times New Roman" w:eastAsia="Times New Roman"/>
        </w:rPr>
        <w:t>2</w:t>
      </w:r>
      <w:r>
        <w:rPr/>
        <w:t>、申购、赎回开始日及业务办理时间</w:t>
      </w:r>
    </w:p>
    <w:p>
      <w:pPr>
        <w:pStyle w:val="BodyText"/>
        <w:spacing w:before="6"/>
        <w:rPr>
          <w:sz w:val="15"/>
        </w:rPr>
      </w:pPr>
    </w:p>
    <w:p>
      <w:pPr>
        <w:pStyle w:val="BodyText"/>
        <w:spacing w:line="417" w:lineRule="auto"/>
        <w:ind w:left="680" w:right="390"/>
      </w:pPr>
      <w:r>
        <w:rPr>
          <w:spacing w:val="-10"/>
        </w:rPr>
        <w:t>本基金已于 </w:t>
      </w:r>
      <w:r>
        <w:rPr>
          <w:rFonts w:ascii="Times New Roman" w:eastAsia="Times New Roman"/>
        </w:rPr>
        <w:t>2018 </w:t>
      </w:r>
      <w:r>
        <w:rPr>
          <w:spacing w:val="-24"/>
        </w:rPr>
        <w:t>年 </w:t>
      </w:r>
      <w:r>
        <w:rPr>
          <w:rFonts w:ascii="Times New Roman" w:eastAsia="Times New Roman"/>
        </w:rPr>
        <w:t>9 </w:t>
      </w:r>
      <w:r>
        <w:rPr>
          <w:spacing w:val="-25"/>
        </w:rPr>
        <w:t>月 </w:t>
      </w:r>
      <w:r>
        <w:rPr>
          <w:rFonts w:ascii="Times New Roman" w:eastAsia="Times New Roman"/>
        </w:rPr>
        <w:t>12 </w:t>
      </w:r>
      <w:r>
        <w:rPr>
          <w:spacing w:val="-3"/>
        </w:rPr>
        <w:t>日起开始办理日常申购、赎回、转换、定期定额申购业务。</w:t>
      </w:r>
      <w:r>
        <w:rPr>
          <w:spacing w:val="-6"/>
        </w:rPr>
        <w:t>基金管理人不得在基金合同约定之外的日期或者时间办理基金份额的申购、赎回或者转</w:t>
      </w:r>
    </w:p>
    <w:p>
      <w:pPr>
        <w:pStyle w:val="BodyText"/>
        <w:spacing w:line="417" w:lineRule="auto"/>
        <w:ind w:left="260" w:right="491"/>
      </w:pPr>
      <w:r>
        <w:rPr>
          <w:spacing w:val="-10"/>
        </w:rPr>
        <w:t>换业务。投资人在基金合同约定之外的日期和时间提出申购、赎回或转换申请且登记机构确</w:t>
      </w:r>
      <w:r>
        <w:rPr>
          <w:spacing w:val="-5"/>
        </w:rPr>
        <w:t>认接受的，其基金份额申购、赎回价格为下一开放日基金份额申购、赎回的价格。</w:t>
      </w:r>
    </w:p>
    <w:p>
      <w:pPr>
        <w:pStyle w:val="BodyText"/>
        <w:ind w:left="680"/>
      </w:pPr>
      <w:r>
        <w:rPr/>
        <w:t>（三）申购和赎回的原则</w:t>
      </w:r>
    </w:p>
    <w:p>
      <w:pPr>
        <w:pStyle w:val="BodyText"/>
        <w:spacing w:before="6"/>
        <w:rPr>
          <w:sz w:val="15"/>
        </w:rPr>
      </w:pPr>
    </w:p>
    <w:p>
      <w:pPr>
        <w:pStyle w:val="BodyText"/>
        <w:spacing w:line="417" w:lineRule="auto" w:before="1"/>
        <w:ind w:left="260" w:right="494" w:firstLine="419"/>
      </w:pPr>
      <w:r>
        <w:rPr>
          <w:rFonts w:ascii="Times New Roman" w:hAnsi="Times New Roman" w:eastAsia="Times New Roman"/>
        </w:rPr>
        <w:t>1</w:t>
      </w:r>
      <w:r>
        <w:rPr/>
        <w:t>、“未知价”原则，即申购、赎回价格以申请当日收市后计算的基金份额净值为基准进行计算。</w:t>
      </w:r>
    </w:p>
    <w:p>
      <w:pPr>
        <w:pStyle w:val="BodyText"/>
        <w:spacing w:line="269" w:lineRule="exact"/>
        <w:ind w:left="680"/>
      </w:pPr>
      <w:r>
        <w:rPr>
          <w:rFonts w:ascii="Times New Roman" w:hAnsi="Times New Roman" w:eastAsia="Times New Roman"/>
        </w:rPr>
        <w:t>2</w:t>
      </w:r>
      <w:r>
        <w:rPr/>
        <w:t>、“金额申购、份额赎回”原则，即申购以金额申请，赎回以份额申请。</w:t>
      </w:r>
    </w:p>
    <w:p>
      <w:pPr>
        <w:pStyle w:val="BodyText"/>
        <w:spacing w:before="6"/>
        <w:rPr>
          <w:sz w:val="15"/>
        </w:rPr>
      </w:pPr>
    </w:p>
    <w:p>
      <w:pPr>
        <w:pStyle w:val="BodyText"/>
        <w:ind w:left="68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680"/>
      </w:pPr>
      <w:r>
        <w:rPr>
          <w:rFonts w:ascii="Times New Roman" w:hAnsi="Times New Roman" w:eastAsia="Times New Roman"/>
        </w:rPr>
        <w:t>4</w:t>
      </w:r>
      <w:r>
        <w:rPr/>
        <w:t>、赎回遵循“先进先出”原则，即按照投资人认购、申购的先后次序进行顺序赎回。</w:t>
      </w:r>
    </w:p>
    <w:p>
      <w:pPr>
        <w:pStyle w:val="BodyText"/>
        <w:spacing w:before="7"/>
        <w:rPr>
          <w:sz w:val="15"/>
        </w:rPr>
      </w:pPr>
    </w:p>
    <w:p>
      <w:pPr>
        <w:pStyle w:val="BodyText"/>
        <w:spacing w:line="417" w:lineRule="auto"/>
        <w:ind w:left="260" w:right="494" w:firstLine="419"/>
      </w:pPr>
      <w:r>
        <w:rPr>
          <w:rFonts w:ascii="Times New Roman" w:eastAsia="Times New Roman"/>
        </w:rPr>
        <w:t>5</w:t>
      </w:r>
      <w:r>
        <w:rPr/>
        <w:t>、投资者办理申购、赎回等业务时应提交的文件和办理手续、办理时间、处理规则等在遵守基金合同和招募说明书规定的前提下，以各销售机构的具体规定为准。</w:t>
      </w:r>
    </w:p>
    <w:p>
      <w:pPr>
        <w:pStyle w:val="BodyText"/>
        <w:ind w:left="680"/>
      </w:pPr>
      <w:r>
        <w:rPr/>
        <w:t>基金管理人可在法律法规允许的情况下，对上述原则进行调整。基金管理人必须在新规</w:t>
      </w:r>
    </w:p>
    <w:p>
      <w:pPr>
        <w:spacing w:after="0"/>
        <w:sectPr>
          <w:pgSz w:w="11910" w:h="16840"/>
          <w:pgMar w:header="877" w:footer="995" w:top="1420" w:bottom="1180" w:left="1540" w:right="1300"/>
        </w:sectPr>
      </w:pPr>
    </w:p>
    <w:p>
      <w:pPr>
        <w:pStyle w:val="BodyText"/>
        <w:spacing w:before="110"/>
        <w:ind w:left="260"/>
      </w:pPr>
      <w:r>
        <w:rPr/>
        <w:t>则开始实施前依照《信息披露办法》的有关规定在指定媒介上公告。</w:t>
      </w:r>
    </w:p>
    <w:p>
      <w:pPr>
        <w:pStyle w:val="BodyText"/>
        <w:spacing w:before="6"/>
        <w:rPr>
          <w:sz w:val="15"/>
        </w:rPr>
      </w:pPr>
    </w:p>
    <w:p>
      <w:pPr>
        <w:pStyle w:val="BodyText"/>
        <w:ind w:left="680"/>
      </w:pPr>
      <w:r>
        <w:rPr/>
        <w:t>（四）申购与赎回的数额限制</w:t>
      </w:r>
    </w:p>
    <w:p>
      <w:pPr>
        <w:pStyle w:val="BodyText"/>
        <w:spacing w:before="7"/>
        <w:rPr>
          <w:sz w:val="15"/>
        </w:rPr>
      </w:pPr>
    </w:p>
    <w:p>
      <w:pPr>
        <w:pStyle w:val="BodyText"/>
        <w:spacing w:line="417" w:lineRule="auto"/>
        <w:ind w:left="260" w:right="491" w:firstLine="419"/>
        <w:jc w:val="both"/>
      </w:pPr>
      <w:r>
        <w:rPr>
          <w:rFonts w:ascii="Times New Roman" w:eastAsia="Times New Roman"/>
        </w:rPr>
        <w:t>1</w:t>
      </w:r>
      <w:r>
        <w:rPr>
          <w:spacing w:val="-3"/>
        </w:rPr>
        <w:t>、投资者通过直销机构或华夏财富办理本基金的申购及赎回业务，每次最低申购金额</w:t>
      </w:r>
      <w:r>
        <w:rPr>
          <w:spacing w:val="-24"/>
        </w:rPr>
        <w:t>为 </w:t>
      </w:r>
      <w:r>
        <w:rPr>
          <w:rFonts w:ascii="Times New Roman" w:eastAsia="Times New Roman"/>
        </w:rPr>
        <w:t>1.00 </w:t>
      </w:r>
      <w:r>
        <w:rPr>
          <w:spacing w:val="-34"/>
        </w:rPr>
        <w:t>元</w:t>
      </w:r>
      <w:r>
        <w:rPr/>
        <w:t>（</w:t>
      </w:r>
      <w:r>
        <w:rPr>
          <w:spacing w:val="-3"/>
        </w:rPr>
        <w:t>含申购费</w:t>
      </w:r>
      <w:r>
        <w:rPr>
          <w:spacing w:val="-70"/>
        </w:rPr>
        <w:t>）</w:t>
      </w:r>
      <w:r>
        <w:rPr>
          <w:spacing w:val="-13"/>
        </w:rPr>
        <w:t>，每次赎回申请不得低于 </w:t>
      </w:r>
      <w:r>
        <w:rPr>
          <w:rFonts w:ascii="Times New Roman" w:eastAsia="Times New Roman"/>
        </w:rPr>
        <w:t>1.00 </w:t>
      </w:r>
      <w:r>
        <w:rPr>
          <w:spacing w:val="-7"/>
        </w:rPr>
        <w:t>份基金份额。基金份额持有人赎回时或</w:t>
      </w:r>
      <w:r>
        <w:rPr>
          <w:spacing w:val="-5"/>
        </w:rPr>
        <w:t>赎回后在直销机构或华夏财富保留的基金份额余额不足 </w:t>
      </w:r>
      <w:r>
        <w:rPr>
          <w:rFonts w:ascii="Times New Roman" w:eastAsia="Times New Roman"/>
        </w:rPr>
        <w:t>1.00 </w:t>
      </w:r>
      <w:r>
        <w:rPr>
          <w:spacing w:val="-3"/>
        </w:rPr>
        <w:t>份的，在赎回时需一次全部赎回。具体业务办理请遵循基金管理人直销机构及华夏财富的相关规定。</w:t>
      </w:r>
    </w:p>
    <w:p>
      <w:pPr>
        <w:pStyle w:val="BodyText"/>
        <w:spacing w:line="417" w:lineRule="auto"/>
        <w:ind w:left="260" w:right="490" w:firstLine="419"/>
        <w:jc w:val="both"/>
      </w:pPr>
      <w:r>
        <w:rPr>
          <w:rFonts w:ascii="Times New Roman" w:eastAsia="Times New Roman"/>
        </w:rPr>
        <w:t>2</w:t>
      </w:r>
      <w:r>
        <w:rPr>
          <w:spacing w:val="-3"/>
        </w:rPr>
        <w:t>、投资者通过其他代销机构办理本基金的申购及赎回业务，每次最低申购金额、每次</w:t>
      </w:r>
      <w:r>
        <w:rPr>
          <w:spacing w:val="-9"/>
        </w:rPr>
        <w:t>最低赎回份额、赎回时或赎回后在该代销机构</w:t>
      </w:r>
      <w:r>
        <w:rPr/>
        <w:t>（</w:t>
      </w:r>
      <w:r>
        <w:rPr>
          <w:spacing w:val="-2"/>
        </w:rPr>
        <w:t>网点</w:t>
      </w:r>
      <w:r>
        <w:rPr>
          <w:spacing w:val="-34"/>
        </w:rPr>
        <w:t>）</w:t>
      </w:r>
      <w:r>
        <w:rPr>
          <w:spacing w:val="-3"/>
        </w:rPr>
        <w:t>保留的最低基金份额余额以各代销机构的规定为准。具体业务办理请遵循各代销机构的相关规定。</w:t>
      </w:r>
    </w:p>
    <w:p>
      <w:pPr>
        <w:pStyle w:val="BodyText"/>
        <w:spacing w:line="417" w:lineRule="auto"/>
        <w:ind w:left="260" w:right="49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金申购等措施，切实保护存量基金份额持有人的合法权益，具体请参见相关公告。</w:t>
      </w:r>
    </w:p>
    <w:p>
      <w:pPr>
        <w:pStyle w:val="BodyText"/>
        <w:spacing w:line="417" w:lineRule="auto"/>
        <w:ind w:left="260" w:right="494" w:firstLine="419"/>
      </w:pPr>
      <w:r>
        <w:rPr>
          <w:rFonts w:ascii="Times New Roman" w:eastAsia="Times New Roman"/>
        </w:rPr>
        <w:t>4</w:t>
      </w:r>
      <w:r>
        <w:rPr/>
        <w:t>、基金管理人可以根据市场情况，在法律法规允许的情况下，调整以上限制。基金管理人必须在调整前依照有关规定在指定媒介上公告。</w:t>
      </w:r>
    </w:p>
    <w:p>
      <w:pPr>
        <w:pStyle w:val="BodyText"/>
        <w:ind w:left="680"/>
      </w:pPr>
      <w:r>
        <w:rPr/>
        <w:t>（五）申购和赎回的程序</w:t>
      </w:r>
    </w:p>
    <w:p>
      <w:pPr>
        <w:pStyle w:val="BodyText"/>
        <w:spacing w:before="6"/>
        <w:rPr>
          <w:sz w:val="15"/>
        </w:rPr>
      </w:pPr>
    </w:p>
    <w:p>
      <w:pPr>
        <w:pStyle w:val="BodyText"/>
        <w:ind w:left="680"/>
      </w:pPr>
      <w:r>
        <w:rPr>
          <w:rFonts w:ascii="Times New Roman" w:eastAsia="Times New Roman"/>
        </w:rPr>
        <w:t>1</w:t>
      </w:r>
      <w:r>
        <w:rPr/>
        <w:t>、申购和赎回的申请方式</w:t>
      </w:r>
    </w:p>
    <w:p>
      <w:pPr>
        <w:pStyle w:val="BodyText"/>
        <w:spacing w:before="6"/>
        <w:rPr>
          <w:sz w:val="15"/>
        </w:rPr>
      </w:pPr>
    </w:p>
    <w:p>
      <w:pPr>
        <w:pStyle w:val="BodyText"/>
        <w:spacing w:line="417" w:lineRule="auto" w:before="1"/>
        <w:ind w:left="260" w:right="49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680"/>
      </w:pPr>
      <w:r>
        <w:rPr>
          <w:rFonts w:ascii="Times New Roman" w:eastAsia="Times New Roman"/>
        </w:rPr>
        <w:t>2</w:t>
      </w:r>
      <w:r>
        <w:rPr/>
        <w:t>、申购和赎回的款项支付</w:t>
      </w:r>
    </w:p>
    <w:p>
      <w:pPr>
        <w:pStyle w:val="BodyText"/>
        <w:spacing w:before="6"/>
        <w:rPr>
          <w:sz w:val="15"/>
        </w:rPr>
      </w:pPr>
    </w:p>
    <w:p>
      <w:pPr>
        <w:pStyle w:val="BodyText"/>
        <w:spacing w:line="417" w:lineRule="auto"/>
        <w:ind w:left="260" w:right="49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before="1"/>
        <w:ind w:left="260" w:right="49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spacing w:line="269" w:lineRule="exact"/>
        <w:ind w:left="680"/>
      </w:pPr>
      <w:r>
        <w:rPr>
          <w:rFonts w:ascii="Times New Roman" w:eastAsia="Times New Roman"/>
        </w:rPr>
        <w:t>3</w:t>
      </w:r>
      <w:r>
        <w:rPr/>
        <w:t>、申购和赎回申请的确认</w:t>
      </w:r>
    </w:p>
    <w:p>
      <w:pPr>
        <w:pStyle w:val="BodyText"/>
        <w:spacing w:before="6"/>
        <w:rPr>
          <w:sz w:val="15"/>
        </w:rPr>
      </w:pPr>
    </w:p>
    <w:p>
      <w:pPr>
        <w:pStyle w:val="BodyText"/>
        <w:spacing w:line="417" w:lineRule="auto"/>
        <w:ind w:left="260" w:right="49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269" w:lineRule="exact"/>
        <w:ind w:left="680"/>
      </w:pPr>
      <w:r>
        <w:rPr/>
        <w:t>基金销售机构对申购、赎回申请的受理并不代表申请一定成功，而仅代表销售机构确实</w:t>
      </w:r>
    </w:p>
    <w:p>
      <w:pPr>
        <w:spacing w:after="0" w:line="269" w:lineRule="exact"/>
        <w:sectPr>
          <w:pgSz w:w="11910" w:h="16840"/>
          <w:pgMar w:header="877" w:footer="995" w:top="1420" w:bottom="1180" w:left="1540" w:right="1300"/>
        </w:sectPr>
      </w:pPr>
    </w:p>
    <w:p>
      <w:pPr>
        <w:pStyle w:val="BodyText"/>
        <w:spacing w:line="417" w:lineRule="auto" w:before="110"/>
        <w:ind w:left="260" w:right="388"/>
      </w:pPr>
      <w:r>
        <w:rPr/>
        <w:t>接收到申请。申请的确认以登记机构或基金管理人的确认结果为准。对于申请的确认情况， 投资者应及时查询。</w:t>
      </w:r>
    </w:p>
    <w:p>
      <w:pPr>
        <w:pStyle w:val="BodyText"/>
        <w:spacing w:line="417" w:lineRule="auto"/>
        <w:ind w:left="260" w:right="385" w:firstLine="419"/>
      </w:pPr>
      <w:r>
        <w:rPr>
          <w:rFonts w:ascii="Times New Roman" w:eastAsia="Times New Roman"/>
        </w:rPr>
        <w:t>4</w:t>
      </w:r>
      <w:r>
        <w:rPr>
          <w:spacing w:val="-12"/>
        </w:rPr>
        <w:t>、基金管理人可以在不违反法律法规且对基金份额持有人无实质性不利影响的前提下， </w:t>
      </w:r>
      <w:r>
        <w:rPr>
          <w:spacing w:val="-6"/>
        </w:rPr>
        <w:t>对上述业务办理时间进行调整，并提前公告。</w:t>
      </w:r>
    </w:p>
    <w:p>
      <w:pPr>
        <w:pStyle w:val="BodyText"/>
        <w:spacing w:line="269" w:lineRule="exact"/>
        <w:ind w:left="680"/>
      </w:pPr>
      <w:r>
        <w:rPr/>
        <w:t>（六）申购费与赎回费</w:t>
      </w:r>
    </w:p>
    <w:p>
      <w:pPr>
        <w:pStyle w:val="BodyText"/>
        <w:spacing w:before="6"/>
        <w:rPr>
          <w:sz w:val="15"/>
        </w:rPr>
      </w:pPr>
    </w:p>
    <w:p>
      <w:pPr>
        <w:pStyle w:val="BodyText"/>
        <w:spacing w:line="417" w:lineRule="auto"/>
        <w:ind w:left="260" w:right="494" w:firstLine="419"/>
      </w:pPr>
      <w:r>
        <w:rPr/>
        <w:pict>
          <v:group style="position:absolute;margin-left:153.139999pt;margin-top:41.819984pt;width:288.45pt;height:115.25pt;mso-position-horizontal-relative:page;mso-position-vertical-relative:paragraph;z-index:-259891200" coordorigin="3063,836" coordsize="5769,2305">
            <v:line style="position:absolute" from="3077,851" to="7245,851" stroked="true" strokeweight="1.44pt" strokecolor="#000000">
              <v:stroke dashstyle="solid"/>
            </v:line>
            <v:shape style="position:absolute;left:7244;top:865;width:10;height:3" type="#_x0000_t75" stroked="false">
              <v:imagedata r:id="rId127" o:title=""/>
            </v:shape>
            <v:rect style="position:absolute;left:7244;top:836;width:29;height:29" filled="true" fillcolor="#000000" stroked="false">
              <v:fill type="solid"/>
            </v:rect>
            <v:line style="position:absolute" from="7273,851" to="8831,851" stroked="true" strokeweight="1.44pt" strokecolor="#000000">
              <v:stroke dashstyle="solid"/>
            </v:line>
            <v:shape style="position:absolute;left:7244;top:867;width:10;height:241" coordorigin="7245,868" coordsize="10,241" path="m7254,1012l7245,1012,7245,1060,7245,1108,7254,1108,7254,1060,7254,1012m7254,868l7245,868,7245,916,7245,964,7245,1012,7254,1012,7254,964,7254,916,7254,868e" filled="true" fillcolor="#000000" stroked="false">
              <v:path arrowok="t"/>
              <v:fill type="solid"/>
            </v:shape>
            <v:shape style="position:absolute;left:7249;top:867;width:2;height:311" coordorigin="7249,868" coordsize="0,311" path="m7249,1178l7249,868,7249,1178xe" filled="true" fillcolor="#000000" stroked="false">
              <v:path arrowok="t"/>
              <v:fill type="solid"/>
            </v:shape>
            <v:line style="position:absolute" from="3077,1192" to="7245,1192" stroked="true" strokeweight="1.44pt" strokecolor="#000000">
              <v:stroke dashstyle="solid"/>
            </v:line>
            <v:shape style="position:absolute;left:7244;top:1177;width:10;height:32" type="#_x0000_t75" stroked="false">
              <v:imagedata r:id="rId128" o:title=""/>
            </v:shape>
            <v:line style="position:absolute" from="7254,1192" to="8831,1192" stroked="true" strokeweight="1.44pt" strokecolor="#000000">
              <v:stroke dashstyle="solid"/>
            </v:line>
            <v:shape style="position:absolute;left:3077;top:1209;width:4177;height:478" type="#_x0000_t75" stroked="false">
              <v:imagedata r:id="rId129" o:title=""/>
            </v:shape>
            <v:shape style="position:absolute;left:7244;top:1677;width:1587;height:10" type="#_x0000_t75" stroked="false">
              <v:imagedata r:id="rId130" o:title=""/>
            </v:shape>
            <v:shape style="position:absolute;left:7244;top:1686;width:10;height:432" coordorigin="7245,1687" coordsize="10,432" path="m7254,1975l7245,1975,7245,2023,7245,2071,7245,2119,7254,2119,7254,2071,7254,2023,7254,1975m7254,1735l7245,1735,7245,1783,7245,1831,7245,1879,7245,1927,7245,1975,7254,1975,7254,1927,7254,1879,7254,1831,7254,1783,7254,1735m7254,1687l7245,1687,7245,1735,7254,1735,7254,1687e" filled="true" fillcolor="#000000" stroked="false">
              <v:path arrowok="t"/>
              <v:fill type="solid"/>
            </v:shape>
            <v:shape style="position:absolute;left:3077;top:2154;width:4168;height:10" type="#_x0000_t75" stroked="false">
              <v:imagedata r:id="rId131" o:title=""/>
            </v:shape>
            <v:shape style="position:absolute;left:7244;top:2154;width:1587;height:10" type="#_x0000_t75" stroked="false">
              <v:imagedata r:id="rId132" o:title=""/>
            </v:shape>
            <v:shape style="position:absolute;left:7244;top:2164;width:10;height:384" coordorigin="7245,2164" coordsize="10,384" path="m7254,2404l7245,2404,7245,2452,7245,2500,7245,2548,7254,2548,7254,2500,7254,2452,7254,2404m7254,2164l7245,2164,7245,2212,7245,2260,7245,2308,7245,2356,7245,2404,7254,2404,7254,2356,7254,2308,7254,2260,7254,2212,7254,2164e" filled="true" fillcolor="#000000" stroked="false">
              <v:path arrowok="t"/>
              <v:fill type="solid"/>
            </v:shape>
            <v:shape style="position:absolute;left:7249;top:1686;width:2;height:946" coordorigin="7249,1687" coordsize="0,946" path="m7249,2632l7249,1687,7249,2632xe" filled="true" fillcolor="#000000" stroked="false">
              <v:path arrowok="t"/>
              <v:fill type="solid"/>
            </v:shape>
            <v:shape style="position:absolute;left:3077;top:2632;width:4168;height:10" type="#_x0000_t75" stroked="false">
              <v:imagedata r:id="rId131" o:title=""/>
            </v:shape>
            <v:rect style="position:absolute;left:7244;top:2632;width:10;height:10" filled="true" fillcolor="#000000" stroked="false">
              <v:fill type="solid"/>
            </v:rect>
            <v:shape style="position:absolute;left:7244;top:2632;width:1587;height:480" type="#_x0000_t75" stroked="false">
              <v:imagedata r:id="rId133" o:title=""/>
            </v:shape>
            <v:line style="position:absolute" from="3063,3127" to="7245,3127" stroked="true" strokeweight="1.44pt" strokecolor="#000000">
              <v:stroke dashstyle="solid"/>
            </v:line>
            <v:rect style="position:absolute;left:7244;top:3112;width:29;height:29" filled="true" fillcolor="#000000" stroked="false">
              <v:fill type="solid"/>
            </v:rect>
            <v:line style="position:absolute" from="7273,3127" to="8831,3127" stroked="true" strokeweight="1.44pt" strokecolor="#000000">
              <v:stroke dashstyle="solid"/>
            </v:line>
            <v:shape style="position:absolute;left:4109;top:917;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7407;top:917;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4611;top:1330;width:1125;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z w:val="21"/>
                      </w:rPr>
                      <w:t>万元以下</w:t>
                    </w:r>
                  </w:p>
                </w:txbxContent>
              </v:textbox>
              <w10:wrap type="none"/>
            </v:shape>
            <v:shape style="position:absolute;left:7820;top:1328;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3288;top:1808;width:377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 </w:t>
                    </w:r>
                    <w:r>
                      <w:rPr>
                        <w:spacing w:val="-3"/>
                        <w:sz w:val="21"/>
                      </w:rPr>
                      <w:t>万元以上（</w:t>
                    </w:r>
                    <w:r>
                      <w:rPr>
                        <w:spacing w:val="-25"/>
                        <w:sz w:val="21"/>
                      </w:rPr>
                      <w:t>含 </w:t>
                    </w:r>
                    <w:r>
                      <w:rPr>
                        <w:rFonts w:ascii="Times New Roman" w:eastAsia="Times New Roman"/>
                        <w:sz w:val="21"/>
                      </w:rPr>
                      <w:t>50 </w:t>
                    </w:r>
                    <w:r>
                      <w:rPr>
                        <w:spacing w:val="-2"/>
                        <w:sz w:val="21"/>
                      </w:rPr>
                      <w:t>万元</w:t>
                    </w:r>
                    <w:r>
                      <w:rPr>
                        <w:sz w:val="21"/>
                      </w:rPr>
                      <w:t>）</w:t>
                    </w:r>
                    <w:r>
                      <w:rPr>
                        <w:rFonts w:ascii="Times New Roman" w:eastAsia="Times New Roman"/>
                        <w:sz w:val="21"/>
                      </w:rPr>
                      <w:t>-200 </w:t>
                    </w:r>
                    <w:r>
                      <w:rPr>
                        <w:spacing w:val="-2"/>
                        <w:sz w:val="21"/>
                      </w:rPr>
                      <w:t>万元以下</w:t>
                    </w:r>
                  </w:p>
                </w:txbxContent>
              </v:textbox>
              <w10:wrap type="none"/>
            </v:shape>
            <v:shape style="position:absolute;left:7820;top:180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w:t>
                    </w:r>
                  </w:p>
                </w:txbxContent>
              </v:textbox>
              <w10:wrap type="none"/>
            </v:shape>
            <v:shape style="position:absolute;left:3185;top:2285;width:397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 </w:t>
                    </w:r>
                    <w:r>
                      <w:rPr>
                        <w:spacing w:val="-3"/>
                        <w:sz w:val="21"/>
                      </w:rPr>
                      <w:t>万元以上（</w:t>
                    </w:r>
                    <w:r>
                      <w:rPr>
                        <w:spacing w:val="-25"/>
                        <w:sz w:val="21"/>
                      </w:rPr>
                      <w:t>含 </w:t>
                    </w:r>
                    <w:r>
                      <w:rPr>
                        <w:rFonts w:ascii="Times New Roman" w:eastAsia="Times New Roman"/>
                        <w:sz w:val="21"/>
                      </w:rPr>
                      <w:t>200 </w:t>
                    </w:r>
                    <w:r>
                      <w:rPr>
                        <w:spacing w:val="-2"/>
                        <w:sz w:val="21"/>
                      </w:rPr>
                      <w:t>万元</w:t>
                    </w:r>
                    <w:r>
                      <w:rPr>
                        <w:sz w:val="21"/>
                      </w:rPr>
                      <w:t>）</w:t>
                    </w:r>
                    <w:r>
                      <w:rPr>
                        <w:rFonts w:ascii="Times New Roman" w:eastAsia="Times New Roman"/>
                        <w:sz w:val="21"/>
                      </w:rPr>
                      <w:t>-500 </w:t>
                    </w:r>
                    <w:r>
                      <w:rPr>
                        <w:spacing w:val="-3"/>
                        <w:sz w:val="21"/>
                      </w:rPr>
                      <w:t>万元以下</w:t>
                    </w:r>
                  </w:p>
                </w:txbxContent>
              </v:textbox>
              <w10:wrap type="none"/>
            </v:shape>
            <v:shape style="position:absolute;left:7820;top:228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3824;top:2763;width:270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 </w:t>
                    </w:r>
                    <w:r>
                      <w:rPr>
                        <w:spacing w:val="-3"/>
                        <w:sz w:val="21"/>
                      </w:rPr>
                      <w:t>万元以上（</w:t>
                    </w:r>
                    <w:r>
                      <w:rPr>
                        <w:spacing w:val="-25"/>
                        <w:sz w:val="21"/>
                      </w:rPr>
                      <w:t>含 </w:t>
                    </w:r>
                    <w:r>
                      <w:rPr>
                        <w:rFonts w:ascii="Times New Roman" w:eastAsia="Times New Roman"/>
                        <w:sz w:val="21"/>
                      </w:rPr>
                      <w:t>500 </w:t>
                    </w:r>
                    <w:r>
                      <w:rPr>
                        <w:spacing w:val="-2"/>
                        <w:sz w:val="21"/>
                      </w:rPr>
                      <w:t>万元</w:t>
                    </w:r>
                    <w:r>
                      <w:rPr>
                        <w:sz w:val="21"/>
                      </w:rPr>
                      <w:t>）</w:t>
                    </w:r>
                  </w:p>
                </w:txbxContent>
              </v:textbox>
              <w10:wrap type="none"/>
            </v:shape>
            <v:shape style="position:absolute;left:7357;top:2763;width:1388;height:234" type="#_x0000_t202" filled="false" stroked="false">
              <v:textbox inset="0,0,0,0">
                <w:txbxContent>
                  <w:p>
                    <w:pPr>
                      <w:spacing w:line="234" w:lineRule="exact" w:before="0"/>
                      <w:ind w:left="0" w:right="0" w:firstLine="0"/>
                      <w:jc w:val="left"/>
                      <w:rPr>
                        <w:sz w:val="21"/>
                      </w:rPr>
                    </w:pPr>
                    <w:r>
                      <w:rPr>
                        <w:sz w:val="21"/>
                      </w:rPr>
                      <w:t>每笔</w:t>
                    </w:r>
                    <w:r>
                      <w:rPr>
                        <w:rFonts w:ascii="Times New Roman" w:eastAsia="Times New Roman"/>
                        <w:sz w:val="21"/>
                      </w:rPr>
                      <w:t>1,000.00</w:t>
                    </w:r>
                    <w:r>
                      <w:rPr>
                        <w:sz w:val="21"/>
                      </w:rPr>
                      <w:t>元</w:t>
                    </w:r>
                  </w:p>
                </w:txbxContent>
              </v:textbox>
              <w10:wrap type="none"/>
            </v:shape>
            <w10:wrap type="none"/>
          </v:group>
        </w:pict>
      </w:r>
      <w:r>
        <w:rPr>
          <w:rFonts w:ascii="Times New Roman" w:eastAsia="Times New Roman"/>
        </w:rPr>
        <w:t>1</w:t>
      </w:r>
      <w:r>
        <w:rPr/>
        <w:t>、本基金申购费由申购人承担，用于市场推广、销售、登记结算等各项费用。投资者在申购本基金时需交纳前端申购费，申购费率具体如下：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spacing w:line="417" w:lineRule="auto"/>
        <w:ind w:left="260" w:right="494" w:firstLine="419"/>
      </w:pPr>
      <w:r>
        <w:rPr/>
        <w:pict>
          <v:group style="position:absolute;margin-left:160.220001pt;margin-top:41.820015pt;width:274.25pt;height:123.05pt;mso-position-horizontal-relative:page;mso-position-vertical-relative:paragraph;z-index:-259879936" coordorigin="3204,836" coordsize="5485,2461">
            <v:line style="position:absolute" from="3219,851" to="7624,851" stroked="true" strokeweight="1.44pt" strokecolor="#000000">
              <v:stroke dashstyle="solid"/>
            </v:line>
            <v:shape style="position:absolute;left:7623;top:865;width:10;height:3" type="#_x0000_t75" stroked="false">
              <v:imagedata r:id="rId134" o:title=""/>
            </v:shape>
            <v:rect style="position:absolute;left:7623;top:836;width:29;height:29" filled="true" fillcolor="#000000" stroked="false">
              <v:fill type="solid"/>
            </v:rect>
            <v:line style="position:absolute" from="7653,851" to="8689,851" stroked="true" strokeweight="1.44pt" strokecolor="#000000">
              <v:stroke dashstyle="solid"/>
            </v:line>
            <v:shape style="position:absolute;left:7623;top:867;width:10;height:466" type="#_x0000_t75" stroked="false">
              <v:imagedata r:id="rId135" o:title=""/>
            </v:shape>
            <v:line style="position:absolute" from="3219,1348" to="7624,1348" stroked="true" strokeweight="1.44pt" strokecolor="#000000">
              <v:stroke dashstyle="solid"/>
            </v:line>
            <v:shape style="position:absolute;left:7623;top:1333;width:10;height:32" type="#_x0000_t75" stroked="false">
              <v:imagedata r:id="rId128" o:title=""/>
            </v:shape>
            <v:line style="position:absolute" from="7633,1348" to="8689,1348" stroked="true" strokeweight="1.44pt" strokecolor="#000000">
              <v:stroke dashstyle="solid"/>
            </v:line>
            <v:shape style="position:absolute;left:3218;top:1364;width:5471;height:956" type="#_x0000_t75" stroked="false">
              <v:imagedata r:id="rId136" o:title=""/>
            </v:shape>
            <v:shape style="position:absolute;left:7623;top:2310;width:1066;height:10" type="#_x0000_t75" stroked="false">
              <v:imagedata r:id="rId137" o:title=""/>
            </v:shape>
            <v:shape style="position:absolute;left:7623;top:2320;width:10;height:432" coordorigin="7624,2320" coordsize="10,432" path="m7633,2608l7624,2608,7624,2656,7624,2704,7624,2752,7633,2752,7633,2704,7633,2656,7633,2608m7633,2512l7624,2512,7624,2560,7624,2608,7633,2608,7633,2560,7633,2512m7633,2368l7624,2368,7624,2416,7624,2464,7624,2512,7633,2512,7633,2464,7633,2416,7633,2368m7633,2320l7624,2320,7624,2368,7633,2368,7633,2320e" filled="true" fillcolor="#000000" stroked="false">
              <v:path arrowok="t"/>
              <v:fill type="solid"/>
            </v:shape>
            <v:shape style="position:absolute;left:3218;top:2788;width:4405;height:10" type="#_x0000_t75" stroked="false">
              <v:imagedata r:id="rId138" o:title=""/>
            </v:shape>
            <v:shape style="position:absolute;left:7623;top:2788;width:1066;height:10" type="#_x0000_t75" stroked="false">
              <v:imagedata r:id="rId139" o:title=""/>
            </v:shape>
            <v:shape style="position:absolute;left:7623;top:2797;width:10;height:384" coordorigin="7624,2798" coordsize="10,384" path="m7633,3086l7624,3086,7624,3134,7624,3182,7633,3182,7633,3134,7633,3086m7633,2990l7624,2990,7624,3038,7624,3086,7633,3086,7633,3038,7633,2990m7633,2846l7624,2846,7624,2894,7624,2942,7624,2990,7633,2990,7633,2942,7633,2894,7633,2846m7633,2798l7624,2798,7624,2846,7633,2846,7633,2798e" filled="true" fillcolor="#000000" stroked="false">
              <v:path arrowok="t"/>
              <v:fill type="solid"/>
            </v:shape>
            <v:line style="position:absolute" from="3204,3282" to="7624,3282" stroked="true" strokeweight="1.44pt" strokecolor="#000000">
              <v:stroke dashstyle="solid"/>
            </v:line>
            <v:shape style="position:absolute;left:7628;top:2320;width:2;height:948" coordorigin="7629,2320" coordsize="0,948" path="m7629,3268l7629,2320,7629,3268xe" filled="true" fillcolor="#000000" stroked="false">
              <v:path arrowok="t"/>
              <v:fill type="solid"/>
            </v:shape>
            <v:rect style="position:absolute;left:7623;top:3268;width:29;height:29" filled="true" fillcolor="#000000" stroked="false">
              <v:fill type="solid"/>
            </v:rect>
            <v:line style="position:absolute" from="7653,3282" to="8689,3282" stroked="true" strokeweight="1.44pt" strokecolor="#000000">
              <v:stroke dashstyle="solid"/>
            </v:line>
            <v:shape style="position:absolute;left:5002;top:993;width:865;height:212" type="#_x0000_t202" filled="false" stroked="false">
              <v:textbox inset="0,0,0,0">
                <w:txbxContent>
                  <w:p>
                    <w:pPr>
                      <w:spacing w:line="211" w:lineRule="exact" w:before="0"/>
                      <w:ind w:left="0" w:right="0" w:firstLine="0"/>
                      <w:jc w:val="left"/>
                      <w:rPr>
                        <w:b/>
                        <w:sz w:val="21"/>
                      </w:rPr>
                    </w:pPr>
                    <w:r>
                      <w:rPr>
                        <w:b/>
                        <w:sz w:val="21"/>
                      </w:rPr>
                      <w:t>持有期限</w:t>
                    </w:r>
                  </w:p>
                </w:txbxContent>
              </v:textbox>
              <w10:wrap type="none"/>
            </v:shape>
            <v:shape style="position:absolute;left:7736;top:993;width:865;height:212" type="#_x0000_t202" filled="false" stroked="false">
              <v:textbox inset="0,0,0,0">
                <w:txbxContent>
                  <w:p>
                    <w:pPr>
                      <w:spacing w:line="211" w:lineRule="exact" w:before="0"/>
                      <w:ind w:left="0" w:right="0" w:firstLine="0"/>
                      <w:jc w:val="left"/>
                      <w:rPr>
                        <w:b/>
                        <w:sz w:val="21"/>
                      </w:rPr>
                    </w:pPr>
                    <w:r>
                      <w:rPr>
                        <w:b/>
                        <w:sz w:val="21"/>
                      </w:rPr>
                      <w:t>赎回费率</w:t>
                    </w:r>
                  </w:p>
                </w:txbxContent>
              </v:textbox>
              <w10:wrap type="none"/>
            </v:shape>
            <v:shape style="position:absolute;left:5029;top:1486;width:810;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z w:val="21"/>
                      </w:rPr>
                      <w:t>天以内</w:t>
                    </w:r>
                  </w:p>
                </w:txbxContent>
              </v:textbox>
              <w10:wrap type="none"/>
            </v:shape>
            <v:shape style="position:absolute;left:7940;top:1483;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1.5%</w:t>
                    </w:r>
                  </w:p>
                </w:txbxContent>
              </v:textbox>
              <w10:wrap type="none"/>
            </v:shape>
            <v:shape style="position:absolute;left:4023;top:1963;width:282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7 </w:t>
                    </w:r>
                    <w:r>
                      <w:rPr>
                        <w:spacing w:val="-2"/>
                        <w:sz w:val="21"/>
                      </w:rPr>
                      <w:t>天以上</w:t>
                    </w:r>
                    <w:r>
                      <w:rPr>
                        <w:spacing w:val="-3"/>
                        <w:sz w:val="21"/>
                      </w:rPr>
                      <w:t>（</w:t>
                    </w:r>
                    <w:r>
                      <w:rPr>
                        <w:spacing w:val="-26"/>
                        <w:sz w:val="21"/>
                      </w:rPr>
                      <w:t>含 </w:t>
                    </w:r>
                    <w:r>
                      <w:rPr>
                        <w:rFonts w:ascii="Times New Roman" w:eastAsia="Times New Roman"/>
                        <w:sz w:val="21"/>
                      </w:rPr>
                      <w:t>7 </w:t>
                    </w:r>
                    <w:r>
                      <w:rPr>
                        <w:sz w:val="21"/>
                      </w:rPr>
                      <w:t>天）</w:t>
                    </w:r>
                    <w:r>
                      <w:rPr>
                        <w:rFonts w:ascii="Times New Roman" w:eastAsia="Times New Roman"/>
                        <w:sz w:val="21"/>
                      </w:rPr>
                      <w:t>-30 </w:t>
                    </w:r>
                    <w:r>
                      <w:rPr>
                        <w:spacing w:val="-2"/>
                        <w:sz w:val="21"/>
                      </w:rPr>
                      <w:t>天以内</w:t>
                    </w:r>
                  </w:p>
                </w:txbxContent>
              </v:textbox>
              <w10:wrap type="none"/>
            </v:shape>
            <v:shape style="position:absolute;left:7887;top:1961;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0.75%</w:t>
                    </w:r>
                  </w:p>
                </w:txbxContent>
              </v:textbox>
              <w10:wrap type="none"/>
            </v:shape>
            <v:shape style="position:absolute;left:3970;top:2441;width:292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30</w:t>
                    </w:r>
                    <w:r>
                      <w:rPr>
                        <w:sz w:val="21"/>
                      </w:rPr>
                      <w:t>天以上（含</w:t>
                    </w:r>
                    <w:r>
                      <w:rPr>
                        <w:rFonts w:ascii="Times New Roman" w:eastAsia="Times New Roman"/>
                        <w:sz w:val="21"/>
                      </w:rPr>
                      <w:t>30</w:t>
                    </w:r>
                    <w:r>
                      <w:rPr>
                        <w:sz w:val="21"/>
                      </w:rPr>
                      <w:t>天）</w:t>
                    </w:r>
                    <w:r>
                      <w:rPr>
                        <w:rFonts w:ascii="Times New Roman" w:eastAsia="Times New Roman"/>
                        <w:sz w:val="21"/>
                      </w:rPr>
                      <w:t>-365</w:t>
                    </w:r>
                    <w:r>
                      <w:rPr>
                        <w:sz w:val="21"/>
                      </w:rPr>
                      <w:t>天以内</w:t>
                    </w:r>
                  </w:p>
                </w:txbxContent>
              </v:textbox>
              <w10:wrap type="none"/>
            </v:shape>
            <v:shape style="position:absolute;left:7940;top:2439;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0.5%</w:t>
                    </w:r>
                  </w:p>
                </w:txbxContent>
              </v:textbox>
              <w10:wrap type="none"/>
            </v:shape>
            <v:shape style="position:absolute;left:4294;top:2919;width:2281;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365 </w:t>
                    </w:r>
                    <w:r>
                      <w:rPr>
                        <w:spacing w:val="-3"/>
                        <w:sz w:val="21"/>
                      </w:rPr>
                      <w:t>天以上</w:t>
                    </w:r>
                    <w:r>
                      <w:rPr>
                        <w:sz w:val="21"/>
                      </w:rPr>
                      <w:t>（</w:t>
                    </w:r>
                    <w:r>
                      <w:rPr>
                        <w:spacing w:val="-26"/>
                        <w:sz w:val="21"/>
                      </w:rPr>
                      <w:t>含 </w:t>
                    </w:r>
                    <w:r>
                      <w:rPr>
                        <w:rFonts w:ascii="Times New Roman" w:eastAsia="Times New Roman"/>
                        <w:sz w:val="21"/>
                      </w:rPr>
                      <w:t>365 </w:t>
                    </w:r>
                    <w:r>
                      <w:rPr>
                        <w:sz w:val="21"/>
                      </w:rPr>
                      <w:t>天）</w:t>
                    </w:r>
                  </w:p>
                </w:txbxContent>
              </v:textbox>
              <w10:wrap type="none"/>
            </v:shape>
            <v:shape style="position:absolute;left:8106;top:2916;width:126;height:234" type="#_x0000_t202" filled="false" stroked="false">
              <v:textbox inset="0,0,0,0">
                <w:txbxContent>
                  <w:p>
                    <w:pPr>
                      <w:spacing w:line="234" w:lineRule="exact" w:before="0"/>
                      <w:ind w:left="0" w:right="0" w:firstLine="0"/>
                      <w:jc w:val="left"/>
                      <w:rPr>
                        <w:rFonts w:ascii="Times New Roman"/>
                        <w:sz w:val="21"/>
                      </w:rPr>
                    </w:pPr>
                    <w:r>
                      <w:rPr>
                        <w:rFonts w:ascii="Times New Roman"/>
                        <w:w w:val="100"/>
                        <w:sz w:val="21"/>
                      </w:rPr>
                      <w:t>0</w:t>
                    </w:r>
                  </w:p>
                </w:txbxContent>
              </v:textbox>
              <w10:wrap type="none"/>
            </v:shape>
            <w10:wrap type="none"/>
          </v:group>
        </w:pict>
      </w:r>
      <w:r>
        <w:rPr>
          <w:rFonts w:ascii="Times New Roman" w:eastAsia="Times New Roman"/>
        </w:rPr>
        <w:t>2</w:t>
      </w:r>
      <w:r>
        <w:rPr/>
        <w:t>、本基金赎回费由赎回人承担，在投资者赎回基金份额时收取。费率随基金份额的持有期限的增加而递减，具体如下：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pStyle w:val="BodyText"/>
        <w:spacing w:before="79"/>
        <w:ind w:right="491"/>
        <w:jc w:val="right"/>
      </w:pPr>
      <w:r>
        <w:rPr>
          <w:spacing w:val="-6"/>
        </w:rPr>
        <w:t>对于赎回时份额持有不满 </w:t>
      </w:r>
      <w:r>
        <w:rPr>
          <w:rFonts w:ascii="Times New Roman" w:eastAsia="Times New Roman"/>
        </w:rPr>
        <w:t>30</w:t>
      </w:r>
      <w:r>
        <w:rPr>
          <w:rFonts w:ascii="Times New Roman" w:eastAsia="Times New Roman"/>
          <w:spacing w:val="28"/>
        </w:rPr>
        <w:t> </w:t>
      </w:r>
      <w:r>
        <w:rPr>
          <w:spacing w:val="-3"/>
        </w:rPr>
        <w:t>天的，收取的赎回费全额计入基金财产；对于赎回时份额</w:t>
      </w:r>
    </w:p>
    <w:p>
      <w:pPr>
        <w:pStyle w:val="BodyText"/>
        <w:spacing w:before="6"/>
        <w:rPr>
          <w:sz w:val="15"/>
        </w:rPr>
      </w:pPr>
    </w:p>
    <w:p>
      <w:pPr>
        <w:pStyle w:val="BodyText"/>
        <w:ind w:right="493"/>
        <w:jc w:val="right"/>
      </w:pPr>
      <w:r>
        <w:rPr>
          <w:spacing w:val="-7"/>
        </w:rPr>
        <w:t>持有满 </w:t>
      </w:r>
      <w:r>
        <w:rPr>
          <w:rFonts w:ascii="Times New Roman" w:eastAsia="Times New Roman"/>
        </w:rPr>
        <w:t>30</w:t>
      </w:r>
      <w:r>
        <w:rPr>
          <w:rFonts w:ascii="Times New Roman" w:eastAsia="Times New Roman"/>
          <w:spacing w:val="27"/>
        </w:rPr>
        <w:t> </w:t>
      </w:r>
      <w:r>
        <w:rPr>
          <w:spacing w:val="-8"/>
        </w:rPr>
        <w:t>天不满 </w:t>
      </w:r>
      <w:r>
        <w:rPr>
          <w:rFonts w:ascii="Times New Roman" w:eastAsia="Times New Roman"/>
        </w:rPr>
        <w:t>90</w:t>
      </w:r>
      <w:r>
        <w:rPr>
          <w:rFonts w:ascii="Times New Roman" w:eastAsia="Times New Roman"/>
          <w:spacing w:val="28"/>
        </w:rPr>
        <w:t> </w:t>
      </w:r>
      <w:r>
        <w:rPr>
          <w:spacing w:val="-5"/>
        </w:rPr>
        <w:t>天收取的赎回费，将不低于赎回费总额的 </w:t>
      </w:r>
      <w:r>
        <w:rPr>
          <w:rFonts w:ascii="Times New Roman" w:eastAsia="Times New Roman"/>
        </w:rPr>
        <w:t>75%</w:t>
      </w:r>
      <w:r>
        <w:rPr>
          <w:spacing w:val="-3"/>
        </w:rPr>
        <w:t>计入基金财产；对于赎</w:t>
      </w:r>
    </w:p>
    <w:p>
      <w:pPr>
        <w:pStyle w:val="BodyText"/>
        <w:spacing w:before="8"/>
        <w:rPr>
          <w:sz w:val="15"/>
        </w:rPr>
      </w:pPr>
    </w:p>
    <w:p>
      <w:pPr>
        <w:pStyle w:val="BodyText"/>
        <w:ind w:right="493"/>
        <w:jc w:val="right"/>
      </w:pPr>
      <w:r>
        <w:rPr>
          <w:spacing w:val="1"/>
        </w:rPr>
        <w:t>回时份额持有满</w:t>
      </w:r>
      <w:r>
        <w:rPr>
          <w:rFonts w:ascii="Times New Roman" w:eastAsia="Times New Roman"/>
        </w:rPr>
        <w:t>90 </w:t>
      </w:r>
      <w:r>
        <w:rPr>
          <w:spacing w:val="7"/>
        </w:rPr>
        <w:t>天不满</w:t>
      </w:r>
      <w:r>
        <w:rPr>
          <w:rFonts w:ascii="Times New Roman" w:eastAsia="Times New Roman"/>
        </w:rPr>
        <w:t>180</w:t>
      </w:r>
      <w:r>
        <w:rPr>
          <w:rFonts w:ascii="Times New Roman" w:eastAsia="Times New Roman"/>
          <w:spacing w:val="-3"/>
        </w:rPr>
        <w:t> </w:t>
      </w:r>
      <w:r>
        <w:rPr>
          <w:spacing w:val="-10"/>
        </w:rPr>
        <w:t>天收取的赎回费，将不低于赎回费总额的</w:t>
      </w:r>
      <w:r>
        <w:rPr>
          <w:rFonts w:ascii="Times New Roman" w:eastAsia="Times New Roman"/>
        </w:rPr>
        <w:t>50%</w:t>
      </w:r>
      <w:r>
        <w:rPr>
          <w:spacing w:val="-3"/>
        </w:rPr>
        <w:t>计入基金财产；</w:t>
      </w:r>
    </w:p>
    <w:p>
      <w:pPr>
        <w:pStyle w:val="BodyText"/>
        <w:spacing w:before="6"/>
        <w:rPr>
          <w:sz w:val="15"/>
        </w:rPr>
      </w:pPr>
    </w:p>
    <w:p>
      <w:pPr>
        <w:pStyle w:val="BodyText"/>
        <w:spacing w:before="1"/>
        <w:ind w:right="490"/>
        <w:jc w:val="right"/>
        <w:rPr>
          <w:rFonts w:ascii="Times New Roman" w:eastAsia="Times New Roman"/>
        </w:rPr>
      </w:pPr>
      <w:r>
        <w:rPr>
          <w:spacing w:val="-6"/>
        </w:rPr>
        <w:t>对赎回时份额持有期长于 </w:t>
      </w:r>
      <w:r>
        <w:rPr>
          <w:rFonts w:ascii="Times New Roman" w:eastAsia="Times New Roman"/>
        </w:rPr>
        <w:t>180</w:t>
      </w:r>
      <w:r>
        <w:rPr>
          <w:rFonts w:ascii="Times New Roman" w:eastAsia="Times New Roman"/>
          <w:spacing w:val="27"/>
        </w:rPr>
        <w:t> </w:t>
      </w:r>
      <w:r>
        <w:rPr>
          <w:spacing w:val="-3"/>
        </w:rPr>
        <w:t>天</w:t>
      </w:r>
      <w:r>
        <w:rPr/>
        <w:t>（</w:t>
      </w:r>
      <w:r>
        <w:rPr>
          <w:spacing w:val="-13"/>
        </w:rPr>
        <w:t>含 </w:t>
      </w:r>
      <w:r>
        <w:rPr>
          <w:rFonts w:ascii="Times New Roman" w:eastAsia="Times New Roman"/>
        </w:rPr>
        <w:t>180</w:t>
      </w:r>
      <w:r>
        <w:rPr>
          <w:rFonts w:ascii="Times New Roman" w:eastAsia="Times New Roman"/>
          <w:spacing w:val="27"/>
        </w:rPr>
        <w:t> </w:t>
      </w:r>
      <w:r>
        <w:rPr>
          <w:spacing w:val="-3"/>
        </w:rPr>
        <w:t>天</w:t>
      </w:r>
      <w:r>
        <w:rPr/>
        <w:t>）</w:t>
      </w:r>
      <w:r>
        <w:rPr>
          <w:spacing w:val="-5"/>
        </w:rPr>
        <w:t>收取的赎回费，将不低于赎回费总额的 </w:t>
      </w:r>
      <w:r>
        <w:rPr>
          <w:rFonts w:ascii="Times New Roman" w:eastAsia="Times New Roman"/>
        </w:rPr>
        <w:t>25%</w:t>
      </w:r>
    </w:p>
    <w:p>
      <w:pPr>
        <w:pStyle w:val="BodyText"/>
        <w:spacing w:before="3"/>
        <w:rPr>
          <w:rFonts w:ascii="Times New Roman"/>
          <w:sz w:val="17"/>
        </w:rPr>
      </w:pPr>
    </w:p>
    <w:p>
      <w:pPr>
        <w:pStyle w:val="BodyText"/>
        <w:ind w:left="260"/>
      </w:pPr>
      <w:r>
        <w:rPr/>
        <w:t>计入基金财产。</w:t>
      </w:r>
    </w:p>
    <w:p>
      <w:pPr>
        <w:pStyle w:val="BodyText"/>
        <w:spacing w:before="7"/>
        <w:rPr>
          <w:sz w:val="15"/>
        </w:rPr>
      </w:pPr>
    </w:p>
    <w:p>
      <w:pPr>
        <w:pStyle w:val="BodyText"/>
        <w:spacing w:line="417" w:lineRule="auto"/>
        <w:ind w:left="260" w:right="494" w:firstLine="419"/>
      </w:pPr>
      <w:r>
        <w:rPr>
          <w:rFonts w:ascii="Times New Roman" w:eastAsia="Times New Roman"/>
        </w:rPr>
        <w:t>3</w:t>
      </w:r>
      <w:r>
        <w:rPr/>
        <w:t>、基金管理人可以在基金合同约定的范围内调整费率或收费方式，并最迟应于新的费率或收费方式实施日前依照《信息披露办法》的有关规定在指定媒介上公告。</w:t>
      </w:r>
    </w:p>
    <w:p>
      <w:pPr>
        <w:pStyle w:val="BodyText"/>
        <w:spacing w:line="386" w:lineRule="auto"/>
        <w:ind w:left="260" w:right="491" w:firstLine="419"/>
        <w:jc w:val="both"/>
      </w:pPr>
      <w:r>
        <w:rPr>
          <w:rFonts w:ascii="Times New Roman" w:eastAsia="Times New Roman"/>
        </w:rPr>
        <w:t>4</w:t>
      </w:r>
      <w:r>
        <w:rPr>
          <w:spacing w:val="-3"/>
        </w:rPr>
        <w:t>、基金管理人可以在不违反法律法规规定及基金合同约定的情形下根据市场情况制定</w:t>
      </w:r>
      <w:r>
        <w:rPr>
          <w:spacing w:val="-9"/>
        </w:rPr>
        <w:t>基金促销计划，针对以特定交易方式</w:t>
      </w:r>
      <w:r>
        <w:rPr>
          <w:rFonts w:ascii="等线" w:eastAsia="等线" w:hint="eastAsia"/>
        </w:rPr>
        <w:t>（</w:t>
      </w:r>
      <w:r>
        <w:rPr>
          <w:spacing w:val="-6"/>
        </w:rPr>
        <w:t>如网上交易、移动客户端交易</w:t>
      </w:r>
      <w:r>
        <w:rPr>
          <w:rFonts w:ascii="等线" w:eastAsia="等线" w:hint="eastAsia"/>
          <w:spacing w:val="-27"/>
        </w:rPr>
        <w:t>）</w:t>
      </w:r>
      <w:r>
        <w:rPr>
          <w:spacing w:val="-3"/>
        </w:rPr>
        <w:t>等进行基金交易的投</w:t>
      </w:r>
      <w:r>
        <w:rPr>
          <w:spacing w:val="-8"/>
        </w:rPr>
        <w:t>资者定期或不定期地开展基金促销活动。在基金促销活动期间，基金管理人可根据法律法规</w:t>
      </w:r>
    </w:p>
    <w:p>
      <w:pPr>
        <w:spacing w:after="0" w:line="386" w:lineRule="auto"/>
        <w:jc w:val="both"/>
        <w:sectPr>
          <w:pgSz w:w="11910" w:h="16840"/>
          <w:pgMar w:header="877" w:footer="995" w:top="1420" w:bottom="1180" w:left="1540" w:right="1300"/>
        </w:sectPr>
      </w:pPr>
    </w:p>
    <w:p>
      <w:pPr>
        <w:pStyle w:val="BodyText"/>
        <w:spacing w:before="110"/>
        <w:ind w:left="260"/>
      </w:pPr>
      <w:r>
        <w:rPr/>
        <w:t>要求对基金申购费率、赎回费率等进行适当费率优惠。</w:t>
      </w:r>
    </w:p>
    <w:p>
      <w:pPr>
        <w:pStyle w:val="BodyText"/>
        <w:spacing w:before="1"/>
        <w:rPr>
          <w:sz w:val="14"/>
        </w:rPr>
      </w:pPr>
    </w:p>
    <w:p>
      <w:pPr>
        <w:pStyle w:val="BodyText"/>
        <w:spacing w:line="369" w:lineRule="auto"/>
        <w:ind w:left="260" w:right="390" w:firstLine="419"/>
      </w:pPr>
      <w:r>
        <w:rPr>
          <w:rFonts w:ascii="Times New Roman" w:eastAsia="Times New Roman"/>
        </w:rPr>
        <w:t>5</w:t>
      </w:r>
      <w:r>
        <w:rPr>
          <w:rFonts w:ascii="等线" w:eastAsia="等线" w:hint="eastAsia"/>
        </w:rPr>
        <w:t>、</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before="53"/>
        <w:ind w:left="680"/>
      </w:pPr>
      <w:r>
        <w:rPr/>
        <w:t>（七）申购份额与赎回金额的计算方式</w:t>
      </w:r>
    </w:p>
    <w:p>
      <w:pPr>
        <w:pStyle w:val="BodyText"/>
        <w:spacing w:before="6"/>
        <w:rPr>
          <w:sz w:val="15"/>
        </w:rPr>
      </w:pPr>
    </w:p>
    <w:p>
      <w:pPr>
        <w:pStyle w:val="BodyText"/>
        <w:spacing w:before="1"/>
        <w:ind w:left="680"/>
      </w:pPr>
      <w:r>
        <w:rPr>
          <w:rFonts w:ascii="Times New Roman" w:eastAsia="Times New Roman"/>
        </w:rPr>
        <w:t>1</w:t>
      </w:r>
      <w:r>
        <w:rPr/>
        <w:t>、申购份额的计算</w:t>
      </w:r>
    </w:p>
    <w:p>
      <w:pPr>
        <w:pStyle w:val="BodyText"/>
        <w:spacing w:before="6"/>
        <w:rPr>
          <w:sz w:val="15"/>
        </w:rPr>
      </w:pPr>
    </w:p>
    <w:p>
      <w:pPr>
        <w:pStyle w:val="ListParagraph"/>
        <w:numPr>
          <w:ilvl w:val="0"/>
          <w:numId w:val="9"/>
        </w:numPr>
        <w:tabs>
          <w:tab w:pos="1210" w:val="left" w:leader="none"/>
        </w:tabs>
        <w:spacing w:line="240" w:lineRule="auto" w:before="0" w:after="0"/>
        <w:ind w:left="1209" w:right="0" w:hanging="530"/>
        <w:jc w:val="left"/>
        <w:rPr>
          <w:sz w:val="19"/>
        </w:rPr>
      </w:pPr>
      <w:r>
        <w:rPr>
          <w:spacing w:val="-3"/>
          <w:sz w:val="21"/>
        </w:rPr>
        <w:t>申购份额的计算</w:t>
      </w:r>
    </w:p>
    <w:p>
      <w:pPr>
        <w:pStyle w:val="BodyText"/>
        <w:spacing w:before="7"/>
        <w:rPr>
          <w:sz w:val="15"/>
        </w:rPr>
      </w:pPr>
    </w:p>
    <w:p>
      <w:pPr>
        <w:pStyle w:val="BodyText"/>
        <w:spacing w:line="417" w:lineRule="auto"/>
        <w:ind w:left="1100" w:right="3338" w:hanging="420"/>
      </w:pPr>
      <w:r>
        <w:rPr/>
        <w:t>申购费用适用比例费率时，申购份额的计算方法如下： 净申购金额＝申购金额</w:t>
      </w:r>
      <w:r>
        <w:rPr>
          <w:rFonts w:ascii="Times New Roman" w:eastAsia="Times New Roman"/>
        </w:rPr>
        <w:t>/</w:t>
      </w:r>
      <w:r>
        <w:rPr/>
        <w:t>（</w:t>
      </w:r>
      <w:r>
        <w:rPr>
          <w:rFonts w:ascii="Times New Roman" w:eastAsia="Times New Roman"/>
        </w:rPr>
        <w:t>1</w:t>
      </w:r>
      <w:r>
        <w:rPr/>
        <w:t>＋前端申购费率）</w:t>
      </w:r>
    </w:p>
    <w:p>
      <w:pPr>
        <w:pStyle w:val="BodyText"/>
        <w:spacing w:line="417" w:lineRule="auto"/>
        <w:ind w:left="1100" w:right="4202"/>
      </w:pPr>
      <w:r>
        <w:rPr>
          <w:spacing w:val="-2"/>
        </w:rPr>
        <w:t>前端申购费用</w:t>
      </w:r>
      <w:r>
        <w:rPr>
          <w:spacing w:val="-3"/>
        </w:rPr>
        <w:t>＝申购金额－净申购金额 申购份额＝净申购金额</w:t>
      </w:r>
      <w:r>
        <w:rPr>
          <w:rFonts w:ascii="Times New Roman" w:eastAsia="Times New Roman"/>
        </w:rPr>
        <w:t>/T</w:t>
      </w:r>
      <w:r>
        <w:rPr>
          <w:spacing w:val="-4"/>
        </w:rPr>
        <w:t>日基金份额净值</w:t>
      </w:r>
    </w:p>
    <w:p>
      <w:pPr>
        <w:pStyle w:val="BodyText"/>
        <w:spacing w:line="417" w:lineRule="auto"/>
        <w:ind w:left="1100" w:right="3549" w:hanging="420"/>
      </w:pPr>
      <w:r>
        <w:rPr/>
        <w:t>申购费用为固定金额时，申购份额的计算方法如下： 前端申购费用＝固定金额</w:t>
      </w:r>
    </w:p>
    <w:p>
      <w:pPr>
        <w:pStyle w:val="BodyText"/>
        <w:spacing w:line="417" w:lineRule="auto"/>
        <w:ind w:left="1100" w:right="4149"/>
      </w:pPr>
      <w:r>
        <w:rPr/>
        <w:t>净申购金额</w:t>
      </w:r>
      <w:r>
        <w:rPr>
          <w:rFonts w:ascii="Times New Roman" w:eastAsia="Times New Roman"/>
        </w:rPr>
        <w:t>=</w:t>
      </w:r>
      <w:r>
        <w:rPr/>
        <w:t>申购金额－前端申购费用 申购份额＝净申购金额</w:t>
      </w:r>
      <w:r>
        <w:rPr>
          <w:rFonts w:ascii="Times New Roman" w:eastAsia="Times New Roman"/>
        </w:rPr>
        <w:t>/T</w:t>
      </w:r>
      <w:r>
        <w:rPr/>
        <w:t>日基金份额净值</w:t>
      </w:r>
    </w:p>
    <w:p>
      <w:pPr>
        <w:pStyle w:val="ListParagraph"/>
        <w:numPr>
          <w:ilvl w:val="0"/>
          <w:numId w:val="9"/>
        </w:numPr>
        <w:tabs>
          <w:tab w:pos="1210" w:val="left" w:leader="none"/>
        </w:tabs>
        <w:spacing w:line="298" w:lineRule="exact" w:before="0" w:after="0"/>
        <w:ind w:left="1209" w:right="0" w:hanging="530"/>
        <w:jc w:val="left"/>
        <w:rPr>
          <w:rFonts w:ascii="等线" w:eastAsia="等线" w:hint="eastAsia"/>
          <w:sz w:val="19"/>
        </w:rPr>
      </w:pPr>
      <w:r>
        <w:rPr>
          <w:spacing w:val="-3"/>
          <w:sz w:val="21"/>
        </w:rPr>
        <w:t>基金份额按照四舍五入方法，保留小数点后两位，由此误差产生的损失由基金财</w:t>
      </w:r>
    </w:p>
    <w:p>
      <w:pPr>
        <w:pStyle w:val="BodyText"/>
        <w:spacing w:before="170"/>
        <w:ind w:left="260"/>
      </w:pPr>
      <w:r>
        <w:rPr/>
        <w:t>产承担，产生的收益归基金财产所有。</w:t>
      </w:r>
    </w:p>
    <w:p>
      <w:pPr>
        <w:pStyle w:val="BodyText"/>
        <w:spacing w:before="6"/>
        <w:rPr>
          <w:sz w:val="15"/>
        </w:rPr>
      </w:pPr>
    </w:p>
    <w:p>
      <w:pPr>
        <w:pStyle w:val="BodyText"/>
        <w:spacing w:before="1"/>
        <w:ind w:left="680"/>
      </w:pPr>
      <w:r>
        <w:rPr/>
        <w:t>例一：假定</w:t>
      </w:r>
      <w:r>
        <w:rPr>
          <w:rFonts w:ascii="Times New Roman" w:eastAsia="Times New Roman"/>
        </w:rPr>
        <w:t>T</w:t>
      </w:r>
      <w:r>
        <w:rPr/>
        <w:t>日的基金份额净值为</w:t>
      </w:r>
      <w:r>
        <w:rPr>
          <w:rFonts w:ascii="Times New Roman" w:eastAsia="Times New Roman"/>
        </w:rPr>
        <w:t>1.2300</w:t>
      </w:r>
      <w:r>
        <w:rPr/>
        <w:t>元，四笔申购金额分别为</w:t>
      </w:r>
      <w:r>
        <w:rPr>
          <w:rFonts w:ascii="Times New Roman" w:eastAsia="Times New Roman"/>
        </w:rPr>
        <w:t>1,000.00</w:t>
      </w:r>
      <w:r>
        <w:rPr/>
        <w:t>元、</w:t>
      </w:r>
      <w:r>
        <w:rPr>
          <w:rFonts w:ascii="Times New Roman" w:eastAsia="Times New Roman"/>
        </w:rPr>
        <w:t>50</w:t>
      </w:r>
      <w:r>
        <w:rPr/>
        <w:t>万元、</w:t>
      </w:r>
    </w:p>
    <w:p>
      <w:pPr>
        <w:pStyle w:val="BodyText"/>
        <w:spacing w:before="6"/>
        <w:rPr>
          <w:sz w:val="15"/>
        </w:rPr>
      </w:pPr>
    </w:p>
    <w:p>
      <w:pPr>
        <w:pStyle w:val="BodyText"/>
        <w:ind w:left="260"/>
      </w:pPr>
      <w:r>
        <w:rPr/>
        <w:pict>
          <v:group style="position:absolute;margin-left:121.580002pt;margin-top:19.860008pt;width:132.75pt;height:120.55pt;mso-position-horizontal-relative:page;mso-position-vertical-relative:paragraph;z-index:-259878912" coordorigin="2432,397" coordsize="2655,2411">
            <v:shape style="position:absolute;left:5077;top:397;width:10;height:3" type="#_x0000_t75" stroked="false">
              <v:imagedata r:id="rId134" o:title=""/>
            </v:shape>
            <v:shape style="position:absolute;left:2431;top:399;width:2655;height:975" type="#_x0000_t75" stroked="false">
              <v:imagedata r:id="rId140" o:title=""/>
            </v:shape>
            <v:shape style="position:absolute;left:2431;top:1374;width:2655;height:478" type="#_x0000_t75" stroked="false">
              <v:imagedata r:id="rId141" o:title=""/>
            </v:shape>
            <v:shape style="position:absolute;left:2431;top:1851;width:2655;height:479" type="#_x0000_t75" stroked="false">
              <v:imagedata r:id="rId141" o:title=""/>
            </v:shape>
            <v:shape style="position:absolute;left:2431;top:2329;width:2655;height:478" type="#_x0000_t75" stroked="false">
              <v:imagedata r:id="rId141" o:title=""/>
            </v:shape>
            <w10:wrap type="none"/>
          </v:group>
        </w:pict>
      </w:r>
      <w:r>
        <w:rPr/>
        <w:pict>
          <v:group style="position:absolute;margin-left:318.190002pt;margin-top:19.860008pt;width:78.5pt;height:120.55pt;mso-position-horizontal-relative:page;mso-position-vertical-relative:paragraph;z-index:-259877888" coordorigin="6364,397" coordsize="1570,2411">
            <v:shape style="position:absolute;left:6363;top:397;width:10;height:3" type="#_x0000_t75" stroked="false">
              <v:imagedata r:id="rId134" o:title=""/>
            </v:shape>
            <v:shape style="position:absolute;left:6363;top:399;width:10;height:466" type="#_x0000_t75" stroked="false">
              <v:imagedata r:id="rId142" o:title=""/>
            </v:shape>
            <v:shape style="position:absolute;left:6363;top:865;width:10;height:32" type="#_x0000_t75" stroked="false">
              <v:imagedata r:id="rId143" o:title=""/>
            </v:shape>
            <v:shape style="position:absolute;left:7923;top:397;width:10;height:3" type="#_x0000_t75" stroked="false">
              <v:imagedata r:id="rId134" o:title=""/>
            </v:shape>
            <v:shape style="position:absolute;left:7923;top:399;width:10;height:466" type="#_x0000_t75" stroked="false">
              <v:imagedata r:id="rId142" o:title=""/>
            </v:shape>
            <v:shape style="position:absolute;left:7923;top:865;width:10;height:32" type="#_x0000_t75" stroked="false">
              <v:imagedata r:id="rId143" o:title=""/>
            </v:shape>
            <v:shape style="position:absolute;left:6363;top:896;width:1570;height:478" type="#_x0000_t75" stroked="false">
              <v:imagedata r:id="rId144" o:title=""/>
            </v:shape>
            <v:shape style="position:absolute;left:6363;top:1374;width:1570;height:478" type="#_x0000_t75" stroked="false">
              <v:imagedata r:id="rId145" o:title=""/>
            </v:shape>
            <v:shape style="position:absolute;left:6363;top:1851;width:1570;height:479" type="#_x0000_t75" stroked="false">
              <v:imagedata r:id="rId145" o:title=""/>
            </v:shape>
            <v:shape style="position:absolute;left:6363;top:2329;width:1570;height:478" type="#_x0000_t75" stroked="false">
              <v:imagedata r:id="rId145" o:title=""/>
            </v:shape>
            <w10:wrap type="none"/>
          </v:group>
        </w:pict>
      </w:r>
      <w:r>
        <w:rPr>
          <w:rFonts w:ascii="Times New Roman" w:eastAsia="Times New Roman"/>
        </w:rPr>
        <w:t>200</w:t>
      </w:r>
      <w:r>
        <w:rPr/>
        <w:t>万元和</w:t>
      </w:r>
      <w:r>
        <w:rPr>
          <w:rFonts w:ascii="Times New Roman" w:eastAsia="Times New Roman"/>
        </w:rPr>
        <w:t>500</w:t>
      </w:r>
      <w:r>
        <w:rPr/>
        <w:t>万元，则各笔申购负担的前端申购费用和获得的基金份额计算如下：</w:t>
      </w:r>
    </w:p>
    <w:p>
      <w:pPr>
        <w:pStyle w:val="BodyText"/>
        <w:spacing w:before="11" w:after="1"/>
        <w:rPr>
          <w:sz w:val="8"/>
        </w:rPr>
      </w:pPr>
    </w:p>
    <w:tbl>
      <w:tblPr>
        <w:tblW w:w="0" w:type="auto"/>
        <w:jc w:val="left"/>
        <w:tblInd w:w="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5"/>
        <w:gridCol w:w="1290"/>
        <w:gridCol w:w="1555"/>
        <w:gridCol w:w="1549"/>
      </w:tblGrid>
      <w:tr>
        <w:trPr>
          <w:trHeight w:val="466" w:hRule="atLeast"/>
        </w:trPr>
        <w:tc>
          <w:tcPr>
            <w:tcW w:w="2655" w:type="dxa"/>
            <w:tcBorders>
              <w:top w:val="single" w:sz="12" w:space="0" w:color="000000"/>
              <w:bottom w:val="single" w:sz="12" w:space="0" w:color="000000"/>
            </w:tcBorders>
          </w:tcPr>
          <w:p>
            <w:pPr>
              <w:pStyle w:val="TableParagraph"/>
              <w:spacing w:before="0"/>
              <w:jc w:val="left"/>
              <w:rPr>
                <w:sz w:val="20"/>
              </w:rPr>
            </w:pPr>
          </w:p>
        </w:tc>
        <w:tc>
          <w:tcPr>
            <w:tcW w:w="1290" w:type="dxa"/>
            <w:tcBorders>
              <w:top w:val="single" w:sz="12" w:space="0" w:color="000000"/>
              <w:bottom w:val="single" w:sz="12" w:space="0" w:color="000000"/>
            </w:tcBorders>
          </w:tcPr>
          <w:p>
            <w:pPr>
              <w:pStyle w:val="TableParagraph"/>
              <w:spacing w:before="99"/>
              <w:ind w:left="381"/>
              <w:jc w:val="left"/>
              <w:rPr>
                <w:sz w:val="21"/>
              </w:rPr>
            </w:pPr>
            <w:r>
              <w:rPr>
                <w:rFonts w:ascii="宋体" w:eastAsia="宋体" w:hint="eastAsia"/>
                <w:sz w:val="21"/>
              </w:rPr>
              <w:t>申购</w:t>
            </w:r>
            <w:r>
              <w:rPr>
                <w:sz w:val="21"/>
              </w:rPr>
              <w:t>1</w:t>
            </w:r>
          </w:p>
        </w:tc>
        <w:tc>
          <w:tcPr>
            <w:tcW w:w="1555" w:type="dxa"/>
            <w:tcBorders>
              <w:top w:val="single" w:sz="12" w:space="0" w:color="000000"/>
              <w:bottom w:val="single" w:sz="12" w:space="0" w:color="000000"/>
            </w:tcBorders>
          </w:tcPr>
          <w:p>
            <w:pPr>
              <w:pStyle w:val="TableParagraph"/>
              <w:spacing w:before="99"/>
              <w:ind w:left="515"/>
              <w:jc w:val="left"/>
              <w:rPr>
                <w:sz w:val="21"/>
              </w:rPr>
            </w:pPr>
            <w:r>
              <w:rPr>
                <w:rFonts w:ascii="宋体" w:eastAsia="宋体" w:hint="eastAsia"/>
                <w:sz w:val="21"/>
              </w:rPr>
              <w:t>申购</w:t>
            </w:r>
            <w:r>
              <w:rPr>
                <w:sz w:val="21"/>
              </w:rPr>
              <w:t>2</w:t>
            </w:r>
          </w:p>
        </w:tc>
        <w:tc>
          <w:tcPr>
            <w:tcW w:w="1549" w:type="dxa"/>
            <w:tcBorders>
              <w:top w:val="single" w:sz="12" w:space="0" w:color="000000"/>
              <w:bottom w:val="single" w:sz="12" w:space="0" w:color="000000"/>
            </w:tcBorders>
          </w:tcPr>
          <w:p>
            <w:pPr>
              <w:pStyle w:val="TableParagraph"/>
              <w:spacing w:before="99"/>
              <w:ind w:left="512"/>
              <w:jc w:val="left"/>
              <w:rPr>
                <w:sz w:val="21"/>
              </w:rPr>
            </w:pPr>
            <w:r>
              <w:rPr>
                <w:rFonts w:ascii="宋体" w:eastAsia="宋体" w:hint="eastAsia"/>
                <w:sz w:val="21"/>
              </w:rPr>
              <w:t>申购</w:t>
            </w:r>
            <w:r>
              <w:rPr>
                <w:sz w:val="21"/>
              </w:rPr>
              <w:t>3</w:t>
            </w:r>
          </w:p>
        </w:tc>
      </w:tr>
      <w:tr>
        <w:trPr>
          <w:trHeight w:val="469" w:hRule="atLeast"/>
        </w:trPr>
        <w:tc>
          <w:tcPr>
            <w:tcW w:w="2655" w:type="dxa"/>
            <w:tcBorders>
              <w:top w:val="single" w:sz="12" w:space="0" w:color="000000"/>
            </w:tcBorders>
          </w:tcPr>
          <w:p>
            <w:pPr>
              <w:pStyle w:val="TableParagraph"/>
              <w:spacing w:before="101"/>
              <w:ind w:left="101" w:right="92"/>
              <w:jc w:val="center"/>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90" w:type="dxa"/>
            <w:tcBorders>
              <w:top w:val="single" w:sz="12" w:space="0" w:color="000000"/>
              <w:bottom w:val="single" w:sz="4" w:space="0" w:color="000000"/>
            </w:tcBorders>
          </w:tcPr>
          <w:p>
            <w:pPr>
              <w:pStyle w:val="TableParagraph"/>
              <w:spacing w:before="113"/>
              <w:ind w:right="104"/>
              <w:rPr>
                <w:sz w:val="21"/>
              </w:rPr>
            </w:pPr>
            <w:r>
              <w:rPr>
                <w:sz w:val="21"/>
              </w:rPr>
              <w:t>1,000.00</w:t>
            </w:r>
          </w:p>
        </w:tc>
        <w:tc>
          <w:tcPr>
            <w:tcW w:w="1555" w:type="dxa"/>
            <w:tcBorders>
              <w:top w:val="single" w:sz="12" w:space="0" w:color="000000"/>
            </w:tcBorders>
          </w:tcPr>
          <w:p>
            <w:pPr>
              <w:pStyle w:val="TableParagraph"/>
              <w:spacing w:before="113"/>
              <w:ind w:right="99"/>
              <w:rPr>
                <w:sz w:val="21"/>
              </w:rPr>
            </w:pPr>
            <w:r>
              <w:rPr>
                <w:sz w:val="21"/>
              </w:rPr>
              <w:t>500,000.00</w:t>
            </w:r>
          </w:p>
        </w:tc>
        <w:tc>
          <w:tcPr>
            <w:tcW w:w="1549" w:type="dxa"/>
            <w:tcBorders>
              <w:top w:val="single" w:sz="12" w:space="0" w:color="000000"/>
              <w:bottom w:val="single" w:sz="4" w:space="0" w:color="000000"/>
            </w:tcBorders>
          </w:tcPr>
          <w:p>
            <w:pPr>
              <w:pStyle w:val="TableParagraph"/>
              <w:spacing w:before="113"/>
              <w:ind w:right="102"/>
              <w:rPr>
                <w:sz w:val="21"/>
              </w:rPr>
            </w:pPr>
            <w:r>
              <w:rPr>
                <w:sz w:val="21"/>
              </w:rPr>
              <w:t>2,000,000.00</w:t>
            </w:r>
          </w:p>
          <w:p>
            <w:pPr>
              <w:pStyle w:val="TableParagraph"/>
              <w:spacing w:before="0"/>
              <w:jc w:val="left"/>
              <w:rPr>
                <w:rFonts w:ascii="宋体"/>
                <w:sz w:val="9"/>
              </w:rPr>
            </w:pPr>
          </w:p>
          <w:p>
            <w:pPr>
              <w:pStyle w:val="TableParagraph"/>
              <w:spacing w:line="20" w:lineRule="exact" w:before="0"/>
              <w:ind w:left="1545" w:right="-44"/>
              <w:jc w:val="left"/>
              <w:rPr>
                <w:rFonts w:ascii="宋体"/>
                <w:sz w:val="2"/>
              </w:rPr>
            </w:pPr>
            <w:r>
              <w:rPr>
                <w:rFonts w:ascii="宋体"/>
                <w:sz w:val="2"/>
              </w:rPr>
              <w:drawing>
                <wp:inline distT="0" distB="0" distL="0" distR="0">
                  <wp:extent cx="3047" cy="6096"/>
                  <wp:effectExtent l="0" t="0" r="0" b="0"/>
                  <wp:docPr id="1" name="image14.png"/>
                  <wp:cNvGraphicFramePr>
                    <a:graphicFrameLocks noChangeAspect="1"/>
                  </wp:cNvGraphicFramePr>
                  <a:graphic>
                    <a:graphicData uri="http://schemas.openxmlformats.org/drawingml/2006/picture">
                      <pic:pic>
                        <pic:nvPicPr>
                          <pic:cNvPr id="2" name="image14.png"/>
                          <pic:cNvPicPr/>
                        </pic:nvPicPr>
                        <pic:blipFill>
                          <a:blip r:embed="rId134"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2655" w:type="dxa"/>
          </w:tcPr>
          <w:p>
            <w:pPr>
              <w:pStyle w:val="TableParagraph"/>
              <w:spacing w:before="79"/>
              <w:ind w:left="101" w:right="92"/>
              <w:jc w:val="center"/>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tc>
        <w:tc>
          <w:tcPr>
            <w:tcW w:w="1290" w:type="dxa"/>
            <w:tcBorders>
              <w:top w:val="single" w:sz="4" w:space="0" w:color="000000"/>
              <w:bottom w:val="single" w:sz="4" w:space="0" w:color="000000"/>
            </w:tcBorders>
          </w:tcPr>
          <w:p>
            <w:pPr>
              <w:pStyle w:val="TableParagraph"/>
              <w:spacing w:before="90"/>
              <w:ind w:right="104"/>
              <w:rPr>
                <w:sz w:val="21"/>
              </w:rPr>
            </w:pPr>
            <w:r>
              <w:rPr>
                <w:sz w:val="21"/>
              </w:rPr>
              <w:t>1.5%</w:t>
            </w:r>
          </w:p>
        </w:tc>
        <w:tc>
          <w:tcPr>
            <w:tcW w:w="1555" w:type="dxa"/>
          </w:tcPr>
          <w:p>
            <w:pPr>
              <w:pStyle w:val="TableParagraph"/>
              <w:spacing w:before="90"/>
              <w:ind w:right="98"/>
              <w:rPr>
                <w:sz w:val="21"/>
              </w:rPr>
            </w:pPr>
            <w:r>
              <w:rPr>
                <w:sz w:val="21"/>
              </w:rPr>
              <w:t>1.2%</w:t>
            </w:r>
          </w:p>
        </w:tc>
        <w:tc>
          <w:tcPr>
            <w:tcW w:w="1549" w:type="dxa"/>
            <w:tcBorders>
              <w:top w:val="single" w:sz="4" w:space="0" w:color="000000"/>
              <w:bottom w:val="single" w:sz="4" w:space="0" w:color="000000"/>
            </w:tcBorders>
          </w:tcPr>
          <w:p>
            <w:pPr>
              <w:pStyle w:val="TableParagraph"/>
              <w:spacing w:before="90"/>
              <w:ind w:right="101"/>
              <w:rPr>
                <w:sz w:val="21"/>
              </w:rPr>
            </w:pPr>
            <w:r>
              <w:rPr>
                <w:sz w:val="21"/>
              </w:rPr>
              <w:t>0.8%</w:t>
            </w:r>
          </w:p>
          <w:p>
            <w:pPr>
              <w:pStyle w:val="TableParagraph"/>
              <w:spacing w:before="0" w:after="1"/>
              <w:jc w:val="left"/>
              <w:rPr>
                <w:rFonts w:ascii="宋体"/>
                <w:sz w:val="9"/>
              </w:rPr>
            </w:pPr>
          </w:p>
          <w:p>
            <w:pPr>
              <w:pStyle w:val="TableParagraph"/>
              <w:spacing w:line="20" w:lineRule="exact" w:before="0"/>
              <w:ind w:left="1545" w:right="-44"/>
              <w:jc w:val="left"/>
              <w:rPr>
                <w:rFonts w:ascii="宋体"/>
                <w:sz w:val="2"/>
              </w:rPr>
            </w:pPr>
            <w:r>
              <w:rPr>
                <w:rFonts w:ascii="宋体"/>
                <w:sz w:val="2"/>
              </w:rPr>
              <w:drawing>
                <wp:inline distT="0" distB="0" distL="0" distR="0">
                  <wp:extent cx="3047" cy="6096"/>
                  <wp:effectExtent l="0" t="0" r="0" b="0"/>
                  <wp:docPr id="3" name="image14.png"/>
                  <wp:cNvGraphicFramePr>
                    <a:graphicFrameLocks noChangeAspect="1"/>
                  </wp:cNvGraphicFramePr>
                  <a:graphic>
                    <a:graphicData uri="http://schemas.openxmlformats.org/drawingml/2006/picture">
                      <pic:pic>
                        <pic:nvPicPr>
                          <pic:cNvPr id="4" name="image14.png"/>
                          <pic:cNvPicPr/>
                        </pic:nvPicPr>
                        <pic:blipFill>
                          <a:blip r:embed="rId134"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8" w:hRule="atLeast"/>
        </w:trPr>
        <w:tc>
          <w:tcPr>
            <w:tcW w:w="2655" w:type="dxa"/>
          </w:tcPr>
          <w:p>
            <w:pPr>
              <w:pStyle w:val="TableParagraph"/>
              <w:spacing w:before="79"/>
              <w:ind w:left="101" w:right="151"/>
              <w:jc w:val="center"/>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290" w:type="dxa"/>
            <w:tcBorders>
              <w:top w:val="single" w:sz="4" w:space="0" w:color="000000"/>
              <w:bottom w:val="single" w:sz="4" w:space="0" w:color="000000"/>
            </w:tcBorders>
          </w:tcPr>
          <w:p>
            <w:pPr>
              <w:pStyle w:val="TableParagraph"/>
              <w:spacing w:before="91"/>
              <w:ind w:right="104"/>
              <w:rPr>
                <w:sz w:val="21"/>
              </w:rPr>
            </w:pPr>
            <w:r>
              <w:rPr>
                <w:sz w:val="21"/>
              </w:rPr>
              <w:t>985.22</w:t>
            </w:r>
          </w:p>
        </w:tc>
        <w:tc>
          <w:tcPr>
            <w:tcW w:w="1555" w:type="dxa"/>
          </w:tcPr>
          <w:p>
            <w:pPr>
              <w:pStyle w:val="TableParagraph"/>
              <w:spacing w:before="91"/>
              <w:ind w:right="99"/>
              <w:rPr>
                <w:sz w:val="21"/>
              </w:rPr>
            </w:pPr>
            <w:r>
              <w:rPr>
                <w:sz w:val="21"/>
              </w:rPr>
              <w:t>494,071.15</w:t>
            </w:r>
          </w:p>
        </w:tc>
        <w:tc>
          <w:tcPr>
            <w:tcW w:w="1549" w:type="dxa"/>
            <w:tcBorders>
              <w:top w:val="single" w:sz="4" w:space="0" w:color="000000"/>
              <w:bottom w:val="single" w:sz="4" w:space="0" w:color="000000"/>
            </w:tcBorders>
          </w:tcPr>
          <w:p>
            <w:pPr>
              <w:pStyle w:val="TableParagraph"/>
              <w:spacing w:before="91"/>
              <w:ind w:right="102"/>
              <w:rPr>
                <w:sz w:val="21"/>
              </w:rPr>
            </w:pPr>
            <w:r>
              <w:rPr>
                <w:sz w:val="21"/>
              </w:rPr>
              <w:t>1,984,126.98</w:t>
            </w:r>
          </w:p>
          <w:p>
            <w:pPr>
              <w:pStyle w:val="TableParagraph"/>
              <w:spacing w:before="0"/>
              <w:jc w:val="left"/>
              <w:rPr>
                <w:rFonts w:ascii="宋体"/>
                <w:sz w:val="9"/>
              </w:rPr>
            </w:pPr>
          </w:p>
          <w:p>
            <w:pPr>
              <w:pStyle w:val="TableParagraph"/>
              <w:spacing w:line="20" w:lineRule="exact" w:before="0"/>
              <w:ind w:left="1545" w:right="-44"/>
              <w:jc w:val="left"/>
              <w:rPr>
                <w:rFonts w:ascii="宋体"/>
                <w:sz w:val="2"/>
              </w:rPr>
            </w:pPr>
            <w:r>
              <w:rPr>
                <w:rFonts w:ascii="宋体"/>
                <w:sz w:val="2"/>
              </w:rPr>
              <w:drawing>
                <wp:inline distT="0" distB="0" distL="0" distR="0">
                  <wp:extent cx="3000" cy="6000"/>
                  <wp:effectExtent l="0" t="0" r="0" b="0"/>
                  <wp:docPr id="5" name="image14.png"/>
                  <wp:cNvGraphicFramePr>
                    <a:graphicFrameLocks noChangeAspect="1"/>
                  </wp:cNvGraphicFramePr>
                  <a:graphic>
                    <a:graphicData uri="http://schemas.openxmlformats.org/drawingml/2006/picture">
                      <pic:pic>
                        <pic:nvPicPr>
                          <pic:cNvPr id="6" name="image14.png"/>
                          <pic:cNvPicPr/>
                        </pic:nvPicPr>
                        <pic:blipFill>
                          <a:blip r:embed="rId134"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2655" w:type="dxa"/>
          </w:tcPr>
          <w:p>
            <w:pPr>
              <w:pStyle w:val="TableParagraph"/>
              <w:spacing w:before="79"/>
              <w:ind w:left="101" w:right="89"/>
              <w:jc w:val="center"/>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0" w:type="dxa"/>
            <w:tcBorders>
              <w:top w:val="single" w:sz="4" w:space="0" w:color="000000"/>
              <w:bottom w:val="single" w:sz="4" w:space="0" w:color="000000"/>
            </w:tcBorders>
          </w:tcPr>
          <w:p>
            <w:pPr>
              <w:pStyle w:val="TableParagraph"/>
              <w:spacing w:before="90"/>
              <w:ind w:right="104"/>
              <w:rPr>
                <w:sz w:val="21"/>
              </w:rPr>
            </w:pPr>
            <w:r>
              <w:rPr>
                <w:sz w:val="21"/>
              </w:rPr>
              <w:t>14.78</w:t>
            </w:r>
          </w:p>
        </w:tc>
        <w:tc>
          <w:tcPr>
            <w:tcW w:w="1555" w:type="dxa"/>
          </w:tcPr>
          <w:p>
            <w:pPr>
              <w:pStyle w:val="TableParagraph"/>
              <w:spacing w:before="90"/>
              <w:ind w:right="99"/>
              <w:rPr>
                <w:sz w:val="21"/>
              </w:rPr>
            </w:pPr>
            <w:r>
              <w:rPr>
                <w:sz w:val="21"/>
              </w:rPr>
              <w:t>5,928.85</w:t>
            </w:r>
          </w:p>
        </w:tc>
        <w:tc>
          <w:tcPr>
            <w:tcW w:w="1549" w:type="dxa"/>
            <w:tcBorders>
              <w:top w:val="single" w:sz="4" w:space="0" w:color="000000"/>
              <w:bottom w:val="single" w:sz="4" w:space="0" w:color="000000"/>
            </w:tcBorders>
          </w:tcPr>
          <w:p>
            <w:pPr>
              <w:pStyle w:val="TableParagraph"/>
              <w:spacing w:before="90"/>
              <w:ind w:right="102"/>
              <w:rPr>
                <w:sz w:val="21"/>
              </w:rPr>
            </w:pPr>
            <w:r>
              <w:rPr>
                <w:sz w:val="21"/>
              </w:rPr>
              <w:t>15,873.02</w:t>
            </w:r>
          </w:p>
          <w:p>
            <w:pPr>
              <w:pStyle w:val="TableParagraph"/>
              <w:spacing w:before="0" w:after="1"/>
              <w:jc w:val="left"/>
              <w:rPr>
                <w:rFonts w:ascii="宋体"/>
                <w:sz w:val="9"/>
              </w:rPr>
            </w:pPr>
          </w:p>
          <w:p>
            <w:pPr>
              <w:pStyle w:val="TableParagraph"/>
              <w:spacing w:line="20" w:lineRule="exact" w:before="0"/>
              <w:ind w:left="1545" w:right="-44"/>
              <w:jc w:val="left"/>
              <w:rPr>
                <w:rFonts w:ascii="宋体"/>
                <w:sz w:val="2"/>
              </w:rPr>
            </w:pPr>
            <w:r>
              <w:rPr>
                <w:rFonts w:ascii="宋体"/>
                <w:sz w:val="2"/>
              </w:rPr>
              <w:drawing>
                <wp:inline distT="0" distB="0" distL="0" distR="0">
                  <wp:extent cx="3000" cy="6000"/>
                  <wp:effectExtent l="0" t="0" r="0" b="0"/>
                  <wp:docPr id="7" name="image14.png"/>
                  <wp:cNvGraphicFramePr>
                    <a:graphicFrameLocks noChangeAspect="1"/>
                  </wp:cNvGraphicFramePr>
                  <a:graphic>
                    <a:graphicData uri="http://schemas.openxmlformats.org/drawingml/2006/picture">
                      <pic:pic>
                        <pic:nvPicPr>
                          <pic:cNvPr id="8" name="image14.png"/>
                          <pic:cNvPicPr/>
                        </pic:nvPicPr>
                        <pic:blipFill>
                          <a:blip r:embed="rId134"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50" w:hRule="atLeast"/>
        </w:trPr>
        <w:tc>
          <w:tcPr>
            <w:tcW w:w="2655" w:type="dxa"/>
            <w:tcBorders>
              <w:right w:val="single" w:sz="4" w:space="0" w:color="000000"/>
            </w:tcBorders>
          </w:tcPr>
          <w:p>
            <w:pPr>
              <w:pStyle w:val="TableParagraph"/>
              <w:spacing w:before="81"/>
              <w:ind w:left="425" w:right="411"/>
              <w:jc w:val="center"/>
              <w:rPr>
                <w:rFonts w:ascii="宋体" w:eastAsia="宋体" w:hint="eastAsia"/>
                <w:sz w:val="21"/>
              </w:rPr>
            </w:pPr>
            <w:r>
              <w:rPr>
                <w:rFonts w:ascii="宋体" w:eastAsia="宋体" w:hint="eastAsia"/>
                <w:sz w:val="21"/>
              </w:rPr>
              <w:t>基金份额净值（</w:t>
            </w:r>
            <w:r>
              <w:rPr>
                <w:sz w:val="21"/>
              </w:rPr>
              <w:t>e</w:t>
            </w:r>
            <w:r>
              <w:rPr>
                <w:rFonts w:ascii="宋体" w:eastAsia="宋体" w:hint="eastAsia"/>
                <w:sz w:val="21"/>
              </w:rPr>
              <w:t>）</w:t>
            </w:r>
          </w:p>
          <w:p>
            <w:pPr>
              <w:pStyle w:val="TableParagraph"/>
              <w:spacing w:before="10"/>
              <w:jc w:val="left"/>
              <w:rPr>
                <w:rFonts w:ascii="宋体"/>
                <w:sz w:val="7"/>
              </w:rPr>
            </w:pPr>
          </w:p>
          <w:p>
            <w:pPr>
              <w:pStyle w:val="TableParagraph"/>
              <w:spacing w:line="20" w:lineRule="exact" w:before="0"/>
              <w:ind w:left="7"/>
              <w:jc w:val="left"/>
              <w:rPr>
                <w:rFonts w:ascii="宋体"/>
                <w:sz w:val="2"/>
              </w:rPr>
            </w:pPr>
            <w:r>
              <w:rPr>
                <w:rFonts w:ascii="宋体"/>
                <w:sz w:val="2"/>
              </w:rPr>
              <w:drawing>
                <wp:inline distT="0" distB="0" distL="0" distR="0">
                  <wp:extent cx="1650650" cy="6000"/>
                  <wp:effectExtent l="0" t="0" r="0" b="0"/>
                  <wp:docPr id="9" name="image26.png"/>
                  <wp:cNvGraphicFramePr>
                    <a:graphicFrameLocks noChangeAspect="1"/>
                  </wp:cNvGraphicFramePr>
                  <a:graphic>
                    <a:graphicData uri="http://schemas.openxmlformats.org/drawingml/2006/picture">
                      <pic:pic>
                        <pic:nvPicPr>
                          <pic:cNvPr id="10" name="image26.png"/>
                          <pic:cNvPicPr/>
                        </pic:nvPicPr>
                        <pic:blipFill>
                          <a:blip r:embed="rId146" cstate="print"/>
                          <a:stretch>
                            <a:fillRect/>
                          </a:stretch>
                        </pic:blipFill>
                        <pic:spPr>
                          <a:xfrm>
                            <a:off x="0" y="0"/>
                            <a:ext cx="1650650" cy="6000"/>
                          </a:xfrm>
                          <a:prstGeom prst="rect">
                            <a:avLst/>
                          </a:prstGeom>
                        </pic:spPr>
                      </pic:pic>
                    </a:graphicData>
                  </a:graphic>
                </wp:inline>
              </w:drawing>
            </w:r>
            <w:r>
              <w:rPr>
                <w:rFonts w:ascii="宋体"/>
                <w:sz w:val="2"/>
              </w:rPr>
            </w:r>
          </w:p>
        </w:tc>
        <w:tc>
          <w:tcPr>
            <w:tcW w:w="1290" w:type="dxa"/>
            <w:tcBorders>
              <w:top w:val="single" w:sz="4" w:space="0" w:color="000000"/>
              <w:left w:val="single" w:sz="4" w:space="0" w:color="000000"/>
              <w:bottom w:val="single" w:sz="4" w:space="0" w:color="000000"/>
              <w:right w:val="single" w:sz="4" w:space="0" w:color="000000"/>
            </w:tcBorders>
          </w:tcPr>
          <w:p>
            <w:pPr>
              <w:pStyle w:val="TableParagraph"/>
              <w:spacing w:before="93"/>
              <w:ind w:right="99"/>
              <w:rPr>
                <w:sz w:val="21"/>
              </w:rPr>
            </w:pPr>
            <w:r>
              <w:rPr>
                <w:sz w:val="21"/>
              </w:rPr>
              <w:t>1.2300</w:t>
            </w:r>
          </w:p>
        </w:tc>
        <w:tc>
          <w:tcPr>
            <w:tcW w:w="1555" w:type="dxa"/>
            <w:tcBorders>
              <w:left w:val="single" w:sz="4" w:space="0" w:color="000000"/>
              <w:right w:val="single" w:sz="4" w:space="0" w:color="000000"/>
            </w:tcBorders>
          </w:tcPr>
          <w:p>
            <w:pPr>
              <w:pStyle w:val="TableParagraph"/>
              <w:spacing w:before="93"/>
              <w:ind w:right="94"/>
              <w:rPr>
                <w:sz w:val="21"/>
              </w:rPr>
            </w:pPr>
            <w:r>
              <w:rPr>
                <w:sz w:val="21"/>
              </w:rPr>
              <w:t>1.2300</w:t>
            </w:r>
          </w:p>
          <w:p>
            <w:pPr>
              <w:pStyle w:val="TableParagraph"/>
              <w:spacing w:before="0"/>
              <w:jc w:val="left"/>
              <w:rPr>
                <w:rFonts w:ascii="宋体"/>
                <w:sz w:val="9"/>
              </w:rPr>
            </w:pPr>
          </w:p>
          <w:p>
            <w:pPr>
              <w:pStyle w:val="TableParagraph"/>
              <w:spacing w:line="20" w:lineRule="exact" w:before="0"/>
              <w:ind w:left="-1" w:right="-15"/>
              <w:jc w:val="left"/>
              <w:rPr>
                <w:rFonts w:ascii="宋体"/>
                <w:sz w:val="2"/>
              </w:rPr>
            </w:pPr>
            <w:r>
              <w:rPr>
                <w:rFonts w:ascii="宋体"/>
                <w:sz w:val="2"/>
              </w:rPr>
              <w:drawing>
                <wp:inline distT="0" distB="0" distL="0" distR="0">
                  <wp:extent cx="960160" cy="6000"/>
                  <wp:effectExtent l="0" t="0" r="0" b="0"/>
                  <wp:docPr id="11" name="image27.png"/>
                  <wp:cNvGraphicFramePr>
                    <a:graphicFrameLocks noChangeAspect="1"/>
                  </wp:cNvGraphicFramePr>
                  <a:graphic>
                    <a:graphicData uri="http://schemas.openxmlformats.org/drawingml/2006/picture">
                      <pic:pic>
                        <pic:nvPicPr>
                          <pic:cNvPr id="12" name="image27.png"/>
                          <pic:cNvPicPr/>
                        </pic:nvPicPr>
                        <pic:blipFill>
                          <a:blip r:embed="rId147" cstate="print"/>
                          <a:stretch>
                            <a:fillRect/>
                          </a:stretch>
                        </pic:blipFill>
                        <pic:spPr>
                          <a:xfrm>
                            <a:off x="0" y="0"/>
                            <a:ext cx="960160" cy="6000"/>
                          </a:xfrm>
                          <a:prstGeom prst="rect">
                            <a:avLst/>
                          </a:prstGeom>
                        </pic:spPr>
                      </pic:pic>
                    </a:graphicData>
                  </a:graphic>
                </wp:inline>
              </w:drawing>
            </w:r>
            <w:r>
              <w:rPr>
                <w:rFonts w:ascii="宋体"/>
                <w:sz w:val="2"/>
              </w:rPr>
            </w:r>
          </w:p>
        </w:tc>
        <w:tc>
          <w:tcPr>
            <w:tcW w:w="1549" w:type="dxa"/>
            <w:tcBorders>
              <w:top w:val="single" w:sz="4" w:space="0" w:color="000000"/>
              <w:left w:val="single" w:sz="4" w:space="0" w:color="000000"/>
              <w:bottom w:val="single" w:sz="4" w:space="0" w:color="000000"/>
            </w:tcBorders>
          </w:tcPr>
          <w:p>
            <w:pPr>
              <w:pStyle w:val="TableParagraph"/>
              <w:spacing w:before="93"/>
              <w:ind w:right="102"/>
              <w:rPr>
                <w:sz w:val="21"/>
              </w:rPr>
            </w:pPr>
            <w:r>
              <w:rPr>
                <w:sz w:val="21"/>
              </w:rPr>
              <w:t>1.2300</w:t>
            </w:r>
          </w:p>
          <w:p>
            <w:pPr>
              <w:pStyle w:val="TableParagraph"/>
              <w:spacing w:before="0"/>
              <w:jc w:val="left"/>
              <w:rPr>
                <w:rFonts w:ascii="宋体"/>
                <w:sz w:val="9"/>
              </w:rPr>
            </w:pPr>
          </w:p>
          <w:p>
            <w:pPr>
              <w:pStyle w:val="TableParagraph"/>
              <w:spacing w:line="20" w:lineRule="exact" w:before="0"/>
              <w:ind w:left="1540" w:right="-44"/>
              <w:jc w:val="left"/>
              <w:rPr>
                <w:rFonts w:ascii="宋体"/>
                <w:sz w:val="2"/>
              </w:rPr>
            </w:pPr>
            <w:r>
              <w:rPr>
                <w:rFonts w:ascii="宋体"/>
                <w:sz w:val="2"/>
              </w:rPr>
              <w:drawing>
                <wp:inline distT="0" distB="0" distL="0" distR="0">
                  <wp:extent cx="3000" cy="6000"/>
                  <wp:effectExtent l="0" t="0" r="0" b="0"/>
                  <wp:docPr id="13" name="image14.png"/>
                  <wp:cNvGraphicFramePr>
                    <a:graphicFrameLocks noChangeAspect="1"/>
                  </wp:cNvGraphicFramePr>
                  <a:graphic>
                    <a:graphicData uri="http://schemas.openxmlformats.org/drawingml/2006/picture">
                      <pic:pic>
                        <pic:nvPicPr>
                          <pic:cNvPr id="14" name="image14.png"/>
                          <pic:cNvPicPr/>
                        </pic:nvPicPr>
                        <pic:blipFill>
                          <a:blip r:embed="rId134" cstate="print"/>
                          <a:stretch>
                            <a:fillRect/>
                          </a:stretch>
                        </pic:blipFill>
                        <pic:spPr>
                          <a:xfrm>
                            <a:off x="0" y="0"/>
                            <a:ext cx="3000" cy="6000"/>
                          </a:xfrm>
                          <a:prstGeom prst="rect">
                            <a:avLst/>
                          </a:prstGeom>
                        </pic:spPr>
                      </pic:pic>
                    </a:graphicData>
                  </a:graphic>
                </wp:inline>
              </w:drawing>
            </w:r>
            <w:r>
              <w:rPr>
                <w:rFonts w:ascii="宋体"/>
                <w:sz w:val="2"/>
              </w:rPr>
            </w:r>
          </w:p>
        </w:tc>
      </w:tr>
      <w:tr>
        <w:trPr>
          <w:trHeight w:val="447" w:hRule="atLeast"/>
        </w:trPr>
        <w:tc>
          <w:tcPr>
            <w:tcW w:w="2655" w:type="dxa"/>
            <w:tcBorders>
              <w:bottom w:val="single" w:sz="12" w:space="0" w:color="000000"/>
              <w:right w:val="single" w:sz="4" w:space="0" w:color="000000"/>
            </w:tcBorders>
          </w:tcPr>
          <w:p>
            <w:pPr>
              <w:pStyle w:val="TableParagraph"/>
              <w:spacing w:before="79"/>
              <w:ind w:left="425" w:right="408"/>
              <w:jc w:val="center"/>
              <w:rPr>
                <w:rFonts w:ascii="宋体" w:eastAsia="宋体" w:hint="eastAsia"/>
                <w:sz w:val="21"/>
              </w:rPr>
            </w:pPr>
            <w:r>
              <w:rPr>
                <w:rFonts w:ascii="宋体" w:eastAsia="宋体" w:hint="eastAsia"/>
                <w:sz w:val="21"/>
              </w:rPr>
              <w:t>申购份额（</w:t>
            </w:r>
            <w:r>
              <w:rPr>
                <w:sz w:val="21"/>
              </w:rPr>
              <w:t>f=c/e</w:t>
            </w:r>
            <w:r>
              <w:rPr>
                <w:rFonts w:ascii="宋体" w:eastAsia="宋体" w:hint="eastAsia"/>
                <w:sz w:val="21"/>
              </w:rPr>
              <w:t>）</w:t>
            </w:r>
          </w:p>
          <w:p>
            <w:pPr>
              <w:pStyle w:val="TableParagraph"/>
              <w:spacing w:before="12"/>
              <w:jc w:val="left"/>
              <w:rPr>
                <w:rFonts w:ascii="宋体"/>
                <w:sz w:val="4"/>
              </w:rPr>
            </w:pPr>
          </w:p>
          <w:p>
            <w:pPr>
              <w:pStyle w:val="TableParagraph"/>
              <w:spacing w:line="36" w:lineRule="exact" w:before="0"/>
              <w:ind w:left="2652" w:right="-58"/>
              <w:jc w:val="left"/>
              <w:rPr>
                <w:rFonts w:ascii="宋体"/>
                <w:sz w:val="3"/>
              </w:rPr>
            </w:pPr>
            <w:r>
              <w:rPr>
                <w:rFonts w:ascii="宋体"/>
                <w:position w:val="0"/>
                <w:sz w:val="3"/>
              </w:rPr>
              <w:drawing>
                <wp:inline distT="0" distB="0" distL="0" distR="0">
                  <wp:extent cx="6095" cy="22860"/>
                  <wp:effectExtent l="0" t="0" r="0" b="0"/>
                  <wp:docPr id="15" name="image28.png"/>
                  <wp:cNvGraphicFramePr>
                    <a:graphicFrameLocks noChangeAspect="1"/>
                  </wp:cNvGraphicFramePr>
                  <a:graphic>
                    <a:graphicData uri="http://schemas.openxmlformats.org/drawingml/2006/picture">
                      <pic:pic>
                        <pic:nvPicPr>
                          <pic:cNvPr id="16" name="image28.png"/>
                          <pic:cNvPicPr/>
                        </pic:nvPicPr>
                        <pic:blipFill>
                          <a:blip r:embed="rId148" cstate="print"/>
                          <a:stretch>
                            <a:fillRect/>
                          </a:stretch>
                        </pic:blipFill>
                        <pic:spPr>
                          <a:xfrm>
                            <a:off x="0" y="0"/>
                            <a:ext cx="6095" cy="22860"/>
                          </a:xfrm>
                          <a:prstGeom prst="rect">
                            <a:avLst/>
                          </a:prstGeom>
                        </pic:spPr>
                      </pic:pic>
                    </a:graphicData>
                  </a:graphic>
                </wp:inline>
              </w:drawing>
            </w:r>
            <w:r>
              <w:rPr>
                <w:rFonts w:ascii="宋体"/>
                <w:position w:val="0"/>
                <w:sz w:val="3"/>
              </w:rPr>
            </w:r>
          </w:p>
        </w:tc>
        <w:tc>
          <w:tcPr>
            <w:tcW w:w="1290" w:type="dxa"/>
            <w:tcBorders>
              <w:top w:val="single" w:sz="4" w:space="0" w:color="000000"/>
              <w:left w:val="single" w:sz="4" w:space="0" w:color="000000"/>
              <w:bottom w:val="single" w:sz="12" w:space="0" w:color="000000"/>
              <w:right w:val="single" w:sz="4" w:space="0" w:color="000000"/>
            </w:tcBorders>
          </w:tcPr>
          <w:p>
            <w:pPr>
              <w:pStyle w:val="TableParagraph"/>
              <w:spacing w:before="90"/>
              <w:ind w:right="99"/>
              <w:rPr>
                <w:sz w:val="21"/>
              </w:rPr>
            </w:pPr>
            <w:r>
              <w:rPr>
                <w:sz w:val="21"/>
              </w:rPr>
              <w:t>800.99</w:t>
            </w:r>
          </w:p>
          <w:p>
            <w:pPr>
              <w:pStyle w:val="TableParagraph"/>
              <w:spacing w:before="3"/>
              <w:jc w:val="left"/>
              <w:rPr>
                <w:rFonts w:ascii="宋体"/>
                <w:sz w:val="6"/>
              </w:rPr>
            </w:pPr>
          </w:p>
          <w:p>
            <w:pPr>
              <w:pStyle w:val="TableParagraph"/>
              <w:spacing w:line="36" w:lineRule="exact" w:before="0"/>
              <w:ind w:left="1279" w:right="-58"/>
              <w:jc w:val="left"/>
              <w:rPr>
                <w:rFonts w:ascii="宋体"/>
                <w:sz w:val="3"/>
              </w:rPr>
            </w:pPr>
            <w:r>
              <w:rPr>
                <w:rFonts w:ascii="宋体"/>
                <w:position w:val="0"/>
                <w:sz w:val="3"/>
              </w:rPr>
              <w:drawing>
                <wp:inline distT="0" distB="0" distL="0" distR="0">
                  <wp:extent cx="6096" cy="22860"/>
                  <wp:effectExtent l="0" t="0" r="0" b="0"/>
                  <wp:docPr id="17" name="image28.png"/>
                  <wp:cNvGraphicFramePr>
                    <a:graphicFrameLocks noChangeAspect="1"/>
                  </wp:cNvGraphicFramePr>
                  <a:graphic>
                    <a:graphicData uri="http://schemas.openxmlformats.org/drawingml/2006/picture">
                      <pic:pic>
                        <pic:nvPicPr>
                          <pic:cNvPr id="18" name="image28.png"/>
                          <pic:cNvPicPr/>
                        </pic:nvPicPr>
                        <pic:blipFill>
                          <a:blip r:embed="rId148" cstate="print"/>
                          <a:stretch>
                            <a:fillRect/>
                          </a:stretch>
                        </pic:blipFill>
                        <pic:spPr>
                          <a:xfrm>
                            <a:off x="0" y="0"/>
                            <a:ext cx="6096" cy="22860"/>
                          </a:xfrm>
                          <a:prstGeom prst="rect">
                            <a:avLst/>
                          </a:prstGeom>
                        </pic:spPr>
                      </pic:pic>
                    </a:graphicData>
                  </a:graphic>
                </wp:inline>
              </w:drawing>
            </w:r>
            <w:r>
              <w:rPr>
                <w:rFonts w:ascii="宋体"/>
                <w:position w:val="0"/>
                <w:sz w:val="3"/>
              </w:rPr>
            </w:r>
          </w:p>
        </w:tc>
        <w:tc>
          <w:tcPr>
            <w:tcW w:w="1555" w:type="dxa"/>
            <w:tcBorders>
              <w:left w:val="single" w:sz="4" w:space="0" w:color="000000"/>
              <w:bottom w:val="single" w:sz="12" w:space="0" w:color="000000"/>
              <w:right w:val="single" w:sz="4" w:space="0" w:color="000000"/>
            </w:tcBorders>
          </w:tcPr>
          <w:p>
            <w:pPr>
              <w:pStyle w:val="TableParagraph"/>
              <w:spacing w:before="90"/>
              <w:ind w:right="96"/>
              <w:rPr>
                <w:sz w:val="21"/>
              </w:rPr>
            </w:pPr>
            <w:r>
              <w:rPr>
                <w:sz w:val="21"/>
              </w:rPr>
              <w:t>401,683.86</w:t>
            </w:r>
          </w:p>
          <w:p>
            <w:pPr>
              <w:pStyle w:val="TableParagraph"/>
              <w:spacing w:before="3"/>
              <w:jc w:val="left"/>
              <w:rPr>
                <w:rFonts w:ascii="宋体"/>
                <w:sz w:val="6"/>
              </w:rPr>
            </w:pPr>
          </w:p>
          <w:p>
            <w:pPr>
              <w:pStyle w:val="TableParagraph"/>
              <w:spacing w:line="36" w:lineRule="exact" w:before="0"/>
              <w:ind w:left="1549" w:right="-58"/>
              <w:jc w:val="left"/>
              <w:rPr>
                <w:rFonts w:ascii="宋体"/>
                <w:sz w:val="3"/>
              </w:rPr>
            </w:pPr>
            <w:r>
              <w:rPr>
                <w:rFonts w:ascii="宋体"/>
                <w:position w:val="0"/>
                <w:sz w:val="3"/>
              </w:rPr>
              <w:drawing>
                <wp:inline distT="0" distB="0" distL="0" distR="0">
                  <wp:extent cx="6096" cy="22860"/>
                  <wp:effectExtent l="0" t="0" r="0" b="0"/>
                  <wp:docPr id="19" name="image28.png"/>
                  <wp:cNvGraphicFramePr>
                    <a:graphicFrameLocks noChangeAspect="1"/>
                  </wp:cNvGraphicFramePr>
                  <a:graphic>
                    <a:graphicData uri="http://schemas.openxmlformats.org/drawingml/2006/picture">
                      <pic:pic>
                        <pic:nvPicPr>
                          <pic:cNvPr id="20" name="image28.png"/>
                          <pic:cNvPicPr/>
                        </pic:nvPicPr>
                        <pic:blipFill>
                          <a:blip r:embed="rId148" cstate="print"/>
                          <a:stretch>
                            <a:fillRect/>
                          </a:stretch>
                        </pic:blipFill>
                        <pic:spPr>
                          <a:xfrm>
                            <a:off x="0" y="0"/>
                            <a:ext cx="6096" cy="22860"/>
                          </a:xfrm>
                          <a:prstGeom prst="rect">
                            <a:avLst/>
                          </a:prstGeom>
                        </pic:spPr>
                      </pic:pic>
                    </a:graphicData>
                  </a:graphic>
                </wp:inline>
              </w:drawing>
            </w:r>
            <w:r>
              <w:rPr>
                <w:rFonts w:ascii="宋体"/>
                <w:position w:val="0"/>
                <w:sz w:val="3"/>
              </w:rPr>
            </w:r>
          </w:p>
        </w:tc>
        <w:tc>
          <w:tcPr>
            <w:tcW w:w="1549" w:type="dxa"/>
            <w:tcBorders>
              <w:top w:val="single" w:sz="4" w:space="0" w:color="000000"/>
              <w:left w:val="single" w:sz="4" w:space="0" w:color="000000"/>
              <w:bottom w:val="single" w:sz="12" w:space="0" w:color="000000"/>
            </w:tcBorders>
          </w:tcPr>
          <w:p>
            <w:pPr>
              <w:pStyle w:val="TableParagraph"/>
              <w:spacing w:before="90"/>
              <w:ind w:right="102"/>
              <w:rPr>
                <w:sz w:val="21"/>
              </w:rPr>
            </w:pPr>
            <w:r>
              <w:rPr>
                <w:sz w:val="21"/>
              </w:rPr>
              <w:t>1,613,111.37</w:t>
            </w:r>
          </w:p>
        </w:tc>
      </w:tr>
    </w:tbl>
    <w:p>
      <w:pPr>
        <w:pStyle w:val="BodyText"/>
        <w:spacing w:line="417" w:lineRule="auto" w:before="85"/>
        <w:ind w:left="260" w:right="493" w:firstLine="419"/>
      </w:pPr>
      <w:r>
        <w:rPr/>
        <w:pict>
          <v:group style="position:absolute;margin-left:203.210007pt;margin-top:46.070004pt;width:188.35pt;height:51.4pt;mso-position-horizontal-relative:page;mso-position-vertical-relative:paragraph;z-index:-259873792" coordorigin="4064,921" coordsize="3767,1028">
            <v:line style="position:absolute" from="4079,936" to="6147,936" stroked="true" strokeweight="1.44pt" strokecolor="#000000">
              <v:stroke dashstyle="solid"/>
            </v:line>
            <v:shape style="position:absolute;left:6147;top:950;width:10;height:3" type="#_x0000_t75" stroked="false">
              <v:imagedata r:id="rId134" o:title=""/>
            </v:shape>
            <v:rect style="position:absolute;left:6147;top:921;width:29;height:29" filled="true" fillcolor="#000000" stroked="false">
              <v:fill type="solid"/>
            </v:rect>
            <v:line style="position:absolute" from="6176,936" to="7830,936" stroked="true" strokeweight="1.44pt" strokecolor="#000000">
              <v:stroke dashstyle="solid"/>
            </v:line>
            <v:shape style="position:absolute;left:6147;top:952;width:10;height:469" type="#_x0000_t75" stroked="false">
              <v:imagedata r:id="rId149" o:title=""/>
            </v:shape>
            <v:line style="position:absolute" from="4079,1435" to="6147,1435" stroked="true" strokeweight="1.44pt" strokecolor="#000000">
              <v:stroke dashstyle="solid"/>
            </v:line>
            <v:line style="position:absolute" from="6157,1435" to="7830,1435" stroked="true" strokeweight="1.44pt" strokecolor="#000000">
              <v:stroke dashstyle="solid"/>
            </v:line>
            <v:line style="position:absolute" from="4064,1935" to="6147,1935" stroked="true" strokeweight="1.44pt" strokecolor="#000000">
              <v:stroke dashstyle="solid"/>
            </v:line>
            <v:shape style="position:absolute;left:6147;top:1421;width:10;height:500" type="#_x0000_t75" stroked="false">
              <v:imagedata r:id="rId150" o:title=""/>
            </v:shape>
            <v:rect style="position:absolute;left:6147;top:1920;width:29;height:29" filled="true" fillcolor="#000000" stroked="false">
              <v:fill type="solid"/>
            </v:rect>
            <v:line style="position:absolute" from="6176,1935" to="7830,1935" stroked="true" strokeweight="1.44pt" strokecolor="#000000">
              <v:stroke dashstyle="solid"/>
            </v:line>
            <v:shape style="position:absolute;left:6726;top:1074;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4</w:t>
                    </w:r>
                  </w:p>
                </w:txbxContent>
              </v:textbox>
              <w10:wrap type="none"/>
            </v:shape>
            <v:shape style="position:absolute;left:4109;top:1571;width:1796;height:234" type="#_x0000_t202" filled="false" stroked="false">
              <v:textbox inset="0,0,0,0">
                <w:txbxContent>
                  <w:p>
                    <w:pPr>
                      <w:spacing w:line="234" w:lineRule="exact" w:before="0"/>
                      <w:ind w:left="0" w:right="0" w:firstLine="0"/>
                      <w:jc w:val="left"/>
                      <w:rPr>
                        <w:sz w:val="21"/>
                      </w:rPr>
                    </w:pPr>
                    <w:r>
                      <w:rPr>
                        <w:sz w:val="21"/>
                      </w:rPr>
                      <w:t>申购金额（元，</w:t>
                    </w:r>
                    <w:r>
                      <w:rPr>
                        <w:rFonts w:ascii="Times New Roman" w:eastAsia="Times New Roman"/>
                        <w:sz w:val="21"/>
                      </w:rPr>
                      <w:t>a</w:t>
                    </w:r>
                    <w:r>
                      <w:rPr>
                        <w:sz w:val="21"/>
                      </w:rPr>
                      <w:t>）</w:t>
                    </w:r>
                  </w:p>
                </w:txbxContent>
              </v:textbox>
              <w10:wrap type="none"/>
            </v:shape>
            <v:shape style="position:absolute;left:6697;top:1568;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5,000,000.00</w:t>
                    </w:r>
                  </w:p>
                </w:txbxContent>
              </v:textbox>
              <w10:wrap type="none"/>
            </v:shape>
            <w10:wrap type="none"/>
          </v:group>
        </w:pict>
      </w:r>
      <w:r>
        <w:rPr/>
        <w:t>若该投资者申购金额为</w:t>
      </w:r>
      <w:r>
        <w:rPr>
          <w:rFonts w:ascii="Times New Roman" w:eastAsia="Times New Roman"/>
        </w:rPr>
        <w:t>500</w:t>
      </w:r>
      <w:r>
        <w:rPr/>
        <w:t>万元，则申购负担的前端申购费用和获得的基金份额计算如下：</w:t>
      </w:r>
    </w:p>
    <w:p>
      <w:pPr>
        <w:spacing w:after="0" w:line="417" w:lineRule="auto"/>
        <w:sectPr>
          <w:pgSz w:w="11910" w:h="16840"/>
          <w:pgMar w:header="877" w:footer="995" w:top="1420" w:bottom="1180" w:left="1540" w:right="1300"/>
        </w:sectPr>
      </w:pPr>
    </w:p>
    <w:p>
      <w:pPr>
        <w:pStyle w:val="BodyText"/>
        <w:rPr>
          <w:sz w:val="2"/>
        </w:rPr>
      </w:pPr>
    </w:p>
    <w:tbl>
      <w:tblPr>
        <w:tblW w:w="0" w:type="auto"/>
        <w:jc w:val="left"/>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1"/>
        <w:gridCol w:w="2081"/>
        <w:gridCol w:w="1678"/>
      </w:tblGrid>
      <w:tr>
        <w:trPr>
          <w:trHeight w:val="467" w:hRule="atLeast"/>
        </w:trPr>
        <w:tc>
          <w:tcPr>
            <w:tcW w:w="1901" w:type="dxa"/>
            <w:vMerge w:val="restart"/>
          </w:tcPr>
          <w:p>
            <w:pPr>
              <w:pStyle w:val="TableParagraph"/>
              <w:spacing w:before="0"/>
              <w:jc w:val="left"/>
              <w:rPr>
                <w:sz w:val="20"/>
              </w:rPr>
            </w:pPr>
          </w:p>
        </w:tc>
        <w:tc>
          <w:tcPr>
            <w:tcW w:w="2081" w:type="dxa"/>
            <w:tcBorders>
              <w:top w:val="single" w:sz="12" w:space="0" w:color="000000"/>
              <w:bottom w:val="single" w:sz="4" w:space="0" w:color="000000"/>
              <w:right w:val="single" w:sz="4" w:space="0" w:color="000000"/>
            </w:tcBorders>
          </w:tcPr>
          <w:p>
            <w:pPr>
              <w:pStyle w:val="TableParagraph"/>
              <w:spacing w:before="102"/>
              <w:ind w:left="38"/>
              <w:jc w:val="left"/>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678" w:type="dxa"/>
            <w:tcBorders>
              <w:top w:val="single" w:sz="12" w:space="0" w:color="000000"/>
              <w:left w:val="single" w:sz="4" w:space="0" w:color="000000"/>
              <w:bottom w:val="single" w:sz="4" w:space="0" w:color="000000"/>
            </w:tcBorders>
          </w:tcPr>
          <w:p>
            <w:pPr>
              <w:pStyle w:val="TableParagraph"/>
              <w:spacing w:before="113"/>
              <w:ind w:right="26"/>
              <w:rPr>
                <w:sz w:val="21"/>
              </w:rPr>
            </w:pPr>
            <w:r>
              <w:rPr>
                <w:sz w:val="21"/>
              </w:rPr>
              <w:t>1,000.00</w:t>
            </w:r>
          </w:p>
        </w:tc>
      </w:tr>
      <w:tr>
        <w:trPr>
          <w:trHeight w:val="450" w:hRule="atLeast"/>
        </w:trPr>
        <w:tc>
          <w:tcPr>
            <w:tcW w:w="1901" w:type="dxa"/>
            <w:vMerge/>
            <w:tcBorders>
              <w:top w:val="nil"/>
            </w:tcBorders>
          </w:tcPr>
          <w:p>
            <w:pPr>
              <w:rPr>
                <w:sz w:val="2"/>
                <w:szCs w:val="2"/>
              </w:rPr>
            </w:pPr>
          </w:p>
        </w:tc>
        <w:tc>
          <w:tcPr>
            <w:tcW w:w="2081" w:type="dxa"/>
            <w:tcBorders>
              <w:top w:val="single" w:sz="4" w:space="0" w:color="000000"/>
              <w:bottom w:val="single" w:sz="4" w:space="0" w:color="000000"/>
            </w:tcBorders>
          </w:tcPr>
          <w:p>
            <w:pPr>
              <w:pStyle w:val="TableParagraph"/>
              <w:spacing w:before="102"/>
              <w:ind w:left="38"/>
              <w:jc w:val="left"/>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678" w:type="dxa"/>
            <w:tcBorders>
              <w:top w:val="single" w:sz="4" w:space="0" w:color="000000"/>
              <w:bottom w:val="single" w:sz="4" w:space="0" w:color="000000"/>
            </w:tcBorders>
          </w:tcPr>
          <w:p>
            <w:pPr>
              <w:pStyle w:val="TableParagraph"/>
              <w:spacing w:before="113"/>
              <w:ind w:right="29"/>
              <w:rPr>
                <w:sz w:val="21"/>
              </w:rPr>
            </w:pPr>
            <w:r>
              <w:rPr>
                <w:sz w:val="21"/>
              </w:rPr>
              <w:t>4,999,000.00</w:t>
            </w:r>
          </w:p>
        </w:tc>
      </w:tr>
      <w:tr>
        <w:trPr>
          <w:trHeight w:val="468" w:hRule="atLeast"/>
        </w:trPr>
        <w:tc>
          <w:tcPr>
            <w:tcW w:w="1901" w:type="dxa"/>
            <w:vMerge/>
            <w:tcBorders>
              <w:top w:val="nil"/>
            </w:tcBorders>
          </w:tcPr>
          <w:p>
            <w:pPr>
              <w:rPr>
                <w:sz w:val="2"/>
                <w:szCs w:val="2"/>
              </w:rPr>
            </w:pPr>
          </w:p>
        </w:tc>
        <w:tc>
          <w:tcPr>
            <w:tcW w:w="2081" w:type="dxa"/>
            <w:tcBorders>
              <w:top w:val="single" w:sz="4" w:space="0" w:color="000000"/>
              <w:bottom w:val="single" w:sz="4" w:space="0" w:color="000000"/>
            </w:tcBorders>
          </w:tcPr>
          <w:p>
            <w:pPr>
              <w:pStyle w:val="TableParagraph"/>
              <w:spacing w:before="118"/>
              <w:ind w:left="38"/>
              <w:jc w:val="left"/>
              <w:rPr>
                <w:rFonts w:ascii="宋体" w:eastAsia="宋体" w:hint="eastAsia"/>
                <w:sz w:val="21"/>
              </w:rPr>
            </w:pPr>
            <w:r>
              <w:rPr>
                <w:rFonts w:ascii="宋体" w:eastAsia="宋体" w:hint="eastAsia"/>
                <w:sz w:val="21"/>
              </w:rPr>
              <w:t>基金份额净值（</w:t>
            </w:r>
            <w:r>
              <w:rPr>
                <w:sz w:val="21"/>
              </w:rPr>
              <w:t>d</w:t>
            </w:r>
            <w:r>
              <w:rPr>
                <w:rFonts w:ascii="宋体" w:eastAsia="宋体" w:hint="eastAsia"/>
                <w:sz w:val="21"/>
              </w:rPr>
              <w:t>）</w:t>
            </w:r>
          </w:p>
        </w:tc>
        <w:tc>
          <w:tcPr>
            <w:tcW w:w="1678" w:type="dxa"/>
            <w:tcBorders>
              <w:top w:val="single" w:sz="4" w:space="0" w:color="000000"/>
              <w:bottom w:val="single" w:sz="4" w:space="0" w:color="000000"/>
            </w:tcBorders>
          </w:tcPr>
          <w:p>
            <w:pPr>
              <w:pStyle w:val="TableParagraph"/>
              <w:spacing w:before="130"/>
              <w:ind w:right="28"/>
              <w:rPr>
                <w:sz w:val="21"/>
              </w:rPr>
            </w:pPr>
            <w:r>
              <w:rPr>
                <w:sz w:val="21"/>
              </w:rPr>
              <w:t>1.2300</w:t>
            </w:r>
          </w:p>
        </w:tc>
      </w:tr>
      <w:tr>
        <w:trPr>
          <w:trHeight w:val="485" w:hRule="atLeast"/>
        </w:trPr>
        <w:tc>
          <w:tcPr>
            <w:tcW w:w="1901" w:type="dxa"/>
            <w:vMerge/>
            <w:tcBorders>
              <w:top w:val="nil"/>
            </w:tcBorders>
          </w:tcPr>
          <w:p>
            <w:pPr>
              <w:rPr>
                <w:sz w:val="2"/>
                <w:szCs w:val="2"/>
              </w:rPr>
            </w:pPr>
          </w:p>
        </w:tc>
        <w:tc>
          <w:tcPr>
            <w:tcW w:w="2081" w:type="dxa"/>
            <w:tcBorders>
              <w:top w:val="single" w:sz="4" w:space="0" w:color="000000"/>
              <w:bottom w:val="single" w:sz="12" w:space="0" w:color="000000"/>
            </w:tcBorders>
          </w:tcPr>
          <w:p>
            <w:pPr>
              <w:pStyle w:val="TableParagraph"/>
              <w:spacing w:before="117"/>
              <w:ind w:left="38"/>
              <w:jc w:val="left"/>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678" w:type="dxa"/>
            <w:tcBorders>
              <w:top w:val="single" w:sz="4" w:space="0" w:color="000000"/>
              <w:bottom w:val="single" w:sz="12" w:space="0" w:color="000000"/>
            </w:tcBorders>
          </w:tcPr>
          <w:p>
            <w:pPr>
              <w:pStyle w:val="TableParagraph"/>
              <w:spacing w:before="129"/>
              <w:ind w:right="26"/>
              <w:rPr>
                <w:sz w:val="21"/>
              </w:rPr>
            </w:pPr>
            <w:r>
              <w:rPr>
                <w:sz w:val="21"/>
              </w:rPr>
              <w:t>4,064,227.64</w:t>
            </w:r>
          </w:p>
        </w:tc>
      </w:tr>
      <w:tr>
        <w:trPr>
          <w:trHeight w:val="352" w:hRule="atLeast"/>
        </w:trPr>
        <w:tc>
          <w:tcPr>
            <w:tcW w:w="1901" w:type="dxa"/>
          </w:tcPr>
          <w:p>
            <w:pPr>
              <w:pStyle w:val="TableParagraph"/>
              <w:spacing w:line="233" w:lineRule="exact" w:before="99"/>
              <w:ind w:left="50"/>
              <w:jc w:val="left"/>
              <w:rPr>
                <w:rFonts w:ascii="宋体" w:eastAsia="宋体" w:hint="eastAsia"/>
                <w:sz w:val="21"/>
              </w:rPr>
            </w:pPr>
            <w:r>
              <w:rPr>
                <w:sz w:val="21"/>
              </w:rPr>
              <w:t>2</w:t>
            </w:r>
            <w:r>
              <w:rPr>
                <w:rFonts w:ascii="宋体" w:eastAsia="宋体" w:hint="eastAsia"/>
                <w:sz w:val="21"/>
              </w:rPr>
              <w:t>、赎回金额的计算</w:t>
            </w:r>
          </w:p>
        </w:tc>
        <w:tc>
          <w:tcPr>
            <w:tcW w:w="2081" w:type="dxa"/>
            <w:tcBorders>
              <w:top w:val="single" w:sz="12" w:space="0" w:color="000000"/>
            </w:tcBorders>
          </w:tcPr>
          <w:p>
            <w:pPr>
              <w:pStyle w:val="TableParagraph"/>
              <w:spacing w:before="0"/>
              <w:jc w:val="left"/>
              <w:rPr>
                <w:sz w:val="20"/>
              </w:rPr>
            </w:pPr>
          </w:p>
        </w:tc>
        <w:tc>
          <w:tcPr>
            <w:tcW w:w="1678" w:type="dxa"/>
            <w:tcBorders>
              <w:top w:val="single" w:sz="12" w:space="0" w:color="000000"/>
            </w:tcBorders>
          </w:tcPr>
          <w:p>
            <w:pPr>
              <w:pStyle w:val="TableParagraph"/>
              <w:spacing w:before="0"/>
              <w:jc w:val="left"/>
              <w:rPr>
                <w:sz w:val="20"/>
              </w:rPr>
            </w:pPr>
          </w:p>
        </w:tc>
      </w:tr>
    </w:tbl>
    <w:p>
      <w:pPr>
        <w:pStyle w:val="BodyText"/>
        <w:spacing w:before="1"/>
        <w:rPr>
          <w:sz w:val="11"/>
        </w:rPr>
      </w:pPr>
    </w:p>
    <w:p>
      <w:pPr>
        <w:pStyle w:val="BodyText"/>
        <w:spacing w:before="71"/>
        <w:ind w:left="680"/>
      </w:pPr>
      <w:r>
        <w:rPr/>
        <w:drawing>
          <wp:anchor distT="0" distB="0" distL="0" distR="0" allowOverlap="1" layoutInCell="1" locked="0" behindDoc="1" simplePos="0" relativeHeight="243443712">
            <wp:simplePos x="0" y="0"/>
            <wp:positionH relativeFrom="page">
              <wp:posOffset>3903598</wp:posOffset>
            </wp:positionH>
            <wp:positionV relativeFrom="paragraph">
              <wp:posOffset>-1238885</wp:posOffset>
            </wp:positionV>
            <wp:extent cx="6107" cy="907065"/>
            <wp:effectExtent l="0" t="0" r="0" b="0"/>
            <wp:wrapNone/>
            <wp:docPr id="21" name="image31.png"/>
            <wp:cNvGraphicFramePr>
              <a:graphicFrameLocks noChangeAspect="1"/>
            </wp:cNvGraphicFramePr>
            <a:graphic>
              <a:graphicData uri="http://schemas.openxmlformats.org/drawingml/2006/picture">
                <pic:pic>
                  <pic:nvPicPr>
                    <pic:cNvPr id="22" name="image31.png"/>
                    <pic:cNvPicPr/>
                  </pic:nvPicPr>
                  <pic:blipFill>
                    <a:blip r:embed="rId151" cstate="print"/>
                    <a:stretch>
                      <a:fillRect/>
                    </a:stretch>
                  </pic:blipFill>
                  <pic:spPr>
                    <a:xfrm>
                      <a:off x="0" y="0"/>
                      <a:ext cx="6107" cy="907065"/>
                    </a:xfrm>
                    <a:prstGeom prst="rect">
                      <a:avLst/>
                    </a:prstGeom>
                  </pic:spPr>
                </pic:pic>
              </a:graphicData>
            </a:graphic>
          </wp:anchor>
        </w:drawing>
      </w:r>
      <w:r>
        <w:rPr/>
        <w:t>赎回金额的计算方法如下：</w:t>
      </w:r>
    </w:p>
    <w:p>
      <w:pPr>
        <w:pStyle w:val="BodyText"/>
        <w:spacing w:before="7"/>
        <w:rPr>
          <w:sz w:val="15"/>
        </w:rPr>
      </w:pPr>
    </w:p>
    <w:p>
      <w:pPr>
        <w:pStyle w:val="BodyText"/>
        <w:spacing w:line="417" w:lineRule="auto"/>
        <w:ind w:left="1100" w:right="4291"/>
      </w:pPr>
      <w:r>
        <w:rPr/>
        <w:t>赎回金额＝赎回份额</w:t>
      </w:r>
      <w:r>
        <w:rPr>
          <w:rFonts w:ascii="Times New Roman" w:hAnsi="Times New Roman" w:eastAsia="Times New Roman"/>
        </w:rPr>
        <w:t>×T </w:t>
      </w:r>
      <w:r>
        <w:rPr/>
        <w:t>日基金份额净值赎回费用＝赎回金额</w:t>
      </w:r>
      <w:r>
        <w:rPr>
          <w:rFonts w:ascii="Times New Roman" w:hAnsi="Times New Roman" w:eastAsia="Times New Roman"/>
        </w:rPr>
        <w:t>×</w:t>
      </w:r>
      <w:r>
        <w:rPr/>
        <w:t>赎回费率</w:t>
      </w:r>
    </w:p>
    <w:p>
      <w:pPr>
        <w:pStyle w:val="BodyText"/>
        <w:ind w:left="1100"/>
      </w:pPr>
      <w:r>
        <w:rPr/>
        <w:t>净赎回金额</w:t>
      </w:r>
      <w:r>
        <w:rPr>
          <w:rFonts w:ascii="Times New Roman" w:eastAsia="Times New Roman"/>
        </w:rPr>
        <w:t>=</w:t>
      </w:r>
      <w:r>
        <w:rPr/>
        <w:t>赎回金额</w:t>
      </w:r>
      <w:r>
        <w:rPr>
          <w:rFonts w:ascii="Times New Roman" w:eastAsia="Times New Roman"/>
        </w:rPr>
        <w:t>-</w:t>
      </w:r>
      <w:r>
        <w:rPr/>
        <w:t>赎回费用</w:t>
      </w:r>
    </w:p>
    <w:p>
      <w:pPr>
        <w:pStyle w:val="BodyText"/>
        <w:spacing w:before="7"/>
        <w:rPr>
          <w:sz w:val="15"/>
        </w:rPr>
      </w:pPr>
    </w:p>
    <w:p>
      <w:pPr>
        <w:pStyle w:val="BodyText"/>
        <w:spacing w:line="417" w:lineRule="auto"/>
        <w:ind w:left="260" w:right="457" w:firstLine="419"/>
      </w:pPr>
      <w:r>
        <w:rPr/>
        <w:t>例二：假定某投资者在</w:t>
      </w:r>
      <w:r>
        <w:rPr>
          <w:rFonts w:ascii="Times New Roman" w:eastAsia="Times New Roman"/>
        </w:rPr>
        <w:t>T</w:t>
      </w:r>
      <w:r>
        <w:rPr/>
        <w:t>日赎回</w:t>
      </w:r>
      <w:r>
        <w:rPr>
          <w:rFonts w:ascii="Times New Roman" w:eastAsia="Times New Roman"/>
        </w:rPr>
        <w:t>10,000.00</w:t>
      </w:r>
      <w:r>
        <w:rPr/>
        <w:t>份基金份额，持有期限半年，该日基金份额净值为</w:t>
      </w:r>
      <w:r>
        <w:rPr>
          <w:rFonts w:ascii="Times New Roman" w:eastAsia="Times New Roman"/>
        </w:rPr>
        <w:t>1.2500</w:t>
      </w:r>
      <w:r>
        <w:rPr/>
        <w:t>元，则其获得的净赎回金额计算如下：</w:t>
      </w:r>
    </w:p>
    <w:p>
      <w:pPr>
        <w:pStyle w:val="BodyText"/>
        <w:spacing w:line="417" w:lineRule="auto"/>
        <w:ind w:left="1100" w:right="4235"/>
      </w:pPr>
      <w:r>
        <w:rPr/>
        <w:t>赎回金额</w:t>
      </w:r>
      <w:r>
        <w:rPr>
          <w:rFonts w:ascii="Times New Roman" w:hAnsi="Times New Roman" w:eastAsia="Times New Roman"/>
        </w:rPr>
        <w:t>=10,000.00×1.2500=12,500.00 </w:t>
      </w:r>
      <w:r>
        <w:rPr/>
        <w:t>元赎回费用</w:t>
      </w:r>
      <w:r>
        <w:rPr>
          <w:rFonts w:ascii="Times New Roman" w:hAnsi="Times New Roman" w:eastAsia="Times New Roman"/>
        </w:rPr>
        <w:t>=12,500.00×0.5%=62.50 </w:t>
      </w:r>
      <w:r>
        <w:rPr/>
        <w:t>元</w:t>
      </w:r>
    </w:p>
    <w:p>
      <w:pPr>
        <w:pStyle w:val="BodyText"/>
        <w:spacing w:line="269" w:lineRule="exact"/>
        <w:ind w:left="1100"/>
      </w:pPr>
      <w:r>
        <w:rPr/>
        <w:t>净赎回金额</w:t>
      </w:r>
      <w:r>
        <w:rPr>
          <w:rFonts w:ascii="Times New Roman" w:eastAsia="Times New Roman"/>
        </w:rPr>
        <w:t>=12,500.00-62.50=12,437.50 </w:t>
      </w:r>
      <w:r>
        <w:rPr/>
        <w:t>元</w:t>
      </w:r>
    </w:p>
    <w:p>
      <w:pPr>
        <w:pStyle w:val="BodyText"/>
        <w:spacing w:before="7"/>
        <w:rPr>
          <w:sz w:val="15"/>
        </w:rPr>
      </w:pPr>
    </w:p>
    <w:p>
      <w:pPr>
        <w:pStyle w:val="BodyText"/>
        <w:spacing w:line="417" w:lineRule="auto"/>
        <w:ind w:left="260" w:right="491" w:firstLine="419"/>
        <w:jc w:val="both"/>
      </w:pPr>
      <w:r>
        <w:rPr>
          <w:rFonts w:ascii="Times New Roman" w:eastAsia="Times New Roman"/>
        </w:rPr>
        <w:t>3</w:t>
      </w:r>
      <w:r>
        <w:rPr>
          <w:spacing w:val="-3"/>
        </w:rPr>
        <w:t>、本基金份额净值的计算，保留到小数点后</w:t>
      </w:r>
      <w:r>
        <w:rPr>
          <w:rFonts w:ascii="Times New Roman" w:eastAsia="Times New Roman"/>
        </w:rPr>
        <w:t>4</w:t>
      </w:r>
      <w:r>
        <w:rPr>
          <w:spacing w:val="-3"/>
        </w:rPr>
        <w:t>位，小数点后第</w:t>
      </w:r>
      <w:r>
        <w:rPr>
          <w:rFonts w:ascii="Times New Roman" w:eastAsia="Times New Roman"/>
        </w:rPr>
        <w:t>5</w:t>
      </w:r>
      <w:r>
        <w:rPr>
          <w:spacing w:val="-3"/>
        </w:rPr>
        <w:t>位四舍五入，由此产生</w:t>
      </w:r>
      <w:r>
        <w:rPr>
          <w:spacing w:val="-9"/>
        </w:rPr>
        <w:t>的收益或损失由基金财产承担。</w:t>
      </w:r>
      <w:r>
        <w:rPr>
          <w:rFonts w:ascii="Times New Roman" w:eastAsia="Times New Roman"/>
        </w:rPr>
        <w:t>T</w:t>
      </w:r>
      <w:r>
        <w:rPr>
          <w:spacing w:val="-8"/>
        </w:rPr>
        <w:t>日的基金份额净值在当天收市后计算，并在</w:t>
      </w:r>
      <w:r>
        <w:rPr>
          <w:rFonts w:ascii="Times New Roman" w:eastAsia="Times New Roman"/>
        </w:rPr>
        <w:t>T+1</w:t>
      </w:r>
      <w:r>
        <w:rPr>
          <w:spacing w:val="-3"/>
        </w:rPr>
        <w:t>日内公告。遇特殊情况，经中国证监会同意，可以适当延迟计算或公告。</w:t>
      </w:r>
    </w:p>
    <w:p>
      <w:pPr>
        <w:pStyle w:val="BodyText"/>
        <w:spacing w:line="269" w:lineRule="exact"/>
        <w:ind w:left="680"/>
      </w:pPr>
      <w:r>
        <w:rPr/>
        <w:t>（八）拒绝或暂停申购的情形</w:t>
      </w:r>
    </w:p>
    <w:p>
      <w:pPr>
        <w:pStyle w:val="BodyText"/>
        <w:spacing w:before="6"/>
        <w:rPr>
          <w:sz w:val="15"/>
        </w:rPr>
      </w:pPr>
    </w:p>
    <w:p>
      <w:pPr>
        <w:pStyle w:val="BodyText"/>
        <w:spacing w:before="1"/>
        <w:ind w:left="680"/>
      </w:pPr>
      <w:r>
        <w:rPr/>
        <w:t>发生下列情况时，基金管理人可拒绝或暂停接受投资人的申购申请：</w:t>
      </w:r>
    </w:p>
    <w:p>
      <w:pPr>
        <w:pStyle w:val="BodyText"/>
        <w:spacing w:before="6"/>
        <w:rPr>
          <w:sz w:val="15"/>
        </w:rPr>
      </w:pPr>
    </w:p>
    <w:p>
      <w:pPr>
        <w:pStyle w:val="BodyText"/>
        <w:ind w:left="680"/>
      </w:pPr>
      <w:r>
        <w:rPr>
          <w:rFonts w:ascii="Times New Roman" w:eastAsia="Times New Roman"/>
        </w:rPr>
        <w:t>1</w:t>
      </w:r>
      <w:r>
        <w:rPr/>
        <w:t>、因不可抗力导致基金无法正常运作。</w:t>
      </w:r>
    </w:p>
    <w:p>
      <w:pPr>
        <w:pStyle w:val="BodyText"/>
        <w:spacing w:before="7"/>
        <w:rPr>
          <w:sz w:val="15"/>
        </w:rPr>
      </w:pPr>
    </w:p>
    <w:p>
      <w:pPr>
        <w:pStyle w:val="BodyText"/>
        <w:spacing w:line="417" w:lineRule="auto"/>
        <w:ind w:left="260" w:right="49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pStyle w:val="BodyText"/>
        <w:ind w:left="68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680"/>
      </w:pPr>
      <w:r>
        <w:rPr>
          <w:rFonts w:ascii="Times New Roman" w:eastAsia="Times New Roman"/>
        </w:rPr>
        <w:t>4</w:t>
      </w:r>
      <w:r>
        <w:rPr/>
        <w:t>、接受某笔或某些申购申请可能会影响或损害现有基金份额持有人利益时。</w:t>
      </w:r>
    </w:p>
    <w:p>
      <w:pPr>
        <w:pStyle w:val="BodyText"/>
        <w:spacing w:before="6"/>
        <w:rPr>
          <w:sz w:val="15"/>
        </w:rPr>
      </w:pPr>
    </w:p>
    <w:p>
      <w:pPr>
        <w:pStyle w:val="BodyText"/>
        <w:spacing w:line="417" w:lineRule="auto" w:before="1"/>
        <w:ind w:left="260" w:right="494" w:firstLine="41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ind w:left="680"/>
      </w:pPr>
      <w:r>
        <w:rPr>
          <w:rFonts w:ascii="Times New Roman" w:eastAsia="Times New Roman"/>
        </w:rPr>
        <w:t>6</w:t>
      </w:r>
      <w:r>
        <w:rPr/>
        <w:t>、基金管理人接受某笔或者某些申购申请有可能导致单一投资者持有基金份额的比例</w:t>
      </w:r>
    </w:p>
    <w:p>
      <w:pPr>
        <w:spacing w:after="0"/>
        <w:sectPr>
          <w:pgSz w:w="11910" w:h="16840"/>
          <w:pgMar w:header="877" w:footer="995" w:top="1420" w:bottom="1180" w:left="1540" w:right="1300"/>
        </w:sectPr>
      </w:pPr>
    </w:p>
    <w:p>
      <w:pPr>
        <w:pStyle w:val="BodyText"/>
        <w:spacing w:line="417" w:lineRule="auto" w:before="110"/>
        <w:ind w:left="680" w:right="3513" w:hanging="420"/>
        <w:jc w:val="both"/>
      </w:pPr>
      <w:r>
        <w:rPr>
          <w:spacing w:val="-9"/>
        </w:rPr>
        <w:t>达到或者超过 </w:t>
      </w:r>
      <w:r>
        <w:rPr>
          <w:rFonts w:ascii="Times New Roman" w:eastAsia="Times New Roman"/>
        </w:rPr>
        <w:t>50%</w:t>
      </w:r>
      <w:r>
        <w:rPr>
          <w:spacing w:val="-8"/>
        </w:rPr>
        <w:t>，或者变相规避 </w:t>
      </w:r>
      <w:r>
        <w:rPr>
          <w:rFonts w:ascii="Times New Roman" w:eastAsia="Times New Roman"/>
        </w:rPr>
        <w:t>50%</w:t>
      </w:r>
      <w:r>
        <w:rPr>
          <w:spacing w:val="-3"/>
        </w:rPr>
        <w:t>集中度的情形时。</w:t>
      </w:r>
      <w:r>
        <w:rPr>
          <w:rFonts w:ascii="Times New Roman" w:eastAsia="Times New Roman"/>
          <w:spacing w:val="-3"/>
        </w:rPr>
        <w:t>7</w:t>
      </w:r>
      <w:r>
        <w:rPr>
          <w:spacing w:val="-3"/>
        </w:rPr>
        <w:t>、法律法规规定或中国证监会认定的其他情形。</w:t>
      </w:r>
    </w:p>
    <w:p>
      <w:pPr>
        <w:pStyle w:val="BodyText"/>
        <w:spacing w:line="417" w:lineRule="auto"/>
        <w:ind w:left="260" w:right="491" w:firstLine="419"/>
        <w:jc w:val="both"/>
      </w:pPr>
      <w:r>
        <w:rPr>
          <w:spacing w:val="-8"/>
        </w:rPr>
        <w:t>发生上述第 </w:t>
      </w:r>
      <w:r>
        <w:rPr>
          <w:rFonts w:ascii="Times New Roman" w:eastAsia="Times New Roman"/>
        </w:rPr>
        <w:t>1</w:t>
      </w:r>
      <w:r>
        <w:rPr>
          <w:spacing w:val="-20"/>
        </w:rPr>
        <w:t>、</w:t>
      </w:r>
      <w:r>
        <w:rPr>
          <w:rFonts w:ascii="Times New Roman" w:eastAsia="Times New Roman"/>
          <w:spacing w:val="-3"/>
        </w:rPr>
        <w:t>2</w:t>
      </w:r>
      <w:r>
        <w:rPr>
          <w:spacing w:val="-19"/>
        </w:rPr>
        <w:t>、</w:t>
      </w:r>
      <w:r>
        <w:rPr>
          <w:rFonts w:ascii="Times New Roman" w:eastAsia="Times New Roman"/>
        </w:rPr>
        <w:t>3</w:t>
      </w:r>
      <w:r>
        <w:rPr>
          <w:spacing w:val="-22"/>
        </w:rPr>
        <w:t>、</w:t>
      </w:r>
      <w:r>
        <w:rPr>
          <w:rFonts w:ascii="Times New Roman" w:eastAsia="Times New Roman"/>
        </w:rPr>
        <w:t>5</w:t>
      </w:r>
      <w:r>
        <w:rPr>
          <w:spacing w:val="-20"/>
        </w:rPr>
        <w:t>、</w:t>
      </w:r>
      <w:r>
        <w:rPr>
          <w:rFonts w:ascii="Times New Roman" w:eastAsia="Times New Roman"/>
        </w:rPr>
        <w:t>7 </w:t>
      </w:r>
      <w:r>
        <w:rPr>
          <w:spacing w:val="-4"/>
        </w:rPr>
        <w:t>项暂停申购情形之一且基金管理人决定暂停申购时，基金管</w:t>
      </w:r>
      <w:r>
        <w:rPr>
          <w:spacing w:val="-7"/>
        </w:rPr>
        <w:t>理人应当根据有关规定在指定媒介上刊登暂停申购公告。如果投资人的申购申请被拒绝，被</w:t>
      </w:r>
      <w:r>
        <w:rPr>
          <w:spacing w:val="-10"/>
        </w:rPr>
        <w:t>拒绝的申购款项将退还给投资人。在暂停申购的情况消除时，基金管理人应及时恢复申购业</w:t>
      </w:r>
      <w:r>
        <w:rPr>
          <w:spacing w:val="-5"/>
        </w:rPr>
        <w:t>务的办理。</w:t>
      </w:r>
    </w:p>
    <w:p>
      <w:pPr>
        <w:pStyle w:val="BodyText"/>
        <w:spacing w:line="268" w:lineRule="exact"/>
        <w:ind w:left="680"/>
      </w:pPr>
      <w:r>
        <w:rPr/>
        <w:t>（九）暂停赎回或延缓支付赎回款项的情形</w:t>
      </w:r>
    </w:p>
    <w:p>
      <w:pPr>
        <w:pStyle w:val="BodyText"/>
        <w:spacing w:before="7"/>
        <w:rPr>
          <w:sz w:val="15"/>
        </w:rPr>
      </w:pPr>
    </w:p>
    <w:p>
      <w:pPr>
        <w:pStyle w:val="BodyText"/>
        <w:ind w:left="680"/>
      </w:pPr>
      <w:r>
        <w:rPr/>
        <w:t>发生下列情形时，基金管理人可暂停接受投资人的赎回申请或延缓支付赎回款项：</w:t>
      </w:r>
    </w:p>
    <w:p>
      <w:pPr>
        <w:pStyle w:val="BodyText"/>
        <w:spacing w:before="6"/>
        <w:rPr>
          <w:sz w:val="15"/>
        </w:rPr>
      </w:pPr>
    </w:p>
    <w:p>
      <w:pPr>
        <w:pStyle w:val="BodyText"/>
        <w:ind w:left="680"/>
      </w:pPr>
      <w:r>
        <w:rPr>
          <w:rFonts w:ascii="Times New Roman" w:eastAsia="Times New Roman"/>
        </w:rPr>
        <w:t>1</w:t>
      </w:r>
      <w:r>
        <w:rPr/>
        <w:t>、因不可抗力导致基金管理人不能支付赎回款项。</w:t>
      </w:r>
    </w:p>
    <w:p>
      <w:pPr>
        <w:pStyle w:val="BodyText"/>
        <w:spacing w:before="7"/>
        <w:rPr>
          <w:sz w:val="15"/>
        </w:rPr>
      </w:pPr>
    </w:p>
    <w:p>
      <w:pPr>
        <w:pStyle w:val="BodyText"/>
        <w:spacing w:line="417" w:lineRule="auto"/>
        <w:ind w:left="260" w:right="49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5"/>
        </w:rPr>
        <w:t>认后，基金管理人应当暂停接受基金赎回申请或延缓支付赎回款项。</w:t>
      </w:r>
    </w:p>
    <w:p>
      <w:pPr>
        <w:pStyle w:val="BodyText"/>
        <w:spacing w:line="268" w:lineRule="exact"/>
        <w:ind w:left="68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680"/>
      </w:pPr>
      <w:r>
        <w:rPr>
          <w:rFonts w:ascii="Times New Roman" w:eastAsia="Times New Roman"/>
        </w:rPr>
        <w:t>4</w:t>
      </w:r>
      <w:r>
        <w:rPr/>
        <w:t>、连续两个或两个以上开放日发生巨额赎回。</w:t>
      </w:r>
    </w:p>
    <w:p>
      <w:pPr>
        <w:pStyle w:val="BodyText"/>
        <w:spacing w:before="7"/>
        <w:rPr>
          <w:sz w:val="15"/>
        </w:rPr>
      </w:pPr>
    </w:p>
    <w:p>
      <w:pPr>
        <w:pStyle w:val="BodyText"/>
        <w:ind w:left="680"/>
      </w:pPr>
      <w:r>
        <w:rPr>
          <w:rFonts w:ascii="Times New Roman" w:eastAsia="Times New Roman"/>
        </w:rPr>
        <w:t>5</w:t>
      </w:r>
      <w:r>
        <w:rPr/>
        <w:t>、继续接受赎回申请可能会影响或损害现有基金份额持有人利益时。</w:t>
      </w:r>
    </w:p>
    <w:p>
      <w:pPr>
        <w:pStyle w:val="BodyText"/>
        <w:spacing w:before="7"/>
        <w:rPr>
          <w:sz w:val="15"/>
        </w:rPr>
      </w:pPr>
    </w:p>
    <w:p>
      <w:pPr>
        <w:pStyle w:val="BodyText"/>
        <w:ind w:left="680"/>
      </w:pPr>
      <w:r>
        <w:rPr>
          <w:rFonts w:ascii="Times New Roman" w:eastAsia="Times New Roman"/>
        </w:rPr>
        <w:t>6</w:t>
      </w:r>
      <w:r>
        <w:rPr/>
        <w:t>、法律法规规定或中国证监会认定的其他情形。</w:t>
      </w:r>
    </w:p>
    <w:p>
      <w:pPr>
        <w:pStyle w:val="BodyText"/>
        <w:spacing w:before="6"/>
        <w:rPr>
          <w:sz w:val="15"/>
        </w:rPr>
      </w:pPr>
    </w:p>
    <w:p>
      <w:pPr>
        <w:pStyle w:val="BodyText"/>
        <w:spacing w:line="417" w:lineRule="auto" w:before="1"/>
        <w:ind w:left="260" w:right="385" w:firstLine="419"/>
      </w:pPr>
      <w:r>
        <w:rPr>
          <w:spacing w:val="-6"/>
        </w:rPr>
        <w:t>发生上述情形之一且基金管理人决定暂停赎回或延缓支付赎回款项时，基金管理人应在</w:t>
      </w:r>
      <w:r>
        <w:rPr>
          <w:spacing w:val="-20"/>
        </w:rPr>
        <w:t>当日报中国证监会备案，已确认的赎回申请，基金管理人应足额支付；如暂时不能足额支付， </w:t>
      </w:r>
      <w:r>
        <w:rPr>
          <w:spacing w:val="-11"/>
        </w:rPr>
        <w:t>应将可支付部分按单个账户申请量占申请总量的比例分配给赎回申请人，未支付部分可延期</w:t>
      </w:r>
      <w:r>
        <w:rPr>
          <w:spacing w:val="-7"/>
        </w:rPr>
        <w:t>支付，并以后续开放日的基金份额净值为依据计算赎回金额。若出现上述第 </w:t>
      </w:r>
      <w:r>
        <w:rPr>
          <w:rFonts w:ascii="Times New Roman" w:eastAsia="Times New Roman"/>
        </w:rPr>
        <w:t>4 </w:t>
      </w:r>
      <w:r>
        <w:rPr>
          <w:spacing w:val="-3"/>
        </w:rPr>
        <w:t>项所述情形， </w:t>
      </w:r>
      <w:r>
        <w:rPr>
          <w:spacing w:val="-11"/>
        </w:rPr>
        <w:t>按基金合同的相关条款处理。基金份额持有人在申请赎回时可事先选择将当日可能未获受理</w:t>
      </w:r>
      <w:r>
        <w:rPr>
          <w:spacing w:val="-6"/>
        </w:rPr>
        <w:t>部分予以撤销。在暂停赎回的情况消除时，基金管理人应及时恢复赎回业务的办理并公告。</w:t>
      </w:r>
    </w:p>
    <w:p>
      <w:pPr>
        <w:pStyle w:val="BodyText"/>
        <w:spacing w:line="269" w:lineRule="exact"/>
        <w:ind w:left="680"/>
      </w:pPr>
      <w:r>
        <w:rPr/>
        <w:t>（十）巨额赎回的情形及处理方式</w:t>
      </w:r>
    </w:p>
    <w:p>
      <w:pPr>
        <w:pStyle w:val="BodyText"/>
        <w:spacing w:before="6"/>
        <w:rPr>
          <w:sz w:val="15"/>
        </w:rPr>
      </w:pPr>
    </w:p>
    <w:p>
      <w:pPr>
        <w:pStyle w:val="BodyText"/>
        <w:ind w:left="680"/>
      </w:pPr>
      <w:r>
        <w:rPr>
          <w:rFonts w:ascii="Times New Roman" w:eastAsia="Times New Roman"/>
        </w:rPr>
        <w:t>1</w:t>
      </w:r>
      <w:r>
        <w:rPr/>
        <w:t>、巨额赎回的认定</w:t>
      </w:r>
    </w:p>
    <w:p>
      <w:pPr>
        <w:pStyle w:val="BodyText"/>
        <w:spacing w:before="7"/>
        <w:rPr>
          <w:sz w:val="15"/>
        </w:rPr>
      </w:pPr>
    </w:p>
    <w:p>
      <w:pPr>
        <w:pStyle w:val="BodyText"/>
        <w:spacing w:line="417" w:lineRule="auto"/>
        <w:ind w:left="260" w:right="49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pStyle w:val="BodyText"/>
        <w:ind w:left="680"/>
      </w:pPr>
      <w:r>
        <w:rPr>
          <w:rFonts w:ascii="Times New Roman" w:eastAsia="Times New Roman"/>
        </w:rPr>
        <w:t>2</w:t>
      </w:r>
      <w:r>
        <w:rPr/>
        <w:t>、巨额赎回的处理方式</w:t>
      </w:r>
    </w:p>
    <w:p>
      <w:pPr>
        <w:pStyle w:val="BodyText"/>
        <w:spacing w:before="7"/>
        <w:rPr>
          <w:sz w:val="15"/>
        </w:rPr>
      </w:pPr>
    </w:p>
    <w:p>
      <w:pPr>
        <w:pStyle w:val="BodyText"/>
        <w:ind w:left="680"/>
      </w:pPr>
      <w:r>
        <w:rPr/>
        <w:t>当基金出现巨额赎回时，基金管理人可以根据基金当时的资产组合状况决定全额赎回或</w:t>
      </w:r>
    </w:p>
    <w:p>
      <w:pPr>
        <w:spacing w:after="0"/>
        <w:sectPr>
          <w:pgSz w:w="11910" w:h="16840"/>
          <w:pgMar w:header="877" w:footer="995" w:top="1420" w:bottom="1180" w:left="1540" w:right="1300"/>
        </w:sectPr>
      </w:pPr>
    </w:p>
    <w:p>
      <w:pPr>
        <w:pStyle w:val="BodyText"/>
        <w:spacing w:before="110"/>
        <w:ind w:left="260"/>
      </w:pPr>
      <w:r>
        <w:rPr/>
        <w:t>部分延期赎回。</w:t>
      </w:r>
    </w:p>
    <w:p>
      <w:pPr>
        <w:pStyle w:val="BodyText"/>
        <w:spacing w:before="6"/>
        <w:rPr>
          <w:sz w:val="15"/>
        </w:rPr>
      </w:pPr>
    </w:p>
    <w:p>
      <w:pPr>
        <w:pStyle w:val="ListParagraph"/>
        <w:numPr>
          <w:ilvl w:val="0"/>
          <w:numId w:val="10"/>
        </w:numPr>
        <w:tabs>
          <w:tab w:pos="1210" w:val="left" w:leader="none"/>
        </w:tabs>
        <w:spacing w:line="417" w:lineRule="auto" w:before="0" w:after="0"/>
        <w:ind w:left="260" w:right="49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0"/>
        </w:numPr>
        <w:tabs>
          <w:tab w:pos="1210" w:val="left" w:leader="none"/>
        </w:tabs>
        <w:spacing w:line="417" w:lineRule="auto" w:before="0" w:after="0"/>
        <w:ind w:left="260" w:right="385"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0"/>
        </w:numPr>
        <w:tabs>
          <w:tab w:pos="1210" w:val="left" w:leader="none"/>
        </w:tabs>
        <w:spacing w:line="417" w:lineRule="auto" w:before="0" w:after="0"/>
        <w:ind w:left="260" w:right="49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10"/>
        </w:numPr>
        <w:tabs>
          <w:tab w:pos="1207" w:val="left" w:leader="none"/>
        </w:tabs>
        <w:spacing w:line="417" w:lineRule="auto" w:before="0" w:after="0"/>
        <w:ind w:left="260" w:right="491" w:firstLine="419"/>
        <w:jc w:val="both"/>
        <w:rPr>
          <w:sz w:val="21"/>
        </w:rPr>
      </w:pPr>
      <w:r>
        <w:rPr>
          <w:spacing w:val="-5"/>
          <w:sz w:val="21"/>
        </w:rPr>
        <w:t>本基金发生巨额赎回的，在单个基金份额持有人超过基金总份额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260" w:right="491" w:firstLine="419"/>
        <w:jc w:val="both"/>
      </w:pPr>
      <w:r>
        <w:rPr>
          <w:spacing w:val="-7"/>
        </w:rPr>
        <w:t>①如果基金管理人认为有能力支付其他投资人的全部赎回申请，为了保护其他赎回投资人的利益，对于其他投资人的赎回申请按正常程序进行。对于单个投资人超过基金总份额</w:t>
      </w:r>
      <w:r>
        <w:rPr>
          <w:rFonts w:ascii="Times New Roman" w:hAnsi="Times New Roman" w:eastAsia="Times New Roman"/>
          <w:spacing w:val="-7"/>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260" w:right="491" w:firstLine="419"/>
        <w:jc w:val="both"/>
      </w:pPr>
      <w:r>
        <w:rPr>
          <w:spacing w:val="-7"/>
        </w:rPr>
        <w:t>②如果基金管理人认为仅支付其他投资人的赎回申请也有困难时，则对于所有投资人的赎回申请（</w:t>
      </w:r>
      <w:r>
        <w:rPr>
          <w:spacing w:val="-4"/>
        </w:rPr>
        <w:t>包括单个投资人超过基金总份额 </w:t>
      </w:r>
      <w:r>
        <w:rPr>
          <w:rFonts w:ascii="Times New Roman" w:hAnsi="Times New Roman" w:eastAsia="Times New Roman"/>
        </w:rPr>
        <w:t>20%</w:t>
      </w:r>
      <w:r>
        <w:rPr>
          <w:spacing w:val="-1"/>
        </w:rPr>
        <w:t>以上的大额赎回申请和其他投资人的赎回</w:t>
      </w:r>
      <w:r>
        <w:rPr>
          <w:w w:val="100"/>
        </w:rPr>
        <w:t>申请</w:t>
      </w:r>
      <w:r>
        <w:rPr>
          <w:spacing w:val="-108"/>
          <w:w w:val="100"/>
        </w:rPr>
        <w:t>）</w:t>
      </w:r>
      <w:r>
        <w:rPr>
          <w:spacing w:val="-3"/>
          <w:w w:val="100"/>
        </w:rPr>
        <w:t>，基金管理人在当日接受赎回比例不低于上一开放日基金总份额的</w:t>
      </w:r>
      <w:r>
        <w:rPr>
          <w:spacing w:val="-3"/>
        </w:rPr>
        <w:t> </w:t>
      </w:r>
      <w:r>
        <w:rPr>
          <w:rFonts w:ascii="Times New Roman" w:hAnsi="Times New Roman" w:eastAsia="Times New Roman"/>
          <w:w w:val="100"/>
        </w:rPr>
        <w:t>10</w:t>
      </w:r>
      <w:r>
        <w:rPr>
          <w:rFonts w:ascii="Times New Roman" w:hAnsi="Times New Roman" w:eastAsia="Times New Roman"/>
          <w:spacing w:val="-4"/>
          <w:w w:val="100"/>
        </w:rPr>
        <w:t>%</w:t>
      </w:r>
      <w:r>
        <w:rPr>
          <w:spacing w:val="-3"/>
          <w:w w:val="100"/>
        </w:rPr>
        <w:t>的前提下，可</w:t>
      </w:r>
      <w:r>
        <w:rPr>
          <w:spacing w:val="-9"/>
          <w:w w:val="100"/>
        </w:rPr>
        <w:t>对其余赎回申请延期办理，具体按照上述“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部分延期赎回”的约定办理。</w:t>
      </w:r>
    </w:p>
    <w:p>
      <w:pPr>
        <w:spacing w:after="0" w:line="417" w:lineRule="auto"/>
        <w:jc w:val="both"/>
        <w:sectPr>
          <w:pgSz w:w="11910" w:h="16840"/>
          <w:pgMar w:header="877" w:footer="995" w:top="1420" w:bottom="1180" w:left="1540" w:right="1300"/>
        </w:sectPr>
      </w:pPr>
    </w:p>
    <w:p>
      <w:pPr>
        <w:pStyle w:val="BodyText"/>
        <w:spacing w:before="110"/>
        <w:ind w:left="680"/>
      </w:pPr>
      <w:r>
        <w:rPr>
          <w:rFonts w:ascii="Times New Roman" w:eastAsia="Times New Roman"/>
        </w:rPr>
        <w:t>3</w:t>
      </w:r>
      <w:r>
        <w:rPr/>
        <w:t>、巨额赎回的公告</w:t>
      </w:r>
    </w:p>
    <w:p>
      <w:pPr>
        <w:pStyle w:val="BodyText"/>
        <w:spacing w:before="6"/>
        <w:rPr>
          <w:sz w:val="15"/>
        </w:rPr>
      </w:pPr>
    </w:p>
    <w:p>
      <w:pPr>
        <w:pStyle w:val="BodyText"/>
        <w:spacing w:line="417" w:lineRule="auto"/>
        <w:ind w:left="260" w:right="491" w:firstLine="419"/>
        <w:jc w:val="both"/>
      </w:pPr>
      <w:r>
        <w:rPr>
          <w:spacing w:val="-8"/>
        </w:rPr>
        <w:t>当发生上述巨额赎回并延期办理时，基金管理人应当通过邮寄、传真或者招募说明书规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spacing w:line="269" w:lineRule="exact"/>
        <w:ind w:left="680"/>
      </w:pPr>
      <w:r>
        <w:rPr/>
        <w:t>（十一）暂停申购或赎回的公告和重新开放申购或赎回的公告</w:t>
      </w:r>
    </w:p>
    <w:p>
      <w:pPr>
        <w:pStyle w:val="BodyText"/>
        <w:spacing w:before="7"/>
        <w:rPr>
          <w:sz w:val="15"/>
        </w:rPr>
      </w:pPr>
    </w:p>
    <w:p>
      <w:pPr>
        <w:pStyle w:val="BodyText"/>
        <w:spacing w:line="417" w:lineRule="auto"/>
        <w:ind w:left="260" w:right="49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260" w:right="43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260" w:right="49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spacing w:line="269" w:lineRule="exact"/>
        <w:ind w:left="680"/>
      </w:pPr>
      <w:r>
        <w:rPr/>
        <w:t>（十二）基金转换</w:t>
      </w:r>
    </w:p>
    <w:p>
      <w:pPr>
        <w:pStyle w:val="BodyText"/>
        <w:spacing w:before="7"/>
        <w:rPr>
          <w:sz w:val="15"/>
        </w:rPr>
      </w:pPr>
    </w:p>
    <w:p>
      <w:pPr>
        <w:pStyle w:val="BodyText"/>
        <w:ind w:left="680"/>
      </w:pPr>
      <w:r>
        <w:rPr>
          <w:rFonts w:ascii="Times New Roman" w:eastAsia="Times New Roman"/>
        </w:rPr>
        <w:t>1</w:t>
      </w:r>
      <w:r>
        <w:rPr/>
        <w:t>、基金转换的原则</w:t>
      </w:r>
    </w:p>
    <w:p>
      <w:pPr>
        <w:pStyle w:val="BodyText"/>
        <w:spacing w:before="7"/>
        <w:rPr>
          <w:sz w:val="15"/>
        </w:rPr>
      </w:pPr>
    </w:p>
    <w:p>
      <w:pPr>
        <w:pStyle w:val="ListParagraph"/>
        <w:numPr>
          <w:ilvl w:val="0"/>
          <w:numId w:val="11"/>
        </w:numPr>
        <w:tabs>
          <w:tab w:pos="1210" w:val="left" w:leader="none"/>
        </w:tabs>
        <w:spacing w:line="240" w:lineRule="auto" w:before="0" w:after="0"/>
        <w:ind w:left="120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1"/>
        </w:numPr>
        <w:tabs>
          <w:tab w:pos="1210" w:val="left" w:leader="none"/>
        </w:tabs>
        <w:spacing w:line="240" w:lineRule="auto" w:before="0" w:after="0"/>
        <w:ind w:left="1209" w:right="0" w:hanging="530"/>
        <w:jc w:val="left"/>
        <w:rPr>
          <w:sz w:val="21"/>
        </w:rPr>
      </w:pPr>
      <w:r>
        <w:rPr>
          <w:spacing w:val="-3"/>
          <w:sz w:val="21"/>
        </w:rPr>
        <w:t>基金转换以份额为单位进行申请。</w:t>
      </w:r>
    </w:p>
    <w:p>
      <w:pPr>
        <w:pStyle w:val="BodyText"/>
        <w:spacing w:before="6"/>
        <w:rPr>
          <w:sz w:val="15"/>
        </w:rPr>
      </w:pPr>
    </w:p>
    <w:p>
      <w:pPr>
        <w:pStyle w:val="ListParagraph"/>
        <w:numPr>
          <w:ilvl w:val="0"/>
          <w:numId w:val="11"/>
        </w:numPr>
        <w:tabs>
          <w:tab w:pos="1210" w:val="left" w:leader="none"/>
        </w:tabs>
        <w:spacing w:line="417" w:lineRule="auto" w:before="1" w:after="0"/>
        <w:ind w:left="260" w:right="494"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1"/>
        </w:numPr>
        <w:tabs>
          <w:tab w:pos="1210" w:val="left" w:leader="none"/>
        </w:tabs>
        <w:spacing w:line="269" w:lineRule="exact" w:before="0" w:after="0"/>
        <w:ind w:left="1209" w:right="0" w:hanging="530"/>
        <w:jc w:val="left"/>
        <w:rPr>
          <w:sz w:val="21"/>
        </w:rPr>
      </w:pPr>
      <w:r>
        <w:rPr>
          <w:spacing w:val="-3"/>
          <w:sz w:val="21"/>
        </w:rPr>
        <w:t>投资者Ｔ日申请基金转换后，</w:t>
      </w:r>
      <w:r>
        <w:rPr>
          <w:rFonts w:ascii="Times New Roman" w:eastAsia="Times New Roman"/>
          <w:sz w:val="21"/>
        </w:rPr>
        <w:t>T+1</w:t>
      </w:r>
      <w:r>
        <w:rPr>
          <w:spacing w:val="-3"/>
          <w:sz w:val="21"/>
        </w:rPr>
        <w:t>日可获得确认。</w:t>
      </w:r>
    </w:p>
    <w:p>
      <w:pPr>
        <w:pStyle w:val="BodyText"/>
        <w:spacing w:before="6"/>
        <w:rPr>
          <w:sz w:val="15"/>
        </w:rPr>
      </w:pPr>
    </w:p>
    <w:p>
      <w:pPr>
        <w:pStyle w:val="ListParagraph"/>
        <w:numPr>
          <w:ilvl w:val="0"/>
          <w:numId w:val="11"/>
        </w:numPr>
        <w:tabs>
          <w:tab w:pos="1207" w:val="left" w:leader="none"/>
        </w:tabs>
        <w:spacing w:line="417" w:lineRule="auto" w:before="0" w:after="0"/>
        <w:ind w:left="260" w:right="49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1"/>
        </w:numPr>
        <w:tabs>
          <w:tab w:pos="1210" w:val="left" w:leader="none"/>
        </w:tabs>
        <w:spacing w:line="417" w:lineRule="auto" w:before="1" w:after="0"/>
        <w:ind w:left="260" w:right="49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1"/>
        </w:numPr>
        <w:tabs>
          <w:tab w:pos="1210" w:val="left" w:leader="none"/>
        </w:tabs>
        <w:spacing w:line="417" w:lineRule="auto" w:before="0" w:after="0"/>
        <w:ind w:left="260" w:right="49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260" w:right="491" w:firstLine="419"/>
      </w:pPr>
      <w:r>
        <w:rPr>
          <w:spacing w:val="-8"/>
        </w:rPr>
        <w:t>由于各代销机构系统及业务安排等原因，可能开展基金转换业务的时间有所不同，投资</w:t>
      </w:r>
      <w:r>
        <w:rPr>
          <w:spacing w:val="-5"/>
        </w:rPr>
        <w:t>者应参照各代销机构的具体规定。</w:t>
      </w:r>
    </w:p>
    <w:p>
      <w:pPr>
        <w:pStyle w:val="BodyText"/>
        <w:ind w:left="680"/>
      </w:pPr>
      <w:r>
        <w:rPr/>
        <w:t>基金管理人有权根据市场情况调整转换的程序及有关限制，但应最迟在调整生效前</w:t>
      </w:r>
      <w:r>
        <w:rPr>
          <w:rFonts w:ascii="Times New Roman" w:eastAsia="Times New Roman"/>
        </w:rPr>
        <w:t>3</w:t>
      </w:r>
      <w:r>
        <w:rPr/>
        <w:t>个</w:t>
      </w:r>
    </w:p>
    <w:p>
      <w:pPr>
        <w:spacing w:after="0"/>
        <w:sectPr>
          <w:pgSz w:w="11910" w:h="16840"/>
          <w:pgMar w:header="877" w:footer="995" w:top="1420" w:bottom="1180" w:left="1540" w:right="1300"/>
        </w:sectPr>
      </w:pPr>
    </w:p>
    <w:p>
      <w:pPr>
        <w:pStyle w:val="BodyText"/>
        <w:spacing w:before="110"/>
        <w:ind w:left="260"/>
      </w:pPr>
      <w:r>
        <w:rPr/>
        <w:t>工作日在至少一种中国证监会指定的信息披露媒介公告。</w:t>
      </w:r>
    </w:p>
    <w:p>
      <w:pPr>
        <w:pStyle w:val="BodyText"/>
        <w:spacing w:before="6"/>
        <w:rPr>
          <w:sz w:val="15"/>
        </w:rPr>
      </w:pPr>
    </w:p>
    <w:p>
      <w:pPr>
        <w:pStyle w:val="BodyText"/>
        <w:ind w:left="680"/>
      </w:pPr>
      <w:r>
        <w:rPr>
          <w:rFonts w:ascii="Times New Roman" w:eastAsia="Times New Roman"/>
        </w:rPr>
        <w:t>2</w:t>
      </w:r>
      <w:r>
        <w:rPr/>
        <w:t>、暂停基金转换的情形及处理</w:t>
      </w:r>
    </w:p>
    <w:p>
      <w:pPr>
        <w:pStyle w:val="BodyText"/>
        <w:spacing w:before="7"/>
        <w:rPr>
          <w:sz w:val="15"/>
        </w:rPr>
      </w:pPr>
    </w:p>
    <w:p>
      <w:pPr>
        <w:pStyle w:val="BodyText"/>
        <w:ind w:left="680"/>
      </w:pPr>
      <w:r>
        <w:rPr/>
        <w:t>出现下列情况之一时，基金管理人可以暂停基金转换业务：</w:t>
      </w:r>
    </w:p>
    <w:p>
      <w:pPr>
        <w:pStyle w:val="BodyText"/>
        <w:spacing w:before="7"/>
        <w:rPr>
          <w:sz w:val="15"/>
        </w:rPr>
      </w:pPr>
    </w:p>
    <w:p>
      <w:pPr>
        <w:pStyle w:val="ListParagraph"/>
        <w:numPr>
          <w:ilvl w:val="0"/>
          <w:numId w:val="12"/>
        </w:numPr>
        <w:tabs>
          <w:tab w:pos="1210" w:val="left" w:leader="none"/>
        </w:tabs>
        <w:spacing w:line="240" w:lineRule="auto" w:before="0" w:after="0"/>
        <w:ind w:left="120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2"/>
        </w:numPr>
        <w:tabs>
          <w:tab w:pos="1210" w:val="left" w:leader="none"/>
        </w:tabs>
        <w:spacing w:line="417" w:lineRule="auto" w:before="0" w:after="0"/>
        <w:ind w:left="260" w:right="494" w:firstLine="419"/>
        <w:jc w:val="left"/>
        <w:rPr>
          <w:sz w:val="21"/>
        </w:rPr>
      </w:pPr>
      <w:r>
        <w:rPr>
          <w:spacing w:val="-3"/>
          <w:sz w:val="21"/>
        </w:rPr>
        <w:t>证券交易场所在交易时间非正常停市，导致基金管理人无法计算当日基金资产净值。</w:t>
      </w:r>
    </w:p>
    <w:p>
      <w:pPr>
        <w:pStyle w:val="ListParagraph"/>
        <w:numPr>
          <w:ilvl w:val="0"/>
          <w:numId w:val="12"/>
        </w:numPr>
        <w:tabs>
          <w:tab w:pos="1210" w:val="left" w:leader="none"/>
        </w:tabs>
        <w:spacing w:line="417" w:lineRule="auto" w:before="0" w:after="0"/>
        <w:ind w:left="260" w:right="49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2"/>
        </w:numPr>
        <w:tabs>
          <w:tab w:pos="1210" w:val="left" w:leader="none"/>
        </w:tabs>
        <w:spacing w:line="240" w:lineRule="auto" w:before="0" w:after="0"/>
        <w:ind w:left="120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2"/>
        </w:numPr>
        <w:tabs>
          <w:tab w:pos="1210" w:val="left" w:leader="none"/>
        </w:tabs>
        <w:spacing w:line="240" w:lineRule="auto" w:before="0" w:after="0"/>
        <w:ind w:left="120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2"/>
        </w:numPr>
        <w:tabs>
          <w:tab w:pos="1210" w:val="left" w:leader="none"/>
        </w:tabs>
        <w:spacing w:line="240" w:lineRule="auto" w:before="0" w:after="0"/>
        <w:ind w:left="120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2"/>
        </w:numPr>
        <w:tabs>
          <w:tab w:pos="1210" w:val="left" w:leader="none"/>
        </w:tabs>
        <w:spacing w:line="240" w:lineRule="auto" w:before="0" w:after="0"/>
        <w:ind w:left="1209" w:right="0" w:hanging="530"/>
        <w:jc w:val="left"/>
        <w:rPr>
          <w:sz w:val="21"/>
        </w:rPr>
      </w:pPr>
      <w:r>
        <w:rPr>
          <w:spacing w:val="-3"/>
          <w:sz w:val="21"/>
        </w:rPr>
        <w:t>法律法规规定或中国证监会认定的其他情形。</w:t>
      </w:r>
    </w:p>
    <w:p>
      <w:pPr>
        <w:pStyle w:val="BodyText"/>
        <w:spacing w:before="6"/>
        <w:rPr>
          <w:sz w:val="15"/>
        </w:rPr>
      </w:pPr>
    </w:p>
    <w:p>
      <w:pPr>
        <w:pStyle w:val="BodyText"/>
        <w:spacing w:line="417" w:lineRule="auto" w:before="1"/>
        <w:ind w:left="260" w:right="491" w:firstLine="419"/>
        <w:jc w:val="both"/>
      </w:pPr>
      <w:r>
        <w:rPr>
          <w:spacing w:val="-12"/>
        </w:rPr>
        <w:t>发生上述情形之一的，基金管理人应于规定期限内在至少一种中国证监会指定媒介上刊</w:t>
      </w:r>
      <w:r>
        <w:rPr>
          <w:spacing w:val="-13"/>
        </w:rPr>
        <w:t>登暂停公告。重新开放基金转换时，基金管理人应及时在至少一种中国证监会指定媒介上刊</w:t>
      </w:r>
      <w:r>
        <w:rPr>
          <w:spacing w:val="-6"/>
        </w:rPr>
        <w:t>登重新开放基金转换的公告。</w:t>
      </w:r>
    </w:p>
    <w:p>
      <w:pPr>
        <w:pStyle w:val="BodyText"/>
        <w:ind w:left="680"/>
      </w:pPr>
      <w:r>
        <w:rPr>
          <w:rFonts w:ascii="Times New Roman" w:eastAsia="Times New Roman"/>
        </w:rPr>
        <w:t>3</w:t>
      </w:r>
      <w:r>
        <w:rPr/>
        <w:t>、转换费</w:t>
      </w:r>
    </w:p>
    <w:p>
      <w:pPr>
        <w:pStyle w:val="BodyText"/>
        <w:spacing w:before="6"/>
        <w:rPr>
          <w:sz w:val="15"/>
        </w:rPr>
      </w:pPr>
    </w:p>
    <w:p>
      <w:pPr>
        <w:pStyle w:val="ListParagraph"/>
        <w:numPr>
          <w:ilvl w:val="0"/>
          <w:numId w:val="13"/>
        </w:numPr>
        <w:tabs>
          <w:tab w:pos="1210" w:val="left" w:leader="none"/>
        </w:tabs>
        <w:spacing w:line="240" w:lineRule="auto" w:before="0" w:after="0"/>
        <w:ind w:left="1209" w:right="0" w:hanging="530"/>
        <w:jc w:val="left"/>
        <w:rPr>
          <w:sz w:val="21"/>
        </w:rPr>
      </w:pPr>
      <w:r>
        <w:rPr>
          <w:spacing w:val="-3"/>
          <w:sz w:val="21"/>
        </w:rPr>
        <w:t>基金转换费：无。</w:t>
      </w:r>
    </w:p>
    <w:p>
      <w:pPr>
        <w:pStyle w:val="BodyText"/>
        <w:spacing w:before="7"/>
        <w:rPr>
          <w:sz w:val="15"/>
        </w:rPr>
      </w:pPr>
    </w:p>
    <w:p>
      <w:pPr>
        <w:pStyle w:val="ListParagraph"/>
        <w:numPr>
          <w:ilvl w:val="0"/>
          <w:numId w:val="13"/>
        </w:numPr>
        <w:tabs>
          <w:tab w:pos="1210" w:val="left" w:leader="none"/>
        </w:tabs>
        <w:spacing w:line="417" w:lineRule="auto" w:before="0" w:after="0"/>
        <w:ind w:left="260" w:right="49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3"/>
        </w:numPr>
        <w:tabs>
          <w:tab w:pos="1210" w:val="left" w:leader="none"/>
        </w:tabs>
        <w:spacing w:line="269" w:lineRule="exact" w:before="0" w:after="0"/>
        <w:ind w:left="1209" w:right="0" w:hanging="530"/>
        <w:jc w:val="left"/>
        <w:rPr>
          <w:sz w:val="21"/>
        </w:rPr>
      </w:pPr>
      <w:r>
        <w:rPr>
          <w:spacing w:val="-3"/>
          <w:sz w:val="21"/>
        </w:rPr>
        <w:t>转入基金费用：转入基金申购费用根据适用的转换情形收取，详细如下：</w:t>
      </w:r>
    </w:p>
    <w:p>
      <w:pPr>
        <w:pStyle w:val="BodyText"/>
        <w:spacing w:before="7"/>
        <w:rPr>
          <w:sz w:val="15"/>
        </w:rPr>
      </w:pPr>
    </w:p>
    <w:p>
      <w:pPr>
        <w:pStyle w:val="BodyText"/>
        <w:ind w:left="680"/>
      </w:pPr>
      <w:r>
        <w:rPr/>
        <w:t>①从前端（比例费率）收费基金转出，转入其他前端（比例费率）收费基金</w:t>
      </w:r>
    </w:p>
    <w:p>
      <w:pPr>
        <w:pStyle w:val="BodyText"/>
        <w:spacing w:before="7"/>
        <w:rPr>
          <w:sz w:val="15"/>
        </w:rPr>
      </w:pPr>
    </w:p>
    <w:p>
      <w:pPr>
        <w:pStyle w:val="BodyText"/>
        <w:spacing w:line="417" w:lineRule="auto"/>
        <w:ind w:left="260" w:right="4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260" w:right="4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680"/>
      </w:pPr>
      <w:r>
        <w:rPr/>
        <w:t>业务举例：详见“</w:t>
      </w:r>
      <w:r>
        <w:rPr>
          <w:rFonts w:ascii="Times New Roman" w:hAnsi="Times New Roman" w:eastAsia="Times New Roman"/>
        </w:rPr>
        <w:t>4</w:t>
      </w:r>
      <w:r>
        <w:rPr/>
        <w:t>、业务举例”中例一。</w:t>
      </w:r>
    </w:p>
    <w:p>
      <w:pPr>
        <w:pStyle w:val="BodyText"/>
        <w:spacing w:before="6"/>
        <w:rPr>
          <w:sz w:val="15"/>
        </w:rPr>
      </w:pPr>
    </w:p>
    <w:p>
      <w:pPr>
        <w:pStyle w:val="BodyText"/>
        <w:spacing w:before="1"/>
        <w:ind w:left="680"/>
      </w:pPr>
      <w:r>
        <w:rPr/>
        <w:t>②从前端（比例费率）收费基金转出，转入其他前端（固定费用）收费基金</w:t>
      </w:r>
    </w:p>
    <w:p>
      <w:pPr>
        <w:pStyle w:val="BodyText"/>
        <w:spacing w:before="6"/>
        <w:rPr>
          <w:sz w:val="15"/>
        </w:rPr>
      </w:pPr>
    </w:p>
    <w:p>
      <w:pPr>
        <w:pStyle w:val="BodyText"/>
        <w:spacing w:line="417" w:lineRule="auto" w:before="1"/>
        <w:ind w:left="260" w:right="387"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spacing w:after="0" w:line="417" w:lineRule="auto"/>
        <w:sectPr>
          <w:pgSz w:w="11910" w:h="16840"/>
          <w:pgMar w:header="877" w:footer="995" w:top="1420" w:bottom="1180" w:left="1540" w:right="1300"/>
        </w:sectPr>
      </w:pPr>
    </w:p>
    <w:p>
      <w:pPr>
        <w:pStyle w:val="BodyText"/>
        <w:spacing w:line="417" w:lineRule="auto" w:before="110"/>
        <w:ind w:left="260" w:right="49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680"/>
      </w:pPr>
      <w:r>
        <w:rPr/>
        <w:t>业务举例：详见“</w:t>
      </w:r>
      <w:r>
        <w:rPr>
          <w:rFonts w:ascii="Times New Roman" w:hAnsi="Times New Roman" w:eastAsia="Times New Roman"/>
        </w:rPr>
        <w:t>4</w:t>
      </w:r>
      <w:r>
        <w:rPr/>
        <w:t>、业务举例”中例二。</w:t>
      </w:r>
    </w:p>
    <w:p>
      <w:pPr>
        <w:pStyle w:val="BodyText"/>
        <w:spacing w:before="6"/>
        <w:rPr>
          <w:sz w:val="15"/>
        </w:rPr>
      </w:pPr>
    </w:p>
    <w:p>
      <w:pPr>
        <w:pStyle w:val="BodyText"/>
        <w:ind w:left="680"/>
      </w:pPr>
      <w:r>
        <w:rPr/>
        <w:t>③从前端（比例费率）收费基金转出，转入其他后端收费基金</w:t>
      </w:r>
    </w:p>
    <w:p>
      <w:pPr>
        <w:pStyle w:val="BodyText"/>
        <w:spacing w:before="7"/>
        <w:rPr>
          <w:sz w:val="15"/>
        </w:rPr>
      </w:pPr>
    </w:p>
    <w:p>
      <w:pPr>
        <w:pStyle w:val="BodyText"/>
        <w:spacing w:line="417" w:lineRule="auto"/>
        <w:ind w:left="260" w:right="49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260" w:right="49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ind w:left="680"/>
      </w:pPr>
      <w:r>
        <w:rPr/>
        <w:t>业务举例：详见“</w:t>
      </w:r>
      <w:r>
        <w:rPr>
          <w:rFonts w:ascii="Times New Roman" w:hAnsi="Times New Roman" w:eastAsia="Times New Roman"/>
        </w:rPr>
        <w:t>4</w:t>
      </w:r>
      <w:r>
        <w:rPr/>
        <w:t>、业务举例”中例三。</w:t>
      </w:r>
    </w:p>
    <w:p>
      <w:pPr>
        <w:pStyle w:val="BodyText"/>
        <w:spacing w:before="7"/>
        <w:rPr>
          <w:sz w:val="15"/>
        </w:rPr>
      </w:pPr>
    </w:p>
    <w:p>
      <w:pPr>
        <w:pStyle w:val="BodyText"/>
        <w:ind w:left="680"/>
      </w:pPr>
      <w:r>
        <w:rPr/>
        <w:t>④从前端（比例费率）收费基金转出，转入其他不收取申购费用的基金</w:t>
      </w:r>
    </w:p>
    <w:p>
      <w:pPr>
        <w:pStyle w:val="BodyText"/>
        <w:spacing w:before="6"/>
        <w:rPr>
          <w:sz w:val="15"/>
        </w:rPr>
      </w:pPr>
    </w:p>
    <w:p>
      <w:pPr>
        <w:pStyle w:val="BodyText"/>
        <w:spacing w:line="417" w:lineRule="auto" w:before="1"/>
        <w:ind w:left="260" w:right="49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680"/>
      </w:pPr>
      <w:r>
        <w:rPr/>
        <w:t>费用收取方式：不收取申购费用。</w:t>
      </w:r>
    </w:p>
    <w:p>
      <w:pPr>
        <w:pStyle w:val="BodyText"/>
        <w:spacing w:before="6"/>
        <w:rPr>
          <w:sz w:val="15"/>
        </w:rPr>
      </w:pPr>
    </w:p>
    <w:p>
      <w:pPr>
        <w:pStyle w:val="BodyText"/>
        <w:ind w:left="680"/>
      </w:pPr>
      <w:r>
        <w:rPr/>
        <w:t>业务举例：详见“</w:t>
      </w:r>
      <w:r>
        <w:rPr>
          <w:rFonts w:ascii="Times New Roman" w:hAnsi="Times New Roman" w:eastAsia="Times New Roman"/>
        </w:rPr>
        <w:t>4</w:t>
      </w:r>
      <w:r>
        <w:rPr/>
        <w:t>、业务举例”中例四。</w:t>
      </w:r>
    </w:p>
    <w:p>
      <w:pPr>
        <w:pStyle w:val="BodyText"/>
        <w:spacing w:before="7"/>
        <w:rPr>
          <w:sz w:val="15"/>
        </w:rPr>
      </w:pPr>
    </w:p>
    <w:p>
      <w:pPr>
        <w:pStyle w:val="BodyText"/>
        <w:spacing w:before="1"/>
        <w:ind w:left="680"/>
      </w:pPr>
      <w:r>
        <w:rPr/>
        <w:t>⑤从前端（固定费用）收费基金转出，转入其他前端（比例费率）收费基金</w:t>
      </w:r>
    </w:p>
    <w:p>
      <w:pPr>
        <w:pStyle w:val="BodyText"/>
        <w:spacing w:before="6"/>
        <w:rPr>
          <w:sz w:val="15"/>
        </w:rPr>
      </w:pPr>
    </w:p>
    <w:p>
      <w:pPr>
        <w:pStyle w:val="BodyText"/>
        <w:spacing w:line="417" w:lineRule="auto"/>
        <w:ind w:left="260" w:right="38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260" w:right="4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680"/>
      </w:pPr>
      <w:r>
        <w:rPr/>
        <w:t>业务举例：详见“</w:t>
      </w:r>
      <w:r>
        <w:rPr>
          <w:rFonts w:ascii="Times New Roman" w:hAnsi="Times New Roman" w:eastAsia="Times New Roman"/>
        </w:rPr>
        <w:t>4</w:t>
      </w:r>
      <w:r>
        <w:rPr/>
        <w:t>、业务举例”中例五。</w:t>
      </w:r>
    </w:p>
    <w:p>
      <w:pPr>
        <w:pStyle w:val="BodyText"/>
        <w:spacing w:before="6"/>
        <w:rPr>
          <w:sz w:val="15"/>
        </w:rPr>
      </w:pPr>
    </w:p>
    <w:p>
      <w:pPr>
        <w:pStyle w:val="BodyText"/>
        <w:spacing w:before="1"/>
        <w:ind w:left="680"/>
      </w:pPr>
      <w:r>
        <w:rPr/>
        <w:t>⑥从前端（固定费用）收费基金转出，转入其他前端（固定费用）收费基金</w:t>
      </w:r>
    </w:p>
    <w:p>
      <w:pPr>
        <w:pStyle w:val="BodyText"/>
        <w:spacing w:before="7"/>
        <w:rPr>
          <w:sz w:val="15"/>
        </w:rPr>
      </w:pPr>
    </w:p>
    <w:p>
      <w:pPr>
        <w:pStyle w:val="BodyText"/>
        <w:spacing w:line="417" w:lineRule="auto"/>
        <w:ind w:left="260" w:right="49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680" w:right="500"/>
      </w:pPr>
      <w:r>
        <w:rPr/>
        <w:t>费用收取方式：收取的申购费用＝转入基金申购费用－转出基金申购费用，最低为</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spacing w:line="269" w:lineRule="exact"/>
        <w:ind w:left="680"/>
      </w:pPr>
      <w:r>
        <w:rPr/>
        <w:t>⑦从前端（固定费用）收费基金转出，转入其他后端收费基金</w:t>
      </w:r>
    </w:p>
    <w:p>
      <w:pPr>
        <w:pStyle w:val="BodyText"/>
        <w:spacing w:before="6"/>
        <w:rPr>
          <w:sz w:val="15"/>
        </w:rPr>
      </w:pPr>
    </w:p>
    <w:p>
      <w:pPr>
        <w:pStyle w:val="BodyText"/>
        <w:spacing w:line="417" w:lineRule="auto"/>
        <w:ind w:left="260" w:right="49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spacing w:line="417" w:lineRule="auto" w:before="1"/>
        <w:ind w:left="260" w:right="491" w:firstLine="419"/>
      </w:pPr>
      <w:r>
        <w:rPr>
          <w:spacing w:val="-10"/>
        </w:rPr>
        <w:t>费用收取方式：前端收费基金转入其他后端收费基金时，转入的基金份额的持有期将自</w:t>
      </w:r>
      <w:r>
        <w:rPr>
          <w:spacing w:val="-5"/>
        </w:rPr>
        <w:t>转入的基金份额被确认之日起重新开始计算。</w:t>
      </w:r>
    </w:p>
    <w:p>
      <w:pPr>
        <w:spacing w:after="0" w:line="417" w:lineRule="auto"/>
        <w:sectPr>
          <w:pgSz w:w="11910" w:h="16840"/>
          <w:pgMar w:header="877" w:footer="995" w:top="1420" w:bottom="1180" w:left="1540" w:right="1300"/>
        </w:sectPr>
      </w:pPr>
    </w:p>
    <w:p>
      <w:pPr>
        <w:pStyle w:val="BodyText"/>
        <w:spacing w:before="110"/>
        <w:ind w:left="680"/>
      </w:pPr>
      <w:r>
        <w:rPr/>
        <w:t>业务举例：详见“</w:t>
      </w:r>
      <w:r>
        <w:rPr>
          <w:rFonts w:ascii="Times New Roman" w:hAnsi="Times New Roman" w:eastAsia="Times New Roman"/>
        </w:rPr>
        <w:t>4</w:t>
      </w:r>
      <w:r>
        <w:rPr/>
        <w:t>、业务举例”中例七。</w:t>
      </w:r>
    </w:p>
    <w:p>
      <w:pPr>
        <w:pStyle w:val="BodyText"/>
        <w:spacing w:before="6"/>
        <w:rPr>
          <w:sz w:val="15"/>
        </w:rPr>
      </w:pPr>
    </w:p>
    <w:p>
      <w:pPr>
        <w:pStyle w:val="BodyText"/>
        <w:ind w:left="680"/>
      </w:pPr>
      <w:r>
        <w:rPr/>
        <w:t>⑧从前端（固定费用）收费基金转出，转入其他不收取申购费用的基金</w:t>
      </w:r>
    </w:p>
    <w:p>
      <w:pPr>
        <w:pStyle w:val="BodyText"/>
        <w:spacing w:before="7"/>
        <w:rPr>
          <w:sz w:val="15"/>
        </w:rPr>
      </w:pPr>
    </w:p>
    <w:p>
      <w:pPr>
        <w:pStyle w:val="BodyText"/>
        <w:spacing w:line="417" w:lineRule="auto"/>
        <w:ind w:left="260" w:right="49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spacing w:line="269" w:lineRule="exact"/>
        <w:ind w:left="680"/>
      </w:pPr>
      <w:r>
        <w:rPr/>
        <w:t>费用收取方式：不收取申购费用。</w:t>
      </w:r>
    </w:p>
    <w:p>
      <w:pPr>
        <w:pStyle w:val="BodyText"/>
        <w:spacing w:before="7"/>
        <w:rPr>
          <w:sz w:val="15"/>
        </w:rPr>
      </w:pPr>
    </w:p>
    <w:p>
      <w:pPr>
        <w:pStyle w:val="BodyText"/>
        <w:ind w:left="680"/>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ind w:left="680"/>
      </w:pPr>
      <w:r>
        <w:rPr/>
        <w:t>⑨从后端收费基金转出，转入其他前端（比例费率）收费基金</w:t>
      </w:r>
    </w:p>
    <w:p>
      <w:pPr>
        <w:pStyle w:val="BodyText"/>
        <w:spacing w:before="7"/>
        <w:rPr>
          <w:sz w:val="15"/>
        </w:rPr>
      </w:pPr>
    </w:p>
    <w:p>
      <w:pPr>
        <w:pStyle w:val="BodyText"/>
        <w:spacing w:line="417" w:lineRule="auto"/>
        <w:ind w:left="260" w:right="49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260" w:right="49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680"/>
      </w:pPr>
      <w:r>
        <w:rPr/>
        <w:t>业务举例：详见“</w:t>
      </w:r>
      <w:r>
        <w:rPr>
          <w:rFonts w:ascii="Times New Roman" w:hAnsi="Times New Roman" w:eastAsia="Times New Roman"/>
        </w:rPr>
        <w:t>4</w:t>
      </w:r>
      <w:r>
        <w:rPr/>
        <w:t>、业务举例”中例九。</w:t>
      </w:r>
    </w:p>
    <w:p>
      <w:pPr>
        <w:pStyle w:val="BodyText"/>
        <w:spacing w:before="6"/>
        <w:rPr>
          <w:sz w:val="15"/>
        </w:rPr>
      </w:pPr>
    </w:p>
    <w:p>
      <w:pPr>
        <w:pStyle w:val="BodyText"/>
        <w:ind w:left="680"/>
      </w:pPr>
      <w:r>
        <w:rPr/>
        <w:t>⑩从后端收费基金转出，转入其他前端（固定费用）收费基金</w:t>
      </w:r>
    </w:p>
    <w:p>
      <w:pPr>
        <w:pStyle w:val="BodyText"/>
        <w:spacing w:before="7"/>
        <w:rPr>
          <w:sz w:val="15"/>
        </w:rPr>
      </w:pPr>
    </w:p>
    <w:p>
      <w:pPr>
        <w:pStyle w:val="BodyText"/>
        <w:spacing w:line="417" w:lineRule="auto"/>
        <w:ind w:left="260" w:right="49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260" w:right="49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680"/>
      </w:pPr>
      <w:r>
        <w:rPr/>
        <w:t>业务举例：详见“</w:t>
      </w:r>
      <w:r>
        <w:rPr>
          <w:rFonts w:ascii="Times New Roman" w:hAnsi="Times New Roman" w:eastAsia="Times New Roman"/>
        </w:rPr>
        <w:t>4</w:t>
      </w:r>
      <w:r>
        <w:rPr/>
        <w:t>、业务举例”中例十。</w:t>
      </w:r>
    </w:p>
    <w:p>
      <w:pPr>
        <w:pStyle w:val="BodyText"/>
        <w:spacing w:before="7"/>
        <w:rPr>
          <w:sz w:val="15"/>
        </w:rPr>
      </w:pPr>
    </w:p>
    <w:p>
      <w:pPr>
        <w:pStyle w:val="BodyText"/>
        <w:ind w:left="680"/>
      </w:pPr>
      <w:r>
        <w:rPr>
          <w:rFonts w:ascii="Cambria Math" w:hAnsi="Cambria Math" w:eastAsia="Cambria Math"/>
        </w:rPr>
        <w:t>⑪</w:t>
      </w:r>
      <w:r>
        <w:rPr/>
        <w:t>从后端收费基金转出，转入其他后端收费基金</w:t>
      </w:r>
    </w:p>
    <w:p>
      <w:pPr>
        <w:pStyle w:val="BodyText"/>
        <w:spacing w:line="417" w:lineRule="auto" w:before="199"/>
        <w:ind w:left="260" w:right="49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260" w:right="49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680"/>
      </w:pPr>
      <w:r>
        <w:rPr/>
        <w:t>业务举例：详见“</w:t>
      </w:r>
      <w:r>
        <w:rPr>
          <w:rFonts w:ascii="Times New Roman" w:hAnsi="Times New Roman" w:eastAsia="Times New Roman"/>
        </w:rPr>
        <w:t>4</w:t>
      </w:r>
      <w:r>
        <w:rPr/>
        <w:t>、业务举例”中例十一。</w:t>
      </w:r>
    </w:p>
    <w:p>
      <w:pPr>
        <w:pStyle w:val="BodyText"/>
        <w:spacing w:before="7"/>
        <w:rPr>
          <w:sz w:val="15"/>
        </w:rPr>
      </w:pPr>
    </w:p>
    <w:p>
      <w:pPr>
        <w:pStyle w:val="BodyText"/>
        <w:ind w:left="680"/>
      </w:pPr>
      <w:r>
        <w:rPr>
          <w:rFonts w:ascii="Cambria Math" w:hAnsi="Cambria Math" w:eastAsia="Cambria Math"/>
        </w:rPr>
        <w:t>⑫</w:t>
      </w:r>
      <w:r>
        <w:rPr/>
        <w:t>从后端收费基金转出，转入其他不收取申购费用的基金</w:t>
      </w:r>
    </w:p>
    <w:p>
      <w:pPr>
        <w:pStyle w:val="BodyText"/>
        <w:spacing w:line="417" w:lineRule="auto" w:before="199"/>
        <w:ind w:left="260" w:right="491" w:firstLine="419"/>
      </w:pPr>
      <w:r>
        <w:rPr>
          <w:spacing w:val="-12"/>
        </w:rPr>
        <w:t>情形描述：投资者将其持有的某一后端收费基金的基金份额转换为本公司管理的其他不</w:t>
      </w:r>
      <w:r>
        <w:rPr>
          <w:spacing w:val="-6"/>
        </w:rPr>
        <w:t>收取申购费用的基金基金份额。</w:t>
      </w:r>
    </w:p>
    <w:p>
      <w:pPr>
        <w:pStyle w:val="BodyText"/>
        <w:spacing w:line="269" w:lineRule="exact"/>
        <w:ind w:left="680"/>
      </w:pPr>
      <w:r>
        <w:rPr/>
        <w:t>费用收取方式：不收取申购费用。</w:t>
      </w:r>
    </w:p>
    <w:p>
      <w:pPr>
        <w:pStyle w:val="BodyText"/>
        <w:spacing w:before="7"/>
        <w:rPr>
          <w:sz w:val="15"/>
        </w:rPr>
      </w:pPr>
    </w:p>
    <w:p>
      <w:pPr>
        <w:pStyle w:val="BodyText"/>
        <w:ind w:left="680"/>
      </w:pPr>
      <w:r>
        <w:rPr/>
        <w:t>业务举例：详见“</w:t>
      </w:r>
      <w:r>
        <w:rPr>
          <w:rFonts w:ascii="Times New Roman" w:hAnsi="Times New Roman" w:eastAsia="Times New Roman"/>
        </w:rPr>
        <w:t>4</w:t>
      </w:r>
      <w:r>
        <w:rPr/>
        <w:t>、业务举例”中例十二。</w:t>
      </w:r>
    </w:p>
    <w:p>
      <w:pPr>
        <w:pStyle w:val="BodyText"/>
        <w:spacing w:before="7"/>
        <w:rPr>
          <w:sz w:val="15"/>
        </w:rPr>
      </w:pPr>
    </w:p>
    <w:p>
      <w:pPr>
        <w:pStyle w:val="BodyText"/>
        <w:ind w:left="680"/>
      </w:pPr>
      <w:r>
        <w:rPr>
          <w:rFonts w:ascii="Cambria Math" w:hAnsi="Cambria Math" w:eastAsia="Cambria Math"/>
        </w:rPr>
        <w:t>⑬</w:t>
      </w:r>
      <w:r>
        <w:rPr/>
        <w:t>从不收取申购费用的基金转出，转入其他前端（比例费率）收费基金</w:t>
      </w:r>
    </w:p>
    <w:p>
      <w:pPr>
        <w:spacing w:after="0"/>
        <w:sectPr>
          <w:pgSz w:w="11910" w:h="16840"/>
          <w:pgMar w:header="877" w:footer="995" w:top="1420" w:bottom="1180" w:left="1540" w:right="1300"/>
        </w:sectPr>
      </w:pPr>
    </w:p>
    <w:p>
      <w:pPr>
        <w:pStyle w:val="BodyText"/>
        <w:spacing w:line="417" w:lineRule="auto" w:before="110"/>
        <w:ind w:left="260" w:right="49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260" w:right="49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spacing w:line="269" w:lineRule="exact"/>
        <w:ind w:left="680"/>
      </w:pPr>
      <w:r>
        <w:rPr/>
        <w:t>业务举例：详见“</w:t>
      </w:r>
      <w:r>
        <w:rPr>
          <w:rFonts w:ascii="Times New Roman" w:hAnsi="Times New Roman" w:eastAsia="Times New Roman"/>
        </w:rPr>
        <w:t>4</w:t>
      </w:r>
      <w:r>
        <w:rPr/>
        <w:t>、业务举例”中例十三。</w:t>
      </w:r>
    </w:p>
    <w:p>
      <w:pPr>
        <w:pStyle w:val="BodyText"/>
        <w:spacing w:before="6"/>
        <w:rPr>
          <w:sz w:val="15"/>
        </w:rPr>
      </w:pPr>
    </w:p>
    <w:p>
      <w:pPr>
        <w:pStyle w:val="BodyText"/>
        <w:ind w:left="680"/>
      </w:pPr>
      <w:r>
        <w:rPr>
          <w:rFonts w:ascii="Cambria Math" w:hAnsi="Cambria Math" w:eastAsia="Cambria Math"/>
        </w:rPr>
        <w:t>⑭</w:t>
      </w:r>
      <w:r>
        <w:rPr/>
        <w:t>从不收取申购费用基金转出，转入其他前端（固定费用）收费基金</w:t>
      </w:r>
    </w:p>
    <w:p>
      <w:pPr>
        <w:pStyle w:val="BodyText"/>
        <w:spacing w:line="417" w:lineRule="auto" w:before="199"/>
        <w:ind w:left="260" w:right="49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260" w:right="49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spacing w:line="269" w:lineRule="exact"/>
        <w:ind w:left="680"/>
      </w:pPr>
      <w:r>
        <w:rPr/>
        <w:t>业务举例：详见“</w:t>
      </w:r>
      <w:r>
        <w:rPr>
          <w:rFonts w:ascii="Times New Roman" w:hAnsi="Times New Roman" w:eastAsia="Times New Roman"/>
        </w:rPr>
        <w:t>4</w:t>
      </w:r>
      <w:r>
        <w:rPr/>
        <w:t>、业务举例”中例十四。</w:t>
      </w:r>
    </w:p>
    <w:p>
      <w:pPr>
        <w:pStyle w:val="BodyText"/>
        <w:spacing w:before="7"/>
        <w:rPr>
          <w:sz w:val="15"/>
        </w:rPr>
      </w:pPr>
    </w:p>
    <w:p>
      <w:pPr>
        <w:pStyle w:val="BodyText"/>
        <w:ind w:left="680"/>
      </w:pPr>
      <w:r>
        <w:rPr>
          <w:rFonts w:ascii="Cambria Math" w:hAnsi="Cambria Math" w:eastAsia="Cambria Math"/>
        </w:rPr>
        <w:t>⑮</w:t>
      </w:r>
      <w:r>
        <w:rPr/>
        <w:t>从不收取申购费用的基金转出，转入其他后端收费基金</w:t>
      </w:r>
    </w:p>
    <w:p>
      <w:pPr>
        <w:pStyle w:val="BodyText"/>
        <w:spacing w:line="417" w:lineRule="auto" w:before="199"/>
        <w:ind w:left="260" w:right="49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260" w:right="49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680"/>
      </w:pPr>
      <w:r>
        <w:rPr/>
        <w:t>业务举例：详见“</w:t>
      </w:r>
      <w:r>
        <w:rPr>
          <w:rFonts w:ascii="Times New Roman" w:hAnsi="Times New Roman" w:eastAsia="Times New Roman"/>
        </w:rPr>
        <w:t>4</w:t>
      </w:r>
      <w:r>
        <w:rPr/>
        <w:t>、业务举例”中例十五。</w:t>
      </w:r>
    </w:p>
    <w:p>
      <w:pPr>
        <w:pStyle w:val="BodyText"/>
        <w:spacing w:before="7"/>
        <w:rPr>
          <w:sz w:val="15"/>
        </w:rPr>
      </w:pPr>
    </w:p>
    <w:p>
      <w:pPr>
        <w:pStyle w:val="BodyText"/>
        <w:ind w:left="68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260" w:right="49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line="269" w:lineRule="exact"/>
        <w:ind w:left="680"/>
      </w:pPr>
      <w:r>
        <w:rPr>
          <w:spacing w:val="-3"/>
        </w:rPr>
        <w:t>费用收取方式：不收取申购费用。</w:t>
      </w:r>
    </w:p>
    <w:p>
      <w:pPr>
        <w:pStyle w:val="BodyText"/>
        <w:spacing w:before="7"/>
        <w:rPr>
          <w:sz w:val="15"/>
        </w:rPr>
      </w:pPr>
    </w:p>
    <w:p>
      <w:pPr>
        <w:pStyle w:val="BodyText"/>
        <w:ind w:left="680"/>
      </w:pPr>
      <w:r>
        <w:rPr/>
        <w:t>业务举例：详见“</w:t>
      </w:r>
      <w:r>
        <w:rPr>
          <w:rFonts w:ascii="Times New Roman" w:hAnsi="Times New Roman" w:eastAsia="Times New Roman"/>
        </w:rPr>
        <w:t>4</w:t>
      </w:r>
      <w:r>
        <w:rPr/>
        <w:t>、业务举例”中例十六。</w:t>
      </w:r>
    </w:p>
    <w:p>
      <w:pPr>
        <w:pStyle w:val="BodyText"/>
        <w:spacing w:before="7"/>
        <w:rPr>
          <w:sz w:val="15"/>
        </w:rPr>
      </w:pPr>
    </w:p>
    <w:p>
      <w:pPr>
        <w:pStyle w:val="BodyText"/>
        <w:ind w:left="680"/>
      </w:pPr>
      <w:r>
        <w:rPr>
          <w:rFonts w:ascii="Cambria Math" w:hAnsi="Cambria Math" w:eastAsia="Cambria Math"/>
        </w:rPr>
        <w:t>⑰</w:t>
      </w:r>
      <w:r>
        <w:rPr/>
        <w:t>对于货币基金的基金份额转出情况的补充说明</w:t>
      </w:r>
    </w:p>
    <w:p>
      <w:pPr>
        <w:pStyle w:val="BodyText"/>
        <w:spacing w:line="417" w:lineRule="auto" w:before="199"/>
        <w:ind w:left="680" w:right="1238"/>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3"/>
        </w:numPr>
        <w:tabs>
          <w:tab w:pos="1210" w:val="left" w:leader="none"/>
        </w:tabs>
        <w:spacing w:line="269" w:lineRule="exact" w:before="0" w:after="0"/>
        <w:ind w:left="1209" w:right="0" w:hanging="530"/>
        <w:jc w:val="left"/>
        <w:rPr>
          <w:sz w:val="21"/>
        </w:rPr>
      </w:pPr>
      <w:r>
        <w:rPr>
          <w:spacing w:val="-3"/>
          <w:sz w:val="21"/>
        </w:rPr>
        <w:t>上述费用另有优惠的，从其规定。</w:t>
      </w:r>
    </w:p>
    <w:p>
      <w:pPr>
        <w:pStyle w:val="BodyText"/>
        <w:spacing w:before="6"/>
        <w:rPr>
          <w:sz w:val="15"/>
        </w:rPr>
      </w:pPr>
    </w:p>
    <w:p>
      <w:pPr>
        <w:pStyle w:val="BodyText"/>
        <w:spacing w:before="1"/>
        <w:ind w:left="680"/>
      </w:pPr>
      <w:r>
        <w:rPr/>
        <w:t>基金管理人可以在法律法规和本基金合同规定范围内调整基金转换的有关业务规则。</w:t>
      </w:r>
    </w:p>
    <w:p>
      <w:pPr>
        <w:pStyle w:val="BodyText"/>
        <w:spacing w:before="6"/>
        <w:rPr>
          <w:sz w:val="15"/>
        </w:rPr>
      </w:pPr>
    </w:p>
    <w:p>
      <w:pPr>
        <w:pStyle w:val="BodyText"/>
        <w:ind w:left="680"/>
      </w:pPr>
      <w:r>
        <w:rPr>
          <w:rFonts w:ascii="Times New Roman" w:eastAsia="Times New Roman"/>
        </w:rPr>
        <w:t>4</w:t>
      </w:r>
      <w:r>
        <w:rPr/>
        <w:t>、业务举例</w:t>
      </w:r>
    </w:p>
    <w:p>
      <w:pPr>
        <w:pStyle w:val="BodyText"/>
        <w:spacing w:before="7"/>
        <w:rPr>
          <w:sz w:val="15"/>
        </w:rPr>
      </w:pPr>
    </w:p>
    <w:p>
      <w:pPr>
        <w:pStyle w:val="BodyText"/>
        <w:spacing w:line="417" w:lineRule="auto"/>
        <w:ind w:left="260" w:right="494" w:firstLine="419"/>
      </w:pPr>
      <w:r>
        <w:rPr>
          <w:w w:val="100"/>
        </w:rPr>
        <w:t>例一：假定投资者在</w:t>
      </w:r>
      <w:r>
        <w:rPr>
          <w:rFonts w:ascii="Times New Roman" w:eastAsia="Times New Roman"/>
          <w:w w:val="100"/>
        </w:rPr>
        <w:t>T</w:t>
      </w:r>
      <w:r>
        <w:rPr>
          <w:w w:val="100"/>
        </w:rPr>
        <w:t>日转出</w:t>
      </w:r>
      <w:r>
        <w:rPr>
          <w:rFonts w:ascii="Times New Roman" w:eastAsia="Times New Roman"/>
          <w:w w:val="100"/>
        </w:rPr>
        <w:t>1,000</w:t>
      </w:r>
      <w:r>
        <w:rPr>
          <w:spacing w:val="-1"/>
          <w:w w:val="100"/>
        </w:rPr>
        <w:t>份甲基金基金份额</w:t>
      </w:r>
      <w:r>
        <w:rPr>
          <w:w w:val="100"/>
        </w:rPr>
        <w:t>（前端收费模式</w:t>
      </w:r>
      <w:r>
        <w:rPr>
          <w:spacing w:val="-104"/>
          <w:w w:val="100"/>
        </w:rPr>
        <w:t>）</w:t>
      </w:r>
      <w:r>
        <w:rPr>
          <w:spacing w:val="-3"/>
          <w:w w:val="100"/>
        </w:rPr>
        <w:t>，该日甲基金基</w:t>
      </w:r>
      <w:r>
        <w:rPr>
          <w:spacing w:val="-2"/>
        </w:rPr>
        <w:t>金份额净值为</w:t>
      </w:r>
      <w:r>
        <w:rPr>
          <w:rFonts w:ascii="Times New Roman" w:eastAsia="Times New Roman"/>
        </w:rPr>
        <w:t>1.200</w:t>
      </w:r>
      <w:r>
        <w:rPr>
          <w:spacing w:val="-3"/>
        </w:rPr>
        <w:t>元。甲基金前端申购费率最高档为</w:t>
      </w:r>
      <w:r>
        <w:rPr>
          <w:rFonts w:ascii="Times New Roman" w:eastAsia="Times New Roman"/>
        </w:rPr>
        <w:t>1.5%</w:t>
      </w:r>
      <w:r>
        <w:rPr>
          <w:spacing w:val="-3"/>
        </w:rPr>
        <w:t>，赎回费率为</w:t>
      </w:r>
      <w:r>
        <w:rPr>
          <w:rFonts w:ascii="Times New Roman" w:eastAsia="Times New Roman"/>
        </w:rPr>
        <w:t>0.5%</w:t>
      </w:r>
      <w:r>
        <w:rPr/>
        <w:t>。</w:t>
      </w:r>
    </w:p>
    <w:p>
      <w:pPr>
        <w:spacing w:after="0" w:line="417" w:lineRule="auto"/>
        <w:sectPr>
          <w:pgSz w:w="11910" w:h="16840"/>
          <w:pgMar w:header="877" w:footer="995" w:top="1420" w:bottom="1180" w:left="1540" w:right="1300"/>
        </w:sectPr>
      </w:pPr>
    </w:p>
    <w:p>
      <w:pPr>
        <w:pStyle w:val="ListParagraph"/>
        <w:numPr>
          <w:ilvl w:val="0"/>
          <w:numId w:val="14"/>
        </w:numPr>
        <w:tabs>
          <w:tab w:pos="1207" w:val="left" w:leader="none"/>
        </w:tabs>
        <w:spacing w:line="417" w:lineRule="auto" w:before="110" w:after="0"/>
        <w:ind w:left="260" w:right="493" w:firstLine="419"/>
        <w:jc w:val="both"/>
        <w:rPr>
          <w:sz w:val="21"/>
        </w:rPr>
      </w:pPr>
      <w:r>
        <w:rPr/>
        <w:pict>
          <v:shape style="position:absolute;margin-left:110.300003pt;margin-top:47.319984pt;width:375.1pt;height:193.7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before="22"/>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ind w:right="94"/>
                          <w:rPr>
                            <w:sz w:val="21"/>
                          </w:rPr>
                        </w:pPr>
                        <w:r>
                          <w:rPr>
                            <w:sz w:val="21"/>
                          </w:rPr>
                          <w:t>1,000.00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ind w:right="93"/>
                          <w:rPr>
                            <w:sz w:val="21"/>
                          </w:rPr>
                        </w:pPr>
                        <w:r>
                          <w:rPr>
                            <w:sz w:val="21"/>
                          </w:rPr>
                          <w:t>1.200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6"/>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rPr>
                            <w:sz w:val="21"/>
                          </w:rPr>
                        </w:pPr>
                        <w:r>
                          <w:rPr>
                            <w:sz w:val="21"/>
                          </w:rPr>
                          <w:t>1,194.00</w:t>
                        </w:r>
                      </w:p>
                    </w:tc>
                  </w:tr>
                  <w:tr>
                    <w:trPr>
                      <w:trHeight w:val="312"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rPr>
                            <w:sz w:val="21"/>
                          </w:rPr>
                        </w:pPr>
                        <w:r>
                          <w:rPr>
                            <w:sz w:val="21"/>
                          </w:rPr>
                          <w:t>2.0%-1.5%=0.5%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6" w:type="dxa"/>
                      </w:tcPr>
                      <w:p>
                        <w:pPr>
                          <w:pStyle w:val="TableParagraph"/>
                          <w:ind w:right="94"/>
                          <w:rPr>
                            <w:sz w:val="21"/>
                          </w:rPr>
                        </w:pPr>
                        <w:r>
                          <w:rPr>
                            <w:sz w:val="21"/>
                          </w:rPr>
                          <w:t>1,188.06</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6"/>
                          <w:ind w:right="93"/>
                          <w:rPr>
                            <w:sz w:val="21"/>
                          </w:rPr>
                        </w:pPr>
                        <w:r>
                          <w:rPr>
                            <w:sz w:val="21"/>
                          </w:rPr>
                          <w:t>5.94</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rPr>
                            <w:sz w:val="21"/>
                          </w:rPr>
                        </w:pPr>
                        <w:r>
                          <w:rPr>
                            <w:sz w:val="21"/>
                          </w:rPr>
                          <w:t>1.300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ind w:right="93"/>
                          <w:rPr>
                            <w:sz w:val="21"/>
                          </w:rPr>
                        </w:pPr>
                        <w:r>
                          <w:rPr>
                            <w:sz w:val="21"/>
                          </w:rPr>
                          <w:t>913.89</w:t>
                        </w:r>
                      </w:p>
                    </w:tc>
                  </w:tr>
                </w:tbl>
                <w:p>
                  <w:pPr>
                    <w:pStyle w:val="BodyText"/>
                  </w:pPr>
                </w:p>
              </w:txbxContent>
            </v:textbox>
            <w10:wrap type="none"/>
          </v:shape>
        </w:pict>
      </w:r>
      <w:r>
        <w:rPr>
          <w:spacing w:val="-3"/>
          <w:sz w:val="21"/>
        </w:rPr>
        <w:t>若</w:t>
      </w:r>
      <w:r>
        <w:rPr>
          <w:rFonts w:ascii="Times New Roman" w:eastAsia="Times New Roman"/>
          <w:sz w:val="21"/>
        </w:rPr>
        <w:t>T</w:t>
      </w:r>
      <w:r>
        <w:rPr>
          <w:spacing w:val="-16"/>
          <w:sz w:val="21"/>
        </w:rPr>
        <w:t>日转入乙基金</w:t>
      </w:r>
      <w:r>
        <w:rPr>
          <w:spacing w:val="-3"/>
          <w:sz w:val="21"/>
        </w:rPr>
        <w:t>（前端收费模式</w:t>
      </w:r>
      <w:r>
        <w:rPr>
          <w:spacing w:val="-94"/>
          <w:sz w:val="21"/>
        </w:rPr>
        <w:t>）</w:t>
      </w:r>
      <w:r>
        <w:rPr>
          <w:spacing w:val="-11"/>
          <w:sz w:val="21"/>
        </w:rPr>
        <w:t>，且乙基金适用的前端申购费率最高档为</w:t>
      </w:r>
      <w:r>
        <w:rPr>
          <w:rFonts w:ascii="Times New Roman" w:eastAsia="Times New Roman"/>
          <w:spacing w:val="-11"/>
          <w:sz w:val="21"/>
        </w:rPr>
        <w:t>2.0%</w:t>
      </w:r>
      <w:r>
        <w:rPr>
          <w:spacing w:val="-7"/>
          <w:sz w:val="21"/>
        </w:rPr>
        <w:t>，该日乙基金基金份额净值为</w:t>
      </w:r>
      <w:r>
        <w:rPr>
          <w:rFonts w:ascii="Times New Roman" w:eastAsia="Times New Roman"/>
          <w:sz w:val="21"/>
        </w:rPr>
        <w:t>1.300</w:t>
      </w:r>
      <w:r>
        <w:rPr>
          <w:spacing w:val="-3"/>
          <w:sz w:val="21"/>
        </w:rPr>
        <w:t>元。则转出基金费用、转入基金费用及份额计算如</w:t>
      </w:r>
      <w:r>
        <w:rPr>
          <w:sz w:val="21"/>
        </w:rPr>
        <w:t>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ListParagraph"/>
        <w:numPr>
          <w:ilvl w:val="0"/>
          <w:numId w:val="14"/>
        </w:numPr>
        <w:tabs>
          <w:tab w:pos="1210" w:val="left" w:leader="none"/>
        </w:tabs>
        <w:spacing w:line="417" w:lineRule="auto" w:before="0" w:after="0"/>
        <w:ind w:left="260" w:right="388" w:firstLine="419"/>
        <w:jc w:val="both"/>
        <w:rPr>
          <w:sz w:val="21"/>
        </w:rPr>
      </w:pPr>
      <w:r>
        <w:rPr/>
        <w:pict>
          <v:shape style="position:absolute;margin-left:110.779999pt;margin-top:41.819962pt;width:374.15pt;height:193.7pt;mso-position-horizontal-relative:page;mso-position-vertical-relative:paragraph;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rPr>
                            <w:sz w:val="21"/>
                          </w:rPr>
                        </w:pPr>
                        <w:r>
                          <w:rPr>
                            <w:sz w:val="21"/>
                          </w:rPr>
                          <w:t>1,000.00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rPr>
                            <w:sz w:val="21"/>
                          </w:rPr>
                        </w:pPr>
                        <w:r>
                          <w:rPr>
                            <w:sz w:val="21"/>
                          </w:rPr>
                          <w:t>1.200</w:t>
                        </w:r>
                      </w:p>
                    </w:tc>
                  </w:tr>
                  <w:tr>
                    <w:trPr>
                      <w:trHeight w:val="311" w:hRule="atLeast"/>
                    </w:trPr>
                    <w:tc>
                      <w:tcPr>
                        <w:tcW w:w="4261"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4"/>
                          <w:rPr>
                            <w:sz w:val="21"/>
                          </w:rPr>
                        </w:pPr>
                        <w:r>
                          <w:rPr>
                            <w:sz w:val="21"/>
                          </w:rPr>
                          <w:t>1,200.00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3"/>
                          <w:rPr>
                            <w:sz w:val="21"/>
                          </w:rPr>
                        </w:pPr>
                        <w:r>
                          <w:rPr>
                            <w:sz w:val="21"/>
                          </w:rPr>
                          <w:t>0.5%</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rPr>
                            <w:sz w:val="21"/>
                          </w:rPr>
                        </w:pPr>
                        <w:r>
                          <w:rPr>
                            <w:sz w:val="21"/>
                          </w:rPr>
                          <w:t>6.00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rPr>
                            <w:sz w:val="21"/>
                          </w:rPr>
                        </w:pPr>
                        <w:r>
                          <w:rPr>
                            <w:sz w:val="21"/>
                          </w:rPr>
                          <w:t>0.00%</w:t>
                        </w:r>
                      </w:p>
                    </w:tc>
                  </w:tr>
                  <w:tr>
                    <w:trPr>
                      <w:trHeight w:val="314" w:hRule="atLeast"/>
                    </w:trPr>
                    <w:tc>
                      <w:tcPr>
                        <w:tcW w:w="4261" w:type="dxa"/>
                      </w:tcPr>
                      <w:p>
                        <w:pPr>
                          <w:pStyle w:val="TableParagraph"/>
                          <w:spacing w:before="25"/>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07" w:type="dxa"/>
                      </w:tcPr>
                      <w:p>
                        <w:pPr>
                          <w:pStyle w:val="TableParagraph"/>
                          <w:spacing w:before="36"/>
                          <w:ind w:right="94"/>
                          <w:rPr>
                            <w:sz w:val="21"/>
                          </w:rPr>
                        </w:pPr>
                        <w:r>
                          <w:rPr>
                            <w:sz w:val="21"/>
                          </w:rPr>
                          <w:t>1,194.00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ind w:right="93"/>
                          <w:rPr>
                            <w:sz w:val="21"/>
                          </w:rPr>
                        </w:pPr>
                        <w:r>
                          <w:rPr>
                            <w:sz w:val="21"/>
                          </w:rPr>
                          <w:t>0.00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ind w:right="93"/>
                          <w:rPr>
                            <w:sz w:val="21"/>
                          </w:rPr>
                        </w:pPr>
                        <w:r>
                          <w:rPr>
                            <w:sz w:val="21"/>
                          </w:rPr>
                          <w:t>1.300</w:t>
                        </w:r>
                      </w:p>
                    </w:tc>
                  </w:tr>
                  <w:tr>
                    <w:trPr>
                      <w:trHeight w:val="311" w:hRule="atLeast"/>
                    </w:trPr>
                    <w:tc>
                      <w:tcPr>
                        <w:tcW w:w="4261"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BodyText"/>
        <w:spacing w:line="417" w:lineRule="auto"/>
        <w:ind w:left="260" w:right="49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5"/>
        </w:numPr>
        <w:tabs>
          <w:tab w:pos="1210" w:val="left" w:leader="none"/>
        </w:tabs>
        <w:spacing w:line="417" w:lineRule="auto" w:before="1" w:after="0"/>
        <w:ind w:left="260" w:right="491" w:firstLine="419"/>
        <w:jc w:val="both"/>
        <w:rPr>
          <w:sz w:val="21"/>
        </w:rPr>
      </w:pPr>
      <w:r>
        <w:rPr/>
        <w:pict>
          <v:shape style="position:absolute;margin-left:111.5pt;margin-top:65.269951pt;width:372.7pt;height:64.95pt;mso-position-horizontal-relative:page;mso-position-vertical-relative:paragraph;z-index:251699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before="22"/>
                          <w:ind w:left="1164" w:right="1156"/>
                          <w:jc w:val="center"/>
                          <w:rPr>
                            <w:rFonts w:ascii="宋体" w:eastAsia="宋体" w:hint="eastAsia"/>
                            <w:sz w:val="21"/>
                          </w:rPr>
                        </w:pPr>
                        <w:r>
                          <w:rPr>
                            <w:rFonts w:ascii="宋体" w:eastAsia="宋体" w:hint="eastAsia"/>
                            <w:sz w:val="21"/>
                          </w:rPr>
                          <w:t>费用计算</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spacing w:before="36"/>
                          <w:ind w:right="95"/>
                          <w:rPr>
                            <w:sz w:val="21"/>
                          </w:rPr>
                        </w:pPr>
                        <w:r>
                          <w:rPr>
                            <w:sz w:val="21"/>
                          </w:rPr>
                          <w:t>10,000,000.00</w:t>
                        </w:r>
                      </w:p>
                    </w:tc>
                  </w:tr>
                  <w:tr>
                    <w:trPr>
                      <w:trHeight w:val="311"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ind w:right="94"/>
                          <w:rPr>
                            <w:sz w:val="21"/>
                          </w:rPr>
                        </w:pPr>
                        <w:r>
                          <w:rPr>
                            <w:sz w:val="21"/>
                          </w:rPr>
                          <w:t>1.200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ind w:right="95"/>
                          <w:rPr>
                            <w:sz w:val="21"/>
                          </w:rPr>
                        </w:pPr>
                        <w:r>
                          <w:rPr>
                            <w:sz w:val="21"/>
                          </w:rPr>
                          <w:t>12,000,000.00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540" w:right="1300"/>
        </w:sect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2"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ind w:right="93"/>
              <w:rPr>
                <w:sz w:val="21"/>
              </w:rPr>
            </w:pPr>
            <w:r>
              <w:rPr>
                <w:sz w:val="21"/>
              </w:rPr>
              <w:t>0.5%</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ind w:right="95"/>
              <w:rPr>
                <w:sz w:val="21"/>
              </w:rPr>
            </w:pPr>
            <w:r>
              <w:rPr>
                <w:sz w:val="21"/>
              </w:rPr>
              <w:t>60,000.00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ind w:right="95"/>
              <w:rPr>
                <w:sz w:val="21"/>
              </w:rPr>
            </w:pPr>
            <w:r>
              <w:rPr>
                <w:sz w:val="21"/>
              </w:rPr>
              <w:t>11,940,000.00</w:t>
            </w:r>
          </w:p>
        </w:tc>
      </w:tr>
      <w:tr>
        <w:trPr>
          <w:trHeight w:val="313"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spacing w:before="36"/>
              <w:ind w:right="95"/>
              <w:rPr>
                <w:sz w:val="21"/>
              </w:rPr>
            </w:pPr>
            <w:r>
              <w:rPr>
                <w:sz w:val="21"/>
              </w:rPr>
              <w:t>1,000.00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ind w:right="95"/>
              <w:rPr>
                <w:sz w:val="21"/>
              </w:rPr>
            </w:pPr>
            <w:r>
              <w:rPr>
                <w:sz w:val="21"/>
              </w:rPr>
              <w:t>11,939,000.00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ind w:right="94"/>
              <w:rPr>
                <w:sz w:val="21"/>
              </w:rPr>
            </w:pPr>
            <w:r>
              <w:rPr>
                <w:sz w:val="21"/>
              </w:rPr>
              <w:t>1.300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ind w:right="95"/>
              <w:rPr>
                <w:sz w:val="21"/>
              </w:rPr>
            </w:pPr>
            <w:r>
              <w:rPr>
                <w:sz w:val="21"/>
              </w:rPr>
              <w:t>9,183,846.15</w:t>
            </w:r>
          </w:p>
        </w:tc>
      </w:tr>
    </w:tbl>
    <w:p>
      <w:pPr>
        <w:pStyle w:val="ListParagraph"/>
        <w:numPr>
          <w:ilvl w:val="0"/>
          <w:numId w:val="15"/>
        </w:numPr>
        <w:tabs>
          <w:tab w:pos="1210" w:val="left" w:leader="none"/>
        </w:tabs>
        <w:spacing w:line="417" w:lineRule="auto" w:before="109" w:after="0"/>
        <w:ind w:left="260" w:right="491" w:firstLine="419"/>
        <w:jc w:val="both"/>
        <w:rPr>
          <w:sz w:val="21"/>
        </w:rPr>
      </w:pPr>
      <w:r>
        <w:rPr/>
        <w:pict>
          <v:shape style="position:absolute;margin-left:111.139999pt;margin-top:70.700012pt;width:373.4pt;height:177.65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rPr>
                            <w:sz w:val="21"/>
                          </w:rPr>
                        </w:pPr>
                        <w:r>
                          <w:rPr>
                            <w:sz w:val="21"/>
                          </w:rPr>
                          <w:t>10,000,000.00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ind w:right="94"/>
                          <w:rPr>
                            <w:sz w:val="21"/>
                          </w:rPr>
                        </w:pPr>
                        <w:r>
                          <w:rPr>
                            <w:sz w:val="21"/>
                          </w:rPr>
                          <w:t>60,000.00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ind w:right="94"/>
                          <w:rPr>
                            <w:sz w:val="21"/>
                          </w:rPr>
                        </w:pPr>
                        <w:r>
                          <w:rPr>
                            <w:sz w:val="21"/>
                          </w:rPr>
                          <w:t>11,940,000.00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spacing w:before="36"/>
                          <w:ind w:right="94"/>
                          <w:rPr>
                            <w:sz w:val="21"/>
                          </w:rPr>
                        </w:pPr>
                        <w:r>
                          <w:rPr>
                            <w:sz w:val="21"/>
                          </w:rPr>
                          <w:t>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ind w:right="94"/>
                          <w:rPr>
                            <w:sz w:val="21"/>
                          </w:rPr>
                        </w:pPr>
                        <w:r>
                          <w:rPr>
                            <w:sz w:val="21"/>
                          </w:rPr>
                          <w:t>11,940,000.00</w:t>
                        </w:r>
                      </w:p>
                    </w:tc>
                  </w:tr>
                  <w:tr>
                    <w:trPr>
                      <w:trHeight w:val="311"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ind w:right="94"/>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417" w:lineRule="auto"/>
        <w:ind w:left="260" w:right="491" w:firstLine="419"/>
        <w:jc w:val="both"/>
      </w:pPr>
      <w:r>
        <w:rPr/>
        <w:pict>
          <v:shape style="position:absolute;margin-left:111.260002pt;margin-top:88.620026pt;width:373.2pt;height:177.65pt;mso-position-horizontal-relative:page;mso-position-vertical-relative:paragraph;z-index:251701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spacing w:before="22"/>
                          <w:ind w:left="1676" w:right="1667"/>
                          <w:jc w:val="center"/>
                          <w:rPr>
                            <w:rFonts w:ascii="宋体" w:eastAsia="宋体" w:hint="eastAsia"/>
                            <w:sz w:val="21"/>
                          </w:rPr>
                        </w:pPr>
                        <w:r>
                          <w:rPr>
                            <w:rFonts w:ascii="宋体" w:eastAsia="宋体" w:hint="eastAsia"/>
                            <w:sz w:val="21"/>
                          </w:rPr>
                          <w:t>项目</w:t>
                        </w:r>
                      </w:p>
                    </w:tc>
                    <w:tc>
                      <w:tcPr>
                        <w:tcW w:w="3215" w:type="dxa"/>
                      </w:tcPr>
                      <w:p>
                        <w:pPr>
                          <w:pStyle w:val="TableParagraph"/>
                          <w:spacing w:before="22"/>
                          <w:ind w:left="1110" w:right="1215"/>
                          <w:jc w:val="center"/>
                          <w:rPr>
                            <w:rFonts w:ascii="宋体" w:eastAsia="宋体" w:hint="eastAsia"/>
                            <w:sz w:val="21"/>
                          </w:rPr>
                        </w:pPr>
                        <w:r>
                          <w:rPr>
                            <w:rFonts w:ascii="宋体" w:eastAsia="宋体" w:hint="eastAsia"/>
                            <w:sz w:val="21"/>
                          </w:rPr>
                          <w:t>费用计算</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spacing w:before="36"/>
                          <w:ind w:right="93"/>
                          <w:rPr>
                            <w:sz w:val="21"/>
                          </w:rPr>
                        </w:pPr>
                        <w:r>
                          <w:rPr>
                            <w:sz w:val="21"/>
                          </w:rPr>
                          <w:t>1,000.00</w:t>
                        </w:r>
                      </w:p>
                    </w:tc>
                  </w:tr>
                  <w:tr>
                    <w:trPr>
                      <w:trHeight w:val="312"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rPr>
                            <w:sz w:val="21"/>
                          </w:rPr>
                        </w:pPr>
                        <w:r>
                          <w:rPr>
                            <w:sz w:val="21"/>
                          </w:rPr>
                          <w:t>1,200.00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rPr>
                            <w:sz w:val="21"/>
                          </w:rPr>
                        </w:pPr>
                        <w:r>
                          <w:rPr>
                            <w:sz w:val="21"/>
                          </w:rPr>
                          <w:t>6.00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rPr>
                            <w:sz w:val="21"/>
                          </w:rPr>
                        </w:pPr>
                        <w:r>
                          <w:rPr>
                            <w:sz w:val="21"/>
                          </w:rPr>
                          <w:t>1,194.00</w:t>
                        </w:r>
                      </w:p>
                    </w:tc>
                  </w:tr>
                  <w:tr>
                    <w:trPr>
                      <w:trHeight w:val="313"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spacing w:before="36"/>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rPr>
                            <w:sz w:val="21"/>
                          </w:rPr>
                        </w:pPr>
                        <w:r>
                          <w:rPr>
                            <w:sz w:val="21"/>
                          </w:rPr>
                          <w:t>1.500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2"/>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spacing w:line="417" w:lineRule="auto" w:before="1"/>
        <w:ind w:left="260" w:right="491" w:firstLine="419"/>
        <w:jc w:val="both"/>
      </w:pP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spacing w:after="0" w:line="417" w:lineRule="auto"/>
        <w:jc w:val="both"/>
        <w:sectPr>
          <w:pgSz w:w="11910" w:h="16840"/>
          <w:pgMar w:header="877" w:footer="995" w:top="1420" w:bottom="1180" w:left="1540" w:right="1300"/>
        </w:sectPr>
      </w:pPr>
    </w:p>
    <w:tbl>
      <w:tblPr>
        <w:tblW w:w="0" w:type="auto"/>
        <w:jc w:val="left"/>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2" w:hRule="atLeast"/>
        </w:trPr>
        <w:tc>
          <w:tcPr>
            <w:tcW w:w="4232" w:type="dxa"/>
          </w:tcPr>
          <w:p>
            <w:pPr>
              <w:pStyle w:val="TableParagraph"/>
              <w:spacing w:before="23"/>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3"/>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rPr>
                <w:sz w:val="21"/>
              </w:rPr>
            </w:pPr>
            <w:r>
              <w:rPr>
                <w:sz w:val="21"/>
              </w:rPr>
              <w:t>796.00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rPr>
                <w:sz w:val="21"/>
              </w:rPr>
            </w:pPr>
            <w:r>
              <w:rPr>
                <w:sz w:val="21"/>
              </w:rPr>
              <w:t>1,034.80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ind w:right="93"/>
              <w:rPr>
                <w:sz w:val="21"/>
              </w:rPr>
            </w:pPr>
            <w:r>
              <w:rPr>
                <w:sz w:val="21"/>
              </w:rPr>
              <w:t>14.16</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w:t>
            </w:r>
          </w:p>
        </w:tc>
      </w:tr>
    </w:tbl>
    <w:p>
      <w:pPr>
        <w:pStyle w:val="BodyText"/>
        <w:spacing w:line="417" w:lineRule="auto" w:before="109"/>
        <w:ind w:left="260" w:right="385" w:firstLine="419"/>
      </w:pPr>
      <w:r>
        <w:rPr/>
        <w:pict>
          <v:shape style="position:absolute;margin-left:110.779999pt;margin-top:70.699982pt;width:374.15pt;height:177.65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4" w:hRule="atLeast"/>
                    </w:trPr>
                    <w:tc>
                      <w:tcPr>
                        <w:tcW w:w="4244" w:type="dxa"/>
                      </w:tcPr>
                      <w:p>
                        <w:pPr>
                          <w:pStyle w:val="TableParagraph"/>
                          <w:spacing w:before="25"/>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rPr>
                            <w:sz w:val="21"/>
                          </w:rPr>
                        </w:pPr>
                        <w:r>
                          <w:rPr>
                            <w:sz w:val="21"/>
                          </w:rPr>
                          <w:t>1,300.00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3"/>
                          <w:rPr>
                            <w:sz w:val="21"/>
                          </w:rPr>
                        </w:pPr>
                        <w:r>
                          <w:rPr>
                            <w:sz w:val="21"/>
                          </w:rPr>
                          <w:t>6.50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rPr>
                            <w:sz w:val="21"/>
                          </w:rPr>
                        </w:pPr>
                        <w:r>
                          <w:rPr>
                            <w:sz w:val="21"/>
                          </w:rPr>
                          <w:t>1,293.50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1"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rPr>
                            <w:sz w:val="21"/>
                          </w:rPr>
                        </w:pPr>
                        <w:r>
                          <w:rPr>
                            <w:sz w:val="21"/>
                          </w:rPr>
                          <w:t>1,293.50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3"/>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417" w:lineRule="auto"/>
        <w:ind w:left="260" w:right="49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6"/>
        </w:numPr>
        <w:tabs>
          <w:tab w:pos="1210" w:val="left" w:leader="none"/>
        </w:tabs>
        <w:spacing w:line="417" w:lineRule="auto" w:before="0" w:after="0"/>
        <w:ind w:left="260" w:right="493" w:firstLine="419"/>
        <w:jc w:val="both"/>
        <w:rPr>
          <w:sz w:val="21"/>
        </w:rPr>
      </w:pPr>
      <w:r>
        <w:rPr/>
        <w:pict>
          <v:shape style="position:absolute;margin-left:110.540001pt;margin-top:65.250023pt;width:374.6pt;height:177.65pt;mso-position-horizontal-relative:page;mso-position-vertical-relative:paragraph;z-index:2517032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4" w:hRule="atLeast"/>
                    </w:trPr>
                    <w:tc>
                      <w:tcPr>
                        <w:tcW w:w="4266" w:type="dxa"/>
                      </w:tcPr>
                      <w:p>
                        <w:pPr>
                          <w:pStyle w:val="TableParagraph"/>
                          <w:spacing w:before="25"/>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5"/>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rPr>
                            <w:sz w:val="21"/>
                          </w:rPr>
                        </w:pPr>
                        <w:r>
                          <w:rPr>
                            <w:sz w:val="21"/>
                          </w:rPr>
                          <w:t>10,000,000.00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4"/>
                          <w:rPr>
                            <w:sz w:val="21"/>
                          </w:rPr>
                        </w:pPr>
                        <w:r>
                          <w:rPr>
                            <w:sz w:val="21"/>
                          </w:rPr>
                          <w:t>1.200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ind w:right="93"/>
                          <w:rPr>
                            <w:sz w:val="21"/>
                          </w:rPr>
                        </w:pPr>
                        <w:r>
                          <w:rPr>
                            <w:sz w:val="21"/>
                          </w:rPr>
                          <w:t>0.5%</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rPr>
                            <w:sz w:val="21"/>
                          </w:rPr>
                        </w:pPr>
                        <w:r>
                          <w:rPr>
                            <w:sz w:val="21"/>
                          </w:rPr>
                          <w:t>60,000.00</w:t>
                        </w:r>
                      </w:p>
                    </w:tc>
                  </w:tr>
                  <w:tr>
                    <w:trPr>
                      <w:trHeight w:val="314" w:hRule="atLeast"/>
                    </w:trPr>
                    <w:tc>
                      <w:tcPr>
                        <w:tcW w:w="4266" w:type="dxa"/>
                      </w:tcPr>
                      <w:p>
                        <w:pPr>
                          <w:pStyle w:val="TableParagraph"/>
                          <w:spacing w:before="25"/>
                          <w:ind w:left="105"/>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36"/>
                          <w:ind w:right="94"/>
                          <w:rPr>
                            <w:sz w:val="21"/>
                          </w:rPr>
                        </w:pPr>
                        <w:r>
                          <w:rPr>
                            <w:sz w:val="21"/>
                          </w:rPr>
                          <w:t>11,940,000.00</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ind w:right="94"/>
                          <w:rPr>
                            <w:sz w:val="21"/>
                          </w:rPr>
                        </w:pPr>
                        <w:r>
                          <w:rPr>
                            <w:sz w:val="21"/>
                          </w:rPr>
                          <w:t>1.5%-1.2%=0.3%</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ind w:right="94"/>
                          <w:rPr>
                            <w:sz w:val="21"/>
                          </w:rPr>
                        </w:pPr>
                        <w:r>
                          <w:rPr>
                            <w:sz w:val="21"/>
                          </w:rPr>
                          <w:t>11,904,287.14</w:t>
                        </w:r>
                      </w:p>
                    </w:tc>
                  </w:tr>
                  <w:tr>
                    <w:trPr>
                      <w:trHeight w:val="311" w:hRule="atLeast"/>
                    </w:trPr>
                    <w:tc>
                      <w:tcPr>
                        <w:tcW w:w="4266" w:type="dxa"/>
                      </w:tcPr>
                      <w:p>
                        <w:pPr>
                          <w:pStyle w:val="TableParagraph"/>
                          <w:spacing w:before="23"/>
                          <w:ind w:left="105"/>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ind w:right="94"/>
                          <w:rPr>
                            <w:sz w:val="21"/>
                          </w:rPr>
                        </w:pPr>
                        <w:r>
                          <w:rPr>
                            <w:sz w:val="21"/>
                          </w:rPr>
                          <w:t>35,712.86</w:t>
                        </w:r>
                      </w:p>
                    </w:tc>
                  </w:tr>
                  <w:tr>
                    <w:trPr>
                      <w:trHeight w:val="311" w:hRule="atLeast"/>
                    </w:trPr>
                    <w:tc>
                      <w:tcPr>
                        <w:tcW w:w="4266" w:type="dxa"/>
                      </w:tcPr>
                      <w:p>
                        <w:pPr>
                          <w:pStyle w:val="TableParagraph"/>
                          <w:spacing w:before="22"/>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4"/>
                          <w:rPr>
                            <w:sz w:val="21"/>
                          </w:rPr>
                        </w:pPr>
                        <w:r>
                          <w:rPr>
                            <w:sz w:val="21"/>
                          </w:rPr>
                          <w:t>1.300</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540" w:right="1300"/>
        </w:sect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2" w:hRule="atLeast"/>
        </w:trPr>
        <w:tc>
          <w:tcPr>
            <w:tcW w:w="4266" w:type="dxa"/>
          </w:tcPr>
          <w:p>
            <w:pPr>
              <w:pStyle w:val="TableParagraph"/>
              <w:spacing w:before="23"/>
              <w:ind w:left="105"/>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left="2001"/>
              <w:jc w:val="left"/>
              <w:rPr>
                <w:sz w:val="21"/>
              </w:rPr>
            </w:pPr>
            <w:r>
              <w:rPr>
                <w:sz w:val="21"/>
              </w:rPr>
              <w:t>9,157,143.95</w:t>
            </w:r>
          </w:p>
        </w:tc>
      </w:tr>
    </w:tbl>
    <w:p>
      <w:pPr>
        <w:pStyle w:val="ListParagraph"/>
        <w:numPr>
          <w:ilvl w:val="0"/>
          <w:numId w:val="16"/>
        </w:numPr>
        <w:tabs>
          <w:tab w:pos="1210" w:val="left" w:leader="none"/>
        </w:tabs>
        <w:spacing w:line="417" w:lineRule="auto" w:before="109" w:after="0"/>
        <w:ind w:left="260" w:right="493" w:firstLine="419"/>
        <w:jc w:val="both"/>
        <w:rPr>
          <w:sz w:val="21"/>
        </w:rPr>
      </w:pPr>
      <w:r>
        <w:rPr/>
        <w:pict>
          <v:shape style="position:absolute;margin-left:110.779999pt;margin-top:70.669975pt;width:374.15pt;height:193.75pt;mso-position-horizontal-relative:page;mso-position-vertical-relative:paragraph;z-index:251704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71" w:right="1157"/>
                          <w:jc w:val="center"/>
                          <w:rPr>
                            <w:rFonts w:ascii="宋体" w:eastAsia="宋体" w:hint="eastAsia"/>
                            <w:sz w:val="21"/>
                          </w:rPr>
                        </w:pPr>
                        <w:r>
                          <w:rPr>
                            <w:rFonts w:ascii="宋体" w:eastAsia="宋体" w:hint="eastAsia"/>
                            <w:sz w:val="21"/>
                          </w:rPr>
                          <w:t>费用计算</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spacing w:before="36"/>
                          <w:ind w:right="91"/>
                          <w:rPr>
                            <w:sz w:val="21"/>
                          </w:rPr>
                        </w:pPr>
                        <w:r>
                          <w:rPr>
                            <w:sz w:val="21"/>
                          </w:rPr>
                          <w:t>10,000,000.00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1"/>
                          <w:rPr>
                            <w:sz w:val="21"/>
                          </w:rPr>
                        </w:pPr>
                        <w:r>
                          <w:rPr>
                            <w:sz w:val="21"/>
                          </w:rPr>
                          <w:t>1.200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1"/>
                          <w:rPr>
                            <w:sz w:val="21"/>
                          </w:rPr>
                        </w:pPr>
                        <w:r>
                          <w:rPr>
                            <w:sz w:val="21"/>
                          </w:rPr>
                          <w:t>12,000,000.00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rPr>
                            <w:sz w:val="21"/>
                          </w:rPr>
                        </w:pPr>
                        <w:r>
                          <w:rPr>
                            <w:sz w:val="21"/>
                          </w:rPr>
                          <w:t>0.5%</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1"/>
                          <w:rPr>
                            <w:sz w:val="21"/>
                          </w:rPr>
                        </w:pPr>
                        <w:r>
                          <w:rPr>
                            <w:sz w:val="21"/>
                          </w:rPr>
                          <w:t>60,000.00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1"/>
                          <w:rPr>
                            <w:sz w:val="21"/>
                          </w:rPr>
                        </w:pPr>
                        <w:r>
                          <w:rPr>
                            <w:sz w:val="21"/>
                          </w:rPr>
                          <w:t>11,940,000.00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spacing w:before="36"/>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4" w:type="dxa"/>
                      </w:tcPr>
                      <w:p>
                        <w:pPr>
                          <w:pStyle w:val="TableParagraph"/>
                          <w:ind w:right="91"/>
                          <w:rPr>
                            <w:sz w:val="21"/>
                          </w:rPr>
                        </w:pPr>
                        <w:r>
                          <w:rPr>
                            <w:sz w:val="21"/>
                          </w:rPr>
                          <w:t>11,940,000.00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ind w:right="91"/>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ind w:right="91"/>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line="417" w:lineRule="auto" w:before="1"/>
        <w:ind w:left="260" w:right="49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7"/>
        </w:numPr>
        <w:tabs>
          <w:tab w:pos="1210" w:val="left" w:leader="none"/>
        </w:tabs>
        <w:spacing w:line="417" w:lineRule="auto" w:before="0" w:after="0"/>
        <w:ind w:left="260" w:right="491" w:firstLine="419"/>
        <w:jc w:val="both"/>
        <w:rPr>
          <w:sz w:val="21"/>
        </w:rPr>
      </w:pPr>
      <w:r>
        <w:rPr/>
        <w:pict>
          <v:shape style="position:absolute;margin-left:111.019997pt;margin-top:65.219994pt;width:373.65pt;height:177.65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3" w:hRule="atLeast"/>
                    </w:trPr>
                    <w:tc>
                      <w:tcPr>
                        <w:tcW w:w="4239" w:type="dxa"/>
                      </w:tcPr>
                      <w:p>
                        <w:pPr>
                          <w:pStyle w:val="TableParagraph"/>
                          <w:spacing w:before="25"/>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before="25"/>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ind w:right="93"/>
                          <w:rPr>
                            <w:sz w:val="21"/>
                          </w:rPr>
                        </w:pPr>
                        <w:r>
                          <w:rPr>
                            <w:sz w:val="21"/>
                          </w:rPr>
                          <w:t>10,000,000.00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ind w:right="93"/>
                          <w:rPr>
                            <w:sz w:val="21"/>
                          </w:rPr>
                        </w:pPr>
                        <w:r>
                          <w:rPr>
                            <w:sz w:val="21"/>
                          </w:rPr>
                          <w:t>1.200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ind w:right="93"/>
                          <w:rPr>
                            <w:sz w:val="21"/>
                          </w:rPr>
                        </w:pPr>
                        <w:r>
                          <w:rPr>
                            <w:sz w:val="21"/>
                          </w:rPr>
                          <w:t>12,000,000.00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ind w:right="92"/>
                          <w:rPr>
                            <w:sz w:val="21"/>
                          </w:rPr>
                        </w:pPr>
                        <w:r>
                          <w:rPr>
                            <w:sz w:val="21"/>
                          </w:rPr>
                          <w:t>0.5%</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rPr>
                            <w:sz w:val="21"/>
                          </w:rPr>
                        </w:pPr>
                        <w:r>
                          <w:rPr>
                            <w:sz w:val="21"/>
                          </w:rPr>
                          <w:t>60,000.00</w:t>
                        </w:r>
                      </w:p>
                    </w:tc>
                  </w:tr>
                  <w:tr>
                    <w:trPr>
                      <w:trHeight w:val="314" w:hRule="atLeast"/>
                    </w:trPr>
                    <w:tc>
                      <w:tcPr>
                        <w:tcW w:w="4239"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spacing w:before="37"/>
                          <w:ind w:right="93"/>
                          <w:rPr>
                            <w:sz w:val="21"/>
                          </w:rPr>
                        </w:pPr>
                        <w:r>
                          <w:rPr>
                            <w:sz w:val="21"/>
                          </w:rPr>
                          <w:t>11,940,000.00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ind w:right="93"/>
                          <w:rPr>
                            <w:sz w:val="21"/>
                          </w:rPr>
                        </w:pPr>
                        <w:r>
                          <w:rPr>
                            <w:sz w:val="21"/>
                          </w:rPr>
                          <w:t>1,000-500=500.00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ind w:right="93"/>
                          <w:rPr>
                            <w:sz w:val="21"/>
                          </w:rPr>
                        </w:pPr>
                        <w:r>
                          <w:rPr>
                            <w:sz w:val="21"/>
                          </w:rPr>
                          <w:t>11,939,500.00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ind w:right="93"/>
                          <w:rPr>
                            <w:sz w:val="21"/>
                          </w:rPr>
                        </w:pPr>
                        <w:r>
                          <w:rPr>
                            <w:sz w:val="21"/>
                          </w:rPr>
                          <w:t>1.300</w:t>
                        </w:r>
                      </w:p>
                    </w:tc>
                  </w:tr>
                  <w:tr>
                    <w:trPr>
                      <w:trHeight w:val="311" w:hRule="atLeast"/>
                    </w:trPr>
                    <w:tc>
                      <w:tcPr>
                        <w:tcW w:w="4239"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ind w:right="93"/>
                          <w:rPr>
                            <w:sz w:val="21"/>
                          </w:rPr>
                        </w:pPr>
                        <w:r>
                          <w:rPr>
                            <w:sz w:val="21"/>
                          </w:rPr>
                          <w:t>9,184,230.77</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7"/>
        </w:numPr>
        <w:tabs>
          <w:tab w:pos="1210" w:val="left" w:leader="none"/>
        </w:tabs>
        <w:spacing w:line="417" w:lineRule="auto" w:before="0" w:after="0"/>
        <w:ind w:left="260" w:right="491" w:firstLine="419"/>
        <w:jc w:val="both"/>
        <w:rPr>
          <w:sz w:val="21"/>
        </w:rPr>
      </w:pPr>
      <w:r>
        <w:rPr/>
        <w:pict>
          <v:shape style="position:absolute;margin-left:111.379997pt;margin-top:65.220024pt;width:372.8pt;height:48.9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3" w:hRule="atLeast"/>
                    </w:trPr>
                    <w:tc>
                      <w:tcPr>
                        <w:tcW w:w="4232" w:type="dxa"/>
                      </w:tcPr>
                      <w:p>
                        <w:pPr>
                          <w:pStyle w:val="TableParagraph"/>
                          <w:spacing w:before="25"/>
                          <w:ind w:left="1673" w:right="1666"/>
                          <w:jc w:val="center"/>
                          <w:rPr>
                            <w:rFonts w:ascii="宋体" w:eastAsia="宋体" w:hint="eastAsia"/>
                            <w:sz w:val="21"/>
                          </w:rPr>
                        </w:pPr>
                        <w:r>
                          <w:rPr>
                            <w:rFonts w:ascii="宋体" w:eastAsia="宋体" w:hint="eastAsia"/>
                            <w:sz w:val="21"/>
                          </w:rPr>
                          <w:t>项目</w:t>
                        </w:r>
                      </w:p>
                    </w:tc>
                    <w:tc>
                      <w:tcPr>
                        <w:tcW w:w="3209" w:type="dxa"/>
                      </w:tcPr>
                      <w:p>
                        <w:pPr>
                          <w:pStyle w:val="TableParagraph"/>
                          <w:spacing w:before="25"/>
                          <w:ind w:left="1166" w:right="1152"/>
                          <w:jc w:val="center"/>
                          <w:rPr>
                            <w:rFonts w:ascii="宋体" w:eastAsia="宋体" w:hint="eastAsia"/>
                            <w:sz w:val="21"/>
                          </w:rPr>
                        </w:pPr>
                        <w:r>
                          <w:rPr>
                            <w:rFonts w:ascii="宋体" w:eastAsia="宋体" w:hint="eastAsia"/>
                            <w:sz w:val="21"/>
                          </w:rPr>
                          <w:t>费用计算</w:t>
                        </w:r>
                      </w:p>
                    </w:tc>
                  </w:tr>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rPr>
                            <w:sz w:val="21"/>
                          </w:rPr>
                        </w:pPr>
                        <w:r>
                          <w:rPr>
                            <w:sz w:val="21"/>
                          </w:rPr>
                          <w:t>10,000,000.00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ind w:right="90"/>
                          <w:rPr>
                            <w:sz w:val="21"/>
                          </w:rPr>
                        </w:pPr>
                        <w:r>
                          <w:rPr>
                            <w:sz w:val="21"/>
                          </w:rPr>
                          <w:t>1.200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spacing w:after="0" w:line="417" w:lineRule="auto"/>
        <w:jc w:val="both"/>
        <w:rPr>
          <w:sz w:val="21"/>
        </w:rPr>
        <w:sectPr>
          <w:pgSz w:w="11910" w:h="16840"/>
          <w:pgMar w:header="877" w:footer="995" w:top="1420" w:bottom="1180" w:left="1540" w:right="1300"/>
        </w:sectPr>
      </w:pPr>
    </w:p>
    <w:tbl>
      <w:tblPr>
        <w:tblW w:w="0" w:type="auto"/>
        <w:jc w:val="left"/>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ind w:right="91"/>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ind w:right="90"/>
              <w:rPr>
                <w:sz w:val="21"/>
              </w:rPr>
            </w:pPr>
            <w:r>
              <w:rPr>
                <w:sz w:val="21"/>
              </w:rPr>
              <w:t>0.5%</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rPr>
                <w:sz w:val="21"/>
              </w:rPr>
            </w:pPr>
            <w:r>
              <w:rPr>
                <w:sz w:val="21"/>
              </w:rPr>
              <w:t>60,000.00</w:t>
            </w:r>
          </w:p>
        </w:tc>
      </w:tr>
      <w:tr>
        <w:trPr>
          <w:trHeight w:val="313"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spacing w:before="36"/>
              <w:ind w:right="91"/>
              <w:rPr>
                <w:sz w:val="21"/>
              </w:rPr>
            </w:pPr>
            <w:r>
              <w:rPr>
                <w:sz w:val="21"/>
              </w:rPr>
              <w:t>11,940,000.00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rPr>
                <w:sz w:val="21"/>
              </w:rPr>
            </w:pPr>
            <w:r>
              <w:rPr>
                <w:sz w:val="21"/>
              </w:rPr>
              <w:t>11,940,000.00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ind w:right="90"/>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ind w:right="91"/>
              <w:rPr>
                <w:sz w:val="21"/>
              </w:rPr>
            </w:pPr>
            <w:r>
              <w:rPr>
                <w:sz w:val="21"/>
              </w:rPr>
              <w:t>9,184,615.38</w:t>
            </w:r>
          </w:p>
        </w:tc>
      </w:tr>
    </w:tbl>
    <w:p>
      <w:pPr>
        <w:pStyle w:val="BodyText"/>
        <w:spacing w:before="109"/>
        <w:ind w:left="68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7"/>
        <w:rPr>
          <w:sz w:val="15"/>
        </w:rPr>
      </w:pPr>
    </w:p>
    <w:p>
      <w:pPr>
        <w:pStyle w:val="BodyText"/>
        <w:spacing w:line="417" w:lineRule="auto"/>
        <w:ind w:left="260" w:right="492"/>
        <w:jc w:val="both"/>
      </w:pPr>
      <w:r>
        <w:rPr/>
        <w:pict>
          <v:shape style="position:absolute;margin-left:111.260002pt;margin-top:65.250023pt;width:373.2pt;height:182.3pt;mso-position-horizontal-relative:page;mso-position-vertical-relative:paragraph;z-index:251707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07" w:hRule="atLeast"/>
                    </w:trPr>
                    <w:tc>
                      <w:tcPr>
                        <w:tcW w:w="4235" w:type="dxa"/>
                      </w:tcPr>
                      <w:p>
                        <w:pPr>
                          <w:pStyle w:val="TableParagraph"/>
                          <w:spacing w:before="70"/>
                          <w:ind w:left="1887" w:right="1456"/>
                          <w:jc w:val="center"/>
                          <w:rPr>
                            <w:rFonts w:ascii="宋体" w:eastAsia="宋体" w:hint="eastAsia"/>
                            <w:sz w:val="21"/>
                          </w:rPr>
                        </w:pPr>
                        <w:r>
                          <w:rPr>
                            <w:rFonts w:ascii="宋体" w:eastAsia="宋体" w:hint="eastAsia"/>
                            <w:sz w:val="21"/>
                          </w:rPr>
                          <w:t>项目</w:t>
                        </w:r>
                      </w:p>
                    </w:tc>
                    <w:tc>
                      <w:tcPr>
                        <w:tcW w:w="3215" w:type="dxa"/>
                      </w:tcPr>
                      <w:p>
                        <w:pPr>
                          <w:pStyle w:val="TableParagraph"/>
                          <w:spacing w:before="70"/>
                          <w:ind w:left="1336"/>
                          <w:jc w:val="left"/>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rPr>
                            <w:sz w:val="21"/>
                          </w:rPr>
                        </w:pPr>
                        <w:r>
                          <w:rPr>
                            <w:sz w:val="21"/>
                          </w:rPr>
                          <w:t>10,000,000.00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rPr>
                            <w:sz w:val="21"/>
                          </w:rPr>
                        </w:pPr>
                        <w:r>
                          <w:rPr>
                            <w:sz w:val="21"/>
                          </w:rPr>
                          <w:t>1.200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rPr>
                            <w:sz w:val="21"/>
                          </w:rPr>
                        </w:pPr>
                        <w:r>
                          <w:rPr>
                            <w:sz w:val="21"/>
                          </w:rPr>
                          <w:t>12,000,000.00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rPr>
                            <w:sz w:val="21"/>
                          </w:rPr>
                        </w:pPr>
                        <w:r>
                          <w:rPr>
                            <w:sz w:val="21"/>
                          </w:rPr>
                          <w:t>0.5%</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rPr>
                            <w:sz w:val="21"/>
                          </w:rPr>
                        </w:pPr>
                        <w:r>
                          <w:rPr>
                            <w:sz w:val="21"/>
                          </w:rPr>
                          <w:t>60,000.00</w:t>
                        </w:r>
                      </w:p>
                    </w:tc>
                  </w:tr>
                  <w:tr>
                    <w:trPr>
                      <w:trHeight w:val="314" w:hRule="atLeast"/>
                    </w:trPr>
                    <w:tc>
                      <w:tcPr>
                        <w:tcW w:w="4235"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6"/>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rPr>
                            <w:sz w:val="21"/>
                          </w:rPr>
                        </w:pPr>
                        <w:r>
                          <w:rPr>
                            <w:sz w:val="21"/>
                          </w:rPr>
                          <w:t>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rPr>
                            <w:sz w:val="21"/>
                          </w:rPr>
                        </w:pPr>
                        <w:r>
                          <w:rPr>
                            <w:sz w:val="21"/>
                          </w:rPr>
                          <w:t>11,940,000.00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rPr>
                            <w:sz w:val="21"/>
                          </w:rPr>
                        </w:pPr>
                        <w:r>
                          <w:rPr>
                            <w:sz w:val="21"/>
                          </w:rPr>
                          <w:t>1.500</w:t>
                        </w:r>
                      </w:p>
                    </w:tc>
                  </w:tr>
                  <w:tr>
                    <w:trPr>
                      <w:trHeight w:val="311" w:hRule="atLeast"/>
                    </w:trPr>
                    <w:tc>
                      <w:tcPr>
                        <w:tcW w:w="4235"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3"/>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0"/>
        </w:rPr>
      </w:pPr>
    </w:p>
    <w:p>
      <w:pPr>
        <w:pStyle w:val="BodyText"/>
        <w:spacing w:line="417" w:lineRule="auto"/>
        <w:ind w:left="260" w:right="491" w:firstLine="419"/>
        <w:jc w:val="both"/>
      </w:pPr>
      <w:r>
        <w:rPr/>
        <w:pict>
          <v:shape style="position:absolute;margin-left:111.379997pt;margin-top:65.220016pt;width:372.95pt;height:134.1pt;mso-position-horizontal-relative:page;mso-position-vertical-relative:paragraph;z-index:251708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07" w:hRule="atLeast"/>
                    </w:trPr>
                    <w:tc>
                      <w:tcPr>
                        <w:tcW w:w="4232" w:type="dxa"/>
                      </w:tcPr>
                      <w:p>
                        <w:pPr>
                          <w:pStyle w:val="TableParagraph"/>
                          <w:spacing w:before="70"/>
                          <w:ind w:left="1884" w:right="1454"/>
                          <w:jc w:val="center"/>
                          <w:rPr>
                            <w:rFonts w:ascii="宋体" w:eastAsia="宋体" w:hint="eastAsia"/>
                            <w:sz w:val="21"/>
                          </w:rPr>
                        </w:pPr>
                        <w:r>
                          <w:rPr>
                            <w:rFonts w:ascii="宋体" w:eastAsia="宋体" w:hint="eastAsia"/>
                            <w:sz w:val="21"/>
                          </w:rPr>
                          <w:t>项目</w:t>
                        </w:r>
                      </w:p>
                    </w:tc>
                    <w:tc>
                      <w:tcPr>
                        <w:tcW w:w="3212" w:type="dxa"/>
                      </w:tcPr>
                      <w:p>
                        <w:pPr>
                          <w:pStyle w:val="TableParagraph"/>
                          <w:spacing w:before="70"/>
                          <w:ind w:left="1334"/>
                          <w:jc w:val="left"/>
                          <w:rPr>
                            <w:rFonts w:ascii="宋体" w:eastAsia="宋体" w:hint="eastAsia"/>
                            <w:sz w:val="21"/>
                          </w:rPr>
                        </w:pPr>
                        <w:r>
                          <w:rPr>
                            <w:rFonts w:ascii="宋体" w:eastAsia="宋体" w:hint="eastAsia"/>
                            <w:sz w:val="21"/>
                          </w:rPr>
                          <w:t>费用计算</w:t>
                        </w:r>
                      </w:p>
                    </w:tc>
                  </w:tr>
                  <w:tr>
                    <w:trPr>
                      <w:trHeight w:val="312" w:hRule="atLeast"/>
                    </w:trPr>
                    <w:tc>
                      <w:tcPr>
                        <w:tcW w:w="4232" w:type="dxa"/>
                      </w:tcPr>
                      <w:p>
                        <w:pPr>
                          <w:pStyle w:val="TableParagraph"/>
                          <w:spacing w:before="23"/>
                          <w:ind w:left="107"/>
                          <w:jc w:val="left"/>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rPr>
                            <w:sz w:val="21"/>
                          </w:rPr>
                        </w:pPr>
                        <w:r>
                          <w:rPr>
                            <w:sz w:val="21"/>
                          </w:rPr>
                          <w:t>7,960,000.00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rPr>
                            <w:sz w:val="21"/>
                          </w:rPr>
                        </w:pPr>
                        <w:r>
                          <w:rPr>
                            <w:sz w:val="21"/>
                          </w:rPr>
                          <w:t>10,348,000.00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rPr>
                            <w:sz w:val="21"/>
                          </w:rPr>
                        </w:pPr>
                        <w:r>
                          <w:rPr>
                            <w:sz w:val="21"/>
                          </w:rPr>
                          <w:t>1.2%</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spacing w:before="36"/>
                          <w:ind w:right="94"/>
                          <w:rPr>
                            <w:sz w:val="21"/>
                          </w:rPr>
                        </w:pPr>
                        <w:r>
                          <w:rPr>
                            <w:sz w:val="21"/>
                          </w:rPr>
                          <w:t>141,581.03</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pStyle w:val="BodyText"/>
        <w:spacing w:line="417" w:lineRule="auto"/>
        <w:ind w:left="260" w:right="491" w:firstLine="419"/>
        <w:jc w:val="both"/>
      </w:pPr>
      <w:r>
        <w:rPr/>
        <w:pict>
          <v:shape style="position:absolute;margin-left:110.779999pt;margin-top:65.239952pt;width:374.15pt;height:16.6pt;mso-position-horizontal-relative:page;mso-position-vertical-relative:paragraph;z-index:251709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spacing w:after="0" w:line="417" w:lineRule="auto"/>
        <w:jc w:val="both"/>
        <w:sectPr>
          <w:pgSz w:w="11910" w:h="16840"/>
          <w:pgMar w:header="877" w:footer="995" w:top="1420" w:bottom="1180" w:left="1540" w:right="1300"/>
        </w:sectPr>
      </w:pP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rPr>
                <w:sz w:val="21"/>
              </w:rPr>
            </w:pPr>
            <w:r>
              <w:rPr>
                <w:sz w:val="21"/>
              </w:rPr>
              <w:t>10,000,000.00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rPr>
                <w:sz w:val="21"/>
              </w:rPr>
            </w:pPr>
            <w:r>
              <w:rPr>
                <w:sz w:val="21"/>
              </w:rPr>
              <w:t>13,000,000.00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spacing w:before="36"/>
              <w:ind w:right="93"/>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4"/>
              <w:rPr>
                <w:sz w:val="21"/>
              </w:rPr>
            </w:pPr>
            <w:r>
              <w:rPr>
                <w:sz w:val="21"/>
              </w:rPr>
              <w:t>65,000.00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rPr>
                <w:sz w:val="21"/>
              </w:rPr>
            </w:pPr>
            <w:r>
              <w:rPr>
                <w:sz w:val="21"/>
              </w:rPr>
              <w:t>12,935,000.00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rPr>
                <w:sz w:val="21"/>
              </w:rPr>
            </w:pPr>
            <w:r>
              <w:rPr>
                <w:sz w:val="21"/>
              </w:rPr>
              <w:t>12,935,000.00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rPr>
                <w:sz w:val="21"/>
              </w:rPr>
            </w:pPr>
            <w:r>
              <w:rPr>
                <w:sz w:val="21"/>
              </w:rPr>
              <w:t>1.500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spacing w:before="36"/>
              <w:ind w:right="94"/>
              <w:rPr>
                <w:sz w:val="21"/>
              </w:rPr>
            </w:pPr>
            <w:r>
              <w:rPr>
                <w:sz w:val="21"/>
              </w:rPr>
              <w:t>8,623,333.33</w:t>
            </w:r>
          </w:p>
        </w:tc>
      </w:tr>
    </w:tbl>
    <w:p>
      <w:pPr>
        <w:pStyle w:val="BodyText"/>
        <w:spacing w:line="417" w:lineRule="auto" w:before="110"/>
        <w:ind w:left="260" w:right="38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18"/>
        </w:numPr>
        <w:tabs>
          <w:tab w:pos="1210" w:val="left" w:leader="none"/>
        </w:tabs>
        <w:spacing w:line="417" w:lineRule="auto" w:before="0" w:after="0"/>
        <w:ind w:left="260" w:right="388" w:firstLine="419"/>
        <w:jc w:val="left"/>
        <w:rPr>
          <w:sz w:val="21"/>
        </w:rPr>
      </w:pPr>
      <w:r>
        <w:rPr/>
        <w:pict>
          <v:shape style="position:absolute;margin-left:111.139999pt;margin-top:41.819973pt;width:373.4pt;height:258.2pt;mso-position-horizontal-relative:page;mso-position-vertical-relative:paragraph;z-index:251710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81"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6"/>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1.8%</w:t>
                        </w:r>
                      </w:p>
                    </w:tc>
                  </w:tr>
                  <w:tr>
                    <w:trPr>
                      <w:trHeight w:val="311" w:hRule="atLeast"/>
                    </w:trPr>
                    <w:tc>
                      <w:tcPr>
                        <w:tcW w:w="4237"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25.45</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6"/>
                          <w:ind w:right="94"/>
                          <w:rPr>
                            <w:sz w:val="21"/>
                          </w:rPr>
                        </w:pPr>
                        <w:r>
                          <w:rPr>
                            <w:sz w:val="21"/>
                          </w:rPr>
                          <w:t>1,174.55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ind w:right="94"/>
                          <w:rPr>
                            <w:sz w:val="21"/>
                          </w:rPr>
                        </w:pPr>
                        <w:r>
                          <w:rPr>
                            <w:sz w:val="21"/>
                          </w:rPr>
                          <w:t>2.0%-1.5%=0.5%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17" w:type="dxa"/>
                      </w:tcPr>
                      <w:p>
                        <w:pPr>
                          <w:pStyle w:val="TableParagraph"/>
                          <w:ind w:right="94"/>
                          <w:rPr>
                            <w:sz w:val="21"/>
                          </w:rPr>
                        </w:pPr>
                        <w:r>
                          <w:rPr>
                            <w:sz w:val="21"/>
                          </w:rPr>
                          <w:t>1,168.71</w:t>
                        </w:r>
                      </w:p>
                    </w:tc>
                  </w:tr>
                  <w:tr>
                    <w:trPr>
                      <w:trHeight w:val="312"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ind w:right="94"/>
                          <w:rPr>
                            <w:sz w:val="21"/>
                          </w:rPr>
                        </w:pPr>
                        <w:r>
                          <w:rPr>
                            <w:sz w:val="21"/>
                          </w:rPr>
                          <w:t>5.84</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3"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ind w:right="94"/>
                          <w:rPr>
                            <w:sz w:val="21"/>
                          </w:rPr>
                        </w:pPr>
                        <w:r>
                          <w:rPr>
                            <w:sz w:val="21"/>
                          </w:rPr>
                          <w:t>899.01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8"/>
        </w:rPr>
      </w:pPr>
    </w:p>
    <w:p>
      <w:pPr>
        <w:pStyle w:val="ListParagraph"/>
        <w:numPr>
          <w:ilvl w:val="0"/>
          <w:numId w:val="18"/>
        </w:numPr>
        <w:tabs>
          <w:tab w:pos="1210" w:val="left" w:leader="none"/>
        </w:tabs>
        <w:spacing w:line="417" w:lineRule="auto" w:before="0" w:after="0"/>
        <w:ind w:left="260" w:right="388" w:firstLine="419"/>
        <w:jc w:val="left"/>
        <w:rPr>
          <w:sz w:val="21"/>
        </w:rPr>
      </w:pPr>
      <w:r>
        <w:rPr/>
        <w:pict>
          <v:shape style="position:absolute;margin-left:111.739998pt;margin-top:41.820019pt;width:372.2pt;height:113.2pt;mso-position-horizontal-relative:page;mso-position-vertical-relative:paragraph;z-index:2517114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spacing w:before="22"/>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2"/>
                          <w:ind w:left="1164" w:right="1151"/>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rPr>
                            <w:sz w:val="21"/>
                          </w:rPr>
                        </w:pPr>
                        <w:r>
                          <w:rPr>
                            <w:sz w:val="21"/>
                          </w:rPr>
                          <w:t>1,000.00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ind w:right="91"/>
                          <w:rPr>
                            <w:sz w:val="21"/>
                          </w:rPr>
                        </w:pPr>
                        <w:r>
                          <w:rPr>
                            <w:sz w:val="21"/>
                          </w:rPr>
                          <w:t>1.200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ind w:right="92"/>
                          <w:rPr>
                            <w:sz w:val="21"/>
                          </w:rPr>
                        </w:pPr>
                        <w:r>
                          <w:rPr>
                            <w:sz w:val="21"/>
                          </w:rPr>
                          <w:t>1,200.00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ind w:right="91"/>
                          <w:rPr>
                            <w:sz w:val="21"/>
                          </w:rPr>
                        </w:pPr>
                        <w:r>
                          <w:rPr>
                            <w:sz w:val="21"/>
                          </w:rPr>
                          <w:t>0.5%</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spacing w:before="36"/>
                          <w:ind w:right="91"/>
                          <w:rPr>
                            <w:sz w:val="21"/>
                          </w:rPr>
                        </w:pPr>
                        <w:r>
                          <w:rPr>
                            <w:sz w:val="21"/>
                          </w:rPr>
                          <w:t>6.00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ind w:right="91"/>
                          <w:rPr>
                            <w:sz w:val="21"/>
                          </w:rPr>
                        </w:pPr>
                        <w:r>
                          <w:rPr>
                            <w:sz w:val="21"/>
                          </w:rPr>
                          <w:t>1.100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540" w:right="1300"/>
        </w:sectPr>
      </w:pPr>
    </w:p>
    <w:tbl>
      <w:tblPr>
        <w:tblW w:w="0" w:type="auto"/>
        <w:jc w:val="lef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2" w:hRule="atLeast"/>
        </w:trPr>
        <w:tc>
          <w:tcPr>
            <w:tcW w:w="4225" w:type="dxa"/>
          </w:tcPr>
          <w:p>
            <w:pPr>
              <w:pStyle w:val="TableParagraph"/>
              <w:spacing w:before="23"/>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ind w:right="91"/>
              <w:rPr>
                <w:sz w:val="21"/>
              </w:rPr>
            </w:pPr>
            <w:r>
              <w:rPr>
                <w:sz w:val="21"/>
              </w:rPr>
              <w:t>1.8%</w:t>
            </w:r>
          </w:p>
        </w:tc>
      </w:tr>
      <w:tr>
        <w:trPr>
          <w:trHeight w:val="311" w:hRule="atLeast"/>
        </w:trPr>
        <w:tc>
          <w:tcPr>
            <w:tcW w:w="4225" w:type="dxa"/>
          </w:tcPr>
          <w:p>
            <w:pPr>
              <w:pStyle w:val="TableParagraph"/>
              <w:spacing w:before="22"/>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ind w:right="91"/>
              <w:rPr>
                <w:sz w:val="21"/>
              </w:rPr>
            </w:pPr>
            <w:r>
              <w:rPr>
                <w:sz w:val="21"/>
              </w:rPr>
              <w:t>19.45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ind w:right="91"/>
              <w:rPr>
                <w:sz w:val="21"/>
              </w:rPr>
            </w:pPr>
            <w:r>
              <w:rPr>
                <w:sz w:val="21"/>
              </w:rPr>
              <w:t>25.45</w:t>
            </w:r>
          </w:p>
        </w:tc>
      </w:tr>
      <w:tr>
        <w:trPr>
          <w:trHeight w:val="313" w:hRule="atLeast"/>
        </w:trPr>
        <w:tc>
          <w:tcPr>
            <w:tcW w:w="4225" w:type="dxa"/>
          </w:tcPr>
          <w:p>
            <w:pPr>
              <w:pStyle w:val="TableParagraph"/>
              <w:spacing w:before="25"/>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before="36"/>
              <w:ind w:right="92"/>
              <w:rPr>
                <w:sz w:val="21"/>
              </w:rPr>
            </w:pPr>
            <w:r>
              <w:rPr>
                <w:sz w:val="21"/>
              </w:rPr>
              <w:t>1,174.55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ind w:right="91"/>
              <w:rPr>
                <w:sz w:val="21"/>
              </w:rPr>
            </w:pPr>
            <w:r>
              <w:rPr>
                <w:sz w:val="21"/>
              </w:rPr>
              <w:t>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05" w:type="dxa"/>
          </w:tcPr>
          <w:p>
            <w:pPr>
              <w:pStyle w:val="TableParagraph"/>
              <w:ind w:right="92"/>
              <w:rPr>
                <w:sz w:val="21"/>
              </w:rPr>
            </w:pPr>
            <w:r>
              <w:rPr>
                <w:sz w:val="21"/>
              </w:rPr>
              <w:t>1,174.55</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ind w:right="91"/>
              <w:rPr>
                <w:sz w:val="21"/>
              </w:rPr>
            </w:pPr>
            <w:r>
              <w:rPr>
                <w:sz w:val="21"/>
              </w:rPr>
              <w:t>0.00</w:t>
            </w:r>
          </w:p>
        </w:tc>
      </w:tr>
      <w:tr>
        <w:trPr>
          <w:trHeight w:val="311"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ind w:right="91"/>
              <w:rPr>
                <w:sz w:val="21"/>
              </w:rPr>
            </w:pPr>
            <w:r>
              <w:rPr>
                <w:sz w:val="21"/>
              </w:rPr>
              <w:t>1.300</w:t>
            </w:r>
          </w:p>
        </w:tc>
      </w:tr>
      <w:tr>
        <w:trPr>
          <w:trHeight w:val="314" w:hRule="atLeast"/>
        </w:trPr>
        <w:tc>
          <w:tcPr>
            <w:tcW w:w="4225" w:type="dxa"/>
          </w:tcPr>
          <w:p>
            <w:pPr>
              <w:pStyle w:val="TableParagraph"/>
              <w:spacing w:before="22"/>
              <w:ind w:left="105"/>
              <w:jc w:val="left"/>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ind w:right="91"/>
              <w:rPr>
                <w:sz w:val="21"/>
              </w:rPr>
            </w:pPr>
            <w:r>
              <w:rPr>
                <w:sz w:val="21"/>
              </w:rPr>
              <w:t>903.50</w:t>
            </w:r>
          </w:p>
        </w:tc>
      </w:tr>
    </w:tbl>
    <w:p>
      <w:pPr>
        <w:pStyle w:val="BodyText"/>
        <w:spacing w:line="417" w:lineRule="auto" w:before="109"/>
        <w:ind w:left="260" w:right="38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19"/>
        </w:numPr>
        <w:tabs>
          <w:tab w:pos="1210" w:val="left" w:leader="none"/>
        </w:tabs>
        <w:spacing w:line="417" w:lineRule="auto" w:before="0" w:after="0"/>
        <w:ind w:left="260" w:right="491" w:firstLine="419"/>
        <w:jc w:val="both"/>
        <w:rPr>
          <w:sz w:val="21"/>
        </w:rPr>
      </w:pPr>
      <w:r>
        <w:rPr/>
        <w:pict>
          <v:shape style="position:absolute;margin-left:111.5pt;margin-top:65.219963pt;width:372.6pt;height:242pt;mso-position-horizontal-relative:page;mso-position-vertical-relative:paragraph;z-index:2517125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3"/>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2"/>
                          <w:rPr>
                            <w:sz w:val="21"/>
                          </w:rPr>
                        </w:pPr>
                        <w:r>
                          <w:rPr>
                            <w:sz w:val="21"/>
                          </w:rPr>
                          <w:t>10,000,000.00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1"/>
                          <w:rPr>
                            <w:sz w:val="21"/>
                          </w:rPr>
                        </w:pPr>
                        <w:r>
                          <w:rPr>
                            <w:sz w:val="21"/>
                          </w:rPr>
                          <w:t>1.200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2"/>
                          <w:rPr>
                            <w:sz w:val="21"/>
                          </w:rPr>
                        </w:pPr>
                        <w:r>
                          <w:rPr>
                            <w:sz w:val="21"/>
                          </w:rPr>
                          <w:t>12,000,000.00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0"/>
                          <w:rPr>
                            <w:sz w:val="21"/>
                          </w:rPr>
                        </w:pPr>
                        <w:r>
                          <w:rPr>
                            <w:sz w:val="21"/>
                          </w:rPr>
                          <w:t>0.5%</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before="36"/>
                          <w:ind w:right="92"/>
                          <w:rPr>
                            <w:sz w:val="21"/>
                          </w:rPr>
                        </w:pPr>
                        <w:r>
                          <w:rPr>
                            <w:sz w:val="21"/>
                          </w:rPr>
                          <w:t>60,000.00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ind w:right="91"/>
                          <w:rPr>
                            <w:sz w:val="21"/>
                          </w:rPr>
                        </w:pPr>
                        <w:r>
                          <w:rPr>
                            <w:sz w:val="21"/>
                          </w:rPr>
                          <w:t>1.100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rPr>
                            <w:sz w:val="21"/>
                          </w:rPr>
                        </w:pPr>
                        <w:r>
                          <w:rPr>
                            <w:sz w:val="21"/>
                          </w:rPr>
                          <w:t>1.8%</w:t>
                        </w:r>
                      </w:p>
                    </w:tc>
                  </w:tr>
                  <w:tr>
                    <w:trPr>
                      <w:trHeight w:val="311" w:hRule="atLeast"/>
                    </w:trPr>
                    <w:tc>
                      <w:tcPr>
                        <w:tcW w:w="4230"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ind w:right="92"/>
                          <w:rPr>
                            <w:sz w:val="21"/>
                          </w:rPr>
                        </w:pPr>
                        <w:r>
                          <w:rPr>
                            <w:sz w:val="21"/>
                          </w:rPr>
                          <w:t>194,499.02</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ind w:right="92"/>
                          <w:rPr>
                            <w:sz w:val="21"/>
                          </w:rPr>
                        </w:pPr>
                        <w:r>
                          <w:rPr>
                            <w:sz w:val="21"/>
                          </w:rPr>
                          <w:t>254,499.02</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rPr>
                            <w:sz w:val="21"/>
                          </w:rPr>
                        </w:pPr>
                        <w:r>
                          <w:rPr>
                            <w:sz w:val="21"/>
                          </w:rPr>
                          <w:t>11,745,500.98</w:t>
                        </w:r>
                      </w:p>
                    </w:tc>
                  </w:tr>
                  <w:tr>
                    <w:trPr>
                      <w:trHeight w:val="314" w:hRule="atLeast"/>
                    </w:trPr>
                    <w:tc>
                      <w:tcPr>
                        <w:tcW w:w="4230" w:type="dxa"/>
                      </w:tcPr>
                      <w:p>
                        <w:pPr>
                          <w:pStyle w:val="TableParagraph"/>
                          <w:spacing w:before="25"/>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36"/>
                          <w:ind w:right="92"/>
                          <w:rPr>
                            <w:sz w:val="21"/>
                          </w:rPr>
                        </w:pPr>
                        <w:r>
                          <w:rPr>
                            <w:sz w:val="21"/>
                          </w:rPr>
                          <w:t>1,000.00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rPr>
                            <w:sz w:val="21"/>
                          </w:rPr>
                        </w:pPr>
                        <w:r>
                          <w:rPr>
                            <w:sz w:val="21"/>
                          </w:rPr>
                          <w:t>11,744,500.98</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rPr>
                            <w:sz w:val="21"/>
                          </w:rPr>
                        </w:pPr>
                        <w:r>
                          <w:rPr>
                            <w:sz w:val="21"/>
                          </w:rPr>
                          <w:t>1.300</w:t>
                        </w:r>
                      </w:p>
                    </w:tc>
                  </w:tr>
                  <w:tr>
                    <w:trPr>
                      <w:trHeight w:val="311" w:hRule="atLeast"/>
                    </w:trPr>
                    <w:tc>
                      <w:tcPr>
                        <w:tcW w:w="4230"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ind w:right="92"/>
                          <w:rPr>
                            <w:sz w:val="21"/>
                          </w:rPr>
                        </w:pPr>
                        <w:r>
                          <w:rPr>
                            <w:sz w:val="21"/>
                          </w:rPr>
                          <w:t>9,034,231.52</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p>
    <w:p>
      <w:pPr>
        <w:pStyle w:val="ListParagraph"/>
        <w:numPr>
          <w:ilvl w:val="0"/>
          <w:numId w:val="19"/>
        </w:numPr>
        <w:tabs>
          <w:tab w:pos="1210" w:val="left" w:leader="none"/>
        </w:tabs>
        <w:spacing w:line="417" w:lineRule="auto" w:before="0" w:after="0"/>
        <w:ind w:left="260" w:right="491" w:firstLine="419"/>
        <w:jc w:val="both"/>
        <w:rPr>
          <w:sz w:val="21"/>
        </w:rPr>
      </w:pPr>
      <w:r>
        <w:rPr/>
        <w:pict>
          <v:shape style="position:absolute;margin-left:111.139999pt;margin-top:65.219955pt;width:373.4pt;height:64.95pt;mso-position-horizontal-relative:page;mso-position-vertical-relative:paragraph;z-index:2517135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rPr>
                            <w:sz w:val="21"/>
                          </w:rPr>
                        </w:pPr>
                        <w:r>
                          <w:rPr>
                            <w:sz w:val="21"/>
                          </w:rPr>
                          <w:t>10,000,000.00</w:t>
                        </w:r>
                      </w:p>
                    </w:tc>
                  </w:tr>
                  <w:tr>
                    <w:trPr>
                      <w:trHeight w:val="311" w:hRule="atLeast"/>
                    </w:trPr>
                    <w:tc>
                      <w:tcPr>
                        <w:tcW w:w="4237" w:type="dxa"/>
                      </w:tcPr>
                      <w:p>
                        <w:pPr>
                          <w:pStyle w:val="TableParagraph"/>
                          <w:spacing w:before="23"/>
                          <w:ind w:left="105"/>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12,000,000.00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540" w:right="1300"/>
        </w:sectPr>
      </w:pPr>
    </w:p>
    <w:tbl>
      <w:tblPr>
        <w:tblW w:w="0" w:type="auto"/>
        <w:jc w:val="left"/>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5"/>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60,000.00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3"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spacing w:before="36"/>
              <w:ind w:right="93"/>
              <w:rPr>
                <w:sz w:val="21"/>
              </w:rPr>
            </w:pPr>
            <w:r>
              <w:rPr>
                <w:sz w:val="21"/>
              </w:rPr>
              <w:t>1.8%</w:t>
            </w:r>
          </w:p>
        </w:tc>
      </w:tr>
      <w:tr>
        <w:trPr>
          <w:trHeight w:val="311" w:hRule="atLeast"/>
        </w:trPr>
        <w:tc>
          <w:tcPr>
            <w:tcW w:w="4237" w:type="dxa"/>
          </w:tcPr>
          <w:p>
            <w:pPr>
              <w:pStyle w:val="TableParagraph"/>
              <w:spacing w:before="22"/>
              <w:ind w:left="105"/>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rPr>
                <w:sz w:val="21"/>
              </w:rPr>
            </w:pPr>
            <w:r>
              <w:rPr>
                <w:sz w:val="21"/>
              </w:rPr>
              <w:t>194,499.02</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rPr>
                <w:sz w:val="21"/>
              </w:rPr>
            </w:pPr>
            <w:r>
              <w:rPr>
                <w:sz w:val="21"/>
              </w:rPr>
              <w:t>254,499.02</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5"/>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rPr>
                <w:sz w:val="21"/>
              </w:rPr>
            </w:pPr>
            <w:r>
              <w:rPr>
                <w:sz w:val="21"/>
              </w:rPr>
              <w:t>11,745,500.98</w:t>
            </w:r>
          </w:p>
        </w:tc>
      </w:tr>
      <w:tr>
        <w:trPr>
          <w:trHeight w:val="314" w:hRule="atLeast"/>
        </w:trPr>
        <w:tc>
          <w:tcPr>
            <w:tcW w:w="4237" w:type="dxa"/>
          </w:tcPr>
          <w:p>
            <w:pPr>
              <w:pStyle w:val="TableParagraph"/>
              <w:spacing w:before="25"/>
              <w:ind w:left="105"/>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spacing w:before="36"/>
              <w:ind w:right="94"/>
              <w:rPr>
                <w:sz w:val="21"/>
              </w:rPr>
            </w:pPr>
            <w:r>
              <w:rPr>
                <w:sz w:val="21"/>
              </w:rPr>
              <w:t>1.300</w:t>
            </w:r>
          </w:p>
        </w:tc>
      </w:tr>
      <w:tr>
        <w:trPr>
          <w:trHeight w:val="312" w:hRule="atLeast"/>
        </w:trPr>
        <w:tc>
          <w:tcPr>
            <w:tcW w:w="4237" w:type="dxa"/>
          </w:tcPr>
          <w:p>
            <w:pPr>
              <w:pStyle w:val="TableParagraph"/>
              <w:spacing w:before="23"/>
              <w:ind w:left="105"/>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9,035,000.75</w:t>
            </w:r>
          </w:p>
        </w:tc>
      </w:tr>
    </w:tbl>
    <w:p>
      <w:pPr>
        <w:pStyle w:val="BodyText"/>
        <w:spacing w:before="109"/>
        <w:ind w:left="68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spacing w:line="417" w:lineRule="auto"/>
        <w:ind w:left="260" w:right="493"/>
        <w:jc w:val="both"/>
      </w:pPr>
      <w:r>
        <w:rPr/>
        <w:pict>
          <v:shape style="position:absolute;margin-left:111.139999pt;margin-top:88.620033pt;width:373.4pt;height:246.8pt;mso-position-horizontal-relative:page;mso-position-vertical-relative:paragraph;z-index:2517145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05" w:hRule="atLeast"/>
                    </w:trPr>
                    <w:tc>
                      <w:tcPr>
                        <w:tcW w:w="4237" w:type="dxa"/>
                      </w:tcPr>
                      <w:p>
                        <w:pPr>
                          <w:pStyle w:val="TableParagraph"/>
                          <w:spacing w:before="68"/>
                          <w:ind w:left="1887" w:right="1458"/>
                          <w:jc w:val="center"/>
                          <w:rPr>
                            <w:rFonts w:ascii="宋体" w:eastAsia="宋体" w:hint="eastAsia"/>
                            <w:sz w:val="21"/>
                          </w:rPr>
                        </w:pPr>
                        <w:r>
                          <w:rPr>
                            <w:rFonts w:ascii="宋体" w:eastAsia="宋体" w:hint="eastAsia"/>
                            <w:sz w:val="21"/>
                          </w:rPr>
                          <w:t>项目</w:t>
                        </w:r>
                      </w:p>
                    </w:tc>
                    <w:tc>
                      <w:tcPr>
                        <w:tcW w:w="3217" w:type="dxa"/>
                      </w:tcPr>
                      <w:p>
                        <w:pPr>
                          <w:pStyle w:val="TableParagraph"/>
                          <w:spacing w:before="68"/>
                          <w:ind w:left="1396"/>
                          <w:jc w:val="left"/>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3"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rPr>
                            <w:sz w:val="21"/>
                          </w:rPr>
                        </w:pPr>
                        <w:r>
                          <w:rPr>
                            <w:sz w:val="21"/>
                          </w:rPr>
                          <w:t>1,300.00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rPr>
                            <w:sz w:val="21"/>
                          </w:rPr>
                        </w:pPr>
                        <w:r>
                          <w:rPr>
                            <w:sz w:val="21"/>
                          </w:rPr>
                          <w:t>0.5%</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rPr>
                            <w:sz w:val="21"/>
                          </w:rPr>
                        </w:pPr>
                        <w:r>
                          <w:rPr>
                            <w:sz w:val="21"/>
                          </w:rPr>
                          <w:t>6.50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rPr>
                            <w:sz w:val="21"/>
                          </w:rPr>
                        </w:pPr>
                        <w:r>
                          <w:rPr>
                            <w:sz w:val="21"/>
                          </w:rPr>
                          <w:t>1.100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rPr>
                            <w:sz w:val="21"/>
                          </w:rPr>
                        </w:pPr>
                        <w:r>
                          <w:rPr>
                            <w:sz w:val="21"/>
                          </w:rPr>
                          <w:t>1.0%</w:t>
                        </w:r>
                      </w:p>
                    </w:tc>
                  </w:tr>
                  <w:tr>
                    <w:trPr>
                      <w:trHeight w:val="311" w:hRule="atLeast"/>
                    </w:trPr>
                    <w:tc>
                      <w:tcPr>
                        <w:tcW w:w="4237"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17" w:type="dxa"/>
                      </w:tcPr>
                      <w:p>
                        <w:pPr>
                          <w:pStyle w:val="TableParagraph"/>
                          <w:ind w:right="94"/>
                          <w:rPr>
                            <w:sz w:val="21"/>
                          </w:rPr>
                        </w:pPr>
                        <w:r>
                          <w:rPr>
                            <w:sz w:val="21"/>
                          </w:rPr>
                          <w:t>10.89</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6"/>
                          <w:ind w:right="94"/>
                          <w:rPr>
                            <w:sz w:val="21"/>
                          </w:rPr>
                        </w:pPr>
                        <w:r>
                          <w:rPr>
                            <w:sz w:val="21"/>
                          </w:rPr>
                          <w:t>17.39</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rPr>
                            <w:sz w:val="21"/>
                          </w:rPr>
                        </w:pPr>
                        <w:r>
                          <w:rPr>
                            <w:sz w:val="21"/>
                          </w:rPr>
                          <w:t>1,282.61</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rPr>
                            <w:sz w:val="21"/>
                          </w:rPr>
                        </w:pPr>
                        <w:r>
                          <w:rPr>
                            <w:sz w:val="21"/>
                          </w:rPr>
                          <w:t>1.500</w:t>
                        </w:r>
                      </w:p>
                    </w:tc>
                  </w:tr>
                  <w:tr>
                    <w:trPr>
                      <w:trHeight w:val="313"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rPr>
                            <w:sz w:val="21"/>
                          </w:rPr>
                        </w:pPr>
                        <w:r>
                          <w:rPr>
                            <w:sz w:val="21"/>
                          </w:rPr>
                          <w:t>855.07</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p>
      <w:pPr>
        <w:pStyle w:val="BodyText"/>
        <w:spacing w:line="417" w:lineRule="auto" w:before="1"/>
        <w:ind w:left="260" w:right="493" w:firstLine="419"/>
        <w:jc w:val="both"/>
      </w:pPr>
      <w:r>
        <w:rPr/>
        <w:pict>
          <v:shape style="position:absolute;margin-left:110.540001pt;margin-top:65.270027pt;width:374.6pt;height:85.7pt;mso-position-horizontal-relative:page;mso-position-vertical-relative:paragraph;z-index:2517155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05" w:hRule="atLeast"/>
                    </w:trPr>
                    <w:tc>
                      <w:tcPr>
                        <w:tcW w:w="4249" w:type="dxa"/>
                      </w:tcPr>
                      <w:p>
                        <w:pPr>
                          <w:pStyle w:val="TableParagraph"/>
                          <w:spacing w:before="68"/>
                          <w:ind w:left="2103" w:right="1676"/>
                          <w:jc w:val="center"/>
                          <w:rPr>
                            <w:rFonts w:ascii="宋体" w:eastAsia="宋体" w:hint="eastAsia"/>
                            <w:sz w:val="21"/>
                          </w:rPr>
                        </w:pPr>
                        <w:r>
                          <w:rPr>
                            <w:rFonts w:ascii="宋体" w:eastAsia="宋体" w:hint="eastAsia"/>
                            <w:sz w:val="21"/>
                          </w:rPr>
                          <w:t>项目</w:t>
                        </w:r>
                      </w:p>
                    </w:tc>
                    <w:tc>
                      <w:tcPr>
                        <w:tcW w:w="3229" w:type="dxa"/>
                      </w:tcPr>
                      <w:p>
                        <w:pPr>
                          <w:pStyle w:val="TableParagraph"/>
                          <w:spacing w:before="68"/>
                          <w:ind w:left="1403"/>
                          <w:jc w:val="left"/>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ind w:right="94"/>
                          <w:rPr>
                            <w:sz w:val="21"/>
                          </w:rPr>
                        </w:pPr>
                        <w:r>
                          <w:rPr>
                            <w:sz w:val="21"/>
                          </w:rPr>
                          <w:t>855.07</w:t>
                        </w:r>
                      </w:p>
                    </w:tc>
                  </w:tr>
                  <w:tr>
                    <w:trPr>
                      <w:trHeight w:val="312"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ind w:right="94"/>
                          <w:rPr>
                            <w:sz w:val="21"/>
                          </w:rPr>
                        </w:pPr>
                        <w:r>
                          <w:rPr>
                            <w:sz w:val="21"/>
                          </w:rPr>
                          <w:t>1.300</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ind w:right="94"/>
                          <w:rPr>
                            <w:sz w:val="21"/>
                          </w:rPr>
                        </w:pPr>
                        <w:r>
                          <w:rPr>
                            <w:sz w:val="21"/>
                          </w:rPr>
                          <w:t>1,111.59</w:t>
                        </w:r>
                      </w:p>
                    </w:tc>
                  </w:tr>
                  <w:tr>
                    <w:trPr>
                      <w:trHeight w:val="313"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ind w:right="93"/>
                          <w:rPr>
                            <w:sz w:val="21"/>
                          </w:rPr>
                        </w:pPr>
                        <w:r>
                          <w:rPr>
                            <w:sz w:val="21"/>
                          </w:rPr>
                          <w:t>0.5%</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2"/>
        </w:rPr>
        <w:t>申购费率为 </w:t>
      </w:r>
      <w:r>
        <w:rPr>
          <w:rFonts w:ascii="Times New Roman" w:eastAsia="Times New Roman"/>
        </w:rPr>
        <w:t>1.2%</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spacing w:after="0" w:line="417" w:lineRule="auto"/>
        <w:jc w:val="both"/>
        <w:sectPr>
          <w:pgSz w:w="11910" w:h="16840"/>
          <w:pgMar w:header="877" w:footer="995" w:top="1420" w:bottom="1180" w:left="1540" w:right="1300"/>
        </w:sect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312" w:hRule="atLeast"/>
        </w:trPr>
        <w:tc>
          <w:tcPr>
            <w:tcW w:w="4249" w:type="dxa"/>
          </w:tcPr>
          <w:p>
            <w:pPr>
              <w:pStyle w:val="TableParagraph"/>
              <w:spacing w:before="23"/>
              <w:ind w:left="107"/>
              <w:jc w:val="left"/>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ind w:right="94"/>
              <w:rPr>
                <w:sz w:val="21"/>
              </w:rPr>
            </w:pPr>
            <w:r>
              <w:rPr>
                <w:sz w:val="21"/>
              </w:rPr>
              <w:t>5.56</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ind w:right="93"/>
              <w:rPr>
                <w:sz w:val="21"/>
              </w:rPr>
            </w:pPr>
            <w:r>
              <w:rPr>
                <w:sz w:val="21"/>
              </w:rPr>
              <w:t>1.2%</w:t>
            </w:r>
          </w:p>
        </w:tc>
      </w:tr>
      <w:tr>
        <w:trPr>
          <w:trHeight w:val="311" w:hRule="atLeast"/>
        </w:trPr>
        <w:tc>
          <w:tcPr>
            <w:tcW w:w="4249"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U</w:t>
            </w:r>
            <w:r>
              <w:rPr>
                <w:spacing w:val="-2"/>
                <w:w w:val="100"/>
                <w:sz w:val="21"/>
              </w:rPr>
              <w:t>=</w:t>
            </w:r>
            <w:r>
              <w:rPr>
                <w:w w:val="100"/>
                <w:sz w:val="21"/>
              </w:rPr>
              <w:t>O</w:t>
            </w:r>
            <w:r>
              <w:rPr>
                <w:spacing w:val="-5"/>
                <w:w w:val="100"/>
                <w:sz w:val="21"/>
              </w:rPr>
              <w:t>*</w:t>
            </w:r>
            <w:r>
              <w:rPr>
                <w:spacing w:val="1"/>
                <w:w w:val="100"/>
                <w:sz w:val="21"/>
              </w:rPr>
              <w:t>M</w:t>
            </w:r>
            <w:r>
              <w:rPr>
                <w:spacing w:val="-5"/>
                <w:w w:val="100"/>
                <w:sz w:val="21"/>
              </w:rPr>
              <w:t>*</w:t>
            </w:r>
            <w:r>
              <w:rPr>
                <w:w w:val="100"/>
                <w:sz w:val="21"/>
              </w:rPr>
              <w:t>T</w:t>
            </w:r>
            <w:r>
              <w:rPr>
                <w:spacing w:val="3"/>
                <w:w w:val="100"/>
                <w:sz w:val="21"/>
              </w:rPr>
              <w:t>/</w:t>
            </w:r>
            <w:r>
              <w:rPr>
                <w:rFonts w:ascii="宋体" w:eastAsia="宋体" w:hint="eastAsia"/>
                <w:w w:val="100"/>
                <w:sz w:val="21"/>
              </w:rPr>
              <w:t>（</w:t>
            </w:r>
            <w:r>
              <w:rPr>
                <w:w w:val="100"/>
                <w:sz w:val="21"/>
              </w:rPr>
              <w:t>1</w:t>
            </w:r>
            <w:r>
              <w:rPr>
                <w:spacing w:val="-2"/>
                <w:w w:val="100"/>
                <w:sz w:val="21"/>
              </w:rPr>
              <w:t>+</w:t>
            </w:r>
            <w:r>
              <w:rPr>
                <w:w w:val="100"/>
                <w:sz w:val="21"/>
              </w:rPr>
              <w:t>T</w:t>
            </w:r>
            <w:r>
              <w:rPr>
                <w:rFonts w:ascii="宋体" w:eastAsia="宋体" w:hint="eastAsia"/>
                <w:spacing w:val="-108"/>
                <w:w w:val="100"/>
                <w:sz w:val="21"/>
              </w:rPr>
              <w:t>）</w:t>
            </w:r>
            <w:r>
              <w:rPr>
                <w:rFonts w:ascii="宋体" w:eastAsia="宋体" w:hint="eastAsia"/>
                <w:w w:val="100"/>
                <w:sz w:val="21"/>
              </w:rPr>
              <w:t>）</w:t>
            </w:r>
          </w:p>
        </w:tc>
        <w:tc>
          <w:tcPr>
            <w:tcW w:w="3229" w:type="dxa"/>
          </w:tcPr>
          <w:p>
            <w:pPr>
              <w:pStyle w:val="TableParagraph"/>
              <w:ind w:right="94"/>
              <w:rPr>
                <w:sz w:val="21"/>
              </w:rPr>
            </w:pPr>
            <w:r>
              <w:rPr>
                <w:sz w:val="21"/>
              </w:rPr>
              <w:t>15.21</w:t>
            </w:r>
          </w:p>
        </w:tc>
      </w:tr>
      <w:tr>
        <w:trPr>
          <w:trHeight w:val="313" w:hRule="atLeast"/>
        </w:trPr>
        <w:tc>
          <w:tcPr>
            <w:tcW w:w="4249" w:type="dxa"/>
          </w:tcPr>
          <w:p>
            <w:pPr>
              <w:pStyle w:val="TableParagraph"/>
              <w:spacing w:before="25"/>
              <w:ind w:left="107"/>
              <w:jc w:val="left"/>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before="36"/>
              <w:ind w:right="94"/>
              <w:rPr>
                <w:sz w:val="21"/>
              </w:rPr>
            </w:pPr>
            <w:r>
              <w:rPr>
                <w:sz w:val="21"/>
              </w:rPr>
              <w:t>1,090.82</w:t>
            </w:r>
          </w:p>
        </w:tc>
      </w:tr>
    </w:tbl>
    <w:p>
      <w:pPr>
        <w:pStyle w:val="BodyText"/>
        <w:spacing w:line="417" w:lineRule="auto" w:before="109"/>
        <w:ind w:left="260" w:right="491" w:firstLine="419"/>
        <w:jc w:val="both"/>
      </w:pPr>
      <w:r>
        <w:rPr/>
        <w:pict>
          <v:shape style="position:absolute;margin-left:110.779999pt;margin-top:94.07pt;width:374pt;height:246.65pt;mso-position-horizontal-relative:page;mso-position-vertical-relative:paragraph;z-index:2517166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5" w:hRule="atLeast"/>
                    </w:trPr>
                    <w:tc>
                      <w:tcPr>
                        <w:tcW w:w="4244" w:type="dxa"/>
                      </w:tcPr>
                      <w:p>
                        <w:pPr>
                          <w:pStyle w:val="TableParagraph"/>
                          <w:spacing w:before="68"/>
                          <w:ind w:left="1892" w:right="1465"/>
                          <w:jc w:val="center"/>
                          <w:rPr>
                            <w:rFonts w:ascii="宋体" w:eastAsia="宋体" w:hint="eastAsia"/>
                            <w:sz w:val="21"/>
                          </w:rPr>
                        </w:pPr>
                        <w:r>
                          <w:rPr>
                            <w:rFonts w:ascii="宋体" w:eastAsia="宋体" w:hint="eastAsia"/>
                            <w:sz w:val="21"/>
                          </w:rPr>
                          <w:t>项目</w:t>
                        </w:r>
                      </w:p>
                    </w:tc>
                    <w:tc>
                      <w:tcPr>
                        <w:tcW w:w="3221"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rPr>
                            <w:sz w:val="21"/>
                          </w:rPr>
                        </w:pPr>
                        <w:r>
                          <w:rPr>
                            <w:sz w:val="21"/>
                          </w:rPr>
                          <w:t>1.200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rPr>
                            <w:sz w:val="21"/>
                          </w:rPr>
                        </w:pPr>
                        <w:r>
                          <w:rPr>
                            <w:sz w:val="21"/>
                          </w:rPr>
                          <w:t>1,200.00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spacing w:before="36"/>
                          <w:ind w:right="90"/>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ind w:right="90"/>
                          <w:rPr>
                            <w:sz w:val="21"/>
                          </w:rPr>
                        </w:pPr>
                        <w:r>
                          <w:rPr>
                            <w:sz w:val="21"/>
                          </w:rPr>
                          <w:t>6.00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ind w:right="90"/>
                          <w:rPr>
                            <w:sz w:val="21"/>
                          </w:rPr>
                        </w:pPr>
                        <w:r>
                          <w:rPr>
                            <w:sz w:val="21"/>
                          </w:rPr>
                          <w:t>1.100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ind w:right="90"/>
                          <w:rPr>
                            <w:sz w:val="21"/>
                          </w:rPr>
                        </w:pPr>
                        <w:r>
                          <w:rPr>
                            <w:sz w:val="21"/>
                          </w:rPr>
                          <w:t>1.0%</w:t>
                        </w:r>
                      </w:p>
                    </w:tc>
                  </w:tr>
                  <w:tr>
                    <w:trPr>
                      <w:trHeight w:val="311" w:hRule="atLeast"/>
                    </w:trPr>
                    <w:tc>
                      <w:tcPr>
                        <w:tcW w:w="4244" w:type="dxa"/>
                      </w:tcPr>
                      <w:p>
                        <w:pPr>
                          <w:pStyle w:val="TableParagraph"/>
                          <w:spacing w:before="22"/>
                          <w:ind w:left="107"/>
                          <w:jc w:val="left"/>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21" w:type="dxa"/>
                      </w:tcPr>
                      <w:p>
                        <w:pPr>
                          <w:pStyle w:val="TableParagraph"/>
                          <w:ind w:right="90"/>
                          <w:rPr>
                            <w:sz w:val="21"/>
                          </w:rPr>
                        </w:pPr>
                        <w:r>
                          <w:rPr>
                            <w:sz w:val="21"/>
                          </w:rPr>
                          <w:t>10.89</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ind w:right="90"/>
                          <w:rPr>
                            <w:sz w:val="21"/>
                          </w:rPr>
                        </w:pPr>
                        <w:r>
                          <w:rPr>
                            <w:sz w:val="21"/>
                          </w:rPr>
                          <w:t>16.89</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spacing w:before="36"/>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ind w:right="90"/>
                          <w:rPr>
                            <w:sz w:val="21"/>
                          </w:rPr>
                        </w:pPr>
                        <w:r>
                          <w:rPr>
                            <w:sz w:val="21"/>
                          </w:rPr>
                          <w:t>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ind w:right="91"/>
                          <w:rPr>
                            <w:sz w:val="21"/>
                          </w:rPr>
                        </w:pPr>
                        <w:r>
                          <w:rPr>
                            <w:sz w:val="21"/>
                          </w:rPr>
                          <w:t>1,183.11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ind w:right="90"/>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ind w:right="90"/>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pStyle w:val="BodyText"/>
        <w:spacing w:line="417" w:lineRule="auto"/>
        <w:ind w:left="260" w:right="491" w:firstLine="419"/>
        <w:jc w:val="both"/>
      </w:pPr>
      <w:r>
        <w:rPr/>
        <w:pict>
          <v:shape style="position:absolute;margin-left:111.139999pt;margin-top:88.619957pt;width:373.4pt;height:193.25pt;mso-position-horizontal-relative:page;mso-position-vertical-relative:paragraph;z-index:2517176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4" w:hRule="atLeast"/>
                    </w:trPr>
                    <w:tc>
                      <w:tcPr>
                        <w:tcW w:w="4237" w:type="dxa"/>
                      </w:tcPr>
                      <w:p>
                        <w:pPr>
                          <w:pStyle w:val="TableParagraph"/>
                          <w:spacing w:before="25"/>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rPr>
                            <w:sz w:val="21"/>
                          </w:rPr>
                        </w:pPr>
                        <w:r>
                          <w:rPr>
                            <w:sz w:val="21"/>
                          </w:rPr>
                          <w:t>1,000.00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rPr>
                            <w:sz w:val="21"/>
                          </w:rPr>
                        </w:pPr>
                        <w:r>
                          <w:rPr>
                            <w:sz w:val="21"/>
                          </w:rPr>
                          <w:t>1.200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rPr>
                            <w:sz w:val="21"/>
                          </w:rPr>
                        </w:pPr>
                        <w:r>
                          <w:rPr>
                            <w:sz w:val="21"/>
                          </w:rPr>
                          <w:t>0.00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ind w:right="94"/>
                          <w:rPr>
                            <w:sz w:val="21"/>
                          </w:rPr>
                        </w:pPr>
                        <w:r>
                          <w:rPr>
                            <w:sz w:val="21"/>
                          </w:rPr>
                          <w:t>1,200.00</w:t>
                        </w:r>
                      </w:p>
                    </w:tc>
                  </w:tr>
                  <w:tr>
                    <w:trPr>
                      <w:trHeight w:val="314" w:hRule="atLeast"/>
                    </w:trPr>
                    <w:tc>
                      <w:tcPr>
                        <w:tcW w:w="4237" w:type="dxa"/>
                      </w:tcPr>
                      <w:p>
                        <w:pPr>
                          <w:pStyle w:val="TableParagraph"/>
                          <w:spacing w:before="25"/>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spacing w:before="36"/>
                          <w:ind w:right="93"/>
                          <w:rPr>
                            <w:sz w:val="21"/>
                          </w:rPr>
                        </w:pPr>
                        <w:r>
                          <w:rPr>
                            <w:sz w:val="21"/>
                          </w:rPr>
                          <w:t>0.3%</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rPr>
                            <w:sz w:val="21"/>
                          </w:rPr>
                        </w:pPr>
                        <w:r>
                          <w:rPr>
                            <w:sz w:val="21"/>
                          </w:rPr>
                          <w:t>2.0%</w:t>
                        </w:r>
                      </w:p>
                    </w:tc>
                  </w:tr>
                  <w:tr>
                    <w:trPr>
                      <w:trHeight w:val="623"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rPr>
                            <w:sz w:val="21"/>
                          </w:rPr>
                        </w:pPr>
                        <w:r>
                          <w:rPr>
                            <w:sz w:val="21"/>
                          </w:rPr>
                          <w:t>1.88%</w:t>
                        </w:r>
                      </w:p>
                    </w:tc>
                  </w:tr>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4"/>
                            <w:w w:val="100"/>
                            <w:sz w:val="21"/>
                          </w:rPr>
                          <w:t>I</w:t>
                        </w:r>
                        <w:r>
                          <w:rPr>
                            <w:w w:val="100"/>
                            <w:sz w:val="21"/>
                          </w:rPr>
                          <w:t>=E/</w:t>
                        </w:r>
                        <w:r>
                          <w:rPr>
                            <w:rFonts w:ascii="宋体" w:eastAsia="宋体" w:hint="eastAsia"/>
                            <w:w w:val="100"/>
                            <w:sz w:val="21"/>
                          </w:rPr>
                          <w:t>（</w:t>
                        </w:r>
                        <w:r>
                          <w:rPr>
                            <w:spacing w:val="-3"/>
                            <w:w w:val="100"/>
                            <w:sz w:val="21"/>
                          </w:rPr>
                          <w:t>1</w:t>
                        </w:r>
                        <w:r>
                          <w:rPr>
                            <w:spacing w:val="-2"/>
                            <w:w w:val="100"/>
                            <w:sz w:val="21"/>
                          </w:rPr>
                          <w:t>+</w:t>
                        </w:r>
                        <w:r>
                          <w:rPr>
                            <w:spacing w:val="1"/>
                            <w:w w:val="100"/>
                            <w:sz w:val="21"/>
                          </w:rPr>
                          <w:t>H</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ind w:right="94"/>
                          <w:rPr>
                            <w:sz w:val="21"/>
                          </w:rPr>
                        </w:pPr>
                        <w:r>
                          <w:rPr>
                            <w:sz w:val="21"/>
                          </w:rPr>
                          <w:t>1,177.86</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ind w:right="94"/>
                          <w:rPr>
                            <w:sz w:val="21"/>
                          </w:rPr>
                        </w:pPr>
                        <w:r>
                          <w:rPr>
                            <w:sz w:val="21"/>
                          </w:rPr>
                          <w:t>22.14</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spacing w:after="0" w:line="417" w:lineRule="auto"/>
        <w:jc w:val="both"/>
        <w:sectPr>
          <w:pgSz w:w="11910" w:h="16840"/>
          <w:pgMar w:header="877" w:footer="995" w:top="1420" w:bottom="1180" w:left="1540" w:right="1300"/>
        </w:sectPr>
      </w:pPr>
    </w:p>
    <w:tbl>
      <w:tblPr>
        <w:tblW w:w="0" w:type="auto"/>
        <w:jc w:val="left"/>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ind w:right="94"/>
              <w:rPr>
                <w:sz w:val="21"/>
              </w:rPr>
            </w:pPr>
            <w:r>
              <w:rPr>
                <w:sz w:val="21"/>
              </w:rPr>
              <w:t>1.300</w:t>
            </w:r>
          </w:p>
        </w:tc>
      </w:tr>
      <w:tr>
        <w:trPr>
          <w:trHeight w:val="311" w:hRule="atLeast"/>
        </w:trPr>
        <w:tc>
          <w:tcPr>
            <w:tcW w:w="4237"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rPr>
                <w:sz w:val="21"/>
              </w:rPr>
            </w:pPr>
            <w:r>
              <w:rPr>
                <w:sz w:val="21"/>
              </w:rPr>
              <w:t>906.05</w:t>
            </w:r>
          </w:p>
        </w:tc>
      </w:tr>
    </w:tbl>
    <w:p>
      <w:pPr>
        <w:pStyle w:val="BodyText"/>
        <w:spacing w:line="417" w:lineRule="auto" w:before="109"/>
        <w:ind w:left="260" w:right="491" w:firstLine="419"/>
        <w:jc w:val="both"/>
      </w:pPr>
      <w:r>
        <w:rPr/>
        <w:pict>
          <v:shape style="position:absolute;margin-left:111.379997pt;margin-top:94.07003pt;width:372.95pt;height:209.45pt;mso-position-horizontal-relative:page;mso-position-vertical-relative:paragraph;z-index:2517186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3" w:hRule="atLeast"/>
                    </w:trPr>
                    <w:tc>
                      <w:tcPr>
                        <w:tcW w:w="4232" w:type="dxa"/>
                      </w:tcPr>
                      <w:p>
                        <w:pPr>
                          <w:pStyle w:val="TableParagraph"/>
                          <w:spacing w:before="25"/>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5"/>
                          <w:ind w:left="1108" w:right="1097"/>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rPr>
                            <w:sz w:val="21"/>
                          </w:rPr>
                        </w:pPr>
                        <w:r>
                          <w:rPr>
                            <w:sz w:val="21"/>
                          </w:rPr>
                          <w:t>10,000,000.00</w:t>
                        </w:r>
                      </w:p>
                    </w:tc>
                  </w:tr>
                  <w:tr>
                    <w:trPr>
                      <w:trHeight w:val="312"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3"/>
                          <w:rPr>
                            <w:sz w:val="21"/>
                          </w:rPr>
                        </w:pPr>
                        <w:r>
                          <w:rPr>
                            <w:sz w:val="21"/>
                          </w:rPr>
                          <w:t>1.200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rPr>
                            <w:sz w:val="21"/>
                          </w:rPr>
                        </w:pPr>
                        <w:r>
                          <w:rPr>
                            <w:sz w:val="21"/>
                          </w:rPr>
                          <w:t>0.00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rPr>
                            <w:sz w:val="21"/>
                          </w:rPr>
                        </w:pPr>
                        <w:r>
                          <w:rPr>
                            <w:sz w:val="21"/>
                          </w:rPr>
                          <w:t>12,000,000.00</w:t>
                        </w:r>
                      </w:p>
                    </w:tc>
                  </w:tr>
                  <w:tr>
                    <w:trPr>
                      <w:trHeight w:val="314" w:hRule="atLeast"/>
                    </w:trPr>
                    <w:tc>
                      <w:tcPr>
                        <w:tcW w:w="4232" w:type="dxa"/>
                      </w:tcPr>
                      <w:p>
                        <w:pPr>
                          <w:pStyle w:val="TableParagraph"/>
                          <w:spacing w:before="25"/>
                          <w:ind w:left="107"/>
                          <w:jc w:val="left"/>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spacing w:before="36"/>
                          <w:ind w:right="93"/>
                          <w:rPr>
                            <w:sz w:val="21"/>
                          </w:rPr>
                        </w:pPr>
                        <w:r>
                          <w:rPr>
                            <w:sz w:val="21"/>
                          </w:rPr>
                          <w:t>0.3%</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ind w:right="94"/>
                          <w:rPr>
                            <w:sz w:val="21"/>
                          </w:rPr>
                        </w:pPr>
                        <w:r>
                          <w:rPr>
                            <w:sz w:val="21"/>
                          </w:rPr>
                          <w:t>1,000.00</w:t>
                        </w:r>
                      </w:p>
                    </w:tc>
                  </w:tr>
                  <w:tr>
                    <w:trPr>
                      <w:trHeight w:val="623"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jc w:val="left"/>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0"/>
                          <w:ind w:right="93"/>
                          <w:rPr>
                            <w:sz w:val="21"/>
                          </w:rPr>
                        </w:pPr>
                        <w:r>
                          <w:rPr>
                            <w:sz w:val="21"/>
                          </w:rPr>
                          <w:t>13.70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ind w:right="94"/>
                          <w:rPr>
                            <w:sz w:val="21"/>
                          </w:rPr>
                        </w:pPr>
                        <w:r>
                          <w:rPr>
                            <w:sz w:val="21"/>
                          </w:rPr>
                          <w:t>11,999,986.30</w:t>
                        </w:r>
                      </w:p>
                    </w:tc>
                  </w:tr>
                  <w:tr>
                    <w:trPr>
                      <w:trHeight w:val="311"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3"/>
                          <w:rPr>
                            <w:sz w:val="21"/>
                          </w:rPr>
                        </w:pPr>
                        <w:r>
                          <w:rPr>
                            <w:sz w:val="21"/>
                          </w:rPr>
                          <w:t>1.300</w:t>
                        </w:r>
                      </w:p>
                    </w:tc>
                  </w:tr>
                  <w:tr>
                    <w:trPr>
                      <w:trHeight w:val="313" w:hRule="atLeast"/>
                    </w:trPr>
                    <w:tc>
                      <w:tcPr>
                        <w:tcW w:w="423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ind w:right="94"/>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4"/>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6"/>
        </w:rPr>
      </w:pPr>
    </w:p>
    <w:p>
      <w:pPr>
        <w:pStyle w:val="BodyText"/>
        <w:ind w:left="68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6"/>
        <w:rPr>
          <w:sz w:val="15"/>
        </w:rPr>
      </w:pPr>
    </w:p>
    <w:p>
      <w:pPr>
        <w:pStyle w:val="BodyText"/>
        <w:spacing w:line="417" w:lineRule="auto" w:before="1"/>
        <w:ind w:left="260" w:right="388"/>
      </w:pPr>
      <w:r>
        <w:rPr/>
        <w:pict>
          <v:shape style="position:absolute;margin-left:110.900002pt;margin-top:65.270004pt;width:373.9pt;height:166.15pt;mso-position-horizontal-relative:page;mso-position-vertical-relative:paragraph;z-index:2517196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405" w:hRule="atLeast"/>
                    </w:trPr>
                    <w:tc>
                      <w:tcPr>
                        <w:tcW w:w="4242" w:type="dxa"/>
                      </w:tcPr>
                      <w:p>
                        <w:pPr>
                          <w:pStyle w:val="TableParagraph"/>
                          <w:spacing w:before="68"/>
                          <w:ind w:left="2009" w:right="1762"/>
                          <w:jc w:val="center"/>
                          <w:rPr>
                            <w:rFonts w:ascii="宋体" w:eastAsia="宋体" w:hint="eastAsia"/>
                            <w:sz w:val="21"/>
                          </w:rPr>
                        </w:pPr>
                        <w:r>
                          <w:rPr>
                            <w:rFonts w:ascii="宋体" w:eastAsia="宋体" w:hint="eastAsia"/>
                            <w:sz w:val="21"/>
                          </w:rPr>
                          <w:t>项目</w:t>
                        </w:r>
                      </w:p>
                    </w:tc>
                    <w:tc>
                      <w:tcPr>
                        <w:tcW w:w="3222" w:type="dxa"/>
                      </w:tcPr>
                      <w:p>
                        <w:pPr>
                          <w:pStyle w:val="TableParagraph"/>
                          <w:spacing w:before="68"/>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ind w:right="92"/>
                          <w:rPr>
                            <w:sz w:val="21"/>
                          </w:rPr>
                        </w:pPr>
                        <w:r>
                          <w:rPr>
                            <w:sz w:val="21"/>
                          </w:rPr>
                          <w:t>1,000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ind w:right="92"/>
                          <w:rPr>
                            <w:sz w:val="21"/>
                          </w:rPr>
                        </w:pPr>
                        <w:r>
                          <w:rPr>
                            <w:sz w:val="21"/>
                          </w:rPr>
                          <w:t>1.200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2" w:hRule="atLeast"/>
                    </w:trPr>
                    <w:tc>
                      <w:tcPr>
                        <w:tcW w:w="4242" w:type="dxa"/>
                      </w:tcPr>
                      <w:p>
                        <w:pPr>
                          <w:pStyle w:val="TableParagraph"/>
                          <w:spacing w:before="23"/>
                          <w:ind w:left="107"/>
                          <w:jc w:val="left"/>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ind w:right="92"/>
                          <w:rPr>
                            <w:sz w:val="21"/>
                          </w:rPr>
                        </w:pPr>
                        <w:r>
                          <w:rPr>
                            <w:sz w:val="21"/>
                          </w:rPr>
                          <w:t>0.00</w:t>
                        </w:r>
                      </w:p>
                    </w:tc>
                  </w:tr>
                  <w:tr>
                    <w:trPr>
                      <w:trHeight w:val="314" w:hRule="atLeast"/>
                    </w:trPr>
                    <w:tc>
                      <w:tcPr>
                        <w:tcW w:w="4242"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spacing w:before="36"/>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rPr>
                            <w:sz w:val="21"/>
                          </w:rPr>
                        </w:pPr>
                        <w:r>
                          <w:rPr>
                            <w:sz w:val="21"/>
                          </w:rPr>
                          <w:t>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ind w:right="92"/>
                          <w:rPr>
                            <w:sz w:val="21"/>
                          </w:rPr>
                        </w:pPr>
                        <w:r>
                          <w:rPr>
                            <w:sz w:val="21"/>
                          </w:rPr>
                          <w:t>1,200.00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ind w:right="92"/>
                          <w:rPr>
                            <w:sz w:val="21"/>
                          </w:rPr>
                        </w:pPr>
                        <w:r>
                          <w:rPr>
                            <w:sz w:val="21"/>
                          </w:rPr>
                          <w:t>1.500</w:t>
                        </w:r>
                      </w:p>
                    </w:tc>
                  </w:tr>
                  <w:tr>
                    <w:trPr>
                      <w:trHeight w:val="311" w:hRule="atLeast"/>
                    </w:trPr>
                    <w:tc>
                      <w:tcPr>
                        <w:tcW w:w="4242"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ind w:right="92"/>
                          <w:rPr>
                            <w:sz w:val="21"/>
                          </w:rPr>
                        </w:pPr>
                        <w:r>
                          <w:rPr>
                            <w:sz w:val="21"/>
                          </w:rPr>
                          <w:t>800.00</w:t>
                        </w:r>
                      </w:p>
                    </w:tc>
                  </w:tr>
                </w:tbl>
                <w:p>
                  <w:pPr>
                    <w:pStyle w:val="BodyText"/>
                  </w:pPr>
                </w:p>
              </w:txbxContent>
            </v:textbox>
            <w10:wrap type="none"/>
          </v:shape>
        </w:pict>
      </w: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line="417" w:lineRule="auto"/>
        <w:ind w:left="260" w:right="493" w:firstLine="419"/>
        <w:jc w:val="both"/>
      </w:pPr>
      <w:r>
        <w:rPr/>
        <w:pict>
          <v:shape style="position:absolute;margin-left:110.779999pt;margin-top:65.240021pt;width:374.15pt;height:21.4pt;mso-position-horizontal-relative:page;mso-position-vertical-relative:paragraph;z-index:2517207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07" w:hRule="atLeast"/>
                    </w:trPr>
                    <w:tc>
                      <w:tcPr>
                        <w:tcW w:w="4244" w:type="dxa"/>
                      </w:tcPr>
                      <w:p>
                        <w:pPr>
                          <w:pStyle w:val="TableParagraph"/>
                          <w:spacing w:before="70"/>
                          <w:ind w:left="1892" w:right="1647"/>
                          <w:jc w:val="center"/>
                          <w:rPr>
                            <w:rFonts w:ascii="宋体" w:eastAsia="宋体" w:hint="eastAsia"/>
                            <w:sz w:val="21"/>
                          </w:rPr>
                        </w:pPr>
                        <w:r>
                          <w:rPr>
                            <w:rFonts w:ascii="宋体" w:eastAsia="宋体" w:hint="eastAsia"/>
                            <w:sz w:val="21"/>
                          </w:rPr>
                          <w:t>项目</w:t>
                        </w:r>
                      </w:p>
                    </w:tc>
                    <w:tc>
                      <w:tcPr>
                        <w:tcW w:w="3224" w:type="dxa"/>
                      </w:tcPr>
                      <w:p>
                        <w:pPr>
                          <w:pStyle w:val="TableParagraph"/>
                          <w:spacing w:before="70"/>
                          <w:ind w:left="1401"/>
                          <w:jc w:val="left"/>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spacing w:after="0" w:line="417" w:lineRule="auto"/>
        <w:jc w:val="both"/>
        <w:sectPr>
          <w:pgSz w:w="11910" w:h="16840"/>
          <w:pgMar w:header="877" w:footer="995" w:top="1420" w:bottom="1180" w:left="1540" w:right="1300"/>
        </w:sectPr>
      </w:pP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rPr>
                <w:sz w:val="21"/>
              </w:rPr>
            </w:pPr>
            <w:r>
              <w:rPr>
                <w:sz w:val="21"/>
              </w:rPr>
              <w:t>800.00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ind w:right="94"/>
              <w:rPr>
                <w:sz w:val="21"/>
              </w:rPr>
            </w:pPr>
            <w:r>
              <w:rPr>
                <w:sz w:val="21"/>
              </w:rPr>
              <w:t>1,040.00</w:t>
            </w:r>
          </w:p>
        </w:tc>
      </w:tr>
      <w:tr>
        <w:trPr>
          <w:trHeight w:val="313"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36"/>
              <w:ind w:right="93"/>
              <w:rPr>
                <w:sz w:val="21"/>
              </w:rPr>
            </w:pPr>
            <w:r>
              <w:rPr>
                <w:sz w:val="21"/>
              </w:rPr>
              <w:t>0.5%</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ind w:right="93"/>
              <w:rPr>
                <w:sz w:val="21"/>
              </w:rPr>
            </w:pPr>
            <w:r>
              <w:rPr>
                <w:sz w:val="21"/>
              </w:rPr>
              <w:t>5.20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rPr>
                <w:sz w:val="21"/>
              </w:rPr>
            </w:pPr>
            <w:r>
              <w:rPr>
                <w:sz w:val="21"/>
              </w:rPr>
              <w:t>1.0%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w:t>
            </w:r>
            <w:r>
              <w:rPr>
                <w:spacing w:val="1"/>
                <w:w w:val="100"/>
                <w:sz w:val="21"/>
              </w:rPr>
              <w:t>J</w:t>
            </w:r>
            <w:r>
              <w:rPr>
                <w:spacing w:val="-5"/>
                <w:w w:val="100"/>
                <w:sz w:val="21"/>
              </w:rPr>
              <w:t>*</w:t>
            </w:r>
            <w:r>
              <w:rPr>
                <w:spacing w:val="3"/>
                <w:w w:val="100"/>
                <w:sz w:val="21"/>
              </w:rPr>
              <w:t>H</w:t>
            </w:r>
            <w:r>
              <w:rPr>
                <w:spacing w:val="-5"/>
                <w:w w:val="100"/>
                <w:sz w:val="21"/>
              </w:rPr>
              <w:t>*</w:t>
            </w:r>
            <w:r>
              <w:rPr>
                <w:w w:val="100"/>
                <w:sz w:val="21"/>
              </w:rPr>
              <w:t>O</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24" w:type="dxa"/>
          </w:tcPr>
          <w:p>
            <w:pPr>
              <w:pStyle w:val="TableParagraph"/>
              <w:ind w:right="93"/>
              <w:rPr>
                <w:sz w:val="21"/>
              </w:rPr>
            </w:pPr>
            <w:r>
              <w:rPr>
                <w:sz w:val="21"/>
              </w:rPr>
              <w:t>11.88</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rPr>
                <w:sz w:val="21"/>
              </w:rPr>
            </w:pPr>
            <w:r>
              <w:rPr>
                <w:sz w:val="21"/>
              </w:rPr>
              <w:t>1,022.92</w:t>
            </w:r>
          </w:p>
        </w:tc>
      </w:tr>
    </w:tbl>
    <w:p>
      <w:pPr>
        <w:pStyle w:val="BodyText"/>
        <w:spacing w:line="417" w:lineRule="auto" w:before="109"/>
        <w:ind w:left="260" w:right="491" w:firstLine="419"/>
        <w:jc w:val="both"/>
      </w:pPr>
      <w:r>
        <w:rPr/>
        <w:pict>
          <v:shape style="position:absolute;margin-left:110.779999pt;margin-top:70.699982pt;width:374pt;height:182.3pt;mso-position-horizontal-relative:page;mso-position-vertical-relative:paragraph;z-index:2517217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7" w:hRule="atLeast"/>
                    </w:trPr>
                    <w:tc>
                      <w:tcPr>
                        <w:tcW w:w="4244" w:type="dxa"/>
                      </w:tcPr>
                      <w:p>
                        <w:pPr>
                          <w:pStyle w:val="TableParagraph"/>
                          <w:spacing w:before="70"/>
                          <w:ind w:left="1892" w:right="1460"/>
                          <w:jc w:val="center"/>
                          <w:rPr>
                            <w:rFonts w:ascii="宋体" w:eastAsia="宋体" w:hint="eastAsia"/>
                            <w:sz w:val="21"/>
                          </w:rPr>
                        </w:pPr>
                        <w:r>
                          <w:rPr>
                            <w:rFonts w:ascii="宋体" w:eastAsia="宋体" w:hint="eastAsia"/>
                            <w:sz w:val="21"/>
                          </w:rPr>
                          <w:t>项目</w:t>
                        </w:r>
                      </w:p>
                    </w:tc>
                    <w:tc>
                      <w:tcPr>
                        <w:tcW w:w="3221" w:type="dxa"/>
                      </w:tcPr>
                      <w:p>
                        <w:pPr>
                          <w:pStyle w:val="TableParagraph"/>
                          <w:spacing w:before="70"/>
                          <w:ind w:left="1401"/>
                          <w:jc w:val="left"/>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rPr>
                            <w:sz w:val="21"/>
                          </w:rPr>
                        </w:pPr>
                        <w:r>
                          <w:rPr>
                            <w:sz w:val="21"/>
                          </w:rPr>
                          <w:t>1,000.00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rPr>
                            <w:sz w:val="21"/>
                          </w:rPr>
                        </w:pPr>
                        <w:r>
                          <w:rPr>
                            <w:sz w:val="21"/>
                          </w:rPr>
                          <w:t>1.300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rPr>
                            <w:sz w:val="21"/>
                          </w:rPr>
                        </w:pPr>
                        <w:r>
                          <w:rPr>
                            <w:sz w:val="21"/>
                          </w:rPr>
                          <w:t>1,300.00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rPr>
                            <w:sz w:val="21"/>
                          </w:rPr>
                        </w:pPr>
                        <w:r>
                          <w:rPr>
                            <w:sz w:val="21"/>
                          </w:rPr>
                          <w:t>0.1%</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ind w:right="90"/>
                          <w:rPr>
                            <w:sz w:val="21"/>
                          </w:rPr>
                        </w:pPr>
                        <w:r>
                          <w:rPr>
                            <w:sz w:val="21"/>
                          </w:rPr>
                          <w:t>1.30</w:t>
                        </w:r>
                      </w:p>
                    </w:tc>
                  </w:tr>
                  <w:tr>
                    <w:trPr>
                      <w:trHeight w:val="314" w:hRule="atLeast"/>
                    </w:trPr>
                    <w:tc>
                      <w:tcPr>
                        <w:tcW w:w="4244" w:type="dxa"/>
                      </w:tcPr>
                      <w:p>
                        <w:pPr>
                          <w:pStyle w:val="TableParagraph"/>
                          <w:spacing w:before="25"/>
                          <w:ind w:left="107"/>
                          <w:jc w:val="left"/>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6"/>
                          <w:ind w:right="91"/>
                          <w:rPr>
                            <w:sz w:val="21"/>
                          </w:rPr>
                        </w:pPr>
                        <w:r>
                          <w:rPr>
                            <w:sz w:val="21"/>
                          </w:rPr>
                          <w:t>1,298.70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ind w:right="90"/>
                          <w:rPr>
                            <w:sz w:val="21"/>
                          </w:rPr>
                        </w:pPr>
                        <w:r>
                          <w:rPr>
                            <w:sz w:val="21"/>
                          </w:rPr>
                          <w:t>0.00</w:t>
                        </w:r>
                      </w:p>
                    </w:tc>
                  </w:tr>
                  <w:tr>
                    <w:trPr>
                      <w:trHeight w:val="312" w:hRule="atLeast"/>
                    </w:trPr>
                    <w:tc>
                      <w:tcPr>
                        <w:tcW w:w="4244" w:type="dxa"/>
                      </w:tcPr>
                      <w:p>
                        <w:pPr>
                          <w:pStyle w:val="TableParagraph"/>
                          <w:spacing w:before="23"/>
                          <w:ind w:left="107"/>
                          <w:jc w:val="left"/>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ind w:right="91"/>
                          <w:rPr>
                            <w:sz w:val="21"/>
                          </w:rPr>
                        </w:pPr>
                        <w:r>
                          <w:rPr>
                            <w:sz w:val="21"/>
                          </w:rPr>
                          <w:t>1,298.70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ind w:right="90"/>
                          <w:rPr>
                            <w:sz w:val="21"/>
                          </w:rPr>
                        </w:pPr>
                        <w:r>
                          <w:rPr>
                            <w:sz w:val="21"/>
                          </w:rPr>
                          <w:t>1.500</w:t>
                        </w:r>
                      </w:p>
                    </w:tc>
                  </w:tr>
                  <w:tr>
                    <w:trPr>
                      <w:trHeight w:val="311" w:hRule="atLeast"/>
                    </w:trPr>
                    <w:tc>
                      <w:tcPr>
                        <w:tcW w:w="4244" w:type="dxa"/>
                      </w:tcPr>
                      <w:p>
                        <w:pPr>
                          <w:pStyle w:val="TableParagraph"/>
                          <w:spacing w:before="22"/>
                          <w:ind w:left="107"/>
                          <w:jc w:val="left"/>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ind w:right="90"/>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pStyle w:val="BodyText"/>
        <w:spacing w:before="1"/>
        <w:ind w:left="680"/>
      </w:pPr>
      <w:r>
        <w:rPr/>
        <w:t>（十三）基金的非交易过户</w:t>
      </w:r>
    </w:p>
    <w:p>
      <w:pPr>
        <w:pStyle w:val="BodyText"/>
        <w:spacing w:before="6"/>
        <w:rPr>
          <w:sz w:val="15"/>
        </w:rPr>
      </w:pPr>
    </w:p>
    <w:p>
      <w:pPr>
        <w:pStyle w:val="BodyText"/>
        <w:spacing w:line="417" w:lineRule="auto"/>
        <w:ind w:left="260" w:right="491" w:firstLine="419"/>
        <w:jc w:val="both"/>
      </w:pPr>
      <w:r>
        <w:rPr>
          <w:spacing w:val="-8"/>
        </w:rPr>
        <w:t>基金的非交易过户是指基金登记机构受理继承、捐赠和司法强制执行等情形而产生的非</w:t>
      </w:r>
      <w:r>
        <w:rPr>
          <w:spacing w:val="-10"/>
        </w:rPr>
        <w:t>交易过户以及登记机构认可、符合法律法规的其它非交易过户。无论在上述何种情况下，接</w:t>
      </w:r>
      <w:r>
        <w:rPr>
          <w:spacing w:val="-5"/>
        </w:rPr>
        <w:t>受划转的主体必须是依法可以持有本基金基金份额的投资人。</w:t>
      </w:r>
    </w:p>
    <w:p>
      <w:pPr>
        <w:pStyle w:val="BodyText"/>
        <w:spacing w:line="417" w:lineRule="auto"/>
        <w:ind w:left="260" w:right="49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680"/>
      </w:pPr>
      <w:r>
        <w:rPr/>
        <w:t>（十四）基金的转托管</w:t>
      </w:r>
    </w:p>
    <w:p>
      <w:pPr>
        <w:pStyle w:val="BodyText"/>
        <w:spacing w:before="6"/>
        <w:rPr>
          <w:sz w:val="15"/>
        </w:rPr>
      </w:pPr>
    </w:p>
    <w:p>
      <w:pPr>
        <w:pStyle w:val="BodyText"/>
        <w:spacing w:line="417" w:lineRule="auto" w:before="1"/>
        <w:ind w:left="260" w:right="491" w:firstLine="419"/>
      </w:pPr>
      <w:r>
        <w:rPr>
          <w:spacing w:val="-6"/>
        </w:rPr>
        <w:t>基金份额持有人可办理已持有基金份额在不同销售机构之间的转托管，基金销售机构可</w:t>
      </w:r>
      <w:r>
        <w:rPr>
          <w:spacing w:val="-4"/>
        </w:rPr>
        <w:t>以按照规定的标准收取转托管费。</w:t>
      </w:r>
    </w:p>
    <w:p>
      <w:pPr>
        <w:pStyle w:val="BodyText"/>
        <w:ind w:left="680"/>
      </w:pPr>
      <w:r>
        <w:rPr/>
        <w:t>（十五）定期定额投资计划</w:t>
      </w:r>
    </w:p>
    <w:p>
      <w:pPr>
        <w:spacing w:after="0"/>
        <w:sectPr>
          <w:pgSz w:w="11910" w:h="16840"/>
          <w:pgMar w:header="877" w:footer="995" w:top="1420" w:bottom="1180" w:left="1540" w:right="1300"/>
        </w:sectPr>
      </w:pPr>
    </w:p>
    <w:p>
      <w:pPr>
        <w:pStyle w:val="BodyText"/>
        <w:spacing w:line="417" w:lineRule="auto" w:before="110"/>
        <w:ind w:left="260" w:right="49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line="269" w:lineRule="exact"/>
        <w:ind w:left="680"/>
      </w:pPr>
      <w:r>
        <w:rPr/>
        <w:t>（十六）基金的冻结和解冻</w:t>
      </w:r>
    </w:p>
    <w:p>
      <w:pPr>
        <w:pStyle w:val="BodyText"/>
        <w:spacing w:before="6"/>
        <w:rPr>
          <w:sz w:val="15"/>
        </w:rPr>
      </w:pPr>
    </w:p>
    <w:p>
      <w:pPr>
        <w:pStyle w:val="BodyText"/>
        <w:spacing w:line="417" w:lineRule="auto"/>
        <w:ind w:left="260" w:right="49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680"/>
      </w:pPr>
      <w:r>
        <w:rPr/>
        <w:t>（</w:t>
      </w:r>
      <w:r>
        <w:rPr>
          <w:spacing w:val="-2"/>
        </w:rPr>
        <w:t>十七</w:t>
      </w:r>
      <w:r>
        <w:rPr>
          <w:spacing w:val="-106"/>
        </w:rPr>
        <w:t>）</w:t>
      </w:r>
      <w:r>
        <w:rPr>
          <w:spacing w:val="-3"/>
        </w:rPr>
        <w:t>、基金份额转让</w:t>
      </w:r>
    </w:p>
    <w:p>
      <w:pPr>
        <w:pStyle w:val="BodyText"/>
        <w:spacing w:before="8"/>
        <w:rPr>
          <w:sz w:val="15"/>
        </w:rPr>
      </w:pPr>
    </w:p>
    <w:p>
      <w:pPr>
        <w:pStyle w:val="BodyText"/>
        <w:spacing w:line="417" w:lineRule="auto"/>
        <w:ind w:left="260" w:right="494" w:firstLine="419"/>
      </w:pPr>
      <w:r>
        <w:rPr/>
        <w:t>基金份额可以按照法律法规规定和基金合同约定在中国证监会认可的交易场所或者通过其他方式进行转让，具体由管理人提前发布公告。</w:t>
      </w:r>
    </w:p>
    <w:p>
      <w:pPr>
        <w:pStyle w:val="BodyText"/>
        <w:spacing w:line="417" w:lineRule="auto"/>
        <w:ind w:left="260" w:right="494" w:firstLine="419"/>
      </w:pPr>
      <w:r>
        <w:rPr/>
        <w:t>（十八</w:t>
      </w:r>
      <w:r>
        <w:rPr>
          <w:spacing w:val="-108"/>
        </w:rPr>
        <w:t>）</w:t>
      </w:r>
      <w:r>
        <w:rPr>
          <w:spacing w:val="-3"/>
        </w:rPr>
        <w:t>、基金管理人可在法律法规允许的范围内，在不影响基金份额持有人实质利益的前提下，根据市场情况对上述申购和赎回的安排进行补充和调整并提前公告。</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pPr>
      <w:bookmarkStart w:name="_bookmark8" w:id="9"/>
      <w:bookmarkEnd w:id="9"/>
      <w:r>
        <w:rPr>
          <w:b w:val="0"/>
        </w:rPr>
      </w:r>
      <w:r>
        <w:rPr/>
        <w:t>九、基金的投资</w:t>
      </w:r>
    </w:p>
    <w:p>
      <w:pPr>
        <w:pStyle w:val="BodyText"/>
        <w:rPr>
          <w:b/>
          <w:sz w:val="20"/>
        </w:rPr>
      </w:pPr>
    </w:p>
    <w:p>
      <w:pPr>
        <w:pStyle w:val="BodyText"/>
        <w:spacing w:before="8"/>
        <w:rPr>
          <w:b/>
          <w:sz w:val="15"/>
        </w:rPr>
      </w:pPr>
    </w:p>
    <w:p>
      <w:pPr>
        <w:pStyle w:val="BodyText"/>
        <w:spacing w:before="71"/>
        <w:ind w:left="680"/>
      </w:pPr>
      <w:r>
        <w:rPr/>
        <w:t>（一）投资目标</w:t>
      </w:r>
    </w:p>
    <w:p>
      <w:pPr>
        <w:pStyle w:val="BodyText"/>
        <w:spacing w:before="7"/>
        <w:rPr>
          <w:sz w:val="15"/>
        </w:rPr>
      </w:pPr>
    </w:p>
    <w:p>
      <w:pPr>
        <w:pStyle w:val="BodyText"/>
        <w:spacing w:line="417" w:lineRule="auto"/>
        <w:ind w:left="260" w:right="491" w:firstLine="419"/>
      </w:pPr>
      <w:r>
        <w:rPr>
          <w:spacing w:val="-9"/>
        </w:rPr>
        <w:t>在严格控制投资风险的前提下，通过积极主动的投资，力求实现基金资产的持续稳健增值。</w:t>
      </w:r>
    </w:p>
    <w:p>
      <w:pPr>
        <w:pStyle w:val="BodyText"/>
        <w:spacing w:line="269" w:lineRule="exact"/>
        <w:ind w:left="680"/>
      </w:pPr>
      <w:r>
        <w:rPr/>
        <w:t>（二）投资范围</w:t>
      </w:r>
    </w:p>
    <w:p>
      <w:pPr>
        <w:pStyle w:val="BodyText"/>
        <w:spacing w:before="7"/>
        <w:rPr>
          <w:sz w:val="15"/>
        </w:rPr>
      </w:pPr>
    </w:p>
    <w:p>
      <w:pPr>
        <w:pStyle w:val="BodyText"/>
        <w:spacing w:line="417" w:lineRule="auto"/>
        <w:ind w:left="260" w:right="491" w:firstLine="419"/>
        <w:jc w:val="both"/>
      </w:pPr>
      <w:r>
        <w:rPr>
          <w:spacing w:val="-3"/>
        </w:rPr>
        <w:t>本基金的投资范围为具有良好流动性的金融工具，包括国内依法发行上市的股票(包括中小板、创业板、存托凭证及其他中国证监会核准上市的股票)、港股通机制下的股票、债券(包括国内依法发行和上市交易的国债、央行票据、金融债券、企业债券、公司债券、中</w:t>
      </w:r>
      <w:r>
        <w:rPr>
          <w:spacing w:val="-12"/>
        </w:rPr>
        <w:t>期票据、短期融资券、超短期融资券、次级债券、政府支持机构债券、政府支持债券、地方</w:t>
      </w:r>
      <w:r>
        <w:rPr>
          <w:spacing w:val="-17"/>
        </w:rPr>
        <w:t>政府债券、可转换债券、可交换债券及其他经中国证监会允许投资的债券)、资产支持证券、衍生品</w:t>
      </w:r>
      <w:r>
        <w:rPr/>
        <w:t>（</w:t>
      </w:r>
      <w:r>
        <w:rPr>
          <w:spacing w:val="-7"/>
        </w:rPr>
        <w:t>包括权证、股指期货、国债期货、股票期权等</w:t>
      </w:r>
      <w:r>
        <w:rPr>
          <w:spacing w:val="-15"/>
        </w:rPr>
        <w:t>）</w:t>
      </w:r>
      <w:r>
        <w:rPr>
          <w:spacing w:val="-7"/>
        </w:rPr>
        <w:t>、货币市场工具</w:t>
      </w:r>
      <w:r>
        <w:rPr>
          <w:spacing w:val="-3"/>
        </w:rPr>
        <w:t>（</w:t>
      </w:r>
      <w:r>
        <w:rPr>
          <w:spacing w:val="-2"/>
        </w:rPr>
        <w:t>含同业存单</w:t>
      </w:r>
      <w:r>
        <w:rPr>
          <w:spacing w:val="-13"/>
        </w:rPr>
        <w:t>）</w:t>
      </w:r>
      <w:r>
        <w:rPr/>
        <w:t>以</w:t>
      </w:r>
      <w:r>
        <w:rPr>
          <w:spacing w:val="-3"/>
        </w:rPr>
        <w:t>及法律法规或中国证监会允许基金投资的其他金融工具。</w:t>
      </w:r>
    </w:p>
    <w:p>
      <w:pPr>
        <w:pStyle w:val="BodyText"/>
        <w:spacing w:line="417" w:lineRule="auto"/>
        <w:ind w:left="260" w:right="49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260" w:right="491" w:firstLine="419"/>
        <w:jc w:val="both"/>
      </w:pPr>
      <w:r>
        <w:rPr>
          <w:spacing w:val="-2"/>
        </w:rPr>
        <w:t>本基金的投资组合比例为：股票投资占基金资产的比例为 </w:t>
      </w:r>
      <w:r>
        <w:rPr>
          <w:rFonts w:ascii="Times New Roman" w:eastAsia="Times New Roman"/>
        </w:rPr>
        <w:t>80%-95%</w:t>
      </w:r>
      <w:r>
        <w:rPr>
          <w:spacing w:val="-3"/>
        </w:rPr>
        <w:t>，其中，投资于港</w:t>
      </w:r>
      <w:r>
        <w:rPr>
          <w:spacing w:val="-5"/>
        </w:rPr>
        <w:t>股通标的股票占股票资产的比例为 </w:t>
      </w:r>
      <w:r>
        <w:rPr>
          <w:rFonts w:ascii="Times New Roman" w:eastAsia="Times New Roman"/>
        </w:rPr>
        <w:t>0-50%</w:t>
      </w:r>
      <w:r>
        <w:rPr>
          <w:spacing w:val="-10"/>
        </w:rPr>
        <w:t>。每个交易日日终在扣除股指期货、国债期货、股</w:t>
      </w:r>
      <w:r>
        <w:rPr>
          <w:spacing w:val="-7"/>
        </w:rPr>
        <w:t>票期权合约需缴纳的交易保证金后，保持不低于基金资产净值 </w:t>
      </w:r>
      <w:r>
        <w:rPr>
          <w:rFonts w:ascii="Times New Roman" w:eastAsia="Times New Roman"/>
        </w:rPr>
        <w:t>5%</w:t>
      </w:r>
      <w:r>
        <w:rPr>
          <w:spacing w:val="-3"/>
        </w:rPr>
        <w:t>的现金或者到期日在一年</w:t>
      </w:r>
      <w:r>
        <w:rPr>
          <w:spacing w:val="-11"/>
        </w:rPr>
        <w:t>以内的政府债券，其中，现金不包括结算备付金、存出保证金、应收申购款等。如法律法规或中国证监会变更上述投资品种的比例限制，以变更后的比例为准，本基金的投资比例会做</w:t>
      </w:r>
      <w:r>
        <w:rPr>
          <w:spacing w:val="-6"/>
        </w:rPr>
        <w:t>相应调整。</w:t>
      </w:r>
    </w:p>
    <w:p>
      <w:pPr>
        <w:pStyle w:val="BodyText"/>
        <w:spacing w:line="269" w:lineRule="exact"/>
        <w:ind w:left="680"/>
      </w:pPr>
      <w:r>
        <w:rPr/>
        <w:t>（三）投资策略</w:t>
      </w:r>
    </w:p>
    <w:p>
      <w:pPr>
        <w:pStyle w:val="BodyText"/>
        <w:spacing w:before="6"/>
        <w:rPr>
          <w:sz w:val="15"/>
        </w:rPr>
      </w:pPr>
    </w:p>
    <w:p>
      <w:pPr>
        <w:pStyle w:val="BodyText"/>
        <w:ind w:left="680"/>
      </w:pPr>
      <w:r>
        <w:rPr>
          <w:rFonts w:ascii="Times New Roman" w:eastAsia="Times New Roman"/>
        </w:rPr>
        <w:t>1</w:t>
      </w:r>
      <w:r>
        <w:rPr/>
        <w:t>、资产配置策略</w:t>
      </w:r>
    </w:p>
    <w:p>
      <w:pPr>
        <w:pStyle w:val="BodyText"/>
        <w:spacing w:before="7"/>
        <w:rPr>
          <w:sz w:val="15"/>
        </w:rPr>
      </w:pPr>
    </w:p>
    <w:p>
      <w:pPr>
        <w:pStyle w:val="BodyText"/>
        <w:spacing w:line="417" w:lineRule="auto"/>
        <w:ind w:left="260" w:right="491" w:firstLine="419"/>
        <w:jc w:val="both"/>
      </w:pPr>
      <w:r>
        <w:rPr>
          <w:spacing w:val="-9"/>
        </w:rPr>
        <w:t>本基金通过对宏观经济环境、政策形势、证券市场走势的综合分析，合理确定基金在股</w:t>
      </w:r>
      <w:r>
        <w:rPr>
          <w:spacing w:val="-10"/>
        </w:rPr>
        <w:t>票、债券等各类资产类别上的投资比例。本基金将主要投资于权益类资产，并根据各类资产风险收益特征的相对变化和基金资产状况，适时动态调整股票类资产的投资比例，在控制风</w:t>
      </w:r>
      <w:r>
        <w:rPr>
          <w:spacing w:val="-5"/>
        </w:rPr>
        <w:t>险的基础上提高基金的收益潜力。</w:t>
      </w:r>
    </w:p>
    <w:p>
      <w:pPr>
        <w:pStyle w:val="BodyText"/>
        <w:spacing w:line="268" w:lineRule="exact"/>
        <w:ind w:left="680"/>
      </w:pPr>
      <w:r>
        <w:rPr>
          <w:rFonts w:ascii="Times New Roman" w:eastAsia="Times New Roman"/>
        </w:rPr>
        <w:t>2</w:t>
      </w:r>
      <w:r>
        <w:rPr/>
        <w:t>、股票投资策略</w:t>
      </w:r>
    </w:p>
    <w:p>
      <w:pPr>
        <w:pStyle w:val="BodyText"/>
        <w:spacing w:before="7"/>
        <w:rPr>
          <w:sz w:val="15"/>
        </w:rPr>
      </w:pPr>
    </w:p>
    <w:p>
      <w:pPr>
        <w:pStyle w:val="BodyText"/>
        <w:ind w:left="680"/>
      </w:pPr>
      <w:r>
        <w:rPr/>
        <w:t>本基金将主要采取自下而上的个股精选策略，投资于具备稳定内生增长、能给股东创造</w:t>
      </w:r>
    </w:p>
    <w:p>
      <w:pPr>
        <w:spacing w:after="0"/>
        <w:sectPr>
          <w:pgSz w:w="11910" w:h="16840"/>
          <w:pgMar w:header="877" w:footer="995" w:top="1420" w:bottom="1180" w:left="1540" w:right="1300"/>
        </w:sectPr>
      </w:pPr>
    </w:p>
    <w:p>
      <w:pPr>
        <w:pStyle w:val="BodyText"/>
        <w:spacing w:line="417" w:lineRule="auto" w:before="110"/>
        <w:ind w:left="260" w:right="388"/>
      </w:pPr>
      <w:r>
        <w:rPr>
          <w:spacing w:val="-11"/>
        </w:rPr>
        <w:t>经济价值的股票。基金将以超额收益为目标，利用“多因素选股模型”，综合考察股票所属</w:t>
      </w:r>
      <w:r>
        <w:rPr>
          <w:spacing w:val="-6"/>
        </w:rPr>
        <w:t>行业发展前景、上市公司行业地位、竞争优势、盈利能力、成长性、估值水平等多种因素， </w:t>
      </w:r>
      <w:r>
        <w:rPr>
          <w:spacing w:val="-11"/>
        </w:rPr>
        <w:t>挑选出优质个股，构建核心组合。本基金将主要依据以下策略筛选具有优势的个股，未来随</w:t>
      </w:r>
      <w:r>
        <w:rPr>
          <w:spacing w:val="-6"/>
        </w:rPr>
        <w:t>着市场变化，本基金可根据实际情况进行相应调整。</w:t>
      </w:r>
    </w:p>
    <w:p>
      <w:pPr>
        <w:pStyle w:val="BodyText"/>
        <w:spacing w:line="268" w:lineRule="exact"/>
        <w:ind w:left="680"/>
      </w:pPr>
      <w:r>
        <w:rPr/>
        <w:t>（</w:t>
      </w:r>
      <w:r>
        <w:rPr>
          <w:rFonts w:ascii="Times New Roman" w:eastAsia="Times New Roman"/>
        </w:rPr>
        <w:t>1</w:t>
      </w:r>
      <w:r>
        <w:rPr/>
        <w:t>）</w:t>
      </w:r>
      <w:r>
        <w:rPr>
          <w:rFonts w:ascii="Times New Roman" w:eastAsia="Times New Roman"/>
        </w:rPr>
        <w:t>A </w:t>
      </w:r>
      <w:r>
        <w:rPr/>
        <w:t>股投资策略</w:t>
      </w:r>
    </w:p>
    <w:p>
      <w:pPr>
        <w:pStyle w:val="BodyText"/>
        <w:spacing w:before="6"/>
        <w:rPr>
          <w:sz w:val="15"/>
        </w:rPr>
      </w:pPr>
    </w:p>
    <w:p>
      <w:pPr>
        <w:pStyle w:val="BodyText"/>
        <w:spacing w:line="417" w:lineRule="auto"/>
        <w:ind w:left="260" w:right="440" w:firstLine="419"/>
      </w:pPr>
      <w:r>
        <w:rPr/>
        <w:t>本基金将利用资金互通的思维聚焦 </w:t>
      </w:r>
      <w:r>
        <w:rPr>
          <w:rFonts w:ascii="Times New Roman" w:eastAsia="Times New Roman"/>
        </w:rPr>
        <w:t>A  </w:t>
      </w:r>
      <w:r>
        <w:rPr/>
        <w:t>股优质投资机会，具体而言，将从以下三个方面挖掘具有单一或多个优势的个股，构建投资组合：</w:t>
      </w:r>
    </w:p>
    <w:p>
      <w:pPr>
        <w:pStyle w:val="BodyText"/>
        <w:spacing w:line="417" w:lineRule="auto" w:before="1"/>
        <w:ind w:left="260" w:right="492" w:firstLine="419"/>
      </w:pPr>
      <w:r>
        <w:rPr/>
        <w:t>①精选大市值的优势个股，力求选取市值位于前 </w:t>
      </w:r>
      <w:r>
        <w:rPr>
          <w:rFonts w:ascii="Times New Roman" w:hAnsi="Times New Roman" w:eastAsia="Times New Roman"/>
        </w:rPr>
        <w:t>40%</w:t>
      </w:r>
      <w:r>
        <w:rPr/>
        <w:t>的个股，挖掘兼具成长性与防御性的股票；</w:t>
      </w:r>
    </w:p>
    <w:p>
      <w:pPr>
        <w:pStyle w:val="BodyText"/>
        <w:spacing w:line="417" w:lineRule="auto"/>
        <w:ind w:left="260" w:right="491" w:firstLine="419"/>
      </w:pPr>
      <w:r>
        <w:rPr/>
        <w:t>②精选高盈利能力的优势个股，力求选取净资产回报率（</w:t>
      </w:r>
      <w:r>
        <w:rPr>
          <w:rFonts w:ascii="Times New Roman" w:hAnsi="Times New Roman" w:eastAsia="Times New Roman"/>
        </w:rPr>
        <w:t>ROE</w:t>
      </w:r>
      <w:r>
        <w:rPr/>
        <w:t>）</w:t>
      </w:r>
      <w:r>
        <w:rPr>
          <w:spacing w:val="9"/>
        </w:rPr>
        <w:t>位于前 </w:t>
      </w:r>
      <w:r>
        <w:rPr>
          <w:rFonts w:ascii="Times New Roman" w:hAnsi="Times New Roman" w:eastAsia="Times New Roman"/>
        </w:rPr>
        <w:t>30%</w:t>
      </w:r>
      <w:r>
        <w:rPr>
          <w:spacing w:val="-3"/>
        </w:rPr>
        <w:t>的个股， 以盈利能力驱动股票价格上涨；</w:t>
      </w:r>
    </w:p>
    <w:p>
      <w:pPr>
        <w:pStyle w:val="BodyText"/>
        <w:spacing w:line="417" w:lineRule="auto"/>
        <w:ind w:left="260" w:right="488" w:firstLine="419"/>
      </w:pPr>
      <w:r>
        <w:rPr>
          <w:spacing w:val="1"/>
        </w:rPr>
        <w:t>③精选估值相对行业平均水平偏低的股票，力求选取估值低于行业平均水平 </w:t>
      </w:r>
      <w:r>
        <w:rPr>
          <w:rFonts w:ascii="Times New Roman" w:hAnsi="Times New Roman" w:eastAsia="Times New Roman"/>
        </w:rPr>
        <w:t>10%</w:t>
      </w:r>
      <w:r>
        <w:rPr>
          <w:spacing w:val="-6"/>
        </w:rPr>
        <w:t>以上</w:t>
      </w:r>
      <w:r>
        <w:rPr>
          <w:spacing w:val="-3"/>
        </w:rPr>
        <w:t>的个股，具备较高的安全边际。</w:t>
      </w:r>
    </w:p>
    <w:p>
      <w:pPr>
        <w:pStyle w:val="BodyText"/>
        <w:spacing w:line="269" w:lineRule="exact"/>
        <w:ind w:left="680"/>
      </w:pPr>
      <w:r>
        <w:rPr/>
        <w:t>（</w:t>
      </w:r>
      <w:r>
        <w:rPr>
          <w:rFonts w:ascii="Times New Roman" w:eastAsia="Times New Roman"/>
        </w:rPr>
        <w:t>2</w:t>
      </w:r>
      <w:r>
        <w:rPr/>
        <w:t>）港股投资策略</w:t>
      </w:r>
    </w:p>
    <w:p>
      <w:pPr>
        <w:pStyle w:val="BodyText"/>
        <w:spacing w:before="6"/>
        <w:rPr>
          <w:sz w:val="15"/>
        </w:rPr>
      </w:pPr>
    </w:p>
    <w:p>
      <w:pPr>
        <w:pStyle w:val="BodyText"/>
        <w:spacing w:line="417" w:lineRule="auto"/>
        <w:ind w:left="260" w:right="491" w:firstLine="419"/>
        <w:jc w:val="both"/>
      </w:pPr>
      <w:r>
        <w:rPr>
          <w:spacing w:val="-7"/>
        </w:rPr>
        <w:t>本基金将利用资金互通的思维聚焦港股优质投资机会，主要挖掘大中盘、高增长的投资</w:t>
      </w:r>
      <w:r>
        <w:rPr>
          <w:spacing w:val="-12"/>
        </w:rPr>
        <w:t>机会，并聚焦于以下几个行业：科技、互联网、消费、受惠于供给侧改革的行业以及与新能</w:t>
      </w:r>
      <w:r>
        <w:rPr>
          <w:spacing w:val="-6"/>
        </w:rPr>
        <w:t>源相关的周期材料行业。</w:t>
      </w:r>
    </w:p>
    <w:p>
      <w:pPr>
        <w:pStyle w:val="BodyText"/>
        <w:spacing w:line="417" w:lineRule="auto"/>
        <w:ind w:left="260" w:right="491" w:firstLine="419"/>
      </w:pPr>
      <w:r>
        <w:rPr>
          <w:spacing w:val="-7"/>
        </w:rPr>
        <w:t>本基金可根据投资策略需要或不同配置地市场环境的变化，选择将部分基金资产投资于</w:t>
      </w:r>
      <w:r>
        <w:rPr>
          <w:spacing w:val="-5"/>
        </w:rPr>
        <w:t>港股或选择不将基金资产投资于港股，基金资产并非必然投资港股。</w:t>
      </w:r>
    </w:p>
    <w:p>
      <w:pPr>
        <w:pStyle w:val="BodyText"/>
        <w:spacing w:line="417" w:lineRule="auto"/>
        <w:ind w:left="260" w:right="491" w:firstLine="419"/>
      </w:pPr>
      <w:r>
        <w:rPr>
          <w:spacing w:val="-11"/>
        </w:rPr>
        <w:t>对于存托凭证投资，本基金将在深入研究的基础上，通过定性分析和定量分析相结合的</w:t>
      </w:r>
      <w:r>
        <w:rPr>
          <w:spacing w:val="-6"/>
        </w:rPr>
        <w:t>方式，精选出具有比较优势的存托凭证。</w:t>
      </w:r>
    </w:p>
    <w:p>
      <w:pPr>
        <w:pStyle w:val="BodyText"/>
        <w:ind w:left="680"/>
      </w:pPr>
      <w:r>
        <w:rPr>
          <w:rFonts w:ascii="Times New Roman" w:eastAsia="Times New Roman"/>
        </w:rPr>
        <w:t>3</w:t>
      </w:r>
      <w:r>
        <w:rPr/>
        <w:t>、债券投资策略</w:t>
      </w:r>
    </w:p>
    <w:p>
      <w:pPr>
        <w:pStyle w:val="BodyText"/>
        <w:spacing w:before="6"/>
        <w:rPr>
          <w:sz w:val="15"/>
        </w:rPr>
      </w:pPr>
    </w:p>
    <w:p>
      <w:pPr>
        <w:pStyle w:val="BodyText"/>
        <w:spacing w:line="417" w:lineRule="auto"/>
        <w:ind w:left="260" w:right="491" w:firstLine="419"/>
        <w:jc w:val="both"/>
      </w:pPr>
      <w:r>
        <w:rPr>
          <w:spacing w:val="-8"/>
        </w:rPr>
        <w:t>本基金将在分析和判断国际、国内宏观经济形势、资金供求曲线、市场利率走势、信用</w:t>
      </w:r>
      <w:r>
        <w:rPr>
          <w:spacing w:val="-10"/>
        </w:rPr>
        <w:t>利差状况和债券市场供求关系等因素的基础上，动态调整组合久期和债券的配置结构，精选</w:t>
      </w:r>
      <w:r>
        <w:rPr>
          <w:spacing w:val="-5"/>
        </w:rPr>
        <w:t>债券，获取收益。</w:t>
      </w:r>
    </w:p>
    <w:p>
      <w:pPr>
        <w:pStyle w:val="ListParagraph"/>
        <w:numPr>
          <w:ilvl w:val="0"/>
          <w:numId w:val="20"/>
        </w:numPr>
        <w:tabs>
          <w:tab w:pos="1210" w:val="left" w:leader="none"/>
        </w:tabs>
        <w:spacing w:line="269" w:lineRule="exact" w:before="0" w:after="0"/>
        <w:ind w:left="1209" w:right="0" w:hanging="530"/>
        <w:jc w:val="left"/>
        <w:rPr>
          <w:sz w:val="21"/>
        </w:rPr>
      </w:pPr>
      <w:r>
        <w:rPr>
          <w:spacing w:val="-3"/>
          <w:sz w:val="21"/>
        </w:rPr>
        <w:t>类属配置策略</w:t>
      </w:r>
    </w:p>
    <w:p>
      <w:pPr>
        <w:pStyle w:val="BodyText"/>
        <w:spacing w:before="7"/>
        <w:rPr>
          <w:sz w:val="15"/>
        </w:rPr>
      </w:pPr>
    </w:p>
    <w:p>
      <w:pPr>
        <w:pStyle w:val="BodyText"/>
        <w:spacing w:line="417" w:lineRule="auto"/>
        <w:ind w:left="260" w:right="491" w:firstLine="419"/>
      </w:pPr>
      <w:r>
        <w:rPr>
          <w:spacing w:val="-7"/>
        </w:rPr>
        <w:t>类属配置是指对各市场及各种类的债券之间的比例进行适时、动态的分配和调整，确定</w:t>
      </w:r>
      <w:r>
        <w:rPr>
          <w:spacing w:val="-5"/>
        </w:rPr>
        <w:t>最能符合本基金风险收益特征的资产组合。具体包括市场配置和品种选择两个层面。</w:t>
      </w:r>
    </w:p>
    <w:p>
      <w:pPr>
        <w:pStyle w:val="BodyText"/>
        <w:spacing w:line="417" w:lineRule="auto"/>
        <w:ind w:left="260" w:right="491" w:firstLine="419"/>
      </w:pPr>
      <w:r>
        <w:rPr>
          <w:spacing w:val="-11"/>
        </w:rPr>
        <w:t>在市场配置层面，本基金将在控制市场风险与流动性风险的前提下，根据交易所市场和银行间市场等市场债券的到期收益率变化、流动性变化和市场规模等情况，相机调整不同市</w:t>
      </w:r>
    </w:p>
    <w:p>
      <w:pPr>
        <w:spacing w:after="0" w:line="417" w:lineRule="auto"/>
        <w:sectPr>
          <w:pgSz w:w="11910" w:h="16840"/>
          <w:pgMar w:header="877" w:footer="995" w:top="1420" w:bottom="1180" w:left="1540" w:right="1300"/>
        </w:sectPr>
      </w:pPr>
    </w:p>
    <w:p>
      <w:pPr>
        <w:pStyle w:val="BodyText"/>
        <w:spacing w:before="110"/>
        <w:ind w:left="260"/>
      </w:pPr>
      <w:r>
        <w:rPr/>
        <w:t>场中债券所占的投资比例。</w:t>
      </w:r>
    </w:p>
    <w:p>
      <w:pPr>
        <w:pStyle w:val="BodyText"/>
        <w:spacing w:before="6"/>
        <w:rPr>
          <w:sz w:val="15"/>
        </w:rPr>
      </w:pPr>
    </w:p>
    <w:p>
      <w:pPr>
        <w:pStyle w:val="BodyText"/>
        <w:spacing w:line="417" w:lineRule="auto"/>
        <w:ind w:left="260" w:right="491" w:firstLine="419"/>
        <w:jc w:val="both"/>
      </w:pPr>
      <w:r>
        <w:rPr>
          <w:spacing w:val="-11"/>
        </w:rPr>
        <w:t>在品种选择层面，本基金将在控制信用风险的前提下，基于各品种债券收益率水平的变化特征、宏观经济预测分析以及税收因素的影响，综合考虑流动性、收益性等因素，采取定</w:t>
      </w:r>
      <w:r>
        <w:rPr>
          <w:spacing w:val="-6"/>
        </w:rPr>
        <w:t>量分析和定性分析结合的方法，在各种债券之间进行优化配置。</w:t>
      </w:r>
    </w:p>
    <w:p>
      <w:pPr>
        <w:pStyle w:val="ListParagraph"/>
        <w:numPr>
          <w:ilvl w:val="0"/>
          <w:numId w:val="20"/>
        </w:numPr>
        <w:tabs>
          <w:tab w:pos="1210" w:val="left" w:leader="none"/>
        </w:tabs>
        <w:spacing w:line="269" w:lineRule="exact" w:before="0" w:after="0"/>
        <w:ind w:left="1209" w:right="0" w:hanging="530"/>
        <w:jc w:val="left"/>
        <w:rPr>
          <w:sz w:val="21"/>
        </w:rPr>
      </w:pPr>
      <w:r>
        <w:rPr>
          <w:spacing w:val="-3"/>
          <w:sz w:val="21"/>
        </w:rPr>
        <w:t>久期调整策略</w:t>
      </w:r>
    </w:p>
    <w:p>
      <w:pPr>
        <w:pStyle w:val="BodyText"/>
        <w:spacing w:before="7"/>
        <w:rPr>
          <w:sz w:val="15"/>
        </w:rPr>
      </w:pPr>
    </w:p>
    <w:p>
      <w:pPr>
        <w:pStyle w:val="BodyText"/>
        <w:spacing w:line="417" w:lineRule="auto"/>
        <w:ind w:left="260" w:right="491" w:firstLine="419"/>
        <w:jc w:val="both"/>
      </w:pPr>
      <w:r>
        <w:rPr>
          <w:spacing w:val="-11"/>
        </w:rPr>
        <w:t>债券投资受利率风险的影响。本基金将根据对影响债券投资的宏观经济状况和货币政策</w:t>
      </w:r>
      <w:r>
        <w:rPr>
          <w:spacing w:val="-12"/>
        </w:rPr>
        <w:t>等因素的分析判断，形成对未来市场利率变动方向的预期，进而主动调整所持有的债券资产</w:t>
      </w:r>
      <w:r>
        <w:rPr>
          <w:spacing w:val="-6"/>
        </w:rPr>
        <w:t>组合的久期，达到增加收益或减少损失的目的。</w:t>
      </w:r>
    </w:p>
    <w:p>
      <w:pPr>
        <w:pStyle w:val="BodyText"/>
        <w:spacing w:line="417" w:lineRule="auto"/>
        <w:ind w:left="260" w:right="491" w:firstLine="419"/>
        <w:jc w:val="both"/>
      </w:pPr>
      <w:r>
        <w:rPr>
          <w:spacing w:val="-8"/>
        </w:rPr>
        <w:t>当预期市场总体利率水平降低时，本基金将延长所持有的债券组合的久期，从而可以在</w:t>
      </w:r>
      <w:r>
        <w:rPr>
          <w:spacing w:val="-10"/>
        </w:rPr>
        <w:t>市场利率实际下降时获得债券价格上升收益；反之，当预期市场总体利率水平上升时，则缩</w:t>
      </w:r>
      <w:r>
        <w:rPr>
          <w:spacing w:val="-5"/>
        </w:rPr>
        <w:t>短组合久期，以规避债券价格下降的风险带来的资本损失，获得较高的再投资收益。</w:t>
      </w:r>
    </w:p>
    <w:p>
      <w:pPr>
        <w:pStyle w:val="ListParagraph"/>
        <w:numPr>
          <w:ilvl w:val="0"/>
          <w:numId w:val="20"/>
        </w:numPr>
        <w:tabs>
          <w:tab w:pos="1210" w:val="left" w:leader="none"/>
        </w:tabs>
        <w:spacing w:line="269" w:lineRule="exact" w:before="0" w:after="0"/>
        <w:ind w:left="1209" w:right="0" w:hanging="530"/>
        <w:jc w:val="left"/>
        <w:rPr>
          <w:sz w:val="21"/>
        </w:rPr>
      </w:pPr>
      <w:r>
        <w:rPr>
          <w:spacing w:val="-3"/>
          <w:sz w:val="21"/>
        </w:rPr>
        <w:t>收益率曲线配置策略</w:t>
      </w:r>
    </w:p>
    <w:p>
      <w:pPr>
        <w:pStyle w:val="BodyText"/>
        <w:spacing w:before="7"/>
        <w:rPr>
          <w:sz w:val="15"/>
        </w:rPr>
      </w:pPr>
    </w:p>
    <w:p>
      <w:pPr>
        <w:pStyle w:val="BodyText"/>
        <w:spacing w:line="417" w:lineRule="auto"/>
        <w:ind w:left="260" w:right="491" w:firstLine="419"/>
        <w:jc w:val="both"/>
      </w:pPr>
      <w:r>
        <w:rPr>
          <w:spacing w:val="-8"/>
        </w:rPr>
        <w:t>本基金将综合考察收益率曲线和信用利差曲线，通过预期收益率曲线形态变化和信用利</w:t>
      </w:r>
      <w:r>
        <w:rPr>
          <w:spacing w:val="-10"/>
        </w:rPr>
        <w:t>差曲线走势来调整投资组合的头寸。在考察收益率曲线的基础上，本基金将确定采用集中策</w:t>
      </w:r>
      <w:r>
        <w:rPr>
          <w:spacing w:val="-12"/>
        </w:rPr>
        <w:t>略、哑铃策略或梯形策略等，以从收益率曲线的形变和不同期限信用债券的相对价格变化中获利。本基金还将通过研究影响信用利差曲线的经济周期、市场供求关系和流动性变化等因</w:t>
      </w:r>
      <w:r>
        <w:rPr>
          <w:spacing w:val="-6"/>
        </w:rPr>
        <w:t>素，确定信用债券的行业配置和各信用级别信用债券所占投资比例。</w:t>
      </w:r>
    </w:p>
    <w:p>
      <w:pPr>
        <w:pStyle w:val="ListParagraph"/>
        <w:numPr>
          <w:ilvl w:val="0"/>
          <w:numId w:val="20"/>
        </w:numPr>
        <w:tabs>
          <w:tab w:pos="1210" w:val="left" w:leader="none"/>
        </w:tabs>
        <w:spacing w:line="269" w:lineRule="exact" w:before="0" w:after="0"/>
        <w:ind w:left="1209" w:right="0" w:hanging="530"/>
        <w:jc w:val="left"/>
        <w:rPr>
          <w:sz w:val="21"/>
        </w:rPr>
      </w:pPr>
      <w:r>
        <w:rPr>
          <w:spacing w:val="-3"/>
          <w:sz w:val="21"/>
        </w:rPr>
        <w:t>可转换公司债券投资策略</w:t>
      </w:r>
    </w:p>
    <w:p>
      <w:pPr>
        <w:pStyle w:val="BodyText"/>
        <w:spacing w:before="7"/>
        <w:rPr>
          <w:sz w:val="15"/>
        </w:rPr>
      </w:pPr>
    </w:p>
    <w:p>
      <w:pPr>
        <w:pStyle w:val="BodyText"/>
        <w:spacing w:line="417" w:lineRule="auto"/>
        <w:ind w:left="260" w:right="491" w:firstLine="419"/>
        <w:jc w:val="both"/>
      </w:pPr>
      <w:r>
        <w:rPr>
          <w:spacing w:val="-7"/>
        </w:rPr>
        <w:t>本基金将着重对可转债对应的基础股票的分析与研究，对那些有着较好盈利能力或成长</w:t>
      </w:r>
      <w:r>
        <w:rPr>
          <w:spacing w:val="-10"/>
        </w:rPr>
        <w:t>前景的上市公司的可转债进行重点选择，并在对应可转债估值合理的前提下集中投资，以分</w:t>
      </w:r>
      <w:r>
        <w:rPr>
          <w:spacing w:val="-11"/>
        </w:rPr>
        <w:t>享正股上涨带来的收益。同时，本基金还将密切跟踪上市公司的经营状况，从财务压力、融</w:t>
      </w:r>
      <w:r>
        <w:rPr>
          <w:spacing w:val="-13"/>
        </w:rPr>
        <w:t>资安排、未来的投资计划等方面推测、并通过实地调研等方式确认上市公司对转股价的修正</w:t>
      </w:r>
      <w:r>
        <w:rPr>
          <w:spacing w:val="-6"/>
        </w:rPr>
        <w:t>和转股意愿。</w:t>
      </w:r>
    </w:p>
    <w:p>
      <w:pPr>
        <w:pStyle w:val="BodyText"/>
        <w:spacing w:line="269" w:lineRule="exact"/>
        <w:ind w:left="680"/>
      </w:pPr>
      <w:r>
        <w:rPr>
          <w:rFonts w:ascii="Times New Roman" w:eastAsia="Times New Roman"/>
        </w:rPr>
        <w:t>4</w:t>
      </w:r>
      <w:r>
        <w:rPr/>
        <w:t>、资产支持证券投资策略</w:t>
      </w:r>
    </w:p>
    <w:p>
      <w:pPr>
        <w:pStyle w:val="BodyText"/>
        <w:spacing w:before="6"/>
        <w:rPr>
          <w:sz w:val="15"/>
        </w:rPr>
      </w:pPr>
    </w:p>
    <w:p>
      <w:pPr>
        <w:pStyle w:val="BodyText"/>
        <w:spacing w:line="417" w:lineRule="auto" w:before="1"/>
        <w:ind w:left="260" w:right="388" w:firstLine="419"/>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 </w:t>
      </w:r>
      <w:r>
        <w:rPr>
          <w:spacing w:val="-4"/>
        </w:rPr>
        <w:t>辅助采用定价模型，评估其内在价值。</w:t>
      </w:r>
    </w:p>
    <w:p>
      <w:pPr>
        <w:pStyle w:val="BodyText"/>
        <w:spacing w:line="269" w:lineRule="exact"/>
        <w:ind w:left="680"/>
      </w:pPr>
      <w:r>
        <w:rPr>
          <w:rFonts w:ascii="Times New Roman" w:eastAsia="Times New Roman"/>
        </w:rPr>
        <w:t>5</w:t>
      </w:r>
      <w:r>
        <w:rPr/>
        <w:t>、股指期货投资策略</w:t>
      </w:r>
    </w:p>
    <w:p>
      <w:pPr>
        <w:pStyle w:val="BodyText"/>
        <w:spacing w:before="6"/>
        <w:rPr>
          <w:sz w:val="15"/>
        </w:rPr>
      </w:pPr>
    </w:p>
    <w:p>
      <w:pPr>
        <w:pStyle w:val="BodyText"/>
        <w:ind w:left="680"/>
      </w:pPr>
      <w:r>
        <w:rPr/>
        <w:t>本基金将在风险可控的前提下，本着谨慎原则，适度参与股指期货投资。通过对现货市</w:t>
      </w:r>
    </w:p>
    <w:p>
      <w:pPr>
        <w:spacing w:after="0"/>
        <w:sectPr>
          <w:pgSz w:w="11910" w:h="16840"/>
          <w:pgMar w:header="877" w:footer="995" w:top="1420" w:bottom="1180" w:left="1540" w:right="1300"/>
        </w:sectPr>
      </w:pPr>
    </w:p>
    <w:p>
      <w:pPr>
        <w:pStyle w:val="BodyText"/>
        <w:spacing w:line="417" w:lineRule="auto" w:before="110"/>
        <w:ind w:left="260" w:right="491"/>
        <w:jc w:val="both"/>
      </w:pPr>
      <w:r>
        <w:rPr>
          <w:spacing w:val="-9"/>
        </w:rPr>
        <w:t>场和期货市场运行趋势的研究，结合基金股票组合的实际情况及对股指期货的估值水平、基</w:t>
      </w:r>
      <w:r>
        <w:rPr>
          <w:spacing w:val="-12"/>
        </w:rPr>
        <w:t>差水平、流动性等因素的分析，选择合适的期货合约构建相应的头寸，以调整投资组合的风险暴露，降低系统性风险。基金还将利用股指期货作为组合流动性管理工具，降低现货市场</w:t>
      </w:r>
      <w:r>
        <w:rPr>
          <w:spacing w:val="-6"/>
        </w:rPr>
        <w:t>流动性不足导致的冲击成本过高的风险，提高基金的建仓或变现效率。</w:t>
      </w:r>
    </w:p>
    <w:p>
      <w:pPr>
        <w:pStyle w:val="BodyText"/>
        <w:spacing w:line="268" w:lineRule="exact"/>
        <w:ind w:left="680"/>
      </w:pPr>
      <w:r>
        <w:rPr>
          <w:rFonts w:ascii="Times New Roman" w:eastAsia="Times New Roman"/>
        </w:rPr>
        <w:t>6</w:t>
      </w:r>
      <w:r>
        <w:rPr/>
        <w:t>、股票期权投资策略</w:t>
      </w:r>
    </w:p>
    <w:p>
      <w:pPr>
        <w:pStyle w:val="BodyText"/>
        <w:spacing w:before="6"/>
        <w:rPr>
          <w:sz w:val="15"/>
        </w:rPr>
      </w:pPr>
    </w:p>
    <w:p>
      <w:pPr>
        <w:pStyle w:val="BodyText"/>
        <w:spacing w:line="417" w:lineRule="auto"/>
        <w:ind w:left="260" w:right="491" w:firstLine="419"/>
        <w:jc w:val="both"/>
      </w:pPr>
      <w:r>
        <w:rPr>
          <w:spacing w:val="-9"/>
        </w:rPr>
        <w:t>本基金按照风险管理的原则，在严格控制风险的前提下，选择流动性好、交易活跃的期</w:t>
      </w:r>
      <w:r>
        <w:rPr>
          <w:spacing w:val="-12"/>
        </w:rPr>
        <w:t>权合约进行投资。本基金基于对证券市场的判断，结合期权定价模型，选择估值合理的期权合约。</w:t>
      </w:r>
    </w:p>
    <w:p>
      <w:pPr>
        <w:pStyle w:val="BodyText"/>
        <w:spacing w:line="417" w:lineRule="auto" w:before="1"/>
        <w:ind w:left="260" w:right="491" w:firstLine="419"/>
      </w:pPr>
      <w:r>
        <w:rPr>
          <w:spacing w:val="-10"/>
        </w:rPr>
        <w:t>本基金投资期权，基金管理人将根据审慎原则，建立期权交易决策部门或小组，授权特</w:t>
      </w:r>
      <w:r>
        <w:rPr>
          <w:spacing w:val="-5"/>
        </w:rPr>
        <w:t>定的管理人员负责期权的投资审批事项，以防范期权投资的风险。</w:t>
      </w:r>
    </w:p>
    <w:p>
      <w:pPr>
        <w:pStyle w:val="BodyText"/>
        <w:spacing w:line="269" w:lineRule="exact"/>
        <w:ind w:left="680"/>
      </w:pPr>
      <w:r>
        <w:rPr>
          <w:rFonts w:ascii="Times New Roman" w:eastAsia="Times New Roman"/>
        </w:rPr>
        <w:t>7</w:t>
      </w:r>
      <w:r>
        <w:rPr/>
        <w:t>、国债期货投资策略</w:t>
      </w:r>
    </w:p>
    <w:p>
      <w:pPr>
        <w:pStyle w:val="BodyText"/>
        <w:spacing w:before="6"/>
        <w:rPr>
          <w:sz w:val="15"/>
        </w:rPr>
      </w:pPr>
    </w:p>
    <w:p>
      <w:pPr>
        <w:pStyle w:val="BodyText"/>
        <w:spacing w:line="417" w:lineRule="auto"/>
        <w:ind w:left="260" w:right="49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line="417" w:lineRule="auto"/>
        <w:ind w:left="260" w:right="491" w:firstLine="419"/>
      </w:pPr>
      <w:r>
        <w:rPr>
          <w:spacing w:val="-11"/>
        </w:rPr>
        <w:t>未来，根据市场情况，基金可相应调整和更新相关投资策略，并在招募说明书更新中公告。</w:t>
      </w:r>
    </w:p>
    <w:p>
      <w:pPr>
        <w:pStyle w:val="BodyText"/>
        <w:ind w:left="680"/>
      </w:pPr>
      <w:r>
        <w:rPr/>
        <w:t>（四）投资限制</w:t>
      </w:r>
    </w:p>
    <w:p>
      <w:pPr>
        <w:pStyle w:val="BodyText"/>
        <w:spacing w:before="7"/>
        <w:rPr>
          <w:sz w:val="15"/>
        </w:rPr>
      </w:pPr>
    </w:p>
    <w:p>
      <w:pPr>
        <w:pStyle w:val="BodyText"/>
        <w:ind w:left="680"/>
      </w:pPr>
      <w:r>
        <w:rPr>
          <w:rFonts w:ascii="Times New Roman" w:eastAsia="Times New Roman"/>
        </w:rPr>
        <w:t>1</w:t>
      </w:r>
      <w:r>
        <w:rPr/>
        <w:t>、组合限制</w:t>
      </w:r>
    </w:p>
    <w:p>
      <w:pPr>
        <w:pStyle w:val="BodyText"/>
        <w:spacing w:before="6"/>
        <w:rPr>
          <w:sz w:val="15"/>
        </w:rPr>
      </w:pPr>
    </w:p>
    <w:p>
      <w:pPr>
        <w:pStyle w:val="BodyText"/>
        <w:spacing w:before="1"/>
        <w:ind w:left="680"/>
      </w:pPr>
      <w:r>
        <w:rPr/>
        <w:t>基金的投资组合应遵循以下限制：</w:t>
      </w:r>
    </w:p>
    <w:p>
      <w:pPr>
        <w:pStyle w:val="BodyText"/>
        <w:spacing w:before="6"/>
        <w:rPr>
          <w:sz w:val="15"/>
        </w:rPr>
      </w:pPr>
    </w:p>
    <w:p>
      <w:pPr>
        <w:pStyle w:val="ListParagraph"/>
        <w:numPr>
          <w:ilvl w:val="0"/>
          <w:numId w:val="21"/>
        </w:numPr>
        <w:tabs>
          <w:tab w:pos="1210" w:val="left" w:leader="none"/>
        </w:tabs>
        <w:spacing w:line="417" w:lineRule="auto" w:before="0" w:after="0"/>
        <w:ind w:left="260" w:right="491" w:firstLine="419"/>
        <w:jc w:val="both"/>
        <w:rPr>
          <w:sz w:val="21"/>
        </w:rPr>
      </w:pPr>
      <w:r>
        <w:rPr>
          <w:spacing w:val="-4"/>
          <w:sz w:val="21"/>
        </w:rPr>
        <w:t>本基金股票投资比例为基金资产的 </w:t>
      </w:r>
      <w:r>
        <w:rPr>
          <w:rFonts w:ascii="Times New Roman" w:eastAsia="Times New Roman"/>
          <w:spacing w:val="-3"/>
          <w:sz w:val="21"/>
        </w:rPr>
        <w:t>80%-95%</w:t>
      </w:r>
      <w:r>
        <w:rPr>
          <w:spacing w:val="-5"/>
          <w:sz w:val="21"/>
        </w:rPr>
        <w:t>，其中，投资于港股通标的股票占股</w:t>
      </w:r>
      <w:r>
        <w:rPr>
          <w:spacing w:val="-11"/>
          <w:sz w:val="21"/>
        </w:rPr>
        <w:t>票资产的比例为 </w:t>
      </w:r>
      <w:r>
        <w:rPr>
          <w:rFonts w:ascii="Times New Roman" w:eastAsia="Times New Roman"/>
          <w:sz w:val="21"/>
        </w:rPr>
        <w:t>0-50%</w:t>
      </w:r>
      <w:r>
        <w:rPr>
          <w:sz w:val="21"/>
        </w:rPr>
        <w:t>。</w:t>
      </w:r>
    </w:p>
    <w:p>
      <w:pPr>
        <w:pStyle w:val="ListParagraph"/>
        <w:numPr>
          <w:ilvl w:val="0"/>
          <w:numId w:val="21"/>
        </w:numPr>
        <w:tabs>
          <w:tab w:pos="1210" w:val="left" w:leader="none"/>
        </w:tabs>
        <w:spacing w:line="417" w:lineRule="auto" w:before="0" w:after="0"/>
        <w:ind w:left="260" w:right="491" w:firstLine="419"/>
        <w:jc w:val="both"/>
        <w:rPr>
          <w:sz w:val="21"/>
        </w:rPr>
      </w:pPr>
      <w:r>
        <w:rPr>
          <w:spacing w:val="-3"/>
          <w:sz w:val="21"/>
        </w:rPr>
        <w:t>每个交易日日终在扣除股指期货、国债期货、股票期权合约需缴纳的交易保证金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21"/>
        </w:numPr>
        <w:tabs>
          <w:tab w:pos="1210" w:val="left" w:leader="none"/>
        </w:tabs>
        <w:spacing w:line="240" w:lineRule="auto" w:before="0" w:after="0"/>
        <w:ind w:left="120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21"/>
        </w:numPr>
        <w:tabs>
          <w:tab w:pos="1215" w:val="left" w:leader="none"/>
        </w:tabs>
        <w:spacing w:line="240" w:lineRule="auto" w:before="0" w:after="0"/>
        <w:ind w:left="1214" w:right="0" w:hanging="535"/>
        <w:jc w:val="left"/>
        <w:rPr>
          <w:sz w:val="21"/>
        </w:rPr>
      </w:pPr>
      <w:r>
        <w:rPr>
          <w:spacing w:val="-2"/>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6"/>
        <w:rPr>
          <w:sz w:val="15"/>
        </w:rPr>
      </w:pPr>
    </w:p>
    <w:p>
      <w:pPr>
        <w:pStyle w:val="ListParagraph"/>
        <w:numPr>
          <w:ilvl w:val="0"/>
          <w:numId w:val="21"/>
        </w:numPr>
        <w:tabs>
          <w:tab w:pos="1210" w:val="left" w:leader="none"/>
        </w:tabs>
        <w:spacing w:line="417" w:lineRule="auto" w:before="1" w:after="0"/>
        <w:ind w:left="260" w:right="494" w:firstLine="419"/>
        <w:jc w:val="left"/>
        <w:rPr>
          <w:sz w:val="21"/>
        </w:rPr>
      </w:pPr>
      <w:r>
        <w:rPr>
          <w:spacing w:val="-3"/>
          <w:sz w:val="21"/>
        </w:rPr>
        <w:t>本基金管理人管理的全部开放式基金持有一家上市公司发行的可流通股票，不得</w:t>
      </w:r>
      <w:r>
        <w:rPr>
          <w:spacing w:val="-7"/>
          <w:sz w:val="21"/>
        </w:rPr>
        <w:t>超过该上市公司可流通股票的 </w:t>
      </w:r>
      <w:r>
        <w:rPr>
          <w:rFonts w:ascii="Times New Roman" w:eastAsia="Times New Roman"/>
          <w:sz w:val="21"/>
        </w:rPr>
        <w:t>15%</w:t>
      </w:r>
      <w:r>
        <w:rPr>
          <w:sz w:val="21"/>
        </w:rPr>
        <w:t>。</w:t>
      </w:r>
    </w:p>
    <w:p>
      <w:pPr>
        <w:pStyle w:val="ListParagraph"/>
        <w:numPr>
          <w:ilvl w:val="0"/>
          <w:numId w:val="21"/>
        </w:numPr>
        <w:tabs>
          <w:tab w:pos="1210" w:val="left" w:leader="none"/>
        </w:tabs>
        <w:spacing w:line="417" w:lineRule="auto" w:before="0" w:after="0"/>
        <w:ind w:left="260" w:right="494" w:firstLine="419"/>
        <w:jc w:val="left"/>
        <w:rPr>
          <w:sz w:val="21"/>
        </w:rPr>
      </w:pPr>
      <w:r>
        <w:rPr>
          <w:spacing w:val="-3"/>
          <w:sz w:val="21"/>
        </w:rPr>
        <w:t>本基金管理人管理的全部投资组合持有一家上市公司发行的可流通股票，不得超</w:t>
      </w:r>
      <w:r>
        <w:rPr>
          <w:spacing w:val="-7"/>
          <w:sz w:val="21"/>
        </w:rPr>
        <w:t>过该上市公司可流通股票的 </w:t>
      </w:r>
      <w:r>
        <w:rPr>
          <w:rFonts w:ascii="Times New Roman" w:eastAsia="Times New Roman"/>
          <w:sz w:val="21"/>
        </w:rPr>
        <w:t>30%</w:t>
      </w:r>
      <w:r>
        <w:rPr>
          <w:sz w:val="21"/>
        </w:rPr>
        <w:t>。</w:t>
      </w:r>
    </w:p>
    <w:p>
      <w:pPr>
        <w:pStyle w:val="ListParagraph"/>
        <w:numPr>
          <w:ilvl w:val="0"/>
          <w:numId w:val="21"/>
        </w:numPr>
        <w:tabs>
          <w:tab w:pos="1210" w:val="left" w:leader="none"/>
        </w:tabs>
        <w:spacing w:line="240" w:lineRule="auto" w:before="0" w:after="0"/>
        <w:ind w:left="1209" w:right="0" w:hanging="530"/>
        <w:jc w:val="left"/>
        <w:rPr>
          <w:sz w:val="21"/>
        </w:rPr>
      </w:pPr>
      <w:r>
        <w:rPr>
          <w:spacing w:val="-5"/>
          <w:sz w:val="21"/>
        </w:rPr>
        <w:t>本基金持有的全部权证，其市值不得超过基金资产净值的 </w:t>
      </w:r>
      <w:r>
        <w:rPr>
          <w:rFonts w:ascii="Times New Roman" w:eastAsia="Times New Roman"/>
          <w:sz w:val="21"/>
        </w:rPr>
        <w:t>3%</w:t>
      </w:r>
      <w:r>
        <w:rPr>
          <w:sz w:val="21"/>
        </w:rPr>
        <w:t>。</w:t>
      </w:r>
    </w:p>
    <w:p>
      <w:pPr>
        <w:spacing w:after="0" w:line="240" w:lineRule="auto"/>
        <w:jc w:val="left"/>
        <w:rPr>
          <w:sz w:val="21"/>
        </w:rPr>
        <w:sectPr>
          <w:pgSz w:w="11910" w:h="16840"/>
          <w:pgMar w:header="877" w:footer="995" w:top="1420" w:bottom="1180" w:left="1540" w:right="1300"/>
        </w:sectPr>
      </w:pPr>
    </w:p>
    <w:p>
      <w:pPr>
        <w:pStyle w:val="ListParagraph"/>
        <w:numPr>
          <w:ilvl w:val="0"/>
          <w:numId w:val="21"/>
        </w:numPr>
        <w:tabs>
          <w:tab w:pos="1210" w:val="left" w:leader="none"/>
        </w:tabs>
        <w:spacing w:line="240" w:lineRule="auto" w:before="110" w:after="0"/>
        <w:ind w:left="1209" w:right="0" w:hanging="530"/>
        <w:jc w:val="left"/>
        <w:rPr>
          <w:sz w:val="21"/>
        </w:rPr>
      </w:pPr>
      <w:r>
        <w:rPr>
          <w:spacing w:val="-5"/>
          <w:sz w:val="21"/>
        </w:rPr>
        <w:t>本基金管理人管理的全部基金持有的同一权证，不得超过该权证的 </w:t>
      </w:r>
      <w:r>
        <w:rPr>
          <w:rFonts w:ascii="Times New Roman" w:eastAsia="Times New Roman"/>
          <w:sz w:val="21"/>
        </w:rPr>
        <w:t>10%</w:t>
      </w:r>
      <w:r>
        <w:rPr>
          <w:sz w:val="21"/>
        </w:rPr>
        <w:t>。</w:t>
      </w:r>
    </w:p>
    <w:p>
      <w:pPr>
        <w:pStyle w:val="BodyText"/>
        <w:spacing w:before="6"/>
        <w:rPr>
          <w:sz w:val="15"/>
        </w:rPr>
      </w:pPr>
    </w:p>
    <w:p>
      <w:pPr>
        <w:pStyle w:val="ListParagraph"/>
        <w:numPr>
          <w:ilvl w:val="0"/>
          <w:numId w:val="21"/>
        </w:numPr>
        <w:tabs>
          <w:tab w:pos="1225" w:val="left" w:leader="none"/>
        </w:tabs>
        <w:spacing w:line="240" w:lineRule="auto" w:before="0" w:after="0"/>
        <w:ind w:left="1224" w:right="0" w:hanging="545"/>
        <w:jc w:val="left"/>
        <w:rPr>
          <w:sz w:val="21"/>
        </w:rPr>
      </w:pPr>
      <w:r>
        <w:rPr>
          <w:spacing w:val="3"/>
          <w:sz w:val="21"/>
        </w:rPr>
        <w:t>本基金在任何交易日买入权证的总金额，不得超过上一交易日基金资产净值的</w:t>
      </w:r>
    </w:p>
    <w:p>
      <w:pPr>
        <w:pStyle w:val="BodyText"/>
        <w:spacing w:before="7"/>
        <w:rPr>
          <w:sz w:val="15"/>
        </w:rPr>
      </w:pPr>
    </w:p>
    <w:p>
      <w:pPr>
        <w:pStyle w:val="BodyText"/>
        <w:ind w:left="260"/>
      </w:pPr>
      <w:r>
        <w:rPr>
          <w:rFonts w:ascii="Times New Roman" w:eastAsia="Times New Roman"/>
        </w:rPr>
        <w:t>0.5%</w:t>
      </w:r>
      <w:r>
        <w:rPr/>
        <w:t>。</w:t>
      </w:r>
    </w:p>
    <w:p>
      <w:pPr>
        <w:pStyle w:val="BodyText"/>
        <w:spacing w:before="7"/>
        <w:rPr>
          <w:sz w:val="15"/>
        </w:rPr>
      </w:pPr>
    </w:p>
    <w:p>
      <w:pPr>
        <w:pStyle w:val="ListParagraph"/>
        <w:numPr>
          <w:ilvl w:val="0"/>
          <w:numId w:val="21"/>
        </w:numPr>
        <w:tabs>
          <w:tab w:pos="1315" w:val="left" w:leader="none"/>
        </w:tabs>
        <w:spacing w:line="417" w:lineRule="auto" w:before="0" w:after="0"/>
        <w:ind w:left="260" w:right="491" w:firstLine="419"/>
        <w:jc w:val="both"/>
        <w:rPr>
          <w:sz w:val="21"/>
        </w:rPr>
      </w:pPr>
      <w:r>
        <w:rPr>
          <w:spacing w:val="-5"/>
          <w:sz w:val="21"/>
        </w:rPr>
        <w:t>本基金投资于同一原始权益人的各类资产支持证券的比例，不得超过基金资产 </w:t>
      </w:r>
      <w:r>
        <w:rPr>
          <w:spacing w:val="-17"/>
          <w:sz w:val="21"/>
        </w:rPr>
        <w:t>净值的 </w:t>
      </w:r>
      <w:r>
        <w:rPr>
          <w:rFonts w:ascii="Times New Roman" w:eastAsia="Times New Roman"/>
          <w:sz w:val="21"/>
        </w:rPr>
        <w:t>10%</w:t>
      </w:r>
      <w:r>
        <w:rPr>
          <w:sz w:val="21"/>
        </w:rPr>
        <w:t>。</w:t>
      </w:r>
    </w:p>
    <w:p>
      <w:pPr>
        <w:pStyle w:val="ListParagraph"/>
        <w:numPr>
          <w:ilvl w:val="0"/>
          <w:numId w:val="21"/>
        </w:numPr>
        <w:tabs>
          <w:tab w:pos="1306" w:val="left" w:leader="none"/>
        </w:tabs>
        <w:spacing w:line="269" w:lineRule="exact" w:before="0" w:after="0"/>
        <w:ind w:left="1305" w:right="0" w:hanging="626"/>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z w:val="21"/>
        </w:rPr>
        <w:t>。</w:t>
      </w:r>
    </w:p>
    <w:p>
      <w:pPr>
        <w:pStyle w:val="BodyText"/>
        <w:spacing w:before="7"/>
        <w:rPr>
          <w:sz w:val="15"/>
        </w:rPr>
      </w:pPr>
    </w:p>
    <w:p>
      <w:pPr>
        <w:pStyle w:val="ListParagraph"/>
        <w:numPr>
          <w:ilvl w:val="0"/>
          <w:numId w:val="21"/>
        </w:numPr>
        <w:tabs>
          <w:tab w:pos="1315" w:val="left" w:leader="none"/>
        </w:tabs>
        <w:spacing w:line="417" w:lineRule="auto" w:before="0" w:after="0"/>
        <w:ind w:left="260" w:right="491" w:firstLine="419"/>
        <w:jc w:val="both"/>
        <w:rPr>
          <w:sz w:val="21"/>
        </w:rPr>
      </w:pPr>
      <w:r>
        <w:rPr>
          <w:spacing w:val="-6"/>
          <w:sz w:val="21"/>
        </w:rPr>
        <w:t>本基金持有的同一</w:t>
      </w:r>
      <w:r>
        <w:rPr>
          <w:sz w:val="21"/>
        </w:rPr>
        <w:t>（</w:t>
      </w:r>
      <w:r>
        <w:rPr>
          <w:spacing w:val="-3"/>
          <w:sz w:val="21"/>
        </w:rPr>
        <w:t>指同一信用级别</w:t>
      </w:r>
      <w:r>
        <w:rPr>
          <w:spacing w:val="-26"/>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21"/>
        </w:numPr>
        <w:tabs>
          <w:tab w:pos="1315" w:val="left" w:leader="none"/>
        </w:tabs>
        <w:spacing w:line="417" w:lineRule="auto" w:before="0" w:after="0"/>
        <w:ind w:left="260" w:right="491" w:firstLine="419"/>
        <w:jc w:val="both"/>
        <w:rPr>
          <w:sz w:val="21"/>
        </w:rPr>
      </w:pPr>
      <w:r>
        <w:rPr>
          <w:spacing w:val="-5"/>
          <w:sz w:val="21"/>
        </w:rPr>
        <w:t>本基金管理人管理的全部基金投资于同一原始权益人的各类资产支持证券，不 </w:t>
      </w:r>
      <w:r>
        <w:rPr>
          <w:spacing w:val="-7"/>
          <w:sz w:val="21"/>
        </w:rPr>
        <w:t>得超过其各类资产支持证券合计规模的 </w:t>
      </w:r>
      <w:r>
        <w:rPr>
          <w:rFonts w:ascii="Times New Roman" w:eastAsia="Times New Roman"/>
          <w:sz w:val="21"/>
        </w:rPr>
        <w:t>10%</w:t>
      </w:r>
      <w:r>
        <w:rPr>
          <w:sz w:val="21"/>
        </w:rPr>
        <w:t>。</w:t>
      </w:r>
    </w:p>
    <w:p>
      <w:pPr>
        <w:pStyle w:val="ListParagraph"/>
        <w:numPr>
          <w:ilvl w:val="0"/>
          <w:numId w:val="21"/>
        </w:numPr>
        <w:tabs>
          <w:tab w:pos="1313" w:val="left" w:leader="none"/>
        </w:tabs>
        <w:spacing w:line="417" w:lineRule="auto" w:before="0" w:after="0"/>
        <w:ind w:left="260" w:right="49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5"/>
          <w:sz w:val="21"/>
        </w:rPr>
        <w:t> </w:t>
      </w:r>
      <w:r>
        <w:rPr>
          <w:spacing w:val="-6"/>
          <w:sz w:val="21"/>
        </w:rPr>
        <w:t>以上</w:t>
      </w:r>
      <w:r>
        <w:rPr>
          <w:spacing w:val="-3"/>
          <w:sz w:val="21"/>
        </w:rPr>
        <w:t>（</w:t>
      </w:r>
      <w:r>
        <w:rPr>
          <w:spacing w:val="-18"/>
          <w:sz w:val="21"/>
        </w:rPr>
        <w:t>含 </w:t>
      </w:r>
      <w:r>
        <w:rPr>
          <w:rFonts w:ascii="Times New Roman" w:eastAsia="Times New Roman"/>
          <w:spacing w:val="-4"/>
          <w:sz w:val="21"/>
        </w:rPr>
        <w:t>BBB</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21"/>
        </w:numPr>
        <w:tabs>
          <w:tab w:pos="1313" w:val="left" w:leader="none"/>
        </w:tabs>
        <w:spacing w:line="417" w:lineRule="auto" w:before="0" w:after="0"/>
        <w:ind w:left="260" w:right="49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1"/>
        </w:numPr>
        <w:tabs>
          <w:tab w:pos="1313" w:val="left" w:leader="none"/>
        </w:tabs>
        <w:spacing w:line="417" w:lineRule="auto" w:before="0" w:after="0"/>
        <w:ind w:left="260" w:right="49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pacing w:val="-8"/>
          <w:sz w:val="21"/>
        </w:rPr>
        <w:t>，债券回购最长期限为 </w:t>
      </w:r>
      <w:r>
        <w:rPr>
          <w:rFonts w:ascii="Times New Roman" w:eastAsia="Times New Roman"/>
          <w:sz w:val="21"/>
        </w:rPr>
        <w:t>1</w:t>
      </w:r>
      <w:r>
        <w:rPr>
          <w:rFonts w:ascii="Times New Roman" w:eastAsia="Times New Roman"/>
          <w:spacing w:val="-3"/>
          <w:sz w:val="21"/>
        </w:rPr>
        <w:t> </w:t>
      </w:r>
      <w:r>
        <w:rPr>
          <w:spacing w:val="-3"/>
          <w:sz w:val="21"/>
        </w:rPr>
        <w:t>年，债券回购到期后不得展期。</w:t>
      </w:r>
    </w:p>
    <w:p>
      <w:pPr>
        <w:pStyle w:val="ListParagraph"/>
        <w:numPr>
          <w:ilvl w:val="0"/>
          <w:numId w:val="21"/>
        </w:numPr>
        <w:tabs>
          <w:tab w:pos="1315" w:val="left" w:leader="none"/>
        </w:tabs>
        <w:spacing w:line="269" w:lineRule="exact" w:before="0" w:after="0"/>
        <w:ind w:left="1315" w:right="0" w:hanging="635"/>
        <w:jc w:val="left"/>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0"/>
          <w:numId w:val="21"/>
        </w:numPr>
        <w:tabs>
          <w:tab w:pos="1313" w:val="left" w:leader="none"/>
        </w:tabs>
        <w:spacing w:line="417" w:lineRule="auto" w:before="0" w:after="0"/>
        <w:ind w:left="260" w:right="49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21"/>
        </w:numPr>
        <w:tabs>
          <w:tab w:pos="1313" w:val="left" w:leader="none"/>
        </w:tabs>
        <w:spacing w:line="417" w:lineRule="auto" w:before="0" w:after="0"/>
        <w:ind w:left="260" w:right="49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21"/>
        </w:numPr>
        <w:tabs>
          <w:tab w:pos="1315" w:val="left" w:leader="none"/>
        </w:tabs>
        <w:spacing w:line="417" w:lineRule="auto" w:before="0" w:after="0"/>
        <w:ind w:left="260" w:right="491" w:firstLine="419"/>
        <w:jc w:val="left"/>
        <w:rPr>
          <w:sz w:val="21"/>
        </w:rPr>
      </w:pPr>
      <w:r>
        <w:rPr>
          <w:spacing w:val="-6"/>
          <w:sz w:val="21"/>
        </w:rPr>
        <w:t>基金所持有的债券</w:t>
      </w:r>
      <w:r>
        <w:rPr>
          <w:sz w:val="21"/>
        </w:rPr>
        <w:t>（</w:t>
      </w:r>
      <w:r>
        <w:rPr>
          <w:spacing w:val="-3"/>
          <w:sz w:val="21"/>
        </w:rPr>
        <w:t>不含到期日在一年以内的政府债券</w:t>
      </w:r>
      <w:r>
        <w:rPr>
          <w:spacing w:val="-25"/>
          <w:sz w:val="21"/>
        </w:rPr>
        <w:t>）</w:t>
      </w:r>
      <w:r>
        <w:rPr>
          <w:spacing w:val="-6"/>
          <w:sz w:val="21"/>
        </w:rPr>
        <w:t>市值和买入、卖出国 </w:t>
      </w:r>
      <w:r>
        <w:rPr>
          <w:spacing w:val="-5"/>
          <w:sz w:val="21"/>
        </w:rPr>
        <w:t>债期货合约价值，合计</w:t>
      </w:r>
      <w:r>
        <w:rPr>
          <w:sz w:val="21"/>
        </w:rPr>
        <w:t>（</w:t>
      </w:r>
      <w:r>
        <w:rPr>
          <w:spacing w:val="-3"/>
          <w:sz w:val="21"/>
        </w:rPr>
        <w:t>轧差计算</w:t>
      </w:r>
      <w:r>
        <w:rPr>
          <w:sz w:val="21"/>
        </w:rPr>
        <w:t>）</w:t>
      </w:r>
      <w:r>
        <w:rPr>
          <w:spacing w:val="-3"/>
          <w:sz w:val="21"/>
        </w:rPr>
        <w:t>应当符合基金合同关于债券投资比例的有关约定。</w:t>
      </w:r>
    </w:p>
    <w:p>
      <w:pPr>
        <w:pStyle w:val="ListParagraph"/>
        <w:numPr>
          <w:ilvl w:val="0"/>
          <w:numId w:val="21"/>
        </w:numPr>
        <w:tabs>
          <w:tab w:pos="1315" w:val="left" w:leader="none"/>
        </w:tabs>
        <w:spacing w:line="417" w:lineRule="auto" w:before="0" w:after="0"/>
        <w:ind w:left="260" w:right="491" w:firstLine="419"/>
        <w:jc w:val="left"/>
        <w:rPr>
          <w:sz w:val="21"/>
        </w:rPr>
      </w:pPr>
      <w:r>
        <w:rPr>
          <w:spacing w:val="-7"/>
          <w:sz w:val="21"/>
        </w:rPr>
        <w:t>本基金所持有的股票市值和买入、卖出股指期货合约价值，合计</w:t>
      </w:r>
      <w:r>
        <w:rPr>
          <w:sz w:val="21"/>
        </w:rPr>
        <w:t>（</w:t>
      </w:r>
      <w:r>
        <w:rPr>
          <w:spacing w:val="-3"/>
          <w:sz w:val="21"/>
        </w:rPr>
        <w:t>轧差计算</w:t>
      </w:r>
      <w:r>
        <w:rPr>
          <w:spacing w:val="-20"/>
          <w:sz w:val="21"/>
        </w:rPr>
        <w:t>） </w:t>
      </w:r>
      <w:r>
        <w:rPr>
          <w:spacing w:val="-3"/>
          <w:sz w:val="21"/>
        </w:rPr>
        <w:t>应当符合基金合同关于股票投资比例的有关约定。</w:t>
      </w:r>
    </w:p>
    <w:p>
      <w:pPr>
        <w:spacing w:after="0" w:line="417" w:lineRule="auto"/>
        <w:jc w:val="left"/>
        <w:rPr>
          <w:sz w:val="21"/>
        </w:rPr>
        <w:sectPr>
          <w:pgSz w:w="11910" w:h="16840"/>
          <w:pgMar w:header="877" w:footer="995" w:top="1420" w:bottom="1180" w:left="1540" w:right="1300"/>
        </w:sectPr>
      </w:pPr>
    </w:p>
    <w:p>
      <w:pPr>
        <w:pStyle w:val="ListParagraph"/>
        <w:numPr>
          <w:ilvl w:val="0"/>
          <w:numId w:val="21"/>
        </w:numPr>
        <w:tabs>
          <w:tab w:pos="1315" w:val="left" w:leader="none"/>
        </w:tabs>
        <w:spacing w:line="417" w:lineRule="auto" w:before="110" w:after="0"/>
        <w:ind w:left="260" w:right="49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21"/>
        </w:numPr>
        <w:tabs>
          <w:tab w:pos="1313" w:val="left" w:leader="none"/>
        </w:tabs>
        <w:spacing w:line="417" w:lineRule="auto" w:before="0" w:after="0"/>
        <w:ind w:left="260" w:right="49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1"/>
        </w:numPr>
        <w:tabs>
          <w:tab w:pos="1315" w:val="left" w:leader="none"/>
        </w:tabs>
        <w:spacing w:line="417" w:lineRule="auto" w:before="0" w:after="0"/>
        <w:ind w:left="260" w:right="491" w:firstLine="419"/>
        <w:jc w:val="both"/>
        <w:rPr>
          <w:sz w:val="21"/>
        </w:rPr>
      </w:pPr>
      <w:r>
        <w:rPr>
          <w:spacing w:val="-9"/>
          <w:sz w:val="21"/>
        </w:rPr>
        <w:t>基金参与股指期货、国债期货交易，应当遵守下列要求：开放式基金在任何交 易日日终，持有的买入期货合约价值与有价证券市值之和，不得超过基金资产净值的</w:t>
      </w:r>
      <w:r>
        <w:rPr>
          <w:rFonts w:ascii="Times New Roman" w:eastAsia="Times New Roman"/>
          <w:spacing w:val="-4"/>
          <w:sz w:val="21"/>
        </w:rPr>
        <w:t>95%</w:t>
      </w:r>
      <w:r>
        <w:rPr>
          <w:spacing w:val="-14"/>
          <w:sz w:val="21"/>
        </w:rPr>
        <w:t>；其中，有价证券指股票、债券</w:t>
      </w:r>
      <w:r>
        <w:rPr>
          <w:sz w:val="21"/>
        </w:rPr>
        <w:t>（</w:t>
      </w:r>
      <w:r>
        <w:rPr>
          <w:spacing w:val="-3"/>
          <w:sz w:val="21"/>
        </w:rPr>
        <w:t>不含到期日在一年以内的政府债券</w:t>
      </w:r>
      <w:r>
        <w:rPr>
          <w:spacing w:val="-106"/>
          <w:sz w:val="21"/>
        </w:rPr>
        <w:t>）</w:t>
      </w:r>
      <w:r>
        <w:rPr>
          <w:spacing w:val="-13"/>
          <w:sz w:val="21"/>
        </w:rPr>
        <w:t>、权证、资产支持</w:t>
      </w:r>
      <w:r>
        <w:rPr>
          <w:spacing w:val="-3"/>
          <w:sz w:val="21"/>
        </w:rPr>
        <w:t>证券、买入返售金融资产（不含质押式回购</w:t>
      </w:r>
      <w:r>
        <w:rPr>
          <w:sz w:val="21"/>
        </w:rPr>
        <w:t>）</w:t>
      </w:r>
      <w:r>
        <w:rPr>
          <w:spacing w:val="-2"/>
          <w:sz w:val="21"/>
        </w:rPr>
        <w:t>等。</w:t>
      </w:r>
    </w:p>
    <w:p>
      <w:pPr>
        <w:pStyle w:val="ListParagraph"/>
        <w:numPr>
          <w:ilvl w:val="0"/>
          <w:numId w:val="21"/>
        </w:numPr>
        <w:tabs>
          <w:tab w:pos="1315" w:val="left" w:leader="none"/>
        </w:tabs>
        <w:spacing w:line="417" w:lineRule="auto" w:before="0" w:after="0"/>
        <w:ind w:left="260" w:right="28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21"/>
        </w:numPr>
        <w:tabs>
          <w:tab w:pos="1315" w:val="left" w:leader="none"/>
        </w:tabs>
        <w:spacing w:line="417" w:lineRule="auto" w:before="0" w:after="0"/>
        <w:ind w:left="260" w:right="4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1"/>
        </w:numPr>
        <w:tabs>
          <w:tab w:pos="1315" w:val="left" w:leader="none"/>
        </w:tabs>
        <w:spacing w:line="240" w:lineRule="auto" w:before="0" w:after="0"/>
        <w:ind w:left="1315" w:right="0" w:hanging="635"/>
        <w:jc w:val="left"/>
        <w:rPr>
          <w:sz w:val="21"/>
        </w:rPr>
      </w:pPr>
      <w:r>
        <w:rPr>
          <w:spacing w:val="-3"/>
          <w:sz w:val="21"/>
        </w:rPr>
        <w:t>法律法规及中国证监会规定的和《基金合同》约定的其他投资限制。</w:t>
      </w:r>
    </w:p>
    <w:p>
      <w:pPr>
        <w:pStyle w:val="BodyText"/>
        <w:spacing w:line="417" w:lineRule="auto" w:before="197"/>
        <w:ind w:left="260" w:right="491" w:firstLine="419"/>
        <w:jc w:val="both"/>
      </w:pPr>
      <w:r>
        <w:rPr>
          <w:spacing w:val="-1"/>
          <w:w w:val="100"/>
        </w:rPr>
        <w:t>除上述第</w:t>
      </w:r>
      <w:r>
        <w:rPr>
          <w:w w:val="100"/>
        </w:rPr>
        <w:t>（</w:t>
      </w:r>
      <w:r>
        <w:rPr>
          <w:rFonts w:ascii="Times New Roman" w:eastAsia="Times New Roman"/>
          <w:w w:val="100"/>
        </w:rPr>
        <w:t>2</w:t>
      </w:r>
      <w:r>
        <w:rPr>
          <w:spacing w:val="-106"/>
          <w:w w:val="100"/>
        </w:rPr>
        <w:t>）</w:t>
      </w:r>
      <w:r>
        <w:rPr>
          <w:spacing w:val="-108"/>
          <w:w w:val="100"/>
        </w:rPr>
        <w:t>、</w:t>
      </w:r>
      <w:r>
        <w:rPr>
          <w:w w:val="100"/>
        </w:rPr>
        <w:t>（</w:t>
      </w:r>
      <w:r>
        <w:rPr>
          <w:rFonts w:ascii="Times New Roman" w:eastAsia="Times New Roman"/>
          <w:w w:val="100"/>
        </w:rPr>
        <w:t>14</w:t>
      </w:r>
      <w:r>
        <w:rPr>
          <w:spacing w:val="-106"/>
          <w:w w:val="100"/>
        </w:rPr>
        <w:t>）</w:t>
      </w:r>
      <w:r>
        <w:rPr>
          <w:spacing w:val="-108"/>
          <w:w w:val="100"/>
        </w:rPr>
        <w:t>、</w:t>
      </w:r>
      <w:r>
        <w:rPr>
          <w:w w:val="100"/>
        </w:rPr>
        <w:t>（</w:t>
      </w:r>
      <w:r>
        <w:rPr>
          <w:rFonts w:ascii="Times New Roman" w:eastAsia="Times New Roman"/>
          <w:w w:val="100"/>
        </w:rPr>
        <w:t>2</w:t>
      </w:r>
      <w:r>
        <w:rPr>
          <w:rFonts w:ascii="Times New Roman" w:eastAsia="Times New Roman"/>
          <w:spacing w:val="-3"/>
          <w:w w:val="100"/>
        </w:rPr>
        <w:t>2</w:t>
      </w:r>
      <w:r>
        <w:rPr>
          <w:spacing w:val="-106"/>
          <w:w w:val="100"/>
        </w:rPr>
        <w:t>）、</w:t>
      </w:r>
      <w:r>
        <w:rPr>
          <w:w w:val="100"/>
        </w:rPr>
        <w:t>（</w:t>
      </w:r>
      <w:r>
        <w:rPr>
          <w:rFonts w:ascii="Times New Roman" w:eastAsia="Times New Roman"/>
          <w:w w:val="100"/>
        </w:rPr>
        <w:t>23</w:t>
      </w:r>
      <w:r>
        <w:rPr>
          <w:spacing w:val="-3"/>
          <w:w w:val="100"/>
        </w:rPr>
        <w:t>）项外，因证券期货市场波动、证券发行人合并、基</w:t>
      </w:r>
      <w:r>
        <w:rPr>
          <w:spacing w:val="-6"/>
        </w:rPr>
        <w:t>金规模变动等基金管理人之外的因素致使基金投资比例不符合上述规定投资比例的，基金管</w:t>
      </w:r>
      <w:r>
        <w:rPr>
          <w:spacing w:val="-9"/>
        </w:rPr>
        <w:t>理人应当在 </w:t>
      </w:r>
      <w:r>
        <w:rPr>
          <w:rFonts w:ascii="Times New Roman" w:eastAsia="Times New Roman"/>
        </w:rPr>
        <w:t>10 </w:t>
      </w:r>
      <w:r>
        <w:rPr>
          <w:spacing w:val="-3"/>
        </w:rPr>
        <w:t>个交易日内进行调整，但中国证监会规定的特殊情形除外。法律法规另有规定的，从其规定。</w:t>
      </w:r>
    </w:p>
    <w:p>
      <w:pPr>
        <w:pStyle w:val="BodyText"/>
        <w:spacing w:line="417" w:lineRule="auto"/>
        <w:ind w:left="260" w:right="4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的有关约定。期间，基金的投资范围、投资策略应当符合基金合同的约定。基金托管人对基</w:t>
      </w:r>
      <w:r>
        <w:rPr>
          <w:spacing w:val="-10"/>
        </w:rPr>
        <w:t>金的投资的监督与检查自基金合同生效之日起开始。法律法规或监管部门另有规定的，从其规定。</w:t>
      </w:r>
    </w:p>
    <w:p>
      <w:pPr>
        <w:pStyle w:val="BodyText"/>
        <w:spacing w:line="417" w:lineRule="auto"/>
        <w:ind w:left="260" w:right="491" w:firstLine="419"/>
        <w:jc w:val="both"/>
      </w:pPr>
      <w:r>
        <w:rPr>
          <w:spacing w:val="-8"/>
        </w:rPr>
        <w:t>法律法规或监管部门取消或变更上述限制，如适用于本基金，基金管理人在与基金托管</w:t>
      </w:r>
      <w:r>
        <w:rPr>
          <w:spacing w:val="-12"/>
        </w:rPr>
        <w:t>人协商一致并公告后，则本基金投资不再受相关限制，自动遵守届时有效的法律法规或监管</w:t>
      </w:r>
      <w:r>
        <w:rPr>
          <w:spacing w:val="-6"/>
        </w:rPr>
        <w:t>规定，不需另行召开基金份额持有人大会。</w:t>
      </w:r>
    </w:p>
    <w:p>
      <w:pPr>
        <w:pStyle w:val="BodyText"/>
        <w:spacing w:line="269" w:lineRule="exact"/>
        <w:ind w:left="680"/>
      </w:pPr>
      <w:r>
        <w:rPr>
          <w:rFonts w:ascii="Times New Roman" w:eastAsia="Times New Roman"/>
        </w:rPr>
        <w:t>2</w:t>
      </w:r>
      <w:r>
        <w:rPr/>
        <w:t>、禁止行为</w:t>
      </w:r>
    </w:p>
    <w:p>
      <w:pPr>
        <w:pStyle w:val="BodyText"/>
        <w:spacing w:before="6"/>
        <w:rPr>
          <w:sz w:val="15"/>
        </w:rPr>
      </w:pPr>
    </w:p>
    <w:p>
      <w:pPr>
        <w:pStyle w:val="BodyText"/>
        <w:spacing w:before="1"/>
        <w:ind w:left="680"/>
      </w:pPr>
      <w:r>
        <w:rPr/>
        <w:t>为维护基金份额持有人的合法权益，基金财产不得用于下列投资或者活动：</w:t>
      </w:r>
    </w:p>
    <w:p>
      <w:pPr>
        <w:pStyle w:val="BodyText"/>
        <w:spacing w:before="6"/>
        <w:rPr>
          <w:sz w:val="15"/>
        </w:rPr>
      </w:pPr>
    </w:p>
    <w:p>
      <w:pPr>
        <w:pStyle w:val="ListParagraph"/>
        <w:numPr>
          <w:ilvl w:val="0"/>
          <w:numId w:val="22"/>
        </w:numPr>
        <w:tabs>
          <w:tab w:pos="1210" w:val="left" w:leader="none"/>
        </w:tabs>
        <w:spacing w:line="240" w:lineRule="auto" w:before="0" w:after="0"/>
        <w:ind w:left="1209" w:right="0" w:hanging="530"/>
        <w:jc w:val="left"/>
        <w:rPr>
          <w:sz w:val="21"/>
        </w:rPr>
      </w:pPr>
      <w:r>
        <w:rPr>
          <w:spacing w:val="-3"/>
          <w:sz w:val="21"/>
        </w:rPr>
        <w:t>承销证券。</w:t>
      </w:r>
    </w:p>
    <w:p>
      <w:pPr>
        <w:spacing w:after="0" w:line="240" w:lineRule="auto"/>
        <w:jc w:val="left"/>
        <w:rPr>
          <w:sz w:val="21"/>
        </w:rPr>
        <w:sectPr>
          <w:pgSz w:w="11910" w:h="16840"/>
          <w:pgMar w:header="877" w:footer="995" w:top="1420" w:bottom="1180" w:left="1540" w:right="1300"/>
        </w:sectPr>
      </w:pPr>
    </w:p>
    <w:p>
      <w:pPr>
        <w:pStyle w:val="ListParagraph"/>
        <w:numPr>
          <w:ilvl w:val="0"/>
          <w:numId w:val="22"/>
        </w:numPr>
        <w:tabs>
          <w:tab w:pos="1210" w:val="left" w:leader="none"/>
        </w:tabs>
        <w:spacing w:line="240" w:lineRule="auto" w:before="110" w:after="0"/>
        <w:ind w:left="1209" w:right="0" w:hanging="530"/>
        <w:jc w:val="left"/>
        <w:rPr>
          <w:sz w:val="21"/>
        </w:rPr>
      </w:pPr>
      <w:r>
        <w:rPr>
          <w:spacing w:val="-3"/>
          <w:sz w:val="21"/>
        </w:rPr>
        <w:t>违反规定向他人贷款或者提供担保。</w:t>
      </w:r>
    </w:p>
    <w:p>
      <w:pPr>
        <w:pStyle w:val="BodyText"/>
        <w:spacing w:before="6"/>
        <w:rPr>
          <w:sz w:val="15"/>
        </w:rPr>
      </w:pPr>
    </w:p>
    <w:p>
      <w:pPr>
        <w:pStyle w:val="ListParagraph"/>
        <w:numPr>
          <w:ilvl w:val="0"/>
          <w:numId w:val="22"/>
        </w:numPr>
        <w:tabs>
          <w:tab w:pos="1210" w:val="left" w:leader="none"/>
        </w:tabs>
        <w:spacing w:line="240" w:lineRule="auto" w:before="0" w:after="0"/>
        <w:ind w:left="120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2"/>
        </w:numPr>
        <w:tabs>
          <w:tab w:pos="1210" w:val="left" w:leader="none"/>
        </w:tabs>
        <w:spacing w:line="240" w:lineRule="auto" w:before="0" w:after="0"/>
        <w:ind w:left="1209" w:right="0" w:hanging="530"/>
        <w:jc w:val="left"/>
        <w:rPr>
          <w:sz w:val="21"/>
        </w:rPr>
      </w:pPr>
      <w:r>
        <w:rPr>
          <w:spacing w:val="-3"/>
          <w:sz w:val="21"/>
        </w:rPr>
        <w:t>买卖其他基金份额，但是中国证监会另有规定的除外。</w:t>
      </w:r>
    </w:p>
    <w:p>
      <w:pPr>
        <w:pStyle w:val="BodyText"/>
        <w:spacing w:before="7"/>
        <w:rPr>
          <w:sz w:val="15"/>
        </w:rPr>
      </w:pPr>
    </w:p>
    <w:p>
      <w:pPr>
        <w:pStyle w:val="ListParagraph"/>
        <w:numPr>
          <w:ilvl w:val="0"/>
          <w:numId w:val="22"/>
        </w:numPr>
        <w:tabs>
          <w:tab w:pos="1210" w:val="left" w:leader="none"/>
        </w:tabs>
        <w:spacing w:line="240" w:lineRule="auto" w:before="0" w:after="0"/>
        <w:ind w:left="120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2"/>
        </w:numPr>
        <w:tabs>
          <w:tab w:pos="1210" w:val="left" w:leader="none"/>
        </w:tabs>
        <w:spacing w:line="240" w:lineRule="auto" w:before="0" w:after="0"/>
        <w:ind w:left="120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22"/>
        </w:numPr>
        <w:tabs>
          <w:tab w:pos="1210" w:val="left" w:leader="none"/>
        </w:tabs>
        <w:spacing w:line="240" w:lineRule="auto" w:before="0" w:after="0"/>
        <w:ind w:left="1209" w:right="0" w:hanging="530"/>
        <w:jc w:val="left"/>
        <w:rPr>
          <w:sz w:val="21"/>
        </w:rPr>
      </w:pPr>
      <w:r>
        <w:rPr>
          <w:spacing w:val="-3"/>
          <w:sz w:val="21"/>
        </w:rPr>
        <w:t>法律、行政法规和中国证监会规定禁止的其他活动。</w:t>
      </w:r>
    </w:p>
    <w:p>
      <w:pPr>
        <w:pStyle w:val="BodyText"/>
        <w:spacing w:before="7"/>
        <w:rPr>
          <w:sz w:val="15"/>
        </w:rPr>
      </w:pPr>
    </w:p>
    <w:p>
      <w:pPr>
        <w:pStyle w:val="BodyText"/>
        <w:spacing w:line="417" w:lineRule="auto"/>
        <w:ind w:left="260" w:right="28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260" w:right="491" w:firstLine="419"/>
        <w:jc w:val="both"/>
      </w:pPr>
      <w:r>
        <w:rPr>
          <w:spacing w:val="-7"/>
        </w:rPr>
        <w:t>法律法规或监管部门取消或变更上述禁止性规定的，如适用于本基金，则本基金投资不</w:t>
      </w:r>
      <w:r>
        <w:rPr>
          <w:spacing w:val="-12"/>
        </w:rPr>
        <w:t>再受上述相关限制，自动遵守届时有效的法律法规或监管规定，不需另行召开基金份额持有</w:t>
      </w:r>
      <w:r>
        <w:rPr>
          <w:spacing w:val="-7"/>
        </w:rPr>
        <w:t>人大会。</w:t>
      </w:r>
    </w:p>
    <w:p>
      <w:pPr>
        <w:pStyle w:val="BodyText"/>
        <w:ind w:left="680"/>
      </w:pPr>
      <w:r>
        <w:rPr/>
        <w:t>（五）业绩比较基准</w:t>
      </w:r>
    </w:p>
    <w:p>
      <w:pPr>
        <w:pStyle w:val="BodyText"/>
        <w:spacing w:before="6"/>
        <w:rPr>
          <w:sz w:val="15"/>
        </w:rPr>
      </w:pPr>
    </w:p>
    <w:p>
      <w:pPr>
        <w:pStyle w:val="BodyText"/>
        <w:spacing w:line="417" w:lineRule="auto"/>
        <w:ind w:left="260" w:right="491" w:firstLine="419"/>
      </w:pPr>
      <w:r>
        <w:rPr>
          <w:spacing w:val="-8"/>
        </w:rPr>
        <w:t>本基金的业绩比较基准：恒生指数收益率</w:t>
      </w:r>
      <w:r>
        <w:rPr>
          <w:rFonts w:ascii="Times New Roman" w:eastAsia="Times New Roman"/>
        </w:rPr>
        <w:t>*40%+</w:t>
      </w:r>
      <w:r>
        <w:rPr>
          <w:spacing w:val="-15"/>
        </w:rPr>
        <w:t>沪深 </w:t>
      </w:r>
      <w:r>
        <w:rPr>
          <w:rFonts w:ascii="Times New Roman" w:eastAsia="Times New Roman"/>
        </w:rPr>
        <w:t>300 </w:t>
      </w:r>
      <w:r>
        <w:rPr>
          <w:spacing w:val="-3"/>
        </w:rPr>
        <w:t>指数收益率</w:t>
      </w:r>
      <w:r>
        <w:rPr>
          <w:rFonts w:ascii="Times New Roman" w:eastAsia="Times New Roman"/>
        </w:rPr>
        <w:t>*50%+</w:t>
      </w:r>
      <w:r>
        <w:rPr>
          <w:spacing w:val="-1"/>
        </w:rPr>
        <w:t>上证国债指</w:t>
      </w:r>
      <w:r>
        <w:rPr>
          <w:spacing w:val="-2"/>
        </w:rPr>
        <w:t>数收益率</w:t>
      </w:r>
      <w:r>
        <w:rPr>
          <w:rFonts w:ascii="Times New Roman" w:eastAsia="Times New Roman"/>
        </w:rPr>
        <w:t>*10%</w:t>
      </w:r>
      <w:r>
        <w:rPr/>
        <w:t>。</w:t>
      </w:r>
    </w:p>
    <w:p>
      <w:pPr>
        <w:pStyle w:val="BodyText"/>
        <w:spacing w:line="417" w:lineRule="auto"/>
        <w:ind w:left="260" w:right="491" w:firstLine="419"/>
      </w:pPr>
      <w:r>
        <w:rPr>
          <w:spacing w:val="-7"/>
        </w:rPr>
        <w:t>恒生指数是由恒生指数服务有限公司编制的加权平均股价指数，具有广泛的市场代表性</w:t>
      </w:r>
      <w:r>
        <w:rPr>
          <w:spacing w:val="-5"/>
        </w:rPr>
        <w:t>和市场影响力，适合作为本基金的业绩基准。</w:t>
      </w:r>
    </w:p>
    <w:p>
      <w:pPr>
        <w:pStyle w:val="BodyText"/>
        <w:spacing w:line="417" w:lineRule="auto"/>
        <w:ind w:left="260" w:right="491" w:firstLine="419"/>
      </w:pPr>
      <w:r>
        <w:rPr>
          <w:spacing w:val="-13"/>
        </w:rPr>
        <w:t>沪深 </w:t>
      </w:r>
      <w:r>
        <w:rPr>
          <w:rFonts w:ascii="Times New Roman" w:eastAsia="Times New Roman"/>
        </w:rPr>
        <w:t>300 </w:t>
      </w:r>
      <w:r>
        <w:rPr>
          <w:spacing w:val="-7"/>
        </w:rPr>
        <w:t>指数是中证指数有限公司编制的沪深两市统一指数，具有良好的市场代表性和</w:t>
      </w:r>
      <w:r>
        <w:rPr>
          <w:spacing w:val="-5"/>
        </w:rPr>
        <w:t>市场影响力，适合作为本基金股票投资的业绩基准。</w:t>
      </w:r>
    </w:p>
    <w:p>
      <w:pPr>
        <w:pStyle w:val="BodyText"/>
        <w:spacing w:line="417" w:lineRule="auto"/>
        <w:ind w:left="260" w:right="282" w:firstLine="419"/>
      </w:pPr>
      <w:r>
        <w:rPr>
          <w:spacing w:val="-9"/>
        </w:rPr>
        <w:t>上证国债指数由中证指数有限公司编制，以上海证券交易所上市的固定利率国债为样本， </w:t>
      </w:r>
      <w:r>
        <w:rPr>
          <w:spacing w:val="-5"/>
        </w:rPr>
        <w:t>具有良好的市场代表性和较高的知名度，适合作为本基金债券投资的业绩基准。</w:t>
      </w:r>
    </w:p>
    <w:p>
      <w:pPr>
        <w:pStyle w:val="BodyText"/>
        <w:spacing w:line="269" w:lineRule="exact"/>
        <w:ind w:left="680"/>
      </w:pPr>
      <w:r>
        <w:rPr/>
        <w:t>如果指数编制机构变更或停止恒生指数、沪深 </w:t>
      </w:r>
      <w:r>
        <w:rPr>
          <w:rFonts w:ascii="Times New Roman" w:eastAsia="Times New Roman"/>
        </w:rPr>
        <w:t>300 </w:t>
      </w:r>
      <w:r>
        <w:rPr/>
        <w:t>指数、上证国债指数的编制及发布，</w:t>
      </w:r>
    </w:p>
    <w:p>
      <w:pPr>
        <w:pStyle w:val="BodyText"/>
        <w:spacing w:before="7"/>
        <w:rPr>
          <w:sz w:val="15"/>
        </w:rPr>
      </w:pPr>
    </w:p>
    <w:p>
      <w:pPr>
        <w:pStyle w:val="BodyText"/>
        <w:ind w:left="260"/>
        <w:jc w:val="both"/>
      </w:pPr>
      <w:r>
        <w:rPr/>
        <w:t>或者恒生指数、沪深 </w:t>
      </w:r>
      <w:r>
        <w:rPr>
          <w:rFonts w:ascii="Times New Roman" w:eastAsia="Times New Roman"/>
        </w:rPr>
        <w:t>300 </w:t>
      </w:r>
      <w:r>
        <w:rPr/>
        <w:t>指数或上证国债指数由其他指数替代，或者由于指数编制方法发生</w:t>
      </w:r>
    </w:p>
    <w:p>
      <w:pPr>
        <w:pStyle w:val="BodyText"/>
        <w:spacing w:before="6"/>
        <w:rPr>
          <w:sz w:val="15"/>
        </w:rPr>
      </w:pPr>
    </w:p>
    <w:p>
      <w:pPr>
        <w:pStyle w:val="BodyText"/>
        <w:spacing w:line="417" w:lineRule="auto" w:before="1"/>
        <w:ind w:left="260" w:right="491"/>
        <w:jc w:val="both"/>
      </w:pPr>
      <w:r>
        <w:rPr>
          <w:spacing w:val="-9"/>
        </w:rPr>
        <w:t>重大变更等原因导致恒生指数、沪深 </w:t>
      </w:r>
      <w:r>
        <w:rPr>
          <w:rFonts w:ascii="Times New Roman" w:eastAsia="Times New Roman"/>
        </w:rPr>
        <w:t>300 </w:t>
      </w:r>
      <w:r>
        <w:rPr>
          <w:spacing w:val="-6"/>
        </w:rPr>
        <w:t>指数或上证国债指数不宜继续作为基准指数，或者</w:t>
      </w:r>
      <w:r>
        <w:rPr>
          <w:spacing w:val="-11"/>
        </w:rPr>
        <w:t>有更权威的、更能为市场普遍接受的业绩比较基准推出，或者市场上出现更加适合用于本基</w:t>
      </w:r>
      <w:r>
        <w:rPr>
          <w:spacing w:val="-6"/>
        </w:rPr>
        <w:t>金的业绩基准时，经与基金托管人协商一致，本基金可变更业绩比较基准并及时公告。</w:t>
      </w:r>
    </w:p>
    <w:p>
      <w:pPr>
        <w:pStyle w:val="BodyText"/>
        <w:ind w:left="680"/>
      </w:pPr>
      <w:r>
        <w:rPr/>
        <w:t>（六）风险收益特征</w:t>
      </w:r>
    </w:p>
    <w:p>
      <w:pPr>
        <w:spacing w:after="0"/>
        <w:sectPr>
          <w:pgSz w:w="11910" w:h="16840"/>
          <w:pgMar w:header="877" w:footer="995" w:top="1420" w:bottom="1180" w:left="1540" w:right="1300"/>
        </w:sectPr>
      </w:pPr>
    </w:p>
    <w:p>
      <w:pPr>
        <w:pStyle w:val="BodyText"/>
        <w:spacing w:line="417" w:lineRule="auto" w:before="110"/>
        <w:ind w:left="260" w:right="491" w:firstLine="419"/>
      </w:pPr>
      <w:r>
        <w:rPr>
          <w:spacing w:val="-10"/>
        </w:rPr>
        <w:t>本基金为股票型基金，其长期平均风险和预期收益率高于混合型基金、债券型基金和货</w:t>
      </w:r>
      <w:r>
        <w:rPr>
          <w:spacing w:val="-5"/>
        </w:rPr>
        <w:t>币市场基金。</w:t>
      </w:r>
    </w:p>
    <w:p>
      <w:pPr>
        <w:pStyle w:val="BodyText"/>
        <w:spacing w:line="417" w:lineRule="auto"/>
        <w:ind w:left="260" w:right="491" w:firstLine="419"/>
        <w:jc w:val="both"/>
      </w:pPr>
      <w:r>
        <w:rPr>
          <w:spacing w:val="-8"/>
        </w:rPr>
        <w:t>本基金还将通过港股通渠道投资于香港证券市场，除了需要承担与境内证券投资基金类</w:t>
      </w:r>
      <w:r>
        <w:rPr>
          <w:spacing w:val="-10"/>
        </w:rPr>
        <w:t>似的市场波动风险等一般投资风险之外，本基金还将面临汇率风险、香港市场风险等特殊投</w:t>
      </w:r>
      <w:r>
        <w:rPr>
          <w:spacing w:val="-6"/>
        </w:rPr>
        <w:t>资风险。</w:t>
      </w:r>
    </w:p>
    <w:p>
      <w:pPr>
        <w:pStyle w:val="BodyText"/>
        <w:spacing w:line="269" w:lineRule="exact"/>
        <w:ind w:left="680"/>
      </w:pPr>
      <w:r>
        <w:rPr/>
        <w:t>（七）基金的融资融券、转融通</w:t>
      </w:r>
    </w:p>
    <w:p>
      <w:pPr>
        <w:pStyle w:val="BodyText"/>
        <w:spacing w:before="6"/>
        <w:rPr>
          <w:sz w:val="15"/>
        </w:rPr>
      </w:pPr>
    </w:p>
    <w:p>
      <w:pPr>
        <w:pStyle w:val="BodyText"/>
        <w:spacing w:line="417" w:lineRule="auto"/>
        <w:ind w:left="260" w:right="491" w:firstLine="419"/>
      </w:pPr>
      <w:r>
        <w:rPr>
          <w:spacing w:val="-11"/>
        </w:rPr>
        <w:t>未来，本基金拟进行融资、融券或参与转融通业务的，可以按照国家的有关法律法规规</w:t>
      </w:r>
      <w:r>
        <w:rPr>
          <w:spacing w:val="-6"/>
        </w:rPr>
        <w:t>定在履行适当程序后进行融资、融券以及参与转融通等相关业务。</w:t>
      </w:r>
    </w:p>
    <w:p>
      <w:pPr>
        <w:pStyle w:val="BodyText"/>
        <w:ind w:left="680"/>
      </w:pPr>
      <w:r>
        <w:rPr/>
        <w:t>（七）基金投资组合报告</w:t>
      </w:r>
    </w:p>
    <w:p>
      <w:pPr>
        <w:pStyle w:val="BodyText"/>
        <w:spacing w:before="7"/>
        <w:rPr>
          <w:sz w:val="18"/>
        </w:rPr>
      </w:pPr>
    </w:p>
    <w:p>
      <w:pPr>
        <w:pStyle w:val="BodyText"/>
        <w:ind w:left="678"/>
      </w:pPr>
      <w:r>
        <w:rPr/>
        <w:t>以下内容摘自本基金 </w:t>
      </w:r>
      <w:r>
        <w:rPr>
          <w:rFonts w:ascii="Arial" w:eastAsia="Arial"/>
        </w:rPr>
        <w:t>2020 </w:t>
      </w:r>
      <w:r>
        <w:rPr/>
        <w:t>年第 </w:t>
      </w:r>
      <w:r>
        <w:rPr>
          <w:rFonts w:ascii="Arial" w:eastAsia="Arial"/>
        </w:rPr>
        <w:t>2 </w:t>
      </w:r>
      <w:r>
        <w:rPr/>
        <w:t>季度报告：</w:t>
      </w:r>
    </w:p>
    <w:p>
      <w:pPr>
        <w:pStyle w:val="BodyText"/>
        <w:spacing w:before="2"/>
      </w:pPr>
    </w:p>
    <w:p>
      <w:pPr>
        <w:pStyle w:val="ListParagraph"/>
        <w:numPr>
          <w:ilvl w:val="1"/>
          <w:numId w:val="23"/>
        </w:numPr>
        <w:tabs>
          <w:tab w:pos="657" w:val="left" w:leader="none"/>
        </w:tabs>
        <w:spacing w:line="240" w:lineRule="auto" w:before="0" w:after="0"/>
        <w:ind w:left="656" w:right="0" w:hanging="397"/>
        <w:jc w:val="left"/>
        <w:rPr>
          <w:rFonts w:ascii="Arial" w:eastAsia="Arial"/>
          <w:sz w:val="21"/>
        </w:rPr>
      </w:pPr>
      <w:r>
        <w:rPr>
          <w:spacing w:val="-3"/>
          <w:sz w:val="21"/>
        </w:rPr>
        <w:t>报告期末基金资产组合情况</w:t>
      </w:r>
    </w:p>
    <w:p>
      <w:pPr>
        <w:pStyle w:val="BodyText"/>
        <w:spacing w:before="7"/>
        <w:rPr>
          <w:sz w:val="10"/>
        </w:rPr>
      </w:pPr>
    </w:p>
    <w:tbl>
      <w:tblPr>
        <w:tblW w:w="0" w:type="auto"/>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4"/>
              <w:jc w:val="left"/>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4"/>
              <w:jc w:val="left"/>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4"/>
              <w:jc w:val="left"/>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4"/>
              <w:jc w:val="left"/>
              <w:rPr>
                <w:rFonts w:ascii="宋体"/>
                <w:sz w:val="15"/>
              </w:rPr>
            </w:pPr>
          </w:p>
          <w:p>
            <w:pPr>
              <w:pStyle w:val="TableParagraph"/>
              <w:spacing w:before="1"/>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4"/>
              <w:rPr>
                <w:sz w:val="21"/>
              </w:rPr>
            </w:pPr>
            <w:r>
              <w:rPr>
                <w:sz w:val="21"/>
              </w:rPr>
              <w:t>192,762,422.60</w:t>
            </w:r>
          </w:p>
        </w:tc>
        <w:tc>
          <w:tcPr>
            <w:tcW w:w="2103" w:type="dxa"/>
          </w:tcPr>
          <w:p>
            <w:pPr>
              <w:pStyle w:val="TableParagraph"/>
              <w:spacing w:before="142"/>
              <w:ind w:right="94"/>
              <w:rPr>
                <w:sz w:val="21"/>
              </w:rPr>
            </w:pPr>
            <w:r>
              <w:rPr>
                <w:sz w:val="21"/>
              </w:rPr>
              <w:t>88.02</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其中：股票</w:t>
            </w:r>
          </w:p>
        </w:tc>
        <w:tc>
          <w:tcPr>
            <w:tcW w:w="2482" w:type="dxa"/>
          </w:tcPr>
          <w:p>
            <w:pPr>
              <w:pStyle w:val="TableParagraph"/>
              <w:spacing w:before="142"/>
              <w:ind w:right="94"/>
              <w:rPr>
                <w:sz w:val="21"/>
              </w:rPr>
            </w:pPr>
            <w:r>
              <w:rPr>
                <w:sz w:val="21"/>
              </w:rPr>
              <w:t>192,762,422.60</w:t>
            </w:r>
          </w:p>
        </w:tc>
        <w:tc>
          <w:tcPr>
            <w:tcW w:w="2103" w:type="dxa"/>
          </w:tcPr>
          <w:p>
            <w:pPr>
              <w:pStyle w:val="TableParagraph"/>
              <w:spacing w:before="142"/>
              <w:ind w:right="94"/>
              <w:rPr>
                <w:sz w:val="21"/>
              </w:rPr>
            </w:pPr>
            <w:r>
              <w:rPr>
                <w:sz w:val="21"/>
              </w:rPr>
              <w:t>88.02</w:t>
            </w:r>
          </w:p>
        </w:tc>
      </w:tr>
      <w:tr>
        <w:trPr>
          <w:trHeight w:val="498" w:hRule="atLeast"/>
        </w:trPr>
        <w:tc>
          <w:tcPr>
            <w:tcW w:w="814" w:type="dxa"/>
          </w:tcPr>
          <w:p>
            <w:pPr>
              <w:pStyle w:val="TableParagraph"/>
              <w:spacing w:before="144"/>
              <w:ind w:left="25"/>
              <w:jc w:val="center"/>
              <w:rPr>
                <w:sz w:val="21"/>
              </w:rPr>
            </w:pPr>
            <w:r>
              <w:rPr>
                <w:w w:val="100"/>
                <w:sz w:val="21"/>
              </w:rPr>
              <w:t>2</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固定收益投资</w:t>
            </w:r>
          </w:p>
        </w:tc>
        <w:tc>
          <w:tcPr>
            <w:tcW w:w="2482" w:type="dxa"/>
          </w:tcPr>
          <w:p>
            <w:pPr>
              <w:pStyle w:val="TableParagraph"/>
              <w:spacing w:before="144"/>
              <w:ind w:right="94"/>
              <w:rPr>
                <w:sz w:val="21"/>
              </w:rPr>
            </w:pPr>
            <w:r>
              <w:rPr>
                <w:sz w:val="21"/>
              </w:rPr>
              <w:t>127,389.16</w:t>
            </w:r>
          </w:p>
        </w:tc>
        <w:tc>
          <w:tcPr>
            <w:tcW w:w="2103" w:type="dxa"/>
          </w:tcPr>
          <w:p>
            <w:pPr>
              <w:pStyle w:val="TableParagraph"/>
              <w:spacing w:before="144"/>
              <w:ind w:right="94"/>
              <w:rPr>
                <w:sz w:val="21"/>
              </w:rPr>
            </w:pPr>
            <w:r>
              <w:rPr>
                <w:sz w:val="21"/>
              </w:rPr>
              <w:t>0.06</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4"/>
              <w:rPr>
                <w:sz w:val="21"/>
              </w:rPr>
            </w:pPr>
            <w:r>
              <w:rPr>
                <w:sz w:val="21"/>
              </w:rPr>
              <w:t>127,389.16</w:t>
            </w:r>
          </w:p>
        </w:tc>
        <w:tc>
          <w:tcPr>
            <w:tcW w:w="2103" w:type="dxa"/>
          </w:tcPr>
          <w:p>
            <w:pPr>
              <w:pStyle w:val="TableParagraph"/>
              <w:spacing w:before="142"/>
              <w:ind w:right="94"/>
              <w:rPr>
                <w:sz w:val="21"/>
              </w:rPr>
            </w:pPr>
            <w:r>
              <w:rPr>
                <w:sz w:val="21"/>
              </w:rPr>
              <w:t>0.06</w:t>
            </w:r>
          </w:p>
        </w:tc>
      </w:tr>
      <w:tr>
        <w:trPr>
          <w:trHeight w:val="496" w:hRule="atLeast"/>
        </w:trPr>
        <w:tc>
          <w:tcPr>
            <w:tcW w:w="814" w:type="dxa"/>
          </w:tcPr>
          <w:p>
            <w:pPr>
              <w:pStyle w:val="TableParagraph"/>
              <w:spacing w:before="0"/>
              <w:jc w:val="left"/>
              <w:rPr>
                <w:sz w:val="20"/>
              </w:rPr>
            </w:pPr>
          </w:p>
        </w:tc>
        <w:tc>
          <w:tcPr>
            <w:tcW w:w="2929" w:type="dxa"/>
          </w:tcPr>
          <w:p>
            <w:pPr>
              <w:pStyle w:val="TableParagraph"/>
              <w:spacing w:before="157"/>
              <w:ind w:left="733"/>
              <w:jc w:val="left"/>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3</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贵金属投资</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4</w:t>
            </w:r>
          </w:p>
        </w:tc>
        <w:tc>
          <w:tcPr>
            <w:tcW w:w="2929" w:type="dxa"/>
          </w:tcPr>
          <w:p>
            <w:pPr>
              <w:pStyle w:val="TableParagraph"/>
              <w:spacing w:before="133"/>
              <w:ind w:left="124"/>
              <w:jc w:val="left"/>
              <w:rPr>
                <w:rFonts w:ascii="宋体" w:eastAsia="宋体" w:hint="eastAsia"/>
                <w:sz w:val="21"/>
              </w:rPr>
            </w:pPr>
            <w:r>
              <w:rPr>
                <w:rFonts w:ascii="宋体" w:eastAsia="宋体" w:hint="eastAsia"/>
                <w:sz w:val="21"/>
              </w:rPr>
              <w:t>金融衍生品投资</w:t>
            </w:r>
          </w:p>
        </w:tc>
        <w:tc>
          <w:tcPr>
            <w:tcW w:w="2482" w:type="dxa"/>
          </w:tcPr>
          <w:p>
            <w:pPr>
              <w:pStyle w:val="TableParagraph"/>
              <w:spacing w:before="144"/>
              <w:ind w:right="96"/>
              <w:rPr>
                <w:sz w:val="21"/>
              </w:rPr>
            </w:pPr>
            <w:r>
              <w:rPr>
                <w:w w:val="100"/>
                <w:sz w:val="21"/>
              </w:rPr>
              <w:t>-</w:t>
            </w:r>
          </w:p>
        </w:tc>
        <w:tc>
          <w:tcPr>
            <w:tcW w:w="2103" w:type="dxa"/>
          </w:tcPr>
          <w:p>
            <w:pPr>
              <w:pStyle w:val="TableParagraph"/>
              <w:spacing w:before="144"/>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1"/>
              <w:ind w:left="124"/>
              <w:jc w:val="left"/>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rPr>
                <w:sz w:val="21"/>
              </w:rPr>
            </w:pPr>
            <w:r>
              <w:rPr>
                <w:w w:val="100"/>
                <w:sz w:val="21"/>
              </w:rPr>
              <w:t>-</w:t>
            </w:r>
          </w:p>
        </w:tc>
        <w:tc>
          <w:tcPr>
            <w:tcW w:w="2103" w:type="dxa"/>
          </w:tcPr>
          <w:p>
            <w:pPr>
              <w:pStyle w:val="TableParagraph"/>
              <w:spacing w:before="142"/>
              <w:ind w:right="96"/>
              <w:rPr>
                <w:sz w:val="21"/>
              </w:rPr>
            </w:pPr>
            <w:r>
              <w:rPr>
                <w:w w:val="100"/>
                <w:sz w:val="21"/>
              </w:rPr>
              <w:t>-</w:t>
            </w:r>
          </w:p>
        </w:tc>
      </w:tr>
      <w:tr>
        <w:trPr>
          <w:trHeight w:val="964" w:hRule="atLeast"/>
        </w:trPr>
        <w:tc>
          <w:tcPr>
            <w:tcW w:w="814" w:type="dxa"/>
          </w:tcPr>
          <w:p>
            <w:pPr>
              <w:pStyle w:val="TableParagraph"/>
              <w:spacing w:before="0"/>
              <w:jc w:val="left"/>
              <w:rPr>
                <w:sz w:val="20"/>
              </w:rPr>
            </w:pP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其中：买断式回购的买入返售</w:t>
            </w:r>
          </w:p>
          <w:p>
            <w:pPr>
              <w:pStyle w:val="TableParagraph"/>
              <w:spacing w:before="4"/>
              <w:jc w:val="left"/>
              <w:rPr>
                <w:rFonts w:ascii="宋体"/>
                <w:sz w:val="15"/>
              </w:rPr>
            </w:pPr>
          </w:p>
          <w:p>
            <w:pPr>
              <w:pStyle w:val="TableParagraph"/>
              <w:spacing w:before="1"/>
              <w:ind w:left="124"/>
              <w:jc w:val="left"/>
              <w:rPr>
                <w:rFonts w:ascii="宋体" w:eastAsia="宋体" w:hint="eastAsia"/>
                <w:sz w:val="21"/>
              </w:rPr>
            </w:pPr>
            <w:r>
              <w:rPr>
                <w:rFonts w:ascii="宋体" w:eastAsia="宋体" w:hint="eastAsia"/>
                <w:sz w:val="21"/>
              </w:rPr>
              <w:t>金融资产</w:t>
            </w:r>
          </w:p>
        </w:tc>
        <w:tc>
          <w:tcPr>
            <w:tcW w:w="2482" w:type="dxa"/>
          </w:tcPr>
          <w:p>
            <w:pPr>
              <w:pStyle w:val="TableParagraph"/>
              <w:spacing w:before="5"/>
              <w:jc w:val="left"/>
              <w:rPr>
                <w:rFonts w:ascii="宋体"/>
                <w:sz w:val="29"/>
              </w:rPr>
            </w:pPr>
          </w:p>
          <w:p>
            <w:pPr>
              <w:pStyle w:val="TableParagraph"/>
              <w:spacing w:before="0"/>
              <w:ind w:right="96"/>
              <w:rPr>
                <w:sz w:val="21"/>
              </w:rPr>
            </w:pPr>
            <w:r>
              <w:rPr>
                <w:w w:val="100"/>
                <w:sz w:val="21"/>
              </w:rPr>
              <w:t>-</w:t>
            </w:r>
          </w:p>
        </w:tc>
        <w:tc>
          <w:tcPr>
            <w:tcW w:w="2103" w:type="dxa"/>
          </w:tcPr>
          <w:p>
            <w:pPr>
              <w:pStyle w:val="TableParagraph"/>
              <w:spacing w:before="5"/>
              <w:jc w:val="left"/>
              <w:rPr>
                <w:rFonts w:ascii="宋体"/>
                <w:sz w:val="29"/>
              </w:rPr>
            </w:pPr>
          </w:p>
          <w:p>
            <w:pPr>
              <w:pStyle w:val="TableParagraph"/>
              <w:spacing w:before="0"/>
              <w:ind w:right="96"/>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6</w:t>
            </w:r>
          </w:p>
        </w:tc>
        <w:tc>
          <w:tcPr>
            <w:tcW w:w="2929" w:type="dxa"/>
          </w:tcPr>
          <w:p>
            <w:pPr>
              <w:pStyle w:val="TableParagraph"/>
              <w:spacing w:before="130"/>
              <w:ind w:left="124"/>
              <w:jc w:val="left"/>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2"/>
              <w:ind w:right="94"/>
              <w:rPr>
                <w:sz w:val="21"/>
              </w:rPr>
            </w:pPr>
            <w:r>
              <w:rPr>
                <w:sz w:val="21"/>
              </w:rPr>
              <w:t>12,817,487.83</w:t>
            </w:r>
          </w:p>
        </w:tc>
        <w:tc>
          <w:tcPr>
            <w:tcW w:w="2103" w:type="dxa"/>
          </w:tcPr>
          <w:p>
            <w:pPr>
              <w:pStyle w:val="TableParagraph"/>
              <w:spacing w:before="142"/>
              <w:ind w:right="94"/>
              <w:rPr>
                <w:sz w:val="21"/>
              </w:rPr>
            </w:pPr>
            <w:r>
              <w:rPr>
                <w:sz w:val="21"/>
              </w:rPr>
              <w:t>5.85</w:t>
            </w:r>
          </w:p>
        </w:tc>
      </w:tr>
      <w:tr>
        <w:trPr>
          <w:trHeight w:val="498" w:hRule="atLeast"/>
        </w:trPr>
        <w:tc>
          <w:tcPr>
            <w:tcW w:w="814" w:type="dxa"/>
          </w:tcPr>
          <w:p>
            <w:pPr>
              <w:pStyle w:val="TableParagraph"/>
              <w:spacing w:before="144"/>
              <w:ind w:left="25"/>
              <w:jc w:val="center"/>
              <w:rPr>
                <w:sz w:val="21"/>
              </w:rPr>
            </w:pPr>
            <w:r>
              <w:rPr>
                <w:w w:val="100"/>
                <w:sz w:val="21"/>
              </w:rPr>
              <w:t>7</w:t>
            </w:r>
          </w:p>
        </w:tc>
        <w:tc>
          <w:tcPr>
            <w:tcW w:w="2929" w:type="dxa"/>
          </w:tcPr>
          <w:p>
            <w:pPr>
              <w:pStyle w:val="TableParagraph"/>
              <w:spacing w:before="116"/>
              <w:ind w:left="107"/>
              <w:jc w:val="left"/>
              <w:rPr>
                <w:rFonts w:ascii="宋体" w:eastAsia="宋体" w:hint="eastAsia"/>
                <w:sz w:val="21"/>
              </w:rPr>
            </w:pPr>
            <w:r>
              <w:rPr>
                <w:rFonts w:ascii="宋体" w:eastAsia="宋体" w:hint="eastAsia"/>
                <w:sz w:val="21"/>
              </w:rPr>
              <w:t>其他各项资产</w:t>
            </w:r>
          </w:p>
        </w:tc>
        <w:tc>
          <w:tcPr>
            <w:tcW w:w="2482" w:type="dxa"/>
          </w:tcPr>
          <w:p>
            <w:pPr>
              <w:pStyle w:val="TableParagraph"/>
              <w:spacing w:before="127"/>
              <w:ind w:right="94"/>
              <w:rPr>
                <w:sz w:val="21"/>
              </w:rPr>
            </w:pPr>
            <w:r>
              <w:rPr>
                <w:sz w:val="21"/>
              </w:rPr>
              <w:t>13,292,818.22</w:t>
            </w:r>
          </w:p>
        </w:tc>
        <w:tc>
          <w:tcPr>
            <w:tcW w:w="2103" w:type="dxa"/>
          </w:tcPr>
          <w:p>
            <w:pPr>
              <w:pStyle w:val="TableParagraph"/>
              <w:spacing w:before="127"/>
              <w:ind w:right="94"/>
              <w:rPr>
                <w:sz w:val="21"/>
              </w:rPr>
            </w:pPr>
            <w:r>
              <w:rPr>
                <w:sz w:val="21"/>
              </w:rPr>
              <w:t>6.07</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4"/>
              <w:ind w:left="107"/>
              <w:jc w:val="left"/>
              <w:rPr>
                <w:rFonts w:ascii="宋体" w:eastAsia="宋体" w:hint="eastAsia"/>
                <w:sz w:val="21"/>
              </w:rPr>
            </w:pPr>
            <w:r>
              <w:rPr>
                <w:rFonts w:ascii="宋体" w:eastAsia="宋体" w:hint="eastAsia"/>
                <w:sz w:val="21"/>
              </w:rPr>
              <w:t>合计</w:t>
            </w:r>
          </w:p>
        </w:tc>
        <w:tc>
          <w:tcPr>
            <w:tcW w:w="2482" w:type="dxa"/>
          </w:tcPr>
          <w:p>
            <w:pPr>
              <w:pStyle w:val="TableParagraph"/>
              <w:spacing w:before="125"/>
              <w:ind w:right="94"/>
              <w:rPr>
                <w:sz w:val="21"/>
              </w:rPr>
            </w:pPr>
            <w:r>
              <w:rPr>
                <w:sz w:val="21"/>
              </w:rPr>
              <w:t>219,000,117.81</w:t>
            </w:r>
          </w:p>
        </w:tc>
        <w:tc>
          <w:tcPr>
            <w:tcW w:w="2103" w:type="dxa"/>
          </w:tcPr>
          <w:p>
            <w:pPr>
              <w:pStyle w:val="TableParagraph"/>
              <w:spacing w:before="125"/>
              <w:ind w:right="94"/>
              <w:rPr>
                <w:sz w:val="21"/>
              </w:rPr>
            </w:pPr>
            <w:r>
              <w:rPr>
                <w:sz w:val="21"/>
              </w:rPr>
              <w:t>100.00</w:t>
            </w:r>
          </w:p>
        </w:tc>
      </w:tr>
    </w:tbl>
    <w:p>
      <w:pPr>
        <w:pStyle w:val="BodyText"/>
        <w:spacing w:line="417" w:lineRule="auto" w:before="99"/>
        <w:ind w:left="260" w:right="558" w:firstLine="419"/>
        <w:jc w:val="both"/>
      </w:pPr>
      <w:r>
        <w:rPr>
          <w:spacing w:val="-5"/>
        </w:rPr>
        <w:t>注：本基金本报告期末通过港股通机制投资香港股票的公允价值为 </w:t>
      </w:r>
      <w:r>
        <w:rPr>
          <w:rFonts w:ascii="Times New Roman" w:eastAsia="Times New Roman"/>
        </w:rPr>
        <w:t>31,076,087.44 </w:t>
      </w:r>
      <w:r>
        <w:rPr>
          <w:spacing w:val="-3"/>
        </w:rPr>
        <w:t>元， </w:t>
      </w:r>
      <w:r>
        <w:rPr>
          <w:spacing w:val="-8"/>
        </w:rPr>
        <w:t>占基金资产净值比例为 </w:t>
      </w:r>
      <w:r>
        <w:rPr>
          <w:rFonts w:ascii="Times New Roman" w:eastAsia="Times New Roman"/>
        </w:rPr>
        <w:t>14.66%</w:t>
      </w:r>
      <w:r>
        <w:rPr/>
        <w:t>。</w:t>
      </w:r>
    </w:p>
    <w:p>
      <w:pPr>
        <w:spacing w:after="0" w:line="417" w:lineRule="auto"/>
        <w:jc w:val="both"/>
        <w:sectPr>
          <w:pgSz w:w="11910" w:h="16840"/>
          <w:pgMar w:header="877" w:footer="995" w:top="1420" w:bottom="1180" w:left="1540" w:right="1300"/>
        </w:sectPr>
      </w:pPr>
    </w:p>
    <w:p>
      <w:pPr>
        <w:pStyle w:val="ListParagraph"/>
        <w:numPr>
          <w:ilvl w:val="1"/>
          <w:numId w:val="23"/>
        </w:numPr>
        <w:tabs>
          <w:tab w:pos="630" w:val="left" w:leader="none"/>
        </w:tabs>
        <w:spacing w:line="240" w:lineRule="auto" w:before="110" w:after="0"/>
        <w:ind w:left="630" w:right="0" w:hanging="370"/>
        <w:jc w:val="left"/>
        <w:rPr>
          <w:rFonts w:ascii="Times New Roman" w:eastAsia="Times New Roman"/>
          <w:sz w:val="21"/>
        </w:rPr>
      </w:pPr>
      <w:r>
        <w:rPr>
          <w:spacing w:val="-3"/>
          <w:sz w:val="21"/>
        </w:rPr>
        <w:t>报告期末按行业分类的股票投资组合</w:t>
      </w:r>
    </w:p>
    <w:p>
      <w:pPr>
        <w:pStyle w:val="BodyText"/>
        <w:spacing w:before="6"/>
        <w:rPr>
          <w:sz w:val="15"/>
        </w:rPr>
      </w:pPr>
    </w:p>
    <w:p>
      <w:pPr>
        <w:pStyle w:val="ListParagraph"/>
        <w:numPr>
          <w:ilvl w:val="2"/>
          <w:numId w:val="23"/>
        </w:numPr>
        <w:tabs>
          <w:tab w:pos="786" w:val="left" w:leader="none"/>
        </w:tabs>
        <w:spacing w:line="240" w:lineRule="auto" w:before="0" w:after="0"/>
        <w:ind w:left="786" w:right="0" w:hanging="526"/>
        <w:jc w:val="left"/>
        <w:rPr>
          <w:sz w:val="21"/>
        </w:rPr>
      </w:pPr>
      <w:r>
        <w:rPr>
          <w:spacing w:val="-3"/>
          <w:sz w:val="21"/>
        </w:rPr>
        <w:t>报告期末按行业分类的境内股票投资组合</w:t>
      </w:r>
    </w:p>
    <w:p>
      <w:pPr>
        <w:pStyle w:val="BodyText"/>
        <w:spacing w:before="10"/>
        <w:rPr>
          <w:sz w:val="7"/>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5" w:hRule="atLeast"/>
        </w:trPr>
        <w:tc>
          <w:tcPr>
            <w:tcW w:w="710" w:type="dxa"/>
          </w:tcPr>
          <w:p>
            <w:pPr>
              <w:pStyle w:val="TableParagraph"/>
              <w:spacing w:before="4"/>
              <w:jc w:val="left"/>
              <w:rPr>
                <w:rFonts w:ascii="宋体"/>
                <w:sz w:val="25"/>
              </w:rPr>
            </w:pPr>
          </w:p>
          <w:p>
            <w:pPr>
              <w:pStyle w:val="TableParagraph"/>
              <w:spacing w:before="0"/>
              <w:ind w:left="125" w:right="115"/>
              <w:jc w:val="center"/>
              <w:rPr>
                <w:rFonts w:ascii="宋体" w:eastAsia="宋体" w:hint="eastAsia"/>
                <w:sz w:val="21"/>
              </w:rPr>
            </w:pPr>
            <w:r>
              <w:rPr>
                <w:rFonts w:ascii="宋体" w:eastAsia="宋体" w:hint="eastAsia"/>
                <w:sz w:val="21"/>
              </w:rPr>
              <w:t>代码</w:t>
            </w:r>
          </w:p>
        </w:tc>
        <w:tc>
          <w:tcPr>
            <w:tcW w:w="3521" w:type="dxa"/>
          </w:tcPr>
          <w:p>
            <w:pPr>
              <w:pStyle w:val="TableParagraph"/>
              <w:spacing w:before="4"/>
              <w:jc w:val="left"/>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4"/>
              <w:jc w:val="left"/>
              <w:rPr>
                <w:rFonts w:ascii="宋体"/>
                <w:sz w:val="25"/>
              </w:rPr>
            </w:pPr>
          </w:p>
          <w:p>
            <w:pPr>
              <w:pStyle w:val="TableParagraph"/>
              <w:spacing w:before="0"/>
              <w:ind w:left="266"/>
              <w:jc w:val="left"/>
              <w:rPr>
                <w:rFonts w:ascii="宋体" w:eastAsia="宋体" w:hint="eastAsia"/>
                <w:sz w:val="21"/>
              </w:rPr>
            </w:pPr>
            <w:r>
              <w:rPr>
                <w:rFonts w:ascii="宋体" w:eastAsia="宋体" w:hint="eastAsia"/>
                <w:sz w:val="21"/>
              </w:rPr>
              <w:t>公允价值（元）</w:t>
            </w:r>
          </w:p>
        </w:tc>
        <w:tc>
          <w:tcPr>
            <w:tcW w:w="2076" w:type="dxa"/>
          </w:tcPr>
          <w:p>
            <w:pPr>
              <w:pStyle w:val="TableParagraph"/>
              <w:spacing w:before="123"/>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2"/>
              <w:ind w:left="73" w:right="60"/>
              <w:jc w:val="center"/>
              <w:rPr>
                <w:rFonts w:ascii="宋体" w:eastAsia="宋体" w:hint="eastAsia"/>
                <w:sz w:val="21"/>
              </w:rPr>
            </w:pPr>
            <w:r>
              <w:rPr>
                <w:rFonts w:ascii="宋体" w:eastAsia="宋体" w:hint="eastAsia"/>
                <w:sz w:val="21"/>
              </w:rPr>
              <w:t>（％）</w:t>
            </w:r>
          </w:p>
        </w:tc>
      </w:tr>
      <w:tr>
        <w:trPr>
          <w:trHeight w:val="510" w:hRule="atLeast"/>
        </w:trPr>
        <w:tc>
          <w:tcPr>
            <w:tcW w:w="710" w:type="dxa"/>
          </w:tcPr>
          <w:p>
            <w:pPr>
              <w:pStyle w:val="TableParagraph"/>
              <w:spacing w:before="185"/>
              <w:ind w:left="13"/>
              <w:jc w:val="center"/>
              <w:rPr>
                <w:sz w:val="21"/>
              </w:rPr>
            </w:pPr>
            <w:r>
              <w:rPr>
                <w:w w:val="100"/>
                <w:sz w:val="21"/>
              </w:rPr>
              <w:t>A</w:t>
            </w:r>
          </w:p>
        </w:tc>
        <w:tc>
          <w:tcPr>
            <w:tcW w:w="3521" w:type="dxa"/>
          </w:tcPr>
          <w:p>
            <w:pPr>
              <w:pStyle w:val="TableParagraph"/>
              <w:spacing w:before="171"/>
              <w:ind w:left="14"/>
              <w:jc w:val="left"/>
              <w:rPr>
                <w:rFonts w:ascii="宋体" w:eastAsia="宋体" w:hint="eastAsia"/>
                <w:sz w:val="21"/>
              </w:rPr>
            </w:pPr>
            <w:r>
              <w:rPr>
                <w:rFonts w:ascii="宋体" w:eastAsia="宋体" w:hint="eastAsia"/>
                <w:sz w:val="21"/>
              </w:rPr>
              <w:t>农、林、牧、渔业</w:t>
            </w:r>
          </w:p>
        </w:tc>
        <w:tc>
          <w:tcPr>
            <w:tcW w:w="2009" w:type="dxa"/>
          </w:tcPr>
          <w:p>
            <w:pPr>
              <w:pStyle w:val="TableParagraph"/>
              <w:spacing w:before="156"/>
              <w:ind w:right="-15"/>
              <w:rPr>
                <w:sz w:val="21"/>
              </w:rPr>
            </w:pPr>
            <w:r>
              <w:rPr>
                <w:w w:val="100"/>
                <w:sz w:val="21"/>
              </w:rPr>
              <w:t>-</w:t>
            </w:r>
          </w:p>
        </w:tc>
        <w:tc>
          <w:tcPr>
            <w:tcW w:w="2076" w:type="dxa"/>
          </w:tcPr>
          <w:p>
            <w:pPr>
              <w:pStyle w:val="TableParagraph"/>
              <w:spacing w:before="156"/>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B</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采矿业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1"/>
              <w:jc w:val="center"/>
              <w:rPr>
                <w:sz w:val="21"/>
              </w:rPr>
            </w:pPr>
            <w:r>
              <w:rPr>
                <w:w w:val="100"/>
                <w:sz w:val="21"/>
              </w:rPr>
              <w:t>C</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制造业</w:t>
            </w:r>
          </w:p>
        </w:tc>
        <w:tc>
          <w:tcPr>
            <w:tcW w:w="2009" w:type="dxa"/>
          </w:tcPr>
          <w:p>
            <w:pPr>
              <w:pStyle w:val="TableParagraph"/>
              <w:spacing w:before="94"/>
              <w:ind w:right="-15"/>
              <w:rPr>
                <w:sz w:val="21"/>
              </w:rPr>
            </w:pPr>
            <w:r>
              <w:rPr>
                <w:sz w:val="21"/>
              </w:rPr>
              <w:t>119,813,197.64</w:t>
            </w:r>
          </w:p>
        </w:tc>
        <w:tc>
          <w:tcPr>
            <w:tcW w:w="2076" w:type="dxa"/>
          </w:tcPr>
          <w:p>
            <w:pPr>
              <w:pStyle w:val="TableParagraph"/>
              <w:spacing w:before="137"/>
              <w:rPr>
                <w:sz w:val="21"/>
              </w:rPr>
            </w:pPr>
            <w:r>
              <w:rPr>
                <w:sz w:val="21"/>
              </w:rPr>
              <w:t>56.51</w:t>
            </w:r>
          </w:p>
        </w:tc>
      </w:tr>
      <w:tr>
        <w:trPr>
          <w:trHeight w:val="415" w:hRule="atLeast"/>
        </w:trPr>
        <w:tc>
          <w:tcPr>
            <w:tcW w:w="710" w:type="dxa"/>
          </w:tcPr>
          <w:p>
            <w:pPr>
              <w:pStyle w:val="TableParagraph"/>
              <w:spacing w:before="140"/>
              <w:ind w:left="13"/>
              <w:jc w:val="center"/>
              <w:rPr>
                <w:sz w:val="21"/>
              </w:rPr>
            </w:pPr>
            <w:r>
              <w:rPr>
                <w:w w:val="100"/>
                <w:sz w:val="21"/>
              </w:rPr>
              <w:t>D</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94"/>
              <w:ind w:right="-15"/>
              <w:rPr>
                <w:sz w:val="21"/>
              </w:rPr>
            </w:pPr>
            <w:r>
              <w:rPr>
                <w:sz w:val="21"/>
              </w:rPr>
              <w:t>12,766.32</w:t>
            </w:r>
          </w:p>
        </w:tc>
        <w:tc>
          <w:tcPr>
            <w:tcW w:w="2076" w:type="dxa"/>
          </w:tcPr>
          <w:p>
            <w:pPr>
              <w:pStyle w:val="TableParagraph"/>
              <w:spacing w:before="94"/>
              <w:rPr>
                <w:sz w:val="21"/>
              </w:rPr>
            </w:pPr>
            <w:r>
              <w:rPr>
                <w:sz w:val="21"/>
              </w:rPr>
              <w:t>0.01</w:t>
            </w:r>
          </w:p>
        </w:tc>
      </w:tr>
      <w:tr>
        <w:trPr>
          <w:trHeight w:val="417" w:hRule="atLeast"/>
        </w:trPr>
        <w:tc>
          <w:tcPr>
            <w:tcW w:w="710" w:type="dxa"/>
          </w:tcPr>
          <w:p>
            <w:pPr>
              <w:pStyle w:val="TableParagraph"/>
              <w:spacing w:before="139"/>
              <w:ind w:left="14"/>
              <w:jc w:val="center"/>
              <w:rPr>
                <w:sz w:val="21"/>
              </w:rPr>
            </w:pPr>
            <w:r>
              <w:rPr>
                <w:w w:val="100"/>
                <w:sz w:val="21"/>
              </w:rPr>
              <w:t>E</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建筑业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F</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批发和零售业</w:t>
            </w:r>
          </w:p>
        </w:tc>
        <w:tc>
          <w:tcPr>
            <w:tcW w:w="2009" w:type="dxa"/>
          </w:tcPr>
          <w:p>
            <w:pPr>
              <w:pStyle w:val="TableParagraph"/>
              <w:spacing w:before="91"/>
              <w:ind w:right="-15"/>
              <w:rPr>
                <w:sz w:val="21"/>
              </w:rPr>
            </w:pPr>
            <w:r>
              <w:rPr>
                <w:sz w:val="21"/>
              </w:rPr>
              <w:t>2,746,839.00</w:t>
            </w:r>
          </w:p>
        </w:tc>
        <w:tc>
          <w:tcPr>
            <w:tcW w:w="2076" w:type="dxa"/>
          </w:tcPr>
          <w:p>
            <w:pPr>
              <w:pStyle w:val="TableParagraph"/>
              <w:spacing w:before="91"/>
              <w:rPr>
                <w:sz w:val="21"/>
              </w:rPr>
            </w:pPr>
            <w:r>
              <w:rPr>
                <w:sz w:val="21"/>
              </w:rPr>
              <w:t>1.30</w:t>
            </w:r>
          </w:p>
        </w:tc>
      </w:tr>
      <w:tr>
        <w:trPr>
          <w:trHeight w:val="414" w:hRule="atLeast"/>
        </w:trPr>
        <w:tc>
          <w:tcPr>
            <w:tcW w:w="710" w:type="dxa"/>
          </w:tcPr>
          <w:p>
            <w:pPr>
              <w:pStyle w:val="TableParagraph"/>
              <w:spacing w:before="137"/>
              <w:ind w:left="13"/>
              <w:jc w:val="center"/>
              <w:rPr>
                <w:sz w:val="21"/>
              </w:rPr>
            </w:pPr>
            <w:r>
              <w:rPr>
                <w:w w:val="100"/>
                <w:sz w:val="21"/>
              </w:rPr>
              <w:t>G</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91"/>
              <w:ind w:right="-15"/>
              <w:rPr>
                <w:sz w:val="21"/>
              </w:rPr>
            </w:pPr>
            <w:r>
              <w:rPr>
                <w:sz w:val="21"/>
              </w:rPr>
              <w:t>1,092,210.00</w:t>
            </w:r>
          </w:p>
        </w:tc>
        <w:tc>
          <w:tcPr>
            <w:tcW w:w="2076" w:type="dxa"/>
          </w:tcPr>
          <w:p>
            <w:pPr>
              <w:pStyle w:val="TableParagraph"/>
              <w:spacing w:before="91"/>
              <w:rPr>
                <w:sz w:val="21"/>
              </w:rPr>
            </w:pPr>
            <w:r>
              <w:rPr>
                <w:sz w:val="21"/>
              </w:rPr>
              <w:t>0.52</w:t>
            </w:r>
          </w:p>
        </w:tc>
      </w:tr>
      <w:tr>
        <w:trPr>
          <w:trHeight w:val="414" w:hRule="atLeast"/>
        </w:trPr>
        <w:tc>
          <w:tcPr>
            <w:tcW w:w="710" w:type="dxa"/>
          </w:tcPr>
          <w:p>
            <w:pPr>
              <w:pStyle w:val="TableParagraph"/>
              <w:spacing w:before="137"/>
              <w:ind w:left="13"/>
              <w:jc w:val="center"/>
              <w:rPr>
                <w:sz w:val="21"/>
              </w:rPr>
            </w:pPr>
            <w:r>
              <w:rPr>
                <w:w w:val="100"/>
                <w:sz w:val="21"/>
              </w:rPr>
              <w:t>H</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住宿和餐饮业</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4" w:hRule="atLeast"/>
        </w:trPr>
        <w:tc>
          <w:tcPr>
            <w:tcW w:w="710" w:type="dxa"/>
          </w:tcPr>
          <w:p>
            <w:pPr>
              <w:pStyle w:val="TableParagraph"/>
              <w:spacing w:before="137"/>
              <w:ind w:left="12"/>
              <w:jc w:val="center"/>
              <w:rPr>
                <w:sz w:val="21"/>
              </w:rPr>
            </w:pPr>
            <w:r>
              <w:rPr>
                <w:w w:val="100"/>
                <w:sz w:val="21"/>
              </w:rPr>
              <w:t>I</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94"/>
              <w:ind w:right="-15"/>
              <w:rPr>
                <w:sz w:val="21"/>
              </w:rPr>
            </w:pPr>
            <w:r>
              <w:rPr>
                <w:sz w:val="21"/>
              </w:rPr>
              <w:t>19,682,296.10</w:t>
            </w:r>
          </w:p>
        </w:tc>
        <w:tc>
          <w:tcPr>
            <w:tcW w:w="2076" w:type="dxa"/>
          </w:tcPr>
          <w:p>
            <w:pPr>
              <w:pStyle w:val="TableParagraph"/>
              <w:spacing w:before="94"/>
              <w:rPr>
                <w:sz w:val="21"/>
              </w:rPr>
            </w:pPr>
            <w:r>
              <w:rPr>
                <w:sz w:val="21"/>
              </w:rPr>
              <w:t>9.28</w:t>
            </w:r>
          </w:p>
        </w:tc>
      </w:tr>
      <w:tr>
        <w:trPr>
          <w:trHeight w:val="414" w:hRule="atLeast"/>
        </w:trPr>
        <w:tc>
          <w:tcPr>
            <w:tcW w:w="710" w:type="dxa"/>
          </w:tcPr>
          <w:p>
            <w:pPr>
              <w:pStyle w:val="TableParagraph"/>
              <w:spacing w:before="137"/>
              <w:ind w:left="10"/>
              <w:jc w:val="center"/>
              <w:rPr>
                <w:sz w:val="21"/>
              </w:rPr>
            </w:pPr>
            <w:r>
              <w:rPr>
                <w:w w:val="100"/>
                <w:sz w:val="21"/>
              </w:rPr>
              <w:t>J</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金融业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7"/>
              <w:ind w:left="13"/>
              <w:jc w:val="center"/>
              <w:rPr>
                <w:sz w:val="21"/>
              </w:rPr>
            </w:pPr>
            <w:r>
              <w:rPr>
                <w:w w:val="100"/>
                <w:sz w:val="21"/>
              </w:rPr>
              <w:t>K</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房地产业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5" w:hRule="atLeast"/>
        </w:trPr>
        <w:tc>
          <w:tcPr>
            <w:tcW w:w="710" w:type="dxa"/>
          </w:tcPr>
          <w:p>
            <w:pPr>
              <w:pStyle w:val="TableParagraph"/>
              <w:spacing w:before="137"/>
              <w:ind w:left="14"/>
              <w:jc w:val="center"/>
              <w:rPr>
                <w:sz w:val="21"/>
              </w:rPr>
            </w:pPr>
            <w:r>
              <w:rPr>
                <w:w w:val="100"/>
                <w:sz w:val="21"/>
              </w:rPr>
              <w:t>L</w:t>
            </w: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94"/>
              <w:ind w:right="-15"/>
              <w:rPr>
                <w:sz w:val="21"/>
              </w:rPr>
            </w:pPr>
            <w:r>
              <w:rPr>
                <w:sz w:val="21"/>
              </w:rPr>
              <w:t>3,131,554.00</w:t>
            </w:r>
          </w:p>
        </w:tc>
        <w:tc>
          <w:tcPr>
            <w:tcW w:w="2076" w:type="dxa"/>
          </w:tcPr>
          <w:p>
            <w:pPr>
              <w:pStyle w:val="TableParagraph"/>
              <w:spacing w:before="94"/>
              <w:rPr>
                <w:sz w:val="21"/>
              </w:rPr>
            </w:pPr>
            <w:r>
              <w:rPr>
                <w:sz w:val="21"/>
              </w:rPr>
              <w:t>1.48</w:t>
            </w:r>
          </w:p>
        </w:tc>
      </w:tr>
      <w:tr>
        <w:trPr>
          <w:trHeight w:val="414" w:hRule="atLeast"/>
        </w:trPr>
        <w:tc>
          <w:tcPr>
            <w:tcW w:w="710" w:type="dxa"/>
          </w:tcPr>
          <w:p>
            <w:pPr>
              <w:pStyle w:val="TableParagraph"/>
              <w:spacing w:before="139"/>
              <w:ind w:left="10"/>
              <w:jc w:val="center"/>
              <w:rPr>
                <w:sz w:val="21"/>
              </w:rPr>
            </w:pPr>
            <w:r>
              <w:rPr>
                <w:w w:val="100"/>
                <w:sz w:val="21"/>
              </w:rPr>
              <w:t>M</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94"/>
              <w:ind w:right="-15"/>
              <w:rPr>
                <w:sz w:val="21"/>
              </w:rPr>
            </w:pPr>
            <w:r>
              <w:rPr>
                <w:sz w:val="21"/>
              </w:rPr>
              <w:t>8,345,769.60</w:t>
            </w:r>
          </w:p>
        </w:tc>
        <w:tc>
          <w:tcPr>
            <w:tcW w:w="2076" w:type="dxa"/>
          </w:tcPr>
          <w:p>
            <w:pPr>
              <w:pStyle w:val="TableParagraph"/>
              <w:spacing w:before="94"/>
              <w:rPr>
                <w:sz w:val="21"/>
              </w:rPr>
            </w:pPr>
            <w:r>
              <w:rPr>
                <w:sz w:val="21"/>
              </w:rPr>
              <w:t>3.94</w:t>
            </w:r>
          </w:p>
        </w:tc>
      </w:tr>
      <w:tr>
        <w:trPr>
          <w:trHeight w:val="414" w:hRule="atLeast"/>
        </w:trPr>
        <w:tc>
          <w:tcPr>
            <w:tcW w:w="710" w:type="dxa"/>
          </w:tcPr>
          <w:p>
            <w:pPr>
              <w:pStyle w:val="TableParagraph"/>
              <w:spacing w:before="139"/>
              <w:ind w:left="13"/>
              <w:jc w:val="center"/>
              <w:rPr>
                <w:sz w:val="21"/>
              </w:rPr>
            </w:pPr>
            <w:r>
              <w:rPr>
                <w:w w:val="100"/>
                <w:sz w:val="21"/>
              </w:rPr>
              <w:t>N</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3"/>
              <w:jc w:val="center"/>
              <w:rPr>
                <w:sz w:val="21"/>
              </w:rPr>
            </w:pPr>
            <w:r>
              <w:rPr>
                <w:w w:val="100"/>
                <w:sz w:val="21"/>
              </w:rPr>
              <w:t>O</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4" w:hRule="atLeast"/>
        </w:trPr>
        <w:tc>
          <w:tcPr>
            <w:tcW w:w="710" w:type="dxa"/>
          </w:tcPr>
          <w:p>
            <w:pPr>
              <w:pStyle w:val="TableParagraph"/>
              <w:spacing w:before="139"/>
              <w:ind w:left="12"/>
              <w:jc w:val="center"/>
              <w:rPr>
                <w:sz w:val="21"/>
              </w:rPr>
            </w:pPr>
            <w:r>
              <w:rPr>
                <w:w w:val="100"/>
                <w:sz w:val="21"/>
              </w:rPr>
              <w:t>P</w:t>
            </w:r>
          </w:p>
        </w:tc>
        <w:tc>
          <w:tcPr>
            <w:tcW w:w="3521" w:type="dxa"/>
          </w:tcPr>
          <w:p>
            <w:pPr>
              <w:pStyle w:val="TableParagraph"/>
              <w:spacing w:before="126"/>
              <w:ind w:left="14"/>
              <w:jc w:val="left"/>
              <w:rPr>
                <w:rFonts w:ascii="宋体" w:eastAsia="宋体" w:hint="eastAsia"/>
                <w:sz w:val="21"/>
              </w:rPr>
            </w:pPr>
            <w:r>
              <w:rPr>
                <w:rFonts w:ascii="宋体" w:eastAsia="宋体" w:hint="eastAsia"/>
                <w:sz w:val="21"/>
              </w:rPr>
              <w:t>教育</w:t>
            </w:r>
          </w:p>
        </w:tc>
        <w:tc>
          <w:tcPr>
            <w:tcW w:w="2009" w:type="dxa"/>
          </w:tcPr>
          <w:p>
            <w:pPr>
              <w:pStyle w:val="TableParagraph"/>
              <w:spacing w:before="94"/>
              <w:ind w:right="-15"/>
              <w:rPr>
                <w:sz w:val="21"/>
              </w:rPr>
            </w:pPr>
            <w:r>
              <w:rPr>
                <w:w w:val="100"/>
                <w:sz w:val="21"/>
              </w:rPr>
              <w:t>-</w:t>
            </w:r>
          </w:p>
        </w:tc>
        <w:tc>
          <w:tcPr>
            <w:tcW w:w="2076" w:type="dxa"/>
          </w:tcPr>
          <w:p>
            <w:pPr>
              <w:pStyle w:val="TableParagraph"/>
              <w:spacing w:before="94"/>
              <w:rPr>
                <w:sz w:val="21"/>
              </w:rPr>
            </w:pPr>
            <w:r>
              <w:rPr>
                <w:w w:val="100"/>
                <w:sz w:val="21"/>
              </w:rPr>
              <w:t>-</w:t>
            </w:r>
          </w:p>
        </w:tc>
      </w:tr>
      <w:tr>
        <w:trPr>
          <w:trHeight w:val="417" w:hRule="atLeast"/>
        </w:trPr>
        <w:tc>
          <w:tcPr>
            <w:tcW w:w="710" w:type="dxa"/>
          </w:tcPr>
          <w:p>
            <w:pPr>
              <w:pStyle w:val="TableParagraph"/>
              <w:spacing w:before="139"/>
              <w:ind w:left="13"/>
              <w:jc w:val="center"/>
              <w:rPr>
                <w:sz w:val="21"/>
              </w:rPr>
            </w:pPr>
            <w:r>
              <w:rPr>
                <w:w w:val="100"/>
                <w:sz w:val="21"/>
              </w:rPr>
              <w:t>Q</w:t>
            </w:r>
          </w:p>
        </w:tc>
        <w:tc>
          <w:tcPr>
            <w:tcW w:w="3521" w:type="dxa"/>
          </w:tcPr>
          <w:p>
            <w:pPr>
              <w:pStyle w:val="TableParagraph"/>
              <w:spacing w:before="125"/>
              <w:ind w:left="14"/>
              <w:jc w:val="left"/>
              <w:rPr>
                <w:rFonts w:ascii="宋体" w:eastAsia="宋体" w:hint="eastAsia"/>
                <w:sz w:val="21"/>
              </w:rPr>
            </w:pPr>
            <w:r>
              <w:rPr>
                <w:rFonts w:ascii="宋体" w:eastAsia="宋体" w:hint="eastAsia"/>
                <w:sz w:val="21"/>
              </w:rPr>
              <w:t>卫生和社会工作</w:t>
            </w:r>
          </w:p>
        </w:tc>
        <w:tc>
          <w:tcPr>
            <w:tcW w:w="2009" w:type="dxa"/>
          </w:tcPr>
          <w:p>
            <w:pPr>
              <w:pStyle w:val="TableParagraph"/>
              <w:spacing w:before="94"/>
              <w:ind w:right="-15"/>
              <w:rPr>
                <w:sz w:val="21"/>
              </w:rPr>
            </w:pPr>
            <w:r>
              <w:rPr>
                <w:sz w:val="21"/>
              </w:rPr>
              <w:t>5,557,702.50</w:t>
            </w:r>
          </w:p>
        </w:tc>
        <w:tc>
          <w:tcPr>
            <w:tcW w:w="2076" w:type="dxa"/>
          </w:tcPr>
          <w:p>
            <w:pPr>
              <w:pStyle w:val="TableParagraph"/>
              <w:spacing w:before="94"/>
              <w:rPr>
                <w:sz w:val="21"/>
              </w:rPr>
            </w:pPr>
            <w:r>
              <w:rPr>
                <w:sz w:val="21"/>
              </w:rPr>
              <w:t>2.62</w:t>
            </w:r>
          </w:p>
        </w:tc>
      </w:tr>
      <w:tr>
        <w:trPr>
          <w:trHeight w:val="414" w:hRule="atLeast"/>
        </w:trPr>
        <w:tc>
          <w:tcPr>
            <w:tcW w:w="710" w:type="dxa"/>
          </w:tcPr>
          <w:p>
            <w:pPr>
              <w:pStyle w:val="TableParagraph"/>
              <w:spacing w:before="137"/>
              <w:ind w:left="11"/>
              <w:jc w:val="center"/>
              <w:rPr>
                <w:sz w:val="21"/>
              </w:rPr>
            </w:pPr>
            <w:r>
              <w:rPr>
                <w:w w:val="100"/>
                <w:sz w:val="21"/>
              </w:rPr>
              <w:t>R</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91"/>
              <w:ind w:right="-15"/>
              <w:rPr>
                <w:sz w:val="21"/>
              </w:rPr>
            </w:pPr>
            <w:r>
              <w:rPr>
                <w:sz w:val="21"/>
              </w:rPr>
              <w:t>1,304,000.00</w:t>
            </w:r>
          </w:p>
        </w:tc>
        <w:tc>
          <w:tcPr>
            <w:tcW w:w="2076" w:type="dxa"/>
          </w:tcPr>
          <w:p>
            <w:pPr>
              <w:pStyle w:val="TableParagraph"/>
              <w:spacing w:before="91"/>
              <w:rPr>
                <w:sz w:val="21"/>
              </w:rPr>
            </w:pPr>
            <w:r>
              <w:rPr>
                <w:sz w:val="21"/>
              </w:rPr>
              <w:t>0.62</w:t>
            </w:r>
          </w:p>
        </w:tc>
      </w:tr>
      <w:tr>
        <w:trPr>
          <w:trHeight w:val="414" w:hRule="atLeast"/>
        </w:trPr>
        <w:tc>
          <w:tcPr>
            <w:tcW w:w="710" w:type="dxa"/>
          </w:tcPr>
          <w:p>
            <w:pPr>
              <w:pStyle w:val="TableParagraph"/>
              <w:spacing w:before="137"/>
              <w:ind w:left="12"/>
              <w:jc w:val="center"/>
              <w:rPr>
                <w:sz w:val="21"/>
              </w:rPr>
            </w:pPr>
            <w:r>
              <w:rPr>
                <w:w w:val="100"/>
                <w:sz w:val="21"/>
              </w:rPr>
              <w:t>S</w:t>
            </w:r>
          </w:p>
        </w:tc>
        <w:tc>
          <w:tcPr>
            <w:tcW w:w="3521" w:type="dxa"/>
          </w:tcPr>
          <w:p>
            <w:pPr>
              <w:pStyle w:val="TableParagraph"/>
              <w:spacing w:before="123"/>
              <w:ind w:left="14"/>
              <w:jc w:val="left"/>
              <w:rPr>
                <w:rFonts w:ascii="宋体" w:eastAsia="宋体" w:hint="eastAsia"/>
                <w:sz w:val="21"/>
              </w:rPr>
            </w:pPr>
            <w:r>
              <w:rPr>
                <w:rFonts w:ascii="宋体" w:eastAsia="宋体" w:hint="eastAsia"/>
                <w:sz w:val="21"/>
              </w:rPr>
              <w:t>综合</w:t>
            </w:r>
          </w:p>
        </w:tc>
        <w:tc>
          <w:tcPr>
            <w:tcW w:w="2009" w:type="dxa"/>
          </w:tcPr>
          <w:p>
            <w:pPr>
              <w:pStyle w:val="TableParagraph"/>
              <w:spacing w:before="91"/>
              <w:ind w:right="-15"/>
              <w:rPr>
                <w:sz w:val="21"/>
              </w:rPr>
            </w:pPr>
            <w:r>
              <w:rPr>
                <w:w w:val="100"/>
                <w:sz w:val="21"/>
              </w:rPr>
              <w:t>-</w:t>
            </w:r>
          </w:p>
        </w:tc>
        <w:tc>
          <w:tcPr>
            <w:tcW w:w="2076" w:type="dxa"/>
          </w:tcPr>
          <w:p>
            <w:pPr>
              <w:pStyle w:val="TableParagraph"/>
              <w:spacing w:before="91"/>
              <w:rPr>
                <w:sz w:val="21"/>
              </w:rPr>
            </w:pPr>
            <w:r>
              <w:rPr>
                <w:w w:val="100"/>
                <w:sz w:val="21"/>
              </w:rPr>
              <w:t>-</w:t>
            </w:r>
          </w:p>
        </w:tc>
      </w:tr>
      <w:tr>
        <w:trPr>
          <w:trHeight w:val="415" w:hRule="atLeast"/>
        </w:trPr>
        <w:tc>
          <w:tcPr>
            <w:tcW w:w="710" w:type="dxa"/>
          </w:tcPr>
          <w:p>
            <w:pPr>
              <w:pStyle w:val="TableParagraph"/>
              <w:spacing w:before="0"/>
              <w:jc w:val="left"/>
              <w:rPr>
                <w:sz w:val="20"/>
              </w:rPr>
            </w:pPr>
          </w:p>
        </w:tc>
        <w:tc>
          <w:tcPr>
            <w:tcW w:w="3521" w:type="dxa"/>
          </w:tcPr>
          <w:p>
            <w:pPr>
              <w:pStyle w:val="TableParagraph"/>
              <w:spacing w:before="124"/>
              <w:ind w:left="14"/>
              <w:jc w:val="left"/>
              <w:rPr>
                <w:rFonts w:ascii="宋体" w:eastAsia="宋体" w:hint="eastAsia"/>
                <w:sz w:val="21"/>
              </w:rPr>
            </w:pPr>
            <w:r>
              <w:rPr>
                <w:rFonts w:ascii="宋体" w:eastAsia="宋体" w:hint="eastAsia"/>
                <w:sz w:val="21"/>
              </w:rPr>
              <w:t>合计</w:t>
            </w:r>
          </w:p>
        </w:tc>
        <w:tc>
          <w:tcPr>
            <w:tcW w:w="2009" w:type="dxa"/>
          </w:tcPr>
          <w:p>
            <w:pPr>
              <w:pStyle w:val="TableParagraph"/>
              <w:spacing w:before="92"/>
              <w:ind w:right="-15"/>
              <w:rPr>
                <w:sz w:val="21"/>
              </w:rPr>
            </w:pPr>
            <w:r>
              <w:rPr>
                <w:sz w:val="21"/>
              </w:rPr>
              <w:t>161,686,335.16</w:t>
            </w:r>
          </w:p>
        </w:tc>
        <w:tc>
          <w:tcPr>
            <w:tcW w:w="2076" w:type="dxa"/>
          </w:tcPr>
          <w:p>
            <w:pPr>
              <w:pStyle w:val="TableParagraph"/>
              <w:spacing w:before="92"/>
              <w:rPr>
                <w:sz w:val="21"/>
              </w:rPr>
            </w:pPr>
            <w:r>
              <w:rPr>
                <w:sz w:val="21"/>
              </w:rPr>
              <w:t>76.26</w:t>
            </w:r>
          </w:p>
        </w:tc>
      </w:tr>
    </w:tbl>
    <w:p>
      <w:pPr>
        <w:pStyle w:val="ListParagraph"/>
        <w:numPr>
          <w:ilvl w:val="2"/>
          <w:numId w:val="23"/>
        </w:numPr>
        <w:tabs>
          <w:tab w:pos="786" w:val="left" w:leader="none"/>
        </w:tabs>
        <w:spacing w:line="240" w:lineRule="auto" w:before="99" w:after="0"/>
        <w:ind w:left="786" w:right="0" w:hanging="526"/>
        <w:jc w:val="left"/>
        <w:rPr>
          <w:sz w:val="21"/>
        </w:rPr>
      </w:pPr>
      <w:r>
        <w:rPr>
          <w:spacing w:val="-3"/>
          <w:sz w:val="21"/>
        </w:rPr>
        <w:t>报告期末按行业分类的港股通投资股票投资组合</w:t>
      </w:r>
    </w:p>
    <w:p>
      <w:pPr>
        <w:pStyle w:val="BodyText"/>
        <w:spacing w:before="10"/>
        <w:rPr>
          <w:sz w:val="7"/>
        </w:r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9"/>
        <w:gridCol w:w="3971"/>
        <w:gridCol w:w="2487"/>
      </w:tblGrid>
      <w:tr>
        <w:trPr>
          <w:trHeight w:val="652" w:hRule="atLeast"/>
        </w:trPr>
        <w:tc>
          <w:tcPr>
            <w:tcW w:w="1889" w:type="dxa"/>
          </w:tcPr>
          <w:p>
            <w:pPr>
              <w:pStyle w:val="TableParagraph"/>
              <w:spacing w:before="4"/>
              <w:jc w:val="left"/>
              <w:rPr>
                <w:rFonts w:ascii="宋体"/>
                <w:sz w:val="16"/>
              </w:rPr>
            </w:pPr>
          </w:p>
          <w:p>
            <w:pPr>
              <w:pStyle w:val="TableParagraph"/>
              <w:spacing w:before="0"/>
              <w:ind w:left="295" w:right="272"/>
              <w:jc w:val="center"/>
              <w:rPr>
                <w:rFonts w:ascii="宋体" w:eastAsia="宋体" w:hint="eastAsia"/>
                <w:sz w:val="21"/>
              </w:rPr>
            </w:pPr>
            <w:r>
              <w:rPr>
                <w:rFonts w:ascii="宋体" w:eastAsia="宋体" w:hint="eastAsia"/>
                <w:sz w:val="21"/>
              </w:rPr>
              <w:t>行业类别</w:t>
            </w:r>
          </w:p>
        </w:tc>
        <w:tc>
          <w:tcPr>
            <w:tcW w:w="3971" w:type="dxa"/>
          </w:tcPr>
          <w:p>
            <w:pPr>
              <w:pStyle w:val="TableParagraph"/>
              <w:spacing w:before="4"/>
              <w:jc w:val="left"/>
              <w:rPr>
                <w:rFonts w:ascii="宋体"/>
                <w:sz w:val="16"/>
              </w:rPr>
            </w:pPr>
          </w:p>
          <w:p>
            <w:pPr>
              <w:pStyle w:val="TableParagraph"/>
              <w:spacing w:before="0"/>
              <w:ind w:left="1046"/>
              <w:jc w:val="left"/>
              <w:rPr>
                <w:rFonts w:ascii="宋体" w:eastAsia="宋体" w:hint="eastAsia"/>
                <w:sz w:val="21"/>
              </w:rPr>
            </w:pPr>
            <w:r>
              <w:rPr>
                <w:rFonts w:ascii="宋体" w:eastAsia="宋体" w:hint="eastAsia"/>
                <w:sz w:val="21"/>
              </w:rPr>
              <w:t>公允价值（人民币）</w:t>
            </w:r>
          </w:p>
        </w:tc>
        <w:tc>
          <w:tcPr>
            <w:tcW w:w="2487" w:type="dxa"/>
          </w:tcPr>
          <w:p>
            <w:pPr>
              <w:pStyle w:val="TableParagraph"/>
              <w:spacing w:before="53"/>
              <w:ind w:left="285" w:right="261"/>
              <w:jc w:val="center"/>
              <w:rPr>
                <w:rFonts w:ascii="宋体" w:eastAsia="宋体" w:hint="eastAsia"/>
                <w:sz w:val="21"/>
              </w:rPr>
            </w:pPr>
            <w:r>
              <w:rPr>
                <w:rFonts w:ascii="宋体" w:eastAsia="宋体" w:hint="eastAsia"/>
                <w:sz w:val="21"/>
              </w:rPr>
              <w:t>占基金资产净值比例</w:t>
            </w:r>
          </w:p>
          <w:p>
            <w:pPr>
              <w:pStyle w:val="TableParagraph"/>
              <w:spacing w:before="41"/>
              <w:ind w:left="285" w:right="260"/>
              <w:jc w:val="center"/>
              <w:rPr>
                <w:rFonts w:ascii="宋体" w:eastAsia="宋体" w:hint="eastAsia"/>
                <w:sz w:val="21"/>
              </w:rPr>
            </w:pPr>
            <w:r>
              <w:rPr>
                <w:rFonts w:ascii="宋体" w:eastAsia="宋体" w:hint="eastAsia"/>
                <w:sz w:val="21"/>
              </w:rPr>
              <w:t>（</w:t>
            </w:r>
            <w:r>
              <w:rPr>
                <w:sz w:val="21"/>
              </w:rPr>
              <w:t>%</w:t>
            </w:r>
            <w:r>
              <w:rPr>
                <w:rFonts w:ascii="宋体" w:eastAsia="宋体" w:hint="eastAsia"/>
                <w:sz w:val="21"/>
              </w:rPr>
              <w:t>）</w:t>
            </w:r>
          </w:p>
        </w:tc>
      </w:tr>
      <w:tr>
        <w:trPr>
          <w:trHeight w:val="311" w:hRule="atLeast"/>
        </w:trPr>
        <w:tc>
          <w:tcPr>
            <w:tcW w:w="1889" w:type="dxa"/>
          </w:tcPr>
          <w:p>
            <w:pPr>
              <w:pStyle w:val="TableParagraph"/>
              <w:spacing w:before="22"/>
              <w:ind w:left="295" w:right="284"/>
              <w:jc w:val="center"/>
              <w:rPr>
                <w:rFonts w:ascii="宋体" w:eastAsia="宋体" w:hint="eastAsia"/>
                <w:sz w:val="21"/>
              </w:rPr>
            </w:pPr>
            <w:r>
              <w:rPr>
                <w:rFonts w:ascii="宋体" w:eastAsia="宋体" w:hint="eastAsia"/>
                <w:sz w:val="21"/>
              </w:rPr>
              <w:t>非必需消费品</w:t>
            </w:r>
          </w:p>
        </w:tc>
        <w:tc>
          <w:tcPr>
            <w:tcW w:w="3971" w:type="dxa"/>
          </w:tcPr>
          <w:p>
            <w:pPr>
              <w:pStyle w:val="TableParagraph"/>
              <w:ind w:right="94"/>
              <w:rPr>
                <w:sz w:val="21"/>
              </w:rPr>
            </w:pPr>
            <w:r>
              <w:rPr>
                <w:sz w:val="21"/>
              </w:rPr>
              <w:t>10,709,919.58</w:t>
            </w:r>
          </w:p>
        </w:tc>
        <w:tc>
          <w:tcPr>
            <w:tcW w:w="2487" w:type="dxa"/>
          </w:tcPr>
          <w:p>
            <w:pPr>
              <w:pStyle w:val="TableParagraph"/>
              <w:ind w:right="94"/>
              <w:rPr>
                <w:sz w:val="21"/>
              </w:rPr>
            </w:pPr>
            <w:r>
              <w:rPr>
                <w:sz w:val="21"/>
              </w:rPr>
              <w:t>5.05</w:t>
            </w:r>
          </w:p>
        </w:tc>
      </w:tr>
      <w:tr>
        <w:trPr>
          <w:trHeight w:val="314" w:hRule="atLeast"/>
        </w:trPr>
        <w:tc>
          <w:tcPr>
            <w:tcW w:w="1889" w:type="dxa"/>
          </w:tcPr>
          <w:p>
            <w:pPr>
              <w:pStyle w:val="TableParagraph"/>
              <w:spacing w:before="25"/>
              <w:ind w:left="293" w:right="284"/>
              <w:jc w:val="center"/>
              <w:rPr>
                <w:rFonts w:ascii="宋体" w:eastAsia="宋体" w:hint="eastAsia"/>
                <w:sz w:val="21"/>
              </w:rPr>
            </w:pPr>
            <w:r>
              <w:rPr>
                <w:rFonts w:ascii="宋体" w:eastAsia="宋体" w:hint="eastAsia"/>
                <w:sz w:val="21"/>
              </w:rPr>
              <w:t>通信服务</w:t>
            </w:r>
          </w:p>
        </w:tc>
        <w:tc>
          <w:tcPr>
            <w:tcW w:w="3971" w:type="dxa"/>
          </w:tcPr>
          <w:p>
            <w:pPr>
              <w:pStyle w:val="TableParagraph"/>
              <w:spacing w:before="36"/>
              <w:ind w:right="94"/>
              <w:rPr>
                <w:sz w:val="21"/>
              </w:rPr>
            </w:pPr>
            <w:r>
              <w:rPr>
                <w:sz w:val="21"/>
              </w:rPr>
              <w:t>8,551,278.18</w:t>
            </w:r>
          </w:p>
        </w:tc>
        <w:tc>
          <w:tcPr>
            <w:tcW w:w="2487" w:type="dxa"/>
          </w:tcPr>
          <w:p>
            <w:pPr>
              <w:pStyle w:val="TableParagraph"/>
              <w:spacing w:before="36"/>
              <w:ind w:right="94"/>
              <w:rPr>
                <w:sz w:val="21"/>
              </w:rPr>
            </w:pPr>
            <w:r>
              <w:rPr>
                <w:sz w:val="21"/>
              </w:rPr>
              <w:t>4.03</w:t>
            </w:r>
          </w:p>
        </w:tc>
      </w:tr>
      <w:tr>
        <w:trPr>
          <w:trHeight w:val="311" w:hRule="atLeast"/>
        </w:trPr>
        <w:tc>
          <w:tcPr>
            <w:tcW w:w="1889" w:type="dxa"/>
          </w:tcPr>
          <w:p>
            <w:pPr>
              <w:pStyle w:val="TableParagraph"/>
              <w:spacing w:before="22"/>
              <w:ind w:left="295" w:right="284"/>
              <w:jc w:val="center"/>
              <w:rPr>
                <w:rFonts w:ascii="宋体" w:eastAsia="宋体" w:hint="eastAsia"/>
                <w:sz w:val="21"/>
              </w:rPr>
            </w:pPr>
            <w:r>
              <w:rPr>
                <w:rFonts w:ascii="宋体" w:eastAsia="宋体" w:hint="eastAsia"/>
                <w:sz w:val="21"/>
              </w:rPr>
              <w:t>保健</w:t>
            </w:r>
          </w:p>
        </w:tc>
        <w:tc>
          <w:tcPr>
            <w:tcW w:w="3971" w:type="dxa"/>
          </w:tcPr>
          <w:p>
            <w:pPr>
              <w:pStyle w:val="TableParagraph"/>
              <w:ind w:right="94"/>
              <w:rPr>
                <w:sz w:val="21"/>
              </w:rPr>
            </w:pPr>
            <w:r>
              <w:rPr>
                <w:sz w:val="21"/>
              </w:rPr>
              <w:t>4,380,639.02</w:t>
            </w:r>
          </w:p>
        </w:tc>
        <w:tc>
          <w:tcPr>
            <w:tcW w:w="2487" w:type="dxa"/>
          </w:tcPr>
          <w:p>
            <w:pPr>
              <w:pStyle w:val="TableParagraph"/>
              <w:ind w:right="94"/>
              <w:rPr>
                <w:sz w:val="21"/>
              </w:rPr>
            </w:pPr>
            <w:r>
              <w:rPr>
                <w:sz w:val="21"/>
              </w:rPr>
              <w:t>2.07</w:t>
            </w:r>
          </w:p>
        </w:tc>
      </w:tr>
      <w:tr>
        <w:trPr>
          <w:trHeight w:val="311" w:hRule="atLeast"/>
        </w:trPr>
        <w:tc>
          <w:tcPr>
            <w:tcW w:w="1889" w:type="dxa"/>
          </w:tcPr>
          <w:p>
            <w:pPr>
              <w:pStyle w:val="TableParagraph"/>
              <w:spacing w:before="22"/>
              <w:ind w:left="293" w:right="284"/>
              <w:jc w:val="center"/>
              <w:rPr>
                <w:rFonts w:ascii="宋体" w:eastAsia="宋体" w:hint="eastAsia"/>
                <w:sz w:val="21"/>
              </w:rPr>
            </w:pPr>
            <w:r>
              <w:rPr>
                <w:rFonts w:ascii="宋体" w:eastAsia="宋体" w:hint="eastAsia"/>
                <w:sz w:val="21"/>
              </w:rPr>
              <w:t>信息技术</w:t>
            </w:r>
          </w:p>
        </w:tc>
        <w:tc>
          <w:tcPr>
            <w:tcW w:w="3971" w:type="dxa"/>
          </w:tcPr>
          <w:p>
            <w:pPr>
              <w:pStyle w:val="TableParagraph"/>
              <w:ind w:right="94"/>
              <w:rPr>
                <w:sz w:val="21"/>
              </w:rPr>
            </w:pPr>
            <w:r>
              <w:rPr>
                <w:sz w:val="21"/>
              </w:rPr>
              <w:t>3,884,604.56</w:t>
            </w:r>
          </w:p>
        </w:tc>
        <w:tc>
          <w:tcPr>
            <w:tcW w:w="2487" w:type="dxa"/>
          </w:tcPr>
          <w:p>
            <w:pPr>
              <w:pStyle w:val="TableParagraph"/>
              <w:ind w:right="94"/>
              <w:rPr>
                <w:sz w:val="21"/>
              </w:rPr>
            </w:pPr>
            <w:r>
              <w:rPr>
                <w:sz w:val="21"/>
              </w:rPr>
              <w:t>1.83</w:t>
            </w:r>
          </w:p>
        </w:tc>
      </w:tr>
      <w:tr>
        <w:trPr>
          <w:trHeight w:val="311" w:hRule="atLeast"/>
        </w:trPr>
        <w:tc>
          <w:tcPr>
            <w:tcW w:w="1889" w:type="dxa"/>
          </w:tcPr>
          <w:p>
            <w:pPr>
              <w:pStyle w:val="TableParagraph"/>
              <w:spacing w:before="22"/>
              <w:ind w:left="293" w:right="284"/>
              <w:jc w:val="center"/>
              <w:rPr>
                <w:rFonts w:ascii="宋体" w:eastAsia="宋体" w:hint="eastAsia"/>
                <w:sz w:val="21"/>
              </w:rPr>
            </w:pPr>
            <w:r>
              <w:rPr>
                <w:rFonts w:ascii="宋体" w:eastAsia="宋体" w:hint="eastAsia"/>
                <w:sz w:val="21"/>
              </w:rPr>
              <w:t>必需消费品</w:t>
            </w:r>
          </w:p>
        </w:tc>
        <w:tc>
          <w:tcPr>
            <w:tcW w:w="3971" w:type="dxa"/>
          </w:tcPr>
          <w:p>
            <w:pPr>
              <w:pStyle w:val="TableParagraph"/>
              <w:ind w:right="94"/>
              <w:rPr>
                <w:sz w:val="21"/>
              </w:rPr>
            </w:pPr>
            <w:r>
              <w:rPr>
                <w:sz w:val="21"/>
              </w:rPr>
              <w:t>3,549,646.10</w:t>
            </w:r>
          </w:p>
        </w:tc>
        <w:tc>
          <w:tcPr>
            <w:tcW w:w="2487" w:type="dxa"/>
          </w:tcPr>
          <w:p>
            <w:pPr>
              <w:pStyle w:val="TableParagraph"/>
              <w:ind w:right="94"/>
              <w:rPr>
                <w:sz w:val="21"/>
              </w:rPr>
            </w:pPr>
            <w:r>
              <w:rPr>
                <w:sz w:val="21"/>
              </w:rPr>
              <w:t>1.67</w:t>
            </w:r>
          </w:p>
        </w:tc>
      </w:tr>
      <w:tr>
        <w:trPr>
          <w:trHeight w:val="312" w:hRule="atLeast"/>
        </w:trPr>
        <w:tc>
          <w:tcPr>
            <w:tcW w:w="1889" w:type="dxa"/>
          </w:tcPr>
          <w:p>
            <w:pPr>
              <w:pStyle w:val="TableParagraph"/>
              <w:spacing w:before="23"/>
              <w:ind w:left="295" w:right="284"/>
              <w:jc w:val="center"/>
              <w:rPr>
                <w:rFonts w:ascii="宋体" w:eastAsia="宋体" w:hint="eastAsia"/>
                <w:sz w:val="21"/>
              </w:rPr>
            </w:pPr>
            <w:r>
              <w:rPr>
                <w:rFonts w:ascii="宋体" w:eastAsia="宋体" w:hint="eastAsia"/>
                <w:sz w:val="21"/>
              </w:rPr>
              <w:t>材料</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3" w:hRule="atLeast"/>
        </w:trPr>
        <w:tc>
          <w:tcPr>
            <w:tcW w:w="1889" w:type="dxa"/>
          </w:tcPr>
          <w:p>
            <w:pPr>
              <w:pStyle w:val="TableParagraph"/>
              <w:spacing w:before="22"/>
              <w:ind w:left="295" w:right="284"/>
              <w:jc w:val="center"/>
              <w:rPr>
                <w:rFonts w:ascii="宋体" w:eastAsia="宋体" w:hint="eastAsia"/>
                <w:sz w:val="21"/>
              </w:rPr>
            </w:pPr>
            <w:r>
              <w:rPr>
                <w:rFonts w:ascii="宋体" w:eastAsia="宋体" w:hint="eastAsia"/>
                <w:sz w:val="21"/>
              </w:rPr>
              <w:t>房地产</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bl>
    <w:p>
      <w:pPr>
        <w:spacing w:after="0"/>
        <w:rPr>
          <w:sz w:val="21"/>
        </w:rPr>
        <w:sectPr>
          <w:pgSz w:w="11910" w:h="16840"/>
          <w:pgMar w:header="877" w:footer="995" w:top="1420" w:bottom="1180" w:left="1540" w:right="1300"/>
        </w:sectPr>
      </w:pPr>
    </w:p>
    <w:tbl>
      <w:tblPr>
        <w:tblW w:w="0" w:type="auto"/>
        <w:jc w:val="left"/>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9"/>
        <w:gridCol w:w="3971"/>
        <w:gridCol w:w="2487"/>
      </w:tblGrid>
      <w:tr>
        <w:trPr>
          <w:trHeight w:val="312" w:hRule="atLeast"/>
        </w:trPr>
        <w:tc>
          <w:tcPr>
            <w:tcW w:w="1889" w:type="dxa"/>
          </w:tcPr>
          <w:p>
            <w:pPr>
              <w:pStyle w:val="TableParagraph"/>
              <w:spacing w:before="23"/>
              <w:ind w:left="295" w:right="284"/>
              <w:jc w:val="center"/>
              <w:rPr>
                <w:rFonts w:ascii="宋体" w:eastAsia="宋体" w:hint="eastAsia"/>
                <w:sz w:val="21"/>
              </w:rPr>
            </w:pPr>
            <w:r>
              <w:rPr>
                <w:rFonts w:ascii="宋体" w:eastAsia="宋体" w:hint="eastAsia"/>
                <w:sz w:val="21"/>
              </w:rPr>
              <w:t>工业</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522"/>
              <w:jc w:val="left"/>
              <w:rPr>
                <w:rFonts w:ascii="宋体" w:eastAsia="宋体" w:hint="eastAsia"/>
                <w:sz w:val="21"/>
              </w:rPr>
            </w:pPr>
            <w:r>
              <w:rPr>
                <w:rFonts w:ascii="宋体" w:eastAsia="宋体" w:hint="eastAsia"/>
                <w:sz w:val="21"/>
              </w:rPr>
              <w:t>公用事业</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1" w:hRule="atLeast"/>
        </w:trPr>
        <w:tc>
          <w:tcPr>
            <w:tcW w:w="1889" w:type="dxa"/>
          </w:tcPr>
          <w:p>
            <w:pPr>
              <w:pStyle w:val="TableParagraph"/>
              <w:spacing w:before="22"/>
              <w:ind w:left="295" w:right="284"/>
              <w:jc w:val="center"/>
              <w:rPr>
                <w:rFonts w:ascii="宋体" w:eastAsia="宋体" w:hint="eastAsia"/>
                <w:sz w:val="21"/>
              </w:rPr>
            </w:pPr>
            <w:r>
              <w:rPr>
                <w:rFonts w:ascii="宋体" w:eastAsia="宋体" w:hint="eastAsia"/>
                <w:sz w:val="21"/>
              </w:rPr>
              <w:t>金融</w:t>
            </w:r>
          </w:p>
        </w:tc>
        <w:tc>
          <w:tcPr>
            <w:tcW w:w="3971" w:type="dxa"/>
          </w:tcPr>
          <w:p>
            <w:pPr>
              <w:pStyle w:val="TableParagraph"/>
              <w:ind w:right="96"/>
              <w:rPr>
                <w:sz w:val="21"/>
              </w:rPr>
            </w:pPr>
            <w:r>
              <w:rPr>
                <w:w w:val="100"/>
                <w:sz w:val="21"/>
              </w:rPr>
              <w:t>-</w:t>
            </w:r>
          </w:p>
        </w:tc>
        <w:tc>
          <w:tcPr>
            <w:tcW w:w="2487" w:type="dxa"/>
          </w:tcPr>
          <w:p>
            <w:pPr>
              <w:pStyle w:val="TableParagraph"/>
              <w:ind w:right="96"/>
              <w:rPr>
                <w:sz w:val="21"/>
              </w:rPr>
            </w:pPr>
            <w:r>
              <w:rPr>
                <w:w w:val="100"/>
                <w:sz w:val="21"/>
              </w:rPr>
              <w:t>-</w:t>
            </w:r>
          </w:p>
        </w:tc>
      </w:tr>
      <w:tr>
        <w:trPr>
          <w:trHeight w:val="313" w:hRule="atLeast"/>
        </w:trPr>
        <w:tc>
          <w:tcPr>
            <w:tcW w:w="1889" w:type="dxa"/>
          </w:tcPr>
          <w:p>
            <w:pPr>
              <w:pStyle w:val="TableParagraph"/>
              <w:spacing w:before="25"/>
              <w:ind w:left="295" w:right="284"/>
              <w:jc w:val="center"/>
              <w:rPr>
                <w:rFonts w:ascii="宋体" w:eastAsia="宋体" w:hint="eastAsia"/>
                <w:sz w:val="21"/>
              </w:rPr>
            </w:pPr>
            <w:r>
              <w:rPr>
                <w:rFonts w:ascii="宋体" w:eastAsia="宋体" w:hint="eastAsia"/>
                <w:sz w:val="21"/>
              </w:rPr>
              <w:t>能源</w:t>
            </w:r>
          </w:p>
        </w:tc>
        <w:tc>
          <w:tcPr>
            <w:tcW w:w="3971" w:type="dxa"/>
          </w:tcPr>
          <w:p>
            <w:pPr>
              <w:pStyle w:val="TableParagraph"/>
              <w:spacing w:before="36"/>
              <w:ind w:right="96"/>
              <w:rPr>
                <w:sz w:val="21"/>
              </w:rPr>
            </w:pPr>
            <w:r>
              <w:rPr>
                <w:w w:val="100"/>
                <w:sz w:val="21"/>
              </w:rPr>
              <w:t>-</w:t>
            </w:r>
          </w:p>
        </w:tc>
        <w:tc>
          <w:tcPr>
            <w:tcW w:w="2487" w:type="dxa"/>
          </w:tcPr>
          <w:p>
            <w:pPr>
              <w:pStyle w:val="TableParagraph"/>
              <w:spacing w:before="36"/>
              <w:ind w:right="96"/>
              <w:rPr>
                <w:sz w:val="21"/>
              </w:rPr>
            </w:pPr>
            <w:r>
              <w:rPr>
                <w:w w:val="100"/>
                <w:sz w:val="21"/>
              </w:rPr>
              <w:t>-</w:t>
            </w:r>
          </w:p>
        </w:tc>
      </w:tr>
      <w:tr>
        <w:trPr>
          <w:trHeight w:val="340" w:hRule="atLeast"/>
        </w:trPr>
        <w:tc>
          <w:tcPr>
            <w:tcW w:w="1889" w:type="dxa"/>
          </w:tcPr>
          <w:p>
            <w:pPr>
              <w:pStyle w:val="TableParagraph"/>
              <w:spacing w:before="37"/>
              <w:ind w:left="467"/>
              <w:jc w:val="left"/>
              <w:rPr>
                <w:rFonts w:ascii="宋体" w:eastAsia="宋体" w:hint="eastAsia"/>
                <w:sz w:val="21"/>
              </w:rPr>
            </w:pPr>
            <w:r>
              <w:rPr>
                <w:rFonts w:ascii="宋体" w:eastAsia="宋体" w:hint="eastAsia"/>
                <w:sz w:val="21"/>
              </w:rPr>
              <w:t>合计</w:t>
            </w:r>
          </w:p>
        </w:tc>
        <w:tc>
          <w:tcPr>
            <w:tcW w:w="3971" w:type="dxa"/>
          </w:tcPr>
          <w:p>
            <w:pPr>
              <w:pStyle w:val="TableParagraph"/>
              <w:spacing w:before="65"/>
              <w:ind w:right="94"/>
              <w:rPr>
                <w:sz w:val="21"/>
              </w:rPr>
            </w:pPr>
            <w:r>
              <w:rPr>
                <w:sz w:val="21"/>
              </w:rPr>
              <w:t>31,076,087.44</w:t>
            </w:r>
          </w:p>
        </w:tc>
        <w:tc>
          <w:tcPr>
            <w:tcW w:w="2487" w:type="dxa"/>
          </w:tcPr>
          <w:p>
            <w:pPr>
              <w:pStyle w:val="TableParagraph"/>
              <w:spacing w:before="65"/>
              <w:ind w:right="94"/>
              <w:rPr>
                <w:sz w:val="21"/>
              </w:rPr>
            </w:pPr>
            <w:r>
              <w:rPr>
                <w:sz w:val="21"/>
              </w:rPr>
              <w:t>14.66</w:t>
            </w:r>
          </w:p>
        </w:tc>
      </w:tr>
    </w:tbl>
    <w:p>
      <w:pPr>
        <w:pStyle w:val="BodyText"/>
        <w:spacing w:before="109"/>
        <w:ind w:left="680"/>
      </w:pPr>
      <w:r>
        <w:rPr>
          <w:spacing w:val="-3"/>
          <w:w w:val="100"/>
        </w:rPr>
        <w:t>注：以上分类采用全球行业分类标准（</w:t>
      </w:r>
      <w:r>
        <w:rPr>
          <w:rFonts w:ascii="Times New Roman" w:eastAsia="Times New Roman"/>
          <w:w w:val="100"/>
        </w:rPr>
        <w:t>G</w:t>
      </w:r>
      <w:r>
        <w:rPr>
          <w:rFonts w:ascii="Times New Roman" w:eastAsia="Times New Roman"/>
          <w:spacing w:val="-4"/>
          <w:w w:val="100"/>
        </w:rPr>
        <w:t>I</w:t>
      </w:r>
      <w:r>
        <w:rPr>
          <w:rFonts w:ascii="Times New Roman" w:eastAsia="Times New Roman"/>
          <w:w w:val="100"/>
        </w:rPr>
        <w:t>C</w:t>
      </w:r>
      <w:r>
        <w:rPr>
          <w:rFonts w:ascii="Times New Roman" w:eastAsia="Times New Roman"/>
          <w:w w:val="100"/>
        </w:rPr>
        <w:t>S</w:t>
      </w:r>
      <w:r>
        <w:rPr>
          <w:spacing w:val="-106"/>
          <w:w w:val="100"/>
        </w:rPr>
        <w:t>）。</w:t>
      </w:r>
    </w:p>
    <w:p>
      <w:pPr>
        <w:pStyle w:val="BodyText"/>
        <w:spacing w:before="7"/>
        <w:rPr>
          <w:sz w:val="15"/>
        </w:rPr>
      </w:pPr>
    </w:p>
    <w:p>
      <w:pPr>
        <w:pStyle w:val="ListParagraph"/>
        <w:numPr>
          <w:ilvl w:val="1"/>
          <w:numId w:val="23"/>
        </w:numPr>
        <w:tabs>
          <w:tab w:pos="630" w:val="left" w:leader="none"/>
        </w:tabs>
        <w:spacing w:line="240" w:lineRule="auto" w:before="0" w:after="0"/>
        <w:ind w:left="63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4" w:hRule="atLeast"/>
        </w:trPr>
        <w:tc>
          <w:tcPr>
            <w:tcW w:w="708" w:type="dxa"/>
          </w:tcPr>
          <w:p>
            <w:pPr>
              <w:pStyle w:val="TableParagraph"/>
              <w:spacing w:before="7"/>
              <w:jc w:val="left"/>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jc w:val="left"/>
              <w:rPr>
                <w:rFonts w:ascii="宋体"/>
                <w:sz w:val="28"/>
              </w:rPr>
            </w:pPr>
          </w:p>
          <w:p>
            <w:pPr>
              <w:pStyle w:val="TableParagraph"/>
              <w:spacing w:before="0"/>
              <w:ind w:left="206" w:right="180"/>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jc w:val="left"/>
              <w:rPr>
                <w:rFonts w:ascii="宋体"/>
                <w:sz w:val="28"/>
              </w:rPr>
            </w:pPr>
          </w:p>
          <w:p>
            <w:pPr>
              <w:pStyle w:val="TableParagraph"/>
              <w:spacing w:before="0"/>
              <w:ind w:left="202" w:right="173"/>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jc w:val="left"/>
              <w:rPr>
                <w:rFonts w:ascii="宋体"/>
                <w:sz w:val="28"/>
              </w:rPr>
            </w:pPr>
          </w:p>
          <w:p>
            <w:pPr>
              <w:pStyle w:val="TableParagraph"/>
              <w:spacing w:before="0"/>
              <w:ind w:left="261"/>
              <w:jc w:val="left"/>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jc w:val="left"/>
              <w:rPr>
                <w:rFonts w:ascii="宋体"/>
                <w:sz w:val="28"/>
              </w:rPr>
            </w:pPr>
          </w:p>
          <w:p>
            <w:pPr>
              <w:pStyle w:val="TableParagraph"/>
              <w:spacing w:before="0"/>
              <w:ind w:left="33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1"/>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1" w:hRule="atLeast"/>
        </w:trPr>
        <w:tc>
          <w:tcPr>
            <w:tcW w:w="708" w:type="dxa"/>
          </w:tcPr>
          <w:p>
            <w:pPr>
              <w:pStyle w:val="TableParagraph"/>
              <w:ind w:left="7"/>
              <w:jc w:val="center"/>
              <w:rPr>
                <w:sz w:val="21"/>
              </w:rPr>
            </w:pPr>
            <w:r>
              <w:rPr>
                <w:w w:val="100"/>
                <w:sz w:val="21"/>
              </w:rPr>
              <w:t>1</w:t>
            </w:r>
          </w:p>
        </w:tc>
        <w:tc>
          <w:tcPr>
            <w:tcW w:w="1277" w:type="dxa"/>
          </w:tcPr>
          <w:p>
            <w:pPr>
              <w:pStyle w:val="TableParagraph"/>
              <w:ind w:left="189" w:right="180"/>
              <w:jc w:val="center"/>
              <w:rPr>
                <w:sz w:val="21"/>
              </w:rPr>
            </w:pPr>
            <w:r>
              <w:rPr>
                <w:sz w:val="21"/>
              </w:rPr>
              <w:t>002475</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立讯精密</w:t>
            </w:r>
          </w:p>
        </w:tc>
        <w:tc>
          <w:tcPr>
            <w:tcW w:w="1277" w:type="dxa"/>
          </w:tcPr>
          <w:p>
            <w:pPr>
              <w:pStyle w:val="TableParagraph"/>
              <w:ind w:right="94"/>
              <w:rPr>
                <w:sz w:val="21"/>
              </w:rPr>
            </w:pPr>
            <w:r>
              <w:rPr>
                <w:sz w:val="21"/>
              </w:rPr>
              <w:t>235,230</w:t>
            </w:r>
          </w:p>
        </w:tc>
        <w:tc>
          <w:tcPr>
            <w:tcW w:w="1841" w:type="dxa"/>
          </w:tcPr>
          <w:p>
            <w:pPr>
              <w:pStyle w:val="TableParagraph"/>
              <w:ind w:right="91"/>
              <w:rPr>
                <w:sz w:val="21"/>
              </w:rPr>
            </w:pPr>
            <w:r>
              <w:rPr>
                <w:sz w:val="21"/>
              </w:rPr>
              <w:t>12,079,060.50</w:t>
            </w:r>
          </w:p>
        </w:tc>
        <w:tc>
          <w:tcPr>
            <w:tcW w:w="1561" w:type="dxa"/>
          </w:tcPr>
          <w:p>
            <w:pPr>
              <w:pStyle w:val="TableParagraph"/>
              <w:ind w:right="94"/>
              <w:rPr>
                <w:sz w:val="21"/>
              </w:rPr>
            </w:pPr>
            <w:r>
              <w:rPr>
                <w:sz w:val="21"/>
              </w:rPr>
              <w:t>5.70</w:t>
            </w:r>
          </w:p>
        </w:tc>
      </w:tr>
      <w:tr>
        <w:trPr>
          <w:trHeight w:val="313" w:hRule="atLeast"/>
        </w:trPr>
        <w:tc>
          <w:tcPr>
            <w:tcW w:w="708" w:type="dxa"/>
          </w:tcPr>
          <w:p>
            <w:pPr>
              <w:pStyle w:val="TableParagraph"/>
              <w:spacing w:before="36"/>
              <w:ind w:left="7"/>
              <w:jc w:val="center"/>
              <w:rPr>
                <w:sz w:val="21"/>
              </w:rPr>
            </w:pPr>
            <w:r>
              <w:rPr>
                <w:w w:val="100"/>
                <w:sz w:val="21"/>
              </w:rPr>
              <w:t>2</w:t>
            </w:r>
          </w:p>
        </w:tc>
        <w:tc>
          <w:tcPr>
            <w:tcW w:w="1277" w:type="dxa"/>
          </w:tcPr>
          <w:p>
            <w:pPr>
              <w:pStyle w:val="TableParagraph"/>
              <w:spacing w:before="36"/>
              <w:ind w:left="189" w:right="180"/>
              <w:jc w:val="center"/>
              <w:rPr>
                <w:sz w:val="21"/>
              </w:rPr>
            </w:pPr>
            <w:r>
              <w:rPr>
                <w:sz w:val="21"/>
              </w:rPr>
              <w:t>600519</w:t>
            </w:r>
          </w:p>
        </w:tc>
        <w:tc>
          <w:tcPr>
            <w:tcW w:w="1702" w:type="dxa"/>
          </w:tcPr>
          <w:p>
            <w:pPr>
              <w:pStyle w:val="TableParagraph"/>
              <w:spacing w:before="25"/>
              <w:ind w:left="199" w:right="190"/>
              <w:jc w:val="center"/>
              <w:rPr>
                <w:rFonts w:ascii="宋体" w:eastAsia="宋体" w:hint="eastAsia"/>
                <w:sz w:val="21"/>
              </w:rPr>
            </w:pPr>
            <w:r>
              <w:rPr>
                <w:rFonts w:ascii="宋体" w:eastAsia="宋体" w:hint="eastAsia"/>
                <w:sz w:val="21"/>
              </w:rPr>
              <w:t>贵州茅台</w:t>
            </w:r>
          </w:p>
        </w:tc>
        <w:tc>
          <w:tcPr>
            <w:tcW w:w="1277" w:type="dxa"/>
          </w:tcPr>
          <w:p>
            <w:pPr>
              <w:pStyle w:val="TableParagraph"/>
              <w:spacing w:before="36"/>
              <w:ind w:right="94"/>
              <w:rPr>
                <w:sz w:val="21"/>
              </w:rPr>
            </w:pPr>
            <w:r>
              <w:rPr>
                <w:sz w:val="21"/>
              </w:rPr>
              <w:t>6,774</w:t>
            </w:r>
          </w:p>
        </w:tc>
        <w:tc>
          <w:tcPr>
            <w:tcW w:w="1841" w:type="dxa"/>
          </w:tcPr>
          <w:p>
            <w:pPr>
              <w:pStyle w:val="TableParagraph"/>
              <w:spacing w:before="36"/>
              <w:ind w:right="91"/>
              <w:rPr>
                <w:sz w:val="21"/>
              </w:rPr>
            </w:pPr>
            <w:r>
              <w:rPr>
                <w:sz w:val="21"/>
              </w:rPr>
              <w:t>9,909,549.12</w:t>
            </w:r>
          </w:p>
        </w:tc>
        <w:tc>
          <w:tcPr>
            <w:tcW w:w="1561" w:type="dxa"/>
          </w:tcPr>
          <w:p>
            <w:pPr>
              <w:pStyle w:val="TableParagraph"/>
              <w:spacing w:before="36"/>
              <w:ind w:right="94"/>
              <w:rPr>
                <w:sz w:val="21"/>
              </w:rPr>
            </w:pPr>
            <w:r>
              <w:rPr>
                <w:sz w:val="21"/>
              </w:rPr>
              <w:t>4.67</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189" w:right="180"/>
              <w:jc w:val="center"/>
              <w:rPr>
                <w:sz w:val="21"/>
              </w:rPr>
            </w:pPr>
            <w:r>
              <w:rPr>
                <w:sz w:val="21"/>
              </w:rPr>
              <w:t>00700</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腾讯控股</w:t>
            </w:r>
          </w:p>
        </w:tc>
        <w:tc>
          <w:tcPr>
            <w:tcW w:w="1277" w:type="dxa"/>
          </w:tcPr>
          <w:p>
            <w:pPr>
              <w:pStyle w:val="TableParagraph"/>
              <w:ind w:right="94"/>
              <w:rPr>
                <w:sz w:val="21"/>
              </w:rPr>
            </w:pPr>
            <w:r>
              <w:rPr>
                <w:sz w:val="21"/>
              </w:rPr>
              <w:t>17,700</w:t>
            </w:r>
          </w:p>
        </w:tc>
        <w:tc>
          <w:tcPr>
            <w:tcW w:w="1841" w:type="dxa"/>
          </w:tcPr>
          <w:p>
            <w:pPr>
              <w:pStyle w:val="TableParagraph"/>
              <w:ind w:right="91"/>
              <w:rPr>
                <w:sz w:val="21"/>
              </w:rPr>
            </w:pPr>
            <w:r>
              <w:rPr>
                <w:sz w:val="21"/>
              </w:rPr>
              <w:t>8,061,308.96</w:t>
            </w:r>
          </w:p>
        </w:tc>
        <w:tc>
          <w:tcPr>
            <w:tcW w:w="1561" w:type="dxa"/>
          </w:tcPr>
          <w:p>
            <w:pPr>
              <w:pStyle w:val="TableParagraph"/>
              <w:ind w:right="94"/>
              <w:rPr>
                <w:sz w:val="21"/>
              </w:rPr>
            </w:pPr>
            <w:r>
              <w:rPr>
                <w:sz w:val="21"/>
              </w:rPr>
              <w:t>3.80</w:t>
            </w:r>
          </w:p>
        </w:tc>
      </w:tr>
      <w:tr>
        <w:trPr>
          <w:trHeight w:val="311" w:hRule="atLeast"/>
        </w:trPr>
        <w:tc>
          <w:tcPr>
            <w:tcW w:w="708" w:type="dxa"/>
          </w:tcPr>
          <w:p>
            <w:pPr>
              <w:pStyle w:val="TableParagraph"/>
              <w:ind w:left="7"/>
              <w:jc w:val="center"/>
              <w:rPr>
                <w:sz w:val="21"/>
              </w:rPr>
            </w:pPr>
            <w:r>
              <w:rPr>
                <w:w w:val="100"/>
                <w:sz w:val="21"/>
              </w:rPr>
              <w:t>4</w:t>
            </w:r>
          </w:p>
        </w:tc>
        <w:tc>
          <w:tcPr>
            <w:tcW w:w="1277" w:type="dxa"/>
          </w:tcPr>
          <w:p>
            <w:pPr>
              <w:pStyle w:val="TableParagraph"/>
              <w:ind w:left="189" w:right="180"/>
              <w:jc w:val="center"/>
              <w:rPr>
                <w:sz w:val="21"/>
              </w:rPr>
            </w:pPr>
            <w:r>
              <w:rPr>
                <w:sz w:val="21"/>
              </w:rPr>
              <w:t>03690</w:t>
            </w:r>
          </w:p>
        </w:tc>
        <w:tc>
          <w:tcPr>
            <w:tcW w:w="1702" w:type="dxa"/>
          </w:tcPr>
          <w:p>
            <w:pPr>
              <w:pStyle w:val="TableParagraph"/>
              <w:spacing w:before="22"/>
              <w:ind w:left="202" w:right="190"/>
              <w:jc w:val="center"/>
              <w:rPr>
                <w:rFonts w:ascii="宋体" w:eastAsia="宋体" w:hint="eastAsia"/>
                <w:sz w:val="21"/>
              </w:rPr>
            </w:pPr>
            <w:r>
              <w:rPr>
                <w:rFonts w:ascii="宋体" w:eastAsia="宋体" w:hint="eastAsia"/>
                <w:sz w:val="21"/>
              </w:rPr>
              <w:t>美团点评－Ｗ</w:t>
            </w:r>
          </w:p>
        </w:tc>
        <w:tc>
          <w:tcPr>
            <w:tcW w:w="1277" w:type="dxa"/>
          </w:tcPr>
          <w:p>
            <w:pPr>
              <w:pStyle w:val="TableParagraph"/>
              <w:ind w:right="94"/>
              <w:rPr>
                <w:sz w:val="21"/>
              </w:rPr>
            </w:pPr>
            <w:r>
              <w:rPr>
                <w:sz w:val="21"/>
              </w:rPr>
              <w:t>39,000</w:t>
            </w:r>
          </w:p>
        </w:tc>
        <w:tc>
          <w:tcPr>
            <w:tcW w:w="1841" w:type="dxa"/>
          </w:tcPr>
          <w:p>
            <w:pPr>
              <w:pStyle w:val="TableParagraph"/>
              <w:ind w:right="91"/>
              <w:rPr>
                <w:sz w:val="21"/>
              </w:rPr>
            </w:pPr>
            <w:r>
              <w:rPr>
                <w:sz w:val="21"/>
              </w:rPr>
              <w:t>6,123,793.10</w:t>
            </w:r>
          </w:p>
        </w:tc>
        <w:tc>
          <w:tcPr>
            <w:tcW w:w="1561" w:type="dxa"/>
          </w:tcPr>
          <w:p>
            <w:pPr>
              <w:pStyle w:val="TableParagraph"/>
              <w:ind w:right="94"/>
              <w:rPr>
                <w:sz w:val="21"/>
              </w:rPr>
            </w:pPr>
            <w:r>
              <w:rPr>
                <w:sz w:val="21"/>
              </w:rPr>
              <w:t>2.89</w:t>
            </w:r>
          </w:p>
        </w:tc>
      </w:tr>
      <w:tr>
        <w:trPr>
          <w:trHeight w:val="311" w:hRule="atLeast"/>
        </w:trPr>
        <w:tc>
          <w:tcPr>
            <w:tcW w:w="708" w:type="dxa"/>
          </w:tcPr>
          <w:p>
            <w:pPr>
              <w:pStyle w:val="TableParagraph"/>
              <w:ind w:left="7"/>
              <w:jc w:val="center"/>
              <w:rPr>
                <w:sz w:val="21"/>
              </w:rPr>
            </w:pPr>
            <w:r>
              <w:rPr>
                <w:w w:val="100"/>
                <w:sz w:val="21"/>
              </w:rPr>
              <w:t>5</w:t>
            </w:r>
          </w:p>
        </w:tc>
        <w:tc>
          <w:tcPr>
            <w:tcW w:w="1277" w:type="dxa"/>
          </w:tcPr>
          <w:p>
            <w:pPr>
              <w:pStyle w:val="TableParagraph"/>
              <w:ind w:left="189" w:right="180"/>
              <w:jc w:val="center"/>
              <w:rPr>
                <w:sz w:val="21"/>
              </w:rPr>
            </w:pPr>
            <w:r>
              <w:rPr>
                <w:sz w:val="21"/>
              </w:rPr>
              <w:t>300738</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奥飞数据</w:t>
            </w:r>
          </w:p>
        </w:tc>
        <w:tc>
          <w:tcPr>
            <w:tcW w:w="1277" w:type="dxa"/>
          </w:tcPr>
          <w:p>
            <w:pPr>
              <w:pStyle w:val="TableParagraph"/>
              <w:ind w:right="94"/>
              <w:rPr>
                <w:sz w:val="21"/>
              </w:rPr>
            </w:pPr>
            <w:r>
              <w:rPr>
                <w:sz w:val="21"/>
              </w:rPr>
              <w:t>84,400</w:t>
            </w:r>
          </w:p>
        </w:tc>
        <w:tc>
          <w:tcPr>
            <w:tcW w:w="1841" w:type="dxa"/>
          </w:tcPr>
          <w:p>
            <w:pPr>
              <w:pStyle w:val="TableParagraph"/>
              <w:ind w:right="91"/>
              <w:rPr>
                <w:sz w:val="21"/>
              </w:rPr>
            </w:pPr>
            <w:r>
              <w:rPr>
                <w:sz w:val="21"/>
              </w:rPr>
              <w:t>4,868,192.00</w:t>
            </w:r>
          </w:p>
        </w:tc>
        <w:tc>
          <w:tcPr>
            <w:tcW w:w="1561" w:type="dxa"/>
          </w:tcPr>
          <w:p>
            <w:pPr>
              <w:pStyle w:val="TableParagraph"/>
              <w:ind w:right="94"/>
              <w:rPr>
                <w:sz w:val="21"/>
              </w:rPr>
            </w:pPr>
            <w:r>
              <w:rPr>
                <w:sz w:val="21"/>
              </w:rPr>
              <w:t>2.30</w:t>
            </w:r>
          </w:p>
        </w:tc>
      </w:tr>
      <w:tr>
        <w:trPr>
          <w:trHeight w:val="311" w:hRule="atLeast"/>
        </w:trPr>
        <w:tc>
          <w:tcPr>
            <w:tcW w:w="708" w:type="dxa"/>
          </w:tcPr>
          <w:p>
            <w:pPr>
              <w:pStyle w:val="TableParagraph"/>
              <w:ind w:left="7"/>
              <w:jc w:val="center"/>
              <w:rPr>
                <w:sz w:val="21"/>
              </w:rPr>
            </w:pPr>
            <w:r>
              <w:rPr>
                <w:w w:val="100"/>
                <w:sz w:val="21"/>
              </w:rPr>
              <w:t>6</w:t>
            </w:r>
          </w:p>
        </w:tc>
        <w:tc>
          <w:tcPr>
            <w:tcW w:w="1277" w:type="dxa"/>
          </w:tcPr>
          <w:p>
            <w:pPr>
              <w:pStyle w:val="TableParagraph"/>
              <w:ind w:left="189" w:right="180"/>
              <w:jc w:val="center"/>
              <w:rPr>
                <w:sz w:val="21"/>
              </w:rPr>
            </w:pPr>
            <w:r>
              <w:rPr>
                <w:sz w:val="21"/>
              </w:rPr>
              <w:t>00268</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金蝶国际</w:t>
            </w:r>
          </w:p>
        </w:tc>
        <w:tc>
          <w:tcPr>
            <w:tcW w:w="1277" w:type="dxa"/>
          </w:tcPr>
          <w:p>
            <w:pPr>
              <w:pStyle w:val="TableParagraph"/>
              <w:ind w:right="94"/>
              <w:rPr>
                <w:sz w:val="21"/>
              </w:rPr>
            </w:pPr>
            <w:r>
              <w:rPr>
                <w:sz w:val="21"/>
              </w:rPr>
              <w:t>236,000</w:t>
            </w:r>
          </w:p>
        </w:tc>
        <w:tc>
          <w:tcPr>
            <w:tcW w:w="1841" w:type="dxa"/>
          </w:tcPr>
          <w:p>
            <w:pPr>
              <w:pStyle w:val="TableParagraph"/>
              <w:ind w:right="91"/>
              <w:rPr>
                <w:sz w:val="21"/>
              </w:rPr>
            </w:pPr>
            <w:r>
              <w:rPr>
                <w:sz w:val="21"/>
              </w:rPr>
              <w:t>3,884,604.56</w:t>
            </w:r>
          </w:p>
        </w:tc>
        <w:tc>
          <w:tcPr>
            <w:tcW w:w="1561" w:type="dxa"/>
          </w:tcPr>
          <w:p>
            <w:pPr>
              <w:pStyle w:val="TableParagraph"/>
              <w:ind w:right="94"/>
              <w:rPr>
                <w:sz w:val="21"/>
              </w:rPr>
            </w:pPr>
            <w:r>
              <w:rPr>
                <w:sz w:val="21"/>
              </w:rPr>
              <w:t>1.83</w:t>
            </w:r>
          </w:p>
        </w:tc>
      </w:tr>
      <w:tr>
        <w:trPr>
          <w:trHeight w:val="311" w:hRule="atLeast"/>
        </w:trPr>
        <w:tc>
          <w:tcPr>
            <w:tcW w:w="708" w:type="dxa"/>
          </w:tcPr>
          <w:p>
            <w:pPr>
              <w:pStyle w:val="TableParagraph"/>
              <w:ind w:left="7"/>
              <w:jc w:val="center"/>
              <w:rPr>
                <w:sz w:val="21"/>
              </w:rPr>
            </w:pPr>
            <w:r>
              <w:rPr>
                <w:w w:val="100"/>
                <w:sz w:val="21"/>
              </w:rPr>
              <w:t>7</w:t>
            </w:r>
          </w:p>
        </w:tc>
        <w:tc>
          <w:tcPr>
            <w:tcW w:w="1277" w:type="dxa"/>
          </w:tcPr>
          <w:p>
            <w:pPr>
              <w:pStyle w:val="TableParagraph"/>
              <w:ind w:left="189" w:right="180"/>
              <w:jc w:val="center"/>
              <w:rPr>
                <w:sz w:val="21"/>
              </w:rPr>
            </w:pPr>
            <w:r>
              <w:rPr>
                <w:sz w:val="21"/>
              </w:rPr>
              <w:t>01268</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美东汽车</w:t>
            </w:r>
          </w:p>
        </w:tc>
        <w:tc>
          <w:tcPr>
            <w:tcW w:w="1277" w:type="dxa"/>
          </w:tcPr>
          <w:p>
            <w:pPr>
              <w:pStyle w:val="TableParagraph"/>
              <w:ind w:right="94"/>
              <w:rPr>
                <w:sz w:val="21"/>
              </w:rPr>
            </w:pPr>
            <w:r>
              <w:rPr>
                <w:sz w:val="21"/>
              </w:rPr>
              <w:t>202,000</w:t>
            </w:r>
          </w:p>
        </w:tc>
        <w:tc>
          <w:tcPr>
            <w:tcW w:w="1841" w:type="dxa"/>
          </w:tcPr>
          <w:p>
            <w:pPr>
              <w:pStyle w:val="TableParagraph"/>
              <w:ind w:right="91"/>
              <w:rPr>
                <w:sz w:val="21"/>
              </w:rPr>
            </w:pPr>
            <w:r>
              <w:rPr>
                <w:sz w:val="21"/>
              </w:rPr>
              <w:t>3,505,782.72</w:t>
            </w:r>
          </w:p>
        </w:tc>
        <w:tc>
          <w:tcPr>
            <w:tcW w:w="1561" w:type="dxa"/>
          </w:tcPr>
          <w:p>
            <w:pPr>
              <w:pStyle w:val="TableParagraph"/>
              <w:ind w:right="94"/>
              <w:rPr>
                <w:sz w:val="21"/>
              </w:rPr>
            </w:pPr>
            <w:r>
              <w:rPr>
                <w:sz w:val="21"/>
              </w:rPr>
              <w:t>1.65</w:t>
            </w:r>
          </w:p>
        </w:tc>
      </w:tr>
      <w:tr>
        <w:trPr>
          <w:trHeight w:val="313" w:hRule="atLeast"/>
        </w:trPr>
        <w:tc>
          <w:tcPr>
            <w:tcW w:w="708" w:type="dxa"/>
          </w:tcPr>
          <w:p>
            <w:pPr>
              <w:pStyle w:val="TableParagraph"/>
              <w:spacing w:before="36"/>
              <w:ind w:left="7"/>
              <w:jc w:val="center"/>
              <w:rPr>
                <w:sz w:val="21"/>
              </w:rPr>
            </w:pPr>
            <w:r>
              <w:rPr>
                <w:w w:val="100"/>
                <w:sz w:val="21"/>
              </w:rPr>
              <w:t>8</w:t>
            </w:r>
          </w:p>
        </w:tc>
        <w:tc>
          <w:tcPr>
            <w:tcW w:w="1277" w:type="dxa"/>
          </w:tcPr>
          <w:p>
            <w:pPr>
              <w:pStyle w:val="TableParagraph"/>
              <w:spacing w:before="36"/>
              <w:ind w:left="189" w:right="180"/>
              <w:jc w:val="center"/>
              <w:rPr>
                <w:sz w:val="21"/>
              </w:rPr>
            </w:pPr>
            <w:r>
              <w:rPr>
                <w:sz w:val="21"/>
              </w:rPr>
              <w:t>000661</w:t>
            </w:r>
          </w:p>
        </w:tc>
        <w:tc>
          <w:tcPr>
            <w:tcW w:w="1702" w:type="dxa"/>
          </w:tcPr>
          <w:p>
            <w:pPr>
              <w:pStyle w:val="TableParagraph"/>
              <w:spacing w:before="25"/>
              <w:ind w:left="199" w:right="190"/>
              <w:jc w:val="center"/>
              <w:rPr>
                <w:rFonts w:ascii="宋体" w:eastAsia="宋体" w:hint="eastAsia"/>
                <w:sz w:val="21"/>
              </w:rPr>
            </w:pPr>
            <w:r>
              <w:rPr>
                <w:rFonts w:ascii="宋体" w:eastAsia="宋体" w:hint="eastAsia"/>
                <w:sz w:val="21"/>
              </w:rPr>
              <w:t>长春高新</w:t>
            </w:r>
          </w:p>
        </w:tc>
        <w:tc>
          <w:tcPr>
            <w:tcW w:w="1277" w:type="dxa"/>
          </w:tcPr>
          <w:p>
            <w:pPr>
              <w:pStyle w:val="TableParagraph"/>
              <w:spacing w:before="36"/>
              <w:ind w:right="94"/>
              <w:rPr>
                <w:sz w:val="21"/>
              </w:rPr>
            </w:pPr>
            <w:r>
              <w:rPr>
                <w:sz w:val="21"/>
              </w:rPr>
              <w:t>8,000</w:t>
            </w:r>
          </w:p>
        </w:tc>
        <w:tc>
          <w:tcPr>
            <w:tcW w:w="1841" w:type="dxa"/>
          </w:tcPr>
          <w:p>
            <w:pPr>
              <w:pStyle w:val="TableParagraph"/>
              <w:spacing w:before="36"/>
              <w:ind w:right="91"/>
              <w:rPr>
                <w:sz w:val="21"/>
              </w:rPr>
            </w:pPr>
            <w:r>
              <w:rPr>
                <w:sz w:val="21"/>
              </w:rPr>
              <w:t>3,482,400.00</w:t>
            </w:r>
          </w:p>
        </w:tc>
        <w:tc>
          <w:tcPr>
            <w:tcW w:w="1561" w:type="dxa"/>
          </w:tcPr>
          <w:p>
            <w:pPr>
              <w:pStyle w:val="TableParagraph"/>
              <w:spacing w:before="36"/>
              <w:ind w:right="94"/>
              <w:rPr>
                <w:sz w:val="21"/>
              </w:rPr>
            </w:pPr>
            <w:r>
              <w:rPr>
                <w:sz w:val="21"/>
              </w:rPr>
              <w:t>1.64</w:t>
            </w:r>
          </w:p>
        </w:tc>
      </w:tr>
      <w:tr>
        <w:trPr>
          <w:trHeight w:val="311" w:hRule="atLeast"/>
        </w:trPr>
        <w:tc>
          <w:tcPr>
            <w:tcW w:w="708" w:type="dxa"/>
          </w:tcPr>
          <w:p>
            <w:pPr>
              <w:pStyle w:val="TableParagraph"/>
              <w:ind w:left="7"/>
              <w:jc w:val="center"/>
              <w:rPr>
                <w:sz w:val="21"/>
              </w:rPr>
            </w:pPr>
            <w:r>
              <w:rPr>
                <w:w w:val="100"/>
                <w:sz w:val="21"/>
              </w:rPr>
              <w:t>9</w:t>
            </w:r>
          </w:p>
        </w:tc>
        <w:tc>
          <w:tcPr>
            <w:tcW w:w="1277" w:type="dxa"/>
          </w:tcPr>
          <w:p>
            <w:pPr>
              <w:pStyle w:val="TableParagraph"/>
              <w:ind w:left="189" w:right="180"/>
              <w:jc w:val="center"/>
              <w:rPr>
                <w:sz w:val="21"/>
              </w:rPr>
            </w:pPr>
            <w:r>
              <w:rPr>
                <w:sz w:val="21"/>
              </w:rPr>
              <w:t>600276</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恒瑞医药</w:t>
            </w:r>
          </w:p>
        </w:tc>
        <w:tc>
          <w:tcPr>
            <w:tcW w:w="1277" w:type="dxa"/>
          </w:tcPr>
          <w:p>
            <w:pPr>
              <w:pStyle w:val="TableParagraph"/>
              <w:ind w:right="94"/>
              <w:rPr>
                <w:sz w:val="21"/>
              </w:rPr>
            </w:pPr>
            <w:r>
              <w:rPr>
                <w:sz w:val="21"/>
              </w:rPr>
              <w:t>32,700</w:t>
            </w:r>
          </w:p>
        </w:tc>
        <w:tc>
          <w:tcPr>
            <w:tcW w:w="1841" w:type="dxa"/>
          </w:tcPr>
          <w:p>
            <w:pPr>
              <w:pStyle w:val="TableParagraph"/>
              <w:ind w:right="91"/>
              <w:rPr>
                <w:sz w:val="21"/>
              </w:rPr>
            </w:pPr>
            <w:r>
              <w:rPr>
                <w:sz w:val="21"/>
              </w:rPr>
              <w:t>3,018,210.00</w:t>
            </w:r>
          </w:p>
        </w:tc>
        <w:tc>
          <w:tcPr>
            <w:tcW w:w="1561" w:type="dxa"/>
          </w:tcPr>
          <w:p>
            <w:pPr>
              <w:pStyle w:val="TableParagraph"/>
              <w:ind w:right="94"/>
              <w:rPr>
                <w:sz w:val="21"/>
              </w:rPr>
            </w:pPr>
            <w:r>
              <w:rPr>
                <w:sz w:val="21"/>
              </w:rPr>
              <w:t>1.42</w:t>
            </w:r>
          </w:p>
        </w:tc>
      </w:tr>
      <w:tr>
        <w:trPr>
          <w:trHeight w:val="311" w:hRule="atLeast"/>
        </w:trPr>
        <w:tc>
          <w:tcPr>
            <w:tcW w:w="708" w:type="dxa"/>
          </w:tcPr>
          <w:p>
            <w:pPr>
              <w:pStyle w:val="TableParagraph"/>
              <w:ind w:left="113" w:right="106"/>
              <w:jc w:val="center"/>
              <w:rPr>
                <w:sz w:val="21"/>
              </w:rPr>
            </w:pPr>
            <w:r>
              <w:rPr>
                <w:sz w:val="21"/>
              </w:rPr>
              <w:t>10</w:t>
            </w:r>
          </w:p>
        </w:tc>
        <w:tc>
          <w:tcPr>
            <w:tcW w:w="1277" w:type="dxa"/>
          </w:tcPr>
          <w:p>
            <w:pPr>
              <w:pStyle w:val="TableParagraph"/>
              <w:ind w:left="189" w:right="180"/>
              <w:jc w:val="center"/>
              <w:rPr>
                <w:sz w:val="21"/>
              </w:rPr>
            </w:pPr>
            <w:r>
              <w:rPr>
                <w:sz w:val="21"/>
              </w:rPr>
              <w:t>300142</w:t>
            </w:r>
          </w:p>
        </w:tc>
        <w:tc>
          <w:tcPr>
            <w:tcW w:w="1702" w:type="dxa"/>
          </w:tcPr>
          <w:p>
            <w:pPr>
              <w:pStyle w:val="TableParagraph"/>
              <w:spacing w:before="22"/>
              <w:ind w:left="199" w:right="190"/>
              <w:jc w:val="center"/>
              <w:rPr>
                <w:rFonts w:ascii="宋体" w:eastAsia="宋体" w:hint="eastAsia"/>
                <w:sz w:val="21"/>
              </w:rPr>
            </w:pPr>
            <w:r>
              <w:rPr>
                <w:rFonts w:ascii="宋体" w:eastAsia="宋体" w:hint="eastAsia"/>
                <w:sz w:val="21"/>
              </w:rPr>
              <w:t>沃森生物</w:t>
            </w:r>
          </w:p>
        </w:tc>
        <w:tc>
          <w:tcPr>
            <w:tcW w:w="1277" w:type="dxa"/>
          </w:tcPr>
          <w:p>
            <w:pPr>
              <w:pStyle w:val="TableParagraph"/>
              <w:ind w:right="94"/>
              <w:rPr>
                <w:sz w:val="21"/>
              </w:rPr>
            </w:pPr>
            <w:r>
              <w:rPr>
                <w:sz w:val="21"/>
              </w:rPr>
              <w:t>54,800</w:t>
            </w:r>
          </w:p>
        </w:tc>
        <w:tc>
          <w:tcPr>
            <w:tcW w:w="1841" w:type="dxa"/>
          </w:tcPr>
          <w:p>
            <w:pPr>
              <w:pStyle w:val="TableParagraph"/>
              <w:ind w:right="91"/>
              <w:rPr>
                <w:sz w:val="21"/>
              </w:rPr>
            </w:pPr>
            <w:r>
              <w:rPr>
                <w:sz w:val="21"/>
              </w:rPr>
              <w:t>2,869,328.00</w:t>
            </w:r>
          </w:p>
        </w:tc>
        <w:tc>
          <w:tcPr>
            <w:tcW w:w="1561" w:type="dxa"/>
          </w:tcPr>
          <w:p>
            <w:pPr>
              <w:pStyle w:val="TableParagraph"/>
              <w:ind w:right="94"/>
              <w:rPr>
                <w:sz w:val="21"/>
              </w:rPr>
            </w:pPr>
            <w:r>
              <w:rPr>
                <w:sz w:val="21"/>
              </w:rPr>
              <w:t>1.35</w:t>
            </w:r>
          </w:p>
        </w:tc>
      </w:tr>
    </w:tbl>
    <w:p>
      <w:pPr>
        <w:pStyle w:val="BodyText"/>
        <w:spacing w:before="99"/>
        <w:ind w:left="680"/>
      </w:pPr>
      <w:r>
        <w:rPr/>
        <w:t>注：所用证券代码采用当地市场代码。</w:t>
      </w:r>
    </w:p>
    <w:p>
      <w:pPr>
        <w:pStyle w:val="BodyText"/>
        <w:spacing w:before="7"/>
        <w:rPr>
          <w:sz w:val="15"/>
        </w:rPr>
      </w:pPr>
    </w:p>
    <w:p>
      <w:pPr>
        <w:pStyle w:val="ListParagraph"/>
        <w:numPr>
          <w:ilvl w:val="1"/>
          <w:numId w:val="23"/>
        </w:numPr>
        <w:tabs>
          <w:tab w:pos="630" w:val="left" w:leader="none"/>
        </w:tabs>
        <w:spacing w:line="240" w:lineRule="auto" w:before="0" w:after="0"/>
        <w:ind w:left="630" w:right="0" w:hanging="370"/>
        <w:jc w:val="left"/>
        <w:rPr>
          <w:rFonts w:ascii="Times New Roman" w:eastAsia="Times New Roman"/>
          <w:sz w:val="21"/>
        </w:rPr>
      </w:pPr>
      <w:r>
        <w:rPr>
          <w:spacing w:val="-3"/>
          <w:sz w:val="21"/>
        </w:rPr>
        <w:t>报告期末按债券品种分类的债券投资组合</w:t>
      </w:r>
    </w:p>
    <w:p>
      <w:pPr>
        <w:pStyle w:val="BodyText"/>
        <w:spacing w:before="10"/>
        <w:rPr>
          <w:sz w:val="7"/>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2999"/>
        <w:gridCol w:w="2951"/>
        <w:gridCol w:w="1545"/>
      </w:tblGrid>
      <w:tr>
        <w:trPr>
          <w:trHeight w:val="964" w:hRule="atLeast"/>
        </w:trPr>
        <w:tc>
          <w:tcPr>
            <w:tcW w:w="838" w:type="dxa"/>
          </w:tcPr>
          <w:p>
            <w:pPr>
              <w:pStyle w:val="TableParagraph"/>
              <w:spacing w:before="7"/>
              <w:jc w:val="left"/>
              <w:rPr>
                <w:rFonts w:ascii="宋体"/>
                <w:sz w:val="28"/>
              </w:rPr>
            </w:pPr>
          </w:p>
          <w:p>
            <w:pPr>
              <w:pStyle w:val="TableParagraph"/>
              <w:spacing w:before="0"/>
              <w:ind w:left="196" w:right="171"/>
              <w:jc w:val="center"/>
              <w:rPr>
                <w:rFonts w:ascii="宋体" w:eastAsia="宋体" w:hint="eastAsia"/>
                <w:sz w:val="21"/>
              </w:rPr>
            </w:pPr>
            <w:r>
              <w:rPr>
                <w:rFonts w:ascii="宋体" w:eastAsia="宋体" w:hint="eastAsia"/>
                <w:sz w:val="21"/>
              </w:rPr>
              <w:t>序号</w:t>
            </w:r>
          </w:p>
        </w:tc>
        <w:tc>
          <w:tcPr>
            <w:tcW w:w="2999" w:type="dxa"/>
          </w:tcPr>
          <w:p>
            <w:pPr>
              <w:pStyle w:val="TableParagraph"/>
              <w:spacing w:before="7"/>
              <w:jc w:val="left"/>
              <w:rPr>
                <w:rFonts w:ascii="宋体"/>
                <w:sz w:val="28"/>
              </w:rPr>
            </w:pPr>
          </w:p>
          <w:p>
            <w:pPr>
              <w:pStyle w:val="TableParagraph"/>
              <w:spacing w:before="0"/>
              <w:ind w:left="1067" w:right="1041"/>
              <w:jc w:val="center"/>
              <w:rPr>
                <w:rFonts w:ascii="宋体" w:eastAsia="宋体" w:hint="eastAsia"/>
                <w:sz w:val="21"/>
              </w:rPr>
            </w:pPr>
            <w:r>
              <w:rPr>
                <w:rFonts w:ascii="宋体" w:eastAsia="宋体" w:hint="eastAsia"/>
                <w:sz w:val="21"/>
              </w:rPr>
              <w:t>债券品种</w:t>
            </w:r>
          </w:p>
        </w:tc>
        <w:tc>
          <w:tcPr>
            <w:tcW w:w="2951" w:type="dxa"/>
          </w:tcPr>
          <w:p>
            <w:pPr>
              <w:pStyle w:val="TableParagraph"/>
              <w:spacing w:before="7"/>
              <w:jc w:val="left"/>
              <w:rPr>
                <w:rFonts w:ascii="宋体"/>
                <w:sz w:val="28"/>
              </w:rPr>
            </w:pPr>
          </w:p>
          <w:p>
            <w:pPr>
              <w:pStyle w:val="TableParagraph"/>
              <w:spacing w:before="0"/>
              <w:ind w:left="886"/>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45" w:type="dxa"/>
          </w:tcPr>
          <w:p>
            <w:pPr>
              <w:pStyle w:val="TableParagraph"/>
              <w:spacing w:before="130"/>
              <w:ind w:left="127" w:right="107"/>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1"/>
              <w:ind w:left="127" w:right="10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498" w:hRule="atLeast"/>
        </w:trPr>
        <w:tc>
          <w:tcPr>
            <w:tcW w:w="838" w:type="dxa"/>
          </w:tcPr>
          <w:p>
            <w:pPr>
              <w:pStyle w:val="TableParagraph"/>
              <w:spacing w:before="144"/>
              <w:ind w:left="21"/>
              <w:jc w:val="center"/>
              <w:rPr>
                <w:sz w:val="21"/>
              </w:rPr>
            </w:pPr>
            <w:r>
              <w:rPr>
                <w:w w:val="100"/>
                <w:sz w:val="21"/>
              </w:rPr>
              <w:t>1</w:t>
            </w:r>
          </w:p>
        </w:tc>
        <w:tc>
          <w:tcPr>
            <w:tcW w:w="2999" w:type="dxa"/>
          </w:tcPr>
          <w:p>
            <w:pPr>
              <w:pStyle w:val="TableParagraph"/>
              <w:spacing w:before="133"/>
              <w:ind w:left="124"/>
              <w:jc w:val="left"/>
              <w:rPr>
                <w:rFonts w:ascii="宋体" w:eastAsia="宋体" w:hint="eastAsia"/>
                <w:sz w:val="21"/>
              </w:rPr>
            </w:pPr>
            <w:r>
              <w:rPr>
                <w:rFonts w:ascii="宋体" w:eastAsia="宋体" w:hint="eastAsia"/>
                <w:sz w:val="21"/>
              </w:rPr>
              <w:t>国家债券</w:t>
            </w:r>
          </w:p>
        </w:tc>
        <w:tc>
          <w:tcPr>
            <w:tcW w:w="2951" w:type="dxa"/>
          </w:tcPr>
          <w:p>
            <w:pPr>
              <w:pStyle w:val="TableParagraph"/>
              <w:spacing w:before="144"/>
              <w:ind w:right="97"/>
              <w:rPr>
                <w:sz w:val="21"/>
              </w:rPr>
            </w:pPr>
            <w:r>
              <w:rPr>
                <w:w w:val="100"/>
                <w:sz w:val="21"/>
              </w:rPr>
              <w:t>-</w:t>
            </w:r>
          </w:p>
        </w:tc>
        <w:tc>
          <w:tcPr>
            <w:tcW w:w="1545" w:type="dxa"/>
          </w:tcPr>
          <w:p>
            <w:pPr>
              <w:pStyle w:val="TableParagraph"/>
              <w:spacing w:before="144"/>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2</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央行票据</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7" w:hRule="atLeast"/>
        </w:trPr>
        <w:tc>
          <w:tcPr>
            <w:tcW w:w="838" w:type="dxa"/>
          </w:tcPr>
          <w:p>
            <w:pPr>
              <w:pStyle w:val="TableParagraph"/>
              <w:spacing w:before="142"/>
              <w:ind w:left="21"/>
              <w:jc w:val="center"/>
              <w:rPr>
                <w:sz w:val="21"/>
              </w:rPr>
            </w:pPr>
            <w:r>
              <w:rPr>
                <w:w w:val="100"/>
                <w:sz w:val="21"/>
              </w:rPr>
              <w:t>3</w:t>
            </w:r>
          </w:p>
        </w:tc>
        <w:tc>
          <w:tcPr>
            <w:tcW w:w="2999" w:type="dxa"/>
          </w:tcPr>
          <w:p>
            <w:pPr>
              <w:pStyle w:val="TableParagraph"/>
              <w:spacing w:before="131"/>
              <w:ind w:left="124"/>
              <w:jc w:val="left"/>
              <w:rPr>
                <w:rFonts w:ascii="宋体" w:eastAsia="宋体" w:hint="eastAsia"/>
                <w:sz w:val="21"/>
              </w:rPr>
            </w:pPr>
            <w:r>
              <w:rPr>
                <w:rFonts w:ascii="宋体" w:eastAsia="宋体" w:hint="eastAsia"/>
                <w:sz w:val="21"/>
              </w:rPr>
              <w:t>金融债券</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6" w:hRule="atLeast"/>
        </w:trPr>
        <w:tc>
          <w:tcPr>
            <w:tcW w:w="838" w:type="dxa"/>
          </w:tcPr>
          <w:p>
            <w:pPr>
              <w:pStyle w:val="TableParagraph"/>
              <w:spacing w:before="0"/>
              <w:jc w:val="left"/>
              <w:rPr>
                <w:sz w:val="20"/>
              </w:rPr>
            </w:pP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其中：政策性金融债</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8" w:hRule="atLeast"/>
        </w:trPr>
        <w:tc>
          <w:tcPr>
            <w:tcW w:w="838" w:type="dxa"/>
          </w:tcPr>
          <w:p>
            <w:pPr>
              <w:pStyle w:val="TableParagraph"/>
              <w:spacing w:before="144"/>
              <w:ind w:left="21"/>
              <w:jc w:val="center"/>
              <w:rPr>
                <w:sz w:val="21"/>
              </w:rPr>
            </w:pPr>
            <w:r>
              <w:rPr>
                <w:w w:val="100"/>
                <w:sz w:val="21"/>
              </w:rPr>
              <w:t>4</w:t>
            </w:r>
          </w:p>
        </w:tc>
        <w:tc>
          <w:tcPr>
            <w:tcW w:w="2999" w:type="dxa"/>
          </w:tcPr>
          <w:p>
            <w:pPr>
              <w:pStyle w:val="TableParagraph"/>
              <w:spacing w:before="133"/>
              <w:ind w:left="124"/>
              <w:jc w:val="left"/>
              <w:rPr>
                <w:rFonts w:ascii="宋体" w:eastAsia="宋体" w:hint="eastAsia"/>
                <w:sz w:val="21"/>
              </w:rPr>
            </w:pPr>
            <w:r>
              <w:rPr>
                <w:rFonts w:ascii="宋体" w:eastAsia="宋体" w:hint="eastAsia"/>
                <w:sz w:val="21"/>
              </w:rPr>
              <w:t>企业债券</w:t>
            </w:r>
          </w:p>
        </w:tc>
        <w:tc>
          <w:tcPr>
            <w:tcW w:w="2951" w:type="dxa"/>
          </w:tcPr>
          <w:p>
            <w:pPr>
              <w:pStyle w:val="TableParagraph"/>
              <w:spacing w:before="144"/>
              <w:ind w:right="97"/>
              <w:rPr>
                <w:sz w:val="21"/>
              </w:rPr>
            </w:pPr>
            <w:r>
              <w:rPr>
                <w:w w:val="100"/>
                <w:sz w:val="21"/>
              </w:rPr>
              <w:t>-</w:t>
            </w:r>
          </w:p>
        </w:tc>
        <w:tc>
          <w:tcPr>
            <w:tcW w:w="1545" w:type="dxa"/>
          </w:tcPr>
          <w:p>
            <w:pPr>
              <w:pStyle w:val="TableParagraph"/>
              <w:spacing w:before="144"/>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5</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企业短期融资券</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6</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中期票据</w:t>
            </w:r>
          </w:p>
        </w:tc>
        <w:tc>
          <w:tcPr>
            <w:tcW w:w="2951" w:type="dxa"/>
          </w:tcPr>
          <w:p>
            <w:pPr>
              <w:pStyle w:val="TableParagraph"/>
              <w:spacing w:before="142"/>
              <w:ind w:right="97"/>
              <w:rPr>
                <w:sz w:val="21"/>
              </w:rPr>
            </w:pPr>
            <w:r>
              <w:rPr>
                <w:w w:val="100"/>
                <w:sz w:val="21"/>
              </w:rPr>
              <w:t>-</w:t>
            </w:r>
          </w:p>
        </w:tc>
        <w:tc>
          <w:tcPr>
            <w:tcW w:w="1545" w:type="dxa"/>
          </w:tcPr>
          <w:p>
            <w:pPr>
              <w:pStyle w:val="TableParagraph"/>
              <w:spacing w:before="142"/>
              <w:ind w:right="98"/>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7</w:t>
            </w:r>
          </w:p>
        </w:tc>
        <w:tc>
          <w:tcPr>
            <w:tcW w:w="2999" w:type="dxa"/>
          </w:tcPr>
          <w:p>
            <w:pPr>
              <w:pStyle w:val="TableParagraph"/>
              <w:spacing w:before="130"/>
              <w:ind w:left="124"/>
              <w:jc w:val="left"/>
              <w:rPr>
                <w:rFonts w:ascii="宋体" w:eastAsia="宋体" w:hint="eastAsia"/>
                <w:sz w:val="21"/>
              </w:rPr>
            </w:pPr>
            <w:r>
              <w:rPr>
                <w:rFonts w:ascii="宋体" w:eastAsia="宋体" w:hint="eastAsia"/>
                <w:sz w:val="21"/>
              </w:rPr>
              <w:t>可转债（可交换债）</w:t>
            </w:r>
          </w:p>
        </w:tc>
        <w:tc>
          <w:tcPr>
            <w:tcW w:w="2951" w:type="dxa"/>
          </w:tcPr>
          <w:p>
            <w:pPr>
              <w:pStyle w:val="TableParagraph"/>
              <w:spacing w:before="142"/>
              <w:ind w:right="96"/>
              <w:rPr>
                <w:sz w:val="21"/>
              </w:rPr>
            </w:pPr>
            <w:r>
              <w:rPr>
                <w:sz w:val="21"/>
              </w:rPr>
              <w:t>127,389.16</w:t>
            </w:r>
          </w:p>
        </w:tc>
        <w:tc>
          <w:tcPr>
            <w:tcW w:w="1545" w:type="dxa"/>
          </w:tcPr>
          <w:p>
            <w:pPr>
              <w:pStyle w:val="TableParagraph"/>
              <w:spacing w:before="142"/>
              <w:ind w:right="97"/>
              <w:rPr>
                <w:sz w:val="21"/>
              </w:rPr>
            </w:pPr>
            <w:r>
              <w:rPr>
                <w:sz w:val="21"/>
              </w:rPr>
              <w:t>0.06</w:t>
            </w:r>
          </w:p>
        </w:tc>
      </w:tr>
      <w:tr>
        <w:trPr>
          <w:trHeight w:val="496" w:hRule="atLeast"/>
        </w:trPr>
        <w:tc>
          <w:tcPr>
            <w:tcW w:w="838" w:type="dxa"/>
            <w:tcBorders>
              <w:bottom w:val="single" w:sz="6" w:space="0" w:color="000000"/>
            </w:tcBorders>
          </w:tcPr>
          <w:p>
            <w:pPr>
              <w:pStyle w:val="TableParagraph"/>
              <w:spacing w:before="144"/>
              <w:ind w:left="21"/>
              <w:jc w:val="center"/>
              <w:rPr>
                <w:sz w:val="21"/>
              </w:rPr>
            </w:pPr>
            <w:r>
              <w:rPr>
                <w:w w:val="100"/>
                <w:sz w:val="21"/>
              </w:rPr>
              <w:t>8</w:t>
            </w:r>
          </w:p>
        </w:tc>
        <w:tc>
          <w:tcPr>
            <w:tcW w:w="2999" w:type="dxa"/>
            <w:tcBorders>
              <w:bottom w:val="single" w:sz="6" w:space="0" w:color="000000"/>
            </w:tcBorders>
          </w:tcPr>
          <w:p>
            <w:pPr>
              <w:pStyle w:val="TableParagraph"/>
              <w:spacing w:before="133"/>
              <w:ind w:left="124"/>
              <w:jc w:val="left"/>
              <w:rPr>
                <w:rFonts w:ascii="宋体" w:eastAsia="宋体" w:hint="eastAsia"/>
                <w:sz w:val="21"/>
              </w:rPr>
            </w:pPr>
            <w:r>
              <w:rPr>
                <w:rFonts w:ascii="宋体" w:eastAsia="宋体" w:hint="eastAsia"/>
                <w:sz w:val="21"/>
              </w:rPr>
              <w:t>同业存单</w:t>
            </w:r>
          </w:p>
        </w:tc>
        <w:tc>
          <w:tcPr>
            <w:tcW w:w="2951" w:type="dxa"/>
            <w:tcBorders>
              <w:bottom w:val="single" w:sz="6" w:space="0" w:color="000000"/>
            </w:tcBorders>
          </w:tcPr>
          <w:p>
            <w:pPr>
              <w:pStyle w:val="TableParagraph"/>
              <w:spacing w:before="144"/>
              <w:ind w:right="97"/>
              <w:rPr>
                <w:sz w:val="21"/>
              </w:rPr>
            </w:pPr>
            <w:r>
              <w:rPr>
                <w:w w:val="100"/>
                <w:sz w:val="21"/>
              </w:rPr>
              <w:t>-</w:t>
            </w:r>
          </w:p>
        </w:tc>
        <w:tc>
          <w:tcPr>
            <w:tcW w:w="1545" w:type="dxa"/>
            <w:tcBorders>
              <w:bottom w:val="single" w:sz="6" w:space="0" w:color="000000"/>
            </w:tcBorders>
          </w:tcPr>
          <w:p>
            <w:pPr>
              <w:pStyle w:val="TableParagraph"/>
              <w:spacing w:before="144"/>
              <w:ind w:right="98"/>
              <w:rPr>
                <w:sz w:val="21"/>
              </w:rPr>
            </w:pPr>
            <w:r>
              <w:rPr>
                <w:w w:val="100"/>
                <w:sz w:val="21"/>
              </w:rPr>
              <w:t>-</w:t>
            </w:r>
          </w:p>
        </w:tc>
      </w:tr>
      <w:tr>
        <w:trPr>
          <w:trHeight w:val="494" w:hRule="atLeast"/>
        </w:trPr>
        <w:tc>
          <w:tcPr>
            <w:tcW w:w="838" w:type="dxa"/>
            <w:tcBorders>
              <w:top w:val="single" w:sz="6" w:space="0" w:color="000000"/>
            </w:tcBorders>
          </w:tcPr>
          <w:p>
            <w:pPr>
              <w:pStyle w:val="TableParagraph"/>
              <w:spacing w:before="140"/>
              <w:ind w:left="21"/>
              <w:jc w:val="center"/>
              <w:rPr>
                <w:sz w:val="21"/>
              </w:rPr>
            </w:pPr>
            <w:r>
              <w:rPr>
                <w:w w:val="100"/>
                <w:sz w:val="21"/>
              </w:rPr>
              <w:t>9</w:t>
            </w:r>
          </w:p>
        </w:tc>
        <w:tc>
          <w:tcPr>
            <w:tcW w:w="2999" w:type="dxa"/>
            <w:tcBorders>
              <w:top w:val="single" w:sz="6" w:space="0" w:color="000000"/>
            </w:tcBorders>
          </w:tcPr>
          <w:p>
            <w:pPr>
              <w:pStyle w:val="TableParagraph"/>
              <w:spacing w:before="128"/>
              <w:ind w:left="124"/>
              <w:jc w:val="left"/>
              <w:rPr>
                <w:rFonts w:ascii="宋体" w:eastAsia="宋体" w:hint="eastAsia"/>
                <w:sz w:val="21"/>
              </w:rPr>
            </w:pPr>
            <w:r>
              <w:rPr>
                <w:rFonts w:ascii="宋体" w:eastAsia="宋体" w:hint="eastAsia"/>
                <w:sz w:val="21"/>
              </w:rPr>
              <w:t>其他</w:t>
            </w:r>
          </w:p>
        </w:tc>
        <w:tc>
          <w:tcPr>
            <w:tcW w:w="2951" w:type="dxa"/>
            <w:tcBorders>
              <w:top w:val="single" w:sz="6" w:space="0" w:color="000000"/>
            </w:tcBorders>
          </w:tcPr>
          <w:p>
            <w:pPr>
              <w:pStyle w:val="TableParagraph"/>
              <w:spacing w:before="140"/>
              <w:ind w:right="97"/>
              <w:rPr>
                <w:sz w:val="21"/>
              </w:rPr>
            </w:pPr>
            <w:r>
              <w:rPr>
                <w:w w:val="100"/>
                <w:sz w:val="21"/>
              </w:rPr>
              <w:t>-</w:t>
            </w:r>
          </w:p>
        </w:tc>
        <w:tc>
          <w:tcPr>
            <w:tcW w:w="1545" w:type="dxa"/>
            <w:tcBorders>
              <w:top w:val="single" w:sz="6" w:space="0" w:color="000000"/>
            </w:tcBorders>
          </w:tcPr>
          <w:p>
            <w:pPr>
              <w:pStyle w:val="TableParagraph"/>
              <w:spacing w:before="140"/>
              <w:ind w:right="98"/>
              <w:rPr>
                <w:sz w:val="21"/>
              </w:rPr>
            </w:pPr>
            <w:r>
              <w:rPr>
                <w:w w:val="100"/>
                <w:sz w:val="21"/>
              </w:rPr>
              <w:t>-</w:t>
            </w:r>
          </w:p>
        </w:tc>
      </w:tr>
    </w:tbl>
    <w:p>
      <w:pPr>
        <w:spacing w:after="0"/>
        <w:rPr>
          <w:sz w:val="21"/>
        </w:rPr>
        <w:sectPr>
          <w:pgSz w:w="11910" w:h="16840"/>
          <w:pgMar w:header="877" w:footer="995" w:top="1420" w:bottom="1180" w:left="1540" w:right="130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2999"/>
        <w:gridCol w:w="2951"/>
        <w:gridCol w:w="1545"/>
      </w:tblGrid>
      <w:tr>
        <w:trPr>
          <w:trHeight w:val="496" w:hRule="atLeast"/>
        </w:trPr>
        <w:tc>
          <w:tcPr>
            <w:tcW w:w="838" w:type="dxa"/>
          </w:tcPr>
          <w:p>
            <w:pPr>
              <w:pStyle w:val="TableParagraph"/>
              <w:spacing w:before="142"/>
              <w:ind w:left="192" w:right="171"/>
              <w:jc w:val="center"/>
              <w:rPr>
                <w:sz w:val="21"/>
              </w:rPr>
            </w:pPr>
            <w:r>
              <w:rPr>
                <w:sz w:val="21"/>
              </w:rPr>
              <w:t>10</w:t>
            </w:r>
          </w:p>
        </w:tc>
        <w:tc>
          <w:tcPr>
            <w:tcW w:w="2999" w:type="dxa"/>
          </w:tcPr>
          <w:p>
            <w:pPr>
              <w:pStyle w:val="TableParagraph"/>
              <w:spacing w:before="131"/>
              <w:ind w:left="124"/>
              <w:jc w:val="left"/>
              <w:rPr>
                <w:rFonts w:ascii="宋体" w:eastAsia="宋体" w:hint="eastAsia"/>
                <w:sz w:val="21"/>
              </w:rPr>
            </w:pPr>
            <w:r>
              <w:rPr>
                <w:rFonts w:ascii="宋体" w:eastAsia="宋体" w:hint="eastAsia"/>
                <w:sz w:val="21"/>
              </w:rPr>
              <w:t>合计</w:t>
            </w:r>
          </w:p>
        </w:tc>
        <w:tc>
          <w:tcPr>
            <w:tcW w:w="2951" w:type="dxa"/>
          </w:tcPr>
          <w:p>
            <w:pPr>
              <w:pStyle w:val="TableParagraph"/>
              <w:spacing w:before="142"/>
              <w:ind w:left="1894"/>
              <w:jc w:val="left"/>
              <w:rPr>
                <w:sz w:val="21"/>
              </w:rPr>
            </w:pPr>
            <w:r>
              <w:rPr>
                <w:sz w:val="21"/>
              </w:rPr>
              <w:t>127,389.16</w:t>
            </w:r>
          </w:p>
        </w:tc>
        <w:tc>
          <w:tcPr>
            <w:tcW w:w="1545" w:type="dxa"/>
          </w:tcPr>
          <w:p>
            <w:pPr>
              <w:pStyle w:val="TableParagraph"/>
              <w:spacing w:before="142"/>
              <w:ind w:right="97"/>
              <w:rPr>
                <w:sz w:val="21"/>
              </w:rPr>
            </w:pPr>
            <w:r>
              <w:rPr>
                <w:sz w:val="21"/>
              </w:rPr>
              <w:t>0.06</w:t>
            </w:r>
          </w:p>
        </w:tc>
      </w:tr>
    </w:tbl>
    <w:p>
      <w:pPr>
        <w:pStyle w:val="ListParagraph"/>
        <w:numPr>
          <w:ilvl w:val="1"/>
          <w:numId w:val="23"/>
        </w:numPr>
        <w:tabs>
          <w:tab w:pos="630" w:val="left" w:leader="none"/>
        </w:tabs>
        <w:spacing w:line="240" w:lineRule="auto" w:before="109" w:after="0"/>
        <w:ind w:left="630" w:right="0" w:hanging="370"/>
        <w:jc w:val="left"/>
        <w:rPr>
          <w:rFonts w:ascii="Times New Roman" w:eastAsia="Times New Roman"/>
          <w:sz w:val="21"/>
        </w:rPr>
      </w:pPr>
      <w:r>
        <w:rPr>
          <w:spacing w:val="-3"/>
          <w:sz w:val="21"/>
        </w:rPr>
        <w:t>报告期末按公允价值占基金资产净值比例大小排序的前五名债券投资明细</w:t>
      </w:r>
    </w:p>
    <w:p>
      <w:pPr>
        <w:pStyle w:val="BodyText"/>
        <w:spacing w:before="10"/>
        <w:rPr>
          <w:sz w:val="7"/>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1337"/>
        <w:gridCol w:w="1305"/>
        <w:gridCol w:w="1452"/>
        <w:gridCol w:w="1675"/>
        <w:gridCol w:w="1587"/>
      </w:tblGrid>
      <w:tr>
        <w:trPr>
          <w:trHeight w:val="966" w:hRule="atLeast"/>
        </w:trPr>
        <w:tc>
          <w:tcPr>
            <w:tcW w:w="1166" w:type="dxa"/>
          </w:tcPr>
          <w:p>
            <w:pPr>
              <w:pStyle w:val="TableParagraph"/>
              <w:spacing w:before="7"/>
              <w:jc w:val="left"/>
              <w:rPr>
                <w:rFonts w:ascii="宋体"/>
                <w:sz w:val="28"/>
              </w:rPr>
            </w:pPr>
          </w:p>
          <w:p>
            <w:pPr>
              <w:pStyle w:val="TableParagraph"/>
              <w:spacing w:before="0"/>
              <w:ind w:left="362" w:right="333"/>
              <w:jc w:val="center"/>
              <w:rPr>
                <w:rFonts w:ascii="宋体" w:eastAsia="宋体" w:hint="eastAsia"/>
                <w:sz w:val="21"/>
              </w:rPr>
            </w:pPr>
            <w:r>
              <w:rPr>
                <w:rFonts w:ascii="宋体" w:eastAsia="宋体" w:hint="eastAsia"/>
                <w:sz w:val="21"/>
              </w:rPr>
              <w:t>序号</w:t>
            </w:r>
          </w:p>
        </w:tc>
        <w:tc>
          <w:tcPr>
            <w:tcW w:w="1337" w:type="dxa"/>
          </w:tcPr>
          <w:p>
            <w:pPr>
              <w:pStyle w:val="TableParagraph"/>
              <w:spacing w:before="7"/>
              <w:jc w:val="left"/>
              <w:rPr>
                <w:rFonts w:ascii="宋体"/>
                <w:sz w:val="28"/>
              </w:rPr>
            </w:pPr>
          </w:p>
          <w:p>
            <w:pPr>
              <w:pStyle w:val="TableParagraph"/>
              <w:spacing w:before="0"/>
              <w:ind w:left="235" w:right="211"/>
              <w:jc w:val="center"/>
              <w:rPr>
                <w:rFonts w:ascii="宋体" w:eastAsia="宋体" w:hint="eastAsia"/>
                <w:sz w:val="21"/>
              </w:rPr>
            </w:pPr>
            <w:r>
              <w:rPr>
                <w:rFonts w:ascii="宋体" w:eastAsia="宋体" w:hint="eastAsia"/>
                <w:sz w:val="21"/>
              </w:rPr>
              <w:t>债券代码</w:t>
            </w:r>
          </w:p>
        </w:tc>
        <w:tc>
          <w:tcPr>
            <w:tcW w:w="1305" w:type="dxa"/>
          </w:tcPr>
          <w:p>
            <w:pPr>
              <w:pStyle w:val="TableParagraph"/>
              <w:spacing w:before="7"/>
              <w:jc w:val="left"/>
              <w:rPr>
                <w:rFonts w:ascii="宋体"/>
                <w:sz w:val="28"/>
              </w:rPr>
            </w:pPr>
          </w:p>
          <w:p>
            <w:pPr>
              <w:pStyle w:val="TableParagraph"/>
              <w:spacing w:before="0"/>
              <w:ind w:left="212" w:right="189"/>
              <w:jc w:val="center"/>
              <w:rPr>
                <w:rFonts w:ascii="宋体" w:eastAsia="宋体" w:hint="eastAsia"/>
                <w:sz w:val="21"/>
              </w:rPr>
            </w:pPr>
            <w:r>
              <w:rPr>
                <w:rFonts w:ascii="宋体" w:eastAsia="宋体" w:hint="eastAsia"/>
                <w:sz w:val="21"/>
              </w:rPr>
              <w:t>债券名称</w:t>
            </w:r>
          </w:p>
        </w:tc>
        <w:tc>
          <w:tcPr>
            <w:tcW w:w="1452" w:type="dxa"/>
          </w:tcPr>
          <w:p>
            <w:pPr>
              <w:pStyle w:val="TableParagraph"/>
              <w:spacing w:before="7"/>
              <w:jc w:val="left"/>
              <w:rPr>
                <w:rFonts w:ascii="宋体"/>
                <w:sz w:val="28"/>
              </w:rPr>
            </w:pPr>
          </w:p>
          <w:p>
            <w:pPr>
              <w:pStyle w:val="TableParagraph"/>
              <w:spacing w:before="0"/>
              <w:ind w:left="349"/>
              <w:jc w:val="left"/>
              <w:rPr>
                <w:sz w:val="21"/>
              </w:rPr>
            </w:pPr>
            <w:r>
              <w:rPr>
                <w:rFonts w:ascii="宋体" w:eastAsia="宋体" w:hint="eastAsia"/>
                <w:sz w:val="21"/>
              </w:rPr>
              <w:t>数量</w:t>
            </w:r>
            <w:r>
              <w:rPr>
                <w:sz w:val="21"/>
              </w:rPr>
              <w:t>(</w:t>
            </w:r>
            <w:r>
              <w:rPr>
                <w:rFonts w:ascii="宋体" w:eastAsia="宋体" w:hint="eastAsia"/>
                <w:sz w:val="21"/>
              </w:rPr>
              <w:t>张</w:t>
            </w:r>
            <w:r>
              <w:rPr>
                <w:sz w:val="21"/>
              </w:rPr>
              <w:t>)</w:t>
            </w:r>
          </w:p>
        </w:tc>
        <w:tc>
          <w:tcPr>
            <w:tcW w:w="1675" w:type="dxa"/>
          </w:tcPr>
          <w:p>
            <w:pPr>
              <w:pStyle w:val="TableParagraph"/>
              <w:spacing w:before="7"/>
              <w:jc w:val="left"/>
              <w:rPr>
                <w:rFonts w:ascii="宋体"/>
                <w:sz w:val="28"/>
              </w:rPr>
            </w:pPr>
          </w:p>
          <w:p>
            <w:pPr>
              <w:pStyle w:val="TableParagraph"/>
              <w:spacing w:before="0"/>
              <w:ind w:left="253"/>
              <w:jc w:val="left"/>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87" w:type="dxa"/>
          </w:tcPr>
          <w:p>
            <w:pPr>
              <w:pStyle w:val="TableParagraph"/>
              <w:spacing w:before="133"/>
              <w:ind w:left="153" w:right="124"/>
              <w:jc w:val="center"/>
              <w:rPr>
                <w:rFonts w:ascii="宋体" w:eastAsia="宋体" w:hint="eastAsia"/>
                <w:sz w:val="21"/>
              </w:rPr>
            </w:pPr>
            <w:r>
              <w:rPr>
                <w:rFonts w:ascii="宋体" w:eastAsia="宋体" w:hint="eastAsia"/>
                <w:sz w:val="21"/>
              </w:rPr>
              <w:t>占基金资产净</w:t>
            </w:r>
          </w:p>
          <w:p>
            <w:pPr>
              <w:pStyle w:val="TableParagraph"/>
              <w:spacing w:before="4"/>
              <w:jc w:val="left"/>
              <w:rPr>
                <w:rFonts w:ascii="宋体"/>
                <w:sz w:val="15"/>
              </w:rPr>
            </w:pPr>
          </w:p>
          <w:p>
            <w:pPr>
              <w:pStyle w:val="TableParagraph"/>
              <w:spacing w:before="0"/>
              <w:ind w:left="153" w:right="12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1" w:hRule="atLeast"/>
        </w:trPr>
        <w:tc>
          <w:tcPr>
            <w:tcW w:w="1166" w:type="dxa"/>
          </w:tcPr>
          <w:p>
            <w:pPr>
              <w:pStyle w:val="TableParagraph"/>
              <w:ind w:left="9"/>
              <w:jc w:val="center"/>
              <w:rPr>
                <w:sz w:val="21"/>
              </w:rPr>
            </w:pPr>
            <w:r>
              <w:rPr>
                <w:w w:val="100"/>
                <w:sz w:val="21"/>
              </w:rPr>
              <w:t>1</w:t>
            </w:r>
          </w:p>
        </w:tc>
        <w:tc>
          <w:tcPr>
            <w:tcW w:w="1337" w:type="dxa"/>
          </w:tcPr>
          <w:p>
            <w:pPr>
              <w:pStyle w:val="TableParagraph"/>
              <w:ind w:left="218" w:right="211"/>
              <w:jc w:val="center"/>
              <w:rPr>
                <w:sz w:val="21"/>
              </w:rPr>
            </w:pPr>
            <w:r>
              <w:rPr>
                <w:sz w:val="21"/>
              </w:rPr>
              <w:t>128102</w:t>
            </w:r>
          </w:p>
        </w:tc>
        <w:tc>
          <w:tcPr>
            <w:tcW w:w="1305" w:type="dxa"/>
          </w:tcPr>
          <w:p>
            <w:pPr>
              <w:pStyle w:val="TableParagraph"/>
              <w:spacing w:before="22"/>
              <w:ind w:left="205" w:right="196"/>
              <w:jc w:val="center"/>
              <w:rPr>
                <w:rFonts w:ascii="宋体" w:eastAsia="宋体" w:hint="eastAsia"/>
                <w:sz w:val="21"/>
              </w:rPr>
            </w:pPr>
            <w:r>
              <w:rPr>
                <w:rFonts w:ascii="宋体" w:eastAsia="宋体" w:hint="eastAsia"/>
                <w:sz w:val="21"/>
              </w:rPr>
              <w:t>海大转债</w:t>
            </w:r>
          </w:p>
        </w:tc>
        <w:tc>
          <w:tcPr>
            <w:tcW w:w="1452" w:type="dxa"/>
          </w:tcPr>
          <w:p>
            <w:pPr>
              <w:pStyle w:val="TableParagraph"/>
              <w:ind w:right="92"/>
              <w:rPr>
                <w:sz w:val="21"/>
              </w:rPr>
            </w:pPr>
            <w:r>
              <w:rPr>
                <w:sz w:val="21"/>
              </w:rPr>
              <w:t>534</w:t>
            </w:r>
          </w:p>
        </w:tc>
        <w:tc>
          <w:tcPr>
            <w:tcW w:w="1675" w:type="dxa"/>
          </w:tcPr>
          <w:p>
            <w:pPr>
              <w:pStyle w:val="TableParagraph"/>
              <w:ind w:right="89"/>
              <w:rPr>
                <w:sz w:val="21"/>
              </w:rPr>
            </w:pPr>
            <w:r>
              <w:rPr>
                <w:sz w:val="21"/>
              </w:rPr>
              <w:t>75,689.16</w:t>
            </w:r>
          </w:p>
        </w:tc>
        <w:tc>
          <w:tcPr>
            <w:tcW w:w="1587" w:type="dxa"/>
          </w:tcPr>
          <w:p>
            <w:pPr>
              <w:pStyle w:val="TableParagraph"/>
              <w:ind w:right="94"/>
              <w:rPr>
                <w:sz w:val="21"/>
              </w:rPr>
            </w:pPr>
            <w:r>
              <w:rPr>
                <w:sz w:val="21"/>
              </w:rPr>
              <w:t>0.04</w:t>
            </w:r>
          </w:p>
        </w:tc>
      </w:tr>
      <w:tr>
        <w:trPr>
          <w:trHeight w:val="311" w:hRule="atLeast"/>
        </w:trPr>
        <w:tc>
          <w:tcPr>
            <w:tcW w:w="1166" w:type="dxa"/>
          </w:tcPr>
          <w:p>
            <w:pPr>
              <w:pStyle w:val="TableParagraph"/>
              <w:ind w:left="9"/>
              <w:jc w:val="center"/>
              <w:rPr>
                <w:sz w:val="21"/>
              </w:rPr>
            </w:pPr>
            <w:r>
              <w:rPr>
                <w:w w:val="100"/>
                <w:sz w:val="21"/>
              </w:rPr>
              <w:t>2</w:t>
            </w:r>
          </w:p>
        </w:tc>
        <w:tc>
          <w:tcPr>
            <w:tcW w:w="1337" w:type="dxa"/>
          </w:tcPr>
          <w:p>
            <w:pPr>
              <w:pStyle w:val="TableParagraph"/>
              <w:ind w:left="218" w:right="211"/>
              <w:jc w:val="center"/>
              <w:rPr>
                <w:sz w:val="21"/>
              </w:rPr>
            </w:pPr>
            <w:r>
              <w:rPr>
                <w:sz w:val="21"/>
              </w:rPr>
              <w:t>123055</w:t>
            </w:r>
          </w:p>
        </w:tc>
        <w:tc>
          <w:tcPr>
            <w:tcW w:w="1305" w:type="dxa"/>
          </w:tcPr>
          <w:p>
            <w:pPr>
              <w:pStyle w:val="TableParagraph"/>
              <w:spacing w:before="22"/>
              <w:ind w:left="205" w:right="196"/>
              <w:jc w:val="center"/>
              <w:rPr>
                <w:rFonts w:ascii="宋体" w:eastAsia="宋体" w:hint="eastAsia"/>
                <w:sz w:val="21"/>
              </w:rPr>
            </w:pPr>
            <w:r>
              <w:rPr>
                <w:rFonts w:ascii="宋体" w:eastAsia="宋体" w:hint="eastAsia"/>
                <w:sz w:val="21"/>
              </w:rPr>
              <w:t>晨光转债</w:t>
            </w:r>
          </w:p>
        </w:tc>
        <w:tc>
          <w:tcPr>
            <w:tcW w:w="1452" w:type="dxa"/>
          </w:tcPr>
          <w:p>
            <w:pPr>
              <w:pStyle w:val="TableParagraph"/>
              <w:ind w:right="92"/>
              <w:rPr>
                <w:sz w:val="21"/>
              </w:rPr>
            </w:pPr>
            <w:r>
              <w:rPr>
                <w:sz w:val="21"/>
              </w:rPr>
              <w:t>517</w:t>
            </w:r>
          </w:p>
        </w:tc>
        <w:tc>
          <w:tcPr>
            <w:tcW w:w="1675" w:type="dxa"/>
          </w:tcPr>
          <w:p>
            <w:pPr>
              <w:pStyle w:val="TableParagraph"/>
              <w:ind w:right="89"/>
              <w:rPr>
                <w:sz w:val="21"/>
              </w:rPr>
            </w:pPr>
            <w:r>
              <w:rPr>
                <w:sz w:val="21"/>
              </w:rPr>
              <w:t>51,700.00</w:t>
            </w:r>
          </w:p>
        </w:tc>
        <w:tc>
          <w:tcPr>
            <w:tcW w:w="1587" w:type="dxa"/>
          </w:tcPr>
          <w:p>
            <w:pPr>
              <w:pStyle w:val="TableParagraph"/>
              <w:ind w:right="94"/>
              <w:rPr>
                <w:sz w:val="21"/>
              </w:rPr>
            </w:pPr>
            <w:r>
              <w:rPr>
                <w:sz w:val="21"/>
              </w:rPr>
              <w:t>0.02</w:t>
            </w:r>
          </w:p>
        </w:tc>
      </w:tr>
      <w:tr>
        <w:trPr>
          <w:trHeight w:val="311" w:hRule="atLeast"/>
        </w:trPr>
        <w:tc>
          <w:tcPr>
            <w:tcW w:w="1166" w:type="dxa"/>
          </w:tcPr>
          <w:p>
            <w:pPr>
              <w:pStyle w:val="TableParagraph"/>
              <w:ind w:left="9"/>
              <w:jc w:val="center"/>
              <w:rPr>
                <w:sz w:val="21"/>
              </w:rPr>
            </w:pPr>
            <w:r>
              <w:rPr>
                <w:w w:val="100"/>
                <w:sz w:val="21"/>
              </w:rPr>
              <w:t>3</w:t>
            </w:r>
          </w:p>
        </w:tc>
        <w:tc>
          <w:tcPr>
            <w:tcW w:w="1337" w:type="dxa"/>
          </w:tcPr>
          <w:p>
            <w:pPr>
              <w:pStyle w:val="TableParagraph"/>
              <w:ind w:left="5"/>
              <w:jc w:val="center"/>
              <w:rPr>
                <w:sz w:val="21"/>
              </w:rPr>
            </w:pPr>
            <w:r>
              <w:rPr>
                <w:w w:val="100"/>
                <w:sz w:val="21"/>
              </w:rPr>
              <w:t>-</w:t>
            </w:r>
          </w:p>
        </w:tc>
        <w:tc>
          <w:tcPr>
            <w:tcW w:w="1305" w:type="dxa"/>
          </w:tcPr>
          <w:p>
            <w:pPr>
              <w:pStyle w:val="TableParagraph"/>
              <w:ind w:left="5"/>
              <w:jc w:val="center"/>
              <w:rPr>
                <w:sz w:val="21"/>
              </w:rPr>
            </w:pPr>
            <w:r>
              <w:rPr>
                <w:w w:val="100"/>
                <w:sz w:val="21"/>
              </w:rPr>
              <w:t>-</w:t>
            </w:r>
          </w:p>
        </w:tc>
        <w:tc>
          <w:tcPr>
            <w:tcW w:w="1452" w:type="dxa"/>
          </w:tcPr>
          <w:p>
            <w:pPr>
              <w:pStyle w:val="TableParagraph"/>
              <w:ind w:right="93"/>
              <w:rPr>
                <w:sz w:val="21"/>
              </w:rPr>
            </w:pPr>
            <w:r>
              <w:rPr>
                <w:w w:val="100"/>
                <w:sz w:val="21"/>
              </w:rPr>
              <w:t>-</w:t>
            </w:r>
          </w:p>
        </w:tc>
        <w:tc>
          <w:tcPr>
            <w:tcW w:w="1675" w:type="dxa"/>
          </w:tcPr>
          <w:p>
            <w:pPr>
              <w:pStyle w:val="TableParagraph"/>
              <w:ind w:right="91"/>
              <w:rPr>
                <w:sz w:val="21"/>
              </w:rPr>
            </w:pPr>
            <w:r>
              <w:rPr>
                <w:w w:val="100"/>
                <w:sz w:val="21"/>
              </w:rPr>
              <w:t>-</w:t>
            </w:r>
          </w:p>
        </w:tc>
        <w:tc>
          <w:tcPr>
            <w:tcW w:w="1587" w:type="dxa"/>
          </w:tcPr>
          <w:p>
            <w:pPr>
              <w:pStyle w:val="TableParagraph"/>
              <w:ind w:right="95"/>
              <w:rPr>
                <w:sz w:val="21"/>
              </w:rPr>
            </w:pPr>
            <w:r>
              <w:rPr>
                <w:w w:val="100"/>
                <w:sz w:val="21"/>
              </w:rPr>
              <w:t>-</w:t>
            </w:r>
          </w:p>
        </w:tc>
      </w:tr>
      <w:tr>
        <w:trPr>
          <w:trHeight w:val="311" w:hRule="atLeast"/>
        </w:trPr>
        <w:tc>
          <w:tcPr>
            <w:tcW w:w="1166" w:type="dxa"/>
          </w:tcPr>
          <w:p>
            <w:pPr>
              <w:pStyle w:val="TableParagraph"/>
              <w:ind w:left="9"/>
              <w:jc w:val="center"/>
              <w:rPr>
                <w:sz w:val="21"/>
              </w:rPr>
            </w:pPr>
            <w:r>
              <w:rPr>
                <w:w w:val="100"/>
                <w:sz w:val="21"/>
              </w:rPr>
              <w:t>4</w:t>
            </w:r>
          </w:p>
        </w:tc>
        <w:tc>
          <w:tcPr>
            <w:tcW w:w="1337" w:type="dxa"/>
          </w:tcPr>
          <w:p>
            <w:pPr>
              <w:pStyle w:val="TableParagraph"/>
              <w:ind w:left="5"/>
              <w:jc w:val="center"/>
              <w:rPr>
                <w:sz w:val="21"/>
              </w:rPr>
            </w:pPr>
            <w:r>
              <w:rPr>
                <w:w w:val="100"/>
                <w:sz w:val="21"/>
              </w:rPr>
              <w:t>-</w:t>
            </w:r>
          </w:p>
        </w:tc>
        <w:tc>
          <w:tcPr>
            <w:tcW w:w="1305" w:type="dxa"/>
          </w:tcPr>
          <w:p>
            <w:pPr>
              <w:pStyle w:val="TableParagraph"/>
              <w:ind w:left="5"/>
              <w:jc w:val="center"/>
              <w:rPr>
                <w:sz w:val="21"/>
              </w:rPr>
            </w:pPr>
            <w:r>
              <w:rPr>
                <w:w w:val="100"/>
                <w:sz w:val="21"/>
              </w:rPr>
              <w:t>-</w:t>
            </w:r>
          </w:p>
        </w:tc>
        <w:tc>
          <w:tcPr>
            <w:tcW w:w="1452" w:type="dxa"/>
          </w:tcPr>
          <w:p>
            <w:pPr>
              <w:pStyle w:val="TableParagraph"/>
              <w:ind w:right="93"/>
              <w:rPr>
                <w:sz w:val="21"/>
              </w:rPr>
            </w:pPr>
            <w:r>
              <w:rPr>
                <w:w w:val="100"/>
                <w:sz w:val="21"/>
              </w:rPr>
              <w:t>-</w:t>
            </w:r>
          </w:p>
        </w:tc>
        <w:tc>
          <w:tcPr>
            <w:tcW w:w="1675" w:type="dxa"/>
          </w:tcPr>
          <w:p>
            <w:pPr>
              <w:pStyle w:val="TableParagraph"/>
              <w:ind w:right="91"/>
              <w:rPr>
                <w:sz w:val="21"/>
              </w:rPr>
            </w:pPr>
            <w:r>
              <w:rPr>
                <w:w w:val="100"/>
                <w:sz w:val="21"/>
              </w:rPr>
              <w:t>-</w:t>
            </w:r>
          </w:p>
        </w:tc>
        <w:tc>
          <w:tcPr>
            <w:tcW w:w="1587" w:type="dxa"/>
          </w:tcPr>
          <w:p>
            <w:pPr>
              <w:pStyle w:val="TableParagraph"/>
              <w:ind w:right="95"/>
              <w:rPr>
                <w:sz w:val="21"/>
              </w:rPr>
            </w:pPr>
            <w:r>
              <w:rPr>
                <w:w w:val="100"/>
                <w:sz w:val="21"/>
              </w:rPr>
              <w:t>-</w:t>
            </w:r>
          </w:p>
        </w:tc>
      </w:tr>
      <w:tr>
        <w:trPr>
          <w:trHeight w:val="314" w:hRule="atLeast"/>
        </w:trPr>
        <w:tc>
          <w:tcPr>
            <w:tcW w:w="1166" w:type="dxa"/>
          </w:tcPr>
          <w:p>
            <w:pPr>
              <w:pStyle w:val="TableParagraph"/>
              <w:ind w:left="9"/>
              <w:jc w:val="center"/>
              <w:rPr>
                <w:sz w:val="21"/>
              </w:rPr>
            </w:pPr>
            <w:r>
              <w:rPr>
                <w:w w:val="100"/>
                <w:sz w:val="21"/>
              </w:rPr>
              <w:t>5</w:t>
            </w:r>
          </w:p>
        </w:tc>
        <w:tc>
          <w:tcPr>
            <w:tcW w:w="1337" w:type="dxa"/>
          </w:tcPr>
          <w:p>
            <w:pPr>
              <w:pStyle w:val="TableParagraph"/>
              <w:ind w:left="5"/>
              <w:jc w:val="center"/>
              <w:rPr>
                <w:sz w:val="21"/>
              </w:rPr>
            </w:pPr>
            <w:r>
              <w:rPr>
                <w:w w:val="100"/>
                <w:sz w:val="21"/>
              </w:rPr>
              <w:t>-</w:t>
            </w:r>
          </w:p>
        </w:tc>
        <w:tc>
          <w:tcPr>
            <w:tcW w:w="1305" w:type="dxa"/>
          </w:tcPr>
          <w:p>
            <w:pPr>
              <w:pStyle w:val="TableParagraph"/>
              <w:ind w:left="5"/>
              <w:jc w:val="center"/>
              <w:rPr>
                <w:sz w:val="21"/>
              </w:rPr>
            </w:pPr>
            <w:r>
              <w:rPr>
                <w:w w:val="100"/>
                <w:sz w:val="21"/>
              </w:rPr>
              <w:t>-</w:t>
            </w:r>
          </w:p>
        </w:tc>
        <w:tc>
          <w:tcPr>
            <w:tcW w:w="1452" w:type="dxa"/>
          </w:tcPr>
          <w:p>
            <w:pPr>
              <w:pStyle w:val="TableParagraph"/>
              <w:ind w:right="93"/>
              <w:rPr>
                <w:sz w:val="21"/>
              </w:rPr>
            </w:pPr>
            <w:r>
              <w:rPr>
                <w:w w:val="100"/>
                <w:sz w:val="21"/>
              </w:rPr>
              <w:t>-</w:t>
            </w:r>
          </w:p>
        </w:tc>
        <w:tc>
          <w:tcPr>
            <w:tcW w:w="1675" w:type="dxa"/>
          </w:tcPr>
          <w:p>
            <w:pPr>
              <w:pStyle w:val="TableParagraph"/>
              <w:ind w:right="91"/>
              <w:rPr>
                <w:sz w:val="21"/>
              </w:rPr>
            </w:pPr>
            <w:r>
              <w:rPr>
                <w:w w:val="100"/>
                <w:sz w:val="21"/>
              </w:rPr>
              <w:t>-</w:t>
            </w:r>
          </w:p>
        </w:tc>
        <w:tc>
          <w:tcPr>
            <w:tcW w:w="1587" w:type="dxa"/>
          </w:tcPr>
          <w:p>
            <w:pPr>
              <w:pStyle w:val="TableParagraph"/>
              <w:ind w:right="95"/>
              <w:rPr>
                <w:sz w:val="21"/>
              </w:rPr>
            </w:pPr>
            <w:r>
              <w:rPr>
                <w:w w:val="100"/>
                <w:sz w:val="21"/>
              </w:rPr>
              <w:t>-</w:t>
            </w:r>
          </w:p>
        </w:tc>
      </w:tr>
    </w:tbl>
    <w:p>
      <w:pPr>
        <w:pStyle w:val="ListParagraph"/>
        <w:numPr>
          <w:ilvl w:val="1"/>
          <w:numId w:val="23"/>
        </w:numPr>
        <w:tabs>
          <w:tab w:pos="630" w:val="left" w:leader="none"/>
        </w:tabs>
        <w:spacing w:line="417" w:lineRule="auto" w:before="100" w:after="0"/>
        <w:ind w:left="680" w:right="86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3"/>
        </w:numPr>
        <w:tabs>
          <w:tab w:pos="630" w:val="left" w:leader="none"/>
        </w:tabs>
        <w:spacing w:line="417" w:lineRule="auto" w:before="0" w:after="0"/>
        <w:ind w:left="680" w:right="149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pStyle w:val="ListParagraph"/>
        <w:numPr>
          <w:ilvl w:val="1"/>
          <w:numId w:val="23"/>
        </w:numPr>
        <w:tabs>
          <w:tab w:pos="578" w:val="left" w:leader="none"/>
        </w:tabs>
        <w:spacing w:line="417" w:lineRule="auto" w:before="0" w:after="0"/>
        <w:ind w:left="680" w:right="176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pStyle w:val="ListParagraph"/>
        <w:numPr>
          <w:ilvl w:val="1"/>
          <w:numId w:val="23"/>
        </w:numPr>
        <w:tabs>
          <w:tab w:pos="578" w:val="left" w:leader="none"/>
        </w:tabs>
        <w:spacing w:line="269" w:lineRule="exact" w:before="0" w:after="0"/>
        <w:ind w:left="57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3"/>
        </w:numPr>
        <w:tabs>
          <w:tab w:pos="734" w:val="left" w:leader="none"/>
        </w:tabs>
        <w:spacing w:line="417" w:lineRule="auto" w:before="0" w:after="0"/>
        <w:ind w:left="680" w:right="3919" w:hanging="420"/>
        <w:jc w:val="left"/>
        <w:rPr>
          <w:sz w:val="21"/>
        </w:rPr>
      </w:pPr>
      <w:r>
        <w:rPr>
          <w:spacing w:val="-3"/>
          <w:sz w:val="21"/>
        </w:rPr>
        <w:t>报告期末本基金投资的股指期货持仓和损益明细本基金本报告期末无股指期货投资。</w:t>
      </w:r>
    </w:p>
    <w:p>
      <w:pPr>
        <w:pStyle w:val="ListParagraph"/>
        <w:numPr>
          <w:ilvl w:val="2"/>
          <w:numId w:val="23"/>
        </w:numPr>
        <w:tabs>
          <w:tab w:pos="734" w:val="left" w:leader="none"/>
        </w:tabs>
        <w:spacing w:line="269" w:lineRule="exact" w:before="0" w:after="0"/>
        <w:ind w:left="733" w:right="0" w:hanging="474"/>
        <w:jc w:val="left"/>
        <w:rPr>
          <w:sz w:val="21"/>
        </w:rPr>
      </w:pPr>
      <w:r>
        <w:rPr>
          <w:spacing w:val="-3"/>
          <w:sz w:val="21"/>
        </w:rPr>
        <w:t>本基金投资股指期货的投资政策</w:t>
      </w:r>
    </w:p>
    <w:p>
      <w:pPr>
        <w:pStyle w:val="BodyText"/>
        <w:spacing w:before="7"/>
        <w:rPr>
          <w:sz w:val="15"/>
        </w:rPr>
      </w:pPr>
    </w:p>
    <w:p>
      <w:pPr>
        <w:pStyle w:val="BodyText"/>
        <w:ind w:left="680"/>
      </w:pPr>
      <w:r>
        <w:rPr/>
        <w:t>本基金本报告期末无股指期货投资。</w:t>
      </w:r>
    </w:p>
    <w:p>
      <w:pPr>
        <w:pStyle w:val="BodyText"/>
        <w:spacing w:before="6"/>
        <w:rPr>
          <w:sz w:val="15"/>
        </w:rPr>
      </w:pPr>
    </w:p>
    <w:p>
      <w:pPr>
        <w:pStyle w:val="ListParagraph"/>
        <w:numPr>
          <w:ilvl w:val="1"/>
          <w:numId w:val="23"/>
        </w:numPr>
        <w:tabs>
          <w:tab w:pos="683" w:val="left" w:leader="none"/>
        </w:tabs>
        <w:spacing w:line="240" w:lineRule="auto" w:before="1" w:after="0"/>
        <w:ind w:left="682" w:right="0" w:hanging="423"/>
        <w:jc w:val="left"/>
        <w:rPr>
          <w:rFonts w:ascii="Times New Roman" w:eastAsia="Times New Roman"/>
          <w:sz w:val="21"/>
        </w:rPr>
      </w:pPr>
      <w:r>
        <w:rPr>
          <w:spacing w:val="-3"/>
          <w:sz w:val="21"/>
        </w:rPr>
        <w:t>报告期末本基金投资的国债期货交易情况说明</w:t>
      </w:r>
    </w:p>
    <w:p>
      <w:pPr>
        <w:pStyle w:val="BodyText"/>
        <w:spacing w:before="6"/>
        <w:rPr>
          <w:sz w:val="15"/>
        </w:rPr>
      </w:pPr>
    </w:p>
    <w:p>
      <w:pPr>
        <w:pStyle w:val="ListParagraph"/>
        <w:numPr>
          <w:ilvl w:val="2"/>
          <w:numId w:val="23"/>
        </w:numPr>
        <w:tabs>
          <w:tab w:pos="892" w:val="left" w:leader="none"/>
        </w:tabs>
        <w:spacing w:line="240" w:lineRule="auto" w:before="0" w:after="0"/>
        <w:ind w:left="891" w:right="0" w:hanging="632"/>
        <w:jc w:val="left"/>
        <w:rPr>
          <w:sz w:val="21"/>
        </w:rPr>
      </w:pPr>
      <w:r>
        <w:rPr>
          <w:spacing w:val="-3"/>
          <w:sz w:val="21"/>
        </w:rPr>
        <w:t>本期国债期货投资政策</w:t>
      </w:r>
    </w:p>
    <w:p>
      <w:pPr>
        <w:pStyle w:val="BodyText"/>
        <w:spacing w:before="7"/>
        <w:rPr>
          <w:sz w:val="15"/>
        </w:rPr>
      </w:pPr>
    </w:p>
    <w:p>
      <w:pPr>
        <w:pStyle w:val="BodyText"/>
        <w:ind w:left="680"/>
      </w:pPr>
      <w:r>
        <w:rPr/>
        <w:t>本基金本报告期末无国债期货投资。</w:t>
      </w:r>
    </w:p>
    <w:p>
      <w:pPr>
        <w:pStyle w:val="BodyText"/>
        <w:spacing w:before="7"/>
        <w:rPr>
          <w:sz w:val="15"/>
        </w:rPr>
      </w:pPr>
    </w:p>
    <w:p>
      <w:pPr>
        <w:pStyle w:val="ListParagraph"/>
        <w:numPr>
          <w:ilvl w:val="2"/>
          <w:numId w:val="23"/>
        </w:numPr>
        <w:tabs>
          <w:tab w:pos="892" w:val="left" w:leader="none"/>
        </w:tabs>
        <w:spacing w:line="417" w:lineRule="auto" w:before="0" w:after="0"/>
        <w:ind w:left="680" w:right="375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3"/>
        </w:numPr>
        <w:tabs>
          <w:tab w:pos="892" w:val="left" w:leader="none"/>
        </w:tabs>
        <w:spacing w:line="269" w:lineRule="exact" w:before="0" w:after="0"/>
        <w:ind w:left="891" w:right="0" w:hanging="632"/>
        <w:jc w:val="left"/>
        <w:rPr>
          <w:sz w:val="21"/>
        </w:rPr>
      </w:pPr>
      <w:r>
        <w:rPr>
          <w:spacing w:val="-3"/>
          <w:sz w:val="21"/>
        </w:rPr>
        <w:t>本期国债期货投资评价</w:t>
      </w:r>
    </w:p>
    <w:p>
      <w:pPr>
        <w:pStyle w:val="BodyText"/>
        <w:spacing w:before="7"/>
        <w:rPr>
          <w:sz w:val="15"/>
        </w:rPr>
      </w:pPr>
    </w:p>
    <w:p>
      <w:pPr>
        <w:pStyle w:val="BodyText"/>
        <w:ind w:left="680"/>
      </w:pPr>
      <w:r>
        <w:rPr/>
        <w:t>本基金本报告期末无国债期货投资。</w:t>
      </w:r>
    </w:p>
    <w:p>
      <w:pPr>
        <w:pStyle w:val="BodyText"/>
        <w:spacing w:before="7"/>
        <w:rPr>
          <w:sz w:val="15"/>
        </w:rPr>
      </w:pPr>
    </w:p>
    <w:p>
      <w:pPr>
        <w:pStyle w:val="ListParagraph"/>
        <w:numPr>
          <w:ilvl w:val="1"/>
          <w:numId w:val="23"/>
        </w:numPr>
        <w:tabs>
          <w:tab w:pos="674" w:val="left" w:leader="none"/>
        </w:tabs>
        <w:spacing w:line="240" w:lineRule="auto" w:before="0" w:after="0"/>
        <w:ind w:left="673" w:right="0" w:hanging="414"/>
        <w:jc w:val="left"/>
        <w:rPr>
          <w:rFonts w:ascii="Times New Roman" w:eastAsia="Times New Roman"/>
          <w:sz w:val="21"/>
        </w:rPr>
      </w:pPr>
      <w:r>
        <w:rPr>
          <w:spacing w:val="-3"/>
          <w:sz w:val="21"/>
        </w:rPr>
        <w:t>投资组合报告附注</w:t>
      </w:r>
    </w:p>
    <w:p>
      <w:pPr>
        <w:pStyle w:val="BodyText"/>
        <w:spacing w:before="6"/>
        <w:rPr>
          <w:sz w:val="15"/>
        </w:rPr>
      </w:pPr>
    </w:p>
    <w:p>
      <w:pPr>
        <w:pStyle w:val="ListParagraph"/>
        <w:numPr>
          <w:ilvl w:val="2"/>
          <w:numId w:val="23"/>
        </w:numPr>
        <w:tabs>
          <w:tab w:pos="839" w:val="left" w:leader="none"/>
        </w:tabs>
        <w:spacing w:line="417" w:lineRule="auto" w:before="1" w:after="0"/>
        <w:ind w:left="260" w:right="390" w:firstLine="0"/>
        <w:jc w:val="left"/>
        <w:rPr>
          <w:sz w:val="21"/>
        </w:rPr>
      </w:pPr>
      <w:r>
        <w:rPr>
          <w:spacing w:val="-7"/>
          <w:sz w:val="21"/>
        </w:rPr>
        <w:t>报告期内，本基金投资决策程序符合相关法律法规的要求，未发现本基金投资的前十</w:t>
      </w:r>
      <w:r>
        <w:rPr>
          <w:spacing w:val="-5"/>
          <w:sz w:val="21"/>
        </w:rPr>
        <w:t>名证券的发行主体本期出现被监管部门立案调查，或在报告编制日前一年内受到公开谴责、</w:t>
      </w:r>
      <w:r>
        <w:rPr>
          <w:spacing w:val="-4"/>
          <w:sz w:val="21"/>
        </w:rPr>
        <w:t>处罚的情形。</w:t>
      </w:r>
    </w:p>
    <w:p>
      <w:pPr>
        <w:spacing w:after="0" w:line="417" w:lineRule="auto"/>
        <w:jc w:val="left"/>
        <w:rPr>
          <w:sz w:val="21"/>
        </w:rPr>
        <w:sectPr>
          <w:pgSz w:w="11910" w:h="16840"/>
          <w:pgMar w:header="877" w:footer="995" w:top="1420" w:bottom="1180" w:left="1540" w:right="1300"/>
        </w:sectPr>
      </w:pPr>
    </w:p>
    <w:p>
      <w:pPr>
        <w:pStyle w:val="ListParagraph"/>
        <w:numPr>
          <w:ilvl w:val="2"/>
          <w:numId w:val="23"/>
        </w:numPr>
        <w:tabs>
          <w:tab w:pos="839" w:val="left" w:leader="none"/>
        </w:tabs>
        <w:spacing w:line="240" w:lineRule="auto" w:before="110" w:after="0"/>
        <w:ind w:left="838" w:right="0" w:hanging="579"/>
        <w:jc w:val="left"/>
        <w:rPr>
          <w:sz w:val="21"/>
        </w:rPr>
      </w:pPr>
      <w:r>
        <w:rPr>
          <w:spacing w:val="-3"/>
          <w:sz w:val="21"/>
        </w:rPr>
        <w:t>基金投资的前十名股票未超出基金合同规定的备选股票库。</w:t>
      </w:r>
    </w:p>
    <w:p>
      <w:pPr>
        <w:pStyle w:val="BodyText"/>
        <w:spacing w:before="6"/>
        <w:rPr>
          <w:sz w:val="15"/>
        </w:rPr>
      </w:pPr>
    </w:p>
    <w:p>
      <w:pPr>
        <w:pStyle w:val="ListParagraph"/>
        <w:numPr>
          <w:ilvl w:val="2"/>
          <w:numId w:val="23"/>
        </w:numPr>
        <w:tabs>
          <w:tab w:pos="832" w:val="left" w:leader="none"/>
        </w:tabs>
        <w:spacing w:line="240" w:lineRule="auto" w:before="0" w:after="0"/>
        <w:ind w:left="831" w:right="0" w:hanging="572"/>
        <w:jc w:val="left"/>
        <w:rPr>
          <w:sz w:val="21"/>
        </w:rPr>
      </w:pPr>
      <w:r>
        <w:rPr>
          <w:spacing w:val="-3"/>
          <w:sz w:val="21"/>
        </w:rPr>
        <w:t>其他资产构成</w:t>
      </w:r>
    </w:p>
    <w:p>
      <w:pPr>
        <w:pStyle w:val="BodyText"/>
        <w:spacing w:before="10"/>
        <w:rPr>
          <w:sz w:val="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rPr>
                <w:sz w:val="21"/>
              </w:rPr>
            </w:pPr>
            <w:r>
              <w:rPr>
                <w:sz w:val="21"/>
              </w:rPr>
              <w:t>221,025.65</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1"/>
              <w:rPr>
                <w:sz w:val="21"/>
              </w:rPr>
            </w:pPr>
            <w:r>
              <w:rPr>
                <w:sz w:val="21"/>
              </w:rPr>
              <w:t>12,515,872.76</w:t>
            </w:r>
          </w:p>
        </w:tc>
      </w:tr>
      <w:tr>
        <w:trPr>
          <w:trHeight w:val="496" w:hRule="atLeast"/>
        </w:trPr>
        <w:tc>
          <w:tcPr>
            <w:tcW w:w="1250" w:type="dxa"/>
          </w:tcPr>
          <w:p>
            <w:pPr>
              <w:pStyle w:val="TableParagraph"/>
              <w:spacing w:before="142"/>
              <w:ind w:left="21"/>
              <w:jc w:val="center"/>
              <w:rPr>
                <w:sz w:val="21"/>
              </w:rPr>
            </w:pPr>
            <w:r>
              <w:rPr>
                <w:w w:val="100"/>
                <w:sz w:val="21"/>
              </w:rPr>
              <w:t>3</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应收股利</w:t>
            </w:r>
          </w:p>
        </w:tc>
        <w:tc>
          <w:tcPr>
            <w:tcW w:w="4788" w:type="dxa"/>
          </w:tcPr>
          <w:p>
            <w:pPr>
              <w:pStyle w:val="TableParagraph"/>
              <w:spacing w:before="142"/>
              <w:ind w:right="91"/>
              <w:rPr>
                <w:sz w:val="21"/>
              </w:rPr>
            </w:pPr>
            <w:r>
              <w:rPr>
                <w:sz w:val="21"/>
              </w:rPr>
              <w:t>291,879.32</w:t>
            </w:r>
          </w:p>
        </w:tc>
      </w:tr>
      <w:tr>
        <w:trPr>
          <w:trHeight w:val="497" w:hRule="atLeast"/>
        </w:trPr>
        <w:tc>
          <w:tcPr>
            <w:tcW w:w="1250" w:type="dxa"/>
          </w:tcPr>
          <w:p>
            <w:pPr>
              <w:pStyle w:val="TableParagraph"/>
              <w:spacing w:before="142"/>
              <w:ind w:left="21"/>
              <w:jc w:val="center"/>
              <w:rPr>
                <w:sz w:val="21"/>
              </w:rPr>
            </w:pPr>
            <w:r>
              <w:rPr>
                <w:w w:val="100"/>
                <w:sz w:val="21"/>
              </w:rPr>
              <w:t>4</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应收利息</w:t>
            </w:r>
          </w:p>
        </w:tc>
        <w:tc>
          <w:tcPr>
            <w:tcW w:w="4788" w:type="dxa"/>
          </w:tcPr>
          <w:p>
            <w:pPr>
              <w:pStyle w:val="TableParagraph"/>
              <w:spacing w:before="142"/>
              <w:ind w:right="91"/>
              <w:rPr>
                <w:sz w:val="21"/>
              </w:rPr>
            </w:pPr>
            <w:r>
              <w:rPr>
                <w:sz w:val="21"/>
              </w:rPr>
              <w:t>4,590.31</w:t>
            </w:r>
          </w:p>
        </w:tc>
      </w:tr>
      <w:tr>
        <w:trPr>
          <w:trHeight w:val="496"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rPr>
                <w:sz w:val="21"/>
              </w:rPr>
            </w:pPr>
            <w:r>
              <w:rPr>
                <w:sz w:val="21"/>
              </w:rPr>
              <w:t>259,450.18</w:t>
            </w:r>
          </w:p>
        </w:tc>
      </w:tr>
      <w:tr>
        <w:trPr>
          <w:trHeight w:val="498" w:hRule="atLeast"/>
        </w:trPr>
        <w:tc>
          <w:tcPr>
            <w:tcW w:w="1250" w:type="dxa"/>
          </w:tcPr>
          <w:p>
            <w:pPr>
              <w:pStyle w:val="TableParagraph"/>
              <w:spacing w:before="144"/>
              <w:ind w:left="21"/>
              <w:jc w:val="center"/>
              <w:rPr>
                <w:sz w:val="21"/>
              </w:rPr>
            </w:pPr>
            <w:r>
              <w:rPr>
                <w:w w:val="100"/>
                <w:sz w:val="21"/>
              </w:rPr>
              <w:t>6</w:t>
            </w:r>
          </w:p>
        </w:tc>
        <w:tc>
          <w:tcPr>
            <w:tcW w:w="2376" w:type="dxa"/>
          </w:tcPr>
          <w:p>
            <w:pPr>
              <w:pStyle w:val="TableParagraph"/>
              <w:spacing w:before="133"/>
              <w:ind w:left="122"/>
              <w:jc w:val="left"/>
              <w:rPr>
                <w:rFonts w:ascii="宋体" w:eastAsia="宋体" w:hint="eastAsia"/>
                <w:sz w:val="21"/>
              </w:rPr>
            </w:pPr>
            <w:r>
              <w:rPr>
                <w:rFonts w:ascii="宋体" w:eastAsia="宋体" w:hint="eastAsia"/>
                <w:sz w:val="21"/>
              </w:rPr>
              <w:t>其他应收款</w:t>
            </w:r>
          </w:p>
        </w:tc>
        <w:tc>
          <w:tcPr>
            <w:tcW w:w="4788" w:type="dxa"/>
          </w:tcPr>
          <w:p>
            <w:pPr>
              <w:pStyle w:val="TableParagraph"/>
              <w:spacing w:before="144"/>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7</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待摊费用</w:t>
            </w:r>
          </w:p>
        </w:tc>
        <w:tc>
          <w:tcPr>
            <w:tcW w:w="4788" w:type="dxa"/>
          </w:tcPr>
          <w:p>
            <w:pPr>
              <w:pStyle w:val="TableParagraph"/>
              <w:spacing w:before="142"/>
              <w:ind w:right="93"/>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rPr>
                <w:sz w:val="21"/>
              </w:rPr>
            </w:pPr>
            <w:r>
              <w:rPr>
                <w:w w:val="100"/>
                <w:sz w:val="21"/>
              </w:rPr>
              <w:t>-</w:t>
            </w:r>
          </w:p>
        </w:tc>
      </w:tr>
      <w:tr>
        <w:trPr>
          <w:trHeight w:val="498" w:hRule="atLeast"/>
        </w:trPr>
        <w:tc>
          <w:tcPr>
            <w:tcW w:w="1250" w:type="dxa"/>
          </w:tcPr>
          <w:p>
            <w:pPr>
              <w:pStyle w:val="TableParagraph"/>
              <w:spacing w:before="142"/>
              <w:ind w:left="21"/>
              <w:jc w:val="center"/>
              <w:rPr>
                <w:sz w:val="21"/>
              </w:rPr>
            </w:pPr>
            <w:r>
              <w:rPr>
                <w:w w:val="100"/>
                <w:sz w:val="21"/>
              </w:rPr>
              <w:t>9</w:t>
            </w:r>
          </w:p>
        </w:tc>
        <w:tc>
          <w:tcPr>
            <w:tcW w:w="2376" w:type="dxa"/>
          </w:tcPr>
          <w:p>
            <w:pPr>
              <w:pStyle w:val="TableParagraph"/>
              <w:spacing w:before="130"/>
              <w:ind w:left="122"/>
              <w:jc w:val="left"/>
              <w:rPr>
                <w:rFonts w:ascii="宋体" w:eastAsia="宋体" w:hint="eastAsia"/>
                <w:sz w:val="21"/>
              </w:rPr>
            </w:pPr>
            <w:r>
              <w:rPr>
                <w:rFonts w:ascii="宋体" w:eastAsia="宋体" w:hint="eastAsia"/>
                <w:sz w:val="21"/>
              </w:rPr>
              <w:t>合计</w:t>
            </w:r>
          </w:p>
        </w:tc>
        <w:tc>
          <w:tcPr>
            <w:tcW w:w="4788" w:type="dxa"/>
          </w:tcPr>
          <w:p>
            <w:pPr>
              <w:pStyle w:val="TableParagraph"/>
              <w:spacing w:before="142"/>
              <w:ind w:right="91"/>
              <w:rPr>
                <w:sz w:val="21"/>
              </w:rPr>
            </w:pPr>
            <w:r>
              <w:rPr>
                <w:sz w:val="21"/>
              </w:rPr>
              <w:t>13,292,818.22</w:t>
            </w:r>
          </w:p>
        </w:tc>
      </w:tr>
    </w:tbl>
    <w:p>
      <w:pPr>
        <w:pStyle w:val="ListParagraph"/>
        <w:numPr>
          <w:ilvl w:val="2"/>
          <w:numId w:val="23"/>
        </w:numPr>
        <w:tabs>
          <w:tab w:pos="832" w:val="left" w:leader="none"/>
        </w:tabs>
        <w:spacing w:line="240" w:lineRule="auto" w:before="99" w:after="0"/>
        <w:ind w:left="831" w:right="0" w:hanging="572"/>
        <w:jc w:val="left"/>
        <w:rPr>
          <w:sz w:val="21"/>
        </w:rPr>
      </w:pPr>
      <w:r>
        <w:rPr>
          <w:spacing w:val="-3"/>
          <w:sz w:val="21"/>
        </w:rPr>
        <w:t>报告期末持有的处于转股期的可转换债券明细</w:t>
      </w:r>
    </w:p>
    <w:p>
      <w:pPr>
        <w:pStyle w:val="BodyText"/>
        <w:spacing w:before="7"/>
        <w:rPr>
          <w:sz w:val="15"/>
        </w:rPr>
      </w:pPr>
    </w:p>
    <w:p>
      <w:pPr>
        <w:pStyle w:val="BodyText"/>
        <w:ind w:left="680"/>
      </w:pPr>
      <w:r>
        <w:rPr/>
        <w:t>本基金本报告期末未持有处于转股期的可转换债券。</w:t>
      </w:r>
    </w:p>
    <w:p>
      <w:pPr>
        <w:pStyle w:val="BodyText"/>
        <w:spacing w:before="7"/>
        <w:rPr>
          <w:sz w:val="15"/>
        </w:rPr>
      </w:pPr>
    </w:p>
    <w:p>
      <w:pPr>
        <w:pStyle w:val="ListParagraph"/>
        <w:numPr>
          <w:ilvl w:val="2"/>
          <w:numId w:val="23"/>
        </w:numPr>
        <w:tabs>
          <w:tab w:pos="832" w:val="left" w:leader="none"/>
        </w:tabs>
        <w:spacing w:line="240" w:lineRule="auto" w:before="0" w:after="0"/>
        <w:ind w:left="831" w:right="0" w:hanging="572"/>
        <w:jc w:val="left"/>
        <w:rPr>
          <w:sz w:val="21"/>
        </w:rPr>
      </w:pPr>
      <w:r>
        <w:rPr>
          <w:spacing w:val="-3"/>
          <w:sz w:val="21"/>
        </w:rPr>
        <w:t>报告期末前十名股票中存在流通受限情况的说明</w:t>
      </w:r>
    </w:p>
    <w:p>
      <w:pPr>
        <w:pStyle w:val="BodyText"/>
        <w:spacing w:before="7"/>
        <w:rPr>
          <w:sz w:val="15"/>
        </w:rPr>
      </w:pPr>
    </w:p>
    <w:p>
      <w:pPr>
        <w:pStyle w:val="BodyText"/>
        <w:ind w:left="680"/>
      </w:pPr>
      <w:r>
        <w:rPr/>
        <w:t>本基金本报告期末前十名股票中不存在流通受限情况。</w:t>
      </w:r>
    </w:p>
    <w:p>
      <w:pPr>
        <w:pStyle w:val="BodyText"/>
        <w:spacing w:before="7"/>
        <w:rPr>
          <w:sz w:val="15"/>
        </w:rPr>
      </w:pPr>
    </w:p>
    <w:p>
      <w:pPr>
        <w:pStyle w:val="ListParagraph"/>
        <w:numPr>
          <w:ilvl w:val="2"/>
          <w:numId w:val="23"/>
        </w:numPr>
        <w:tabs>
          <w:tab w:pos="832" w:val="left" w:leader="none"/>
        </w:tabs>
        <w:spacing w:line="240" w:lineRule="auto" w:before="0" w:after="0"/>
        <w:ind w:left="831" w:right="0" w:hanging="572"/>
        <w:jc w:val="left"/>
        <w:rPr>
          <w:sz w:val="21"/>
        </w:rPr>
      </w:pPr>
      <w:r>
        <w:rPr>
          <w:spacing w:val="-3"/>
          <w:sz w:val="21"/>
        </w:rPr>
        <w:t>投资组合报告附注的其他文字描述部分</w:t>
      </w:r>
    </w:p>
    <w:p>
      <w:pPr>
        <w:pStyle w:val="BodyText"/>
        <w:spacing w:before="6"/>
        <w:rPr>
          <w:sz w:val="15"/>
        </w:rPr>
      </w:pPr>
    </w:p>
    <w:p>
      <w:pPr>
        <w:pStyle w:val="BodyText"/>
        <w:ind w:left="680"/>
      </w:pPr>
      <w:r>
        <w:rPr/>
        <w:t>由于四舍五入的原因，分项之和与合计项之间可能存在尾差。</w:t>
      </w:r>
    </w:p>
    <w:p>
      <w:pPr>
        <w:spacing w:after="0"/>
        <w:sectPr>
          <w:pgSz w:w="11910" w:h="16840"/>
          <w:pgMar w:header="877" w:footer="995" w:top="1420" w:bottom="1180" w:left="1540" w:right="1300"/>
        </w:sectPr>
      </w:pPr>
    </w:p>
    <w:p>
      <w:pPr>
        <w:pStyle w:val="BodyText"/>
        <w:spacing w:before="7"/>
        <w:rPr>
          <w:sz w:val="29"/>
        </w:rPr>
      </w:pPr>
    </w:p>
    <w:p>
      <w:pPr>
        <w:pStyle w:val="Heading1"/>
      </w:pPr>
      <w:bookmarkStart w:name="_bookmark9" w:id="10"/>
      <w:bookmarkEnd w:id="10"/>
      <w:r>
        <w:rPr>
          <w:b w:val="0"/>
        </w:rPr>
      </w:r>
      <w:r>
        <w:rPr/>
        <w:t>十、基金的业绩</w:t>
      </w:r>
    </w:p>
    <w:p>
      <w:pPr>
        <w:pStyle w:val="BodyText"/>
        <w:rPr>
          <w:b/>
          <w:sz w:val="20"/>
        </w:rPr>
      </w:pPr>
    </w:p>
    <w:p>
      <w:pPr>
        <w:pStyle w:val="BodyText"/>
        <w:spacing w:before="2"/>
        <w:rPr>
          <w:b/>
        </w:rPr>
      </w:pPr>
    </w:p>
    <w:p>
      <w:pPr>
        <w:pStyle w:val="BodyText"/>
        <w:spacing w:line="417" w:lineRule="auto"/>
        <w:ind w:left="260" w:right="49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260" w:right="491" w:firstLine="419"/>
      </w:pPr>
      <w:r>
        <w:rPr/>
        <w:pict>
          <v:shape style="position:absolute;margin-left:82.704002pt;margin-top:41.850025pt;width:442.55pt;height:165.05pt;mso-position-horizontal-relative:page;mso-position-vertical-relative:paragraph;z-index:2517227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1222"/>
                    <w:gridCol w:w="1121"/>
                    <w:gridCol w:w="1177"/>
                    <w:gridCol w:w="1160"/>
                    <w:gridCol w:w="1053"/>
                    <w:gridCol w:w="980"/>
                  </w:tblGrid>
                  <w:tr>
                    <w:trPr>
                      <w:trHeight w:val="1089" w:hRule="atLeast"/>
                    </w:trPr>
                    <w:tc>
                      <w:tcPr>
                        <w:tcW w:w="2126" w:type="dxa"/>
                      </w:tcPr>
                      <w:p>
                        <w:pPr>
                          <w:pStyle w:val="TableParagraph"/>
                          <w:spacing w:before="0"/>
                          <w:jc w:val="left"/>
                          <w:rPr>
                            <w:rFonts w:ascii="宋体"/>
                            <w:sz w:val="20"/>
                          </w:rPr>
                        </w:pPr>
                      </w:p>
                      <w:p>
                        <w:pPr>
                          <w:pStyle w:val="TableParagraph"/>
                          <w:tabs>
                            <w:tab w:pos="1274" w:val="left" w:leader="none"/>
                          </w:tabs>
                          <w:spacing w:before="155"/>
                          <w:ind w:left="642"/>
                          <w:jc w:val="left"/>
                          <w:rPr>
                            <w:rFonts w:ascii="宋体" w:eastAsia="宋体" w:hint="eastAsia"/>
                            <w:sz w:val="21"/>
                          </w:rPr>
                        </w:pPr>
                        <w:r>
                          <w:rPr>
                            <w:rFonts w:ascii="宋体" w:eastAsia="宋体" w:hint="eastAsia"/>
                            <w:sz w:val="21"/>
                          </w:rPr>
                          <w:t>阶</w:t>
                          <w:tab/>
                          <w:t>段</w:t>
                        </w:r>
                      </w:p>
                    </w:tc>
                    <w:tc>
                      <w:tcPr>
                        <w:tcW w:w="1222" w:type="dxa"/>
                      </w:tcPr>
                      <w:p>
                        <w:pPr>
                          <w:pStyle w:val="TableParagraph"/>
                          <w:spacing w:before="5"/>
                          <w:jc w:val="left"/>
                          <w:rPr>
                            <w:rFonts w:ascii="宋体"/>
                            <w:sz w:val="21"/>
                          </w:rPr>
                        </w:pPr>
                      </w:p>
                      <w:p>
                        <w:pPr>
                          <w:pStyle w:val="TableParagraph"/>
                          <w:spacing w:line="242" w:lineRule="auto" w:before="0"/>
                          <w:ind w:left="401" w:right="177" w:hanging="212"/>
                          <w:jc w:val="left"/>
                          <w:rPr>
                            <w:rFonts w:ascii="宋体" w:hAnsi="宋体" w:eastAsia="宋体" w:hint="eastAsia"/>
                            <w:sz w:val="21"/>
                          </w:rPr>
                        </w:pPr>
                        <w:r>
                          <w:rPr>
                            <w:rFonts w:ascii="宋体" w:hAnsi="宋体" w:eastAsia="宋体" w:hint="eastAsia"/>
                            <w:sz w:val="21"/>
                          </w:rPr>
                          <w:t>净值增长率①</w:t>
                        </w:r>
                      </w:p>
                    </w:tc>
                    <w:tc>
                      <w:tcPr>
                        <w:tcW w:w="1121" w:type="dxa"/>
                      </w:tcPr>
                      <w:p>
                        <w:pPr>
                          <w:pStyle w:val="TableParagraph"/>
                          <w:spacing w:line="244" w:lineRule="auto" w:before="138"/>
                          <w:ind w:left="139" w:right="127"/>
                          <w:jc w:val="center"/>
                          <w:rPr>
                            <w:rFonts w:ascii="宋体" w:eastAsia="宋体" w:hint="eastAsia"/>
                            <w:sz w:val="21"/>
                          </w:rPr>
                        </w:pPr>
                        <w:r>
                          <w:rPr>
                            <w:rFonts w:ascii="宋体" w:eastAsia="宋体" w:hint="eastAsia"/>
                            <w:sz w:val="21"/>
                          </w:rPr>
                          <w:t>净值增长率标准差</w:t>
                        </w:r>
                      </w:p>
                      <w:p>
                        <w:pPr>
                          <w:pStyle w:val="TableParagraph"/>
                          <w:spacing w:line="265" w:lineRule="exact" w:before="0"/>
                          <w:ind w:left="8"/>
                          <w:jc w:val="center"/>
                          <w:rPr>
                            <w:rFonts w:ascii="宋体" w:hAnsi="宋体"/>
                            <w:sz w:val="21"/>
                          </w:rPr>
                        </w:pPr>
                        <w:r>
                          <w:rPr>
                            <w:rFonts w:ascii="宋体" w:hAnsi="宋体"/>
                            <w:w w:val="100"/>
                            <w:sz w:val="21"/>
                          </w:rPr>
                          <w:t>②</w:t>
                        </w:r>
                      </w:p>
                    </w:tc>
                    <w:tc>
                      <w:tcPr>
                        <w:tcW w:w="1177" w:type="dxa"/>
                      </w:tcPr>
                      <w:p>
                        <w:pPr>
                          <w:pStyle w:val="TableParagraph"/>
                          <w:spacing w:line="242" w:lineRule="auto" w:before="138"/>
                          <w:ind w:left="165" w:right="156"/>
                          <w:jc w:val="center"/>
                          <w:rPr>
                            <w:rFonts w:ascii="宋体" w:hAnsi="宋体" w:eastAsia="宋体" w:hint="eastAsia"/>
                            <w:sz w:val="21"/>
                          </w:rPr>
                        </w:pPr>
                        <w:r>
                          <w:rPr>
                            <w:rFonts w:ascii="宋体" w:hAnsi="宋体" w:eastAsia="宋体" w:hint="eastAsia"/>
                            <w:sz w:val="21"/>
                          </w:rPr>
                          <w:t>业绩比较基准收益率③</w:t>
                        </w:r>
                      </w:p>
                    </w:tc>
                    <w:tc>
                      <w:tcPr>
                        <w:tcW w:w="1160" w:type="dxa"/>
                      </w:tcPr>
                      <w:p>
                        <w:pPr>
                          <w:pStyle w:val="TableParagraph"/>
                          <w:spacing w:line="242" w:lineRule="auto" w:before="1"/>
                          <w:ind w:left="160" w:right="145"/>
                          <w:jc w:val="both"/>
                          <w:rPr>
                            <w:rFonts w:ascii="宋体" w:eastAsia="宋体" w:hint="eastAsia"/>
                            <w:sz w:val="21"/>
                          </w:rPr>
                        </w:pPr>
                        <w:r>
                          <w:rPr>
                            <w:rFonts w:ascii="宋体" w:eastAsia="宋体" w:hint="eastAsia"/>
                            <w:sz w:val="21"/>
                          </w:rPr>
                          <w:t>业绩比较基准收益率标准差</w:t>
                        </w:r>
                      </w:p>
                      <w:p>
                        <w:pPr>
                          <w:pStyle w:val="TableParagraph"/>
                          <w:spacing w:line="250" w:lineRule="exact" w:before="3"/>
                          <w:ind w:left="10"/>
                          <w:jc w:val="center"/>
                          <w:rPr>
                            <w:rFonts w:ascii="宋体" w:hAnsi="宋体"/>
                            <w:sz w:val="21"/>
                          </w:rPr>
                        </w:pPr>
                        <w:r>
                          <w:rPr>
                            <w:rFonts w:ascii="宋体" w:hAnsi="宋体"/>
                            <w:w w:val="100"/>
                            <w:sz w:val="21"/>
                          </w:rPr>
                          <w:t>④</w:t>
                        </w:r>
                      </w:p>
                    </w:tc>
                    <w:tc>
                      <w:tcPr>
                        <w:tcW w:w="1053" w:type="dxa"/>
                      </w:tcPr>
                      <w:p>
                        <w:pPr>
                          <w:pStyle w:val="TableParagraph"/>
                          <w:spacing w:before="0"/>
                          <w:jc w:val="left"/>
                          <w:rPr>
                            <w:rFonts w:ascii="宋体"/>
                            <w:sz w:val="20"/>
                          </w:rPr>
                        </w:pPr>
                      </w:p>
                      <w:p>
                        <w:pPr>
                          <w:pStyle w:val="TableParagraph"/>
                          <w:spacing w:before="155"/>
                          <w:ind w:left="207"/>
                          <w:jc w:val="left"/>
                          <w:rPr>
                            <w:rFonts w:ascii="宋体" w:hAnsi="宋体" w:eastAsia="宋体" w:hint="eastAsia"/>
                            <w:sz w:val="21"/>
                          </w:rPr>
                        </w:pPr>
                        <w:r>
                          <w:rPr>
                            <w:rFonts w:ascii="宋体" w:hAnsi="宋体" w:eastAsia="宋体" w:hint="eastAsia"/>
                            <w:sz w:val="21"/>
                          </w:rPr>
                          <w:t>①－③</w:t>
                        </w:r>
                      </w:p>
                    </w:tc>
                    <w:tc>
                      <w:tcPr>
                        <w:tcW w:w="980" w:type="dxa"/>
                      </w:tcPr>
                      <w:p>
                        <w:pPr>
                          <w:pStyle w:val="TableParagraph"/>
                          <w:spacing w:before="0"/>
                          <w:jc w:val="left"/>
                          <w:rPr>
                            <w:rFonts w:ascii="宋体"/>
                            <w:sz w:val="20"/>
                          </w:rPr>
                        </w:pPr>
                      </w:p>
                      <w:p>
                        <w:pPr>
                          <w:pStyle w:val="TableParagraph"/>
                          <w:spacing w:before="155"/>
                          <w:ind w:right="164"/>
                          <w:rPr>
                            <w:rFonts w:ascii="宋体" w:hAnsi="宋体" w:eastAsia="宋体" w:hint="eastAsia"/>
                            <w:sz w:val="21"/>
                          </w:rPr>
                        </w:pPr>
                        <w:r>
                          <w:rPr>
                            <w:rFonts w:ascii="宋体" w:hAnsi="宋体" w:eastAsia="宋体" w:hint="eastAsia"/>
                            <w:sz w:val="21"/>
                          </w:rPr>
                          <w:t>②－④</w:t>
                        </w:r>
                      </w:p>
                    </w:tc>
                  </w:tr>
                  <w:tr>
                    <w:trPr>
                      <w:trHeight w:val="719" w:hRule="atLeast"/>
                    </w:trPr>
                    <w:tc>
                      <w:tcPr>
                        <w:tcW w:w="2126" w:type="dxa"/>
                      </w:tcPr>
                      <w:p>
                        <w:pPr>
                          <w:pStyle w:val="TableParagraph"/>
                          <w:spacing w:before="70"/>
                          <w:ind w:left="107"/>
                          <w:jc w:val="left"/>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8</w:t>
                        </w:r>
                        <w:r>
                          <w:rPr>
                            <w:spacing w:val="-1"/>
                            <w:sz w:val="21"/>
                          </w:rPr>
                          <w:t> </w:t>
                        </w:r>
                        <w:r>
                          <w:rPr>
                            <w:rFonts w:ascii="宋体" w:eastAsia="宋体" w:hint="eastAsia"/>
                            <w:spacing w:val="-26"/>
                            <w:sz w:val="21"/>
                          </w:rPr>
                          <w:t>月 </w:t>
                        </w:r>
                        <w:r>
                          <w:rPr>
                            <w:sz w:val="21"/>
                          </w:rPr>
                          <w:t>7</w:t>
                        </w:r>
                        <w:r>
                          <w:rPr>
                            <w:spacing w:val="-1"/>
                            <w:sz w:val="21"/>
                          </w:rPr>
                          <w:t>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2018</w:t>
                        </w:r>
                        <w:r>
                          <w:rPr>
                            <w:spacing w:val="-3"/>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222" w:type="dxa"/>
                      </w:tcPr>
                      <w:p>
                        <w:pPr>
                          <w:pStyle w:val="TableParagraph"/>
                          <w:spacing w:before="4"/>
                          <w:jc w:val="left"/>
                          <w:rPr>
                            <w:rFonts w:ascii="宋体"/>
                            <w:sz w:val="25"/>
                          </w:rPr>
                        </w:pPr>
                      </w:p>
                      <w:p>
                        <w:pPr>
                          <w:pStyle w:val="TableParagraph"/>
                          <w:spacing w:before="0"/>
                          <w:ind w:right="94"/>
                          <w:rPr>
                            <w:sz w:val="21"/>
                          </w:rPr>
                        </w:pPr>
                        <w:r>
                          <w:rPr>
                            <w:sz w:val="21"/>
                          </w:rPr>
                          <w:t>-7.05%</w:t>
                        </w:r>
                      </w:p>
                    </w:tc>
                    <w:tc>
                      <w:tcPr>
                        <w:tcW w:w="1121" w:type="dxa"/>
                      </w:tcPr>
                      <w:p>
                        <w:pPr>
                          <w:pStyle w:val="TableParagraph"/>
                          <w:spacing w:before="4"/>
                          <w:jc w:val="left"/>
                          <w:rPr>
                            <w:rFonts w:ascii="宋体"/>
                            <w:sz w:val="25"/>
                          </w:rPr>
                        </w:pPr>
                      </w:p>
                      <w:p>
                        <w:pPr>
                          <w:pStyle w:val="TableParagraph"/>
                          <w:spacing w:before="0"/>
                          <w:ind w:right="92"/>
                          <w:rPr>
                            <w:sz w:val="21"/>
                          </w:rPr>
                        </w:pPr>
                        <w:r>
                          <w:rPr>
                            <w:sz w:val="21"/>
                          </w:rPr>
                          <w:t>0.37%</w:t>
                        </w:r>
                      </w:p>
                    </w:tc>
                    <w:tc>
                      <w:tcPr>
                        <w:tcW w:w="1177" w:type="dxa"/>
                      </w:tcPr>
                      <w:p>
                        <w:pPr>
                          <w:pStyle w:val="TableParagraph"/>
                          <w:spacing w:before="4"/>
                          <w:jc w:val="left"/>
                          <w:rPr>
                            <w:rFonts w:ascii="宋体"/>
                            <w:sz w:val="25"/>
                          </w:rPr>
                        </w:pPr>
                      </w:p>
                      <w:p>
                        <w:pPr>
                          <w:pStyle w:val="TableParagraph"/>
                          <w:spacing w:before="0"/>
                          <w:ind w:right="98"/>
                          <w:rPr>
                            <w:sz w:val="21"/>
                          </w:rPr>
                        </w:pPr>
                        <w:r>
                          <w:rPr>
                            <w:sz w:val="21"/>
                          </w:rPr>
                          <w:t>-6.38%</w:t>
                        </w:r>
                      </w:p>
                    </w:tc>
                    <w:tc>
                      <w:tcPr>
                        <w:tcW w:w="1160" w:type="dxa"/>
                      </w:tcPr>
                      <w:p>
                        <w:pPr>
                          <w:pStyle w:val="TableParagraph"/>
                          <w:spacing w:before="4"/>
                          <w:jc w:val="left"/>
                          <w:rPr>
                            <w:rFonts w:ascii="宋体"/>
                            <w:sz w:val="25"/>
                          </w:rPr>
                        </w:pPr>
                      </w:p>
                      <w:p>
                        <w:pPr>
                          <w:pStyle w:val="TableParagraph"/>
                          <w:spacing w:before="0"/>
                          <w:ind w:right="91"/>
                          <w:rPr>
                            <w:sz w:val="21"/>
                          </w:rPr>
                        </w:pPr>
                        <w:r>
                          <w:rPr>
                            <w:sz w:val="21"/>
                          </w:rPr>
                          <w:t>1.24%</w:t>
                        </w:r>
                      </w:p>
                    </w:tc>
                    <w:tc>
                      <w:tcPr>
                        <w:tcW w:w="1053" w:type="dxa"/>
                      </w:tcPr>
                      <w:p>
                        <w:pPr>
                          <w:pStyle w:val="TableParagraph"/>
                          <w:spacing w:before="4"/>
                          <w:jc w:val="left"/>
                          <w:rPr>
                            <w:rFonts w:ascii="宋体"/>
                            <w:sz w:val="25"/>
                          </w:rPr>
                        </w:pPr>
                      </w:p>
                      <w:p>
                        <w:pPr>
                          <w:pStyle w:val="TableParagraph"/>
                          <w:spacing w:before="0"/>
                          <w:ind w:right="100"/>
                          <w:rPr>
                            <w:sz w:val="21"/>
                          </w:rPr>
                        </w:pPr>
                        <w:r>
                          <w:rPr>
                            <w:sz w:val="21"/>
                          </w:rPr>
                          <w:t>-0.67%</w:t>
                        </w:r>
                      </w:p>
                    </w:tc>
                    <w:tc>
                      <w:tcPr>
                        <w:tcW w:w="980" w:type="dxa"/>
                      </w:tcPr>
                      <w:p>
                        <w:pPr>
                          <w:pStyle w:val="TableParagraph"/>
                          <w:spacing w:before="4"/>
                          <w:jc w:val="left"/>
                          <w:rPr>
                            <w:rFonts w:ascii="宋体"/>
                            <w:sz w:val="25"/>
                          </w:rPr>
                        </w:pPr>
                      </w:p>
                      <w:p>
                        <w:pPr>
                          <w:pStyle w:val="TableParagraph"/>
                          <w:spacing w:before="0"/>
                          <w:ind w:right="98"/>
                          <w:rPr>
                            <w:sz w:val="21"/>
                          </w:rPr>
                        </w:pPr>
                        <w:r>
                          <w:rPr>
                            <w:sz w:val="21"/>
                          </w:rPr>
                          <w:t>-0.87%</w:t>
                        </w:r>
                      </w:p>
                    </w:tc>
                  </w:tr>
                  <w:tr>
                    <w:trPr>
                      <w:trHeight w:val="721" w:hRule="atLeast"/>
                    </w:trPr>
                    <w:tc>
                      <w:tcPr>
                        <w:tcW w:w="2126" w:type="dxa"/>
                      </w:tcPr>
                      <w:p>
                        <w:pPr>
                          <w:pStyle w:val="TableParagraph"/>
                          <w:spacing w:before="73"/>
                          <w:ind w:left="107"/>
                          <w:jc w:val="left"/>
                          <w:rPr>
                            <w:rFonts w:ascii="宋体" w:eastAsia="宋体" w:hint="eastAsia"/>
                            <w:sz w:val="21"/>
                          </w:rPr>
                        </w:pPr>
                        <w:r>
                          <w:rPr>
                            <w:sz w:val="21"/>
                          </w:rPr>
                          <w:t>2019</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2019</w:t>
                        </w:r>
                        <w:r>
                          <w:rPr>
                            <w:spacing w:val="-3"/>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1222" w:type="dxa"/>
                      </w:tcPr>
                      <w:p>
                        <w:pPr>
                          <w:pStyle w:val="TableParagraph"/>
                          <w:spacing w:before="6"/>
                          <w:jc w:val="left"/>
                          <w:rPr>
                            <w:rFonts w:ascii="宋体"/>
                            <w:sz w:val="25"/>
                          </w:rPr>
                        </w:pPr>
                      </w:p>
                      <w:p>
                        <w:pPr>
                          <w:pStyle w:val="TableParagraph"/>
                          <w:spacing w:before="0"/>
                          <w:ind w:right="92"/>
                          <w:rPr>
                            <w:sz w:val="21"/>
                          </w:rPr>
                        </w:pPr>
                        <w:r>
                          <w:rPr>
                            <w:sz w:val="21"/>
                          </w:rPr>
                          <w:t>37.07%</w:t>
                        </w:r>
                      </w:p>
                    </w:tc>
                    <w:tc>
                      <w:tcPr>
                        <w:tcW w:w="1121" w:type="dxa"/>
                      </w:tcPr>
                      <w:p>
                        <w:pPr>
                          <w:pStyle w:val="TableParagraph"/>
                          <w:spacing w:before="6"/>
                          <w:jc w:val="left"/>
                          <w:rPr>
                            <w:rFonts w:ascii="宋体"/>
                            <w:sz w:val="25"/>
                          </w:rPr>
                        </w:pPr>
                      </w:p>
                      <w:p>
                        <w:pPr>
                          <w:pStyle w:val="TableParagraph"/>
                          <w:spacing w:before="0"/>
                          <w:ind w:right="92"/>
                          <w:rPr>
                            <w:sz w:val="21"/>
                          </w:rPr>
                        </w:pPr>
                        <w:r>
                          <w:rPr>
                            <w:sz w:val="21"/>
                          </w:rPr>
                          <w:t>1.55%</w:t>
                        </w:r>
                      </w:p>
                    </w:tc>
                    <w:tc>
                      <w:tcPr>
                        <w:tcW w:w="1177" w:type="dxa"/>
                      </w:tcPr>
                      <w:p>
                        <w:pPr>
                          <w:pStyle w:val="TableParagraph"/>
                          <w:spacing w:before="6"/>
                          <w:jc w:val="left"/>
                          <w:rPr>
                            <w:rFonts w:ascii="宋体"/>
                            <w:sz w:val="25"/>
                          </w:rPr>
                        </w:pPr>
                      </w:p>
                      <w:p>
                        <w:pPr>
                          <w:pStyle w:val="TableParagraph"/>
                          <w:spacing w:before="0"/>
                          <w:ind w:right="95"/>
                          <w:rPr>
                            <w:sz w:val="21"/>
                          </w:rPr>
                        </w:pPr>
                        <w:r>
                          <w:rPr>
                            <w:sz w:val="21"/>
                          </w:rPr>
                          <w:t>22.84%</w:t>
                        </w:r>
                      </w:p>
                    </w:tc>
                    <w:tc>
                      <w:tcPr>
                        <w:tcW w:w="1160" w:type="dxa"/>
                      </w:tcPr>
                      <w:p>
                        <w:pPr>
                          <w:pStyle w:val="TableParagraph"/>
                          <w:spacing w:before="6"/>
                          <w:jc w:val="left"/>
                          <w:rPr>
                            <w:rFonts w:ascii="宋体"/>
                            <w:sz w:val="25"/>
                          </w:rPr>
                        </w:pPr>
                      </w:p>
                      <w:p>
                        <w:pPr>
                          <w:pStyle w:val="TableParagraph"/>
                          <w:spacing w:before="0"/>
                          <w:ind w:right="91"/>
                          <w:rPr>
                            <w:sz w:val="21"/>
                          </w:rPr>
                        </w:pPr>
                        <w:r>
                          <w:rPr>
                            <w:sz w:val="21"/>
                          </w:rPr>
                          <w:t>0.92%</w:t>
                        </w:r>
                      </w:p>
                    </w:tc>
                    <w:tc>
                      <w:tcPr>
                        <w:tcW w:w="1053" w:type="dxa"/>
                      </w:tcPr>
                      <w:p>
                        <w:pPr>
                          <w:pStyle w:val="TableParagraph"/>
                          <w:spacing w:before="6"/>
                          <w:jc w:val="left"/>
                          <w:rPr>
                            <w:rFonts w:ascii="宋体"/>
                            <w:sz w:val="25"/>
                          </w:rPr>
                        </w:pPr>
                      </w:p>
                      <w:p>
                        <w:pPr>
                          <w:pStyle w:val="TableParagraph"/>
                          <w:spacing w:before="0"/>
                          <w:ind w:right="98"/>
                          <w:rPr>
                            <w:sz w:val="21"/>
                          </w:rPr>
                        </w:pPr>
                        <w:r>
                          <w:rPr>
                            <w:sz w:val="21"/>
                          </w:rPr>
                          <w:t>14.23%</w:t>
                        </w:r>
                      </w:p>
                    </w:tc>
                    <w:tc>
                      <w:tcPr>
                        <w:tcW w:w="980" w:type="dxa"/>
                      </w:tcPr>
                      <w:p>
                        <w:pPr>
                          <w:pStyle w:val="TableParagraph"/>
                          <w:spacing w:before="6"/>
                          <w:jc w:val="left"/>
                          <w:rPr>
                            <w:rFonts w:ascii="宋体"/>
                            <w:sz w:val="25"/>
                          </w:rPr>
                        </w:pPr>
                      </w:p>
                      <w:p>
                        <w:pPr>
                          <w:pStyle w:val="TableParagraph"/>
                          <w:spacing w:before="0"/>
                          <w:ind w:right="96"/>
                          <w:rPr>
                            <w:sz w:val="21"/>
                          </w:rPr>
                        </w:pPr>
                        <w:r>
                          <w:rPr>
                            <w:sz w:val="21"/>
                          </w:rPr>
                          <w:t>0.63%</w:t>
                        </w:r>
                      </w:p>
                    </w:tc>
                  </w:tr>
                  <w:tr>
                    <w:trPr>
                      <w:trHeight w:val="720" w:hRule="atLeast"/>
                    </w:trPr>
                    <w:tc>
                      <w:tcPr>
                        <w:tcW w:w="2126" w:type="dxa"/>
                      </w:tcPr>
                      <w:p>
                        <w:pPr>
                          <w:pStyle w:val="TableParagraph"/>
                          <w:spacing w:before="70"/>
                          <w:ind w:left="107"/>
                          <w:jc w:val="left"/>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日至</w:t>
                        </w:r>
                      </w:p>
                      <w:p>
                        <w:pPr>
                          <w:pStyle w:val="TableParagraph"/>
                          <w:spacing w:before="43"/>
                          <w:ind w:left="107"/>
                          <w:jc w:val="left"/>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222" w:type="dxa"/>
                      </w:tcPr>
                      <w:p>
                        <w:pPr>
                          <w:pStyle w:val="TableParagraph"/>
                          <w:spacing w:before="4"/>
                          <w:jc w:val="left"/>
                          <w:rPr>
                            <w:rFonts w:ascii="宋体"/>
                            <w:sz w:val="25"/>
                          </w:rPr>
                        </w:pPr>
                      </w:p>
                      <w:p>
                        <w:pPr>
                          <w:pStyle w:val="TableParagraph"/>
                          <w:spacing w:before="0"/>
                          <w:ind w:right="92"/>
                          <w:rPr>
                            <w:sz w:val="21"/>
                          </w:rPr>
                        </w:pPr>
                        <w:r>
                          <w:rPr>
                            <w:sz w:val="21"/>
                          </w:rPr>
                          <w:t>26.51%</w:t>
                        </w:r>
                      </w:p>
                    </w:tc>
                    <w:tc>
                      <w:tcPr>
                        <w:tcW w:w="1121" w:type="dxa"/>
                      </w:tcPr>
                      <w:p>
                        <w:pPr>
                          <w:pStyle w:val="TableParagraph"/>
                          <w:spacing w:before="4"/>
                          <w:jc w:val="left"/>
                          <w:rPr>
                            <w:rFonts w:ascii="宋体"/>
                            <w:sz w:val="25"/>
                          </w:rPr>
                        </w:pPr>
                      </w:p>
                      <w:p>
                        <w:pPr>
                          <w:pStyle w:val="TableParagraph"/>
                          <w:spacing w:before="0"/>
                          <w:ind w:right="92"/>
                          <w:rPr>
                            <w:sz w:val="21"/>
                          </w:rPr>
                        </w:pPr>
                        <w:r>
                          <w:rPr>
                            <w:sz w:val="21"/>
                          </w:rPr>
                          <w:t>2.18%</w:t>
                        </w:r>
                      </w:p>
                    </w:tc>
                    <w:tc>
                      <w:tcPr>
                        <w:tcW w:w="1177" w:type="dxa"/>
                      </w:tcPr>
                      <w:p>
                        <w:pPr>
                          <w:pStyle w:val="TableParagraph"/>
                          <w:spacing w:before="4"/>
                          <w:jc w:val="left"/>
                          <w:rPr>
                            <w:rFonts w:ascii="宋体"/>
                            <w:sz w:val="25"/>
                          </w:rPr>
                        </w:pPr>
                      </w:p>
                      <w:p>
                        <w:pPr>
                          <w:pStyle w:val="TableParagraph"/>
                          <w:spacing w:before="0"/>
                          <w:ind w:right="98"/>
                          <w:rPr>
                            <w:sz w:val="21"/>
                          </w:rPr>
                        </w:pPr>
                        <w:r>
                          <w:rPr>
                            <w:sz w:val="21"/>
                          </w:rPr>
                          <w:t>-3.49%</w:t>
                        </w:r>
                      </w:p>
                    </w:tc>
                    <w:tc>
                      <w:tcPr>
                        <w:tcW w:w="1160" w:type="dxa"/>
                      </w:tcPr>
                      <w:p>
                        <w:pPr>
                          <w:pStyle w:val="TableParagraph"/>
                          <w:spacing w:before="4"/>
                          <w:jc w:val="left"/>
                          <w:rPr>
                            <w:rFonts w:ascii="宋体"/>
                            <w:sz w:val="25"/>
                          </w:rPr>
                        </w:pPr>
                      </w:p>
                      <w:p>
                        <w:pPr>
                          <w:pStyle w:val="TableParagraph"/>
                          <w:spacing w:before="0"/>
                          <w:ind w:right="91"/>
                          <w:rPr>
                            <w:sz w:val="21"/>
                          </w:rPr>
                        </w:pPr>
                        <w:r>
                          <w:rPr>
                            <w:sz w:val="21"/>
                          </w:rPr>
                          <w:t>1.41%</w:t>
                        </w:r>
                      </w:p>
                    </w:tc>
                    <w:tc>
                      <w:tcPr>
                        <w:tcW w:w="1053" w:type="dxa"/>
                      </w:tcPr>
                      <w:p>
                        <w:pPr>
                          <w:pStyle w:val="TableParagraph"/>
                          <w:spacing w:before="4"/>
                          <w:jc w:val="left"/>
                          <w:rPr>
                            <w:rFonts w:ascii="宋体"/>
                            <w:sz w:val="25"/>
                          </w:rPr>
                        </w:pPr>
                      </w:p>
                      <w:p>
                        <w:pPr>
                          <w:pStyle w:val="TableParagraph"/>
                          <w:spacing w:before="0"/>
                          <w:ind w:right="98"/>
                          <w:rPr>
                            <w:sz w:val="21"/>
                          </w:rPr>
                        </w:pPr>
                        <w:r>
                          <w:rPr>
                            <w:sz w:val="21"/>
                          </w:rPr>
                          <w:t>30.00%</w:t>
                        </w:r>
                      </w:p>
                    </w:tc>
                    <w:tc>
                      <w:tcPr>
                        <w:tcW w:w="980" w:type="dxa"/>
                      </w:tcPr>
                      <w:p>
                        <w:pPr>
                          <w:pStyle w:val="TableParagraph"/>
                          <w:spacing w:before="4"/>
                          <w:jc w:val="left"/>
                          <w:rPr>
                            <w:rFonts w:ascii="宋体"/>
                            <w:sz w:val="25"/>
                          </w:rPr>
                        </w:pPr>
                      </w:p>
                      <w:p>
                        <w:pPr>
                          <w:pStyle w:val="TableParagraph"/>
                          <w:spacing w:before="0"/>
                          <w:ind w:right="96"/>
                          <w:rPr>
                            <w:sz w:val="21"/>
                          </w:rPr>
                        </w:pPr>
                        <w:r>
                          <w:rPr>
                            <w:sz w:val="21"/>
                          </w:rPr>
                          <w:t>0.77%</w:t>
                        </w:r>
                      </w:p>
                    </w:tc>
                  </w:tr>
                </w:tbl>
                <w:p>
                  <w:pPr>
                    <w:pStyle w:val="BodyText"/>
                  </w:pPr>
                </w:p>
              </w:txbxContent>
            </v:textbox>
            <w10:wrap type="none"/>
          </v:shape>
        </w:pict>
      </w:r>
      <w:r>
        <w:rPr>
          <w:spacing w:val="-7"/>
        </w:rPr>
        <w:t>下述基金业绩指标不包括持有人认购或交易基金的各项费用，计入费用后实际收益水平</w:t>
      </w:r>
      <w:r>
        <w:rPr>
          <w:spacing w:val="-5"/>
        </w:rPr>
        <w:t>要低于所列数字。</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pPr>
      <w:bookmarkStart w:name="_bookmark10" w:id="11"/>
      <w:bookmarkEnd w:id="11"/>
      <w:r>
        <w:rPr>
          <w:b w:val="0"/>
        </w:rPr>
      </w:r>
      <w:r>
        <w:rPr/>
        <w:t>十一、基金的财产</w:t>
      </w:r>
    </w:p>
    <w:p>
      <w:pPr>
        <w:pStyle w:val="BodyText"/>
        <w:rPr>
          <w:b/>
          <w:sz w:val="20"/>
        </w:rPr>
      </w:pPr>
    </w:p>
    <w:p>
      <w:pPr>
        <w:pStyle w:val="BodyText"/>
        <w:spacing w:before="8"/>
        <w:rPr>
          <w:b/>
          <w:sz w:val="15"/>
        </w:rPr>
      </w:pPr>
    </w:p>
    <w:p>
      <w:pPr>
        <w:pStyle w:val="BodyText"/>
        <w:spacing w:before="71"/>
        <w:ind w:left="680"/>
      </w:pPr>
      <w:r>
        <w:rPr/>
        <w:t>（一）基金资产总值</w:t>
      </w:r>
    </w:p>
    <w:p>
      <w:pPr>
        <w:pStyle w:val="BodyText"/>
        <w:spacing w:before="7"/>
        <w:rPr>
          <w:sz w:val="15"/>
        </w:rPr>
      </w:pPr>
    </w:p>
    <w:p>
      <w:pPr>
        <w:pStyle w:val="BodyText"/>
        <w:spacing w:line="417" w:lineRule="auto"/>
        <w:ind w:left="260" w:right="491" w:firstLine="419"/>
      </w:pPr>
      <w:r>
        <w:rPr>
          <w:spacing w:val="-8"/>
        </w:rPr>
        <w:t>基金资产总值是指购买的各类证券、期货及票据价值、银行存款本息和基金应收的申购</w:t>
      </w:r>
      <w:r>
        <w:rPr>
          <w:spacing w:val="-5"/>
        </w:rPr>
        <w:t>基金款以及其他投资所形成的价值总和。</w:t>
      </w:r>
    </w:p>
    <w:p>
      <w:pPr>
        <w:pStyle w:val="BodyText"/>
        <w:spacing w:line="269" w:lineRule="exact"/>
        <w:ind w:left="680"/>
      </w:pPr>
      <w:r>
        <w:rPr/>
        <w:t>（二）基金资产净值</w:t>
      </w:r>
    </w:p>
    <w:p>
      <w:pPr>
        <w:pStyle w:val="BodyText"/>
        <w:spacing w:before="7"/>
        <w:rPr>
          <w:sz w:val="15"/>
        </w:rPr>
      </w:pPr>
    </w:p>
    <w:p>
      <w:pPr>
        <w:pStyle w:val="BodyText"/>
        <w:ind w:left="680"/>
      </w:pPr>
      <w:r>
        <w:rPr/>
        <w:t>基金资产净值是指基金资产总值减去基金负债后的价值。</w:t>
      </w:r>
    </w:p>
    <w:p>
      <w:pPr>
        <w:pStyle w:val="BodyText"/>
        <w:spacing w:before="7"/>
        <w:rPr>
          <w:sz w:val="15"/>
        </w:rPr>
      </w:pPr>
    </w:p>
    <w:p>
      <w:pPr>
        <w:pStyle w:val="BodyText"/>
        <w:ind w:left="680"/>
      </w:pPr>
      <w:r>
        <w:rPr/>
        <w:t>（三）基金财产的账户</w:t>
      </w:r>
    </w:p>
    <w:p>
      <w:pPr>
        <w:pStyle w:val="BodyText"/>
        <w:spacing w:before="7"/>
        <w:rPr>
          <w:sz w:val="15"/>
        </w:rPr>
      </w:pPr>
    </w:p>
    <w:p>
      <w:pPr>
        <w:pStyle w:val="BodyText"/>
        <w:spacing w:line="417" w:lineRule="auto"/>
        <w:ind w:left="260" w:right="49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spacing w:line="269" w:lineRule="exact"/>
        <w:ind w:left="680"/>
      </w:pPr>
      <w:r>
        <w:rPr/>
        <w:t>（四）基金财产的保管和处分</w:t>
      </w:r>
    </w:p>
    <w:p>
      <w:pPr>
        <w:pStyle w:val="BodyText"/>
        <w:spacing w:before="6"/>
        <w:rPr>
          <w:sz w:val="15"/>
        </w:rPr>
      </w:pPr>
    </w:p>
    <w:p>
      <w:pPr>
        <w:pStyle w:val="BodyText"/>
        <w:spacing w:line="417" w:lineRule="auto" w:before="1"/>
        <w:ind w:left="260" w:right="49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260" w:right="49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spacing w:after="0" w:line="417" w:lineRule="auto"/>
        <w:jc w:val="both"/>
        <w:sectPr>
          <w:pgSz w:w="11910" w:h="16840"/>
          <w:pgMar w:header="877" w:footer="995" w:top="1420" w:bottom="1180" w:left="1540" w:right="1300"/>
        </w:sectPr>
      </w:pPr>
    </w:p>
    <w:p>
      <w:pPr>
        <w:pStyle w:val="BodyText"/>
        <w:spacing w:before="7"/>
        <w:rPr>
          <w:sz w:val="29"/>
        </w:rPr>
      </w:pPr>
    </w:p>
    <w:p>
      <w:pPr>
        <w:pStyle w:val="Heading1"/>
        <w:ind w:left="10"/>
      </w:pPr>
      <w:bookmarkStart w:name="_bookmark11" w:id="12"/>
      <w:bookmarkEnd w:id="12"/>
      <w:r>
        <w:rPr>
          <w:b w:val="0"/>
        </w:rPr>
      </w:r>
      <w:r>
        <w:rPr/>
        <w:t>十二、基金资产的估值</w:t>
      </w:r>
    </w:p>
    <w:p>
      <w:pPr>
        <w:pStyle w:val="BodyText"/>
        <w:rPr>
          <w:b/>
          <w:sz w:val="20"/>
        </w:rPr>
      </w:pPr>
    </w:p>
    <w:p>
      <w:pPr>
        <w:pStyle w:val="BodyText"/>
        <w:spacing w:before="8"/>
        <w:rPr>
          <w:b/>
          <w:sz w:val="15"/>
        </w:rPr>
      </w:pPr>
    </w:p>
    <w:p>
      <w:pPr>
        <w:pStyle w:val="BodyText"/>
        <w:spacing w:before="71"/>
        <w:ind w:left="680"/>
      </w:pPr>
      <w:r>
        <w:rPr/>
        <w:t>（一）估值日</w:t>
      </w:r>
    </w:p>
    <w:p>
      <w:pPr>
        <w:pStyle w:val="BodyText"/>
        <w:spacing w:before="7"/>
        <w:rPr>
          <w:sz w:val="15"/>
        </w:rPr>
      </w:pPr>
    </w:p>
    <w:p>
      <w:pPr>
        <w:pStyle w:val="BodyText"/>
        <w:spacing w:line="417" w:lineRule="auto"/>
        <w:ind w:left="260" w:right="494" w:firstLine="419"/>
      </w:pPr>
      <w:r>
        <w:rPr/>
        <w:t>本基金的估值日为本基金相关的证券交易场所的交易日以及国家法律法规规定需要对外披露基金净值的非交易日。</w:t>
      </w:r>
    </w:p>
    <w:p>
      <w:pPr>
        <w:pStyle w:val="BodyText"/>
        <w:spacing w:line="269" w:lineRule="exact"/>
        <w:ind w:left="680"/>
      </w:pPr>
      <w:r>
        <w:rPr/>
        <w:t>（二）估值对象</w:t>
      </w:r>
    </w:p>
    <w:p>
      <w:pPr>
        <w:pStyle w:val="BodyText"/>
        <w:spacing w:before="7"/>
        <w:rPr>
          <w:sz w:val="15"/>
        </w:rPr>
      </w:pPr>
    </w:p>
    <w:p>
      <w:pPr>
        <w:pStyle w:val="BodyText"/>
        <w:spacing w:line="417" w:lineRule="auto"/>
        <w:ind w:left="260" w:right="494" w:firstLine="419"/>
      </w:pPr>
      <w:r>
        <w:rPr>
          <w:spacing w:val="-11"/>
        </w:rPr>
        <w:t>基金所拥有的股票、权证、债券、货币市场工具、国债期货、股指期货、股票期权、资</w:t>
      </w:r>
      <w:r>
        <w:rPr>
          <w:spacing w:val="-6"/>
        </w:rPr>
        <w:t>产支持证券、银行存款本息、应收款项、其它投资等资产及负债。</w:t>
      </w:r>
    </w:p>
    <w:p>
      <w:pPr>
        <w:pStyle w:val="BodyText"/>
        <w:ind w:left="680"/>
      </w:pPr>
      <w:r>
        <w:rPr/>
        <w:t>（三）估值方法</w:t>
      </w:r>
    </w:p>
    <w:p>
      <w:pPr>
        <w:pStyle w:val="BodyText"/>
        <w:spacing w:before="7"/>
        <w:rPr>
          <w:sz w:val="15"/>
        </w:rPr>
      </w:pPr>
    </w:p>
    <w:p>
      <w:pPr>
        <w:pStyle w:val="BodyText"/>
        <w:ind w:left="680"/>
      </w:pPr>
      <w:r>
        <w:rPr>
          <w:rFonts w:ascii="Times New Roman" w:eastAsia="Times New Roman"/>
        </w:rPr>
        <w:t>1</w:t>
      </w:r>
      <w:r>
        <w:rPr/>
        <w:t>、证券交易所上市的有价证券的估值</w:t>
      </w:r>
    </w:p>
    <w:p>
      <w:pPr>
        <w:pStyle w:val="BodyText"/>
        <w:spacing w:before="6"/>
        <w:rPr>
          <w:sz w:val="15"/>
        </w:rPr>
      </w:pPr>
    </w:p>
    <w:p>
      <w:pPr>
        <w:pStyle w:val="ListParagraph"/>
        <w:numPr>
          <w:ilvl w:val="3"/>
          <w:numId w:val="23"/>
        </w:numPr>
        <w:tabs>
          <w:tab w:pos="1210" w:val="left" w:leader="none"/>
        </w:tabs>
        <w:spacing w:line="417" w:lineRule="auto" w:before="1" w:after="0"/>
        <w:ind w:left="260" w:right="491" w:firstLine="419"/>
        <w:jc w:val="both"/>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pacing w:val="-6"/>
          <w:sz w:val="21"/>
        </w:rPr>
        <w:t>行机构未发生影响证券价格的重大事件的，以最近交易日的市价</w:t>
      </w:r>
      <w:r>
        <w:rPr>
          <w:sz w:val="21"/>
        </w:rPr>
        <w:t>（</w:t>
      </w:r>
      <w:r>
        <w:rPr>
          <w:spacing w:val="-3"/>
          <w:sz w:val="21"/>
        </w:rPr>
        <w:t>收盘价</w:t>
      </w:r>
      <w:r>
        <w:rPr>
          <w:spacing w:val="-25"/>
          <w:sz w:val="21"/>
        </w:rPr>
        <w:t>）</w:t>
      </w:r>
      <w:r>
        <w:rPr>
          <w:spacing w:val="-7"/>
          <w:sz w:val="21"/>
        </w:rPr>
        <w:t>估值；如最近交</w:t>
      </w:r>
      <w:r>
        <w:rPr>
          <w:spacing w:val="-8"/>
          <w:sz w:val="21"/>
        </w:rPr>
        <w:t>易日后经济环境发生了重大变化或证券发行机构发生影响证券价格的重大事件的，可参考类</w:t>
      </w:r>
      <w:r>
        <w:rPr>
          <w:spacing w:val="-3"/>
          <w:sz w:val="21"/>
        </w:rPr>
        <w:t>似投资品种的现行市价及重大变化因素，调整最近交易市价，确定公允价格。</w:t>
      </w:r>
    </w:p>
    <w:p>
      <w:pPr>
        <w:pStyle w:val="ListParagraph"/>
        <w:numPr>
          <w:ilvl w:val="3"/>
          <w:numId w:val="23"/>
        </w:numPr>
        <w:tabs>
          <w:tab w:pos="1210" w:val="left" w:leader="none"/>
        </w:tabs>
        <w:spacing w:line="417" w:lineRule="auto" w:before="0" w:after="0"/>
        <w:ind w:left="260" w:right="494" w:firstLine="419"/>
        <w:jc w:val="left"/>
        <w:rPr>
          <w:sz w:val="21"/>
        </w:rPr>
      </w:pPr>
      <w:r>
        <w:rPr>
          <w:spacing w:val="-3"/>
          <w:sz w:val="21"/>
        </w:rPr>
        <w:t>交易所上市实行净价交易的债券按估值日第三方估值机构提供的相应品种当日的估值净价进行估值。</w:t>
      </w:r>
    </w:p>
    <w:p>
      <w:pPr>
        <w:pStyle w:val="ListParagraph"/>
        <w:numPr>
          <w:ilvl w:val="3"/>
          <w:numId w:val="23"/>
        </w:numPr>
        <w:tabs>
          <w:tab w:pos="1210" w:val="left" w:leader="none"/>
        </w:tabs>
        <w:spacing w:line="417" w:lineRule="auto" w:before="0" w:after="0"/>
        <w:ind w:left="260" w:right="388" w:firstLine="419"/>
        <w:jc w:val="left"/>
        <w:rPr>
          <w:sz w:val="21"/>
        </w:rPr>
      </w:pPr>
      <w:r>
        <w:rPr>
          <w:spacing w:val="-3"/>
          <w:sz w:val="21"/>
        </w:rPr>
        <w:t>交易所上市未实行净价交易的债券按估值日收盘价减去债券收盘价中所含的债券</w:t>
      </w:r>
      <w:r>
        <w:rPr>
          <w:spacing w:val="-9"/>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3"/>
          <w:numId w:val="23"/>
        </w:numPr>
        <w:tabs>
          <w:tab w:pos="1210" w:val="left" w:leader="none"/>
        </w:tabs>
        <w:spacing w:line="417" w:lineRule="auto" w:before="0" w:after="0"/>
        <w:ind w:left="260" w:right="49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spacing w:line="269" w:lineRule="exact"/>
        <w:ind w:left="680"/>
      </w:pPr>
      <w:r>
        <w:rPr>
          <w:rFonts w:ascii="Times New Roman" w:eastAsia="Times New Roman"/>
        </w:rPr>
        <w:t>2</w:t>
      </w:r>
      <w:r>
        <w:rPr/>
        <w:t>、处于未上市期间的有价证券应区分如下情况处理：</w:t>
      </w:r>
    </w:p>
    <w:p>
      <w:pPr>
        <w:pStyle w:val="ListParagraph"/>
        <w:numPr>
          <w:ilvl w:val="0"/>
          <w:numId w:val="24"/>
        </w:numPr>
        <w:tabs>
          <w:tab w:pos="1210" w:val="left" w:leader="none"/>
        </w:tabs>
        <w:spacing w:line="417" w:lineRule="auto" w:before="197" w:after="0"/>
        <w:ind w:left="260" w:right="49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4"/>
        </w:numPr>
        <w:tabs>
          <w:tab w:pos="1210" w:val="left" w:leader="none"/>
        </w:tabs>
        <w:spacing w:line="240" w:lineRule="auto" w:before="0" w:after="0"/>
        <w:ind w:left="1209" w:right="0" w:hanging="530"/>
        <w:jc w:val="left"/>
        <w:rPr>
          <w:sz w:val="21"/>
        </w:rPr>
      </w:pPr>
      <w:r>
        <w:rPr>
          <w:spacing w:val="-3"/>
          <w:sz w:val="21"/>
        </w:rPr>
        <w:t>首次公开发行未上市的股票、债券和权证，采用估值技术确定公允价值，在估值</w:t>
      </w:r>
    </w:p>
    <w:p>
      <w:pPr>
        <w:spacing w:after="0" w:line="240" w:lineRule="auto"/>
        <w:jc w:val="left"/>
        <w:rPr>
          <w:sz w:val="21"/>
        </w:rPr>
        <w:sectPr>
          <w:pgSz w:w="11910" w:h="16840"/>
          <w:pgMar w:header="877" w:footer="995" w:top="1420" w:bottom="1180" w:left="1540" w:right="1300"/>
        </w:sectPr>
      </w:pPr>
    </w:p>
    <w:p>
      <w:pPr>
        <w:pStyle w:val="BodyText"/>
        <w:spacing w:before="110"/>
        <w:ind w:left="260"/>
      </w:pPr>
      <w:r>
        <w:rPr/>
        <w:t>技术难以可靠计量公允价值的情况下，按成本估值。</w:t>
      </w:r>
    </w:p>
    <w:p>
      <w:pPr>
        <w:pStyle w:val="BodyText"/>
        <w:spacing w:before="6"/>
        <w:rPr>
          <w:sz w:val="15"/>
        </w:rPr>
      </w:pPr>
    </w:p>
    <w:p>
      <w:pPr>
        <w:pStyle w:val="ListParagraph"/>
        <w:numPr>
          <w:ilvl w:val="0"/>
          <w:numId w:val="24"/>
        </w:numPr>
        <w:tabs>
          <w:tab w:pos="1210" w:val="left" w:leader="none"/>
        </w:tabs>
        <w:spacing w:line="417" w:lineRule="auto" w:before="0" w:after="0"/>
        <w:ind w:left="260" w:right="491" w:firstLine="419"/>
        <w:jc w:val="both"/>
        <w:rPr>
          <w:sz w:val="21"/>
        </w:rPr>
      </w:pPr>
      <w:r>
        <w:rPr>
          <w:spacing w:val="-3"/>
          <w:sz w:val="21"/>
        </w:rPr>
        <w:t>发行时明确一定期限限售期的股票，包括但不限于非公开发行股票、首次公开发</w:t>
      </w:r>
      <w:r>
        <w:rPr>
          <w:spacing w:val="-8"/>
          <w:sz w:val="21"/>
        </w:rPr>
        <w:t>行股票时公司股东公开发售股份、通过大宗交易取得的带限售期的股票等，按监管机构或行</w:t>
      </w:r>
      <w:r>
        <w:rPr>
          <w:spacing w:val="-5"/>
          <w:sz w:val="21"/>
        </w:rPr>
        <w:t>业协会有关规定确定公允价值。</w:t>
      </w:r>
    </w:p>
    <w:p>
      <w:pPr>
        <w:pStyle w:val="BodyText"/>
        <w:spacing w:line="417" w:lineRule="auto"/>
        <w:ind w:left="260" w:right="494" w:firstLine="419"/>
      </w:pPr>
      <w:r>
        <w:rPr>
          <w:rFonts w:ascii="Times New Roman" w:eastAsia="Times New Roman"/>
        </w:rPr>
        <w:t>3</w:t>
      </w:r>
      <w:r>
        <w:rPr/>
        <w:t>、全国银行间债券市场交易的债券、资产支持证券等固定收益品种，采用第三方估值机构提供的价格数据进行估值。</w:t>
      </w:r>
    </w:p>
    <w:p>
      <w:pPr>
        <w:pStyle w:val="BodyText"/>
        <w:spacing w:line="269" w:lineRule="exact"/>
        <w:ind w:left="680"/>
      </w:pPr>
      <w:r>
        <w:rPr>
          <w:rFonts w:ascii="Times New Roman" w:eastAsia="Times New Roman"/>
        </w:rPr>
        <w:t>4</w:t>
      </w:r>
      <w:r>
        <w:rPr/>
        <w:t>、同一债券同时在两个或两个以上市场交易的，按债券所处的市场分别估值。</w:t>
      </w:r>
    </w:p>
    <w:p>
      <w:pPr>
        <w:pStyle w:val="BodyText"/>
        <w:spacing w:before="7"/>
        <w:rPr>
          <w:sz w:val="15"/>
        </w:rPr>
      </w:pPr>
    </w:p>
    <w:p>
      <w:pPr>
        <w:pStyle w:val="BodyText"/>
        <w:spacing w:line="417" w:lineRule="auto"/>
        <w:ind w:left="260" w:right="494" w:firstLine="419"/>
      </w:pPr>
      <w:r>
        <w:rPr>
          <w:rFonts w:ascii="Times New Roman" w:eastAsia="Times New Roman"/>
        </w:rPr>
        <w:t>5</w:t>
      </w:r>
      <w:r>
        <w:rPr/>
        <w:t>、本基金投资股指期货、国债期货合约，一般以估值当日结算价进行估值，估值当日无结算价的，且最近交易日后经济环境未发生重大变化的，采用最近交易日结算价估值。</w:t>
      </w:r>
    </w:p>
    <w:p>
      <w:pPr>
        <w:pStyle w:val="BodyText"/>
        <w:spacing w:line="269" w:lineRule="exact"/>
        <w:ind w:left="680"/>
      </w:pPr>
      <w:r>
        <w:rPr>
          <w:rFonts w:ascii="Times New Roman" w:eastAsia="Times New Roman"/>
        </w:rPr>
        <w:t>6</w:t>
      </w:r>
      <w:r>
        <w:rPr/>
        <w:t>、本基金投资期权，根据相关法律法规以及监管部门的规定估值。</w:t>
      </w:r>
    </w:p>
    <w:p>
      <w:pPr>
        <w:pStyle w:val="BodyText"/>
        <w:spacing w:before="7"/>
        <w:rPr>
          <w:sz w:val="15"/>
        </w:rPr>
      </w:pPr>
    </w:p>
    <w:p>
      <w:pPr>
        <w:pStyle w:val="BodyText"/>
        <w:spacing w:line="417" w:lineRule="auto"/>
        <w:ind w:left="260" w:right="494" w:firstLine="419"/>
      </w:pPr>
      <w:r>
        <w:rPr>
          <w:rFonts w:ascii="Times New Roman" w:eastAsia="Times New Roman"/>
        </w:rPr>
        <w:t>7</w:t>
      </w:r>
      <w:r>
        <w:rPr/>
        <w:t>、人民币对主要外汇的汇率应当以估值日中国人民银行或其授权机构公布的人民币汇率中间价为准。</w:t>
      </w:r>
    </w:p>
    <w:p>
      <w:pPr>
        <w:pStyle w:val="BodyText"/>
        <w:spacing w:line="269" w:lineRule="exact"/>
        <w:ind w:left="680"/>
      </w:pPr>
      <w:r>
        <w:rPr>
          <w:rFonts w:ascii="Times New Roman" w:eastAsia="Times New Roman"/>
        </w:rPr>
        <w:t>8</w:t>
      </w:r>
      <w:r>
        <w:rPr/>
        <w:t>、本基金投资存托凭证的估值核算，依照境内上市交易的股票执行。</w:t>
      </w:r>
    </w:p>
    <w:p>
      <w:pPr>
        <w:pStyle w:val="BodyText"/>
        <w:spacing w:before="7"/>
        <w:rPr>
          <w:sz w:val="15"/>
        </w:rPr>
      </w:pPr>
    </w:p>
    <w:p>
      <w:pPr>
        <w:pStyle w:val="BodyText"/>
        <w:spacing w:line="417" w:lineRule="auto"/>
        <w:ind w:left="260" w:right="494" w:firstLine="419"/>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260" w:right="491" w:firstLine="419"/>
      </w:pPr>
      <w:r>
        <w:rPr>
          <w:rFonts w:ascii="Times New Roman" w:eastAsia="Times New Roman"/>
        </w:rPr>
        <w:t>10</w:t>
      </w:r>
      <w:r>
        <w:rPr>
          <w:spacing w:val="-10"/>
        </w:rPr>
        <w:t>、当发生大额申购或赎回情形时，基金管理人可以采用摆动定价机制，以确保基金估</w:t>
      </w:r>
      <w:r>
        <w:rPr>
          <w:spacing w:val="-5"/>
        </w:rPr>
        <w:t>值的公平性。</w:t>
      </w:r>
    </w:p>
    <w:p>
      <w:pPr>
        <w:pStyle w:val="BodyText"/>
        <w:spacing w:line="269" w:lineRule="exact"/>
        <w:ind w:left="680"/>
      </w:pPr>
      <w:r>
        <w:rPr>
          <w:rFonts w:ascii="Times New Roman" w:eastAsia="Times New Roman"/>
        </w:rPr>
        <w:t>11</w:t>
      </w:r>
      <w:r>
        <w:rPr/>
        <w:t>、其他资产按法律法规或监管机构有关规定进行估值。</w:t>
      </w:r>
    </w:p>
    <w:p>
      <w:pPr>
        <w:pStyle w:val="BodyText"/>
        <w:spacing w:before="6"/>
        <w:rPr>
          <w:sz w:val="15"/>
        </w:rPr>
      </w:pPr>
    </w:p>
    <w:p>
      <w:pPr>
        <w:pStyle w:val="BodyText"/>
        <w:spacing w:line="417" w:lineRule="auto" w:before="1"/>
        <w:ind w:left="260" w:right="491" w:firstLine="419"/>
      </w:pPr>
      <w:r>
        <w:rPr>
          <w:rFonts w:ascii="Times New Roman" w:eastAsia="Times New Roman"/>
        </w:rPr>
        <w:t>12</w:t>
      </w:r>
      <w:r>
        <w:rPr>
          <w:spacing w:val="-10"/>
        </w:rPr>
        <w:t>、相关法律法规以及监管部门有强制规定的，从其规定。如有新增事项，按国家最新</w:t>
      </w:r>
      <w:r>
        <w:rPr>
          <w:spacing w:val="-5"/>
        </w:rPr>
        <w:t>规定估值。</w:t>
      </w:r>
    </w:p>
    <w:p>
      <w:pPr>
        <w:pStyle w:val="BodyText"/>
        <w:spacing w:line="417" w:lineRule="auto"/>
        <w:ind w:left="260" w:right="38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260" w:right="49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8" w:lineRule="exact"/>
        <w:ind w:left="680"/>
      </w:pPr>
      <w:r>
        <w:rPr/>
        <w:t>（四</w:t>
      </w:r>
      <w:r>
        <w:rPr>
          <w:spacing w:val="-3"/>
        </w:rPr>
        <w:t>）</w:t>
      </w:r>
      <w:r>
        <w:rPr>
          <w:spacing w:val="-2"/>
        </w:rPr>
        <w:t>估值程序</w:t>
      </w:r>
    </w:p>
    <w:p>
      <w:pPr>
        <w:pStyle w:val="BodyText"/>
        <w:spacing w:before="6"/>
        <w:rPr>
          <w:sz w:val="15"/>
        </w:rPr>
      </w:pPr>
    </w:p>
    <w:p>
      <w:pPr>
        <w:pStyle w:val="BodyText"/>
        <w:spacing w:line="417" w:lineRule="auto" w:before="1"/>
        <w:ind w:left="260" w:right="494" w:firstLine="419"/>
      </w:pPr>
      <w:r>
        <w:rPr>
          <w:rFonts w:ascii="Times New Roman" w:eastAsia="Times New Roman"/>
        </w:rPr>
        <w:t>1</w:t>
      </w:r>
      <w:r>
        <w:rPr/>
        <w:t>、基金份额净值是按照每个工作日闭市后，基金资产净值除以当日基金份额的余额数量计算，精确到 </w:t>
      </w:r>
      <w:r>
        <w:rPr>
          <w:rFonts w:ascii="Times New Roman" w:eastAsia="Times New Roman"/>
        </w:rPr>
        <w:t>0.0001 </w:t>
      </w:r>
      <w:r>
        <w:rPr/>
        <w:t>元，小数点后第 </w:t>
      </w:r>
      <w:r>
        <w:rPr>
          <w:rFonts w:ascii="Times New Roman" w:eastAsia="Times New Roman"/>
        </w:rPr>
        <w:t>5 </w:t>
      </w:r>
      <w:r>
        <w:rPr/>
        <w:t>位四舍五入。国家另有规定的，从其规定。</w:t>
      </w:r>
    </w:p>
    <w:p>
      <w:pPr>
        <w:spacing w:after="0" w:line="417" w:lineRule="auto"/>
        <w:sectPr>
          <w:pgSz w:w="11910" w:h="16840"/>
          <w:pgMar w:header="877" w:footer="995" w:top="1420" w:bottom="1180" w:left="1540" w:right="1300"/>
        </w:sectPr>
      </w:pPr>
    </w:p>
    <w:p>
      <w:pPr>
        <w:pStyle w:val="BodyText"/>
        <w:spacing w:before="110"/>
        <w:ind w:left="680"/>
      </w:pPr>
      <w:r>
        <w:rPr/>
        <w:t>每个工作日计算基金资产净值及基金份额净值，并按规定公告。</w:t>
      </w:r>
    </w:p>
    <w:p>
      <w:pPr>
        <w:pStyle w:val="BodyText"/>
        <w:spacing w:before="6"/>
        <w:rPr>
          <w:sz w:val="15"/>
        </w:rPr>
      </w:pPr>
    </w:p>
    <w:p>
      <w:pPr>
        <w:pStyle w:val="BodyText"/>
        <w:spacing w:line="417" w:lineRule="auto"/>
        <w:ind w:left="260" w:right="49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的规定暂停估值时除外。基金管理人每个工作日对基金资产估值后，将基金份额净值结果发</w:t>
      </w:r>
      <w:r>
        <w:rPr>
          <w:spacing w:val="-5"/>
        </w:rPr>
        <w:t>送基金托管人，经基金托管人复核无误后，由基金管理人按规定对外公布。</w:t>
      </w:r>
    </w:p>
    <w:p>
      <w:pPr>
        <w:pStyle w:val="BodyText"/>
        <w:spacing w:line="269" w:lineRule="exact"/>
        <w:ind w:left="680"/>
      </w:pPr>
      <w:r>
        <w:rPr/>
        <w:t>（五）估值错误的处理</w:t>
      </w:r>
    </w:p>
    <w:p>
      <w:pPr>
        <w:pStyle w:val="BodyText"/>
        <w:spacing w:before="7"/>
        <w:rPr>
          <w:sz w:val="15"/>
        </w:rPr>
      </w:pPr>
    </w:p>
    <w:p>
      <w:pPr>
        <w:pStyle w:val="BodyText"/>
        <w:spacing w:line="417" w:lineRule="auto"/>
        <w:ind w:left="260" w:right="388" w:firstLine="419"/>
      </w:pPr>
      <w:r>
        <w:rPr>
          <w:spacing w:val="-3"/>
        </w:rPr>
        <w:t>基金管理人和基金托管人将采取必要、适当、合理的措施确保基金资产估值的准确性、</w:t>
      </w:r>
      <w:r>
        <w:rPr>
          <w:spacing w:val="-10"/>
        </w:rPr>
        <w:t>及时性。当基金份额净值小数点后 </w:t>
      </w:r>
      <w:r>
        <w:rPr>
          <w:rFonts w:ascii="Times New Roman" w:eastAsia="Times New Roman"/>
        </w:rPr>
        <w:t>4 </w:t>
      </w:r>
      <w:r>
        <w:rPr>
          <w:spacing w:val="-10"/>
        </w:rPr>
        <w:t>位以内</w:t>
      </w:r>
      <w:r>
        <w:rPr>
          <w:spacing w:val="-3"/>
        </w:rPr>
        <w:t>（</w:t>
      </w:r>
      <w:r>
        <w:rPr>
          <w:spacing w:val="-16"/>
        </w:rPr>
        <w:t>含第 </w:t>
      </w:r>
      <w:r>
        <w:rPr>
          <w:rFonts w:ascii="Times New Roman" w:eastAsia="Times New Roman"/>
        </w:rPr>
        <w:t>4 </w:t>
      </w:r>
      <w:r>
        <w:rPr/>
        <w:t>位</w:t>
      </w:r>
      <w:r>
        <w:rPr>
          <w:spacing w:val="-27"/>
        </w:rPr>
        <w:t>）</w:t>
      </w:r>
      <w:r>
        <w:rPr>
          <w:spacing w:val="-6"/>
        </w:rPr>
        <w:t>发生估值错误时，视为基金份额净</w:t>
      </w:r>
      <w:r>
        <w:rPr>
          <w:spacing w:val="-4"/>
        </w:rPr>
        <w:t>值错误。</w:t>
      </w:r>
    </w:p>
    <w:p>
      <w:pPr>
        <w:pStyle w:val="BodyText"/>
        <w:ind w:left="680"/>
      </w:pPr>
      <w:r>
        <w:rPr/>
        <w:t>基金合同的当事人应按照以下约定处理：</w:t>
      </w:r>
    </w:p>
    <w:p>
      <w:pPr>
        <w:pStyle w:val="BodyText"/>
        <w:spacing w:before="7"/>
        <w:rPr>
          <w:sz w:val="15"/>
        </w:rPr>
      </w:pPr>
    </w:p>
    <w:p>
      <w:pPr>
        <w:pStyle w:val="BodyText"/>
        <w:ind w:left="680"/>
      </w:pPr>
      <w:r>
        <w:rPr>
          <w:rFonts w:ascii="Times New Roman" w:eastAsia="Times New Roman"/>
        </w:rPr>
        <w:t>1</w:t>
      </w:r>
      <w:r>
        <w:rPr/>
        <w:t>、估值错误类型</w:t>
      </w:r>
    </w:p>
    <w:p>
      <w:pPr>
        <w:pStyle w:val="BodyText"/>
        <w:spacing w:before="7"/>
        <w:rPr>
          <w:sz w:val="15"/>
        </w:rPr>
      </w:pPr>
    </w:p>
    <w:p>
      <w:pPr>
        <w:pStyle w:val="BodyText"/>
        <w:spacing w:line="417" w:lineRule="auto"/>
        <w:ind w:left="260" w:right="388"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r>
        <w:rPr>
          <w:spacing w:val="-5"/>
          <w:w w:val="100"/>
        </w:rPr>
        <w:t>估值错误遭受损失当事人</w:t>
      </w:r>
      <w:r>
        <w:rPr>
          <w:spacing w:val="-106"/>
          <w:w w:val="100"/>
        </w:rPr>
        <w:t>（</w:t>
      </w:r>
      <w:r>
        <w:rPr>
          <w:spacing w:val="-22"/>
          <w:w w:val="100"/>
        </w:rPr>
        <w:t>“受损方”</w:t>
      </w:r>
      <w:r>
        <w:rPr>
          <w:spacing w:val="-3"/>
          <w:w w:val="100"/>
        </w:rPr>
        <w:t>）的直接损失按下述“估值错误处理原则”给予赔偿，</w:t>
      </w:r>
      <w:r>
        <w:rPr>
          <w:spacing w:val="-3"/>
        </w:rPr>
        <w:t>承担赔偿责任。</w:t>
      </w:r>
    </w:p>
    <w:p>
      <w:pPr>
        <w:pStyle w:val="BodyText"/>
        <w:spacing w:line="417" w:lineRule="auto"/>
        <w:ind w:left="260" w:right="49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680"/>
      </w:pPr>
      <w:r>
        <w:rPr>
          <w:rFonts w:ascii="Times New Roman" w:eastAsia="Times New Roman"/>
        </w:rPr>
        <w:t>2</w:t>
      </w:r>
      <w:r>
        <w:rPr/>
        <w:t>、估值错误处理原则</w:t>
      </w:r>
    </w:p>
    <w:p>
      <w:pPr>
        <w:pStyle w:val="BodyText"/>
        <w:spacing w:before="6"/>
        <w:rPr>
          <w:sz w:val="15"/>
        </w:rPr>
      </w:pPr>
    </w:p>
    <w:p>
      <w:pPr>
        <w:pStyle w:val="ListParagraph"/>
        <w:numPr>
          <w:ilvl w:val="0"/>
          <w:numId w:val="25"/>
        </w:numPr>
        <w:tabs>
          <w:tab w:pos="1210" w:val="left" w:leader="none"/>
        </w:tabs>
        <w:spacing w:line="417" w:lineRule="auto" w:before="0" w:after="0"/>
        <w:ind w:left="260" w:right="49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5"/>
        </w:numPr>
        <w:tabs>
          <w:tab w:pos="1210" w:val="left" w:leader="none"/>
        </w:tabs>
        <w:spacing w:line="417" w:lineRule="auto" w:before="0" w:after="0"/>
        <w:ind w:left="260" w:right="493"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5"/>
        </w:numPr>
        <w:tabs>
          <w:tab w:pos="1210" w:val="left" w:leader="none"/>
        </w:tabs>
        <w:spacing w:line="417" w:lineRule="auto" w:before="0" w:after="0"/>
        <w:ind w:left="260" w:right="39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6"/>
          <w:w w:val="100"/>
          <w:sz w:val="21"/>
        </w:rPr>
        <w:t>造成其他当事人的利益损失</w:t>
      </w:r>
      <w:r>
        <w:rPr>
          <w:spacing w:val="-106"/>
          <w:w w:val="100"/>
          <w:sz w:val="21"/>
        </w:rPr>
        <w:t>（</w:t>
      </w:r>
      <w:r>
        <w:rPr>
          <w:spacing w:val="-23"/>
          <w:w w:val="100"/>
          <w:sz w:val="21"/>
        </w:rPr>
        <w:t>“受损方”</w:t>
      </w:r>
      <w:r>
        <w:rPr>
          <w:spacing w:val="-108"/>
          <w:w w:val="100"/>
          <w:sz w:val="21"/>
        </w:rPr>
        <w:t>）</w:t>
      </w:r>
      <w:r>
        <w:rPr>
          <w:spacing w:val="-3"/>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spacing w:after="0" w:line="417" w:lineRule="auto"/>
        <w:jc w:val="both"/>
        <w:rPr>
          <w:sz w:val="21"/>
        </w:rPr>
        <w:sectPr>
          <w:pgSz w:w="11910" w:h="16840"/>
          <w:pgMar w:header="877" w:footer="995" w:top="1420" w:bottom="1180" w:left="1540" w:right="1300"/>
        </w:sectPr>
      </w:pPr>
    </w:p>
    <w:p>
      <w:pPr>
        <w:pStyle w:val="ListParagraph"/>
        <w:numPr>
          <w:ilvl w:val="0"/>
          <w:numId w:val="25"/>
        </w:numPr>
        <w:tabs>
          <w:tab w:pos="1210" w:val="left" w:leader="none"/>
        </w:tabs>
        <w:spacing w:line="240" w:lineRule="auto" w:before="110" w:after="0"/>
        <w:ind w:left="120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680"/>
      </w:pPr>
      <w:r>
        <w:rPr>
          <w:rFonts w:ascii="Times New Roman" w:eastAsia="Times New Roman"/>
        </w:rPr>
        <w:t>3</w:t>
      </w:r>
      <w:r>
        <w:rPr/>
        <w:t>、估值错误处理程序</w:t>
      </w:r>
    </w:p>
    <w:p>
      <w:pPr>
        <w:pStyle w:val="BodyText"/>
        <w:spacing w:before="7"/>
        <w:rPr>
          <w:sz w:val="15"/>
        </w:rPr>
      </w:pPr>
    </w:p>
    <w:p>
      <w:pPr>
        <w:pStyle w:val="BodyText"/>
        <w:ind w:left="680"/>
      </w:pPr>
      <w:r>
        <w:rPr/>
        <w:t>估值错误被发现后，有关的当事人应当及时进行处理，处理的程序如下：</w:t>
      </w:r>
    </w:p>
    <w:p>
      <w:pPr>
        <w:pStyle w:val="BodyText"/>
        <w:spacing w:before="7"/>
        <w:rPr>
          <w:sz w:val="15"/>
        </w:rPr>
      </w:pPr>
    </w:p>
    <w:p>
      <w:pPr>
        <w:pStyle w:val="ListParagraph"/>
        <w:numPr>
          <w:ilvl w:val="0"/>
          <w:numId w:val="26"/>
        </w:numPr>
        <w:tabs>
          <w:tab w:pos="1210" w:val="left" w:leader="none"/>
        </w:tabs>
        <w:spacing w:line="417" w:lineRule="auto" w:before="0" w:after="0"/>
        <w:ind w:left="260" w:right="49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6"/>
        </w:numPr>
        <w:tabs>
          <w:tab w:pos="1210" w:val="left" w:leader="none"/>
        </w:tabs>
        <w:spacing w:line="269" w:lineRule="exact" w:before="0" w:after="0"/>
        <w:ind w:left="120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6"/>
        </w:numPr>
        <w:tabs>
          <w:tab w:pos="1210" w:val="left" w:leader="none"/>
        </w:tabs>
        <w:spacing w:line="417" w:lineRule="auto" w:before="0" w:after="0"/>
        <w:ind w:left="260" w:right="49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6"/>
        </w:numPr>
        <w:tabs>
          <w:tab w:pos="1210" w:val="left" w:leader="none"/>
        </w:tabs>
        <w:spacing w:line="417" w:lineRule="auto" w:before="0" w:after="0"/>
        <w:ind w:left="260" w:right="494" w:firstLine="419"/>
        <w:jc w:val="left"/>
        <w:rPr>
          <w:sz w:val="21"/>
        </w:rPr>
      </w:pPr>
      <w:r>
        <w:rPr>
          <w:spacing w:val="-3"/>
          <w:sz w:val="21"/>
        </w:rPr>
        <w:t>根据估值错误处理的方法，需要修改基金登记机构交易数据的，由基金登记机构进行更正。</w:t>
      </w:r>
    </w:p>
    <w:p>
      <w:pPr>
        <w:pStyle w:val="BodyText"/>
        <w:spacing w:line="269" w:lineRule="exact"/>
        <w:ind w:left="680"/>
      </w:pPr>
      <w:r>
        <w:rPr>
          <w:rFonts w:ascii="Times New Roman" w:eastAsia="Times New Roman"/>
        </w:rPr>
        <w:t>4</w:t>
      </w:r>
      <w:r>
        <w:rPr/>
        <w:t>、基金份额净值估值错误处理的方法如下：</w:t>
      </w:r>
    </w:p>
    <w:p>
      <w:pPr>
        <w:pStyle w:val="BodyText"/>
        <w:spacing w:before="7"/>
        <w:rPr>
          <w:sz w:val="15"/>
        </w:rPr>
      </w:pPr>
    </w:p>
    <w:p>
      <w:pPr>
        <w:pStyle w:val="ListParagraph"/>
        <w:numPr>
          <w:ilvl w:val="0"/>
          <w:numId w:val="27"/>
        </w:numPr>
        <w:tabs>
          <w:tab w:pos="1210" w:val="left" w:leader="none"/>
        </w:tabs>
        <w:spacing w:line="417" w:lineRule="auto" w:before="0" w:after="0"/>
        <w:ind w:left="260" w:right="49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7"/>
        </w:numPr>
        <w:tabs>
          <w:tab w:pos="1210" w:val="left" w:leader="none"/>
        </w:tabs>
        <w:spacing w:line="417" w:lineRule="auto" w:before="0" w:after="0"/>
        <w:ind w:left="260" w:right="491" w:firstLine="419"/>
        <w:jc w:val="both"/>
        <w:rPr>
          <w:sz w:val="21"/>
        </w:rPr>
      </w:pPr>
      <w:r>
        <w:rPr>
          <w:spacing w:val="-2"/>
          <w:sz w:val="21"/>
        </w:rPr>
        <w:t>错误偏差达到基金份额净值的 </w:t>
      </w:r>
      <w:r>
        <w:rPr>
          <w:rFonts w:ascii="Times New Roman" w:eastAsia="Times New Roman"/>
          <w:sz w:val="21"/>
        </w:rPr>
        <w:t>0.25%</w:t>
      </w:r>
      <w:r>
        <w:rPr>
          <w:spacing w:val="-3"/>
          <w:sz w:val="21"/>
        </w:rPr>
        <w:t>时，基金管理人应当通报基金托管人并报中</w:t>
      </w:r>
      <w:r>
        <w:rPr>
          <w:spacing w:val="-2"/>
          <w:sz w:val="21"/>
        </w:rPr>
        <w:t>国证监会备案；错误偏差达到基金份额净值的 </w:t>
      </w:r>
      <w:r>
        <w:rPr>
          <w:rFonts w:ascii="Times New Roman" w:eastAsia="Times New Roman"/>
          <w:sz w:val="21"/>
        </w:rPr>
        <w:t>0.5%</w:t>
      </w:r>
      <w:r>
        <w:rPr>
          <w:spacing w:val="-3"/>
          <w:sz w:val="21"/>
        </w:rPr>
        <w:t>时，基金管理人应当公告，并报中国证监会备案。</w:t>
      </w:r>
    </w:p>
    <w:p>
      <w:pPr>
        <w:pStyle w:val="ListParagraph"/>
        <w:numPr>
          <w:ilvl w:val="0"/>
          <w:numId w:val="27"/>
        </w:numPr>
        <w:tabs>
          <w:tab w:pos="1210" w:val="left" w:leader="none"/>
        </w:tabs>
        <w:spacing w:line="240" w:lineRule="auto" w:before="0" w:after="0"/>
        <w:ind w:left="120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ind w:left="680"/>
      </w:pPr>
      <w:r>
        <w:rPr/>
        <w:t>（六）暂停估值的情形</w:t>
      </w:r>
    </w:p>
    <w:p>
      <w:pPr>
        <w:pStyle w:val="BodyText"/>
        <w:spacing w:before="7"/>
        <w:rPr>
          <w:sz w:val="15"/>
        </w:rPr>
      </w:pPr>
    </w:p>
    <w:p>
      <w:pPr>
        <w:pStyle w:val="BodyText"/>
        <w:ind w:left="680"/>
      </w:pPr>
      <w:r>
        <w:rPr>
          <w:rFonts w:ascii="Times New Roman" w:eastAsia="Times New Roman"/>
        </w:rPr>
        <w:t>1</w:t>
      </w:r>
      <w:r>
        <w:rPr/>
        <w:t>、基金投资所涉及的证券</w:t>
      </w:r>
      <w:r>
        <w:rPr>
          <w:rFonts w:ascii="Times New Roman" w:eastAsia="Times New Roman"/>
        </w:rPr>
        <w:t>/</w:t>
      </w:r>
      <w:r>
        <w:rPr/>
        <w:t>期货交易市场遇法定节假日或因其他原因暂停营业时。</w:t>
      </w:r>
    </w:p>
    <w:p>
      <w:pPr>
        <w:pStyle w:val="BodyText"/>
        <w:spacing w:before="6"/>
        <w:rPr>
          <w:sz w:val="15"/>
        </w:rPr>
      </w:pPr>
    </w:p>
    <w:p>
      <w:pPr>
        <w:pStyle w:val="BodyText"/>
        <w:spacing w:before="1"/>
        <w:ind w:left="680"/>
      </w:pPr>
      <w:r>
        <w:rPr>
          <w:rFonts w:ascii="Times New Roman" w:eastAsia="Times New Roman"/>
        </w:rPr>
        <w:t>2</w:t>
      </w:r>
      <w:r>
        <w:rPr/>
        <w:t>、因不可抗力或其他情形致使基金管理人、基金托管人无法准确评估基金资产价值时。</w:t>
      </w:r>
    </w:p>
    <w:p>
      <w:pPr>
        <w:pStyle w:val="BodyText"/>
        <w:spacing w:before="6"/>
        <w:rPr>
          <w:sz w:val="15"/>
        </w:rPr>
      </w:pPr>
    </w:p>
    <w:p>
      <w:pPr>
        <w:pStyle w:val="BodyText"/>
        <w:spacing w:line="417" w:lineRule="auto"/>
        <w:ind w:left="260" w:right="491" w:firstLine="419"/>
        <w:jc w:val="both"/>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ind w:left="680"/>
      </w:pPr>
      <w:r>
        <w:rPr>
          <w:rFonts w:ascii="Times New Roman" w:eastAsia="Times New Roman"/>
        </w:rPr>
        <w:t>4</w:t>
      </w:r>
      <w:r>
        <w:rPr/>
        <w:t>、中国证监会和基金合同认定的其它情形。</w:t>
      </w:r>
    </w:p>
    <w:p>
      <w:pPr>
        <w:pStyle w:val="BodyText"/>
        <w:spacing w:before="7"/>
        <w:rPr>
          <w:sz w:val="15"/>
        </w:rPr>
      </w:pPr>
    </w:p>
    <w:p>
      <w:pPr>
        <w:pStyle w:val="BodyText"/>
        <w:ind w:left="680"/>
      </w:pPr>
      <w:r>
        <w:rPr/>
        <w:t>（七）基金净值的确认</w:t>
      </w:r>
    </w:p>
    <w:p>
      <w:pPr>
        <w:pStyle w:val="BodyText"/>
        <w:spacing w:before="7"/>
        <w:rPr>
          <w:sz w:val="15"/>
        </w:rPr>
      </w:pPr>
    </w:p>
    <w:p>
      <w:pPr>
        <w:pStyle w:val="BodyText"/>
        <w:spacing w:line="417" w:lineRule="auto"/>
        <w:ind w:left="260" w:right="388" w:firstLine="419"/>
      </w:pPr>
      <w:r>
        <w:rPr>
          <w:spacing w:val="-3"/>
        </w:rPr>
        <w:t>用于基金信息披露的基金净值信息由基金管理人负责计算，基金托管人负责进行复核。基金管理人应于每个开放日交易结束后计算当日的基金资产净值和基金份额净值并发送给 </w:t>
      </w:r>
      <w:r>
        <w:rPr>
          <w:spacing w:val="-11"/>
        </w:rPr>
        <w:t>基金托管人。基金托管人对净值计算结果复核确认后发送给基金管理人，由基金管理人对基</w:t>
      </w:r>
      <w:r>
        <w:rPr>
          <w:spacing w:val="-6"/>
        </w:rPr>
        <w:t>金净值予以公布。</w:t>
      </w:r>
    </w:p>
    <w:p>
      <w:pPr>
        <w:pStyle w:val="BodyText"/>
        <w:spacing w:line="269" w:lineRule="exact"/>
        <w:ind w:left="680"/>
      </w:pPr>
      <w:r>
        <w:rPr/>
        <w:t>（八）特殊情况的处理</w:t>
      </w:r>
    </w:p>
    <w:p>
      <w:pPr>
        <w:spacing w:after="0" w:line="269" w:lineRule="exact"/>
        <w:sectPr>
          <w:pgSz w:w="11910" w:h="16840"/>
          <w:pgMar w:header="877" w:footer="995" w:top="1420" w:bottom="1180" w:left="1540" w:right="1300"/>
        </w:sectPr>
      </w:pPr>
    </w:p>
    <w:p>
      <w:pPr>
        <w:pStyle w:val="BodyText"/>
        <w:spacing w:line="417" w:lineRule="auto" w:before="110"/>
        <w:ind w:left="260" w:right="493" w:firstLine="419"/>
        <w:jc w:val="both"/>
      </w:pPr>
      <w:r>
        <w:rPr>
          <w:rFonts w:ascii="Times New Roman" w:eastAsia="Times New Roman"/>
        </w:rPr>
        <w:t>1</w:t>
      </w:r>
      <w:r>
        <w:rPr>
          <w:spacing w:val="-5"/>
        </w:rPr>
        <w:t>、基金管理人或基金托管人按估值方法的第 </w:t>
      </w:r>
      <w:r>
        <w:rPr>
          <w:rFonts w:ascii="Times New Roman" w:eastAsia="Times New Roman"/>
        </w:rPr>
        <w:t>9 </w:t>
      </w:r>
      <w:r>
        <w:rPr>
          <w:spacing w:val="-3"/>
        </w:rPr>
        <w:t>项进行估值时，所造成的误差不作为基金资产估值错误处理。</w:t>
      </w:r>
    </w:p>
    <w:p>
      <w:pPr>
        <w:pStyle w:val="BodyText"/>
        <w:spacing w:line="417" w:lineRule="auto"/>
        <w:ind w:left="260" w:right="491" w:firstLine="419"/>
        <w:jc w:val="both"/>
      </w:pPr>
      <w:r>
        <w:rPr>
          <w:rFonts w:ascii="Times New Roman" w:eastAsia="Times New Roman"/>
        </w:rPr>
        <w:t>2</w:t>
      </w:r>
      <w:r>
        <w:rPr>
          <w:spacing w:val="-3"/>
        </w:rPr>
        <w:t>、由于证券交易所、期货交易所及登记结算公司发送的数据错误，有关会计制度变化</w:t>
      </w:r>
      <w:r>
        <w:rPr>
          <w:spacing w:val="-8"/>
        </w:rPr>
        <w:t>或由于其他不可抗力原因，基金管理人和基金托管人虽然已经采取必要、适当、合理的措施</w:t>
      </w:r>
      <w:r>
        <w:rPr>
          <w:spacing w:val="-11"/>
        </w:rPr>
        <w:t>进行检查，但是未能发现该错误而造成的基金份额净值计算错误，基金管理人、基金托管人</w:t>
      </w:r>
      <w:r>
        <w:rPr>
          <w:spacing w:val="-13"/>
        </w:rPr>
        <w:t>免除赔偿责任。但基金管理人、基金托管人应积极采取必要的措施减轻或消除由此造成的影响。</w:t>
      </w:r>
    </w:p>
    <w:p>
      <w:pPr>
        <w:spacing w:after="0" w:line="417" w:lineRule="auto"/>
        <w:jc w:val="both"/>
        <w:sectPr>
          <w:pgSz w:w="11910" w:h="16840"/>
          <w:pgMar w:header="877" w:footer="995" w:top="1420" w:bottom="1180" w:left="1540" w:right="1300"/>
        </w:sectPr>
      </w:pPr>
    </w:p>
    <w:p>
      <w:pPr>
        <w:pStyle w:val="BodyText"/>
        <w:spacing w:before="7"/>
        <w:rPr>
          <w:sz w:val="29"/>
        </w:rPr>
      </w:pPr>
    </w:p>
    <w:p>
      <w:pPr>
        <w:pStyle w:val="Heading1"/>
        <w:ind w:left="10"/>
      </w:pPr>
      <w:bookmarkStart w:name="_bookmark12" w:id="13"/>
      <w:bookmarkEnd w:id="13"/>
      <w:r>
        <w:rPr>
          <w:b w:val="0"/>
        </w:rPr>
      </w:r>
      <w:r>
        <w:rPr/>
        <w:t>十三、基金的收益与分配</w:t>
      </w:r>
    </w:p>
    <w:p>
      <w:pPr>
        <w:pStyle w:val="BodyText"/>
        <w:rPr>
          <w:b/>
          <w:sz w:val="20"/>
        </w:rPr>
      </w:pPr>
    </w:p>
    <w:p>
      <w:pPr>
        <w:pStyle w:val="BodyText"/>
        <w:spacing w:before="8"/>
        <w:rPr>
          <w:b/>
          <w:sz w:val="15"/>
        </w:rPr>
      </w:pPr>
    </w:p>
    <w:p>
      <w:pPr>
        <w:pStyle w:val="BodyText"/>
        <w:spacing w:before="71"/>
        <w:ind w:left="680"/>
      </w:pPr>
      <w:r>
        <w:rPr/>
        <w:t>（一）基金利润的构成</w:t>
      </w:r>
    </w:p>
    <w:p>
      <w:pPr>
        <w:pStyle w:val="BodyText"/>
        <w:spacing w:before="7"/>
        <w:rPr>
          <w:sz w:val="15"/>
        </w:rPr>
      </w:pPr>
    </w:p>
    <w:p>
      <w:pPr>
        <w:pStyle w:val="BodyText"/>
        <w:spacing w:line="417" w:lineRule="auto"/>
        <w:ind w:left="260" w:right="491" w:firstLine="419"/>
      </w:pPr>
      <w:r>
        <w:rPr>
          <w:spacing w:val="-10"/>
        </w:rPr>
        <w:t>基金利润指基金利息收入、投资收益、公允价值变动收益和其他收入扣除相关费用后的</w:t>
      </w:r>
      <w:r>
        <w:rPr>
          <w:spacing w:val="-5"/>
        </w:rPr>
        <w:t>余额，基金已实现收益指基金利润减去公允价值变动收益后的余额。</w:t>
      </w:r>
    </w:p>
    <w:p>
      <w:pPr>
        <w:pStyle w:val="BodyText"/>
        <w:spacing w:line="269" w:lineRule="exact"/>
        <w:ind w:left="680"/>
      </w:pPr>
      <w:r>
        <w:rPr/>
        <w:t>（二）基金可供分配利润</w:t>
      </w:r>
    </w:p>
    <w:p>
      <w:pPr>
        <w:pStyle w:val="BodyText"/>
        <w:spacing w:before="7"/>
        <w:rPr>
          <w:sz w:val="15"/>
        </w:rPr>
      </w:pPr>
    </w:p>
    <w:p>
      <w:pPr>
        <w:pStyle w:val="BodyText"/>
        <w:spacing w:line="417" w:lineRule="auto"/>
        <w:ind w:left="260" w:right="494" w:firstLine="419"/>
      </w:pPr>
      <w:r>
        <w:rPr/>
        <w:t>基金可供分配利润指截至收益分配基准日基金未分配利润与未分配利润中已实现收益的孰低数。</w:t>
      </w:r>
    </w:p>
    <w:p>
      <w:pPr>
        <w:pStyle w:val="BodyText"/>
        <w:ind w:left="680"/>
      </w:pPr>
      <w:r>
        <w:rPr/>
        <w:t>（三）基金收益分配原则</w:t>
      </w:r>
    </w:p>
    <w:p>
      <w:pPr>
        <w:pStyle w:val="BodyText"/>
        <w:spacing w:before="7"/>
        <w:rPr>
          <w:sz w:val="15"/>
        </w:rPr>
      </w:pPr>
    </w:p>
    <w:p>
      <w:pPr>
        <w:pStyle w:val="BodyText"/>
        <w:spacing w:line="417" w:lineRule="auto"/>
        <w:ind w:left="260" w:right="491" w:firstLine="472"/>
        <w:jc w:val="both"/>
      </w:pPr>
      <w:r>
        <w:rPr>
          <w:rFonts w:ascii="Times New Roman" w:eastAsia="Times New Roman"/>
        </w:rPr>
        <w:t>1</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260" w:right="491" w:firstLine="419"/>
        <w:jc w:val="both"/>
      </w:pPr>
      <w:r>
        <w:rPr>
          <w:rFonts w:ascii="Times New Roman" w:eastAsia="Times New Roman"/>
        </w:rPr>
        <w:t>2</w:t>
      </w:r>
      <w:r>
        <w:rPr>
          <w:spacing w:val="-3"/>
        </w:rPr>
        <w:t>、本基金收益分配方式分两种：现金分红与红利再投资，基金份额持有人可选择现金</w:t>
      </w:r>
      <w:r>
        <w:rPr>
          <w:spacing w:val="-8"/>
        </w:rPr>
        <w:t>红利或将现金红利自动转为基金份额进行再投资；若基金份额持有人不选择，本基金默认的</w:t>
      </w:r>
      <w:r>
        <w:rPr>
          <w:spacing w:val="-5"/>
        </w:rPr>
        <w:t>收益分配方式是现金分红。</w:t>
      </w:r>
    </w:p>
    <w:p>
      <w:pPr>
        <w:pStyle w:val="BodyText"/>
        <w:spacing w:line="417" w:lineRule="auto"/>
        <w:ind w:left="260" w:right="494" w:firstLine="419"/>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spacing w:line="269" w:lineRule="exact"/>
        <w:ind w:left="680"/>
      </w:pPr>
      <w:r>
        <w:rPr>
          <w:rFonts w:ascii="Times New Roman" w:eastAsia="Times New Roman"/>
        </w:rPr>
        <w:t>4</w:t>
      </w:r>
      <w:r>
        <w:rPr/>
        <w:t>、本基金的每份基金份额享有同等分配权。</w:t>
      </w:r>
    </w:p>
    <w:p>
      <w:pPr>
        <w:pStyle w:val="BodyText"/>
        <w:spacing w:before="6"/>
        <w:rPr>
          <w:sz w:val="15"/>
        </w:rPr>
      </w:pPr>
    </w:p>
    <w:p>
      <w:pPr>
        <w:pStyle w:val="BodyText"/>
        <w:ind w:left="680"/>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before="1"/>
        <w:ind w:left="260" w:right="282" w:firstLine="419"/>
      </w:pPr>
      <w:r>
        <w:rPr>
          <w:spacing w:val="-6"/>
        </w:rPr>
        <w:t>在不违反法律法规且对现有基金份额持有人利益无实质不利影响的情况下，基金管理人、</w:t>
      </w:r>
      <w:r>
        <w:rPr>
          <w:spacing w:val="-10"/>
        </w:rPr>
        <w:t>登记机构在与基金托管人协商一致，并按照监管部门要求履行适当程序后可对基金收益分配 </w:t>
      </w:r>
      <w:r>
        <w:rPr>
          <w:spacing w:val="-5"/>
        </w:rPr>
        <w:t>原则进行调整，不需召开基金份额持有人大会，但应于变更实施日前在指定媒介公告。</w:t>
      </w:r>
    </w:p>
    <w:p>
      <w:pPr>
        <w:pStyle w:val="BodyText"/>
        <w:ind w:left="680"/>
      </w:pPr>
      <w:r>
        <w:rPr/>
        <w:t>（四）收益分配方案</w:t>
      </w:r>
    </w:p>
    <w:p>
      <w:pPr>
        <w:pStyle w:val="BodyText"/>
        <w:spacing w:before="6"/>
        <w:rPr>
          <w:sz w:val="15"/>
        </w:rPr>
      </w:pPr>
    </w:p>
    <w:p>
      <w:pPr>
        <w:pStyle w:val="BodyText"/>
        <w:spacing w:line="417" w:lineRule="auto"/>
        <w:ind w:left="260" w:right="388" w:firstLine="419"/>
      </w:pPr>
      <w:r>
        <w:rPr/>
        <w:t>基金收益分配方案中应载明截止收益分配基准日的可供分配利润、基金收益分配对象、分配时间、分配数额及比例、分配方式等内容。</w:t>
      </w:r>
    </w:p>
    <w:p>
      <w:pPr>
        <w:pStyle w:val="BodyText"/>
        <w:spacing w:line="269" w:lineRule="exact"/>
        <w:ind w:left="680"/>
      </w:pPr>
      <w:r>
        <w:rPr/>
        <w:t>（五）收益分配方案的确定、公告与实施</w:t>
      </w:r>
    </w:p>
    <w:p>
      <w:pPr>
        <w:pStyle w:val="BodyText"/>
        <w:spacing w:before="7"/>
        <w:rPr>
          <w:sz w:val="15"/>
        </w:rPr>
      </w:pPr>
    </w:p>
    <w:p>
      <w:pPr>
        <w:pStyle w:val="BodyText"/>
        <w:spacing w:line="417" w:lineRule="auto"/>
        <w:ind w:left="260" w:right="492" w:firstLine="472"/>
      </w:pPr>
      <w:r>
        <w:rPr/>
        <w:t>本基金收益分配方案由基金管理人拟定，并由基金托管人核实后确定，基金管理人按法律法规的规定公告。</w:t>
      </w:r>
    </w:p>
    <w:p>
      <w:pPr>
        <w:pStyle w:val="BodyText"/>
        <w:ind w:left="680"/>
      </w:pPr>
      <w:r>
        <w:rPr/>
        <w:t>基金红利发放日距离收益分配基准日（即可供分配利润计算截止日）的时间不得超过</w:t>
      </w:r>
    </w:p>
    <w:p>
      <w:pPr>
        <w:spacing w:after="0"/>
        <w:sectPr>
          <w:pgSz w:w="11910" w:h="16840"/>
          <w:pgMar w:header="877" w:footer="995" w:top="1420" w:bottom="1180" w:left="1540" w:right="1300"/>
        </w:sectPr>
      </w:pPr>
    </w:p>
    <w:p>
      <w:pPr>
        <w:pStyle w:val="BodyText"/>
        <w:spacing w:before="110"/>
        <w:ind w:left="260"/>
      </w:pPr>
      <w:r>
        <w:rPr>
          <w:rFonts w:ascii="Times New Roman" w:eastAsia="Times New Roman"/>
        </w:rPr>
        <w:t>15 </w:t>
      </w:r>
      <w:r>
        <w:rPr/>
        <w:t>个工作日。</w:t>
      </w:r>
    </w:p>
    <w:p>
      <w:pPr>
        <w:pStyle w:val="BodyText"/>
        <w:spacing w:before="6"/>
        <w:rPr>
          <w:sz w:val="15"/>
        </w:rPr>
      </w:pPr>
    </w:p>
    <w:p>
      <w:pPr>
        <w:pStyle w:val="BodyText"/>
        <w:ind w:left="680"/>
      </w:pPr>
      <w:r>
        <w:rPr/>
        <w:t>（六）基金收益分配中发生的费用</w:t>
      </w:r>
    </w:p>
    <w:p>
      <w:pPr>
        <w:pStyle w:val="BodyText"/>
        <w:spacing w:before="7"/>
        <w:rPr>
          <w:sz w:val="15"/>
        </w:rPr>
      </w:pPr>
    </w:p>
    <w:p>
      <w:pPr>
        <w:pStyle w:val="BodyText"/>
        <w:spacing w:line="417" w:lineRule="auto"/>
        <w:ind w:left="260" w:right="491" w:firstLine="419"/>
        <w:jc w:val="both"/>
      </w:pPr>
      <w:r>
        <w:rPr>
          <w:spacing w:val="-6"/>
        </w:rPr>
        <w:t>基金收益分配时所发生的银行转账或其他手续费用由投资者自行承担。当投资者的现金</w:t>
      </w:r>
      <w:r>
        <w:rPr>
          <w:spacing w:val="-11"/>
        </w:rPr>
        <w:t>红利小于一定金额，不足于支付银行转账或其他手续费用时，基金登记机构可将基金份额持</w:t>
      </w:r>
      <w:r>
        <w:rPr>
          <w:spacing w:val="-6"/>
        </w:rPr>
        <w:t>有人的现金红利自动转为基金份额。红利再投资的计算方法，依照《业务规则》执行。</w:t>
      </w:r>
    </w:p>
    <w:p>
      <w:pPr>
        <w:spacing w:after="0" w:line="417" w:lineRule="auto"/>
        <w:jc w:val="both"/>
        <w:sectPr>
          <w:pgSz w:w="11910" w:h="16840"/>
          <w:pgMar w:header="877" w:footer="995" w:top="1420" w:bottom="1180" w:left="1540" w:right="1300"/>
        </w:sectPr>
      </w:pPr>
    </w:p>
    <w:p>
      <w:pPr>
        <w:pStyle w:val="BodyText"/>
        <w:spacing w:before="7"/>
        <w:rPr>
          <w:sz w:val="29"/>
        </w:rPr>
      </w:pPr>
    </w:p>
    <w:p>
      <w:pPr>
        <w:pStyle w:val="Heading1"/>
        <w:ind w:left="10"/>
      </w:pPr>
      <w:bookmarkStart w:name="_bookmark13" w:id="14"/>
      <w:bookmarkEnd w:id="14"/>
      <w:r>
        <w:rPr>
          <w:b w:val="0"/>
        </w:rPr>
      </w:r>
      <w:r>
        <w:rPr/>
        <w:t>十四、基金的费用与税收</w:t>
      </w:r>
    </w:p>
    <w:p>
      <w:pPr>
        <w:pStyle w:val="BodyText"/>
        <w:rPr>
          <w:b/>
          <w:sz w:val="20"/>
        </w:rPr>
      </w:pPr>
    </w:p>
    <w:p>
      <w:pPr>
        <w:pStyle w:val="BodyText"/>
        <w:spacing w:before="8"/>
        <w:rPr>
          <w:b/>
          <w:sz w:val="15"/>
        </w:rPr>
      </w:pPr>
    </w:p>
    <w:p>
      <w:pPr>
        <w:pStyle w:val="BodyText"/>
        <w:spacing w:before="71"/>
        <w:ind w:left="680"/>
      </w:pPr>
      <w:r>
        <w:rPr/>
        <w:t>（一）基金运作费用</w:t>
      </w:r>
    </w:p>
    <w:p>
      <w:pPr>
        <w:pStyle w:val="BodyText"/>
        <w:spacing w:before="7"/>
        <w:rPr>
          <w:sz w:val="15"/>
        </w:rPr>
      </w:pPr>
    </w:p>
    <w:p>
      <w:pPr>
        <w:pStyle w:val="BodyText"/>
        <w:ind w:left="680"/>
      </w:pPr>
      <w:r>
        <w:rPr>
          <w:rFonts w:ascii="Times New Roman" w:eastAsia="Times New Roman"/>
        </w:rPr>
        <w:t>1</w:t>
      </w:r>
      <w:r>
        <w:rPr/>
        <w:t>、基金费用的种类</w:t>
      </w:r>
    </w:p>
    <w:p>
      <w:pPr>
        <w:pStyle w:val="BodyText"/>
        <w:spacing w:before="7"/>
        <w:rPr>
          <w:sz w:val="15"/>
        </w:rPr>
      </w:pPr>
    </w:p>
    <w:p>
      <w:pPr>
        <w:pStyle w:val="ListParagraph"/>
        <w:numPr>
          <w:ilvl w:val="0"/>
          <w:numId w:val="28"/>
        </w:numPr>
        <w:tabs>
          <w:tab w:pos="1210" w:val="left" w:leader="none"/>
        </w:tabs>
        <w:spacing w:line="240" w:lineRule="auto" w:before="0" w:after="0"/>
        <w:ind w:left="1209" w:right="0" w:hanging="530"/>
        <w:jc w:val="left"/>
        <w:rPr>
          <w:sz w:val="21"/>
        </w:rPr>
      </w:pPr>
      <w:r>
        <w:rPr>
          <w:spacing w:val="-3"/>
          <w:sz w:val="21"/>
        </w:rPr>
        <w:t>基金管理人的管理费。</w:t>
      </w:r>
    </w:p>
    <w:p>
      <w:pPr>
        <w:pStyle w:val="BodyText"/>
        <w:spacing w:before="6"/>
        <w:rPr>
          <w:sz w:val="15"/>
        </w:rPr>
      </w:pPr>
    </w:p>
    <w:p>
      <w:pPr>
        <w:pStyle w:val="ListParagraph"/>
        <w:numPr>
          <w:ilvl w:val="0"/>
          <w:numId w:val="28"/>
        </w:numPr>
        <w:tabs>
          <w:tab w:pos="1210" w:val="left" w:leader="none"/>
        </w:tabs>
        <w:spacing w:line="240" w:lineRule="auto" w:before="0" w:after="0"/>
        <w:ind w:left="1209" w:right="0" w:hanging="530"/>
        <w:jc w:val="left"/>
        <w:rPr>
          <w:sz w:val="21"/>
        </w:rPr>
      </w:pPr>
      <w:r>
        <w:rPr>
          <w:spacing w:val="-3"/>
          <w:sz w:val="21"/>
        </w:rPr>
        <w:t>基金托管人的托管费。</w:t>
      </w:r>
    </w:p>
    <w:p>
      <w:pPr>
        <w:pStyle w:val="BodyText"/>
        <w:spacing w:before="7"/>
        <w:rPr>
          <w:sz w:val="15"/>
        </w:rPr>
      </w:pPr>
    </w:p>
    <w:p>
      <w:pPr>
        <w:pStyle w:val="ListParagraph"/>
        <w:numPr>
          <w:ilvl w:val="0"/>
          <w:numId w:val="28"/>
        </w:numPr>
        <w:tabs>
          <w:tab w:pos="1210" w:val="left" w:leader="none"/>
        </w:tabs>
        <w:spacing w:line="417" w:lineRule="auto" w:before="0" w:after="0"/>
        <w:ind w:left="260" w:right="49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0"/>
          <w:numId w:val="28"/>
        </w:numPr>
        <w:tabs>
          <w:tab w:pos="1210" w:val="left" w:leader="none"/>
        </w:tabs>
        <w:spacing w:line="240" w:lineRule="auto" w:before="1" w:after="0"/>
        <w:ind w:left="1209" w:right="0" w:hanging="530"/>
        <w:jc w:val="left"/>
        <w:rPr>
          <w:sz w:val="21"/>
        </w:rPr>
      </w:pPr>
      <w:r>
        <w:rPr>
          <w:spacing w:val="-3"/>
          <w:sz w:val="21"/>
        </w:rPr>
        <w:t>《基金合同》生效后与基金相关的会计师费、律师费、仲裁费和诉讼费。</w:t>
      </w:r>
    </w:p>
    <w:p>
      <w:pPr>
        <w:pStyle w:val="BodyText"/>
        <w:spacing w:before="6"/>
        <w:rPr>
          <w:sz w:val="15"/>
        </w:rPr>
      </w:pPr>
    </w:p>
    <w:p>
      <w:pPr>
        <w:pStyle w:val="ListParagraph"/>
        <w:numPr>
          <w:ilvl w:val="0"/>
          <w:numId w:val="28"/>
        </w:numPr>
        <w:tabs>
          <w:tab w:pos="1210" w:val="left" w:leader="none"/>
        </w:tabs>
        <w:spacing w:line="240" w:lineRule="auto" w:before="0" w:after="0"/>
        <w:ind w:left="1209" w:right="0" w:hanging="530"/>
        <w:jc w:val="left"/>
        <w:rPr>
          <w:sz w:val="21"/>
        </w:rPr>
      </w:pPr>
      <w:r>
        <w:rPr>
          <w:spacing w:val="-3"/>
          <w:sz w:val="21"/>
        </w:rPr>
        <w:t>基金份额持有人大会费用。</w:t>
      </w:r>
    </w:p>
    <w:p>
      <w:pPr>
        <w:pStyle w:val="BodyText"/>
        <w:spacing w:before="7"/>
        <w:rPr>
          <w:sz w:val="15"/>
        </w:rPr>
      </w:pPr>
    </w:p>
    <w:p>
      <w:pPr>
        <w:pStyle w:val="ListParagraph"/>
        <w:numPr>
          <w:ilvl w:val="0"/>
          <w:numId w:val="28"/>
        </w:numPr>
        <w:tabs>
          <w:tab w:pos="1210" w:val="left" w:leader="none"/>
        </w:tabs>
        <w:spacing w:line="417" w:lineRule="auto" w:before="0" w:after="0"/>
        <w:ind w:left="260" w:right="493" w:firstLine="419"/>
        <w:jc w:val="left"/>
        <w:rPr>
          <w:sz w:val="21"/>
        </w:rPr>
      </w:pPr>
      <w:r>
        <w:rPr>
          <w:spacing w:val="-3"/>
          <w:sz w:val="21"/>
        </w:rPr>
        <w:t>基金的证券、期货交易费用（包括但不限于经手费、印花税、证管费、过户费、手续费、券商佣金、权证交易的结算费、证券账户相关费用及其他类似性质的费用等</w:t>
      </w:r>
      <w:r>
        <w:rPr>
          <w:spacing w:val="-108"/>
          <w:sz w:val="21"/>
        </w:rPr>
        <w:t>）</w:t>
      </w:r>
      <w:r>
        <w:rPr>
          <w:sz w:val="21"/>
        </w:rPr>
        <w:t>。</w:t>
      </w:r>
    </w:p>
    <w:p>
      <w:pPr>
        <w:pStyle w:val="ListParagraph"/>
        <w:numPr>
          <w:ilvl w:val="0"/>
          <w:numId w:val="28"/>
        </w:numPr>
        <w:tabs>
          <w:tab w:pos="1210" w:val="left" w:leader="none"/>
        </w:tabs>
        <w:spacing w:line="269" w:lineRule="exact" w:before="0" w:after="0"/>
        <w:ind w:left="1209" w:right="0" w:hanging="530"/>
        <w:jc w:val="left"/>
        <w:rPr>
          <w:sz w:val="21"/>
        </w:rPr>
      </w:pPr>
      <w:r>
        <w:rPr>
          <w:spacing w:val="-3"/>
          <w:sz w:val="21"/>
        </w:rPr>
        <w:t>基金的银行汇划费用、账户维护费。</w:t>
      </w:r>
    </w:p>
    <w:p>
      <w:pPr>
        <w:pStyle w:val="BodyText"/>
        <w:spacing w:before="7"/>
        <w:rPr>
          <w:sz w:val="15"/>
        </w:rPr>
      </w:pPr>
    </w:p>
    <w:p>
      <w:pPr>
        <w:pStyle w:val="ListParagraph"/>
        <w:numPr>
          <w:ilvl w:val="0"/>
          <w:numId w:val="28"/>
        </w:numPr>
        <w:tabs>
          <w:tab w:pos="1210" w:val="left" w:leader="none"/>
        </w:tabs>
        <w:spacing w:line="240" w:lineRule="auto" w:before="0" w:after="0"/>
        <w:ind w:left="1209" w:right="0" w:hanging="530"/>
        <w:jc w:val="left"/>
        <w:rPr>
          <w:sz w:val="21"/>
        </w:rPr>
      </w:pPr>
      <w:r>
        <w:rPr>
          <w:spacing w:val="-3"/>
          <w:sz w:val="21"/>
        </w:rPr>
        <w:t>按照国家有关规定和《基金合同》约定，可以在基金财产中列支的其他费用。</w:t>
      </w:r>
    </w:p>
    <w:p>
      <w:pPr>
        <w:pStyle w:val="BodyText"/>
        <w:spacing w:before="7"/>
        <w:rPr>
          <w:sz w:val="15"/>
        </w:rPr>
      </w:pPr>
    </w:p>
    <w:p>
      <w:pPr>
        <w:pStyle w:val="BodyText"/>
        <w:ind w:left="680"/>
      </w:pPr>
      <w:r>
        <w:rPr>
          <w:rFonts w:ascii="Times New Roman" w:eastAsia="Times New Roman"/>
        </w:rPr>
        <w:t>2</w:t>
      </w:r>
      <w:r>
        <w:rPr/>
        <w:t>、基金费用计提方法、计提标准和支付方式</w:t>
      </w:r>
    </w:p>
    <w:p>
      <w:pPr>
        <w:pStyle w:val="BodyText"/>
        <w:spacing w:before="6"/>
        <w:rPr>
          <w:sz w:val="15"/>
        </w:rPr>
      </w:pPr>
    </w:p>
    <w:p>
      <w:pPr>
        <w:pStyle w:val="ListParagraph"/>
        <w:numPr>
          <w:ilvl w:val="0"/>
          <w:numId w:val="29"/>
        </w:numPr>
        <w:tabs>
          <w:tab w:pos="1210" w:val="left" w:leader="none"/>
        </w:tabs>
        <w:spacing w:line="240" w:lineRule="auto" w:before="1" w:after="0"/>
        <w:ind w:left="1209" w:right="0" w:hanging="530"/>
        <w:jc w:val="left"/>
        <w:rPr>
          <w:sz w:val="21"/>
        </w:rPr>
      </w:pPr>
      <w:r>
        <w:rPr>
          <w:spacing w:val="-3"/>
          <w:sz w:val="21"/>
        </w:rPr>
        <w:t>基金管理人的管理费</w:t>
      </w:r>
    </w:p>
    <w:p>
      <w:pPr>
        <w:pStyle w:val="BodyText"/>
        <w:spacing w:before="6"/>
        <w:rPr>
          <w:sz w:val="15"/>
        </w:rPr>
      </w:pPr>
    </w:p>
    <w:p>
      <w:pPr>
        <w:pStyle w:val="BodyText"/>
        <w:spacing w:line="417" w:lineRule="auto"/>
        <w:ind w:left="680" w:right="352"/>
      </w:pPr>
      <w:r>
        <w:rPr/>
        <w:t>本基金的管理费按前一日基金资产净值的 </w:t>
      </w:r>
      <w:r>
        <w:rPr>
          <w:rFonts w:ascii="Times New Roman" w:hAnsi="Times New Roman" w:eastAsia="Times New Roman"/>
        </w:rPr>
        <w:t>1.50%</w:t>
      </w:r>
      <w:r>
        <w:rPr/>
        <w:t>年费率计提。管理费的计算方法如下： </w:t>
      </w: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spacing w:line="269" w:lineRule="exact"/>
        <w:ind w:left="680"/>
      </w:pPr>
      <w:r>
        <w:rPr>
          <w:rFonts w:ascii="Times New Roman" w:eastAsia="Times New Roman"/>
        </w:rPr>
        <w:t>H </w:t>
      </w:r>
      <w:r>
        <w:rPr/>
        <w:t>为每日应计提的基金管理费</w:t>
      </w:r>
    </w:p>
    <w:p>
      <w:pPr>
        <w:pStyle w:val="BodyText"/>
        <w:spacing w:before="7"/>
        <w:rPr>
          <w:sz w:val="15"/>
        </w:rPr>
      </w:pPr>
    </w:p>
    <w:p>
      <w:pPr>
        <w:pStyle w:val="BodyText"/>
        <w:ind w:left="68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260" w:right="385" w:firstLine="419"/>
      </w:pPr>
      <w:r>
        <w:rPr>
          <w:spacing w:val="-17"/>
        </w:rPr>
        <w:t>基金管理费每日计提，按月支付。由基金托管人根据与基金管理人核对一致的财务数据，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个工作日内、按照指定的账户路径进行资金支付，基金管理人无需再出具资金</w:t>
      </w:r>
      <w:r>
        <w:rPr>
          <w:spacing w:val="-12"/>
        </w:rPr>
        <w:t>划拨指令。若遇法定节假日、休息日或不可抗力致使无法按时支付的，顺延至最近可支付日支付。费用自动扣划后，基金管理人应进行核对，如发现数据不符，及时联系基金托管人协</w:t>
      </w:r>
      <w:r>
        <w:rPr>
          <w:spacing w:val="-7"/>
        </w:rPr>
        <w:t>商解决。</w:t>
      </w:r>
    </w:p>
    <w:p>
      <w:pPr>
        <w:pStyle w:val="ListParagraph"/>
        <w:numPr>
          <w:ilvl w:val="0"/>
          <w:numId w:val="29"/>
        </w:numPr>
        <w:tabs>
          <w:tab w:pos="1210" w:val="left" w:leader="none"/>
        </w:tabs>
        <w:spacing w:line="269" w:lineRule="exact" w:before="0" w:after="0"/>
        <w:ind w:left="1209" w:right="0" w:hanging="530"/>
        <w:jc w:val="left"/>
        <w:rPr>
          <w:sz w:val="21"/>
        </w:rPr>
      </w:pPr>
      <w:r>
        <w:rPr>
          <w:spacing w:val="-3"/>
          <w:sz w:val="21"/>
        </w:rPr>
        <w:t>基金托管人的托管费</w:t>
      </w:r>
    </w:p>
    <w:p>
      <w:pPr>
        <w:pStyle w:val="BodyText"/>
        <w:spacing w:before="6"/>
        <w:rPr>
          <w:sz w:val="15"/>
        </w:rPr>
      </w:pPr>
    </w:p>
    <w:p>
      <w:pPr>
        <w:pStyle w:val="BodyText"/>
        <w:spacing w:line="417" w:lineRule="auto" w:before="1"/>
        <w:ind w:left="680" w:right="284"/>
      </w:pPr>
      <w:r>
        <w:rPr>
          <w:spacing w:val="-4"/>
        </w:rPr>
        <w:t>本基金的托管费按前一日基金资产净值的 </w:t>
      </w:r>
      <w:r>
        <w:rPr>
          <w:rFonts w:ascii="Times New Roman" w:hAnsi="Times New Roman" w:eastAsia="Times New Roman"/>
        </w:rPr>
        <w:t>0.25%</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E×0.25%÷</w:t>
      </w:r>
      <w:r>
        <w:rPr>
          <w:spacing w:val="-3"/>
        </w:rPr>
        <w:t>当年天数</w:t>
      </w:r>
    </w:p>
    <w:p>
      <w:pPr>
        <w:pStyle w:val="BodyText"/>
        <w:ind w:left="680"/>
      </w:pPr>
      <w:r>
        <w:rPr>
          <w:rFonts w:ascii="Times New Roman" w:eastAsia="Times New Roman"/>
        </w:rPr>
        <w:t>H </w:t>
      </w:r>
      <w:r>
        <w:rPr/>
        <w:t>为每日应计提的基金托管费</w:t>
      </w:r>
    </w:p>
    <w:p>
      <w:pPr>
        <w:spacing w:after="0"/>
        <w:sectPr>
          <w:pgSz w:w="11910" w:h="16840"/>
          <w:pgMar w:header="877" w:footer="995" w:top="1420" w:bottom="1180" w:left="1540" w:right="1300"/>
        </w:sectPr>
      </w:pPr>
    </w:p>
    <w:p>
      <w:pPr>
        <w:pStyle w:val="BodyText"/>
        <w:spacing w:before="110"/>
        <w:ind w:left="680"/>
      </w:pPr>
      <w:r>
        <w:rPr>
          <w:rFonts w:ascii="Times New Roman" w:eastAsia="Times New Roman"/>
        </w:rPr>
        <w:t>E </w:t>
      </w:r>
      <w:r>
        <w:rPr/>
        <w:t>为前一日的基金资产净值</w:t>
      </w:r>
    </w:p>
    <w:p>
      <w:pPr>
        <w:pStyle w:val="BodyText"/>
        <w:spacing w:before="6"/>
        <w:rPr>
          <w:sz w:val="15"/>
        </w:rPr>
      </w:pPr>
    </w:p>
    <w:p>
      <w:pPr>
        <w:pStyle w:val="BodyText"/>
        <w:spacing w:line="417" w:lineRule="auto"/>
        <w:ind w:left="260" w:right="385" w:firstLine="419"/>
      </w:pPr>
      <w:r>
        <w:rPr>
          <w:spacing w:val="-17"/>
        </w:rPr>
        <w:t>基金托管费每日计提，按月支付。由基金托管人根据与基金管理人核对一致的财务数据， </w:t>
      </w:r>
      <w:r>
        <w:rPr>
          <w:spacing w:val="-15"/>
        </w:rPr>
        <w:t>自动在月初 </w:t>
      </w:r>
      <w:r>
        <w:rPr>
          <w:rFonts w:ascii="Times New Roman" w:eastAsia="Times New Roman"/>
        </w:rPr>
        <w:t>5 </w:t>
      </w:r>
      <w:r>
        <w:rPr>
          <w:spacing w:val="-11"/>
        </w:rPr>
        <w:t>个工作日内、按照指定的账户路径进行资金支取，基金管理人无需再出具资金</w:t>
      </w:r>
      <w:r>
        <w:rPr>
          <w:spacing w:val="-12"/>
        </w:rPr>
        <w:t>划拨指令。若遇法定节假日、休息日或不可抗力致使无法按时支付的，顺延至最近可支付日支付。费用自动扣划后，基金管理人应进行核对，如发现数据不符，及时联系基金托管人协</w:t>
      </w:r>
      <w:r>
        <w:rPr>
          <w:spacing w:val="-8"/>
        </w:rPr>
        <w:t>商解决。</w:t>
      </w:r>
    </w:p>
    <w:p>
      <w:pPr>
        <w:pStyle w:val="BodyText"/>
        <w:spacing w:line="417" w:lineRule="auto"/>
        <w:ind w:left="260" w:right="493" w:firstLine="419"/>
      </w:pPr>
      <w:r>
        <w:rPr/>
        <w:t>上述“</w:t>
      </w:r>
      <w:r>
        <w:rPr>
          <w:rFonts w:ascii="Times New Roman" w:hAnsi="Times New Roman" w:eastAsia="Times New Roman"/>
        </w:rPr>
        <w:t>1</w:t>
      </w:r>
      <w:r>
        <w:rPr>
          <w:spacing w:val="-12"/>
        </w:rPr>
        <w:t>、基金费用的种类”中第</w:t>
      </w:r>
      <w:r>
        <w:rPr>
          <w:spacing w:val="-14"/>
        </w:rPr>
        <w:t>（</w:t>
      </w:r>
      <w:r>
        <w:rPr>
          <w:rFonts w:ascii="Times New Roman" w:hAnsi="Times New Roman" w:eastAsia="Times New Roman"/>
          <w:spacing w:val="-14"/>
        </w:rPr>
        <w:t>3</w:t>
      </w:r>
      <w:r>
        <w:rPr>
          <w:spacing w:val="-14"/>
        </w:rPr>
        <w:t>）－（</w:t>
      </w:r>
      <w:r>
        <w:rPr>
          <w:rFonts w:ascii="Times New Roman" w:hAnsi="Times New Roman" w:eastAsia="Times New Roman"/>
          <w:spacing w:val="-14"/>
        </w:rPr>
        <w:t>8</w:t>
      </w:r>
      <w:r>
        <w:rPr>
          <w:spacing w:val="-14"/>
        </w:rPr>
        <w:t>）</w:t>
      </w:r>
      <w:r>
        <w:rPr>
          <w:spacing w:val="-7"/>
        </w:rPr>
        <w:t>项费用，根据有关法规及相应协议规定， </w:t>
      </w:r>
      <w:r>
        <w:rPr>
          <w:spacing w:val="-5"/>
        </w:rPr>
        <w:t>按费用实际支出金额列入当期费用，由基金托管人从基金财产中支付。</w:t>
      </w:r>
    </w:p>
    <w:p>
      <w:pPr>
        <w:pStyle w:val="BodyText"/>
        <w:spacing w:line="417" w:lineRule="auto"/>
        <w:ind w:left="680" w:right="5861"/>
      </w:pPr>
      <w:r>
        <w:rPr>
          <w:rFonts w:ascii="Times New Roman" w:eastAsia="Times New Roman"/>
        </w:rPr>
        <w:t>3</w:t>
      </w:r>
      <w:r>
        <w:rPr/>
        <w:t>、不列入基金费用的项目下列费用不列入基金费用：</w:t>
      </w:r>
    </w:p>
    <w:p>
      <w:pPr>
        <w:pStyle w:val="ListParagraph"/>
        <w:numPr>
          <w:ilvl w:val="0"/>
          <w:numId w:val="30"/>
        </w:numPr>
        <w:tabs>
          <w:tab w:pos="1210" w:val="left" w:leader="none"/>
        </w:tabs>
        <w:spacing w:line="417" w:lineRule="auto" w:before="0" w:after="0"/>
        <w:ind w:left="260" w:right="494" w:firstLine="419"/>
        <w:jc w:val="left"/>
        <w:rPr>
          <w:sz w:val="21"/>
        </w:rPr>
      </w:pPr>
      <w:r>
        <w:rPr>
          <w:spacing w:val="-3"/>
          <w:sz w:val="21"/>
        </w:rPr>
        <w:t>基金管理人和基金托管人因未履行或未完全履行义务导致的费用支出或基金财产的损失。</w:t>
      </w:r>
    </w:p>
    <w:p>
      <w:pPr>
        <w:pStyle w:val="ListParagraph"/>
        <w:numPr>
          <w:ilvl w:val="0"/>
          <w:numId w:val="30"/>
        </w:numPr>
        <w:tabs>
          <w:tab w:pos="1210" w:val="left" w:leader="none"/>
        </w:tabs>
        <w:spacing w:line="269" w:lineRule="exact" w:before="0" w:after="0"/>
        <w:ind w:left="1209" w:right="0" w:hanging="530"/>
        <w:jc w:val="left"/>
        <w:rPr>
          <w:sz w:val="21"/>
        </w:rPr>
      </w:pPr>
      <w:r>
        <w:rPr>
          <w:spacing w:val="-3"/>
          <w:sz w:val="21"/>
        </w:rPr>
        <w:t>基金管理人和基金托管人处理与基金运作无关的事项发生的费用。</w:t>
      </w:r>
    </w:p>
    <w:p>
      <w:pPr>
        <w:pStyle w:val="BodyText"/>
        <w:spacing w:before="6"/>
        <w:rPr>
          <w:sz w:val="15"/>
        </w:rPr>
      </w:pPr>
    </w:p>
    <w:p>
      <w:pPr>
        <w:pStyle w:val="ListParagraph"/>
        <w:numPr>
          <w:ilvl w:val="0"/>
          <w:numId w:val="30"/>
        </w:numPr>
        <w:tabs>
          <w:tab w:pos="1210" w:val="left" w:leader="none"/>
        </w:tabs>
        <w:spacing w:line="240" w:lineRule="auto" w:before="0" w:after="0"/>
        <w:ind w:left="1209" w:right="0" w:hanging="530"/>
        <w:jc w:val="left"/>
        <w:rPr>
          <w:sz w:val="21"/>
        </w:rPr>
      </w:pPr>
      <w:r>
        <w:rPr>
          <w:spacing w:val="-3"/>
          <w:sz w:val="21"/>
        </w:rPr>
        <w:t>《基金合同》生效前的律师费、会计师费和信息披露费用等相关费用。</w:t>
      </w:r>
    </w:p>
    <w:p>
      <w:pPr>
        <w:pStyle w:val="BodyText"/>
        <w:spacing w:before="7"/>
        <w:rPr>
          <w:sz w:val="15"/>
        </w:rPr>
      </w:pPr>
    </w:p>
    <w:p>
      <w:pPr>
        <w:pStyle w:val="ListParagraph"/>
        <w:numPr>
          <w:ilvl w:val="0"/>
          <w:numId w:val="30"/>
        </w:numPr>
        <w:tabs>
          <w:tab w:pos="1210" w:val="left" w:leader="none"/>
        </w:tabs>
        <w:spacing w:line="240" w:lineRule="auto" w:before="0" w:after="0"/>
        <w:ind w:left="1209" w:right="0" w:hanging="530"/>
        <w:jc w:val="left"/>
        <w:rPr>
          <w:sz w:val="21"/>
        </w:rPr>
      </w:pPr>
      <w:r>
        <w:rPr>
          <w:spacing w:val="-3"/>
          <w:sz w:val="21"/>
        </w:rPr>
        <w:t>其他根据相关法律法规及中国证监会的有关规定不得列入基金费用的项目。</w:t>
      </w:r>
    </w:p>
    <w:p>
      <w:pPr>
        <w:pStyle w:val="BodyText"/>
        <w:spacing w:before="7"/>
        <w:rPr>
          <w:sz w:val="15"/>
        </w:rPr>
      </w:pPr>
    </w:p>
    <w:p>
      <w:pPr>
        <w:pStyle w:val="BodyText"/>
        <w:ind w:left="680"/>
      </w:pPr>
      <w:r>
        <w:rPr/>
        <w:t>（二）基金销售费用</w:t>
      </w:r>
    </w:p>
    <w:p>
      <w:pPr>
        <w:pStyle w:val="BodyText"/>
        <w:spacing w:before="7"/>
        <w:rPr>
          <w:sz w:val="15"/>
        </w:rPr>
      </w:pPr>
    </w:p>
    <w:p>
      <w:pPr>
        <w:pStyle w:val="BodyText"/>
        <w:spacing w:line="417" w:lineRule="auto"/>
        <w:ind w:left="260" w:right="491" w:firstLine="419"/>
        <w:jc w:val="both"/>
      </w:pPr>
      <w:r>
        <w:rPr>
          <w:spacing w:val="-11"/>
        </w:rPr>
        <w:t>本基金申购费、赎回费的费率水平、计算公式、收取方式和使用方式请详见本招募说明</w:t>
      </w:r>
      <w:r>
        <w:rPr>
          <w:spacing w:val="-9"/>
        </w:rPr>
        <w:t>书“八、基金份额的申购、赎回与转换”中的“</w:t>
      </w:r>
      <w:r>
        <w:rPr>
          <w:spacing w:val="-10"/>
        </w:rPr>
        <w:t>（</w:t>
      </w:r>
      <w:r>
        <w:rPr/>
        <w:t>六</w:t>
      </w:r>
      <w:r>
        <w:rPr>
          <w:spacing w:val="-17"/>
        </w:rPr>
        <w:t>）</w:t>
      </w:r>
      <w:r>
        <w:rPr>
          <w:spacing w:val="-4"/>
        </w:rPr>
        <w:t>申购费与赎回费”与“</w:t>
      </w:r>
      <w:r>
        <w:rPr>
          <w:spacing w:val="-9"/>
        </w:rPr>
        <w:t>（</w:t>
      </w:r>
      <w:r>
        <w:rPr/>
        <w:t>七</w:t>
      </w:r>
      <w:r>
        <w:rPr>
          <w:spacing w:val="-20"/>
        </w:rPr>
        <w:t>）</w:t>
      </w:r>
      <w:r>
        <w:rPr>
          <w:spacing w:val="-2"/>
        </w:rPr>
        <w:t>申购份</w:t>
      </w:r>
      <w:r>
        <w:rPr>
          <w:spacing w:val="-3"/>
        </w:rPr>
        <w:t>额与赎回金额的计算方式”中的相关规定。</w:t>
      </w:r>
    </w:p>
    <w:p>
      <w:pPr>
        <w:pStyle w:val="BodyText"/>
        <w:spacing w:line="269" w:lineRule="exact"/>
        <w:ind w:left="680"/>
      </w:pPr>
      <w:r>
        <w:rPr/>
        <w:t>（三）基金税收</w:t>
      </w:r>
    </w:p>
    <w:p>
      <w:pPr>
        <w:pStyle w:val="BodyText"/>
        <w:spacing w:before="6"/>
        <w:rPr>
          <w:sz w:val="15"/>
        </w:rPr>
      </w:pPr>
    </w:p>
    <w:p>
      <w:pPr>
        <w:pStyle w:val="BodyText"/>
        <w:spacing w:before="1"/>
        <w:ind w:left="680"/>
      </w:pPr>
      <w:r>
        <w:rPr/>
        <w:t>本基金运作过程中涉及的各纳税主体，其纳税义务按国家税收法律、法规执行。</w:t>
      </w:r>
    </w:p>
    <w:p>
      <w:pPr>
        <w:spacing w:after="0"/>
        <w:sectPr>
          <w:pgSz w:w="11910" w:h="16840"/>
          <w:pgMar w:header="877" w:footer="995" w:top="1420" w:bottom="1180" w:left="1540" w:right="1300"/>
        </w:sectPr>
      </w:pPr>
    </w:p>
    <w:p>
      <w:pPr>
        <w:pStyle w:val="BodyText"/>
        <w:spacing w:before="7"/>
        <w:rPr>
          <w:sz w:val="29"/>
        </w:rPr>
      </w:pPr>
    </w:p>
    <w:p>
      <w:pPr>
        <w:pStyle w:val="Heading1"/>
        <w:ind w:left="10"/>
      </w:pPr>
      <w:bookmarkStart w:name="_bookmark14" w:id="15"/>
      <w:bookmarkEnd w:id="15"/>
      <w:r>
        <w:rPr>
          <w:b w:val="0"/>
        </w:rPr>
      </w:r>
      <w:r>
        <w:rPr/>
        <w:t>十五、基金的会计与审计</w:t>
      </w:r>
    </w:p>
    <w:p>
      <w:pPr>
        <w:pStyle w:val="BodyText"/>
        <w:rPr>
          <w:b/>
          <w:sz w:val="20"/>
        </w:rPr>
      </w:pPr>
    </w:p>
    <w:p>
      <w:pPr>
        <w:pStyle w:val="BodyText"/>
        <w:spacing w:before="8"/>
        <w:rPr>
          <w:b/>
          <w:sz w:val="15"/>
        </w:rPr>
      </w:pPr>
    </w:p>
    <w:p>
      <w:pPr>
        <w:pStyle w:val="BodyText"/>
        <w:spacing w:before="71"/>
        <w:ind w:left="680"/>
      </w:pPr>
      <w:r>
        <w:rPr/>
        <w:t>（一）基金会计政策</w:t>
      </w:r>
    </w:p>
    <w:p>
      <w:pPr>
        <w:pStyle w:val="BodyText"/>
        <w:spacing w:before="7"/>
        <w:rPr>
          <w:sz w:val="15"/>
        </w:rPr>
      </w:pPr>
    </w:p>
    <w:p>
      <w:pPr>
        <w:pStyle w:val="BodyText"/>
        <w:ind w:left="680"/>
      </w:pPr>
      <w:r>
        <w:rPr>
          <w:rFonts w:ascii="Times New Roman" w:eastAsia="Times New Roman"/>
        </w:rPr>
        <w:t>1</w:t>
      </w:r>
      <w:r>
        <w:rPr/>
        <w:t>、基金管理人为本基金的基金会计责任方。</w:t>
      </w:r>
    </w:p>
    <w:p>
      <w:pPr>
        <w:pStyle w:val="BodyText"/>
        <w:spacing w:before="7"/>
        <w:rPr>
          <w:sz w:val="15"/>
        </w:rPr>
      </w:pPr>
    </w:p>
    <w:p>
      <w:pPr>
        <w:pStyle w:val="BodyText"/>
        <w:ind w:left="68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6"/>
        <w:rPr>
          <w:sz w:val="15"/>
        </w:rPr>
      </w:pPr>
    </w:p>
    <w:p>
      <w:pPr>
        <w:pStyle w:val="BodyText"/>
        <w:ind w:left="68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680"/>
      </w:pPr>
      <w:r>
        <w:rPr>
          <w:rFonts w:ascii="Times New Roman" w:eastAsia="Times New Roman"/>
        </w:rPr>
        <w:t>4</w:t>
      </w:r>
      <w:r>
        <w:rPr/>
        <w:t>、会计制度执行国家有关会计制度。</w:t>
      </w:r>
    </w:p>
    <w:p>
      <w:pPr>
        <w:pStyle w:val="BodyText"/>
        <w:spacing w:before="7"/>
        <w:rPr>
          <w:sz w:val="15"/>
        </w:rPr>
      </w:pPr>
    </w:p>
    <w:p>
      <w:pPr>
        <w:pStyle w:val="BodyText"/>
        <w:spacing w:before="1"/>
        <w:ind w:left="680"/>
      </w:pPr>
      <w:r>
        <w:rPr>
          <w:rFonts w:ascii="Times New Roman" w:eastAsia="Times New Roman"/>
        </w:rPr>
        <w:t>5</w:t>
      </w:r>
      <w:r>
        <w:rPr/>
        <w:t>、本基金独立建账、独立核算。</w:t>
      </w:r>
    </w:p>
    <w:p>
      <w:pPr>
        <w:pStyle w:val="BodyText"/>
        <w:spacing w:before="6"/>
        <w:rPr>
          <w:sz w:val="15"/>
        </w:rPr>
      </w:pPr>
    </w:p>
    <w:p>
      <w:pPr>
        <w:pStyle w:val="BodyText"/>
        <w:spacing w:line="417" w:lineRule="auto"/>
        <w:ind w:left="260" w:right="49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260" w:right="49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680"/>
      </w:pPr>
      <w:r>
        <w:rPr/>
        <w:t>（二）基金的年度审计</w:t>
      </w:r>
    </w:p>
    <w:p>
      <w:pPr>
        <w:pStyle w:val="BodyText"/>
        <w:spacing w:before="7"/>
        <w:rPr>
          <w:sz w:val="15"/>
        </w:rPr>
      </w:pPr>
    </w:p>
    <w:p>
      <w:pPr>
        <w:pStyle w:val="BodyText"/>
        <w:spacing w:line="417" w:lineRule="auto"/>
        <w:ind w:left="260" w:right="494"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ind w:left="680"/>
      </w:pPr>
      <w:r>
        <w:rPr>
          <w:rFonts w:ascii="Times New Roman" w:eastAsia="Times New Roman"/>
        </w:rPr>
        <w:t>2</w:t>
      </w:r>
      <w:r>
        <w:rPr/>
        <w:t>、会计师事务所更换经办注册会计师，应事先征得基金管理人同意。</w:t>
      </w:r>
    </w:p>
    <w:p>
      <w:pPr>
        <w:pStyle w:val="BodyText"/>
        <w:spacing w:before="6"/>
        <w:rPr>
          <w:sz w:val="15"/>
        </w:rPr>
      </w:pPr>
    </w:p>
    <w:p>
      <w:pPr>
        <w:pStyle w:val="BodyText"/>
        <w:spacing w:line="417" w:lineRule="auto" w:before="1"/>
        <w:ind w:left="260" w:right="49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ind w:left="10"/>
      </w:pPr>
      <w:bookmarkStart w:name="_bookmark15" w:id="16"/>
      <w:bookmarkEnd w:id="16"/>
      <w:r>
        <w:rPr>
          <w:b w:val="0"/>
        </w:rPr>
      </w:r>
      <w:r>
        <w:rPr/>
        <w:t>十六、基金的信息披露</w:t>
      </w:r>
    </w:p>
    <w:p>
      <w:pPr>
        <w:pStyle w:val="BodyText"/>
        <w:rPr>
          <w:b/>
          <w:sz w:val="20"/>
        </w:rPr>
      </w:pPr>
    </w:p>
    <w:p>
      <w:pPr>
        <w:pStyle w:val="BodyText"/>
        <w:spacing w:before="2"/>
        <w:rPr>
          <w:b/>
        </w:rPr>
      </w:pPr>
    </w:p>
    <w:p>
      <w:pPr>
        <w:pStyle w:val="BodyText"/>
        <w:spacing w:line="417" w:lineRule="auto"/>
        <w:ind w:left="260" w:right="49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680"/>
      </w:pPr>
      <w:r>
        <w:rPr/>
        <w:t>（二）信息披露义务人</w:t>
      </w:r>
    </w:p>
    <w:p>
      <w:pPr>
        <w:pStyle w:val="BodyText"/>
        <w:spacing w:before="7"/>
        <w:rPr>
          <w:sz w:val="15"/>
        </w:rPr>
      </w:pPr>
    </w:p>
    <w:p>
      <w:pPr>
        <w:pStyle w:val="BodyText"/>
        <w:spacing w:line="417" w:lineRule="auto"/>
        <w:ind w:left="260" w:right="49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260" w:right="49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17" w:lineRule="auto"/>
        <w:ind w:left="260" w:right="49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spacing w:line="269" w:lineRule="exact"/>
        <w:ind w:left="680"/>
      </w:pPr>
      <w:r>
        <w:rPr/>
        <w:t>（三）本基金信息披露义务人承诺公开披露的基金信息，不得有下列行为：</w:t>
      </w:r>
    </w:p>
    <w:p>
      <w:pPr>
        <w:pStyle w:val="BodyText"/>
        <w:spacing w:before="7"/>
        <w:rPr>
          <w:sz w:val="15"/>
        </w:rPr>
      </w:pPr>
    </w:p>
    <w:p>
      <w:pPr>
        <w:pStyle w:val="BodyText"/>
        <w:ind w:left="680"/>
      </w:pPr>
      <w:r>
        <w:rPr>
          <w:rFonts w:ascii="Times New Roman" w:eastAsia="Times New Roman"/>
        </w:rPr>
        <w:t>1</w:t>
      </w:r>
      <w:r>
        <w:rPr/>
        <w:t>、虚假记载、误导性陈述或者重大遗漏。</w:t>
      </w:r>
    </w:p>
    <w:p>
      <w:pPr>
        <w:pStyle w:val="BodyText"/>
        <w:spacing w:before="7"/>
        <w:rPr>
          <w:sz w:val="15"/>
        </w:rPr>
      </w:pPr>
    </w:p>
    <w:p>
      <w:pPr>
        <w:pStyle w:val="BodyText"/>
        <w:ind w:left="680"/>
      </w:pPr>
      <w:r>
        <w:rPr>
          <w:rFonts w:ascii="Times New Roman" w:eastAsia="Times New Roman"/>
        </w:rPr>
        <w:t>2</w:t>
      </w:r>
      <w:r>
        <w:rPr/>
        <w:t>、对证券投资业绩进行预测。</w:t>
      </w:r>
    </w:p>
    <w:p>
      <w:pPr>
        <w:pStyle w:val="BodyText"/>
        <w:spacing w:before="6"/>
        <w:rPr>
          <w:sz w:val="15"/>
        </w:rPr>
      </w:pPr>
    </w:p>
    <w:p>
      <w:pPr>
        <w:pStyle w:val="BodyText"/>
        <w:spacing w:before="1"/>
        <w:ind w:left="680"/>
      </w:pPr>
      <w:r>
        <w:rPr>
          <w:rFonts w:ascii="Times New Roman" w:eastAsia="Times New Roman"/>
        </w:rPr>
        <w:t>3</w:t>
      </w:r>
      <w:r>
        <w:rPr/>
        <w:t>、违规承诺收益或者承担损失。</w:t>
      </w:r>
    </w:p>
    <w:p>
      <w:pPr>
        <w:pStyle w:val="BodyText"/>
        <w:spacing w:before="6"/>
        <w:rPr>
          <w:sz w:val="15"/>
        </w:rPr>
      </w:pPr>
    </w:p>
    <w:p>
      <w:pPr>
        <w:pStyle w:val="BodyText"/>
        <w:ind w:left="68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680"/>
      </w:pPr>
      <w:r>
        <w:rPr>
          <w:rFonts w:ascii="Times New Roman" w:eastAsia="Times New Roman"/>
        </w:rPr>
        <w:t>5</w:t>
      </w:r>
      <w:r>
        <w:rPr/>
        <w:t>、登载任何自然人、法人和非法人组织的祝贺性、恭维性或推荐性文字。</w:t>
      </w:r>
    </w:p>
    <w:p>
      <w:pPr>
        <w:pStyle w:val="BodyText"/>
        <w:spacing w:before="7"/>
        <w:rPr>
          <w:sz w:val="15"/>
        </w:rPr>
      </w:pPr>
    </w:p>
    <w:p>
      <w:pPr>
        <w:pStyle w:val="BodyText"/>
        <w:ind w:left="680"/>
      </w:pPr>
      <w:r>
        <w:rPr>
          <w:rFonts w:ascii="Times New Roman" w:eastAsia="Times New Roman"/>
        </w:rPr>
        <w:t>6</w:t>
      </w:r>
      <w:r>
        <w:rPr/>
        <w:t>、中国证监会禁止的其他行为。</w:t>
      </w:r>
    </w:p>
    <w:p>
      <w:pPr>
        <w:pStyle w:val="BodyText"/>
        <w:spacing w:before="6"/>
        <w:rPr>
          <w:sz w:val="15"/>
        </w:rPr>
      </w:pPr>
    </w:p>
    <w:p>
      <w:pPr>
        <w:pStyle w:val="BodyText"/>
        <w:spacing w:line="417" w:lineRule="auto" w:before="1"/>
        <w:ind w:left="260" w:right="49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ind w:left="680"/>
      </w:pPr>
      <w:r>
        <w:rPr/>
        <w:t>本基金公开披露的信息采用阿拉伯数字；除特别说明外，货币单位为人民币元。</w:t>
      </w:r>
    </w:p>
    <w:p>
      <w:pPr>
        <w:pStyle w:val="BodyText"/>
        <w:spacing w:before="6"/>
        <w:rPr>
          <w:sz w:val="15"/>
        </w:rPr>
      </w:pPr>
    </w:p>
    <w:p>
      <w:pPr>
        <w:pStyle w:val="BodyText"/>
        <w:spacing w:line="417" w:lineRule="auto" w:before="1"/>
        <w:ind w:left="680" w:right="5861"/>
      </w:pPr>
      <w:r>
        <w:rPr/>
        <w:t>（五）公开披露的基金信息公开披露的基金信息包括：</w:t>
      </w:r>
    </w:p>
    <w:p>
      <w:pPr>
        <w:pStyle w:val="BodyText"/>
        <w:spacing w:line="269" w:lineRule="exact"/>
        <w:ind w:left="680"/>
      </w:pPr>
      <w:r>
        <w:rPr>
          <w:rFonts w:ascii="Times New Roman" w:eastAsia="Times New Roman"/>
        </w:rPr>
        <w:t>1</w:t>
      </w:r>
      <w:r>
        <w:rPr/>
        <w:t>、基金招募说明书、《基金合同》、基金托管协议</w:t>
      </w:r>
    </w:p>
    <w:p>
      <w:pPr>
        <w:pStyle w:val="BodyText"/>
        <w:spacing w:before="6"/>
        <w:rPr>
          <w:sz w:val="15"/>
        </w:rPr>
      </w:pPr>
    </w:p>
    <w:p>
      <w:pPr>
        <w:pStyle w:val="ListParagraph"/>
        <w:numPr>
          <w:ilvl w:val="0"/>
          <w:numId w:val="31"/>
        </w:numPr>
        <w:tabs>
          <w:tab w:pos="1210" w:val="left" w:leader="none"/>
        </w:tabs>
        <w:spacing w:line="417" w:lineRule="auto" w:before="0" w:after="0"/>
        <w:ind w:left="260" w:right="49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spacing w:after="0" w:line="417" w:lineRule="auto"/>
        <w:jc w:val="both"/>
        <w:rPr>
          <w:sz w:val="21"/>
        </w:rPr>
        <w:sectPr>
          <w:pgSz w:w="11910" w:h="16840"/>
          <w:pgMar w:header="877" w:footer="995" w:top="1420" w:bottom="1180" w:left="1540" w:right="1300"/>
        </w:sectPr>
      </w:pPr>
    </w:p>
    <w:p>
      <w:pPr>
        <w:pStyle w:val="ListParagraph"/>
        <w:numPr>
          <w:ilvl w:val="0"/>
          <w:numId w:val="31"/>
        </w:numPr>
        <w:tabs>
          <w:tab w:pos="1210" w:val="left" w:leader="none"/>
        </w:tabs>
        <w:spacing w:line="417" w:lineRule="auto" w:before="110" w:after="0"/>
        <w:ind w:left="260" w:right="49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1"/>
        </w:numPr>
        <w:tabs>
          <w:tab w:pos="1210" w:val="left" w:leader="none"/>
        </w:tabs>
        <w:spacing w:line="417" w:lineRule="auto" w:before="0" w:after="0"/>
        <w:ind w:left="260" w:right="49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ind w:left="680"/>
      </w:pPr>
      <w:r>
        <w:rPr>
          <w:rFonts w:ascii="Times New Roman" w:eastAsia="Times New Roman"/>
        </w:rPr>
        <w:t>2</w:t>
      </w:r>
      <w:r>
        <w:rPr/>
        <w:t>、基金产品资料概要</w:t>
      </w:r>
    </w:p>
    <w:p>
      <w:pPr>
        <w:pStyle w:val="BodyText"/>
        <w:spacing w:before="6"/>
        <w:rPr>
          <w:sz w:val="15"/>
        </w:rPr>
      </w:pPr>
    </w:p>
    <w:p>
      <w:pPr>
        <w:pStyle w:val="BodyText"/>
        <w:spacing w:line="417" w:lineRule="auto"/>
        <w:ind w:left="260" w:right="38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8" w:lineRule="exact"/>
        <w:ind w:left="680"/>
      </w:pPr>
      <w:r>
        <w:rPr/>
        <w:t>关于基金产品资料概要编制、披露与更新的要求，自中国证监会规定之日起开始执行。</w:t>
      </w:r>
    </w:p>
    <w:p>
      <w:pPr>
        <w:pStyle w:val="BodyText"/>
        <w:spacing w:before="7"/>
        <w:rPr>
          <w:sz w:val="15"/>
        </w:rPr>
      </w:pPr>
    </w:p>
    <w:p>
      <w:pPr>
        <w:pStyle w:val="BodyText"/>
        <w:ind w:left="680"/>
      </w:pPr>
      <w:r>
        <w:rPr>
          <w:rFonts w:ascii="Times New Roman" w:eastAsia="Times New Roman"/>
        </w:rPr>
        <w:t>3</w:t>
      </w:r>
      <w:r>
        <w:rPr/>
        <w:t>、基金份额发售公告</w:t>
      </w:r>
    </w:p>
    <w:p>
      <w:pPr>
        <w:pStyle w:val="BodyText"/>
        <w:spacing w:before="7"/>
        <w:rPr>
          <w:sz w:val="15"/>
        </w:rPr>
      </w:pPr>
    </w:p>
    <w:p>
      <w:pPr>
        <w:pStyle w:val="BodyText"/>
        <w:spacing w:line="417" w:lineRule="auto"/>
        <w:ind w:left="260" w:right="491" w:firstLine="419"/>
      </w:pPr>
      <w:r>
        <w:rPr>
          <w:spacing w:val="-7"/>
        </w:rPr>
        <w:t>基金管理人就基金份额发售的具体事宜编制基金份额发售公告，并在披露招募说明书的</w:t>
      </w:r>
      <w:r>
        <w:rPr>
          <w:spacing w:val="-5"/>
        </w:rPr>
        <w:t>当日登载于指定媒介上。</w:t>
      </w:r>
    </w:p>
    <w:p>
      <w:pPr>
        <w:pStyle w:val="BodyText"/>
        <w:spacing w:line="269" w:lineRule="exact"/>
        <w:ind w:left="680"/>
      </w:pPr>
      <w:r>
        <w:rPr>
          <w:rFonts w:ascii="Times New Roman" w:eastAsia="Times New Roman"/>
        </w:rPr>
        <w:t>4</w:t>
      </w:r>
      <w:r>
        <w:rPr/>
        <w:t>、《基金合同》生效公告</w:t>
      </w:r>
    </w:p>
    <w:p>
      <w:pPr>
        <w:pStyle w:val="BodyText"/>
        <w:spacing w:before="6"/>
        <w:rPr>
          <w:sz w:val="15"/>
        </w:rPr>
      </w:pPr>
    </w:p>
    <w:p>
      <w:pPr>
        <w:pStyle w:val="BodyText"/>
        <w:spacing w:line="417" w:lineRule="auto" w:before="1"/>
        <w:ind w:left="260" w:right="491" w:firstLine="419"/>
      </w:pPr>
      <w:r>
        <w:rPr>
          <w:spacing w:val="-7"/>
        </w:rPr>
        <w:t>基金管理人应当在收到中国证监会确认文件的次日在指定媒介上登载《基金合同》生效公告。</w:t>
      </w:r>
    </w:p>
    <w:p>
      <w:pPr>
        <w:pStyle w:val="BodyText"/>
        <w:spacing w:line="269" w:lineRule="exact"/>
        <w:ind w:left="680"/>
      </w:pPr>
      <w:r>
        <w:rPr>
          <w:rFonts w:ascii="Times New Roman" w:eastAsia="Times New Roman"/>
        </w:rPr>
        <w:t>5</w:t>
      </w:r>
      <w:r>
        <w:rPr/>
        <w:t>、基金净值信息</w:t>
      </w:r>
    </w:p>
    <w:p>
      <w:pPr>
        <w:pStyle w:val="BodyText"/>
        <w:spacing w:before="7"/>
        <w:rPr>
          <w:sz w:val="15"/>
        </w:rPr>
      </w:pPr>
    </w:p>
    <w:p>
      <w:pPr>
        <w:pStyle w:val="BodyText"/>
        <w:spacing w:line="417" w:lineRule="auto"/>
        <w:ind w:left="260" w:right="49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line="417" w:lineRule="auto"/>
        <w:ind w:left="260" w:right="49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680"/>
      </w:pPr>
      <w:r>
        <w:rPr>
          <w:rFonts w:ascii="Times New Roman" w:eastAsia="Times New Roman"/>
        </w:rPr>
        <w:t>6</w:t>
      </w:r>
      <w:r>
        <w:rPr/>
        <w:t>、基金份额申购、赎回价格</w:t>
      </w:r>
    </w:p>
    <w:p>
      <w:pPr>
        <w:pStyle w:val="BodyText"/>
        <w:spacing w:before="6"/>
        <w:rPr>
          <w:sz w:val="15"/>
        </w:rPr>
      </w:pPr>
    </w:p>
    <w:p>
      <w:pPr>
        <w:pStyle w:val="BodyText"/>
        <w:spacing w:line="417" w:lineRule="auto"/>
        <w:ind w:left="260" w:right="49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ind w:left="680"/>
      </w:pPr>
      <w:r>
        <w:rPr>
          <w:rFonts w:ascii="Times New Roman" w:eastAsia="Times New Roman"/>
        </w:rPr>
        <w:t>7</w:t>
      </w:r>
      <w:r>
        <w:rPr/>
        <w:t>、基金定期报告，包括基金年度报告、基金中期报告和基金季度报告（含资产组合季</w:t>
      </w:r>
    </w:p>
    <w:p>
      <w:pPr>
        <w:spacing w:after="0"/>
        <w:sectPr>
          <w:footerReference w:type="default" r:id="rId152"/>
          <w:pgSz w:w="11910" w:h="16840"/>
          <w:pgMar w:footer="995" w:header="877" w:top="1420" w:bottom="1180" w:left="1540" w:right="1300"/>
          <w:pgNumType w:start="110"/>
        </w:sectPr>
      </w:pPr>
    </w:p>
    <w:p>
      <w:pPr>
        <w:pStyle w:val="BodyText"/>
        <w:spacing w:before="110"/>
        <w:ind w:left="260"/>
      </w:pPr>
      <w:r>
        <w:rPr/>
        <w:t>度报告）</w:t>
      </w:r>
    </w:p>
    <w:p>
      <w:pPr>
        <w:pStyle w:val="BodyText"/>
        <w:spacing w:before="6"/>
        <w:rPr>
          <w:sz w:val="15"/>
        </w:rPr>
      </w:pPr>
    </w:p>
    <w:p>
      <w:pPr>
        <w:pStyle w:val="BodyText"/>
        <w:spacing w:line="417" w:lineRule="auto"/>
        <w:ind w:left="260" w:right="49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260" w:right="49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260" w:right="49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260" w:right="491" w:firstLine="419"/>
        <w:jc w:val="both"/>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260" w:right="494" w:firstLine="419"/>
      </w:pPr>
      <w:r>
        <w:rPr/>
        <w:t>基金管理人应当在基金年度报告和中期报告中披露基金组合资产情况及其流动性风险分析等。</w:t>
      </w:r>
    </w:p>
    <w:p>
      <w:pPr>
        <w:pStyle w:val="BodyText"/>
        <w:spacing w:line="417" w:lineRule="auto"/>
        <w:ind w:left="260" w:right="385" w:firstLine="419"/>
      </w:pPr>
      <w:r>
        <w:rPr/>
        <w:t>如报告期内出现单一投资者持有基金份额达到或超过基金总份额 </w:t>
      </w:r>
      <w:r>
        <w:rPr>
          <w:rFonts w:ascii="Times New Roman" w:hAnsi="Times New Roman" w:eastAsia="Times New Roman"/>
        </w:rPr>
        <w:t>20%</w:t>
      </w:r>
      <w:r>
        <w:rPr/>
        <w:t>的情形，为保障</w:t>
      </w:r>
      <w:r>
        <w:rPr>
          <w:spacing w:val="-16"/>
        </w:rPr>
        <w:t>其他投资者的权益，基金管理人至少应当在基金定期报告“影响投资者决策的其他重要信息” </w:t>
      </w:r>
      <w:r>
        <w:rPr>
          <w:spacing w:val="-13"/>
        </w:rPr>
        <w:t>项下披露该投资者的类别、报告期末持有份额及占比、报告期内持有份额变化情况及产品的</w:t>
      </w:r>
      <w:r>
        <w:rPr>
          <w:spacing w:val="-6"/>
        </w:rPr>
        <w:t>特有风险，中国证监会认定的特殊情形除外。</w:t>
      </w:r>
    </w:p>
    <w:p>
      <w:pPr>
        <w:pStyle w:val="BodyText"/>
        <w:spacing w:line="269" w:lineRule="exact"/>
        <w:ind w:left="680"/>
      </w:pPr>
      <w:r>
        <w:rPr>
          <w:rFonts w:ascii="Times New Roman" w:eastAsia="Times New Roman"/>
        </w:rPr>
        <w:t>8</w:t>
      </w:r>
      <w:r>
        <w:rPr/>
        <w:t>、临时报告</w:t>
      </w:r>
    </w:p>
    <w:p>
      <w:pPr>
        <w:pStyle w:val="BodyText"/>
        <w:spacing w:before="6"/>
        <w:rPr>
          <w:sz w:val="15"/>
        </w:rPr>
      </w:pPr>
    </w:p>
    <w:p>
      <w:pPr>
        <w:pStyle w:val="BodyText"/>
        <w:spacing w:line="417" w:lineRule="auto"/>
        <w:ind w:left="260" w:right="49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260" w:right="49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2"/>
        </w:numPr>
        <w:tabs>
          <w:tab w:pos="1210" w:val="left" w:leader="none"/>
        </w:tabs>
        <w:spacing w:line="240" w:lineRule="auto" w:before="0" w:after="0"/>
        <w:ind w:left="1209" w:right="0" w:hanging="530"/>
        <w:jc w:val="left"/>
        <w:rPr>
          <w:sz w:val="21"/>
        </w:rPr>
      </w:pPr>
      <w:r>
        <w:rPr>
          <w:spacing w:val="-3"/>
          <w:sz w:val="21"/>
        </w:rPr>
        <w:t>基金份额持有人大会的召开及决定的事项。</w:t>
      </w:r>
    </w:p>
    <w:p>
      <w:pPr>
        <w:pStyle w:val="BodyText"/>
        <w:spacing w:before="6"/>
        <w:rPr>
          <w:sz w:val="15"/>
        </w:rPr>
      </w:pPr>
    </w:p>
    <w:p>
      <w:pPr>
        <w:pStyle w:val="ListParagraph"/>
        <w:numPr>
          <w:ilvl w:val="0"/>
          <w:numId w:val="32"/>
        </w:numPr>
        <w:tabs>
          <w:tab w:pos="1210" w:val="left" w:leader="none"/>
        </w:tabs>
        <w:spacing w:line="240" w:lineRule="auto" w:before="1" w:after="0"/>
        <w:ind w:left="1209" w:right="0" w:hanging="530"/>
        <w:jc w:val="left"/>
        <w:rPr>
          <w:sz w:val="21"/>
        </w:rPr>
      </w:pPr>
      <w:r>
        <w:rPr>
          <w:spacing w:val="-3"/>
          <w:sz w:val="21"/>
        </w:rPr>
        <w:t>《基金合同》终止、基金清算。</w:t>
      </w:r>
    </w:p>
    <w:p>
      <w:pPr>
        <w:pStyle w:val="BodyText"/>
        <w:spacing w:before="6"/>
        <w:rPr>
          <w:sz w:val="15"/>
        </w:rPr>
      </w:pPr>
    </w:p>
    <w:p>
      <w:pPr>
        <w:pStyle w:val="ListParagraph"/>
        <w:numPr>
          <w:ilvl w:val="0"/>
          <w:numId w:val="32"/>
        </w:numPr>
        <w:tabs>
          <w:tab w:pos="1210" w:val="left" w:leader="none"/>
        </w:tabs>
        <w:spacing w:line="240" w:lineRule="auto" w:before="0" w:after="0"/>
        <w:ind w:left="1209" w:right="0" w:hanging="530"/>
        <w:jc w:val="left"/>
        <w:rPr>
          <w:sz w:val="21"/>
        </w:rPr>
      </w:pPr>
      <w:r>
        <w:rPr>
          <w:spacing w:val="-3"/>
          <w:sz w:val="21"/>
        </w:rPr>
        <w:t>转换基金运作方式、基金合并。</w:t>
      </w:r>
    </w:p>
    <w:p>
      <w:pPr>
        <w:pStyle w:val="BodyText"/>
        <w:spacing w:before="7"/>
        <w:rPr>
          <w:sz w:val="15"/>
        </w:rPr>
      </w:pPr>
    </w:p>
    <w:p>
      <w:pPr>
        <w:pStyle w:val="ListParagraph"/>
        <w:numPr>
          <w:ilvl w:val="0"/>
          <w:numId w:val="32"/>
        </w:numPr>
        <w:tabs>
          <w:tab w:pos="1210" w:val="left" w:leader="none"/>
        </w:tabs>
        <w:spacing w:line="240" w:lineRule="auto" w:before="0" w:after="0"/>
        <w:ind w:left="1209" w:right="0" w:hanging="530"/>
        <w:jc w:val="left"/>
        <w:rPr>
          <w:sz w:val="21"/>
        </w:rPr>
      </w:pPr>
      <w:r>
        <w:rPr>
          <w:spacing w:val="-3"/>
          <w:sz w:val="21"/>
        </w:rPr>
        <w:t>更换基金管理人、基金托管人、基金份额登记机构，基金改聘会计师事务所。</w:t>
      </w:r>
    </w:p>
    <w:p>
      <w:pPr>
        <w:pStyle w:val="BodyText"/>
        <w:spacing w:before="7"/>
        <w:rPr>
          <w:sz w:val="15"/>
        </w:rPr>
      </w:pPr>
    </w:p>
    <w:p>
      <w:pPr>
        <w:pStyle w:val="ListParagraph"/>
        <w:numPr>
          <w:ilvl w:val="0"/>
          <w:numId w:val="32"/>
        </w:numPr>
        <w:tabs>
          <w:tab w:pos="1210" w:val="left" w:leader="none"/>
        </w:tabs>
        <w:spacing w:line="417" w:lineRule="auto" w:before="0" w:after="0"/>
        <w:ind w:left="260" w:right="49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2"/>
        </w:numPr>
        <w:tabs>
          <w:tab w:pos="1210" w:val="left" w:leader="none"/>
        </w:tabs>
        <w:spacing w:line="269" w:lineRule="exact" w:before="0" w:after="0"/>
        <w:ind w:left="1209" w:right="0" w:hanging="530"/>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2"/>
        </w:numPr>
        <w:tabs>
          <w:tab w:pos="1210" w:val="left" w:leader="none"/>
        </w:tabs>
        <w:spacing w:line="240" w:lineRule="auto" w:before="0" w:after="0"/>
        <w:ind w:left="120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2"/>
        </w:numPr>
        <w:tabs>
          <w:tab w:pos="1210" w:val="left" w:leader="none"/>
        </w:tabs>
        <w:spacing w:line="240" w:lineRule="auto" w:before="0" w:after="0"/>
        <w:ind w:left="1209" w:right="0" w:hanging="530"/>
        <w:jc w:val="left"/>
        <w:rPr>
          <w:sz w:val="21"/>
        </w:rPr>
      </w:pPr>
      <w:r>
        <w:rPr>
          <w:spacing w:val="-3"/>
          <w:sz w:val="21"/>
        </w:rPr>
        <w:t>基金管理人高级管理人员、基金经理和基金托管人专门基金托管部门负责人发生</w:t>
      </w:r>
    </w:p>
    <w:p>
      <w:pPr>
        <w:spacing w:after="0" w:line="240" w:lineRule="auto"/>
        <w:jc w:val="left"/>
        <w:rPr>
          <w:sz w:val="21"/>
        </w:rPr>
        <w:sectPr>
          <w:pgSz w:w="11910" w:h="16840"/>
          <w:pgMar w:header="877" w:footer="995" w:top="1420" w:bottom="1180" w:left="1540" w:right="1300"/>
        </w:sectPr>
      </w:pPr>
    </w:p>
    <w:p>
      <w:pPr>
        <w:pStyle w:val="BodyText"/>
        <w:spacing w:before="110"/>
        <w:ind w:left="260"/>
      </w:pPr>
      <w:r>
        <w:rPr/>
        <w:t>变动。</w:t>
      </w:r>
    </w:p>
    <w:p>
      <w:pPr>
        <w:pStyle w:val="BodyText"/>
        <w:spacing w:before="6"/>
        <w:rPr>
          <w:sz w:val="15"/>
        </w:rPr>
      </w:pPr>
    </w:p>
    <w:p>
      <w:pPr>
        <w:pStyle w:val="ListParagraph"/>
        <w:numPr>
          <w:ilvl w:val="0"/>
          <w:numId w:val="32"/>
        </w:numPr>
        <w:tabs>
          <w:tab w:pos="1210" w:val="left" w:leader="none"/>
        </w:tabs>
        <w:spacing w:line="240" w:lineRule="auto" w:before="0" w:after="0"/>
        <w:ind w:left="120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4"/>
          <w:sz w:val="21"/>
        </w:rPr>
        <w:t> </w:t>
      </w:r>
      <w:r>
        <w:rPr>
          <w:spacing w:val="-8"/>
          <w:sz w:val="21"/>
        </w:rPr>
        <w:t>个月内变更超过百分之五十，基金管理人、基金托管</w:t>
      </w:r>
    </w:p>
    <w:p>
      <w:pPr>
        <w:pStyle w:val="BodyText"/>
        <w:spacing w:before="7"/>
        <w:rPr>
          <w:sz w:val="15"/>
        </w:rPr>
      </w:pPr>
    </w:p>
    <w:p>
      <w:pPr>
        <w:pStyle w:val="BodyText"/>
        <w:ind w:left="260"/>
      </w:pPr>
      <w:r>
        <w:rPr/>
        <w:t>人专门基金托管部门的主要业务人员在最近 </w:t>
      </w:r>
      <w:r>
        <w:rPr>
          <w:rFonts w:ascii="Times New Roman" w:eastAsia="Times New Roman"/>
        </w:rPr>
        <w:t>12 </w:t>
      </w:r>
      <w:r>
        <w:rPr/>
        <w:t>个月内变动超过百分之三十。</w:t>
      </w:r>
    </w:p>
    <w:p>
      <w:pPr>
        <w:pStyle w:val="BodyText"/>
        <w:spacing w:before="7"/>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涉及基金财产、基金管理业务、基金托管业务的诉讼或仲裁。</w:t>
      </w:r>
    </w:p>
    <w:p>
      <w:pPr>
        <w:pStyle w:val="BodyText"/>
        <w:spacing w:before="7"/>
        <w:rPr>
          <w:sz w:val="15"/>
        </w:rPr>
      </w:pPr>
    </w:p>
    <w:p>
      <w:pPr>
        <w:pStyle w:val="ListParagraph"/>
        <w:numPr>
          <w:ilvl w:val="0"/>
          <w:numId w:val="32"/>
        </w:numPr>
        <w:tabs>
          <w:tab w:pos="1306" w:val="left" w:leader="none"/>
        </w:tabs>
        <w:spacing w:line="417" w:lineRule="auto" w:before="0" w:after="0"/>
        <w:ind w:left="260" w:right="49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2"/>
        </w:numPr>
        <w:tabs>
          <w:tab w:pos="1313" w:val="left" w:leader="none"/>
        </w:tabs>
        <w:spacing w:line="417" w:lineRule="auto" w:before="0" w:after="0"/>
        <w:ind w:left="260" w:right="49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2"/>
        </w:numPr>
        <w:tabs>
          <w:tab w:pos="1315" w:val="left" w:leader="none"/>
        </w:tabs>
        <w:spacing w:line="269" w:lineRule="exact" w:before="0" w:after="0"/>
        <w:ind w:left="1315" w:right="0" w:hanging="635"/>
        <w:jc w:val="left"/>
        <w:rPr>
          <w:sz w:val="21"/>
        </w:rPr>
      </w:pPr>
      <w:r>
        <w:rPr>
          <w:spacing w:val="-3"/>
          <w:sz w:val="21"/>
        </w:rPr>
        <w:t>基金收益分配事项。</w:t>
      </w:r>
    </w:p>
    <w:p>
      <w:pPr>
        <w:pStyle w:val="BodyText"/>
        <w:spacing w:before="6"/>
        <w:rPr>
          <w:sz w:val="15"/>
        </w:rPr>
      </w:pPr>
    </w:p>
    <w:p>
      <w:pPr>
        <w:pStyle w:val="ListParagraph"/>
        <w:numPr>
          <w:ilvl w:val="0"/>
          <w:numId w:val="32"/>
        </w:numPr>
        <w:tabs>
          <w:tab w:pos="1315" w:val="left" w:leader="none"/>
        </w:tabs>
        <w:spacing w:line="240" w:lineRule="auto" w:before="1" w:after="0"/>
        <w:ind w:left="1315" w:right="0" w:hanging="635"/>
        <w:jc w:val="left"/>
        <w:rPr>
          <w:sz w:val="21"/>
        </w:rPr>
      </w:pPr>
      <w:r>
        <w:rPr>
          <w:spacing w:val="-3"/>
          <w:sz w:val="21"/>
        </w:rPr>
        <w:t>管理费、托管费、申购费、赎回费等费用计提标准、计提方式和费率发生变更。</w:t>
      </w:r>
    </w:p>
    <w:p>
      <w:pPr>
        <w:pStyle w:val="BodyText"/>
        <w:spacing w:before="6"/>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基金份额净值计价错误达基金份额净值百分之零点五。</w:t>
      </w:r>
    </w:p>
    <w:p>
      <w:pPr>
        <w:pStyle w:val="BodyText"/>
        <w:spacing w:before="7"/>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本基金开始办理申购、赎回。</w:t>
      </w:r>
    </w:p>
    <w:p>
      <w:pPr>
        <w:pStyle w:val="BodyText"/>
        <w:spacing w:before="7"/>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本基金发生巨额赎回并延期办理。</w:t>
      </w:r>
    </w:p>
    <w:p>
      <w:pPr>
        <w:pStyle w:val="BodyText"/>
        <w:spacing w:before="7"/>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本基金暂停接受申购、赎回申请或重新接受申购、赎回申请。</w:t>
      </w:r>
    </w:p>
    <w:p>
      <w:pPr>
        <w:pStyle w:val="BodyText"/>
        <w:spacing w:before="6"/>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基金份额的拆分。</w:t>
      </w:r>
    </w:p>
    <w:p>
      <w:pPr>
        <w:pStyle w:val="BodyText"/>
        <w:spacing w:before="7"/>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基金变更份额类别设置。</w:t>
      </w:r>
    </w:p>
    <w:p>
      <w:pPr>
        <w:pStyle w:val="BodyText"/>
        <w:spacing w:before="7"/>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2"/>
        </w:numPr>
        <w:tabs>
          <w:tab w:pos="1315" w:val="left" w:leader="none"/>
        </w:tabs>
        <w:spacing w:line="240" w:lineRule="auto" w:before="0" w:after="0"/>
        <w:ind w:left="1315" w:right="0" w:hanging="635"/>
        <w:jc w:val="left"/>
        <w:rPr>
          <w:sz w:val="21"/>
        </w:rPr>
      </w:pPr>
      <w:r>
        <w:rPr>
          <w:spacing w:val="-3"/>
          <w:sz w:val="21"/>
        </w:rPr>
        <w:t>基金管理人采用摆动定价机制进行估值。</w:t>
      </w:r>
    </w:p>
    <w:p>
      <w:pPr>
        <w:pStyle w:val="BodyText"/>
        <w:spacing w:before="7"/>
        <w:rPr>
          <w:sz w:val="15"/>
        </w:rPr>
      </w:pPr>
    </w:p>
    <w:p>
      <w:pPr>
        <w:pStyle w:val="ListParagraph"/>
        <w:numPr>
          <w:ilvl w:val="0"/>
          <w:numId w:val="32"/>
        </w:numPr>
        <w:tabs>
          <w:tab w:pos="1313" w:val="left" w:leader="none"/>
        </w:tabs>
        <w:spacing w:line="417" w:lineRule="auto" w:before="0" w:after="0"/>
        <w:ind w:left="260" w:right="491" w:firstLine="419"/>
        <w:jc w:val="left"/>
        <w:rPr>
          <w:sz w:val="21"/>
        </w:rPr>
      </w:pPr>
      <w:r>
        <w:rPr>
          <w:spacing w:val="-3"/>
          <w:sz w:val="21"/>
        </w:rPr>
        <w:t>基金信息披露义务人认为可能对基金份额持有人权益或者基金份额的价格产生重大影响的其他事项或中国证监会规定的其他事项。</w:t>
      </w:r>
    </w:p>
    <w:p>
      <w:pPr>
        <w:pStyle w:val="BodyText"/>
        <w:spacing w:line="269" w:lineRule="exact"/>
        <w:ind w:left="680"/>
      </w:pPr>
      <w:r>
        <w:rPr>
          <w:rFonts w:ascii="Times New Roman" w:eastAsia="Times New Roman"/>
        </w:rPr>
        <w:t>9</w:t>
      </w:r>
      <w:r>
        <w:rPr/>
        <w:t>、澄清公告</w:t>
      </w:r>
    </w:p>
    <w:p>
      <w:pPr>
        <w:pStyle w:val="BodyText"/>
        <w:spacing w:before="7"/>
        <w:rPr>
          <w:sz w:val="15"/>
        </w:rPr>
      </w:pPr>
    </w:p>
    <w:p>
      <w:pPr>
        <w:pStyle w:val="BodyText"/>
        <w:spacing w:line="417" w:lineRule="auto"/>
        <w:ind w:left="260" w:right="28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spacing w:line="269" w:lineRule="exact"/>
        <w:ind w:left="680"/>
      </w:pPr>
      <w:r>
        <w:rPr>
          <w:rFonts w:ascii="Times New Roman" w:eastAsia="Times New Roman"/>
        </w:rPr>
        <w:t>10</w:t>
      </w:r>
      <w:r>
        <w:rPr/>
        <w:t>、清算报告</w:t>
      </w:r>
    </w:p>
    <w:p>
      <w:pPr>
        <w:pStyle w:val="BodyText"/>
        <w:spacing w:before="7"/>
        <w:rPr>
          <w:sz w:val="15"/>
        </w:rPr>
      </w:pPr>
    </w:p>
    <w:p>
      <w:pPr>
        <w:pStyle w:val="BodyText"/>
        <w:spacing w:line="417" w:lineRule="auto"/>
        <w:ind w:left="260" w:right="491" w:firstLine="419"/>
      </w:pPr>
      <w:r>
        <w:rPr>
          <w:spacing w:val="-7"/>
        </w:rPr>
        <w:t>基金财产清算小组应当将清算报告登载在指定网站上，并将清算报告提示性公告登载在</w:t>
      </w:r>
      <w:r>
        <w:rPr>
          <w:spacing w:val="-5"/>
        </w:rPr>
        <w:t>指定报刊上。</w:t>
      </w:r>
    </w:p>
    <w:p>
      <w:pPr>
        <w:spacing w:after="0" w:line="417" w:lineRule="auto"/>
        <w:sectPr>
          <w:pgSz w:w="11910" w:h="16840"/>
          <w:pgMar w:header="877" w:footer="995" w:top="1420" w:bottom="1180" w:left="1540" w:right="1300"/>
        </w:sectPr>
      </w:pPr>
    </w:p>
    <w:p>
      <w:pPr>
        <w:pStyle w:val="BodyText"/>
        <w:spacing w:before="110"/>
        <w:ind w:left="680"/>
      </w:pPr>
      <w:r>
        <w:rPr>
          <w:rFonts w:ascii="Times New Roman" w:eastAsia="Times New Roman"/>
        </w:rPr>
        <w:t>11</w:t>
      </w:r>
      <w:r>
        <w:rPr/>
        <w:t>、基金份额持有人大会决议</w:t>
      </w:r>
    </w:p>
    <w:p>
      <w:pPr>
        <w:pStyle w:val="BodyText"/>
        <w:spacing w:before="6"/>
        <w:rPr>
          <w:sz w:val="15"/>
        </w:rPr>
      </w:pPr>
    </w:p>
    <w:p>
      <w:pPr>
        <w:pStyle w:val="BodyText"/>
        <w:spacing w:line="417" w:lineRule="auto"/>
        <w:ind w:left="260" w:right="491" w:firstLine="419"/>
      </w:pPr>
      <w:r>
        <w:rPr>
          <w:spacing w:val="-8"/>
        </w:rPr>
        <w:t>基金份额持有人大会决定的事项，应当依法报国务院证券监督管理机构备案，并予以公告。</w:t>
      </w:r>
    </w:p>
    <w:p>
      <w:pPr>
        <w:pStyle w:val="BodyText"/>
        <w:spacing w:line="269" w:lineRule="exact"/>
        <w:ind w:left="680"/>
      </w:pPr>
      <w:r>
        <w:rPr>
          <w:rFonts w:ascii="Times New Roman" w:eastAsia="Times New Roman"/>
        </w:rPr>
        <w:t>12</w:t>
      </w:r>
      <w:r>
        <w:rPr/>
        <w:t>、投资资产支持证券的相关公告</w:t>
      </w:r>
    </w:p>
    <w:p>
      <w:pPr>
        <w:pStyle w:val="BodyText"/>
        <w:spacing w:before="7"/>
        <w:rPr>
          <w:sz w:val="15"/>
        </w:rPr>
      </w:pPr>
    </w:p>
    <w:p>
      <w:pPr>
        <w:pStyle w:val="BodyText"/>
        <w:spacing w:line="417" w:lineRule="auto"/>
        <w:ind w:left="260" w:right="491" w:firstLine="419"/>
        <w:jc w:val="both"/>
      </w:pPr>
      <w:r>
        <w:rPr>
          <w:spacing w:val="-6"/>
        </w:rPr>
        <w:t>基金管理人应在基金年报及中期报告中披露本基金持有的资产支持证券总额、资产支持</w:t>
      </w:r>
      <w:r>
        <w:rPr>
          <w:spacing w:val="-8"/>
        </w:rPr>
        <w:t>证券市值占基金净资产的比例和报告期内所有的资产支持证券明细。基金管理人应在基金季</w:t>
      </w:r>
      <w:r>
        <w:rPr>
          <w:spacing w:val="-10"/>
        </w:rPr>
        <w:t>度报告中披露本基金持有的资产支持证券总额、资产支持证券市值占基金净资产的比例和报</w:t>
      </w:r>
      <w:r>
        <w:rPr>
          <w:spacing w:val="-8"/>
        </w:rPr>
        <w:t>告期末按市值占基金净资产比例大小排序的前 </w:t>
      </w:r>
      <w:r>
        <w:rPr>
          <w:rFonts w:ascii="Times New Roman" w:eastAsia="Times New Roman"/>
        </w:rPr>
        <w:t>10 </w:t>
      </w:r>
      <w:r>
        <w:rPr>
          <w:spacing w:val="-3"/>
        </w:rPr>
        <w:t>名资产支持证券明细。</w:t>
      </w:r>
    </w:p>
    <w:p>
      <w:pPr>
        <w:pStyle w:val="BodyText"/>
        <w:ind w:left="680"/>
      </w:pPr>
      <w:r>
        <w:rPr>
          <w:rFonts w:ascii="Times New Roman" w:eastAsia="Times New Roman"/>
        </w:rPr>
        <w:t>13</w:t>
      </w:r>
      <w:r>
        <w:rPr/>
        <w:t>、投资股指期货的相关公告</w:t>
      </w:r>
    </w:p>
    <w:p>
      <w:pPr>
        <w:pStyle w:val="BodyText"/>
        <w:spacing w:before="7"/>
        <w:rPr>
          <w:sz w:val="15"/>
        </w:rPr>
      </w:pPr>
    </w:p>
    <w:p>
      <w:pPr>
        <w:pStyle w:val="BodyText"/>
        <w:spacing w:line="417" w:lineRule="auto"/>
        <w:ind w:left="260" w:right="491" w:firstLine="419"/>
        <w:jc w:val="both"/>
      </w:pPr>
      <w:r>
        <w:rPr>
          <w:spacing w:val="-8"/>
        </w:rPr>
        <w:t>基金管理人应在季度报告、中期报告、年度报告等定期报告和招募说明书</w:t>
      </w:r>
      <w:r>
        <w:rPr>
          <w:spacing w:val="-3"/>
        </w:rPr>
        <w:t>（</w:t>
      </w:r>
      <w:r>
        <w:rPr/>
        <w:t>更新</w:t>
      </w:r>
      <w:r>
        <w:rPr>
          <w:spacing w:val="-27"/>
        </w:rPr>
        <w:t>）</w:t>
      </w:r>
      <w:r>
        <w:rPr/>
        <w:t>等文</w:t>
      </w:r>
      <w:r>
        <w:rPr>
          <w:spacing w:val="-9"/>
        </w:rPr>
        <w:t>件中披露股指期货交易情况，包括投资政策、持仓情况、损益情况、风险指标等，并充分揭</w:t>
      </w:r>
      <w:r>
        <w:rPr>
          <w:spacing w:val="-5"/>
        </w:rPr>
        <w:t>示股指期货交易对基金总体风险的影响以及是否符合既定的投资政策和投资目标。</w:t>
      </w:r>
    </w:p>
    <w:p>
      <w:pPr>
        <w:pStyle w:val="BodyText"/>
        <w:spacing w:line="269" w:lineRule="exact"/>
        <w:ind w:left="680"/>
      </w:pPr>
      <w:r>
        <w:rPr>
          <w:rFonts w:ascii="Times New Roman" w:eastAsia="Times New Roman"/>
        </w:rPr>
        <w:t>14</w:t>
      </w:r>
      <w:r>
        <w:rPr/>
        <w:t>、投资国债期货的相关公告</w:t>
      </w:r>
    </w:p>
    <w:p>
      <w:pPr>
        <w:pStyle w:val="BodyText"/>
        <w:spacing w:before="6"/>
        <w:rPr>
          <w:sz w:val="15"/>
        </w:rPr>
      </w:pPr>
    </w:p>
    <w:p>
      <w:pPr>
        <w:pStyle w:val="BodyText"/>
        <w:spacing w:line="417" w:lineRule="auto" w:before="1"/>
        <w:ind w:left="260" w:right="491" w:firstLine="419"/>
        <w:jc w:val="both"/>
      </w:pPr>
      <w:r>
        <w:rPr>
          <w:spacing w:val="-8"/>
        </w:rPr>
        <w:t>基金管理人应在季度报告、中期报告、年度报告等定期报告和招募说明书</w:t>
      </w:r>
      <w:r>
        <w:rPr>
          <w:spacing w:val="-3"/>
        </w:rPr>
        <w:t>（</w:t>
      </w:r>
      <w:r>
        <w:rPr/>
        <w:t>更新</w:t>
      </w:r>
      <w:r>
        <w:rPr>
          <w:spacing w:val="-27"/>
        </w:rPr>
        <w:t>）</w:t>
      </w:r>
      <w:r>
        <w:rPr/>
        <w:t>等文</w:t>
      </w:r>
      <w:r>
        <w:rPr>
          <w:spacing w:val="-9"/>
        </w:rPr>
        <w:t>件中披露国债期货交易情况，包括投资政策、持仓情况、损益情况、风险指标等，并充分揭</w:t>
      </w:r>
      <w:r>
        <w:rPr>
          <w:spacing w:val="-5"/>
        </w:rPr>
        <w:t>示国债期货交易对基金总体风险的影响以及是否符合既定的投资政策和投资目标。</w:t>
      </w:r>
    </w:p>
    <w:p>
      <w:pPr>
        <w:pStyle w:val="BodyText"/>
        <w:ind w:left="680"/>
      </w:pPr>
      <w:r>
        <w:rPr>
          <w:rFonts w:ascii="Times New Roman" w:eastAsia="Times New Roman"/>
        </w:rPr>
        <w:t>15</w:t>
      </w:r>
      <w:r>
        <w:rPr/>
        <w:t>、投资股票期权的相关公告</w:t>
      </w:r>
    </w:p>
    <w:p>
      <w:pPr>
        <w:pStyle w:val="BodyText"/>
        <w:spacing w:before="6"/>
        <w:rPr>
          <w:sz w:val="15"/>
        </w:rPr>
      </w:pPr>
    </w:p>
    <w:p>
      <w:pPr>
        <w:pStyle w:val="BodyText"/>
        <w:spacing w:line="417" w:lineRule="auto"/>
        <w:ind w:left="260" w:right="282" w:firstLine="419"/>
      </w:pPr>
      <w:r>
        <w:rPr>
          <w:spacing w:val="-6"/>
        </w:rPr>
        <w:t>基金管理人应在定期信息披露文件中披露参与股票期权交易的有关情况，包括投资政策、</w:t>
      </w:r>
      <w:r>
        <w:rPr>
          <w:spacing w:val="-12"/>
        </w:rPr>
        <w:t>持仓情况、损益情况、风险指标、估值方法等，并充分揭示股票期权交易对基金总体风险的 </w:t>
      </w:r>
      <w:r>
        <w:rPr>
          <w:spacing w:val="-7"/>
        </w:rPr>
        <w:t>影响等。</w:t>
      </w:r>
    </w:p>
    <w:p>
      <w:pPr>
        <w:pStyle w:val="BodyText"/>
        <w:spacing w:line="269" w:lineRule="exact"/>
        <w:ind w:left="680"/>
      </w:pPr>
      <w:r>
        <w:rPr>
          <w:rFonts w:ascii="Times New Roman" w:eastAsia="Times New Roman"/>
        </w:rPr>
        <w:t>16</w:t>
      </w:r>
      <w:r>
        <w:rPr/>
        <w:t>、投资港股通标的股票相关公告</w:t>
      </w:r>
    </w:p>
    <w:p>
      <w:pPr>
        <w:pStyle w:val="BodyText"/>
        <w:spacing w:before="7"/>
        <w:rPr>
          <w:sz w:val="15"/>
        </w:rPr>
      </w:pPr>
    </w:p>
    <w:p>
      <w:pPr>
        <w:pStyle w:val="BodyText"/>
        <w:spacing w:line="417" w:lineRule="auto" w:before="1"/>
        <w:ind w:left="260" w:right="491" w:firstLine="419"/>
      </w:pPr>
      <w:r>
        <w:rPr>
          <w:spacing w:val="-8"/>
        </w:rPr>
        <w:t>基金管理人应在季度报告、中期报告、年度报告等定期报告和招募说明书</w:t>
      </w:r>
      <w:r>
        <w:rPr>
          <w:spacing w:val="-3"/>
        </w:rPr>
        <w:t>（</w:t>
      </w:r>
      <w:r>
        <w:rPr/>
        <w:t>更新</w:t>
      </w:r>
      <w:r>
        <w:rPr>
          <w:spacing w:val="-27"/>
        </w:rPr>
        <w:t>）</w:t>
      </w:r>
      <w:r>
        <w:rPr/>
        <w:t>等文</w:t>
      </w:r>
      <w:r>
        <w:rPr>
          <w:spacing w:val="-3"/>
        </w:rPr>
        <w:t>件中披露交易的相关情况。</w:t>
      </w:r>
    </w:p>
    <w:p>
      <w:pPr>
        <w:pStyle w:val="BodyText"/>
        <w:spacing w:line="269" w:lineRule="exact"/>
        <w:ind w:left="680"/>
      </w:pPr>
      <w:r>
        <w:rPr>
          <w:rFonts w:ascii="Times New Roman" w:eastAsia="Times New Roman"/>
        </w:rPr>
        <w:t>17</w:t>
      </w:r>
      <w:r>
        <w:rPr/>
        <w:t>、投资流通受限证券的相关公告</w:t>
      </w:r>
    </w:p>
    <w:p>
      <w:pPr>
        <w:pStyle w:val="BodyText"/>
        <w:spacing w:before="6"/>
        <w:rPr>
          <w:sz w:val="15"/>
        </w:rPr>
      </w:pPr>
    </w:p>
    <w:p>
      <w:pPr>
        <w:pStyle w:val="BodyText"/>
        <w:spacing w:line="417" w:lineRule="auto"/>
        <w:ind w:left="260" w:right="491" w:firstLine="419"/>
        <w:jc w:val="both"/>
      </w:pPr>
      <w:r>
        <w:rPr>
          <w:spacing w:val="-7"/>
        </w:rPr>
        <w:t>基金管理公司应在基金投资非公开发行股票后两个交易日内，在中国证监会指定媒介披</w:t>
      </w:r>
      <w:r>
        <w:rPr>
          <w:spacing w:val="-11"/>
        </w:rPr>
        <w:t>露所投资非公开发行股票的名称、数量、总成本、账面价值，以及总成本和账面价值占基金</w:t>
      </w:r>
      <w:r>
        <w:rPr>
          <w:spacing w:val="-6"/>
        </w:rPr>
        <w:t>资产净值的比例、锁定期等信息。</w:t>
      </w:r>
    </w:p>
    <w:p>
      <w:pPr>
        <w:pStyle w:val="BodyText"/>
        <w:spacing w:line="269" w:lineRule="exact"/>
        <w:ind w:left="680"/>
      </w:pPr>
      <w:r>
        <w:rPr>
          <w:rFonts w:ascii="Times New Roman" w:eastAsia="Times New Roman"/>
        </w:rPr>
        <w:t>18</w:t>
      </w:r>
      <w:r>
        <w:rPr/>
        <w:t>、中国证监会规定的其他信息。</w:t>
      </w:r>
    </w:p>
    <w:p>
      <w:pPr>
        <w:pStyle w:val="BodyText"/>
        <w:spacing w:before="7"/>
        <w:rPr>
          <w:sz w:val="15"/>
        </w:rPr>
      </w:pPr>
    </w:p>
    <w:p>
      <w:pPr>
        <w:pStyle w:val="BodyText"/>
        <w:spacing w:before="1"/>
        <w:ind w:left="680"/>
      </w:pPr>
      <w:r>
        <w:rPr/>
        <w:t>（六）信息披露事务管理</w:t>
      </w:r>
    </w:p>
    <w:p>
      <w:pPr>
        <w:pStyle w:val="BodyText"/>
        <w:spacing w:before="6"/>
        <w:rPr>
          <w:sz w:val="15"/>
        </w:rPr>
      </w:pPr>
    </w:p>
    <w:p>
      <w:pPr>
        <w:pStyle w:val="BodyText"/>
        <w:ind w:left="680"/>
      </w:pPr>
      <w:r>
        <w:rPr/>
        <w:t>基金管理人、基金托管人应当建立健全信息披露管理制度，指定专门部门及高级管理人</w:t>
      </w:r>
    </w:p>
    <w:p>
      <w:pPr>
        <w:spacing w:after="0"/>
        <w:sectPr>
          <w:pgSz w:w="11910" w:h="16840"/>
          <w:pgMar w:header="877" w:footer="995" w:top="1420" w:bottom="1180" w:left="1540" w:right="1300"/>
        </w:sectPr>
      </w:pPr>
    </w:p>
    <w:p>
      <w:pPr>
        <w:pStyle w:val="BodyText"/>
        <w:spacing w:before="110"/>
        <w:ind w:left="260"/>
      </w:pPr>
      <w:r>
        <w:rPr/>
        <w:t>员负责管理信息披露事务。</w:t>
      </w:r>
    </w:p>
    <w:p>
      <w:pPr>
        <w:pStyle w:val="BodyText"/>
        <w:spacing w:before="6"/>
        <w:rPr>
          <w:sz w:val="15"/>
        </w:rPr>
      </w:pPr>
    </w:p>
    <w:p>
      <w:pPr>
        <w:pStyle w:val="BodyText"/>
        <w:spacing w:line="417" w:lineRule="auto"/>
        <w:ind w:left="260" w:right="49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260" w:right="49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260" w:right="491" w:firstLine="419"/>
      </w:pPr>
      <w:r>
        <w:rPr>
          <w:spacing w:val="-10"/>
        </w:rPr>
        <w:t>基金管理人、基金托管人应当在指定报刊中选择披露信息的报刊，本基金只需选择一家报刊。</w:t>
      </w:r>
    </w:p>
    <w:p>
      <w:pPr>
        <w:pStyle w:val="BodyText"/>
        <w:spacing w:line="417" w:lineRule="auto"/>
        <w:ind w:left="260" w:right="38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260" w:right="491" w:firstLine="419"/>
      </w:pPr>
      <w:r>
        <w:rPr>
          <w:spacing w:val="-7"/>
        </w:rPr>
        <w:t>为基金信息披露义务人公开披露的基金信息出具审计报告、法律意见书的专业机构，应</w:t>
      </w:r>
      <w:r>
        <w:rPr>
          <w:spacing w:val="-5"/>
        </w:rPr>
        <w:t>当制作工作底稿，并将相关档案至少保存到《基金合同》终止后 </w:t>
      </w:r>
      <w:r>
        <w:rPr>
          <w:rFonts w:ascii="Times New Roman" w:eastAsia="Times New Roman"/>
        </w:rPr>
        <w:t>10 </w:t>
      </w:r>
      <w:r>
        <w:rPr>
          <w:spacing w:val="-3"/>
        </w:rPr>
        <w:t>年。</w:t>
      </w:r>
    </w:p>
    <w:p>
      <w:pPr>
        <w:pStyle w:val="BodyText"/>
        <w:ind w:left="680"/>
      </w:pPr>
      <w:r>
        <w:rPr/>
        <w:t>（七）信息披露文件的存放与查阅</w:t>
      </w:r>
    </w:p>
    <w:p>
      <w:pPr>
        <w:pStyle w:val="BodyText"/>
        <w:spacing w:before="6"/>
        <w:rPr>
          <w:sz w:val="15"/>
        </w:rPr>
      </w:pPr>
    </w:p>
    <w:p>
      <w:pPr>
        <w:pStyle w:val="BodyText"/>
        <w:spacing w:line="417" w:lineRule="auto"/>
        <w:ind w:left="260" w:right="49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680"/>
      </w:pPr>
      <w:r>
        <w:rPr/>
        <w:t>（八）暂停或延迟信息披露的情形</w:t>
      </w:r>
    </w:p>
    <w:p>
      <w:pPr>
        <w:pStyle w:val="BodyText"/>
        <w:spacing w:before="7"/>
        <w:rPr>
          <w:sz w:val="15"/>
        </w:rPr>
      </w:pPr>
    </w:p>
    <w:p>
      <w:pPr>
        <w:pStyle w:val="BodyText"/>
        <w:ind w:left="680"/>
      </w:pPr>
      <w:r>
        <w:rPr/>
        <w:t>当出现下述情况时，基金管理人和基金托管人可暂停或延迟披露基金信息：</w:t>
      </w:r>
    </w:p>
    <w:p>
      <w:pPr>
        <w:pStyle w:val="BodyText"/>
        <w:spacing w:before="6"/>
        <w:rPr>
          <w:sz w:val="15"/>
        </w:rPr>
      </w:pPr>
    </w:p>
    <w:p>
      <w:pPr>
        <w:pStyle w:val="BodyText"/>
        <w:spacing w:before="1"/>
        <w:ind w:left="680"/>
      </w:pPr>
      <w:r>
        <w:rPr>
          <w:rFonts w:ascii="Times New Roman" w:eastAsia="Times New Roman"/>
        </w:rPr>
        <w:t>1</w:t>
      </w:r>
      <w:r>
        <w:rPr/>
        <w:t>、不可抗力。</w:t>
      </w:r>
    </w:p>
    <w:p>
      <w:pPr>
        <w:pStyle w:val="BodyText"/>
        <w:spacing w:before="6"/>
        <w:rPr>
          <w:sz w:val="15"/>
        </w:rPr>
      </w:pPr>
    </w:p>
    <w:p>
      <w:pPr>
        <w:pStyle w:val="BodyText"/>
        <w:ind w:left="680"/>
      </w:pPr>
      <w:r>
        <w:rPr>
          <w:rFonts w:ascii="Times New Roman" w:eastAsia="Times New Roman"/>
        </w:rPr>
        <w:t>2</w:t>
      </w:r>
      <w:r>
        <w:rPr/>
        <w:t>、法律法规、基金合同或中国证监会规定的情况。</w:t>
      </w:r>
    </w:p>
    <w:p>
      <w:pPr>
        <w:pStyle w:val="BodyText"/>
        <w:spacing w:before="7"/>
        <w:rPr>
          <w:sz w:val="15"/>
        </w:rPr>
      </w:pPr>
    </w:p>
    <w:p>
      <w:pPr>
        <w:pStyle w:val="BodyText"/>
        <w:spacing w:before="1"/>
        <w:ind w:left="680"/>
      </w:pPr>
      <w:r>
        <w:rPr/>
        <w:t>（九</w:t>
      </w:r>
      <w:r>
        <w:rPr>
          <w:spacing w:val="-108"/>
        </w:rPr>
        <w:t>）</w:t>
      </w:r>
      <w:r>
        <w:rPr>
          <w:spacing w:val="-3"/>
        </w:rPr>
        <w:t>、法律法规或监管部门对信息披露另有规定的，从其规定。</w:t>
      </w:r>
    </w:p>
    <w:p>
      <w:pPr>
        <w:spacing w:after="0"/>
        <w:sectPr>
          <w:pgSz w:w="11910" w:h="16840"/>
          <w:pgMar w:header="877" w:footer="995" w:top="1420" w:bottom="1180" w:left="1540" w:right="1300"/>
        </w:sectPr>
      </w:pPr>
    </w:p>
    <w:p>
      <w:pPr>
        <w:pStyle w:val="BodyText"/>
        <w:spacing w:before="7"/>
        <w:rPr>
          <w:sz w:val="29"/>
        </w:rPr>
      </w:pPr>
    </w:p>
    <w:p>
      <w:pPr>
        <w:pStyle w:val="Heading1"/>
      </w:pPr>
      <w:bookmarkStart w:name="_bookmark16" w:id="17"/>
      <w:bookmarkEnd w:id="17"/>
      <w:r>
        <w:rPr>
          <w:b w:val="0"/>
        </w:rPr>
      </w:r>
      <w:r>
        <w:rPr/>
        <w:t>十七、风险揭示</w:t>
      </w:r>
    </w:p>
    <w:p>
      <w:pPr>
        <w:pStyle w:val="BodyText"/>
        <w:rPr>
          <w:b/>
          <w:sz w:val="20"/>
        </w:rPr>
      </w:pPr>
    </w:p>
    <w:p>
      <w:pPr>
        <w:pStyle w:val="BodyText"/>
        <w:spacing w:before="8"/>
        <w:rPr>
          <w:b/>
          <w:sz w:val="15"/>
        </w:rPr>
      </w:pPr>
    </w:p>
    <w:p>
      <w:pPr>
        <w:pStyle w:val="BodyText"/>
        <w:spacing w:before="71"/>
        <w:ind w:left="680"/>
      </w:pPr>
      <w:r>
        <w:rPr/>
        <w:t>（一）投资于本基金的主要风险</w:t>
      </w:r>
    </w:p>
    <w:p>
      <w:pPr>
        <w:pStyle w:val="BodyText"/>
        <w:spacing w:before="7"/>
        <w:rPr>
          <w:sz w:val="15"/>
        </w:rPr>
      </w:pPr>
    </w:p>
    <w:p>
      <w:pPr>
        <w:pStyle w:val="BodyText"/>
        <w:ind w:left="680"/>
      </w:pPr>
      <w:r>
        <w:rPr>
          <w:rFonts w:ascii="Times New Roman" w:eastAsia="Times New Roman"/>
        </w:rPr>
        <w:t>1</w:t>
      </w:r>
      <w:r>
        <w:rPr/>
        <w:t>、市场风险</w:t>
      </w:r>
    </w:p>
    <w:p>
      <w:pPr>
        <w:pStyle w:val="BodyText"/>
        <w:spacing w:before="7"/>
        <w:rPr>
          <w:sz w:val="15"/>
        </w:rPr>
      </w:pPr>
    </w:p>
    <w:p>
      <w:pPr>
        <w:pStyle w:val="BodyText"/>
        <w:spacing w:line="417" w:lineRule="auto"/>
        <w:ind w:left="260" w:right="491" w:firstLine="419"/>
      </w:pPr>
      <w:r>
        <w:rPr>
          <w:spacing w:val="-8"/>
        </w:rPr>
        <w:t>证券市场价格因受各种因素的影响而引起的波动，将使本基金资产面临潜在的风险。市</w:t>
      </w:r>
      <w:r>
        <w:rPr>
          <w:spacing w:val="-5"/>
        </w:rPr>
        <w:t>场风险可以分为股票投资风险和债券投资风险。</w:t>
      </w:r>
    </w:p>
    <w:p>
      <w:pPr>
        <w:pStyle w:val="ListParagraph"/>
        <w:numPr>
          <w:ilvl w:val="0"/>
          <w:numId w:val="33"/>
        </w:numPr>
        <w:tabs>
          <w:tab w:pos="1210" w:val="left" w:leader="none"/>
        </w:tabs>
        <w:spacing w:line="269" w:lineRule="exact" w:before="0" w:after="0"/>
        <w:ind w:left="1209" w:right="0" w:hanging="530"/>
        <w:jc w:val="left"/>
        <w:rPr>
          <w:sz w:val="21"/>
        </w:rPr>
      </w:pPr>
      <w:r>
        <w:rPr>
          <w:spacing w:val="-3"/>
          <w:sz w:val="21"/>
        </w:rPr>
        <w:t>股票投资风险主要包括：</w:t>
      </w:r>
    </w:p>
    <w:p>
      <w:pPr>
        <w:pStyle w:val="BodyText"/>
        <w:spacing w:before="7"/>
        <w:rPr>
          <w:sz w:val="15"/>
        </w:rPr>
      </w:pPr>
    </w:p>
    <w:p>
      <w:pPr>
        <w:pStyle w:val="BodyText"/>
        <w:spacing w:line="417" w:lineRule="auto"/>
        <w:ind w:left="260" w:right="491" w:firstLine="419"/>
      </w:pPr>
      <w:r>
        <w:rPr>
          <w:spacing w:val="-11"/>
        </w:rPr>
        <w:t>①国家货币政策、财政政策、产业政策等的变化对证券市场产生一定的影响，导致市场</w:t>
      </w:r>
      <w:r>
        <w:rPr>
          <w:spacing w:val="-6"/>
        </w:rPr>
        <w:t>价格水平波动的风险。</w:t>
      </w:r>
    </w:p>
    <w:p>
      <w:pPr>
        <w:pStyle w:val="BodyText"/>
        <w:spacing w:line="269" w:lineRule="exact"/>
        <w:ind w:left="680"/>
      </w:pPr>
      <w:r>
        <w:rPr/>
        <w:t>②宏观经济运行周期性波动，对股票市场的收益水平产生影响的风险。</w:t>
      </w:r>
    </w:p>
    <w:p>
      <w:pPr>
        <w:pStyle w:val="BodyText"/>
        <w:spacing w:before="7"/>
        <w:rPr>
          <w:sz w:val="15"/>
        </w:rPr>
      </w:pPr>
    </w:p>
    <w:p>
      <w:pPr>
        <w:pStyle w:val="BodyText"/>
        <w:spacing w:line="417" w:lineRule="auto"/>
        <w:ind w:left="260" w:right="491" w:firstLine="419"/>
      </w:pPr>
      <w:r>
        <w:rPr>
          <w:spacing w:val="-9"/>
        </w:rPr>
        <w:t>③上市公司的经营状况受多种因素影响，如市场、技术、竞争、管理、财务等都会导致</w:t>
      </w:r>
      <w:r>
        <w:rPr>
          <w:spacing w:val="-5"/>
        </w:rPr>
        <w:t>公司盈利发生变化，从而导致股票价格变动的风险。</w:t>
      </w:r>
    </w:p>
    <w:p>
      <w:pPr>
        <w:pStyle w:val="ListParagraph"/>
        <w:numPr>
          <w:ilvl w:val="0"/>
          <w:numId w:val="33"/>
        </w:numPr>
        <w:tabs>
          <w:tab w:pos="1210" w:val="left" w:leader="none"/>
        </w:tabs>
        <w:spacing w:line="269" w:lineRule="exact" w:before="0" w:after="0"/>
        <w:ind w:left="1209" w:right="0" w:hanging="530"/>
        <w:jc w:val="left"/>
        <w:rPr>
          <w:sz w:val="21"/>
        </w:rPr>
      </w:pPr>
      <w:r>
        <w:rPr>
          <w:spacing w:val="-3"/>
          <w:sz w:val="21"/>
        </w:rPr>
        <w:t>债券投资风险主要包括：</w:t>
      </w:r>
    </w:p>
    <w:p>
      <w:pPr>
        <w:pStyle w:val="BodyText"/>
        <w:spacing w:before="6"/>
        <w:rPr>
          <w:sz w:val="15"/>
        </w:rPr>
      </w:pPr>
    </w:p>
    <w:p>
      <w:pPr>
        <w:pStyle w:val="BodyText"/>
        <w:spacing w:before="1"/>
        <w:ind w:left="680"/>
      </w:pPr>
      <w:r>
        <w:rPr/>
        <w:t>①信用风险</w:t>
      </w:r>
    </w:p>
    <w:p>
      <w:pPr>
        <w:pStyle w:val="BodyText"/>
        <w:spacing w:before="7"/>
        <w:rPr>
          <w:sz w:val="15"/>
        </w:rPr>
      </w:pPr>
    </w:p>
    <w:p>
      <w:pPr>
        <w:pStyle w:val="BodyText"/>
        <w:spacing w:line="417" w:lineRule="auto"/>
        <w:ind w:left="260" w:right="49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pPr>
        <w:pStyle w:val="BodyText"/>
        <w:spacing w:line="269" w:lineRule="exact"/>
        <w:ind w:left="680"/>
      </w:pPr>
      <w:r>
        <w:rPr>
          <w:spacing w:val="-1"/>
        </w:rPr>
        <w:t>②利率风险</w:t>
      </w:r>
    </w:p>
    <w:p>
      <w:pPr>
        <w:pStyle w:val="BodyText"/>
        <w:spacing w:before="6"/>
        <w:rPr>
          <w:sz w:val="15"/>
        </w:rPr>
      </w:pPr>
    </w:p>
    <w:p>
      <w:pPr>
        <w:pStyle w:val="BodyText"/>
        <w:spacing w:line="417" w:lineRule="auto"/>
        <w:ind w:left="260" w:right="49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pPr>
        <w:pStyle w:val="BodyText"/>
        <w:spacing w:before="1"/>
        <w:ind w:left="680"/>
      </w:pPr>
      <w:r>
        <w:rPr/>
        <w:t>③收益率曲线风险</w:t>
      </w:r>
    </w:p>
    <w:p>
      <w:pPr>
        <w:pStyle w:val="BodyText"/>
        <w:spacing w:before="6"/>
        <w:rPr>
          <w:sz w:val="15"/>
        </w:rPr>
      </w:pPr>
    </w:p>
    <w:p>
      <w:pPr>
        <w:pStyle w:val="BodyText"/>
        <w:spacing w:line="417" w:lineRule="auto"/>
        <w:ind w:left="260" w:right="491" w:firstLine="419"/>
      </w:pPr>
      <w:r>
        <w:rPr>
          <w:spacing w:val="-10"/>
        </w:rPr>
        <w:t>如果基金对长、中、短期债券的持有结构与基准存在差异，长、中、短期债券的相对价</w:t>
      </w:r>
      <w:r>
        <w:rPr>
          <w:spacing w:val="-5"/>
        </w:rPr>
        <w:t>格发生变化时，基金资产的收益可能低于基准。</w:t>
      </w:r>
    </w:p>
    <w:p>
      <w:pPr>
        <w:pStyle w:val="BodyText"/>
        <w:spacing w:line="269" w:lineRule="exact"/>
        <w:ind w:left="680"/>
      </w:pPr>
      <w:r>
        <w:rPr/>
        <w:t>④利差风险</w:t>
      </w:r>
    </w:p>
    <w:p>
      <w:pPr>
        <w:pStyle w:val="BodyText"/>
        <w:spacing w:before="7"/>
        <w:rPr>
          <w:sz w:val="15"/>
        </w:rPr>
      </w:pPr>
    </w:p>
    <w:p>
      <w:pPr>
        <w:pStyle w:val="BodyText"/>
        <w:spacing w:line="417" w:lineRule="auto"/>
        <w:ind w:left="260" w:right="491" w:firstLine="419"/>
      </w:pPr>
      <w:r>
        <w:rPr>
          <w:spacing w:val="-12"/>
        </w:rPr>
        <w:t>债券市场不同期限、不同类属债券之间的利差变动导致相应期限和类属债券价格变化的风险。</w:t>
      </w:r>
    </w:p>
    <w:p>
      <w:pPr>
        <w:pStyle w:val="BodyText"/>
        <w:spacing w:line="269" w:lineRule="exact"/>
        <w:ind w:left="680"/>
      </w:pPr>
      <w:r>
        <w:rPr/>
        <w:t>⑤市场供需风险</w:t>
      </w:r>
    </w:p>
    <w:p>
      <w:pPr>
        <w:pStyle w:val="BodyText"/>
        <w:spacing w:before="7"/>
        <w:rPr>
          <w:sz w:val="15"/>
        </w:rPr>
      </w:pPr>
    </w:p>
    <w:p>
      <w:pPr>
        <w:pStyle w:val="BodyText"/>
        <w:ind w:left="680"/>
      </w:pPr>
      <w:r>
        <w:rPr/>
        <w:t>如果宏观经济环境、政府财政政策、市场监管政策、市场参与主体经营环境等发生变化，</w:t>
      </w:r>
    </w:p>
    <w:p>
      <w:pPr>
        <w:spacing w:after="0"/>
        <w:sectPr>
          <w:pgSz w:w="11910" w:h="16840"/>
          <w:pgMar w:header="877" w:footer="995" w:top="1420" w:bottom="1180" w:left="1540" w:right="1300"/>
        </w:sectPr>
      </w:pPr>
    </w:p>
    <w:p>
      <w:pPr>
        <w:pStyle w:val="BodyText"/>
        <w:spacing w:line="417" w:lineRule="auto" w:before="110"/>
        <w:ind w:left="260" w:right="491"/>
      </w:pPr>
      <w:r>
        <w:rPr>
          <w:spacing w:val="-6"/>
        </w:rPr>
        <w:t>债券市场参与主体可用资金数量和债券市场可供投资的债券数量可能发生相应的变化，最终</w:t>
      </w:r>
      <w:r>
        <w:rPr>
          <w:spacing w:val="-4"/>
        </w:rPr>
        <w:t>影响债券市场的供需关系，造成基金资产投资收益的变化。</w:t>
      </w:r>
    </w:p>
    <w:p>
      <w:pPr>
        <w:pStyle w:val="BodyText"/>
        <w:spacing w:line="269" w:lineRule="exact"/>
        <w:ind w:left="680"/>
      </w:pPr>
      <w:r>
        <w:rPr/>
        <w:t>⑥购买力风险</w:t>
      </w:r>
    </w:p>
    <w:p>
      <w:pPr>
        <w:pStyle w:val="BodyText"/>
        <w:spacing w:before="6"/>
        <w:rPr>
          <w:sz w:val="15"/>
        </w:rPr>
      </w:pPr>
    </w:p>
    <w:p>
      <w:pPr>
        <w:pStyle w:val="BodyText"/>
        <w:spacing w:line="417" w:lineRule="auto"/>
        <w:ind w:left="260" w:right="491" w:firstLine="419"/>
      </w:pPr>
      <w:r>
        <w:rPr>
          <w:spacing w:val="-8"/>
        </w:rPr>
        <w:t>基金投资所取得的收益率有可能低于通货膨胀率，从而导致投资者持有本基金资产实际</w:t>
      </w:r>
      <w:r>
        <w:rPr>
          <w:spacing w:val="-5"/>
        </w:rPr>
        <w:t>购买力下降。</w:t>
      </w:r>
    </w:p>
    <w:p>
      <w:pPr>
        <w:pStyle w:val="BodyText"/>
        <w:spacing w:line="269" w:lineRule="exact"/>
        <w:ind w:left="680"/>
      </w:pPr>
      <w:r>
        <w:rPr>
          <w:rFonts w:ascii="Times New Roman" w:eastAsia="Times New Roman"/>
        </w:rPr>
        <w:t>2</w:t>
      </w:r>
      <w:r>
        <w:rPr/>
        <w:t>、流动性风险</w:t>
      </w:r>
    </w:p>
    <w:p>
      <w:pPr>
        <w:pStyle w:val="BodyText"/>
        <w:spacing w:before="7"/>
        <w:rPr>
          <w:sz w:val="15"/>
        </w:rPr>
      </w:pPr>
    </w:p>
    <w:p>
      <w:pPr>
        <w:pStyle w:val="ListParagraph"/>
        <w:numPr>
          <w:ilvl w:val="0"/>
          <w:numId w:val="34"/>
        </w:numPr>
        <w:tabs>
          <w:tab w:pos="1210" w:val="left" w:leader="none"/>
        </w:tabs>
        <w:spacing w:line="240" w:lineRule="auto" w:before="0" w:after="0"/>
        <w:ind w:left="1209" w:right="0" w:hanging="530"/>
        <w:jc w:val="left"/>
        <w:rPr>
          <w:sz w:val="21"/>
        </w:rPr>
      </w:pPr>
      <w:r>
        <w:rPr>
          <w:spacing w:val="-3"/>
          <w:sz w:val="21"/>
        </w:rPr>
        <w:t>流动性风险的定义</w:t>
      </w:r>
    </w:p>
    <w:p>
      <w:pPr>
        <w:pStyle w:val="BodyText"/>
        <w:spacing w:before="7"/>
        <w:rPr>
          <w:sz w:val="15"/>
        </w:rPr>
      </w:pPr>
    </w:p>
    <w:p>
      <w:pPr>
        <w:pStyle w:val="BodyText"/>
        <w:spacing w:line="417" w:lineRule="auto" w:before="1"/>
        <w:ind w:left="260" w:right="494" w:firstLine="419"/>
      </w:pPr>
      <w:r>
        <w:rPr/>
        <w:t>流动性风险是指基金管理人未能以合理价格及时变现基金资产以支付投资者赎回款项的风险，包括但不限于：</w:t>
      </w:r>
    </w:p>
    <w:p>
      <w:pPr>
        <w:pStyle w:val="BodyText"/>
        <w:spacing w:line="417" w:lineRule="auto"/>
        <w:ind w:left="260" w:right="491" w:firstLine="419"/>
      </w:pPr>
      <w:r>
        <w:rPr>
          <w:spacing w:val="-8"/>
        </w:rPr>
        <w:t>在市场或个券流动性不足的情况下，基金管理人可能无法迅速、低成本地调整基金投资</w:t>
      </w:r>
      <w:r>
        <w:rPr>
          <w:spacing w:val="-5"/>
        </w:rPr>
        <w:t>组合，从而对基金收益造成不利影响。</w:t>
      </w:r>
    </w:p>
    <w:p>
      <w:pPr>
        <w:pStyle w:val="BodyText"/>
        <w:spacing w:line="417" w:lineRule="auto"/>
        <w:ind w:left="260" w:right="491" w:firstLine="419"/>
      </w:pPr>
      <w:r>
        <w:rPr>
          <w:spacing w:val="-9"/>
        </w:rPr>
        <w:t>由于开放式基金的特殊要求，本基金必须保持一定的现金比例以应对赎回要求，在管理</w:t>
      </w:r>
      <w:r>
        <w:rPr>
          <w:spacing w:val="-5"/>
        </w:rPr>
        <w:t>现金头寸时，有可能存在现金不足的风险和现金过多带来的收益下降风险。</w:t>
      </w:r>
    </w:p>
    <w:p>
      <w:pPr>
        <w:pStyle w:val="ListParagraph"/>
        <w:numPr>
          <w:ilvl w:val="0"/>
          <w:numId w:val="34"/>
        </w:numPr>
        <w:tabs>
          <w:tab w:pos="1210" w:val="left" w:leader="none"/>
        </w:tabs>
        <w:spacing w:line="269" w:lineRule="exact" w:before="0" w:after="0"/>
        <w:ind w:left="1209" w:right="0" w:hanging="530"/>
        <w:jc w:val="left"/>
        <w:rPr>
          <w:sz w:val="21"/>
        </w:rPr>
      </w:pPr>
      <w:r>
        <w:rPr>
          <w:spacing w:val="-3"/>
          <w:sz w:val="21"/>
        </w:rPr>
        <w:t>基金申购、赎回安排</w:t>
      </w:r>
    </w:p>
    <w:p>
      <w:pPr>
        <w:pStyle w:val="BodyText"/>
        <w:spacing w:before="6"/>
        <w:rPr>
          <w:sz w:val="15"/>
        </w:rPr>
      </w:pPr>
    </w:p>
    <w:p>
      <w:pPr>
        <w:pStyle w:val="BodyText"/>
        <w:spacing w:line="417" w:lineRule="auto"/>
        <w:ind w:left="260" w:right="49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BodyText"/>
        <w:spacing w:line="417" w:lineRule="auto"/>
        <w:ind w:left="260" w:right="491" w:firstLine="419"/>
        <w:jc w:val="both"/>
      </w:pPr>
      <w:r>
        <w:rPr>
          <w:spacing w:val="-11"/>
        </w:rPr>
        <w:t>在本基金发生流动性风险时，基金管理人可以综合利用备用的流动性风险管理工具以减</w:t>
      </w:r>
      <w:r>
        <w:rPr>
          <w:spacing w:val="-12"/>
        </w:rPr>
        <w:t>少或应对基金的流动性风险，投资者可能面临赎回申请被暂停接受或延期办理、赎回款项被延缓支付、被收取短期赎回费、基金估值暂停、基金采用摆动定价等风险。投资者应该了解</w:t>
      </w:r>
      <w:r>
        <w:rPr>
          <w:spacing w:val="-6"/>
        </w:rPr>
        <w:t>自身的流动性偏好，并评估是否与本基金的流动性风险匹配。</w:t>
      </w:r>
    </w:p>
    <w:p>
      <w:pPr>
        <w:pStyle w:val="ListParagraph"/>
        <w:numPr>
          <w:ilvl w:val="0"/>
          <w:numId w:val="34"/>
        </w:numPr>
        <w:tabs>
          <w:tab w:pos="1210" w:val="left" w:leader="none"/>
        </w:tabs>
        <w:spacing w:line="268" w:lineRule="exact" w:before="0" w:after="0"/>
        <w:ind w:left="1209" w:right="0" w:hanging="530"/>
        <w:jc w:val="left"/>
        <w:rPr>
          <w:sz w:val="21"/>
        </w:rPr>
      </w:pPr>
      <w:r>
        <w:rPr>
          <w:spacing w:val="-3"/>
          <w:sz w:val="21"/>
        </w:rPr>
        <w:t>拟投资市场、行业及资产的流动性风险评估</w:t>
      </w:r>
    </w:p>
    <w:p>
      <w:pPr>
        <w:pStyle w:val="BodyText"/>
        <w:spacing w:before="7"/>
        <w:rPr>
          <w:sz w:val="15"/>
        </w:rPr>
      </w:pPr>
    </w:p>
    <w:p>
      <w:pPr>
        <w:pStyle w:val="BodyText"/>
        <w:spacing w:line="417" w:lineRule="auto"/>
        <w:ind w:left="260" w:right="491" w:firstLine="419"/>
        <w:jc w:val="both"/>
      </w:pPr>
      <w:r>
        <w:rPr>
          <w:spacing w:val="-8"/>
        </w:rPr>
        <w:t>本基金的投资范围为具有良好流动性的金融工具，包括国内依法发行上市的股票、港股</w:t>
      </w:r>
      <w:r>
        <w:rPr>
          <w:spacing w:val="-12"/>
        </w:rPr>
        <w:t>通机制下的股票、债券、资产支持证券、衍生品、货币市场工具以及法律法规或中国证监会</w:t>
      </w:r>
      <w:r>
        <w:rPr>
          <w:spacing w:val="-6"/>
        </w:rPr>
        <w:t>允许基金投资的其他金融工具。股票投资占基金资产的比例为 </w:t>
      </w:r>
      <w:r>
        <w:rPr>
          <w:rFonts w:ascii="Times New Roman" w:eastAsia="Times New Roman"/>
        </w:rPr>
        <w:t>80%-95%</w:t>
      </w:r>
      <w:r>
        <w:rPr>
          <w:spacing w:val="-3"/>
        </w:rPr>
        <w:t>，其中，投资于港</w:t>
      </w:r>
      <w:r>
        <w:rPr>
          <w:spacing w:val="-7"/>
        </w:rPr>
        <w:t>股通标的股票占股票资产的比例为 </w:t>
      </w:r>
      <w:r>
        <w:rPr>
          <w:rFonts w:ascii="Times New Roman" w:eastAsia="Times New Roman"/>
        </w:rPr>
        <w:t>0-50%</w:t>
      </w:r>
      <w:r>
        <w:rPr/>
        <w:t>。</w:t>
      </w:r>
    </w:p>
    <w:p>
      <w:pPr>
        <w:pStyle w:val="BodyText"/>
        <w:spacing w:line="417" w:lineRule="auto"/>
        <w:ind w:left="260" w:right="491" w:firstLine="419"/>
        <w:jc w:val="both"/>
      </w:pPr>
      <w:r>
        <w:rPr>
          <w:spacing w:val="-8"/>
        </w:rPr>
        <w:t>一般情况下拟投资资产具有较好的流动性，本基金管理人在筛选投资标的及投资时也会</w:t>
      </w:r>
      <w:r>
        <w:rPr>
          <w:spacing w:val="-12"/>
        </w:rPr>
        <w:t>充分考虑可能存在的流动性风险，但是在特殊市场环境下本基金仍有可能出现流动性不足的</w:t>
      </w:r>
      <w:r>
        <w:rPr>
          <w:spacing w:val="-11"/>
        </w:rPr>
        <w:t>情形。本基金管理人将根据历史经验和现实条件，制定出现金持有量的上下限计划，在该限</w:t>
      </w:r>
      <w:r>
        <w:rPr>
          <w:spacing w:val="-10"/>
        </w:rPr>
        <w:t>制范围内进行现金比例调控或现金与证券的转化，并结合各类标的资产的预期流动性合理进</w:t>
      </w:r>
      <w:r>
        <w:rPr>
          <w:spacing w:val="-5"/>
        </w:rPr>
        <w:t>行资产配置，以防范流动性风险。</w:t>
      </w:r>
    </w:p>
    <w:p>
      <w:pPr>
        <w:spacing w:after="0" w:line="417" w:lineRule="auto"/>
        <w:jc w:val="both"/>
        <w:sectPr>
          <w:pgSz w:w="11910" w:h="16840"/>
          <w:pgMar w:header="877" w:footer="995" w:top="1420" w:bottom="1180" w:left="1540" w:right="1300"/>
        </w:sectPr>
      </w:pPr>
    </w:p>
    <w:p>
      <w:pPr>
        <w:pStyle w:val="ListParagraph"/>
        <w:numPr>
          <w:ilvl w:val="0"/>
          <w:numId w:val="34"/>
        </w:numPr>
        <w:tabs>
          <w:tab w:pos="1210" w:val="left" w:leader="none"/>
        </w:tabs>
        <w:spacing w:line="240" w:lineRule="auto" w:before="110" w:after="0"/>
        <w:ind w:left="1209" w:right="0" w:hanging="530"/>
        <w:jc w:val="left"/>
        <w:rPr>
          <w:sz w:val="21"/>
        </w:rPr>
      </w:pPr>
      <w:r>
        <w:rPr>
          <w:spacing w:val="-3"/>
          <w:sz w:val="21"/>
        </w:rPr>
        <w:t>巨额赎回情形下的流动性风险管理措施</w:t>
      </w:r>
    </w:p>
    <w:p>
      <w:pPr>
        <w:pStyle w:val="BodyText"/>
        <w:spacing w:before="6"/>
        <w:rPr>
          <w:sz w:val="15"/>
        </w:rPr>
      </w:pPr>
    </w:p>
    <w:p>
      <w:pPr>
        <w:pStyle w:val="BodyText"/>
        <w:ind w:left="680"/>
      </w:pPr>
      <w:r>
        <w:rPr/>
        <w:t>当本基金发生巨额赎回情形时，基金管理人可以采用以下流动性风险管理措施：</w:t>
      </w:r>
    </w:p>
    <w:p>
      <w:pPr>
        <w:pStyle w:val="BodyText"/>
        <w:spacing w:before="7"/>
        <w:rPr>
          <w:sz w:val="15"/>
        </w:rPr>
      </w:pPr>
    </w:p>
    <w:p>
      <w:pPr>
        <w:pStyle w:val="BodyText"/>
        <w:ind w:left="680"/>
      </w:pPr>
      <w:r>
        <w:rPr/>
        <w:t>①延期办理巨额赎回申请；</w:t>
      </w:r>
    </w:p>
    <w:p>
      <w:pPr>
        <w:pStyle w:val="BodyText"/>
        <w:spacing w:before="7"/>
        <w:rPr>
          <w:sz w:val="15"/>
        </w:rPr>
      </w:pPr>
    </w:p>
    <w:p>
      <w:pPr>
        <w:pStyle w:val="BodyText"/>
        <w:ind w:left="680"/>
      </w:pPr>
      <w:r>
        <w:rPr>
          <w:spacing w:val="-3"/>
        </w:rPr>
        <w:t>②暂停接受赎回申请；</w:t>
      </w:r>
    </w:p>
    <w:p>
      <w:pPr>
        <w:pStyle w:val="BodyText"/>
        <w:spacing w:before="7"/>
        <w:rPr>
          <w:sz w:val="15"/>
        </w:rPr>
      </w:pPr>
    </w:p>
    <w:p>
      <w:pPr>
        <w:pStyle w:val="BodyText"/>
        <w:ind w:left="680"/>
      </w:pPr>
      <w:r>
        <w:rPr>
          <w:spacing w:val="-3"/>
        </w:rPr>
        <w:t>③延缓支付赎回款项；</w:t>
      </w:r>
    </w:p>
    <w:p>
      <w:pPr>
        <w:pStyle w:val="BodyText"/>
        <w:spacing w:before="6"/>
        <w:rPr>
          <w:sz w:val="15"/>
        </w:rPr>
      </w:pPr>
    </w:p>
    <w:p>
      <w:pPr>
        <w:pStyle w:val="BodyText"/>
        <w:ind w:left="680"/>
      </w:pPr>
      <w:r>
        <w:rPr/>
        <w:t>④摆动定价；</w:t>
      </w:r>
    </w:p>
    <w:p>
      <w:pPr>
        <w:pStyle w:val="BodyText"/>
        <w:spacing w:before="7"/>
        <w:rPr>
          <w:sz w:val="15"/>
        </w:rPr>
      </w:pPr>
    </w:p>
    <w:p>
      <w:pPr>
        <w:pStyle w:val="BodyText"/>
        <w:ind w:left="680"/>
      </w:pPr>
      <w:r>
        <w:rPr/>
        <w:t>⑤中国证监会认定的其他措施。</w:t>
      </w:r>
    </w:p>
    <w:p>
      <w:pPr>
        <w:pStyle w:val="BodyText"/>
        <w:spacing w:before="7"/>
        <w:rPr>
          <w:sz w:val="15"/>
        </w:rPr>
      </w:pPr>
    </w:p>
    <w:p>
      <w:pPr>
        <w:pStyle w:val="ListParagraph"/>
        <w:numPr>
          <w:ilvl w:val="0"/>
          <w:numId w:val="34"/>
        </w:numPr>
        <w:tabs>
          <w:tab w:pos="1210" w:val="left" w:leader="none"/>
        </w:tabs>
        <w:spacing w:line="240" w:lineRule="auto" w:before="1" w:after="0"/>
        <w:ind w:left="1209" w:right="0" w:hanging="530"/>
        <w:jc w:val="left"/>
        <w:rPr>
          <w:sz w:val="21"/>
        </w:rPr>
      </w:pPr>
      <w:r>
        <w:rPr>
          <w:spacing w:val="-3"/>
          <w:sz w:val="21"/>
        </w:rPr>
        <w:t>实施备用的流动性风险管理工具的情形、程序及对投资者的潜在影响</w:t>
      </w:r>
    </w:p>
    <w:p>
      <w:pPr>
        <w:pStyle w:val="BodyText"/>
        <w:spacing w:before="6"/>
        <w:rPr>
          <w:sz w:val="15"/>
        </w:rPr>
      </w:pPr>
    </w:p>
    <w:p>
      <w:pPr>
        <w:pStyle w:val="BodyText"/>
        <w:spacing w:line="417" w:lineRule="auto"/>
        <w:ind w:left="260" w:right="49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line="269" w:lineRule="exact"/>
        <w:ind w:left="680"/>
      </w:pPr>
      <w:r>
        <w:rPr/>
        <w:t>①延期办理赎回申请</w:t>
      </w:r>
    </w:p>
    <w:p>
      <w:pPr>
        <w:pStyle w:val="BodyText"/>
        <w:spacing w:before="7"/>
        <w:rPr>
          <w:sz w:val="15"/>
        </w:rPr>
      </w:pPr>
    </w:p>
    <w:p>
      <w:pPr>
        <w:pStyle w:val="BodyText"/>
        <w:spacing w:line="417" w:lineRule="auto"/>
        <w:ind w:left="260" w:right="491" w:firstLine="419"/>
      </w:pPr>
      <w:r>
        <w:rPr>
          <w:spacing w:val="-9"/>
        </w:rPr>
        <w:t>投资人具体请参见基金合同“第六部分、基金份额的申购与赎回”中的“九、巨额赎回</w:t>
      </w:r>
      <w:r>
        <w:rPr>
          <w:spacing w:val="-13"/>
          <w:w w:val="100"/>
        </w:rPr>
        <w:t>的情形及处理方式”，详细了解本基金延期办理赎回申请的情形及程序。</w:t>
      </w:r>
    </w:p>
    <w:p>
      <w:pPr>
        <w:pStyle w:val="BodyText"/>
        <w:spacing w:line="417" w:lineRule="auto"/>
        <w:ind w:left="260" w:right="491" w:firstLine="419"/>
      </w:pPr>
      <w:r>
        <w:rPr>
          <w:spacing w:val="-10"/>
        </w:rPr>
        <w:t>在此情形下，投资者的全部或部分赎回申请可能将被延期办理，同时投资人完成基金赎</w:t>
      </w:r>
      <w:r>
        <w:rPr>
          <w:spacing w:val="-5"/>
        </w:rPr>
        <w:t>回时的基金份额净值可能与其提交赎回申请时的基金份额净值不同。</w:t>
      </w:r>
    </w:p>
    <w:p>
      <w:pPr>
        <w:pStyle w:val="BodyText"/>
        <w:spacing w:line="269" w:lineRule="exact"/>
        <w:ind w:left="680"/>
      </w:pPr>
      <w:r>
        <w:rPr/>
        <w:t>②暂停接受赎回申请</w:t>
      </w:r>
    </w:p>
    <w:p>
      <w:pPr>
        <w:pStyle w:val="BodyText"/>
        <w:spacing w:before="7"/>
        <w:rPr>
          <w:sz w:val="15"/>
        </w:rPr>
      </w:pPr>
    </w:p>
    <w:p>
      <w:pPr>
        <w:pStyle w:val="BodyText"/>
        <w:spacing w:line="417" w:lineRule="auto"/>
        <w:ind w:left="260" w:right="49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417" w:lineRule="auto"/>
        <w:ind w:left="260" w:right="49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ind w:left="680"/>
      </w:pPr>
      <w:r>
        <w:rPr/>
        <w:t>③延缓支付赎回款项</w:t>
      </w:r>
    </w:p>
    <w:p>
      <w:pPr>
        <w:pStyle w:val="BodyText"/>
        <w:spacing w:before="6"/>
        <w:rPr>
          <w:sz w:val="15"/>
        </w:rPr>
      </w:pPr>
    </w:p>
    <w:p>
      <w:pPr>
        <w:pStyle w:val="BodyText"/>
        <w:spacing w:line="417" w:lineRule="auto"/>
        <w:ind w:left="260" w:right="49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line="269" w:lineRule="exact"/>
        <w:ind w:left="680"/>
      </w:pPr>
      <w:r>
        <w:rPr/>
        <w:t>在此情形下，投资人收到赎回款项的时间将可能比一般正常情形下有所延迟。</w:t>
      </w:r>
    </w:p>
    <w:p>
      <w:pPr>
        <w:pStyle w:val="BodyText"/>
        <w:spacing w:before="7"/>
        <w:rPr>
          <w:sz w:val="15"/>
        </w:rPr>
      </w:pPr>
    </w:p>
    <w:p>
      <w:pPr>
        <w:pStyle w:val="BodyText"/>
        <w:ind w:left="680"/>
      </w:pPr>
      <w:r>
        <w:rPr/>
        <w:t>④收取短期赎回费</w:t>
      </w:r>
    </w:p>
    <w:p>
      <w:pPr>
        <w:pStyle w:val="BodyText"/>
        <w:spacing w:before="7"/>
        <w:rPr>
          <w:sz w:val="15"/>
        </w:rPr>
      </w:pPr>
    </w:p>
    <w:p>
      <w:pPr>
        <w:pStyle w:val="BodyText"/>
        <w:spacing w:line="417" w:lineRule="auto"/>
        <w:ind w:left="260" w:right="428" w:firstLine="419"/>
      </w:pPr>
      <w:r>
        <w:rPr/>
        <w:t>本基金对持续持有期少于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spacing w:after="0" w:line="417" w:lineRule="auto"/>
        <w:sectPr>
          <w:pgSz w:w="11910" w:h="16840"/>
          <w:pgMar w:header="877" w:footer="995" w:top="1420" w:bottom="1180" w:left="1540" w:right="1300"/>
        </w:sectPr>
      </w:pPr>
    </w:p>
    <w:p>
      <w:pPr>
        <w:pStyle w:val="BodyText"/>
        <w:spacing w:before="110"/>
        <w:ind w:left="680"/>
      </w:pPr>
      <w:r>
        <w:rPr/>
        <w:t>⑤暂停基金估值</w:t>
      </w:r>
    </w:p>
    <w:p>
      <w:pPr>
        <w:pStyle w:val="BodyText"/>
        <w:spacing w:before="6"/>
        <w:rPr>
          <w:sz w:val="15"/>
        </w:rPr>
      </w:pPr>
    </w:p>
    <w:p>
      <w:pPr>
        <w:pStyle w:val="BodyText"/>
        <w:spacing w:line="417" w:lineRule="auto"/>
        <w:ind w:left="260" w:right="49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line="417" w:lineRule="auto"/>
        <w:ind w:left="260" w:right="491" w:firstLine="419"/>
      </w:pPr>
      <w:r>
        <w:rPr>
          <w:spacing w:val="-10"/>
        </w:rPr>
        <w:t>在此情形下，投资人没有可供参考的基金份额净值，基金可能暂停申购赎回申请或延缓</w:t>
      </w:r>
      <w:r>
        <w:rPr>
          <w:spacing w:val="-5"/>
        </w:rPr>
        <w:t>支付赎回款项。</w:t>
      </w:r>
    </w:p>
    <w:p>
      <w:pPr>
        <w:pStyle w:val="BodyText"/>
        <w:spacing w:line="269" w:lineRule="exact"/>
        <w:ind w:left="680"/>
      </w:pPr>
      <w:r>
        <w:rPr>
          <w:spacing w:val="-1"/>
        </w:rPr>
        <w:t>⑥摆动定价</w:t>
      </w:r>
    </w:p>
    <w:p>
      <w:pPr>
        <w:pStyle w:val="BodyText"/>
        <w:spacing w:before="7"/>
        <w:rPr>
          <w:sz w:val="15"/>
        </w:rPr>
      </w:pPr>
    </w:p>
    <w:p>
      <w:pPr>
        <w:pStyle w:val="BodyText"/>
        <w:spacing w:line="417" w:lineRule="auto"/>
        <w:ind w:left="260" w:right="491" w:firstLine="419"/>
      </w:pPr>
      <w:r>
        <w:rPr>
          <w:spacing w:val="-8"/>
        </w:rPr>
        <w:t>当本基金发生大额申购或赎回情形时，基金管理人可以采用摆动定价机制，以确保基金</w:t>
      </w:r>
      <w:r>
        <w:rPr>
          <w:spacing w:val="-5"/>
        </w:rPr>
        <w:t>估值的公平性。</w:t>
      </w:r>
    </w:p>
    <w:p>
      <w:pPr>
        <w:pStyle w:val="BodyText"/>
        <w:spacing w:line="417" w:lineRule="auto"/>
        <w:ind w:left="260" w:right="38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spacing w:line="268" w:lineRule="exact"/>
        <w:ind w:left="680"/>
      </w:pPr>
      <w:r>
        <w:rPr/>
        <w:t>⑦中国证监会认定的其他措施。</w:t>
      </w:r>
    </w:p>
    <w:p>
      <w:pPr>
        <w:pStyle w:val="BodyText"/>
        <w:spacing w:before="7"/>
        <w:rPr>
          <w:sz w:val="15"/>
        </w:rPr>
      </w:pPr>
    </w:p>
    <w:p>
      <w:pPr>
        <w:pStyle w:val="BodyText"/>
        <w:ind w:left="680"/>
      </w:pPr>
      <w:r>
        <w:rPr>
          <w:rFonts w:ascii="Times New Roman" w:eastAsia="Times New Roman"/>
        </w:rPr>
        <w:t>3</w:t>
      </w:r>
      <w:r>
        <w:rPr/>
        <w:t>、积极管理风险</w:t>
      </w:r>
    </w:p>
    <w:p>
      <w:pPr>
        <w:pStyle w:val="BodyText"/>
        <w:spacing w:before="7"/>
        <w:rPr>
          <w:sz w:val="15"/>
        </w:rPr>
      </w:pPr>
    </w:p>
    <w:p>
      <w:pPr>
        <w:pStyle w:val="BodyText"/>
        <w:spacing w:line="417" w:lineRule="auto"/>
        <w:ind w:left="260" w:right="491" w:firstLine="419"/>
        <w:jc w:val="both"/>
      </w:pPr>
      <w:r>
        <w:rPr>
          <w:spacing w:val="-9"/>
        </w:rPr>
        <w:t>在实际投资操作过程中，基金管理人可能限于知识、技术、经验等因素而影响其对相关</w:t>
      </w:r>
      <w:r>
        <w:rPr>
          <w:spacing w:val="-13"/>
        </w:rPr>
        <w:t>信息、经济形势和证券价格走势的判断，其精选出的投资品种的业绩表现不一定持续优于其</w:t>
      </w:r>
      <w:r>
        <w:rPr>
          <w:spacing w:val="-8"/>
        </w:rPr>
        <w:t>他品种。</w:t>
      </w:r>
    </w:p>
    <w:p>
      <w:pPr>
        <w:pStyle w:val="BodyText"/>
        <w:spacing w:line="269" w:lineRule="exact"/>
        <w:ind w:left="680"/>
      </w:pPr>
      <w:r>
        <w:rPr>
          <w:rFonts w:ascii="Times New Roman" w:eastAsia="Times New Roman"/>
        </w:rPr>
        <w:t>4</w:t>
      </w:r>
      <w:r>
        <w:rPr/>
        <w:t>、存托凭证投资风险</w:t>
      </w:r>
    </w:p>
    <w:p>
      <w:pPr>
        <w:pStyle w:val="BodyText"/>
        <w:spacing w:before="7"/>
        <w:rPr>
          <w:sz w:val="15"/>
        </w:rPr>
      </w:pPr>
    </w:p>
    <w:p>
      <w:pPr>
        <w:pStyle w:val="BodyText"/>
        <w:spacing w:line="417" w:lineRule="auto"/>
        <w:ind w:left="260" w:right="491" w:firstLine="419"/>
      </w:pPr>
      <w:r>
        <w:rPr>
          <w:spacing w:val="-10"/>
        </w:rPr>
        <w:t>本基金可投资存托凭证，基金净值可能受到存托凭证的境外基础证券价格波动影响，存</w:t>
      </w:r>
      <w:r>
        <w:rPr>
          <w:spacing w:val="-5"/>
        </w:rPr>
        <w:t>托凭证的境外基础证券的相关风险可能直接或间接成为本基金的风险。</w:t>
      </w:r>
    </w:p>
    <w:p>
      <w:pPr>
        <w:pStyle w:val="BodyText"/>
        <w:spacing w:line="269" w:lineRule="exact"/>
        <w:ind w:left="680"/>
      </w:pPr>
      <w:r>
        <w:rPr>
          <w:rFonts w:ascii="Times New Roman" w:eastAsia="Times New Roman"/>
        </w:rPr>
        <w:t>5</w:t>
      </w:r>
      <w:r>
        <w:rPr/>
        <w:t>、期货投资风险</w:t>
      </w:r>
    </w:p>
    <w:p>
      <w:pPr>
        <w:pStyle w:val="BodyText"/>
        <w:spacing w:before="7"/>
        <w:rPr>
          <w:sz w:val="15"/>
        </w:rPr>
      </w:pPr>
    </w:p>
    <w:p>
      <w:pPr>
        <w:pStyle w:val="BodyText"/>
        <w:ind w:left="680"/>
      </w:pPr>
      <w:r>
        <w:rPr/>
        <w:t>本基金可投资于股指期货、国债期货。投资期货主要存在以下风险：</w:t>
      </w:r>
    </w:p>
    <w:p>
      <w:pPr>
        <w:pStyle w:val="BodyText"/>
        <w:spacing w:before="7"/>
        <w:rPr>
          <w:sz w:val="15"/>
        </w:rPr>
      </w:pPr>
    </w:p>
    <w:p>
      <w:pPr>
        <w:pStyle w:val="ListParagraph"/>
        <w:numPr>
          <w:ilvl w:val="0"/>
          <w:numId w:val="35"/>
        </w:numPr>
        <w:tabs>
          <w:tab w:pos="1210" w:val="left" w:leader="none"/>
        </w:tabs>
        <w:spacing w:line="240" w:lineRule="auto" w:before="0" w:after="0"/>
        <w:ind w:left="1209" w:right="0" w:hanging="530"/>
        <w:jc w:val="left"/>
        <w:rPr>
          <w:sz w:val="21"/>
        </w:rPr>
      </w:pPr>
      <w:r>
        <w:rPr>
          <w:spacing w:val="-3"/>
          <w:sz w:val="21"/>
        </w:rPr>
        <w:t>市场风险：是指由于期货价格变动而给投资者带来的风险。</w:t>
      </w:r>
    </w:p>
    <w:p>
      <w:pPr>
        <w:pStyle w:val="BodyText"/>
        <w:spacing w:before="6"/>
        <w:rPr>
          <w:sz w:val="15"/>
        </w:rPr>
      </w:pPr>
    </w:p>
    <w:p>
      <w:pPr>
        <w:pStyle w:val="ListParagraph"/>
        <w:numPr>
          <w:ilvl w:val="0"/>
          <w:numId w:val="35"/>
        </w:numPr>
        <w:tabs>
          <w:tab w:pos="1210" w:val="left" w:leader="none"/>
        </w:tabs>
        <w:spacing w:line="240" w:lineRule="auto" w:before="1" w:after="0"/>
        <w:ind w:left="1209" w:right="0" w:hanging="530"/>
        <w:jc w:val="left"/>
        <w:rPr>
          <w:sz w:val="21"/>
        </w:rPr>
      </w:pPr>
      <w:r>
        <w:rPr>
          <w:spacing w:val="-3"/>
          <w:sz w:val="21"/>
        </w:rPr>
        <w:t>流动性风险：是指由于期货合约无法及时变现所带来的风险。</w:t>
      </w:r>
    </w:p>
    <w:p>
      <w:pPr>
        <w:pStyle w:val="BodyText"/>
        <w:spacing w:before="6"/>
        <w:rPr>
          <w:sz w:val="15"/>
        </w:rPr>
      </w:pPr>
    </w:p>
    <w:p>
      <w:pPr>
        <w:pStyle w:val="ListParagraph"/>
        <w:numPr>
          <w:ilvl w:val="0"/>
          <w:numId w:val="35"/>
        </w:numPr>
        <w:tabs>
          <w:tab w:pos="1210" w:val="left" w:leader="none"/>
        </w:tabs>
        <w:spacing w:line="417" w:lineRule="auto" w:before="0" w:after="0"/>
        <w:ind w:left="260" w:right="494" w:firstLine="419"/>
        <w:jc w:val="left"/>
        <w:rPr>
          <w:sz w:val="21"/>
        </w:rPr>
      </w:pPr>
      <w:r>
        <w:rPr>
          <w:spacing w:val="-3"/>
          <w:sz w:val="21"/>
        </w:rPr>
        <w:t>基差风险：是指期货合约价格和指数价格之间的价格差的波动所造成的风险，以及不同期货合约价格之间价格差的波动所造成的期现价差风险。</w:t>
      </w:r>
    </w:p>
    <w:p>
      <w:pPr>
        <w:pStyle w:val="ListParagraph"/>
        <w:numPr>
          <w:ilvl w:val="0"/>
          <w:numId w:val="35"/>
        </w:numPr>
        <w:tabs>
          <w:tab w:pos="1210" w:val="left" w:leader="none"/>
        </w:tabs>
        <w:spacing w:line="417" w:lineRule="auto" w:before="0" w:after="0"/>
        <w:ind w:left="260" w:right="494" w:firstLine="419"/>
        <w:jc w:val="left"/>
        <w:rPr>
          <w:sz w:val="21"/>
        </w:rPr>
      </w:pPr>
      <w:r>
        <w:rPr>
          <w:spacing w:val="-3"/>
          <w:sz w:val="21"/>
        </w:rPr>
        <w:t>保证金风险：是指由于无法及时筹措资金满足建立或者维持期货合约头寸所要求的保证金而带来的风险。</w:t>
      </w:r>
    </w:p>
    <w:p>
      <w:pPr>
        <w:pStyle w:val="ListParagraph"/>
        <w:numPr>
          <w:ilvl w:val="0"/>
          <w:numId w:val="35"/>
        </w:numPr>
        <w:tabs>
          <w:tab w:pos="1210" w:val="left" w:leader="none"/>
        </w:tabs>
        <w:spacing w:line="240" w:lineRule="auto" w:before="0" w:after="0"/>
        <w:ind w:left="1209" w:right="0" w:hanging="530"/>
        <w:jc w:val="left"/>
        <w:rPr>
          <w:sz w:val="21"/>
        </w:rPr>
      </w:pPr>
      <w:r>
        <w:rPr>
          <w:spacing w:val="-3"/>
          <w:sz w:val="21"/>
        </w:rPr>
        <w:t>信用风险：是指期货经纪公司违约而产生损失的风险。</w:t>
      </w:r>
    </w:p>
    <w:p>
      <w:pPr>
        <w:pStyle w:val="BodyText"/>
        <w:spacing w:before="7"/>
        <w:rPr>
          <w:sz w:val="15"/>
        </w:rPr>
      </w:pPr>
    </w:p>
    <w:p>
      <w:pPr>
        <w:pStyle w:val="ListParagraph"/>
        <w:numPr>
          <w:ilvl w:val="0"/>
          <w:numId w:val="35"/>
        </w:numPr>
        <w:tabs>
          <w:tab w:pos="1210" w:val="left" w:leader="none"/>
        </w:tabs>
        <w:spacing w:line="240" w:lineRule="auto" w:before="0" w:after="0"/>
        <w:ind w:left="1209" w:right="0" w:hanging="530"/>
        <w:jc w:val="left"/>
        <w:rPr>
          <w:sz w:val="21"/>
        </w:rPr>
      </w:pPr>
      <w:r>
        <w:rPr>
          <w:spacing w:val="-3"/>
          <w:sz w:val="21"/>
        </w:rPr>
        <w:t>操作风险：是指由于内部流程的不完善，业务人员出现差错或者疏漏，或者系统</w:t>
      </w:r>
    </w:p>
    <w:p>
      <w:pPr>
        <w:spacing w:after="0" w:line="240" w:lineRule="auto"/>
        <w:jc w:val="left"/>
        <w:rPr>
          <w:sz w:val="21"/>
        </w:rPr>
        <w:sectPr>
          <w:pgSz w:w="11910" w:h="16840"/>
          <w:pgMar w:header="877" w:footer="995" w:top="1420" w:bottom="1180" w:left="1540" w:right="1300"/>
        </w:sectPr>
      </w:pPr>
    </w:p>
    <w:p>
      <w:pPr>
        <w:pStyle w:val="BodyText"/>
        <w:spacing w:before="110"/>
        <w:ind w:left="260"/>
      </w:pPr>
      <w:r>
        <w:rPr/>
        <w:t>出现故障等原因造成损失的风险。</w:t>
      </w:r>
    </w:p>
    <w:p>
      <w:pPr>
        <w:pStyle w:val="BodyText"/>
        <w:spacing w:before="6"/>
        <w:rPr>
          <w:sz w:val="15"/>
        </w:rPr>
      </w:pPr>
    </w:p>
    <w:p>
      <w:pPr>
        <w:pStyle w:val="BodyText"/>
        <w:ind w:left="680"/>
      </w:pPr>
      <w:r>
        <w:rPr>
          <w:rFonts w:ascii="Times New Roman" w:eastAsia="Times New Roman"/>
        </w:rPr>
        <w:t>6</w:t>
      </w:r>
      <w:r>
        <w:rPr/>
        <w:t>、操作或技术风险</w:t>
      </w:r>
    </w:p>
    <w:p>
      <w:pPr>
        <w:pStyle w:val="BodyText"/>
        <w:spacing w:before="7"/>
        <w:rPr>
          <w:sz w:val="15"/>
        </w:rPr>
      </w:pPr>
    </w:p>
    <w:p>
      <w:pPr>
        <w:pStyle w:val="BodyText"/>
        <w:spacing w:line="417" w:lineRule="auto"/>
        <w:ind w:left="260" w:right="491" w:firstLine="419"/>
        <w:jc w:val="both"/>
      </w:pPr>
      <w:r>
        <w:rPr>
          <w:spacing w:val="-9"/>
        </w:rPr>
        <w:t>相关当事人在业务各环节操作过程中，因内部控制存在缺陷或者人为因素造成操作失误</w:t>
      </w:r>
      <w:r>
        <w:rPr>
          <w:spacing w:val="-7"/>
        </w:rPr>
        <w:t>或违反操作规程等引致的风险，例如，越权违规交易、会计部门欺诈、交易错误、</w:t>
      </w:r>
      <w:r>
        <w:rPr>
          <w:rFonts w:ascii="Times New Roman" w:eastAsia="Times New Roman"/>
        </w:rPr>
        <w:t>IT </w:t>
      </w:r>
      <w:r>
        <w:rPr/>
        <w:t>系统</w:t>
      </w:r>
      <w:r>
        <w:rPr>
          <w:spacing w:val="-2"/>
        </w:rPr>
        <w:t>故障等风险。</w:t>
      </w:r>
    </w:p>
    <w:p>
      <w:pPr>
        <w:pStyle w:val="BodyText"/>
        <w:spacing w:line="417" w:lineRule="auto"/>
        <w:ind w:left="260" w:right="38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登记机构、销售机构、证券交易所、证券登记结算机构等。</w:t>
      </w:r>
    </w:p>
    <w:p>
      <w:pPr>
        <w:pStyle w:val="BodyText"/>
        <w:spacing w:line="417" w:lineRule="auto"/>
        <w:ind w:left="260" w:right="491" w:firstLine="419"/>
        <w:jc w:val="both"/>
      </w:pPr>
      <w:r>
        <w:rPr>
          <w:spacing w:val="-8"/>
        </w:rPr>
        <w:t>根据证券交易资金前端风险控制相关业务规则，中登公司和交易所对交易参与人的证券</w:t>
      </w:r>
      <w:r>
        <w:rPr>
          <w:spacing w:val="-11"/>
        </w:rPr>
        <w:t>交易资金进行前端额度控制，由于执行、调整、暂停该控制，或该控制出现异常等，可能影</w:t>
      </w:r>
      <w:r>
        <w:rPr>
          <w:spacing w:val="-6"/>
        </w:rPr>
        <w:t>响交易的正常进行或者导致投资者人的利益受到影响。</w:t>
      </w:r>
    </w:p>
    <w:p>
      <w:pPr>
        <w:pStyle w:val="BodyText"/>
        <w:spacing w:line="269" w:lineRule="exact"/>
        <w:ind w:left="680"/>
      </w:pPr>
      <w:r>
        <w:rPr>
          <w:rFonts w:ascii="Times New Roman" w:eastAsia="Times New Roman"/>
        </w:rPr>
        <w:t>7</w:t>
      </w:r>
      <w:r>
        <w:rPr/>
        <w:t>、政策变更风险</w:t>
      </w:r>
    </w:p>
    <w:p>
      <w:pPr>
        <w:pStyle w:val="BodyText"/>
        <w:spacing w:before="6"/>
        <w:rPr>
          <w:sz w:val="15"/>
        </w:rPr>
      </w:pPr>
    </w:p>
    <w:p>
      <w:pPr>
        <w:pStyle w:val="BodyText"/>
        <w:spacing w:line="417" w:lineRule="auto" w:before="1"/>
        <w:ind w:left="260" w:right="49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BodyText"/>
        <w:spacing w:line="269" w:lineRule="exact"/>
        <w:ind w:left="680"/>
      </w:pPr>
      <w:r>
        <w:rPr>
          <w:rFonts w:ascii="Times New Roman" w:eastAsia="Times New Roman"/>
        </w:rPr>
        <w:t>8</w:t>
      </w:r>
      <w:r>
        <w:rPr/>
        <w:t>、本基金的特有风险</w:t>
      </w:r>
    </w:p>
    <w:p>
      <w:pPr>
        <w:pStyle w:val="BodyText"/>
        <w:spacing w:before="6"/>
        <w:rPr>
          <w:sz w:val="15"/>
        </w:rPr>
      </w:pPr>
    </w:p>
    <w:p>
      <w:pPr>
        <w:pStyle w:val="BodyText"/>
        <w:ind w:left="680"/>
      </w:pPr>
      <w:r>
        <w:rPr/>
        <w:t>本基金投资港股通标的股票所带来的特有风险，包括但不限于：</w:t>
      </w:r>
    </w:p>
    <w:p>
      <w:pPr>
        <w:pStyle w:val="BodyText"/>
        <w:spacing w:before="7"/>
        <w:rPr>
          <w:sz w:val="15"/>
        </w:rPr>
      </w:pPr>
    </w:p>
    <w:p>
      <w:pPr>
        <w:pStyle w:val="ListParagraph"/>
        <w:numPr>
          <w:ilvl w:val="0"/>
          <w:numId w:val="36"/>
        </w:numPr>
        <w:tabs>
          <w:tab w:pos="1210" w:val="left" w:leader="none"/>
        </w:tabs>
        <w:spacing w:line="240" w:lineRule="auto" w:before="0" w:after="0"/>
        <w:ind w:left="1209" w:right="0" w:hanging="530"/>
        <w:jc w:val="left"/>
        <w:rPr>
          <w:sz w:val="21"/>
        </w:rPr>
      </w:pPr>
      <w:r>
        <w:rPr>
          <w:spacing w:val="-3"/>
          <w:sz w:val="21"/>
        </w:rPr>
        <w:t>海外市场风险</w:t>
      </w:r>
    </w:p>
    <w:p>
      <w:pPr>
        <w:pStyle w:val="BodyText"/>
        <w:spacing w:before="7"/>
        <w:rPr>
          <w:sz w:val="15"/>
        </w:rPr>
      </w:pPr>
    </w:p>
    <w:p>
      <w:pPr>
        <w:pStyle w:val="BodyText"/>
        <w:spacing w:line="417" w:lineRule="auto"/>
        <w:ind w:left="260" w:right="494" w:firstLine="419"/>
      </w:pPr>
      <w:r>
        <w:rPr/>
        <w:t>本基金在参与港股市场投资时将受到全球宏观经济和货币政策变动等因素所导致的系统性风险。</w:t>
      </w:r>
    </w:p>
    <w:p>
      <w:pPr>
        <w:pStyle w:val="ListParagraph"/>
        <w:numPr>
          <w:ilvl w:val="0"/>
          <w:numId w:val="36"/>
        </w:numPr>
        <w:tabs>
          <w:tab w:pos="1210" w:val="left" w:leader="none"/>
        </w:tabs>
        <w:spacing w:line="240" w:lineRule="auto" w:before="0" w:after="0"/>
        <w:ind w:left="1209" w:right="0" w:hanging="530"/>
        <w:jc w:val="left"/>
        <w:rPr>
          <w:sz w:val="21"/>
        </w:rPr>
      </w:pPr>
      <w:r>
        <w:rPr>
          <w:spacing w:val="-3"/>
          <w:sz w:val="21"/>
        </w:rPr>
        <w:t>股价波动较大的风险</w:t>
      </w:r>
    </w:p>
    <w:p>
      <w:pPr>
        <w:pStyle w:val="BodyText"/>
        <w:spacing w:before="7"/>
        <w:rPr>
          <w:sz w:val="15"/>
        </w:rPr>
      </w:pPr>
    </w:p>
    <w:p>
      <w:pPr>
        <w:pStyle w:val="BodyText"/>
        <w:spacing w:line="417" w:lineRule="auto"/>
        <w:ind w:left="260" w:right="491" w:firstLine="419"/>
        <w:jc w:val="both"/>
      </w:pPr>
      <w:r>
        <w:rPr>
          <w:spacing w:val="6"/>
          <w:w w:val="100"/>
        </w:rPr>
        <w:t>港股市场实行</w:t>
      </w:r>
      <w:r>
        <w:rPr>
          <w:rFonts w:ascii="Times New Roman" w:eastAsia="Times New Roman"/>
          <w:w w:val="100"/>
        </w:rPr>
        <w:t>T</w:t>
      </w:r>
      <w:r>
        <w:rPr>
          <w:rFonts w:ascii="Times New Roman" w:eastAsia="Times New Roman"/>
          <w:spacing w:val="-2"/>
          <w:w w:val="100"/>
        </w:rPr>
        <w:t>+</w:t>
      </w:r>
      <w:r>
        <w:rPr>
          <w:rFonts w:ascii="Times New Roman" w:eastAsia="Times New Roman"/>
          <w:w w:val="100"/>
        </w:rPr>
        <w:t>0</w:t>
      </w:r>
      <w:r>
        <w:rPr>
          <w:rFonts w:ascii="Times New Roman" w:eastAsia="Times New Roman"/>
        </w:rPr>
        <w:t> </w:t>
      </w:r>
      <w:r>
        <w:rPr>
          <w:spacing w:val="-5"/>
          <w:w w:val="100"/>
        </w:rPr>
        <w:t>回转交易机制</w:t>
      </w:r>
      <w:r>
        <w:rPr>
          <w:w w:val="100"/>
        </w:rPr>
        <w:t>（</w:t>
      </w:r>
      <w:r>
        <w:rPr>
          <w:spacing w:val="-4"/>
          <w:w w:val="100"/>
        </w:rPr>
        <w:t>即当日买入的股票，在交收前可以于当日卖出</w:t>
      </w:r>
      <w:r>
        <w:rPr>
          <w:spacing w:val="-106"/>
          <w:w w:val="100"/>
        </w:rPr>
        <w:t>）</w:t>
      </w:r>
      <w:r>
        <w:rPr>
          <w:spacing w:val="-7"/>
          <w:w w:val="100"/>
        </w:rPr>
        <w:t>，同</w:t>
      </w:r>
      <w:r>
        <w:rPr>
          <w:spacing w:val="-12"/>
        </w:rPr>
        <w:t>时对个股不设涨跌幅限制，加之香港市场结构性产品和衍生品种类相对丰富以及做空机制的</w:t>
      </w:r>
      <w:r>
        <w:rPr>
          <w:spacing w:val="-6"/>
        </w:rPr>
        <w:t>存在；港股股价受到意外事件影响可能表现出比 </w:t>
      </w:r>
      <w:r>
        <w:rPr>
          <w:rFonts w:ascii="Times New Roman" w:eastAsia="Times New Roman"/>
        </w:rPr>
        <w:t>A </w:t>
      </w:r>
      <w:r>
        <w:rPr>
          <w:spacing w:val="-3"/>
        </w:rPr>
        <w:t>股更为剧烈的股价波动，本基金的波动风险可能相对较大。</w:t>
      </w:r>
    </w:p>
    <w:p>
      <w:pPr>
        <w:pStyle w:val="ListParagraph"/>
        <w:numPr>
          <w:ilvl w:val="0"/>
          <w:numId w:val="36"/>
        </w:numPr>
        <w:tabs>
          <w:tab w:pos="1210" w:val="left" w:leader="none"/>
        </w:tabs>
        <w:spacing w:line="268" w:lineRule="exact" w:before="0" w:after="0"/>
        <w:ind w:left="1209" w:right="0" w:hanging="530"/>
        <w:jc w:val="left"/>
        <w:rPr>
          <w:sz w:val="21"/>
        </w:rPr>
      </w:pPr>
      <w:r>
        <w:rPr>
          <w:spacing w:val="-3"/>
          <w:sz w:val="21"/>
        </w:rPr>
        <w:t>港股通额度限制</w:t>
      </w:r>
    </w:p>
    <w:p>
      <w:pPr>
        <w:pStyle w:val="BodyText"/>
        <w:spacing w:before="6"/>
        <w:rPr>
          <w:sz w:val="15"/>
        </w:rPr>
      </w:pPr>
    </w:p>
    <w:p>
      <w:pPr>
        <w:pStyle w:val="BodyText"/>
        <w:spacing w:line="417" w:lineRule="auto" w:before="1"/>
        <w:ind w:left="260" w:right="491" w:firstLine="419"/>
      </w:pPr>
      <w:r>
        <w:rPr>
          <w:spacing w:val="-10"/>
        </w:rPr>
        <w:t>现行的港股通规则，对港股通设有额度限制；本基金可能因为港股通额度不足，而不能</w:t>
      </w:r>
      <w:r>
        <w:rPr>
          <w:spacing w:val="-5"/>
        </w:rPr>
        <w:t>买入看好的投资标的，进而错失投资机会的风险。</w:t>
      </w:r>
    </w:p>
    <w:p>
      <w:pPr>
        <w:pStyle w:val="ListParagraph"/>
        <w:numPr>
          <w:ilvl w:val="0"/>
          <w:numId w:val="36"/>
        </w:numPr>
        <w:tabs>
          <w:tab w:pos="1210" w:val="left" w:leader="none"/>
        </w:tabs>
        <w:spacing w:line="240" w:lineRule="auto" w:before="0" w:after="0"/>
        <w:ind w:left="1209" w:right="0" w:hanging="530"/>
        <w:jc w:val="left"/>
        <w:rPr>
          <w:sz w:val="21"/>
        </w:rPr>
      </w:pPr>
      <w:r>
        <w:rPr>
          <w:spacing w:val="-3"/>
          <w:sz w:val="21"/>
        </w:rPr>
        <w:t>港股通可投资标的范围调整带来的风险</w:t>
      </w:r>
    </w:p>
    <w:p>
      <w:pPr>
        <w:spacing w:after="0" w:line="240" w:lineRule="auto"/>
        <w:jc w:val="left"/>
        <w:rPr>
          <w:sz w:val="21"/>
        </w:rPr>
        <w:sectPr>
          <w:pgSz w:w="11910" w:h="16840"/>
          <w:pgMar w:header="877" w:footer="995" w:top="1420" w:bottom="1180" w:left="1540" w:right="1300"/>
        </w:sectPr>
      </w:pPr>
    </w:p>
    <w:p>
      <w:pPr>
        <w:pStyle w:val="BodyText"/>
        <w:spacing w:line="417" w:lineRule="auto" w:before="110"/>
        <w:ind w:left="260" w:right="388" w:firstLine="419"/>
      </w:pPr>
      <w:r>
        <w:rPr>
          <w:spacing w:val="-11"/>
        </w:rPr>
        <w:t>现行的港股通规则，对港股通下可投资的港股范围进行了限制，并定期或不定期根据范</w:t>
      </w:r>
      <w:r>
        <w:rPr>
          <w:spacing w:val="-6"/>
        </w:rPr>
        <w:t>围限制规则对具体的可投资标的进行调整，对于调出投资范围的港股，只能卖出不能买入， </w:t>
      </w:r>
      <w:r>
        <w:rPr>
          <w:spacing w:val="-9"/>
        </w:rPr>
        <w:t>本基金存在因港股通可投资标的范围调整，不能及时买入看好的投资标的，进而错失投资机</w:t>
      </w:r>
      <w:r>
        <w:rPr>
          <w:spacing w:val="-5"/>
        </w:rPr>
        <w:t>会的风险。</w:t>
      </w:r>
    </w:p>
    <w:p>
      <w:pPr>
        <w:pStyle w:val="ListParagraph"/>
        <w:numPr>
          <w:ilvl w:val="0"/>
          <w:numId w:val="36"/>
        </w:numPr>
        <w:tabs>
          <w:tab w:pos="1210" w:val="left" w:leader="none"/>
        </w:tabs>
        <w:spacing w:line="268" w:lineRule="exact" w:before="0" w:after="0"/>
        <w:ind w:left="1209" w:right="0" w:hanging="530"/>
        <w:jc w:val="left"/>
        <w:rPr>
          <w:sz w:val="21"/>
        </w:rPr>
      </w:pPr>
      <w:r>
        <w:rPr>
          <w:spacing w:val="-3"/>
          <w:sz w:val="21"/>
        </w:rPr>
        <w:t>港股通交易日设定的风险</w:t>
      </w:r>
    </w:p>
    <w:p>
      <w:pPr>
        <w:pStyle w:val="BodyText"/>
        <w:spacing w:before="6"/>
        <w:rPr>
          <w:sz w:val="15"/>
        </w:rPr>
      </w:pPr>
    </w:p>
    <w:p>
      <w:pPr>
        <w:pStyle w:val="BodyText"/>
        <w:spacing w:line="417" w:lineRule="auto"/>
        <w:ind w:left="260" w:right="491" w:firstLine="419"/>
        <w:jc w:val="both"/>
      </w:pPr>
      <w:r>
        <w:rPr>
          <w:spacing w:val="-12"/>
        </w:rPr>
        <w:t>根据现行的港股通规则，只有沪港两地均为交易日且能够满足结算安排的交易日才为港</w:t>
      </w:r>
      <w:r>
        <w:rPr>
          <w:spacing w:val="-13"/>
        </w:rPr>
        <w:t>股通交易日，存在港股通交易日不连贯</w:t>
      </w:r>
      <w:r>
        <w:rPr>
          <w:spacing w:val="-3"/>
        </w:rPr>
        <w:t>（如内地市场因放假等原因休市而香港市场照常交易</w:t>
      </w:r>
      <w:r>
        <w:rPr>
          <w:spacing w:val="-3"/>
          <w:w w:val="100"/>
        </w:rPr>
        <w:t>但港股通不能如常进行交易</w:t>
      </w:r>
      <w:r>
        <w:rPr>
          <w:spacing w:val="-106"/>
          <w:w w:val="100"/>
        </w:rPr>
        <w:t>）</w:t>
      </w:r>
      <w:r>
        <w:rPr>
          <w:spacing w:val="-3"/>
          <w:w w:val="100"/>
        </w:rPr>
        <w:t>，导致基金所持的港股组合在后续港股通交易日开市交易中集</w:t>
      </w:r>
      <w:r>
        <w:rPr>
          <w:spacing w:val="-12"/>
        </w:rPr>
        <w:t>中体现市场反应，造成其价格波动骤然增大，进而导致本基金所持港股组合在资产估值上出</w:t>
      </w:r>
      <w:r>
        <w:rPr>
          <w:spacing w:val="-6"/>
        </w:rPr>
        <w:t>现波动增大的风险。</w:t>
      </w:r>
    </w:p>
    <w:p>
      <w:pPr>
        <w:pStyle w:val="ListParagraph"/>
        <w:numPr>
          <w:ilvl w:val="0"/>
          <w:numId w:val="36"/>
        </w:numPr>
        <w:tabs>
          <w:tab w:pos="1210" w:val="left" w:leader="none"/>
        </w:tabs>
        <w:spacing w:line="269" w:lineRule="exact" w:before="0" w:after="0"/>
        <w:ind w:left="1209" w:right="0" w:hanging="530"/>
        <w:jc w:val="left"/>
        <w:rPr>
          <w:sz w:val="21"/>
        </w:rPr>
      </w:pPr>
      <w:r>
        <w:rPr>
          <w:spacing w:val="-3"/>
          <w:sz w:val="21"/>
        </w:rPr>
        <w:t>交收制度带来的基金流动性风险</w:t>
      </w:r>
    </w:p>
    <w:p>
      <w:pPr>
        <w:pStyle w:val="BodyText"/>
        <w:spacing w:before="7"/>
        <w:rPr>
          <w:sz w:val="15"/>
        </w:rPr>
      </w:pPr>
    </w:p>
    <w:p>
      <w:pPr>
        <w:pStyle w:val="BodyText"/>
        <w:spacing w:line="417" w:lineRule="auto"/>
        <w:ind w:left="260" w:right="491" w:firstLine="419"/>
        <w:jc w:val="both"/>
      </w:pPr>
      <w:r>
        <w:rPr>
          <w:spacing w:val="-7"/>
        </w:rPr>
        <w:t>由于香港市场实行 </w:t>
      </w:r>
      <w:r>
        <w:rPr>
          <w:rFonts w:ascii="Times New Roman" w:eastAsia="Times New Roman"/>
        </w:rPr>
        <w:t>T+2 </w:t>
      </w:r>
      <w:r>
        <w:rPr>
          <w:spacing w:val="-3"/>
        </w:rPr>
        <w:t>日</w:t>
      </w:r>
      <w:r>
        <w:rPr/>
        <w:t>（</w:t>
      </w:r>
      <w:r>
        <w:rPr>
          <w:rFonts w:ascii="Times New Roman" w:eastAsia="Times New Roman"/>
        </w:rPr>
        <w:t>T </w:t>
      </w:r>
      <w:r>
        <w:rPr>
          <w:spacing w:val="-6"/>
        </w:rPr>
        <w:t>日买卖股票，资金和股票在 </w:t>
      </w:r>
      <w:r>
        <w:rPr>
          <w:rFonts w:ascii="Times New Roman" w:eastAsia="Times New Roman"/>
        </w:rPr>
        <w:t>T+2 </w:t>
      </w:r>
      <w:r>
        <w:rPr>
          <w:spacing w:val="-3"/>
        </w:rPr>
        <w:t>日才进行交收</w:t>
      </w:r>
      <w:r>
        <w:rPr/>
        <w:t>）</w:t>
      </w:r>
      <w:r>
        <w:rPr>
          <w:spacing w:val="-2"/>
        </w:rPr>
        <w:t>的交收</w:t>
      </w:r>
      <w:r>
        <w:rPr>
          <w:spacing w:val="2"/>
        </w:rPr>
        <w:t>安排，本基金在</w:t>
      </w:r>
      <w:r>
        <w:rPr>
          <w:rFonts w:ascii="Times New Roman" w:eastAsia="Times New Roman"/>
        </w:rPr>
        <w:t>T </w:t>
      </w:r>
      <w:r>
        <w:rPr>
          <w:spacing w:val="-17"/>
        </w:rPr>
        <w:t>日</w:t>
      </w:r>
      <w:r>
        <w:rPr>
          <w:spacing w:val="-3"/>
        </w:rPr>
        <w:t>（港股通交易日</w:t>
      </w:r>
      <w:r>
        <w:rPr>
          <w:spacing w:val="-20"/>
        </w:rPr>
        <w:t>）</w:t>
      </w:r>
      <w:r>
        <w:rPr>
          <w:spacing w:val="-3"/>
        </w:rPr>
        <w:t>卖出股票，</w:t>
      </w:r>
      <w:r>
        <w:rPr>
          <w:rFonts w:ascii="Times New Roman" w:eastAsia="Times New Roman"/>
          <w:spacing w:val="-5"/>
        </w:rPr>
        <w:t>T+2 </w:t>
      </w:r>
      <w:r>
        <w:rPr>
          <w:spacing w:val="-17"/>
        </w:rPr>
        <w:t>日</w:t>
      </w:r>
      <w:r>
        <w:rPr>
          <w:spacing w:val="-3"/>
        </w:rPr>
        <w:t>（</w:t>
      </w:r>
      <w:r>
        <w:rPr>
          <w:spacing w:val="-5"/>
        </w:rPr>
        <w:t>港股通交易日，即为卖出当日之</w:t>
      </w:r>
      <w:r>
        <w:rPr>
          <w:spacing w:val="-4"/>
        </w:rPr>
        <w:t>后第二个港股通交易日</w:t>
      </w:r>
      <w:r>
        <w:rPr>
          <w:spacing w:val="-3"/>
        </w:rPr>
        <w:t>）在香港市场完成清算交收，卖出的资金在 </w:t>
      </w:r>
      <w:r>
        <w:rPr>
          <w:rFonts w:ascii="Times New Roman" w:eastAsia="Times New Roman"/>
        </w:rPr>
        <w:t>T+3 </w:t>
      </w:r>
      <w:r>
        <w:rPr>
          <w:spacing w:val="-3"/>
        </w:rPr>
        <w:t>日才能回到人民币</w:t>
      </w:r>
      <w:r>
        <w:rPr>
          <w:spacing w:val="-11"/>
        </w:rPr>
        <w:t>资金账户。因此交收制度的不同以及港股通交易日的设定原因，本基金可能面临卖出港股后</w:t>
      </w:r>
      <w:r>
        <w:rPr>
          <w:spacing w:val="-6"/>
        </w:rPr>
        <w:t>资金不能及时到账，造成支付赎回款日期比正常情况延后的风险。</w:t>
      </w:r>
    </w:p>
    <w:p>
      <w:pPr>
        <w:pStyle w:val="ListParagraph"/>
        <w:numPr>
          <w:ilvl w:val="0"/>
          <w:numId w:val="36"/>
        </w:numPr>
        <w:tabs>
          <w:tab w:pos="1210" w:val="left" w:leader="none"/>
        </w:tabs>
        <w:spacing w:line="269" w:lineRule="exact" w:before="0" w:after="0"/>
        <w:ind w:left="1209" w:right="0" w:hanging="530"/>
        <w:jc w:val="left"/>
        <w:rPr>
          <w:sz w:val="21"/>
        </w:rPr>
      </w:pPr>
      <w:r>
        <w:rPr>
          <w:spacing w:val="-3"/>
          <w:sz w:val="21"/>
        </w:rPr>
        <w:t>港股通标的权益分派、转换等处理规则带来的风险</w:t>
      </w:r>
    </w:p>
    <w:p>
      <w:pPr>
        <w:pStyle w:val="BodyText"/>
        <w:spacing w:before="7"/>
        <w:rPr>
          <w:sz w:val="15"/>
        </w:rPr>
      </w:pPr>
    </w:p>
    <w:p>
      <w:pPr>
        <w:pStyle w:val="BodyText"/>
        <w:spacing w:line="417" w:lineRule="auto"/>
        <w:ind w:left="260" w:right="491" w:firstLine="419"/>
        <w:jc w:val="both"/>
      </w:pPr>
      <w:r>
        <w:rPr>
          <w:spacing w:val="-8"/>
        </w:rPr>
        <w:t>根据现行的港股通规则，本基金因所持港股通股票权益分派、转换、上市公司被收购等</w:t>
      </w:r>
      <w:r>
        <w:rPr>
          <w:spacing w:val="-12"/>
        </w:rPr>
        <w:t>情形或者其他异常情况，所取得的港股通股票以外的香港联交所上市证券，只能通过港股通</w:t>
      </w:r>
      <w:r>
        <w:rPr>
          <w:spacing w:val="-13"/>
        </w:rPr>
        <w:t>卖出，但不得买入；因港股通股票权益分派或者转换等情形取得的香港联交所上市股票的认</w:t>
      </w:r>
      <w:r>
        <w:rPr>
          <w:spacing w:val="-11"/>
        </w:rPr>
        <w:t>购权利在联交所上市的，可以通过港股通卖出，但不得行权；因港股通股票权益分派、转换</w:t>
      </w:r>
      <w:r>
        <w:rPr>
          <w:spacing w:val="-10"/>
        </w:rPr>
        <w:t>或者上市公司被收购等所取得的非联交所上市证券，可以享有相关权益，但不得通过港股通</w:t>
      </w:r>
      <w:r>
        <w:rPr>
          <w:spacing w:val="-5"/>
        </w:rPr>
        <w:t>买入或卖出。</w:t>
      </w:r>
    </w:p>
    <w:p>
      <w:pPr>
        <w:pStyle w:val="BodyText"/>
        <w:spacing w:line="269" w:lineRule="exact"/>
        <w:ind w:left="680"/>
      </w:pPr>
      <w:r>
        <w:rPr/>
        <w:t>本基金存在因上述规则，利益得不到最大化甚至受损的风险。</w:t>
      </w:r>
    </w:p>
    <w:p>
      <w:pPr>
        <w:pStyle w:val="BodyText"/>
        <w:spacing w:before="7"/>
        <w:rPr>
          <w:sz w:val="15"/>
        </w:rPr>
      </w:pPr>
    </w:p>
    <w:p>
      <w:pPr>
        <w:pStyle w:val="ListParagraph"/>
        <w:numPr>
          <w:ilvl w:val="0"/>
          <w:numId w:val="36"/>
        </w:numPr>
        <w:tabs>
          <w:tab w:pos="1210" w:val="left" w:leader="none"/>
        </w:tabs>
        <w:spacing w:line="240" w:lineRule="auto" w:before="0" w:after="0"/>
        <w:ind w:left="1209" w:right="0" w:hanging="530"/>
        <w:jc w:val="left"/>
        <w:rPr>
          <w:sz w:val="21"/>
        </w:rPr>
      </w:pPr>
      <w:r>
        <w:rPr>
          <w:spacing w:val="-3"/>
          <w:sz w:val="21"/>
        </w:rPr>
        <w:t>香港联合交易所停牌、退市等制度性差异带来的风险</w:t>
      </w:r>
    </w:p>
    <w:p>
      <w:pPr>
        <w:pStyle w:val="BodyText"/>
        <w:spacing w:before="6"/>
        <w:rPr>
          <w:sz w:val="15"/>
        </w:rPr>
      </w:pPr>
    </w:p>
    <w:p>
      <w:pPr>
        <w:pStyle w:val="BodyText"/>
        <w:spacing w:line="417" w:lineRule="auto"/>
        <w:ind w:left="260" w:right="491" w:firstLine="419"/>
        <w:jc w:val="both"/>
      </w:pPr>
      <w:r>
        <w:rPr>
          <w:spacing w:val="-11"/>
        </w:rPr>
        <w:t>香港联交所规定，在交易所认为所要求的停牌合理而且必要时，上市公司方可采取停牌</w:t>
      </w:r>
      <w:r>
        <w:rPr>
          <w:spacing w:val="-16"/>
        </w:rPr>
        <w:t>措施。此外，不同于内地 </w:t>
      </w:r>
      <w:r>
        <w:rPr>
          <w:rFonts w:ascii="Times New Roman" w:hAnsi="Times New Roman" w:eastAsia="Times New Roman"/>
        </w:rPr>
        <w:t>A </w:t>
      </w:r>
      <w:r>
        <w:rPr>
          <w:spacing w:val="-8"/>
        </w:rPr>
        <w:t>股市场的停牌制度，联交所对停牌的具体时长并没有量化规定， </w:t>
      </w:r>
      <w:r>
        <w:rPr>
          <w:spacing w:val="-5"/>
        </w:rPr>
        <w:t>只是确定了“尽量缩短停牌时间”的原则；同时与 </w:t>
      </w:r>
      <w:r>
        <w:rPr>
          <w:rFonts w:ascii="Times New Roman" w:hAnsi="Times New Roman" w:eastAsia="Times New Roman"/>
        </w:rPr>
        <w:t>A </w:t>
      </w:r>
      <w:r>
        <w:rPr>
          <w:spacing w:val="-3"/>
        </w:rPr>
        <w:t>股市场对存在退市可能的上市公司根据其财务状况在证券简称前加入相应标记</w:t>
      </w:r>
      <w:r>
        <w:rPr/>
        <w:t>（</w:t>
      </w:r>
      <w:r>
        <w:rPr>
          <w:spacing w:val="-2"/>
        </w:rPr>
        <w:t>例如，</w:t>
      </w:r>
      <w:r>
        <w:rPr>
          <w:rFonts w:ascii="Times New Roman" w:hAnsi="Times New Roman" w:eastAsia="Times New Roman"/>
        </w:rPr>
        <w:t>ST </w:t>
      </w:r>
      <w:r>
        <w:rPr/>
        <w:t>及</w:t>
      </w:r>
      <w:r>
        <w:rPr>
          <w:rFonts w:ascii="Times New Roman" w:hAnsi="Times New Roman" w:eastAsia="Times New Roman"/>
        </w:rPr>
        <w:t>*ST </w:t>
      </w:r>
      <w:r>
        <w:rPr/>
        <w:t>等标记</w:t>
      </w:r>
      <w:r>
        <w:rPr>
          <w:spacing w:val="-3"/>
        </w:rPr>
        <w:t>）以警示投资者风险的</w:t>
      </w:r>
      <w:r>
        <w:rPr>
          <w:spacing w:val="-11"/>
        </w:rPr>
        <w:t>做法不同，在香港联交所市场没有风险警示板，联交所采用非量化的退市标准且在上市公司</w:t>
      </w:r>
    </w:p>
    <w:p>
      <w:pPr>
        <w:spacing w:after="0" w:line="417" w:lineRule="auto"/>
        <w:jc w:val="both"/>
        <w:sectPr>
          <w:footerReference w:type="default" r:id="rId153"/>
          <w:pgSz w:w="11910" w:h="16840"/>
          <w:pgMar w:footer="995" w:header="877" w:top="1420" w:bottom="1180" w:left="1540" w:right="1300"/>
          <w:pgNumType w:start="120"/>
        </w:sectPr>
      </w:pPr>
    </w:p>
    <w:p>
      <w:pPr>
        <w:pStyle w:val="BodyText"/>
        <w:spacing w:line="417" w:lineRule="auto" w:before="110"/>
        <w:ind w:left="680" w:right="491" w:hanging="420"/>
      </w:pPr>
      <w:r>
        <w:rPr>
          <w:spacing w:val="-9"/>
        </w:rPr>
        <w:t>退市过程中拥有相对较大的主导权，使得联交所上市公司的退市情形较</w:t>
      </w:r>
      <w:r>
        <w:rPr>
          <w:rFonts w:ascii="Times New Roman" w:eastAsia="Times New Roman"/>
        </w:rPr>
        <w:t>A </w:t>
      </w:r>
      <w:r>
        <w:rPr>
          <w:spacing w:val="-3"/>
        </w:rPr>
        <w:t>股市场相对复杂。</w:t>
      </w:r>
      <w:r>
        <w:rPr>
          <w:spacing w:val="-12"/>
        </w:rPr>
        <w:t>因该等制度性差异，本基金可能存在因所持个股遭遇非预期性的停牌甚至退市而给基金</w:t>
      </w:r>
    </w:p>
    <w:p>
      <w:pPr>
        <w:pStyle w:val="BodyText"/>
        <w:spacing w:line="269" w:lineRule="exact"/>
        <w:ind w:left="260"/>
      </w:pPr>
      <w:r>
        <w:rPr/>
        <w:t>带来损失的风险。</w:t>
      </w:r>
    </w:p>
    <w:p>
      <w:pPr>
        <w:pStyle w:val="BodyText"/>
        <w:spacing w:before="6"/>
        <w:rPr>
          <w:sz w:val="15"/>
        </w:rPr>
      </w:pPr>
    </w:p>
    <w:p>
      <w:pPr>
        <w:pStyle w:val="ListParagraph"/>
        <w:numPr>
          <w:ilvl w:val="0"/>
          <w:numId w:val="36"/>
        </w:numPr>
        <w:tabs>
          <w:tab w:pos="1210" w:val="left" w:leader="none"/>
        </w:tabs>
        <w:spacing w:line="240" w:lineRule="auto" w:before="0" w:after="0"/>
        <w:ind w:left="1209" w:right="0" w:hanging="530"/>
        <w:jc w:val="left"/>
        <w:rPr>
          <w:sz w:val="21"/>
        </w:rPr>
      </w:pPr>
      <w:r>
        <w:rPr>
          <w:spacing w:val="-3"/>
          <w:sz w:val="21"/>
        </w:rPr>
        <w:t>港股通规则变动带来的风险</w:t>
      </w:r>
    </w:p>
    <w:p>
      <w:pPr>
        <w:pStyle w:val="BodyText"/>
        <w:spacing w:before="7"/>
        <w:rPr>
          <w:sz w:val="15"/>
        </w:rPr>
      </w:pPr>
    </w:p>
    <w:p>
      <w:pPr>
        <w:pStyle w:val="BodyText"/>
        <w:spacing w:line="417" w:lineRule="auto"/>
        <w:ind w:left="260" w:right="284" w:firstLine="419"/>
      </w:pPr>
      <w:r>
        <w:rPr>
          <w:spacing w:val="-7"/>
        </w:rPr>
        <w:t>本基金是在港股通机制和规则下参与香港联交所证券的投资，受港股通规则的限制和影 </w:t>
      </w:r>
      <w:r>
        <w:rPr>
          <w:spacing w:val="-12"/>
        </w:rPr>
        <w:t>响；本基金存在因港股通规则变动而带来基金投资受阻或所持资产组合价值发生波动的风险。</w:t>
      </w:r>
    </w:p>
    <w:p>
      <w:pPr>
        <w:pStyle w:val="ListParagraph"/>
        <w:numPr>
          <w:ilvl w:val="0"/>
          <w:numId w:val="36"/>
        </w:numPr>
        <w:tabs>
          <w:tab w:pos="1315" w:val="left" w:leader="none"/>
        </w:tabs>
        <w:spacing w:line="269" w:lineRule="exact" w:before="0" w:after="0"/>
        <w:ind w:left="1315" w:right="0" w:hanging="635"/>
        <w:jc w:val="left"/>
        <w:rPr>
          <w:sz w:val="21"/>
        </w:rPr>
      </w:pPr>
      <w:r>
        <w:rPr>
          <w:spacing w:val="-3"/>
          <w:sz w:val="21"/>
        </w:rPr>
        <w:t>其他可能的风险</w:t>
      </w:r>
    </w:p>
    <w:p>
      <w:pPr>
        <w:pStyle w:val="BodyText"/>
        <w:spacing w:before="7"/>
        <w:rPr>
          <w:sz w:val="15"/>
        </w:rPr>
      </w:pPr>
    </w:p>
    <w:p>
      <w:pPr>
        <w:pStyle w:val="BodyText"/>
        <w:spacing w:before="1"/>
        <w:ind w:left="680"/>
      </w:pPr>
      <w:r>
        <w:rPr/>
        <w:t>除上述风险外，本基金参与港股通投资，还可能面临其他风险。</w:t>
      </w:r>
    </w:p>
    <w:p>
      <w:pPr>
        <w:pStyle w:val="BodyText"/>
        <w:spacing w:before="6"/>
        <w:rPr>
          <w:sz w:val="15"/>
        </w:rPr>
      </w:pPr>
    </w:p>
    <w:p>
      <w:pPr>
        <w:pStyle w:val="BodyText"/>
        <w:ind w:left="680"/>
      </w:pPr>
      <w:r>
        <w:rPr>
          <w:rFonts w:ascii="Times New Roman" w:eastAsia="Times New Roman"/>
        </w:rPr>
        <w:t>9</w:t>
      </w:r>
      <w:r>
        <w:rPr/>
        <w:t>、资产支持证券投资风险</w:t>
      </w:r>
    </w:p>
    <w:p>
      <w:pPr>
        <w:pStyle w:val="BodyText"/>
        <w:spacing w:before="7"/>
        <w:rPr>
          <w:sz w:val="15"/>
        </w:rPr>
      </w:pPr>
    </w:p>
    <w:p>
      <w:pPr>
        <w:pStyle w:val="ListParagraph"/>
        <w:numPr>
          <w:ilvl w:val="0"/>
          <w:numId w:val="37"/>
        </w:numPr>
        <w:tabs>
          <w:tab w:pos="1210" w:val="left" w:leader="none"/>
        </w:tabs>
        <w:spacing w:line="417" w:lineRule="auto" w:before="0" w:after="0"/>
        <w:ind w:left="260" w:right="494" w:firstLine="419"/>
        <w:jc w:val="left"/>
        <w:rPr>
          <w:sz w:val="21"/>
        </w:rPr>
      </w:pPr>
      <w:r>
        <w:rPr>
          <w:spacing w:val="-3"/>
          <w:sz w:val="21"/>
        </w:rPr>
        <w:t>流动性风险：即证券的流动性下降从而给证券持有人带来损失</w:t>
      </w:r>
      <w:r>
        <w:rPr>
          <w:sz w:val="21"/>
        </w:rPr>
        <w:t>（</w:t>
      </w:r>
      <w:r>
        <w:rPr>
          <w:spacing w:val="-3"/>
          <w:sz w:val="21"/>
        </w:rPr>
        <w:t>如证券不能卖出或贬值出售等）的可能性。</w:t>
      </w:r>
    </w:p>
    <w:p>
      <w:pPr>
        <w:pStyle w:val="ListParagraph"/>
        <w:numPr>
          <w:ilvl w:val="0"/>
          <w:numId w:val="37"/>
        </w:numPr>
        <w:tabs>
          <w:tab w:pos="1207" w:val="left" w:leader="none"/>
        </w:tabs>
        <w:spacing w:line="417" w:lineRule="auto" w:before="0" w:after="0"/>
        <w:ind w:left="260" w:right="491" w:firstLine="419"/>
        <w:jc w:val="both"/>
        <w:rPr>
          <w:sz w:val="21"/>
        </w:rPr>
      </w:pPr>
      <w:r>
        <w:rPr>
          <w:spacing w:val="-9"/>
          <w:sz w:val="21"/>
        </w:rPr>
        <w:t>证券提前赎回风险：若某些交易赋予 </w:t>
      </w:r>
      <w:r>
        <w:rPr>
          <w:rFonts w:ascii="Times New Roman" w:eastAsia="Times New Roman"/>
          <w:sz w:val="21"/>
        </w:rPr>
        <w:t>SPV</w:t>
      </w:r>
      <w:r>
        <w:rPr>
          <w:rFonts w:ascii="Times New Roman" w:eastAsia="Times New Roman"/>
          <w:spacing w:val="13"/>
          <w:sz w:val="21"/>
        </w:rPr>
        <w:t> </w:t>
      </w:r>
      <w:r>
        <w:rPr>
          <w:spacing w:val="-3"/>
          <w:sz w:val="21"/>
        </w:rPr>
        <w:t>在资产支持证券发行后一定期限内以一定价格向投资者收购部分或全部证券的权利，则在市场条件许可的情况下，</w:t>
      </w:r>
      <w:r>
        <w:rPr>
          <w:rFonts w:ascii="Times New Roman" w:eastAsia="Times New Roman"/>
          <w:spacing w:val="-3"/>
          <w:sz w:val="21"/>
        </w:rPr>
        <w:t>SPV</w:t>
      </w:r>
      <w:r>
        <w:rPr>
          <w:rFonts w:ascii="Times New Roman" w:eastAsia="Times New Roman"/>
          <w:spacing w:val="44"/>
          <w:sz w:val="21"/>
        </w:rPr>
        <w:t> </w:t>
      </w:r>
      <w:r>
        <w:rPr>
          <w:spacing w:val="-4"/>
          <w:sz w:val="21"/>
        </w:rPr>
        <w:t>有可能行</w:t>
      </w:r>
      <w:r>
        <w:rPr>
          <w:spacing w:val="-3"/>
          <w:sz w:val="21"/>
        </w:rPr>
        <w:t>使这一权利从而使投资者受到不利影响。</w:t>
      </w:r>
    </w:p>
    <w:p>
      <w:pPr>
        <w:pStyle w:val="ListParagraph"/>
        <w:numPr>
          <w:ilvl w:val="0"/>
          <w:numId w:val="37"/>
        </w:numPr>
        <w:tabs>
          <w:tab w:pos="1210" w:val="left" w:leader="none"/>
        </w:tabs>
        <w:spacing w:line="417" w:lineRule="auto" w:before="0" w:after="0"/>
        <w:ind w:left="260" w:right="494" w:firstLine="419"/>
        <w:jc w:val="both"/>
        <w:rPr>
          <w:sz w:val="21"/>
        </w:rPr>
      </w:pPr>
      <w:r>
        <w:rPr>
          <w:spacing w:val="-3"/>
          <w:sz w:val="21"/>
        </w:rPr>
        <w:t>再投资风险：指证券因某种原因被提前清偿，投资者不得不将证券提前偿付资金再做其他投资时面临的再投资收益率低于证券收益率导致投资者不能实现其参与证券化交易所预计的投资收益目标的可能性。</w:t>
      </w:r>
    </w:p>
    <w:p>
      <w:pPr>
        <w:pStyle w:val="ListParagraph"/>
        <w:numPr>
          <w:ilvl w:val="0"/>
          <w:numId w:val="37"/>
        </w:numPr>
        <w:tabs>
          <w:tab w:pos="1207" w:val="left" w:leader="none"/>
        </w:tabs>
        <w:spacing w:line="417" w:lineRule="auto" w:before="0" w:after="0"/>
        <w:ind w:left="260" w:right="491" w:firstLine="419"/>
        <w:jc w:val="both"/>
        <w:rPr>
          <w:sz w:val="21"/>
        </w:rPr>
      </w:pPr>
      <w:r>
        <w:rPr>
          <w:rFonts w:ascii="Times New Roman" w:eastAsia="Times New Roman"/>
          <w:sz w:val="21"/>
        </w:rPr>
        <w:t>SPV</w:t>
      </w:r>
      <w:r>
        <w:rPr>
          <w:rFonts w:ascii="Times New Roman" w:eastAsia="Times New Roman"/>
          <w:spacing w:val="27"/>
          <w:sz w:val="21"/>
        </w:rPr>
        <w:t> </w:t>
      </w:r>
      <w:r>
        <w:rPr>
          <w:spacing w:val="-3"/>
          <w:sz w:val="21"/>
        </w:rPr>
        <w:t>违约风险：在以债务工具</w:t>
      </w:r>
      <w:r>
        <w:rPr>
          <w:sz w:val="21"/>
        </w:rPr>
        <w:t>（</w:t>
      </w:r>
      <w:r>
        <w:rPr>
          <w:spacing w:val="-3"/>
          <w:sz w:val="21"/>
        </w:rPr>
        <w:t>债券、票据等</w:t>
      </w:r>
      <w:r>
        <w:rPr>
          <w:sz w:val="21"/>
        </w:rPr>
        <w:t>）</w:t>
      </w:r>
      <w:r>
        <w:rPr>
          <w:spacing w:val="-3"/>
          <w:sz w:val="21"/>
        </w:rPr>
        <w:t>作为证券化交易载体，也即交易所发行的证券系债权凭证的情况下，</w:t>
      </w:r>
      <w:r>
        <w:rPr>
          <w:rFonts w:ascii="Times New Roman" w:eastAsia="Times New Roman"/>
          <w:spacing w:val="-3"/>
          <w:sz w:val="21"/>
        </w:rPr>
        <w:t>SPV</w:t>
      </w:r>
      <w:r>
        <w:rPr>
          <w:rFonts w:ascii="Times New Roman" w:eastAsia="Times New Roman"/>
          <w:spacing w:val="38"/>
          <w:sz w:val="21"/>
        </w:rPr>
        <w:t> </w:t>
      </w:r>
      <w:r>
        <w:rPr>
          <w:spacing w:val="-1"/>
          <w:sz w:val="21"/>
        </w:rPr>
        <w:t>系投资者的债务人，其应就证券的本息偿付对投资者负责。</w:t>
      </w:r>
    </w:p>
    <w:p>
      <w:pPr>
        <w:pStyle w:val="BodyText"/>
        <w:spacing w:line="269" w:lineRule="exact"/>
        <w:ind w:left="680"/>
      </w:pPr>
      <w:r>
        <w:rPr>
          <w:rFonts w:ascii="Times New Roman" w:eastAsia="Times New Roman"/>
        </w:rPr>
        <w:t>10</w:t>
      </w:r>
      <w:r>
        <w:rPr/>
        <w:t>、股票期权投资风险</w:t>
      </w:r>
    </w:p>
    <w:p>
      <w:pPr>
        <w:pStyle w:val="BodyText"/>
        <w:spacing w:before="6"/>
        <w:rPr>
          <w:sz w:val="15"/>
        </w:rPr>
      </w:pPr>
    </w:p>
    <w:p>
      <w:pPr>
        <w:pStyle w:val="BodyText"/>
        <w:spacing w:line="417" w:lineRule="auto"/>
        <w:ind w:left="260" w:right="491" w:firstLine="419"/>
      </w:pPr>
      <w:r>
        <w:rPr>
          <w:spacing w:val="-8"/>
        </w:rPr>
        <w:t>本基金可投资于股票期权，投资期权主要存在市场风险、流动性风险、保证金风险、信</w:t>
      </w:r>
      <w:r>
        <w:rPr>
          <w:spacing w:val="-5"/>
        </w:rPr>
        <w:t>用风险、操作风险等风险，极端情况下会给投资组合带来较大损失。</w:t>
      </w:r>
    </w:p>
    <w:p>
      <w:pPr>
        <w:pStyle w:val="BodyText"/>
        <w:spacing w:line="269" w:lineRule="exact"/>
        <w:ind w:left="680"/>
      </w:pPr>
      <w:r>
        <w:rPr>
          <w:rFonts w:ascii="Times New Roman" w:eastAsia="Times New Roman"/>
        </w:rPr>
        <w:t>11</w:t>
      </w:r>
      <w:r>
        <w:rPr/>
        <w:t>、其他风险</w:t>
      </w:r>
    </w:p>
    <w:p>
      <w:pPr>
        <w:pStyle w:val="BodyText"/>
        <w:spacing w:before="7"/>
        <w:rPr>
          <w:sz w:val="15"/>
        </w:rPr>
      </w:pPr>
    </w:p>
    <w:p>
      <w:pPr>
        <w:pStyle w:val="BodyText"/>
        <w:spacing w:line="417" w:lineRule="auto"/>
        <w:ind w:left="260" w:right="491" w:firstLine="419"/>
        <w:jc w:val="both"/>
      </w:pPr>
      <w:r>
        <w:rPr>
          <w:spacing w:val="-10"/>
        </w:rPr>
        <w:t>战争、自然灾害等不可抗力因素的出现，将会严重影响证券市场的运行，可能导致基金</w:t>
      </w:r>
      <w:r>
        <w:rPr>
          <w:spacing w:val="-12"/>
        </w:rPr>
        <w:t>资产的损失。金融市场危机、行业竞争、代理机构违约、托管行违约等超出基金管理人自身</w:t>
      </w:r>
      <w:r>
        <w:rPr>
          <w:spacing w:val="-6"/>
        </w:rPr>
        <w:t>直接控制能力之外的风险，可能导致基金或者基金份额持有人利益受损。</w:t>
      </w:r>
    </w:p>
    <w:p>
      <w:pPr>
        <w:pStyle w:val="BodyText"/>
        <w:spacing w:line="269" w:lineRule="exact"/>
        <w:ind w:left="680"/>
      </w:pPr>
      <w:r>
        <w:rPr/>
        <w:t>（二）声明</w:t>
      </w:r>
    </w:p>
    <w:p>
      <w:pPr>
        <w:pStyle w:val="BodyText"/>
        <w:spacing w:before="7"/>
        <w:rPr>
          <w:sz w:val="15"/>
        </w:rPr>
      </w:pPr>
    </w:p>
    <w:p>
      <w:pPr>
        <w:pStyle w:val="BodyText"/>
        <w:spacing w:line="417" w:lineRule="auto"/>
        <w:ind w:left="260" w:right="494" w:firstLine="419"/>
      </w:pPr>
      <w:r>
        <w:rPr>
          <w:rFonts w:ascii="Times New Roman" w:eastAsia="Times New Roman"/>
        </w:rPr>
        <w:t>1</w:t>
      </w:r>
      <w:r>
        <w:rPr/>
        <w:t>、本基金未经任何一级政府、机构及部门担保。投资者自愿投资于本基金，须自行承担投资风险。</w:t>
      </w:r>
    </w:p>
    <w:p>
      <w:pPr>
        <w:spacing w:after="0" w:line="417" w:lineRule="auto"/>
        <w:sectPr>
          <w:pgSz w:w="11910" w:h="16840"/>
          <w:pgMar w:header="877" w:footer="995" w:top="1420" w:bottom="1180" w:left="1540" w:right="1300"/>
        </w:sectPr>
      </w:pPr>
    </w:p>
    <w:p>
      <w:pPr>
        <w:pStyle w:val="BodyText"/>
        <w:spacing w:line="417" w:lineRule="auto" w:before="110"/>
        <w:ind w:left="260" w:right="491" w:firstLine="419"/>
        <w:jc w:val="both"/>
      </w:pPr>
      <w:r>
        <w:rPr>
          <w:rFonts w:ascii="Times New Roman" w:eastAsia="Times New Roman"/>
        </w:rPr>
        <w:t>2</w:t>
      </w:r>
      <w:r>
        <w:rPr>
          <w:spacing w:val="-3"/>
        </w:rPr>
        <w:t>、除基金管理人直接办理本基金的销售外，本基金或还通过代销机构销售，但是，本</w:t>
      </w:r>
      <w:r>
        <w:rPr>
          <w:spacing w:val="-8"/>
        </w:rPr>
        <w:t>基金并不是代销机构的存款或负债，也没有经代销机构担保或者背书，代销机构并不能保证</w:t>
      </w:r>
      <w:r>
        <w:rPr>
          <w:spacing w:val="-5"/>
        </w:rPr>
        <w:t>其收益或本金安全。</w:t>
      </w:r>
    </w:p>
    <w:p>
      <w:pPr>
        <w:pStyle w:val="BodyText"/>
        <w:spacing w:line="417" w:lineRule="auto"/>
        <w:ind w:left="260" w:right="49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11"/>
        </w:rPr>
        <w:t>金管理人提醒投资者基金投资的“买者自负”原则，在做出投资决策后，基金运营状况与基</w:t>
      </w:r>
      <w:r>
        <w:rPr>
          <w:spacing w:val="-6"/>
        </w:rPr>
        <w:t>金净值变化引致的投资风险，由投资者自行负担。</w:t>
      </w:r>
    </w:p>
    <w:p>
      <w:pPr>
        <w:spacing w:after="0" w:line="417" w:lineRule="auto"/>
        <w:jc w:val="both"/>
        <w:sectPr>
          <w:pgSz w:w="11910" w:h="16840"/>
          <w:pgMar w:header="877" w:footer="995" w:top="1420" w:bottom="1180" w:left="1540" w:right="1300"/>
        </w:sectPr>
      </w:pPr>
    </w:p>
    <w:p>
      <w:pPr>
        <w:pStyle w:val="BodyText"/>
        <w:spacing w:before="7"/>
        <w:rPr>
          <w:sz w:val="29"/>
        </w:rPr>
      </w:pPr>
    </w:p>
    <w:p>
      <w:pPr>
        <w:pStyle w:val="Heading1"/>
        <w:ind w:left="9"/>
      </w:pPr>
      <w:bookmarkStart w:name="_bookmark17" w:id="18"/>
      <w:bookmarkEnd w:id="18"/>
      <w:r>
        <w:rPr>
          <w:b w:val="0"/>
        </w:rPr>
      </w:r>
      <w:r>
        <w:rPr/>
        <w:t>十八、基金合同的变更、终止与基金财产的清算</w:t>
      </w:r>
    </w:p>
    <w:p>
      <w:pPr>
        <w:pStyle w:val="BodyText"/>
        <w:rPr>
          <w:b/>
          <w:sz w:val="20"/>
        </w:rPr>
      </w:pPr>
    </w:p>
    <w:p>
      <w:pPr>
        <w:pStyle w:val="BodyText"/>
        <w:spacing w:before="2"/>
        <w:rPr>
          <w:b/>
        </w:rPr>
      </w:pPr>
    </w:p>
    <w:p>
      <w:pPr>
        <w:pStyle w:val="BodyText"/>
        <w:ind w:left="680"/>
      </w:pPr>
      <w:r>
        <w:rPr/>
        <w:t>（一</w:t>
      </w:r>
      <w:r>
        <w:rPr>
          <w:spacing w:val="-108"/>
        </w:rPr>
        <w:t>）</w:t>
      </w:r>
      <w:r>
        <w:rPr>
          <w:spacing w:val="-3"/>
        </w:rPr>
        <w:t>《基金合同》的变更</w:t>
      </w:r>
    </w:p>
    <w:p>
      <w:pPr>
        <w:pStyle w:val="BodyText"/>
        <w:spacing w:before="7"/>
        <w:rPr>
          <w:sz w:val="15"/>
        </w:rPr>
      </w:pPr>
    </w:p>
    <w:p>
      <w:pPr>
        <w:pStyle w:val="BodyText"/>
        <w:spacing w:line="417" w:lineRule="auto"/>
        <w:ind w:left="260" w:right="49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260" w:right="49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80"/>
      </w:pPr>
      <w:r>
        <w:rPr/>
        <w:t>（二</w:t>
      </w:r>
      <w:r>
        <w:rPr>
          <w:spacing w:val="-108"/>
        </w:rPr>
        <w:t>）</w:t>
      </w:r>
      <w:r>
        <w:rPr>
          <w:spacing w:val="-3"/>
        </w:rPr>
        <w:t>《基金合同》的终止事由</w:t>
      </w:r>
    </w:p>
    <w:p>
      <w:pPr>
        <w:pStyle w:val="BodyText"/>
        <w:spacing w:before="6"/>
        <w:rPr>
          <w:sz w:val="15"/>
        </w:rPr>
      </w:pPr>
    </w:p>
    <w:p>
      <w:pPr>
        <w:pStyle w:val="BodyText"/>
        <w:spacing w:before="1"/>
        <w:ind w:left="680"/>
      </w:pPr>
      <w:r>
        <w:rPr/>
        <w:t>有下列情形之一的，《基金合同》应当终止：</w:t>
      </w:r>
    </w:p>
    <w:p>
      <w:pPr>
        <w:pStyle w:val="BodyText"/>
        <w:spacing w:before="6"/>
        <w:rPr>
          <w:sz w:val="15"/>
        </w:rPr>
      </w:pPr>
    </w:p>
    <w:p>
      <w:pPr>
        <w:pStyle w:val="BodyText"/>
        <w:ind w:left="68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260" w:right="4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680"/>
      </w:pPr>
      <w:r>
        <w:rPr>
          <w:rFonts w:ascii="Times New Roman" w:eastAsia="Times New Roman"/>
        </w:rPr>
        <w:t>3</w:t>
      </w:r>
      <w:r>
        <w:rPr/>
        <w:t>、《基金合同》约定的其他情形。</w:t>
      </w:r>
    </w:p>
    <w:p>
      <w:pPr>
        <w:pStyle w:val="BodyText"/>
        <w:spacing w:before="7"/>
        <w:rPr>
          <w:sz w:val="15"/>
        </w:rPr>
      </w:pPr>
    </w:p>
    <w:p>
      <w:pPr>
        <w:pStyle w:val="BodyText"/>
        <w:ind w:left="680"/>
      </w:pPr>
      <w:r>
        <w:rPr>
          <w:rFonts w:ascii="Times New Roman" w:eastAsia="Times New Roman"/>
        </w:rPr>
        <w:t>4</w:t>
      </w:r>
      <w:r>
        <w:rPr/>
        <w:t>、相关法律法规和中国证监会规定的其他情况。</w:t>
      </w:r>
    </w:p>
    <w:p>
      <w:pPr>
        <w:pStyle w:val="BodyText"/>
        <w:spacing w:before="7"/>
        <w:rPr>
          <w:sz w:val="15"/>
        </w:rPr>
      </w:pPr>
    </w:p>
    <w:p>
      <w:pPr>
        <w:pStyle w:val="BodyText"/>
        <w:ind w:left="680"/>
      </w:pPr>
      <w:r>
        <w:rPr/>
        <w:t>（三）基金财产的清算</w:t>
      </w:r>
    </w:p>
    <w:p>
      <w:pPr>
        <w:pStyle w:val="BodyText"/>
        <w:spacing w:before="7"/>
        <w:rPr>
          <w:sz w:val="15"/>
        </w:rPr>
      </w:pPr>
    </w:p>
    <w:p>
      <w:pPr>
        <w:pStyle w:val="ListParagraph"/>
        <w:numPr>
          <w:ilvl w:val="0"/>
          <w:numId w:val="38"/>
        </w:numPr>
        <w:tabs>
          <w:tab w:pos="1210" w:val="left" w:leader="none"/>
        </w:tabs>
        <w:spacing w:line="240" w:lineRule="auto" w:before="0" w:after="0"/>
        <w:ind w:left="120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38"/>
        </w:numPr>
        <w:tabs>
          <w:tab w:pos="1210" w:val="left" w:leader="none"/>
        </w:tabs>
        <w:spacing w:line="240" w:lineRule="auto" w:before="1" w:after="0"/>
        <w:ind w:left="120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38"/>
        </w:numPr>
        <w:tabs>
          <w:tab w:pos="1210" w:val="left" w:leader="none"/>
        </w:tabs>
        <w:spacing w:line="240" w:lineRule="auto" w:before="0" w:after="0"/>
        <w:ind w:left="120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8"/>
        </w:numPr>
        <w:tabs>
          <w:tab w:pos="1210" w:val="left" w:leader="none"/>
        </w:tabs>
        <w:spacing w:line="240" w:lineRule="auto" w:before="0" w:after="0"/>
        <w:ind w:left="1209" w:right="0" w:hanging="530"/>
        <w:jc w:val="left"/>
        <w:rPr>
          <w:sz w:val="21"/>
        </w:rPr>
      </w:pPr>
      <w:r>
        <w:rPr>
          <w:spacing w:val="-3"/>
          <w:sz w:val="21"/>
        </w:rPr>
        <w:t>制作清算报告。</w:t>
      </w:r>
    </w:p>
    <w:p>
      <w:pPr>
        <w:pStyle w:val="BodyText"/>
        <w:spacing w:before="7"/>
        <w:rPr>
          <w:sz w:val="15"/>
        </w:rPr>
      </w:pPr>
    </w:p>
    <w:p>
      <w:pPr>
        <w:pStyle w:val="ListParagraph"/>
        <w:numPr>
          <w:ilvl w:val="0"/>
          <w:numId w:val="38"/>
        </w:numPr>
        <w:tabs>
          <w:tab w:pos="1210" w:val="left" w:leader="none"/>
        </w:tabs>
        <w:spacing w:line="417" w:lineRule="auto" w:before="0" w:after="0"/>
        <w:ind w:left="260" w:right="4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8"/>
        </w:numPr>
        <w:tabs>
          <w:tab w:pos="1210" w:val="left" w:leader="none"/>
        </w:tabs>
        <w:spacing w:line="240" w:lineRule="auto" w:before="0" w:after="0"/>
        <w:ind w:left="120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38"/>
        </w:numPr>
        <w:tabs>
          <w:tab w:pos="1210" w:val="left" w:leader="none"/>
        </w:tabs>
        <w:spacing w:line="240" w:lineRule="auto" w:before="0" w:after="0"/>
        <w:ind w:left="1209" w:right="0" w:hanging="530"/>
        <w:jc w:val="left"/>
        <w:rPr>
          <w:sz w:val="21"/>
        </w:rPr>
      </w:pPr>
      <w:r>
        <w:rPr>
          <w:spacing w:val="-3"/>
          <w:sz w:val="21"/>
        </w:rPr>
        <w:t>对基金财产进行分配。</w:t>
      </w:r>
    </w:p>
    <w:p>
      <w:pPr>
        <w:pStyle w:val="BodyText"/>
        <w:spacing w:before="6"/>
        <w:rPr>
          <w:sz w:val="15"/>
        </w:rPr>
      </w:pPr>
    </w:p>
    <w:p>
      <w:pPr>
        <w:pStyle w:val="BodyText"/>
        <w:spacing w:before="1"/>
        <w:ind w:left="680"/>
      </w:pPr>
      <w:r>
        <w:rPr>
          <w:rFonts w:ascii="Times New Roman" w:eastAsia="Times New Roman"/>
        </w:rPr>
        <w:t>5</w:t>
      </w:r>
      <w:r>
        <w:rPr/>
        <w:t>、基金财产清算的期限为 </w:t>
      </w:r>
      <w:r>
        <w:rPr>
          <w:rFonts w:ascii="Times New Roman" w:eastAsia="Times New Roman"/>
        </w:rPr>
        <w:t>6 </w:t>
      </w:r>
      <w:r>
        <w:rPr/>
        <w:t>个月。</w:t>
      </w:r>
    </w:p>
    <w:p>
      <w:pPr>
        <w:pStyle w:val="BodyText"/>
        <w:spacing w:before="6"/>
        <w:rPr>
          <w:sz w:val="15"/>
        </w:rPr>
      </w:pPr>
    </w:p>
    <w:p>
      <w:pPr>
        <w:pStyle w:val="BodyText"/>
        <w:ind w:left="680"/>
      </w:pPr>
      <w:r>
        <w:rPr/>
        <w:t>（四）清算费用</w:t>
      </w:r>
    </w:p>
    <w:p>
      <w:pPr>
        <w:pStyle w:val="BodyText"/>
        <w:spacing w:before="7"/>
        <w:rPr>
          <w:sz w:val="15"/>
        </w:rPr>
      </w:pPr>
    </w:p>
    <w:p>
      <w:pPr>
        <w:pStyle w:val="BodyText"/>
        <w:spacing w:line="417" w:lineRule="auto"/>
        <w:ind w:left="260" w:right="4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ind w:left="680"/>
      </w:pPr>
      <w:r>
        <w:rPr/>
        <w:t>（五）基金财产清算剩余资产的分配</w:t>
      </w:r>
    </w:p>
    <w:p>
      <w:pPr>
        <w:spacing w:after="0"/>
        <w:sectPr>
          <w:pgSz w:w="11910" w:h="16840"/>
          <w:pgMar w:header="877" w:footer="995" w:top="1420" w:bottom="1180" w:left="1540" w:right="1300"/>
        </w:sectPr>
      </w:pPr>
    </w:p>
    <w:p>
      <w:pPr>
        <w:pStyle w:val="BodyText"/>
        <w:spacing w:line="417" w:lineRule="auto" w:before="110"/>
        <w:ind w:left="260" w:right="4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680"/>
      </w:pPr>
      <w:r>
        <w:rPr/>
        <w:t>（六）基金财产清算的公告</w:t>
      </w:r>
    </w:p>
    <w:p>
      <w:pPr>
        <w:pStyle w:val="BodyText"/>
        <w:spacing w:before="6"/>
        <w:rPr>
          <w:sz w:val="15"/>
        </w:rPr>
      </w:pPr>
    </w:p>
    <w:p>
      <w:pPr>
        <w:pStyle w:val="BodyText"/>
        <w:spacing w:line="417" w:lineRule="auto"/>
        <w:ind w:left="260" w:right="49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680"/>
      </w:pPr>
      <w:r>
        <w:rPr/>
        <w:t>（七）基金财产清算账册及文件的保存</w:t>
      </w:r>
    </w:p>
    <w:p>
      <w:pPr>
        <w:pStyle w:val="BodyText"/>
        <w:spacing w:before="8"/>
        <w:rPr>
          <w:sz w:val="15"/>
        </w:rPr>
      </w:pPr>
    </w:p>
    <w:p>
      <w:pPr>
        <w:pStyle w:val="BodyText"/>
        <w:ind w:left="680"/>
      </w:pPr>
      <w:r>
        <w:rPr/>
        <w:t>基金财产清算账册及有关文件由基金托管人保存 </w:t>
      </w:r>
      <w:r>
        <w:rPr>
          <w:rFonts w:ascii="Times New Roman" w:eastAsia="Times New Roman"/>
        </w:rPr>
        <w:t>15 </w:t>
      </w:r>
      <w:r>
        <w:rPr/>
        <w:t>年以上。</w:t>
      </w:r>
    </w:p>
    <w:p>
      <w:pPr>
        <w:spacing w:after="0"/>
        <w:sectPr>
          <w:pgSz w:w="11910" w:h="16840"/>
          <w:pgMar w:header="877" w:footer="995" w:top="1420" w:bottom="1180" w:left="1540" w:right="1300"/>
        </w:sectPr>
      </w:pPr>
    </w:p>
    <w:p>
      <w:pPr>
        <w:pStyle w:val="BodyText"/>
        <w:spacing w:before="7"/>
        <w:rPr>
          <w:sz w:val="29"/>
        </w:rPr>
      </w:pPr>
    </w:p>
    <w:p>
      <w:pPr>
        <w:pStyle w:val="Heading1"/>
        <w:ind w:left="7"/>
      </w:pPr>
      <w:bookmarkStart w:name="_bookmark18" w:id="19"/>
      <w:bookmarkEnd w:id="19"/>
      <w:r>
        <w:rPr>
          <w:b w:val="0"/>
        </w:rPr>
      </w:r>
      <w:r>
        <w:rPr/>
        <w:t>十九、基金合同的内容摘要</w:t>
      </w:r>
    </w:p>
    <w:p>
      <w:pPr>
        <w:pStyle w:val="BodyText"/>
        <w:rPr>
          <w:b/>
          <w:sz w:val="20"/>
        </w:rPr>
      </w:pPr>
    </w:p>
    <w:p>
      <w:pPr>
        <w:pStyle w:val="BodyText"/>
        <w:spacing w:before="2"/>
        <w:rPr>
          <w:b/>
        </w:rPr>
      </w:pPr>
    </w:p>
    <w:p>
      <w:pPr>
        <w:pStyle w:val="BodyText"/>
        <w:ind w:left="680"/>
      </w:pPr>
      <w:r>
        <w:rPr/>
        <w:t>以下内容摘自《华夏优势精选股票型证券投资基金基金合同》。</w:t>
      </w:r>
    </w:p>
    <w:p>
      <w:pPr>
        <w:pStyle w:val="BodyText"/>
        <w:spacing w:before="7"/>
        <w:rPr>
          <w:sz w:val="15"/>
        </w:rPr>
      </w:pPr>
    </w:p>
    <w:p>
      <w:pPr>
        <w:tabs>
          <w:tab w:pos="2308" w:val="left" w:leader="none"/>
        </w:tabs>
        <w:spacing w:line="417" w:lineRule="auto" w:before="0"/>
        <w:ind w:left="680" w:right="1485" w:firstLine="571"/>
        <w:jc w:val="left"/>
        <w:rPr>
          <w:sz w:val="21"/>
        </w:rPr>
      </w:pPr>
      <w:r>
        <w:rPr>
          <w:b/>
          <w:sz w:val="21"/>
        </w:rPr>
        <w:t>第一部分</w:t>
        <w:tab/>
        <w:t>基金份</w:t>
      </w:r>
      <w:r>
        <w:rPr>
          <w:b/>
          <w:spacing w:val="-3"/>
          <w:sz w:val="21"/>
        </w:rPr>
        <w:t>额</w:t>
      </w:r>
      <w:r>
        <w:rPr>
          <w:b/>
          <w:sz w:val="21"/>
        </w:rPr>
        <w:t>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spacing w:line="269" w:lineRule="exact"/>
        <w:ind w:left="680"/>
      </w:pPr>
      <w:r>
        <w:rPr/>
        <w:t>（一）基金管理人简况</w:t>
      </w:r>
    </w:p>
    <w:p>
      <w:pPr>
        <w:pStyle w:val="BodyText"/>
        <w:spacing w:before="7"/>
        <w:rPr>
          <w:sz w:val="15"/>
        </w:rPr>
      </w:pPr>
    </w:p>
    <w:p>
      <w:pPr>
        <w:pStyle w:val="BodyText"/>
        <w:ind w:left="680"/>
      </w:pPr>
      <w:r>
        <w:rPr/>
        <w:t>名称：华夏基金管理有限公司</w:t>
      </w:r>
    </w:p>
    <w:p>
      <w:pPr>
        <w:pStyle w:val="BodyText"/>
        <w:spacing w:before="7"/>
        <w:rPr>
          <w:sz w:val="15"/>
        </w:rPr>
      </w:pPr>
    </w:p>
    <w:p>
      <w:pPr>
        <w:pStyle w:val="BodyText"/>
        <w:spacing w:line="417" w:lineRule="auto"/>
        <w:ind w:left="680" w:right="4749"/>
      </w:pPr>
      <w:r>
        <w:rPr/>
        <w:t>住所：北京市顺义区安庆大街甲 </w:t>
      </w:r>
      <w:r>
        <w:rPr>
          <w:rFonts w:ascii="Times New Roman" w:eastAsia="Times New Roman"/>
        </w:rPr>
        <w:t>3 </w:t>
      </w:r>
      <w:r>
        <w:rPr/>
        <w:t>号院法定代表人：杨明辉</w:t>
      </w:r>
    </w:p>
    <w:p>
      <w:pPr>
        <w:pStyle w:val="BodyText"/>
        <w:spacing w:line="269" w:lineRule="exact"/>
        <w:ind w:left="68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680" w:right="230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680" w:right="586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ind w:left="68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ind w:left="680"/>
      </w:pPr>
      <w:r>
        <w:rPr/>
        <w:t>（二）基金管理人的权利与义务</w:t>
      </w:r>
    </w:p>
    <w:p>
      <w:pPr>
        <w:pStyle w:val="BodyText"/>
        <w:spacing w:before="7"/>
        <w:rPr>
          <w:sz w:val="15"/>
        </w:rPr>
      </w:pPr>
    </w:p>
    <w:p>
      <w:pPr>
        <w:pStyle w:val="BodyText"/>
        <w:ind w:left="68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39"/>
        </w:numPr>
        <w:tabs>
          <w:tab w:pos="1210" w:val="left" w:leader="none"/>
        </w:tabs>
        <w:spacing w:line="240" w:lineRule="auto" w:before="1" w:after="0"/>
        <w:ind w:left="1209" w:right="0" w:hanging="530"/>
        <w:jc w:val="left"/>
        <w:rPr>
          <w:sz w:val="21"/>
        </w:rPr>
      </w:pPr>
      <w:r>
        <w:rPr>
          <w:spacing w:val="-3"/>
          <w:sz w:val="21"/>
        </w:rPr>
        <w:t>依法募集资金。</w:t>
      </w:r>
    </w:p>
    <w:p>
      <w:pPr>
        <w:pStyle w:val="BodyText"/>
        <w:spacing w:before="6"/>
        <w:rPr>
          <w:sz w:val="15"/>
        </w:rPr>
      </w:pPr>
    </w:p>
    <w:p>
      <w:pPr>
        <w:pStyle w:val="ListParagraph"/>
        <w:numPr>
          <w:ilvl w:val="0"/>
          <w:numId w:val="39"/>
        </w:numPr>
        <w:tabs>
          <w:tab w:pos="1210" w:val="left" w:leader="none"/>
        </w:tabs>
        <w:spacing w:line="417" w:lineRule="auto" w:before="0" w:after="0"/>
        <w:ind w:left="260" w:right="494" w:firstLine="419"/>
        <w:jc w:val="left"/>
        <w:rPr>
          <w:sz w:val="21"/>
        </w:rPr>
      </w:pPr>
      <w:r>
        <w:rPr>
          <w:spacing w:val="-3"/>
          <w:sz w:val="21"/>
        </w:rPr>
        <w:t>自《基金合同》生效之日起，根据法律法规和《基金合同》独立运用并管理基金财产。</w:t>
      </w:r>
    </w:p>
    <w:p>
      <w:pPr>
        <w:pStyle w:val="ListParagraph"/>
        <w:numPr>
          <w:ilvl w:val="0"/>
          <w:numId w:val="39"/>
        </w:numPr>
        <w:tabs>
          <w:tab w:pos="1210" w:val="left" w:leader="none"/>
        </w:tabs>
        <w:spacing w:line="417" w:lineRule="auto" w:before="0" w:after="0"/>
        <w:ind w:left="260" w:right="494" w:firstLine="419"/>
        <w:jc w:val="left"/>
        <w:rPr>
          <w:sz w:val="21"/>
        </w:rPr>
      </w:pPr>
      <w:r>
        <w:rPr>
          <w:spacing w:val="-3"/>
          <w:sz w:val="21"/>
        </w:rPr>
        <w:t>依照《基金合同》收取基金管理费以及法律法规规定或中国证监会批准的其他费用。</w:t>
      </w:r>
    </w:p>
    <w:p>
      <w:pPr>
        <w:pStyle w:val="ListParagraph"/>
        <w:numPr>
          <w:ilvl w:val="0"/>
          <w:numId w:val="39"/>
        </w:numPr>
        <w:tabs>
          <w:tab w:pos="1210" w:val="left" w:leader="none"/>
        </w:tabs>
        <w:spacing w:line="240" w:lineRule="auto" w:before="0" w:after="0"/>
        <w:ind w:left="1209" w:right="0" w:hanging="530"/>
        <w:jc w:val="left"/>
        <w:rPr>
          <w:sz w:val="21"/>
        </w:rPr>
      </w:pPr>
      <w:r>
        <w:rPr>
          <w:spacing w:val="-3"/>
          <w:sz w:val="21"/>
        </w:rPr>
        <w:t>销售基金份额。</w:t>
      </w:r>
    </w:p>
    <w:p>
      <w:pPr>
        <w:pStyle w:val="BodyText"/>
        <w:spacing w:before="7"/>
        <w:rPr>
          <w:sz w:val="15"/>
        </w:rPr>
      </w:pPr>
    </w:p>
    <w:p>
      <w:pPr>
        <w:pStyle w:val="ListParagraph"/>
        <w:numPr>
          <w:ilvl w:val="0"/>
          <w:numId w:val="39"/>
        </w:numPr>
        <w:tabs>
          <w:tab w:pos="1210" w:val="left" w:leader="none"/>
        </w:tabs>
        <w:spacing w:line="240" w:lineRule="auto" w:before="0" w:after="0"/>
        <w:ind w:left="120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39"/>
        </w:numPr>
        <w:tabs>
          <w:tab w:pos="1210" w:val="left" w:leader="none"/>
        </w:tabs>
        <w:spacing w:line="417" w:lineRule="auto" w:before="0" w:after="0"/>
        <w:ind w:left="260" w:right="49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9"/>
        </w:numPr>
        <w:tabs>
          <w:tab w:pos="1210" w:val="left" w:leader="none"/>
        </w:tabs>
        <w:spacing w:line="269" w:lineRule="exact" w:before="0" w:after="0"/>
        <w:ind w:left="1209" w:right="0" w:hanging="530"/>
        <w:jc w:val="left"/>
        <w:rPr>
          <w:sz w:val="21"/>
        </w:rPr>
      </w:pPr>
      <w:r>
        <w:rPr>
          <w:spacing w:val="-3"/>
          <w:sz w:val="21"/>
        </w:rPr>
        <w:t>在基金托管人更换时，提名新的基金托管人。</w:t>
      </w:r>
    </w:p>
    <w:p>
      <w:pPr>
        <w:pStyle w:val="BodyText"/>
        <w:spacing w:before="12"/>
        <w:rPr>
          <w:sz w:val="20"/>
        </w:rPr>
      </w:pPr>
    </w:p>
    <w:p>
      <w:pPr>
        <w:pStyle w:val="ListParagraph"/>
        <w:numPr>
          <w:ilvl w:val="0"/>
          <w:numId w:val="39"/>
        </w:numPr>
        <w:tabs>
          <w:tab w:pos="1210" w:val="left" w:leader="none"/>
        </w:tabs>
        <w:spacing w:line="240" w:lineRule="auto" w:before="1" w:after="0"/>
        <w:ind w:left="1209" w:right="0" w:hanging="530"/>
        <w:jc w:val="left"/>
        <w:rPr>
          <w:sz w:val="21"/>
        </w:rPr>
      </w:pPr>
      <w:r>
        <w:rPr>
          <w:spacing w:val="-3"/>
          <w:sz w:val="21"/>
        </w:rPr>
        <w:t>选择、更换基金销售机构，对基金销售机构的相关行为进行监督和处理。</w:t>
      </w:r>
    </w:p>
    <w:p>
      <w:pPr>
        <w:spacing w:after="0" w:line="240" w:lineRule="auto"/>
        <w:jc w:val="left"/>
        <w:rPr>
          <w:sz w:val="21"/>
        </w:rPr>
        <w:sectPr>
          <w:pgSz w:w="11910" w:h="16840"/>
          <w:pgMar w:header="877" w:footer="995" w:top="1420" w:bottom="1180" w:left="1540" w:right="1300"/>
        </w:sectPr>
      </w:pPr>
    </w:p>
    <w:p>
      <w:pPr>
        <w:pStyle w:val="BodyText"/>
        <w:spacing w:before="11"/>
        <w:rPr>
          <w:sz w:val="7"/>
        </w:rPr>
      </w:pPr>
    </w:p>
    <w:p>
      <w:pPr>
        <w:pStyle w:val="ListParagraph"/>
        <w:numPr>
          <w:ilvl w:val="0"/>
          <w:numId w:val="39"/>
        </w:numPr>
        <w:tabs>
          <w:tab w:pos="1210" w:val="left" w:leader="none"/>
        </w:tabs>
        <w:spacing w:line="391" w:lineRule="auto" w:before="79" w:after="0"/>
        <w:ind w:left="260" w:right="49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9"/>
        </w:numPr>
        <w:tabs>
          <w:tab w:pos="1315" w:val="left" w:leader="none"/>
        </w:tabs>
        <w:spacing w:line="240" w:lineRule="auto" w:before="3" w:after="0"/>
        <w:ind w:left="1315" w:right="0" w:hanging="635"/>
        <w:jc w:val="left"/>
        <w:rPr>
          <w:sz w:val="21"/>
        </w:rPr>
      </w:pPr>
      <w:r>
        <w:rPr>
          <w:spacing w:val="-3"/>
          <w:sz w:val="21"/>
        </w:rPr>
        <w:t>依据《基金合同》及有关法律规定决定基金收益的分配方案。</w:t>
      </w:r>
    </w:p>
    <w:p>
      <w:pPr>
        <w:pStyle w:val="ListParagraph"/>
        <w:numPr>
          <w:ilvl w:val="0"/>
          <w:numId w:val="39"/>
        </w:numPr>
        <w:tabs>
          <w:tab w:pos="1306" w:val="left" w:leader="none"/>
        </w:tabs>
        <w:spacing w:line="240" w:lineRule="auto" w:before="170" w:after="0"/>
        <w:ind w:left="1305" w:right="0" w:hanging="626"/>
        <w:jc w:val="left"/>
        <w:rPr>
          <w:sz w:val="21"/>
        </w:rPr>
      </w:pPr>
      <w:r>
        <w:rPr>
          <w:spacing w:val="-3"/>
          <w:sz w:val="21"/>
        </w:rPr>
        <w:t>在《基金合同》约定的范围内，拒绝或暂停受理申购与赎回申请。</w:t>
      </w:r>
    </w:p>
    <w:p>
      <w:pPr>
        <w:pStyle w:val="ListParagraph"/>
        <w:numPr>
          <w:ilvl w:val="0"/>
          <w:numId w:val="39"/>
        </w:numPr>
        <w:tabs>
          <w:tab w:pos="1315" w:val="left" w:leader="none"/>
        </w:tabs>
        <w:spacing w:line="393" w:lineRule="auto" w:before="171" w:after="0"/>
        <w:ind w:left="260" w:right="49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9"/>
        </w:numPr>
        <w:tabs>
          <w:tab w:pos="1315" w:val="left" w:leader="none"/>
        </w:tabs>
        <w:spacing w:line="267" w:lineRule="exact" w:before="0" w:after="0"/>
        <w:ind w:left="1315" w:right="0" w:hanging="635"/>
        <w:jc w:val="left"/>
        <w:rPr>
          <w:sz w:val="21"/>
        </w:rPr>
      </w:pPr>
      <w:r>
        <w:rPr>
          <w:spacing w:val="-3"/>
          <w:sz w:val="21"/>
        </w:rPr>
        <w:t>在条件允许的前提下，为基金的利益依法为基金进行融资。</w:t>
      </w:r>
    </w:p>
    <w:p>
      <w:pPr>
        <w:pStyle w:val="ListParagraph"/>
        <w:numPr>
          <w:ilvl w:val="0"/>
          <w:numId w:val="39"/>
        </w:numPr>
        <w:tabs>
          <w:tab w:pos="1315" w:val="left" w:leader="none"/>
        </w:tabs>
        <w:spacing w:line="393" w:lineRule="auto" w:before="170" w:after="0"/>
        <w:ind w:left="260" w:right="49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9"/>
        </w:numPr>
        <w:tabs>
          <w:tab w:pos="1315" w:val="left" w:leader="none"/>
        </w:tabs>
        <w:spacing w:line="391" w:lineRule="auto" w:before="0" w:after="0"/>
        <w:ind w:left="260" w:right="49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9"/>
        </w:numPr>
        <w:tabs>
          <w:tab w:pos="1315" w:val="left" w:leader="none"/>
        </w:tabs>
        <w:spacing w:line="391" w:lineRule="auto" w:before="2" w:after="0"/>
        <w:ind w:left="260" w:right="49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39"/>
        </w:numPr>
        <w:tabs>
          <w:tab w:pos="1315" w:val="left" w:leader="none"/>
        </w:tabs>
        <w:spacing w:line="240" w:lineRule="auto" w:before="1" w:after="0"/>
        <w:ind w:left="1315" w:right="0" w:hanging="635"/>
        <w:jc w:val="left"/>
        <w:rPr>
          <w:sz w:val="21"/>
        </w:rPr>
      </w:pPr>
      <w:r>
        <w:rPr>
          <w:spacing w:val="-3"/>
          <w:sz w:val="21"/>
        </w:rPr>
        <w:t>法律法规及中国证监会规定的和《基金合同》约定的其他权利。</w:t>
      </w:r>
    </w:p>
    <w:p>
      <w:pPr>
        <w:pStyle w:val="BodyText"/>
        <w:spacing w:before="173"/>
        <w:ind w:left="680"/>
      </w:pPr>
      <w:r>
        <w:rPr>
          <w:rFonts w:ascii="Times New Roman" w:eastAsia="Times New Roman"/>
        </w:rPr>
        <w:t>2</w:t>
      </w:r>
      <w:r>
        <w:rPr/>
        <w:t>、根据《基金法》、《运作办法》及其他有关规定，基金管理人的义务包括但不限于：</w:t>
      </w:r>
    </w:p>
    <w:p>
      <w:pPr>
        <w:pStyle w:val="ListParagraph"/>
        <w:numPr>
          <w:ilvl w:val="0"/>
          <w:numId w:val="40"/>
        </w:numPr>
        <w:tabs>
          <w:tab w:pos="1210" w:val="left" w:leader="none"/>
        </w:tabs>
        <w:spacing w:line="391" w:lineRule="auto" w:before="171" w:after="0"/>
        <w:ind w:left="260" w:right="49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40"/>
        </w:numPr>
        <w:tabs>
          <w:tab w:pos="1210" w:val="left" w:leader="none"/>
        </w:tabs>
        <w:spacing w:line="240" w:lineRule="auto" w:before="3" w:after="0"/>
        <w:ind w:left="1209" w:right="0" w:hanging="530"/>
        <w:jc w:val="left"/>
        <w:rPr>
          <w:sz w:val="21"/>
        </w:rPr>
      </w:pPr>
      <w:r>
        <w:rPr>
          <w:spacing w:val="-3"/>
          <w:sz w:val="21"/>
        </w:rPr>
        <w:t>办理基金备案手续。</w:t>
      </w:r>
    </w:p>
    <w:p>
      <w:pPr>
        <w:pStyle w:val="ListParagraph"/>
        <w:numPr>
          <w:ilvl w:val="0"/>
          <w:numId w:val="40"/>
        </w:numPr>
        <w:tabs>
          <w:tab w:pos="1210" w:val="left" w:leader="none"/>
        </w:tabs>
        <w:spacing w:line="240" w:lineRule="auto" w:before="170" w:after="0"/>
        <w:ind w:left="1209" w:right="0" w:hanging="530"/>
        <w:jc w:val="left"/>
        <w:rPr>
          <w:sz w:val="21"/>
        </w:rPr>
      </w:pPr>
      <w:r>
        <w:rPr>
          <w:spacing w:val="-15"/>
          <w:sz w:val="21"/>
        </w:rPr>
        <w:t>自《基金合同》生效之日起，以诚实信用、谨慎勤勉的原则管理和运用基金财产。</w:t>
      </w:r>
    </w:p>
    <w:p>
      <w:pPr>
        <w:pStyle w:val="ListParagraph"/>
        <w:numPr>
          <w:ilvl w:val="0"/>
          <w:numId w:val="40"/>
        </w:numPr>
        <w:tabs>
          <w:tab w:pos="1210" w:val="left" w:leader="none"/>
        </w:tabs>
        <w:spacing w:line="393" w:lineRule="auto" w:before="170" w:after="0"/>
        <w:ind w:left="260" w:right="49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40"/>
        </w:numPr>
        <w:tabs>
          <w:tab w:pos="1210" w:val="left" w:leader="none"/>
        </w:tabs>
        <w:spacing w:line="393" w:lineRule="auto" w:before="0" w:after="0"/>
        <w:ind w:left="260" w:right="49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40"/>
        </w:numPr>
        <w:tabs>
          <w:tab w:pos="1210" w:val="left" w:leader="none"/>
        </w:tabs>
        <w:spacing w:line="196" w:lineRule="exact" w:before="0" w:after="0"/>
        <w:ind w:left="1209" w:right="0" w:hanging="530"/>
        <w:jc w:val="left"/>
        <w:rPr>
          <w:sz w:val="21"/>
        </w:rPr>
      </w:pPr>
      <w:r>
        <w:rPr>
          <w:spacing w:val="-17"/>
          <w:sz w:val="21"/>
        </w:rPr>
        <w:t>除依据《基金法》、《基金合同》及其他有关规定外，不得利用基金财产为自己及</w:t>
      </w:r>
    </w:p>
    <w:p>
      <w:pPr>
        <w:pStyle w:val="BodyText"/>
        <w:spacing w:before="198"/>
        <w:ind w:left="260"/>
      </w:pPr>
      <w:r>
        <w:rPr/>
        <w:t>任何第三人谋取利益，不得委托第三人运作基金财产。</w:t>
      </w:r>
    </w:p>
    <w:p>
      <w:pPr>
        <w:pStyle w:val="BodyText"/>
        <w:spacing w:before="6"/>
        <w:rPr>
          <w:sz w:val="15"/>
        </w:rPr>
      </w:pPr>
    </w:p>
    <w:p>
      <w:pPr>
        <w:pStyle w:val="ListParagraph"/>
        <w:numPr>
          <w:ilvl w:val="0"/>
          <w:numId w:val="40"/>
        </w:numPr>
        <w:tabs>
          <w:tab w:pos="1210" w:val="left" w:leader="none"/>
        </w:tabs>
        <w:spacing w:line="240" w:lineRule="auto" w:before="0" w:after="0"/>
        <w:ind w:left="1209" w:right="0" w:hanging="530"/>
        <w:jc w:val="left"/>
        <w:rPr>
          <w:sz w:val="21"/>
        </w:rPr>
      </w:pPr>
      <w:r>
        <w:rPr>
          <w:spacing w:val="-3"/>
          <w:sz w:val="21"/>
        </w:rPr>
        <w:t>依法接受基金托管人的监督。</w:t>
      </w:r>
    </w:p>
    <w:p>
      <w:pPr>
        <w:pStyle w:val="BodyText"/>
        <w:spacing w:before="7"/>
        <w:rPr>
          <w:sz w:val="15"/>
        </w:rPr>
      </w:pPr>
    </w:p>
    <w:p>
      <w:pPr>
        <w:pStyle w:val="ListParagraph"/>
        <w:numPr>
          <w:ilvl w:val="0"/>
          <w:numId w:val="40"/>
        </w:numPr>
        <w:tabs>
          <w:tab w:pos="1210" w:val="left" w:leader="none"/>
        </w:tabs>
        <w:spacing w:line="417" w:lineRule="auto" w:before="0" w:after="0"/>
        <w:ind w:left="260" w:right="49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40"/>
        </w:numPr>
        <w:tabs>
          <w:tab w:pos="1210" w:val="left" w:leader="none"/>
        </w:tabs>
        <w:spacing w:line="240" w:lineRule="auto" w:before="0" w:after="0"/>
        <w:ind w:left="1209" w:right="0" w:hanging="530"/>
        <w:jc w:val="left"/>
        <w:rPr>
          <w:sz w:val="21"/>
        </w:rPr>
      </w:pPr>
      <w:r>
        <w:rPr>
          <w:spacing w:val="-3"/>
          <w:sz w:val="21"/>
        </w:rPr>
        <w:t>进行基金会计核算并编制基金财务会计报告。</w:t>
      </w:r>
    </w:p>
    <w:p>
      <w:pPr>
        <w:spacing w:after="0" w:line="240" w:lineRule="auto"/>
        <w:jc w:val="left"/>
        <w:rPr>
          <w:sz w:val="21"/>
        </w:rPr>
        <w:sectPr>
          <w:pgSz w:w="11910" w:h="16840"/>
          <w:pgMar w:header="877" w:footer="995" w:top="1420" w:bottom="1180" w:left="1540" w:right="1300"/>
        </w:sectPr>
      </w:pPr>
    </w:p>
    <w:p>
      <w:pPr>
        <w:pStyle w:val="ListParagraph"/>
        <w:numPr>
          <w:ilvl w:val="0"/>
          <w:numId w:val="40"/>
        </w:numPr>
        <w:tabs>
          <w:tab w:pos="1315" w:val="left" w:leader="none"/>
        </w:tabs>
        <w:spacing w:line="240" w:lineRule="auto" w:before="110" w:after="0"/>
        <w:ind w:left="1315" w:right="0" w:hanging="635"/>
        <w:jc w:val="left"/>
        <w:rPr>
          <w:sz w:val="21"/>
        </w:rPr>
      </w:pPr>
      <w:r>
        <w:rPr>
          <w:spacing w:val="-3"/>
          <w:sz w:val="21"/>
        </w:rPr>
        <w:t>编制季度、中期和年度基金报告。</w:t>
      </w:r>
    </w:p>
    <w:p>
      <w:pPr>
        <w:pStyle w:val="BodyText"/>
        <w:spacing w:before="6"/>
        <w:rPr>
          <w:sz w:val="15"/>
        </w:rPr>
      </w:pPr>
    </w:p>
    <w:p>
      <w:pPr>
        <w:pStyle w:val="ListParagraph"/>
        <w:numPr>
          <w:ilvl w:val="0"/>
          <w:numId w:val="40"/>
        </w:numPr>
        <w:tabs>
          <w:tab w:pos="1306" w:val="left" w:leader="none"/>
        </w:tabs>
        <w:spacing w:line="240" w:lineRule="auto" w:before="0" w:after="0"/>
        <w:ind w:left="1305" w:right="0" w:hanging="626"/>
        <w:jc w:val="left"/>
        <w:rPr>
          <w:sz w:val="21"/>
        </w:rPr>
      </w:pPr>
      <w:r>
        <w:rPr>
          <w:spacing w:val="-17"/>
          <w:sz w:val="21"/>
        </w:rPr>
        <w:t>严格按照《基金法》、《基金合同》及其他有关规定，履行信息披露及报告义务。</w:t>
      </w:r>
    </w:p>
    <w:p>
      <w:pPr>
        <w:pStyle w:val="BodyText"/>
        <w:spacing w:before="7"/>
        <w:rPr>
          <w:sz w:val="15"/>
        </w:rPr>
      </w:pPr>
    </w:p>
    <w:p>
      <w:pPr>
        <w:pStyle w:val="ListParagraph"/>
        <w:numPr>
          <w:ilvl w:val="0"/>
          <w:numId w:val="40"/>
        </w:numPr>
        <w:tabs>
          <w:tab w:pos="1315" w:val="left" w:leader="none"/>
        </w:tabs>
        <w:spacing w:line="417" w:lineRule="auto" w:before="0" w:after="0"/>
        <w:ind w:left="260" w:right="49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40"/>
        </w:numPr>
        <w:tabs>
          <w:tab w:pos="1315" w:val="left" w:leader="none"/>
        </w:tabs>
        <w:spacing w:line="417" w:lineRule="auto" w:before="0" w:after="0"/>
        <w:ind w:left="260" w:right="49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40"/>
        </w:numPr>
        <w:tabs>
          <w:tab w:pos="1315" w:val="left" w:leader="none"/>
        </w:tabs>
        <w:spacing w:line="269" w:lineRule="exact" w:before="0" w:after="0"/>
        <w:ind w:left="131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40"/>
        </w:numPr>
        <w:tabs>
          <w:tab w:pos="1315" w:val="left" w:leader="none"/>
        </w:tabs>
        <w:spacing w:line="417" w:lineRule="auto" w:before="0" w:after="0"/>
        <w:ind w:left="260" w:right="49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40"/>
        </w:numPr>
        <w:tabs>
          <w:tab w:pos="1315" w:val="left" w:leader="none"/>
        </w:tabs>
        <w:spacing w:line="269" w:lineRule="exact" w:before="0" w:after="0"/>
        <w:ind w:left="131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spacing w:before="1"/>
        <w:ind w:left="260"/>
      </w:pPr>
      <w:r>
        <w:rPr/>
        <w:t>年以上。</w:t>
      </w:r>
    </w:p>
    <w:p>
      <w:pPr>
        <w:pStyle w:val="BodyText"/>
        <w:spacing w:before="6"/>
        <w:rPr>
          <w:sz w:val="15"/>
        </w:rPr>
      </w:pPr>
    </w:p>
    <w:p>
      <w:pPr>
        <w:pStyle w:val="ListParagraph"/>
        <w:numPr>
          <w:ilvl w:val="0"/>
          <w:numId w:val="40"/>
        </w:numPr>
        <w:tabs>
          <w:tab w:pos="1315" w:val="left" w:leader="none"/>
        </w:tabs>
        <w:spacing w:line="417" w:lineRule="auto" w:before="0" w:after="0"/>
        <w:ind w:left="260" w:right="49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40"/>
        </w:numPr>
        <w:tabs>
          <w:tab w:pos="1313" w:val="left" w:leader="none"/>
        </w:tabs>
        <w:spacing w:line="240" w:lineRule="auto" w:before="0" w:after="0"/>
        <w:ind w:left="1312" w:right="0" w:hanging="633"/>
        <w:jc w:val="left"/>
        <w:rPr>
          <w:sz w:val="21"/>
        </w:rPr>
      </w:pPr>
      <w:r>
        <w:rPr>
          <w:spacing w:val="-15"/>
          <w:sz w:val="21"/>
        </w:rPr>
        <w:t>组织并参加基金财产清算小组，参与基金财产的保管、清理、估价、变现和分配。</w:t>
      </w:r>
    </w:p>
    <w:p>
      <w:pPr>
        <w:pStyle w:val="BodyText"/>
        <w:spacing w:before="7"/>
        <w:rPr>
          <w:sz w:val="15"/>
        </w:rPr>
      </w:pPr>
    </w:p>
    <w:p>
      <w:pPr>
        <w:pStyle w:val="ListParagraph"/>
        <w:numPr>
          <w:ilvl w:val="0"/>
          <w:numId w:val="40"/>
        </w:numPr>
        <w:tabs>
          <w:tab w:pos="1313" w:val="left" w:leader="none"/>
        </w:tabs>
        <w:spacing w:line="417" w:lineRule="auto" w:before="0" w:after="0"/>
        <w:ind w:left="260" w:right="49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40"/>
        </w:numPr>
        <w:tabs>
          <w:tab w:pos="1315" w:val="left" w:leader="none"/>
        </w:tabs>
        <w:spacing w:line="417" w:lineRule="auto" w:before="0" w:after="0"/>
        <w:ind w:left="260" w:right="49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40"/>
        </w:numPr>
        <w:tabs>
          <w:tab w:pos="1315" w:val="left" w:leader="none"/>
        </w:tabs>
        <w:spacing w:line="417" w:lineRule="auto" w:before="0" w:after="0"/>
        <w:ind w:left="260" w:right="49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40"/>
        </w:numPr>
        <w:tabs>
          <w:tab w:pos="1315" w:val="left" w:leader="none"/>
        </w:tabs>
        <w:spacing w:line="417" w:lineRule="auto" w:before="0" w:after="0"/>
        <w:ind w:left="260" w:right="49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40"/>
        </w:numPr>
        <w:tabs>
          <w:tab w:pos="1313" w:val="left" w:leader="none"/>
        </w:tabs>
        <w:spacing w:line="269" w:lineRule="exact" w:before="0" w:after="0"/>
        <w:ind w:left="131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40"/>
        </w:numPr>
        <w:tabs>
          <w:tab w:pos="1315" w:val="left" w:leader="none"/>
        </w:tabs>
        <w:spacing w:line="417" w:lineRule="auto" w:before="0" w:after="0"/>
        <w:ind w:left="260" w:right="494"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40"/>
        </w:numPr>
        <w:tabs>
          <w:tab w:pos="1315" w:val="left" w:leader="none"/>
        </w:tabs>
        <w:spacing w:line="240" w:lineRule="auto" w:before="0" w:after="0"/>
        <w:ind w:left="131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40"/>
        </w:numPr>
        <w:tabs>
          <w:tab w:pos="1315" w:val="left" w:leader="none"/>
        </w:tabs>
        <w:spacing w:line="240" w:lineRule="auto" w:before="0" w:after="0"/>
        <w:ind w:left="1315" w:right="0" w:hanging="635"/>
        <w:jc w:val="left"/>
        <w:rPr>
          <w:sz w:val="21"/>
        </w:rPr>
      </w:pPr>
      <w:r>
        <w:rPr>
          <w:spacing w:val="-3"/>
          <w:sz w:val="21"/>
        </w:rPr>
        <w:t>建立并保存基金份额持有人名册。</w:t>
      </w:r>
    </w:p>
    <w:p>
      <w:pPr>
        <w:spacing w:after="0" w:line="240" w:lineRule="auto"/>
        <w:jc w:val="left"/>
        <w:rPr>
          <w:sz w:val="21"/>
        </w:rPr>
        <w:sectPr>
          <w:pgSz w:w="11910" w:h="16840"/>
          <w:pgMar w:header="877" w:footer="995" w:top="1420" w:bottom="1180" w:left="1540" w:right="1300"/>
        </w:sectPr>
      </w:pPr>
    </w:p>
    <w:p>
      <w:pPr>
        <w:pStyle w:val="ListParagraph"/>
        <w:numPr>
          <w:ilvl w:val="0"/>
          <w:numId w:val="40"/>
        </w:numPr>
        <w:tabs>
          <w:tab w:pos="1315" w:val="left" w:leader="none"/>
        </w:tabs>
        <w:spacing w:line="417" w:lineRule="auto" w:before="110" w:after="0"/>
        <w:ind w:left="680" w:right="1867" w:firstLine="0"/>
        <w:jc w:val="left"/>
        <w:rPr>
          <w:sz w:val="21"/>
        </w:rPr>
      </w:pPr>
      <w:r>
        <w:rPr>
          <w:spacing w:val="-3"/>
          <w:sz w:val="21"/>
        </w:rPr>
        <w:t>法律法规及中国证监会规定的和《基金合同》约定的其他义务。二、基金托管人</w:t>
      </w:r>
    </w:p>
    <w:p>
      <w:pPr>
        <w:pStyle w:val="BodyText"/>
        <w:spacing w:line="269" w:lineRule="exact"/>
        <w:ind w:left="680"/>
      </w:pPr>
      <w:r>
        <w:rPr/>
        <w:t>（一）基金托管人简况</w:t>
      </w:r>
    </w:p>
    <w:p>
      <w:pPr>
        <w:pStyle w:val="BodyText"/>
        <w:spacing w:before="6"/>
        <w:rPr>
          <w:sz w:val="15"/>
        </w:rPr>
      </w:pPr>
    </w:p>
    <w:p>
      <w:pPr>
        <w:pStyle w:val="BodyText"/>
        <w:ind w:left="680"/>
      </w:pPr>
      <w:r>
        <w:rPr/>
        <w:t>名称：中国农业银行股份有限公司</w:t>
      </w:r>
    </w:p>
    <w:p>
      <w:pPr>
        <w:pStyle w:val="BodyText"/>
        <w:spacing w:before="7"/>
        <w:rPr>
          <w:sz w:val="15"/>
        </w:rPr>
      </w:pPr>
    </w:p>
    <w:p>
      <w:pPr>
        <w:pStyle w:val="BodyText"/>
        <w:spacing w:line="417" w:lineRule="auto"/>
        <w:ind w:left="680" w:right="4643"/>
      </w:pPr>
      <w:r>
        <w:rPr/>
        <w:t>住所：北京市东城区建国门内大街 </w:t>
      </w:r>
      <w:r>
        <w:rPr>
          <w:rFonts w:ascii="Times New Roman" w:eastAsia="Times New Roman"/>
        </w:rPr>
        <w:t>69 </w:t>
      </w:r>
      <w:r>
        <w:rPr/>
        <w:t>号法定代表人：周慕冰</w:t>
      </w:r>
    </w:p>
    <w:p>
      <w:pPr>
        <w:pStyle w:val="BodyText"/>
        <w:spacing w:line="269" w:lineRule="exact"/>
        <w:ind w:left="680"/>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before="7"/>
        <w:rPr>
          <w:sz w:val="15"/>
        </w:rPr>
      </w:pPr>
    </w:p>
    <w:p>
      <w:pPr>
        <w:pStyle w:val="BodyText"/>
        <w:spacing w:line="417" w:lineRule="auto" w:before="1"/>
        <w:ind w:left="680" w:right="2726"/>
      </w:pPr>
      <w:r>
        <w:rPr/>
        <w:t>批准设立机关和批准设立文号：中国银监会银监复</w:t>
      </w:r>
      <w:r>
        <w:rPr>
          <w:rFonts w:ascii="Times New Roman" w:eastAsia="Times New Roman"/>
        </w:rPr>
        <w:t>[2009]13 </w:t>
      </w:r>
      <w:r>
        <w:rPr/>
        <w:t>号组织形式：股份有限公司</w:t>
      </w:r>
    </w:p>
    <w:p>
      <w:pPr>
        <w:pStyle w:val="BodyText"/>
        <w:spacing w:line="417" w:lineRule="auto"/>
        <w:ind w:left="680" w:right="5071"/>
      </w:pPr>
      <w:r>
        <w:rPr/>
        <w:t>注册资本：</w:t>
      </w:r>
      <w:r>
        <w:rPr>
          <w:rFonts w:ascii="Times New Roman" w:eastAsia="Times New Roman"/>
        </w:rPr>
        <w:t>32,479,411.7 </w:t>
      </w:r>
      <w:r>
        <w:rPr/>
        <w:t>万元人民币存续期间：持续经营</w:t>
      </w:r>
    </w:p>
    <w:p>
      <w:pPr>
        <w:pStyle w:val="BodyText"/>
        <w:spacing w:line="269" w:lineRule="exact"/>
        <w:ind w:left="680"/>
      </w:pPr>
      <w:r>
        <w:rPr/>
        <w:t>基金托管资格批文及文号：中国证监会证监基字</w:t>
      </w:r>
      <w:r>
        <w:rPr>
          <w:rFonts w:ascii="Times New Roman" w:eastAsia="Times New Roman"/>
        </w:rPr>
        <w:t>[1998]23 </w:t>
      </w:r>
      <w:r>
        <w:rPr/>
        <w:t>号</w:t>
      </w:r>
    </w:p>
    <w:p>
      <w:pPr>
        <w:pStyle w:val="BodyText"/>
        <w:spacing w:before="6"/>
        <w:rPr>
          <w:sz w:val="15"/>
        </w:rPr>
      </w:pPr>
    </w:p>
    <w:p>
      <w:pPr>
        <w:pStyle w:val="BodyText"/>
        <w:ind w:left="680"/>
      </w:pPr>
      <w:r>
        <w:rPr/>
        <w:t>（二）基金托管人的权利与义务</w:t>
      </w:r>
    </w:p>
    <w:p>
      <w:pPr>
        <w:pStyle w:val="BodyText"/>
        <w:spacing w:before="7"/>
        <w:rPr>
          <w:sz w:val="15"/>
        </w:rPr>
      </w:pPr>
    </w:p>
    <w:p>
      <w:pPr>
        <w:pStyle w:val="BodyText"/>
        <w:ind w:left="68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41"/>
        </w:numPr>
        <w:tabs>
          <w:tab w:pos="1210" w:val="left" w:leader="none"/>
        </w:tabs>
        <w:spacing w:line="417" w:lineRule="auto" w:before="0" w:after="0"/>
        <w:ind w:left="260" w:right="494" w:firstLine="419"/>
        <w:jc w:val="left"/>
        <w:rPr>
          <w:sz w:val="21"/>
        </w:rPr>
      </w:pPr>
      <w:r>
        <w:rPr>
          <w:spacing w:val="-3"/>
          <w:sz w:val="21"/>
        </w:rPr>
        <w:t>自《基金合同》生效之日起，依法律法规和《基金合同》的规定安全保管基金财产。</w:t>
      </w:r>
    </w:p>
    <w:p>
      <w:pPr>
        <w:pStyle w:val="ListParagraph"/>
        <w:numPr>
          <w:ilvl w:val="0"/>
          <w:numId w:val="41"/>
        </w:numPr>
        <w:tabs>
          <w:tab w:pos="1210" w:val="left" w:leader="none"/>
        </w:tabs>
        <w:spacing w:line="417" w:lineRule="auto" w:before="0" w:after="0"/>
        <w:ind w:left="260" w:right="494" w:firstLine="419"/>
        <w:jc w:val="left"/>
        <w:rPr>
          <w:sz w:val="21"/>
        </w:rPr>
      </w:pPr>
      <w:r>
        <w:rPr>
          <w:spacing w:val="-3"/>
          <w:sz w:val="21"/>
        </w:rPr>
        <w:t>依《基金合同》约定获得基金托管费以及法律法规规定或监管部门批准的其他费用。</w:t>
      </w:r>
    </w:p>
    <w:p>
      <w:pPr>
        <w:pStyle w:val="ListParagraph"/>
        <w:numPr>
          <w:ilvl w:val="0"/>
          <w:numId w:val="41"/>
        </w:numPr>
        <w:tabs>
          <w:tab w:pos="1210" w:val="left" w:leader="none"/>
        </w:tabs>
        <w:spacing w:line="417" w:lineRule="auto" w:before="0" w:after="0"/>
        <w:ind w:left="260" w:right="49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1"/>
        </w:numPr>
        <w:tabs>
          <w:tab w:pos="1210" w:val="left" w:leader="none"/>
        </w:tabs>
        <w:spacing w:line="240" w:lineRule="auto" w:before="0" w:after="0"/>
        <w:ind w:left="120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41"/>
        </w:numPr>
        <w:tabs>
          <w:tab w:pos="1210" w:val="left" w:leader="none"/>
        </w:tabs>
        <w:spacing w:line="240" w:lineRule="auto" w:before="0" w:after="0"/>
        <w:ind w:left="120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41"/>
        </w:numPr>
        <w:tabs>
          <w:tab w:pos="1210" w:val="left" w:leader="none"/>
        </w:tabs>
        <w:spacing w:line="240" w:lineRule="auto" w:before="0" w:after="0"/>
        <w:ind w:left="1209" w:right="0" w:hanging="530"/>
        <w:jc w:val="left"/>
        <w:rPr>
          <w:sz w:val="21"/>
        </w:rPr>
      </w:pPr>
      <w:r>
        <w:rPr>
          <w:spacing w:val="-3"/>
          <w:sz w:val="21"/>
        </w:rPr>
        <w:t>在基金管理人更换时，提名新的基金管理人。</w:t>
      </w:r>
    </w:p>
    <w:p>
      <w:pPr>
        <w:pStyle w:val="BodyText"/>
        <w:spacing w:before="6"/>
        <w:rPr>
          <w:sz w:val="15"/>
        </w:rPr>
      </w:pPr>
    </w:p>
    <w:p>
      <w:pPr>
        <w:pStyle w:val="ListParagraph"/>
        <w:numPr>
          <w:ilvl w:val="0"/>
          <w:numId w:val="41"/>
        </w:numPr>
        <w:tabs>
          <w:tab w:pos="1210" w:val="left" w:leader="none"/>
        </w:tabs>
        <w:spacing w:line="240" w:lineRule="auto" w:before="1" w:after="0"/>
        <w:ind w:left="120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ind w:left="68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42"/>
        </w:numPr>
        <w:tabs>
          <w:tab w:pos="1210" w:val="left" w:leader="none"/>
        </w:tabs>
        <w:spacing w:line="240" w:lineRule="auto" w:before="0" w:after="0"/>
        <w:ind w:left="120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42"/>
        </w:numPr>
        <w:tabs>
          <w:tab w:pos="1210" w:val="left" w:leader="none"/>
        </w:tabs>
        <w:spacing w:line="417" w:lineRule="auto" w:before="0" w:after="0"/>
        <w:ind w:left="260" w:right="49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42"/>
        </w:numPr>
        <w:tabs>
          <w:tab w:pos="1210" w:val="left" w:leader="none"/>
        </w:tabs>
        <w:spacing w:line="240" w:lineRule="auto" w:before="0" w:after="0"/>
        <w:ind w:left="1209" w:right="0" w:hanging="530"/>
        <w:jc w:val="left"/>
        <w:rPr>
          <w:sz w:val="21"/>
        </w:rPr>
      </w:pPr>
      <w:r>
        <w:rPr>
          <w:spacing w:val="-3"/>
          <w:sz w:val="21"/>
        </w:rPr>
        <w:t>建立健全内部风险控制、监察与稽核、财务管理及人事管理等制度，确保基金财</w:t>
      </w:r>
    </w:p>
    <w:p>
      <w:pPr>
        <w:spacing w:after="0" w:line="240" w:lineRule="auto"/>
        <w:jc w:val="left"/>
        <w:rPr>
          <w:sz w:val="21"/>
        </w:rPr>
        <w:sectPr>
          <w:pgSz w:w="11910" w:h="16840"/>
          <w:pgMar w:header="877" w:footer="995" w:top="1420" w:bottom="1180" w:left="1540" w:right="1300"/>
        </w:sectPr>
      </w:pPr>
    </w:p>
    <w:p>
      <w:pPr>
        <w:pStyle w:val="BodyText"/>
        <w:spacing w:line="417" w:lineRule="auto" w:before="110"/>
        <w:ind w:left="260" w:right="388"/>
      </w:pPr>
      <w:r>
        <w:rPr>
          <w:spacing w:val="-10"/>
        </w:rPr>
        <w:t>产的安全，保证其托管的基金财产与基金托管人自有财产以及不同的基金财产相互独立；对</w:t>
      </w:r>
      <w:r>
        <w:rPr>
          <w:spacing w:val="-5"/>
        </w:rPr>
        <w:t>所托管的不同的基金分别设置账户，独立核算，分账管理，保证不同基金之间在账户设置、</w:t>
      </w:r>
      <w:r>
        <w:rPr>
          <w:spacing w:val="-4"/>
        </w:rPr>
        <w:t>资金划拨、账册记录等方面相互独立。</w:t>
      </w:r>
    </w:p>
    <w:p>
      <w:pPr>
        <w:pStyle w:val="ListParagraph"/>
        <w:numPr>
          <w:ilvl w:val="0"/>
          <w:numId w:val="42"/>
        </w:numPr>
        <w:tabs>
          <w:tab w:pos="1210" w:val="left" w:leader="none"/>
        </w:tabs>
        <w:spacing w:line="417" w:lineRule="auto" w:before="0" w:after="0"/>
        <w:ind w:left="260" w:right="49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2"/>
        </w:numPr>
        <w:tabs>
          <w:tab w:pos="1210" w:val="left" w:leader="none"/>
        </w:tabs>
        <w:spacing w:line="269" w:lineRule="exact" w:before="0" w:after="0"/>
        <w:ind w:left="120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2"/>
        </w:numPr>
        <w:tabs>
          <w:tab w:pos="1210" w:val="left" w:leader="none"/>
        </w:tabs>
        <w:spacing w:line="417" w:lineRule="auto" w:before="0" w:after="0"/>
        <w:ind w:left="260" w:right="494" w:firstLine="419"/>
        <w:jc w:val="left"/>
        <w:rPr>
          <w:sz w:val="21"/>
        </w:rPr>
      </w:pPr>
      <w:r>
        <w:rPr>
          <w:spacing w:val="-3"/>
          <w:sz w:val="21"/>
        </w:rPr>
        <w:t>按规定开设基金财产的资金账户和证券账户等投资所需账户，按照《基金合同》的约定，根据基金管理人的投资指令，及时办理清算、交割事宜。</w:t>
      </w:r>
    </w:p>
    <w:p>
      <w:pPr>
        <w:pStyle w:val="ListParagraph"/>
        <w:numPr>
          <w:ilvl w:val="0"/>
          <w:numId w:val="42"/>
        </w:numPr>
        <w:tabs>
          <w:tab w:pos="1210" w:val="left" w:leader="none"/>
        </w:tabs>
        <w:spacing w:line="417" w:lineRule="auto" w:before="0" w:after="0"/>
        <w:ind w:left="260" w:right="49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42"/>
        </w:numPr>
        <w:tabs>
          <w:tab w:pos="1210" w:val="left" w:leader="none"/>
        </w:tabs>
        <w:spacing w:line="269" w:lineRule="exact" w:before="0" w:after="0"/>
        <w:ind w:left="1209" w:right="0" w:hanging="530"/>
        <w:jc w:val="left"/>
        <w:rPr>
          <w:sz w:val="21"/>
        </w:rPr>
      </w:pPr>
      <w:r>
        <w:rPr>
          <w:spacing w:val="-3"/>
          <w:sz w:val="21"/>
        </w:rPr>
        <w:t>复核、审查基金管理人计算的基金资产净值、基金份额申购、赎回价格。</w:t>
      </w:r>
    </w:p>
    <w:p>
      <w:pPr>
        <w:pStyle w:val="BodyText"/>
        <w:spacing w:before="7"/>
        <w:rPr>
          <w:sz w:val="15"/>
        </w:rPr>
      </w:pPr>
    </w:p>
    <w:p>
      <w:pPr>
        <w:pStyle w:val="ListParagraph"/>
        <w:numPr>
          <w:ilvl w:val="0"/>
          <w:numId w:val="42"/>
        </w:numPr>
        <w:tabs>
          <w:tab w:pos="1210" w:val="left" w:leader="none"/>
        </w:tabs>
        <w:spacing w:line="240" w:lineRule="auto" w:before="0" w:after="0"/>
        <w:ind w:left="120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42"/>
        </w:numPr>
        <w:tabs>
          <w:tab w:pos="1315" w:val="left" w:leader="none"/>
        </w:tabs>
        <w:spacing w:line="417" w:lineRule="auto" w:before="0" w:after="0"/>
        <w:ind w:left="260" w:right="49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42"/>
        </w:numPr>
        <w:tabs>
          <w:tab w:pos="1306" w:val="left" w:leader="none"/>
        </w:tabs>
        <w:spacing w:line="240" w:lineRule="auto" w:before="0" w:after="0"/>
        <w:ind w:left="130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6"/>
        <w:rPr>
          <w:sz w:val="15"/>
        </w:rPr>
      </w:pPr>
    </w:p>
    <w:p>
      <w:pPr>
        <w:pStyle w:val="ListParagraph"/>
        <w:numPr>
          <w:ilvl w:val="0"/>
          <w:numId w:val="42"/>
        </w:numPr>
        <w:tabs>
          <w:tab w:pos="1315" w:val="left" w:leader="none"/>
        </w:tabs>
        <w:spacing w:line="240" w:lineRule="auto" w:before="0" w:after="0"/>
        <w:ind w:left="1315" w:right="0" w:hanging="635"/>
        <w:jc w:val="left"/>
        <w:rPr>
          <w:sz w:val="21"/>
        </w:rPr>
      </w:pPr>
      <w:r>
        <w:rPr>
          <w:spacing w:val="-3"/>
          <w:sz w:val="21"/>
        </w:rPr>
        <w:t>从基金管理人处接收并保存基金份额持有人名册。</w:t>
      </w:r>
    </w:p>
    <w:p>
      <w:pPr>
        <w:pStyle w:val="BodyText"/>
        <w:spacing w:before="7"/>
        <w:rPr>
          <w:sz w:val="15"/>
        </w:rPr>
      </w:pPr>
    </w:p>
    <w:p>
      <w:pPr>
        <w:pStyle w:val="ListParagraph"/>
        <w:numPr>
          <w:ilvl w:val="0"/>
          <w:numId w:val="42"/>
        </w:numPr>
        <w:tabs>
          <w:tab w:pos="1315" w:val="left" w:leader="none"/>
        </w:tabs>
        <w:spacing w:line="240" w:lineRule="auto" w:before="0" w:after="0"/>
        <w:ind w:left="1315" w:right="0" w:hanging="635"/>
        <w:jc w:val="left"/>
        <w:rPr>
          <w:sz w:val="21"/>
        </w:rPr>
      </w:pPr>
      <w:r>
        <w:rPr>
          <w:spacing w:val="-3"/>
          <w:sz w:val="21"/>
        </w:rPr>
        <w:t>按规定制作相关账册并与基金管理人核对。</w:t>
      </w:r>
    </w:p>
    <w:p>
      <w:pPr>
        <w:pStyle w:val="BodyText"/>
        <w:spacing w:before="7"/>
        <w:rPr>
          <w:sz w:val="15"/>
        </w:rPr>
      </w:pPr>
    </w:p>
    <w:p>
      <w:pPr>
        <w:pStyle w:val="ListParagraph"/>
        <w:numPr>
          <w:ilvl w:val="0"/>
          <w:numId w:val="42"/>
        </w:numPr>
        <w:tabs>
          <w:tab w:pos="1315" w:val="left" w:leader="none"/>
        </w:tabs>
        <w:spacing w:line="240" w:lineRule="auto" w:before="0" w:after="0"/>
        <w:ind w:left="1315" w:right="0" w:hanging="635"/>
        <w:jc w:val="left"/>
        <w:rPr>
          <w:sz w:val="21"/>
        </w:rPr>
      </w:pPr>
      <w:r>
        <w:rPr>
          <w:spacing w:val="-3"/>
          <w:sz w:val="21"/>
        </w:rPr>
        <w:t>依据基金管理人的指令或有关规定向基金份额持有人支付基金收益和赎回款项。</w:t>
      </w:r>
    </w:p>
    <w:p>
      <w:pPr>
        <w:pStyle w:val="BodyText"/>
        <w:spacing w:before="6"/>
        <w:rPr>
          <w:sz w:val="15"/>
        </w:rPr>
      </w:pPr>
    </w:p>
    <w:p>
      <w:pPr>
        <w:pStyle w:val="ListParagraph"/>
        <w:numPr>
          <w:ilvl w:val="0"/>
          <w:numId w:val="42"/>
        </w:numPr>
        <w:tabs>
          <w:tab w:pos="1315" w:val="left" w:leader="none"/>
        </w:tabs>
        <w:spacing w:line="417" w:lineRule="auto" w:before="1" w:after="0"/>
        <w:ind w:left="260" w:right="49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2"/>
        </w:numPr>
        <w:tabs>
          <w:tab w:pos="1315" w:val="left" w:leader="none"/>
        </w:tabs>
        <w:spacing w:line="240" w:lineRule="auto" w:before="0" w:after="0"/>
        <w:ind w:left="1315" w:right="0" w:hanging="635"/>
        <w:jc w:val="left"/>
        <w:rPr>
          <w:sz w:val="21"/>
        </w:rPr>
      </w:pPr>
      <w:r>
        <w:rPr>
          <w:spacing w:val="-3"/>
          <w:sz w:val="21"/>
        </w:rPr>
        <w:t>按照法律法规和《基金合同》的规定监督基金管理人的投资运作。</w:t>
      </w:r>
    </w:p>
    <w:p>
      <w:pPr>
        <w:pStyle w:val="BodyText"/>
        <w:spacing w:before="6"/>
        <w:rPr>
          <w:sz w:val="15"/>
        </w:rPr>
      </w:pPr>
    </w:p>
    <w:p>
      <w:pPr>
        <w:pStyle w:val="ListParagraph"/>
        <w:numPr>
          <w:ilvl w:val="0"/>
          <w:numId w:val="42"/>
        </w:numPr>
        <w:tabs>
          <w:tab w:pos="1315" w:val="left" w:leader="none"/>
        </w:tabs>
        <w:spacing w:line="240" w:lineRule="auto" w:before="1" w:after="0"/>
        <w:ind w:left="1315" w:right="0" w:hanging="635"/>
        <w:jc w:val="left"/>
        <w:rPr>
          <w:sz w:val="21"/>
        </w:rPr>
      </w:pPr>
      <w:r>
        <w:rPr>
          <w:spacing w:val="-3"/>
          <w:sz w:val="21"/>
        </w:rPr>
        <w:t>参加基金财产清算小组，参与基金财产的保管、清理、估价、变现和分配。</w:t>
      </w:r>
    </w:p>
    <w:p>
      <w:pPr>
        <w:pStyle w:val="BodyText"/>
        <w:spacing w:before="6"/>
        <w:rPr>
          <w:sz w:val="15"/>
        </w:rPr>
      </w:pPr>
    </w:p>
    <w:p>
      <w:pPr>
        <w:pStyle w:val="ListParagraph"/>
        <w:numPr>
          <w:ilvl w:val="0"/>
          <w:numId w:val="42"/>
        </w:numPr>
        <w:tabs>
          <w:tab w:pos="1313" w:val="left" w:leader="none"/>
        </w:tabs>
        <w:spacing w:line="417" w:lineRule="auto" w:before="0" w:after="0"/>
        <w:ind w:left="260" w:right="49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2"/>
        </w:numPr>
        <w:tabs>
          <w:tab w:pos="1315" w:val="left" w:leader="none"/>
        </w:tabs>
        <w:spacing w:line="417" w:lineRule="auto" w:before="0" w:after="0"/>
        <w:ind w:left="260" w:right="49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42"/>
        </w:numPr>
        <w:tabs>
          <w:tab w:pos="1315" w:val="left" w:leader="none"/>
        </w:tabs>
        <w:spacing w:line="417" w:lineRule="auto" w:before="0" w:after="0"/>
        <w:ind w:left="260" w:right="49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42"/>
        </w:numPr>
        <w:tabs>
          <w:tab w:pos="1315" w:val="left" w:leader="none"/>
        </w:tabs>
        <w:spacing w:line="240" w:lineRule="auto" w:before="0" w:after="0"/>
        <w:ind w:left="1315" w:right="0" w:hanging="635"/>
        <w:jc w:val="left"/>
        <w:rPr>
          <w:sz w:val="21"/>
        </w:rPr>
      </w:pPr>
      <w:r>
        <w:rPr>
          <w:spacing w:val="-3"/>
          <w:sz w:val="21"/>
        </w:rPr>
        <w:t>执行生效的基金份额持有人大会的决议。</w:t>
      </w:r>
    </w:p>
    <w:p>
      <w:pPr>
        <w:spacing w:after="0" w:line="240" w:lineRule="auto"/>
        <w:jc w:val="left"/>
        <w:rPr>
          <w:sz w:val="21"/>
        </w:rPr>
        <w:sectPr>
          <w:pgSz w:w="11910" w:h="16840"/>
          <w:pgMar w:header="877" w:footer="995" w:top="1420" w:bottom="1180" w:left="1540" w:right="1300"/>
        </w:sectPr>
      </w:pPr>
    </w:p>
    <w:p>
      <w:pPr>
        <w:pStyle w:val="ListParagraph"/>
        <w:numPr>
          <w:ilvl w:val="0"/>
          <w:numId w:val="42"/>
        </w:numPr>
        <w:tabs>
          <w:tab w:pos="1315" w:val="left" w:leader="none"/>
        </w:tabs>
        <w:spacing w:line="417" w:lineRule="auto" w:before="110" w:after="0"/>
        <w:ind w:left="680" w:right="1867" w:firstLine="0"/>
        <w:jc w:val="left"/>
        <w:rPr>
          <w:sz w:val="21"/>
        </w:rPr>
      </w:pPr>
      <w:r>
        <w:rPr>
          <w:spacing w:val="-3"/>
          <w:sz w:val="21"/>
        </w:rPr>
        <w:t>法律法规及中国证监会规定的和《基金合同》约定的其他义务。三、基金份额持有人</w:t>
      </w:r>
    </w:p>
    <w:p>
      <w:pPr>
        <w:pStyle w:val="BodyText"/>
        <w:spacing w:line="417" w:lineRule="auto"/>
        <w:ind w:left="260" w:right="388" w:firstLine="419"/>
      </w:pPr>
      <w:r>
        <w:rPr>
          <w:spacing w:val="-7"/>
        </w:rPr>
        <w:t>基金投资者持有本基金基金份额的行为即视为对《基金合同》的承认和接受，基金投资</w:t>
      </w:r>
      <w:r>
        <w:rPr>
          <w:spacing w:val="-4"/>
        </w:rPr>
        <w:t>者自依据《基金合同》取得基金份额，即成为本基金份额持有人和《基金合同》的当事人， </w:t>
      </w:r>
      <w:r>
        <w:rPr>
          <w:spacing w:val="-8"/>
        </w:rPr>
        <w:t>直至其不再持有本基金的基金份额。基金份额持有人作为《基金合同》当事人并不以在《基</w:t>
      </w:r>
      <w:r>
        <w:rPr>
          <w:spacing w:val="-5"/>
        </w:rPr>
        <w:t>金合同》上书面签章或签字为必要条件。</w:t>
      </w:r>
    </w:p>
    <w:p>
      <w:pPr>
        <w:pStyle w:val="BodyText"/>
        <w:spacing w:line="268" w:lineRule="exact"/>
        <w:ind w:left="680"/>
      </w:pPr>
      <w:r>
        <w:rPr>
          <w:spacing w:val="-3"/>
        </w:rPr>
        <w:t>每份基金份额具有同等的合法权益。</w:t>
      </w:r>
    </w:p>
    <w:p>
      <w:pPr>
        <w:pStyle w:val="BodyText"/>
        <w:spacing w:before="7"/>
        <w:rPr>
          <w:sz w:val="15"/>
        </w:rPr>
      </w:pPr>
    </w:p>
    <w:p>
      <w:pPr>
        <w:pStyle w:val="BodyText"/>
        <w:spacing w:line="417" w:lineRule="auto"/>
        <w:ind w:left="260" w:right="49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3"/>
        </w:numPr>
        <w:tabs>
          <w:tab w:pos="1210" w:val="left" w:leader="none"/>
        </w:tabs>
        <w:spacing w:line="269" w:lineRule="exact" w:before="0" w:after="0"/>
        <w:ind w:left="1209" w:right="0" w:hanging="530"/>
        <w:jc w:val="left"/>
        <w:rPr>
          <w:sz w:val="21"/>
        </w:rPr>
      </w:pPr>
      <w:r>
        <w:rPr>
          <w:spacing w:val="-3"/>
          <w:sz w:val="21"/>
        </w:rPr>
        <w:t>分享基金财产收益。</w:t>
      </w:r>
    </w:p>
    <w:p>
      <w:pPr>
        <w:pStyle w:val="BodyText"/>
        <w:spacing w:before="6"/>
        <w:rPr>
          <w:sz w:val="15"/>
        </w:rPr>
      </w:pPr>
    </w:p>
    <w:p>
      <w:pPr>
        <w:pStyle w:val="ListParagraph"/>
        <w:numPr>
          <w:ilvl w:val="0"/>
          <w:numId w:val="43"/>
        </w:numPr>
        <w:tabs>
          <w:tab w:pos="1210" w:val="left" w:leader="none"/>
        </w:tabs>
        <w:spacing w:line="240" w:lineRule="auto" w:before="0" w:after="0"/>
        <w:ind w:left="1209" w:right="0" w:hanging="530"/>
        <w:jc w:val="left"/>
        <w:rPr>
          <w:sz w:val="21"/>
        </w:rPr>
      </w:pPr>
      <w:r>
        <w:rPr>
          <w:spacing w:val="-3"/>
          <w:sz w:val="21"/>
        </w:rPr>
        <w:t>参与分配清算后的剩余基金财产。</w:t>
      </w:r>
    </w:p>
    <w:p>
      <w:pPr>
        <w:pStyle w:val="BodyText"/>
        <w:spacing w:before="7"/>
        <w:rPr>
          <w:sz w:val="15"/>
        </w:rPr>
      </w:pPr>
    </w:p>
    <w:p>
      <w:pPr>
        <w:pStyle w:val="ListParagraph"/>
        <w:numPr>
          <w:ilvl w:val="0"/>
          <w:numId w:val="43"/>
        </w:numPr>
        <w:tabs>
          <w:tab w:pos="1210" w:val="left" w:leader="none"/>
        </w:tabs>
        <w:spacing w:line="240" w:lineRule="auto" w:before="0" w:after="0"/>
        <w:ind w:left="1209" w:right="0" w:hanging="530"/>
        <w:jc w:val="left"/>
        <w:rPr>
          <w:sz w:val="21"/>
        </w:rPr>
      </w:pPr>
      <w:r>
        <w:rPr>
          <w:spacing w:val="-3"/>
          <w:sz w:val="21"/>
        </w:rPr>
        <w:t>依法申请赎回其持有的基金份额。</w:t>
      </w:r>
    </w:p>
    <w:p>
      <w:pPr>
        <w:pStyle w:val="BodyText"/>
        <w:spacing w:before="7"/>
        <w:rPr>
          <w:sz w:val="15"/>
        </w:rPr>
      </w:pPr>
    </w:p>
    <w:p>
      <w:pPr>
        <w:pStyle w:val="ListParagraph"/>
        <w:numPr>
          <w:ilvl w:val="0"/>
          <w:numId w:val="43"/>
        </w:numPr>
        <w:tabs>
          <w:tab w:pos="1210" w:val="left" w:leader="none"/>
        </w:tabs>
        <w:spacing w:line="240" w:lineRule="auto" w:before="0" w:after="0"/>
        <w:ind w:left="120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3"/>
        </w:numPr>
        <w:tabs>
          <w:tab w:pos="1210" w:val="left" w:leader="none"/>
        </w:tabs>
        <w:spacing w:line="417" w:lineRule="auto" w:before="0" w:after="0"/>
        <w:ind w:left="260" w:right="49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3"/>
        </w:numPr>
        <w:tabs>
          <w:tab w:pos="1210" w:val="left" w:leader="none"/>
        </w:tabs>
        <w:spacing w:line="240" w:lineRule="auto" w:before="0" w:after="0"/>
        <w:ind w:left="1209" w:right="0" w:hanging="530"/>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43"/>
        </w:numPr>
        <w:tabs>
          <w:tab w:pos="1210" w:val="left" w:leader="none"/>
        </w:tabs>
        <w:spacing w:line="240" w:lineRule="auto" w:before="1" w:after="0"/>
        <w:ind w:left="1209" w:right="0" w:hanging="530"/>
        <w:jc w:val="left"/>
        <w:rPr>
          <w:sz w:val="21"/>
        </w:rPr>
      </w:pPr>
      <w:r>
        <w:rPr>
          <w:spacing w:val="-3"/>
          <w:sz w:val="21"/>
        </w:rPr>
        <w:t>监督基金管理人的投资运作。</w:t>
      </w:r>
    </w:p>
    <w:p>
      <w:pPr>
        <w:pStyle w:val="BodyText"/>
        <w:spacing w:before="6"/>
        <w:rPr>
          <w:sz w:val="15"/>
        </w:rPr>
      </w:pPr>
    </w:p>
    <w:p>
      <w:pPr>
        <w:pStyle w:val="ListParagraph"/>
        <w:numPr>
          <w:ilvl w:val="0"/>
          <w:numId w:val="43"/>
        </w:numPr>
        <w:tabs>
          <w:tab w:pos="1210" w:val="left" w:leader="none"/>
        </w:tabs>
        <w:spacing w:line="417" w:lineRule="auto" w:before="0" w:after="0"/>
        <w:ind w:left="260" w:right="494" w:firstLine="419"/>
        <w:jc w:val="left"/>
        <w:rPr>
          <w:sz w:val="21"/>
        </w:rPr>
      </w:pPr>
      <w:r>
        <w:rPr>
          <w:spacing w:val="-3"/>
          <w:sz w:val="21"/>
        </w:rPr>
        <w:t>对基金管理人、基金托管人、基金服务机构损害其合法权益的行为依法提起诉讼或仲裁。</w:t>
      </w:r>
    </w:p>
    <w:p>
      <w:pPr>
        <w:pStyle w:val="ListParagraph"/>
        <w:numPr>
          <w:ilvl w:val="0"/>
          <w:numId w:val="43"/>
        </w:numPr>
        <w:tabs>
          <w:tab w:pos="1210" w:val="left" w:leader="none"/>
        </w:tabs>
        <w:spacing w:line="269" w:lineRule="exact" w:before="0" w:after="0"/>
        <w:ind w:left="120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spacing w:line="417" w:lineRule="auto"/>
        <w:ind w:left="260" w:right="49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4"/>
        </w:numPr>
        <w:tabs>
          <w:tab w:pos="1210" w:val="left" w:leader="none"/>
        </w:tabs>
        <w:spacing w:line="240" w:lineRule="auto" w:before="0" w:after="0"/>
        <w:ind w:left="1209" w:right="0" w:hanging="530"/>
        <w:jc w:val="left"/>
        <w:rPr>
          <w:sz w:val="21"/>
        </w:rPr>
      </w:pPr>
      <w:r>
        <w:rPr>
          <w:spacing w:val="-16"/>
          <w:sz w:val="21"/>
        </w:rPr>
        <w:t>认真阅读并遵守《基金合同》、《招募说明书》等信息披露文件。</w:t>
      </w:r>
    </w:p>
    <w:p>
      <w:pPr>
        <w:pStyle w:val="BodyText"/>
        <w:spacing w:before="7"/>
        <w:rPr>
          <w:sz w:val="15"/>
        </w:rPr>
      </w:pPr>
    </w:p>
    <w:p>
      <w:pPr>
        <w:pStyle w:val="ListParagraph"/>
        <w:numPr>
          <w:ilvl w:val="0"/>
          <w:numId w:val="44"/>
        </w:numPr>
        <w:tabs>
          <w:tab w:pos="1210" w:val="left" w:leader="none"/>
        </w:tabs>
        <w:spacing w:line="417" w:lineRule="auto" w:before="0" w:after="0"/>
        <w:ind w:left="260" w:right="494" w:firstLine="419"/>
        <w:jc w:val="left"/>
        <w:rPr>
          <w:sz w:val="21"/>
        </w:rPr>
      </w:pPr>
      <w:r>
        <w:rPr>
          <w:spacing w:val="-3"/>
          <w:sz w:val="21"/>
        </w:rPr>
        <w:t>了解所投资基金产品，了解自身风险承受能力，自主判断基金的投资价值，自主做出投资决策，自行承担投资风险。</w:t>
      </w:r>
    </w:p>
    <w:p>
      <w:pPr>
        <w:pStyle w:val="ListParagraph"/>
        <w:numPr>
          <w:ilvl w:val="0"/>
          <w:numId w:val="44"/>
        </w:numPr>
        <w:tabs>
          <w:tab w:pos="1210" w:val="left" w:leader="none"/>
        </w:tabs>
        <w:spacing w:line="269" w:lineRule="exact" w:before="0" w:after="0"/>
        <w:ind w:left="1209" w:right="0" w:hanging="530"/>
        <w:jc w:val="left"/>
        <w:rPr>
          <w:sz w:val="21"/>
        </w:rPr>
      </w:pPr>
      <w:r>
        <w:rPr>
          <w:spacing w:val="-3"/>
          <w:sz w:val="21"/>
        </w:rPr>
        <w:t>关注基金信息披露，及时行使权利和履行义务。</w:t>
      </w:r>
    </w:p>
    <w:p>
      <w:pPr>
        <w:pStyle w:val="BodyText"/>
        <w:spacing w:before="7"/>
        <w:rPr>
          <w:sz w:val="15"/>
        </w:rPr>
      </w:pPr>
    </w:p>
    <w:p>
      <w:pPr>
        <w:pStyle w:val="ListParagraph"/>
        <w:numPr>
          <w:ilvl w:val="0"/>
          <w:numId w:val="44"/>
        </w:numPr>
        <w:tabs>
          <w:tab w:pos="1210" w:val="left" w:leader="none"/>
        </w:tabs>
        <w:spacing w:line="240" w:lineRule="auto" w:before="0" w:after="0"/>
        <w:ind w:left="1209" w:right="0" w:hanging="530"/>
        <w:jc w:val="left"/>
        <w:rPr>
          <w:sz w:val="21"/>
        </w:rPr>
      </w:pPr>
      <w:r>
        <w:rPr>
          <w:spacing w:val="-3"/>
          <w:sz w:val="21"/>
        </w:rPr>
        <w:t>缴纳基金认购、申购款项及法律法规和《基金合同》所规定的费用。</w:t>
      </w:r>
    </w:p>
    <w:p>
      <w:pPr>
        <w:pStyle w:val="BodyText"/>
        <w:spacing w:before="6"/>
        <w:rPr>
          <w:sz w:val="15"/>
        </w:rPr>
      </w:pPr>
    </w:p>
    <w:p>
      <w:pPr>
        <w:pStyle w:val="ListParagraph"/>
        <w:numPr>
          <w:ilvl w:val="0"/>
          <w:numId w:val="44"/>
        </w:numPr>
        <w:tabs>
          <w:tab w:pos="1210" w:val="left" w:leader="none"/>
        </w:tabs>
        <w:spacing w:line="240" w:lineRule="auto" w:before="1" w:after="0"/>
        <w:ind w:left="1209" w:right="0" w:hanging="530"/>
        <w:jc w:val="left"/>
        <w:rPr>
          <w:sz w:val="21"/>
        </w:rPr>
      </w:pPr>
      <w:r>
        <w:rPr>
          <w:spacing w:val="-3"/>
          <w:sz w:val="21"/>
        </w:rPr>
        <w:t>在其持有的基金份额范围内，承担基金亏损或者《基金合同》终止的有限责任。</w:t>
      </w:r>
    </w:p>
    <w:p>
      <w:pPr>
        <w:pStyle w:val="BodyText"/>
        <w:spacing w:before="6"/>
        <w:rPr>
          <w:sz w:val="15"/>
        </w:rPr>
      </w:pPr>
    </w:p>
    <w:p>
      <w:pPr>
        <w:pStyle w:val="ListParagraph"/>
        <w:numPr>
          <w:ilvl w:val="0"/>
          <w:numId w:val="44"/>
        </w:numPr>
        <w:tabs>
          <w:tab w:pos="1210" w:val="left" w:leader="none"/>
        </w:tabs>
        <w:spacing w:line="240" w:lineRule="auto" w:before="1" w:after="0"/>
        <w:ind w:left="1209" w:right="0" w:hanging="530"/>
        <w:jc w:val="left"/>
        <w:rPr>
          <w:sz w:val="21"/>
        </w:rPr>
      </w:pPr>
      <w:r>
        <w:rPr>
          <w:spacing w:val="-3"/>
          <w:sz w:val="21"/>
        </w:rPr>
        <w:t>不从事任何有损基金及其他《基金合同》当事人合法权益的活动。</w:t>
      </w:r>
    </w:p>
    <w:p>
      <w:pPr>
        <w:pStyle w:val="BodyText"/>
        <w:spacing w:before="6"/>
        <w:rPr>
          <w:sz w:val="15"/>
        </w:rPr>
      </w:pPr>
    </w:p>
    <w:p>
      <w:pPr>
        <w:pStyle w:val="ListParagraph"/>
        <w:numPr>
          <w:ilvl w:val="0"/>
          <w:numId w:val="44"/>
        </w:numPr>
        <w:tabs>
          <w:tab w:pos="1210" w:val="left" w:leader="none"/>
        </w:tabs>
        <w:spacing w:line="240" w:lineRule="auto" w:before="0" w:after="0"/>
        <w:ind w:left="1209" w:right="0" w:hanging="530"/>
        <w:jc w:val="left"/>
        <w:rPr>
          <w:sz w:val="21"/>
        </w:rPr>
      </w:pPr>
      <w:r>
        <w:rPr>
          <w:spacing w:val="-3"/>
          <w:sz w:val="21"/>
        </w:rPr>
        <w:t>执行生效的基金份额持有人大会的决议。</w:t>
      </w:r>
    </w:p>
    <w:p>
      <w:pPr>
        <w:spacing w:after="0" w:line="240" w:lineRule="auto"/>
        <w:jc w:val="left"/>
        <w:rPr>
          <w:sz w:val="21"/>
        </w:rPr>
        <w:sectPr>
          <w:footerReference w:type="default" r:id="rId154"/>
          <w:pgSz w:w="11910" w:h="16840"/>
          <w:pgMar w:footer="995" w:header="877" w:top="1420" w:bottom="1180" w:left="1540" w:right="1300"/>
        </w:sectPr>
      </w:pPr>
    </w:p>
    <w:p>
      <w:pPr>
        <w:pStyle w:val="ListParagraph"/>
        <w:numPr>
          <w:ilvl w:val="0"/>
          <w:numId w:val="44"/>
        </w:numPr>
        <w:tabs>
          <w:tab w:pos="1210" w:val="left" w:leader="none"/>
        </w:tabs>
        <w:spacing w:line="240" w:lineRule="auto" w:before="110" w:after="0"/>
        <w:ind w:left="1209" w:right="0" w:hanging="530"/>
        <w:jc w:val="left"/>
        <w:rPr>
          <w:sz w:val="21"/>
        </w:rPr>
      </w:pPr>
      <w:r>
        <w:rPr>
          <w:spacing w:val="-3"/>
          <w:sz w:val="21"/>
        </w:rPr>
        <w:t>返还在基金交易过程中因任何原因获得的不当得利。</w:t>
      </w:r>
    </w:p>
    <w:p>
      <w:pPr>
        <w:pStyle w:val="BodyText"/>
        <w:spacing w:before="6"/>
        <w:rPr>
          <w:sz w:val="15"/>
        </w:rPr>
      </w:pPr>
    </w:p>
    <w:p>
      <w:pPr>
        <w:pStyle w:val="ListParagraph"/>
        <w:numPr>
          <w:ilvl w:val="0"/>
          <w:numId w:val="44"/>
        </w:numPr>
        <w:tabs>
          <w:tab w:pos="1210" w:val="left" w:leader="none"/>
          <w:tab w:pos="2519" w:val="left" w:leader="none"/>
        </w:tabs>
        <w:spacing w:line="417" w:lineRule="auto" w:before="0" w:after="0"/>
        <w:ind w:left="1462" w:right="1696" w:hanging="783"/>
        <w:jc w:val="left"/>
        <w:rPr>
          <w:b/>
          <w:sz w:val="21"/>
        </w:rPr>
      </w:pPr>
      <w:r>
        <w:rPr>
          <w:sz w:val="21"/>
        </w:rPr>
        <w:t>法</w:t>
      </w:r>
      <w:r>
        <w:rPr>
          <w:spacing w:val="-3"/>
          <w:sz w:val="21"/>
        </w:rPr>
        <w:t>律</w:t>
      </w:r>
      <w:r>
        <w:rPr>
          <w:sz w:val="21"/>
        </w:rPr>
        <w:t>法</w:t>
      </w:r>
      <w:r>
        <w:rPr>
          <w:spacing w:val="-3"/>
          <w:sz w:val="21"/>
        </w:rPr>
        <w:t>规</w:t>
      </w:r>
      <w:r>
        <w:rPr>
          <w:sz w:val="21"/>
        </w:rPr>
        <w:t>及</w:t>
      </w:r>
      <w:r>
        <w:rPr>
          <w:spacing w:val="-3"/>
          <w:sz w:val="21"/>
        </w:rPr>
        <w:t>中</w:t>
      </w:r>
      <w:r>
        <w:rPr>
          <w:sz w:val="21"/>
        </w:rPr>
        <w:t>国</w:t>
      </w:r>
      <w:r>
        <w:rPr>
          <w:spacing w:val="-3"/>
          <w:sz w:val="21"/>
        </w:rPr>
        <w:t>证监</w:t>
      </w:r>
      <w:r>
        <w:rPr>
          <w:sz w:val="21"/>
        </w:rPr>
        <w:t>会规</w:t>
      </w:r>
      <w:r>
        <w:rPr>
          <w:spacing w:val="-3"/>
          <w:sz w:val="21"/>
        </w:rPr>
        <w:t>定</w:t>
      </w:r>
      <w:r>
        <w:rPr>
          <w:sz w:val="21"/>
        </w:rPr>
        <w:t>的</w:t>
      </w:r>
      <w:r>
        <w:rPr>
          <w:spacing w:val="-3"/>
          <w:sz w:val="21"/>
        </w:rPr>
        <w:t>和</w:t>
      </w:r>
      <w:r>
        <w:rPr>
          <w:sz w:val="21"/>
        </w:rPr>
        <w:t>《</w:t>
      </w:r>
      <w:r>
        <w:rPr>
          <w:spacing w:val="-3"/>
          <w:sz w:val="21"/>
        </w:rPr>
        <w:t>基</w:t>
      </w:r>
      <w:r>
        <w:rPr>
          <w:sz w:val="21"/>
        </w:rPr>
        <w:t>金</w:t>
      </w:r>
      <w:r>
        <w:rPr>
          <w:spacing w:val="-3"/>
          <w:sz w:val="21"/>
        </w:rPr>
        <w:t>合</w:t>
      </w:r>
      <w:r>
        <w:rPr>
          <w:sz w:val="21"/>
        </w:rPr>
        <w:t>同</w:t>
      </w:r>
      <w:r>
        <w:rPr>
          <w:spacing w:val="-3"/>
          <w:sz w:val="21"/>
        </w:rPr>
        <w:t>》</w:t>
      </w:r>
      <w:r>
        <w:rPr>
          <w:sz w:val="21"/>
        </w:rPr>
        <w:t>约定</w:t>
      </w:r>
      <w:r>
        <w:rPr>
          <w:spacing w:val="-3"/>
          <w:sz w:val="21"/>
        </w:rPr>
        <w:t>的</w:t>
      </w:r>
      <w:r>
        <w:rPr>
          <w:sz w:val="21"/>
        </w:rPr>
        <w:t>其</w:t>
      </w:r>
      <w:r>
        <w:rPr>
          <w:spacing w:val="-3"/>
          <w:sz w:val="21"/>
        </w:rPr>
        <w:t>他</w:t>
      </w:r>
      <w:r>
        <w:rPr>
          <w:sz w:val="21"/>
        </w:rPr>
        <w:t>义</w:t>
      </w:r>
      <w:r>
        <w:rPr>
          <w:spacing w:val="-3"/>
          <w:sz w:val="21"/>
        </w:rPr>
        <w:t>务</w:t>
      </w:r>
      <w:r>
        <w:rPr>
          <w:sz w:val="21"/>
        </w:rPr>
        <w:t>。  </w:t>
      </w:r>
      <w:r>
        <w:rPr>
          <w:b/>
          <w:sz w:val="21"/>
        </w:rPr>
        <w:t>第二部分</w:t>
        <w:tab/>
        <w:t>基金份</w:t>
      </w:r>
      <w:r>
        <w:rPr>
          <w:b/>
          <w:spacing w:val="-3"/>
          <w:sz w:val="21"/>
        </w:rPr>
        <w:t>额</w:t>
      </w:r>
      <w:r>
        <w:rPr>
          <w:b/>
          <w:sz w:val="21"/>
        </w:rPr>
        <w:t>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w:t>
      </w:r>
      <w:r>
        <w:rPr>
          <w:b/>
          <w:spacing w:val="-15"/>
          <w:sz w:val="21"/>
        </w:rPr>
        <w:t>则</w:t>
      </w:r>
    </w:p>
    <w:p>
      <w:pPr>
        <w:pStyle w:val="BodyText"/>
        <w:spacing w:line="417" w:lineRule="auto"/>
        <w:ind w:left="260" w:right="38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spacing w:line="269" w:lineRule="exact"/>
        <w:ind w:left="680"/>
      </w:pPr>
      <w:r>
        <w:rPr/>
        <w:t>一、召开事由</w:t>
      </w:r>
    </w:p>
    <w:p>
      <w:pPr>
        <w:pStyle w:val="BodyText"/>
        <w:spacing w:before="7"/>
        <w:rPr>
          <w:sz w:val="15"/>
        </w:rPr>
      </w:pPr>
    </w:p>
    <w:p>
      <w:pPr>
        <w:pStyle w:val="BodyText"/>
        <w:spacing w:line="417" w:lineRule="auto"/>
        <w:ind w:left="260" w:right="494" w:firstLine="419"/>
      </w:pPr>
      <w:r>
        <w:rPr>
          <w:rFonts w:ascii="Times New Roman" w:eastAsia="Times New Roman"/>
        </w:rPr>
        <w:t>1</w:t>
      </w:r>
      <w:r>
        <w:rPr/>
        <w:t>、当出现或需要决定下列事由之一的，应当召开基金份额持有人大会，法律法规、中国证监会另有规定的除外：</w:t>
      </w:r>
    </w:p>
    <w:p>
      <w:pPr>
        <w:pStyle w:val="ListParagraph"/>
        <w:numPr>
          <w:ilvl w:val="0"/>
          <w:numId w:val="45"/>
        </w:numPr>
        <w:tabs>
          <w:tab w:pos="1210" w:val="left" w:leader="none"/>
        </w:tabs>
        <w:spacing w:line="240" w:lineRule="auto" w:before="70" w:after="0"/>
        <w:ind w:left="1209" w:right="0" w:hanging="530"/>
        <w:jc w:val="left"/>
        <w:rPr>
          <w:sz w:val="21"/>
        </w:rPr>
      </w:pPr>
      <w:r>
        <w:rPr>
          <w:spacing w:val="-15"/>
          <w:sz w:val="21"/>
        </w:rPr>
        <w:t>终止《基金合同》。</w:t>
      </w:r>
    </w:p>
    <w:p>
      <w:pPr>
        <w:pStyle w:val="ListParagraph"/>
        <w:numPr>
          <w:ilvl w:val="0"/>
          <w:numId w:val="45"/>
        </w:numPr>
        <w:tabs>
          <w:tab w:pos="1210" w:val="left" w:leader="none"/>
        </w:tabs>
        <w:spacing w:line="240" w:lineRule="auto" w:before="170" w:after="0"/>
        <w:ind w:left="1209" w:right="0" w:hanging="530"/>
        <w:jc w:val="left"/>
        <w:rPr>
          <w:sz w:val="21"/>
        </w:rPr>
      </w:pPr>
      <w:r>
        <w:rPr>
          <w:spacing w:val="-3"/>
          <w:sz w:val="21"/>
        </w:rPr>
        <w:t>更换基金管理人。</w:t>
      </w:r>
    </w:p>
    <w:p>
      <w:pPr>
        <w:pStyle w:val="ListParagraph"/>
        <w:numPr>
          <w:ilvl w:val="0"/>
          <w:numId w:val="45"/>
        </w:numPr>
        <w:tabs>
          <w:tab w:pos="1210" w:val="left" w:leader="none"/>
        </w:tabs>
        <w:spacing w:line="240" w:lineRule="auto" w:before="172" w:after="0"/>
        <w:ind w:left="1209" w:right="0" w:hanging="530"/>
        <w:jc w:val="left"/>
        <w:rPr>
          <w:sz w:val="21"/>
        </w:rPr>
      </w:pPr>
      <w:r>
        <w:rPr>
          <w:spacing w:val="-3"/>
          <w:sz w:val="21"/>
        </w:rPr>
        <w:t>更换基金托管人。</w:t>
      </w:r>
    </w:p>
    <w:p>
      <w:pPr>
        <w:pStyle w:val="ListParagraph"/>
        <w:numPr>
          <w:ilvl w:val="0"/>
          <w:numId w:val="45"/>
        </w:numPr>
        <w:tabs>
          <w:tab w:pos="1210" w:val="left" w:leader="none"/>
        </w:tabs>
        <w:spacing w:line="240" w:lineRule="auto" w:before="171" w:after="0"/>
        <w:ind w:left="1209" w:right="0" w:hanging="530"/>
        <w:jc w:val="left"/>
        <w:rPr>
          <w:sz w:val="21"/>
        </w:rPr>
      </w:pPr>
      <w:r>
        <w:rPr>
          <w:spacing w:val="-3"/>
          <w:sz w:val="21"/>
        </w:rPr>
        <w:t>转换基金运作方式。</w:t>
      </w:r>
    </w:p>
    <w:p>
      <w:pPr>
        <w:pStyle w:val="ListParagraph"/>
        <w:numPr>
          <w:ilvl w:val="0"/>
          <w:numId w:val="45"/>
        </w:numPr>
        <w:tabs>
          <w:tab w:pos="1210" w:val="left" w:leader="none"/>
        </w:tabs>
        <w:spacing w:line="393" w:lineRule="auto" w:before="170" w:after="0"/>
        <w:ind w:left="260" w:right="494" w:firstLine="419"/>
        <w:jc w:val="left"/>
        <w:rPr>
          <w:sz w:val="21"/>
        </w:rPr>
      </w:pPr>
      <w:r>
        <w:rPr>
          <w:spacing w:val="-3"/>
          <w:sz w:val="21"/>
        </w:rPr>
        <w:t>调整基金管理人、基金托管人的报酬标准，但法律法规或中国证监会另有规定的除外。</w:t>
      </w:r>
    </w:p>
    <w:p>
      <w:pPr>
        <w:pStyle w:val="ListParagraph"/>
        <w:numPr>
          <w:ilvl w:val="0"/>
          <w:numId w:val="45"/>
        </w:numPr>
        <w:tabs>
          <w:tab w:pos="1210" w:val="left" w:leader="none"/>
        </w:tabs>
        <w:spacing w:line="268" w:lineRule="exact" w:before="0" w:after="0"/>
        <w:ind w:left="1209" w:right="0" w:hanging="530"/>
        <w:jc w:val="left"/>
        <w:rPr>
          <w:sz w:val="21"/>
        </w:rPr>
      </w:pPr>
      <w:r>
        <w:rPr>
          <w:spacing w:val="-3"/>
          <w:sz w:val="21"/>
        </w:rPr>
        <w:t>变更基金类别。</w:t>
      </w:r>
    </w:p>
    <w:p>
      <w:pPr>
        <w:pStyle w:val="ListParagraph"/>
        <w:numPr>
          <w:ilvl w:val="0"/>
          <w:numId w:val="45"/>
        </w:numPr>
        <w:tabs>
          <w:tab w:pos="1210" w:val="left" w:leader="none"/>
        </w:tabs>
        <w:spacing w:line="240" w:lineRule="auto" w:before="170" w:after="0"/>
        <w:ind w:left="1209" w:right="0" w:hanging="530"/>
        <w:jc w:val="left"/>
        <w:rPr>
          <w:sz w:val="21"/>
        </w:rPr>
      </w:pPr>
      <w:r>
        <w:rPr>
          <w:spacing w:val="-3"/>
          <w:sz w:val="21"/>
        </w:rPr>
        <w:t>本基金与其他基金的合并。</w:t>
      </w:r>
    </w:p>
    <w:p>
      <w:pPr>
        <w:pStyle w:val="ListParagraph"/>
        <w:numPr>
          <w:ilvl w:val="0"/>
          <w:numId w:val="45"/>
        </w:numPr>
        <w:tabs>
          <w:tab w:pos="1210" w:val="left" w:leader="none"/>
        </w:tabs>
        <w:spacing w:line="240" w:lineRule="auto" w:before="172" w:after="0"/>
        <w:ind w:left="1209" w:right="0" w:hanging="530"/>
        <w:jc w:val="left"/>
        <w:rPr>
          <w:sz w:val="21"/>
        </w:rPr>
      </w:pPr>
      <w:r>
        <w:rPr>
          <w:spacing w:val="-3"/>
          <w:sz w:val="21"/>
        </w:rPr>
        <w:t>变更基金投资目标、范围或策略。</w:t>
      </w:r>
    </w:p>
    <w:p>
      <w:pPr>
        <w:pStyle w:val="ListParagraph"/>
        <w:numPr>
          <w:ilvl w:val="0"/>
          <w:numId w:val="45"/>
        </w:numPr>
        <w:tabs>
          <w:tab w:pos="1210" w:val="left" w:leader="none"/>
        </w:tabs>
        <w:spacing w:line="240" w:lineRule="auto" w:before="170" w:after="0"/>
        <w:ind w:left="1209" w:right="0" w:hanging="530"/>
        <w:jc w:val="left"/>
        <w:rPr>
          <w:sz w:val="21"/>
        </w:rPr>
      </w:pPr>
      <w:r>
        <w:rPr>
          <w:spacing w:val="-3"/>
          <w:sz w:val="21"/>
        </w:rPr>
        <w:t>变更基金份额持有人大会程序。</w:t>
      </w:r>
    </w:p>
    <w:p>
      <w:pPr>
        <w:pStyle w:val="ListParagraph"/>
        <w:numPr>
          <w:ilvl w:val="0"/>
          <w:numId w:val="45"/>
        </w:numPr>
        <w:tabs>
          <w:tab w:pos="1315" w:val="left" w:leader="none"/>
        </w:tabs>
        <w:spacing w:line="240" w:lineRule="auto" w:before="171" w:after="0"/>
        <w:ind w:left="1315" w:right="0" w:hanging="635"/>
        <w:jc w:val="left"/>
        <w:rPr>
          <w:sz w:val="21"/>
        </w:rPr>
      </w:pPr>
      <w:r>
        <w:rPr>
          <w:spacing w:val="-3"/>
          <w:sz w:val="21"/>
        </w:rPr>
        <w:t>基金管理人或基金托管人要求召开基金份额持有人大会。</w:t>
      </w:r>
    </w:p>
    <w:p>
      <w:pPr>
        <w:pStyle w:val="ListParagraph"/>
        <w:numPr>
          <w:ilvl w:val="0"/>
          <w:numId w:val="45"/>
        </w:numPr>
        <w:tabs>
          <w:tab w:pos="1306" w:val="left" w:leader="none"/>
        </w:tabs>
        <w:spacing w:line="240" w:lineRule="auto" w:before="172" w:after="0"/>
        <w:ind w:left="130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（含 </w:t>
      </w:r>
      <w:r>
        <w:rPr>
          <w:rFonts w:ascii="Times New Roman" w:eastAsia="Times New Roman"/>
          <w:sz w:val="21"/>
        </w:rPr>
        <w:t>10%</w:t>
      </w:r>
      <w:r>
        <w:rPr>
          <w:sz w:val="21"/>
        </w:rPr>
        <w:t>）</w:t>
      </w:r>
      <w:r>
        <w:rPr>
          <w:spacing w:val="-3"/>
          <w:sz w:val="21"/>
        </w:rPr>
        <w:t>基金份额的基金份额持有人</w:t>
      </w:r>
    </w:p>
    <w:p>
      <w:pPr>
        <w:pStyle w:val="BodyText"/>
        <w:spacing w:line="391" w:lineRule="auto" w:before="170"/>
        <w:ind w:left="260" w:right="491"/>
      </w:pPr>
      <w:r>
        <w:rPr/>
        <w:t>（</w:t>
      </w:r>
      <w:r>
        <w:rPr>
          <w:spacing w:val="-6"/>
        </w:rPr>
        <w:t>以基金管理人收到提议当日的基金份额计算，下同</w:t>
      </w:r>
      <w:r>
        <w:rPr>
          <w:spacing w:val="-48"/>
        </w:rPr>
        <w:t>）</w:t>
      </w:r>
      <w:r>
        <w:rPr>
          <w:spacing w:val="-3"/>
        </w:rPr>
        <w:t>就同一事项书面要求召开基金份额持有人大会。</w:t>
      </w:r>
    </w:p>
    <w:p>
      <w:pPr>
        <w:pStyle w:val="ListParagraph"/>
        <w:numPr>
          <w:ilvl w:val="0"/>
          <w:numId w:val="45"/>
        </w:numPr>
        <w:tabs>
          <w:tab w:pos="1315" w:val="left" w:leader="none"/>
        </w:tabs>
        <w:spacing w:line="240" w:lineRule="auto" w:before="5" w:after="0"/>
        <w:ind w:left="1315" w:right="0" w:hanging="635"/>
        <w:jc w:val="left"/>
        <w:rPr>
          <w:sz w:val="21"/>
        </w:rPr>
      </w:pPr>
      <w:r>
        <w:rPr>
          <w:spacing w:val="-3"/>
          <w:sz w:val="21"/>
        </w:rPr>
        <w:t>对基金当事人权利和义务产生重大影响的其他事项。</w:t>
      </w:r>
    </w:p>
    <w:p>
      <w:pPr>
        <w:pStyle w:val="ListParagraph"/>
        <w:numPr>
          <w:ilvl w:val="0"/>
          <w:numId w:val="45"/>
        </w:numPr>
        <w:tabs>
          <w:tab w:pos="1315" w:val="left" w:leader="none"/>
        </w:tabs>
        <w:spacing w:line="391" w:lineRule="auto" w:before="170" w:after="0"/>
        <w:ind w:left="260" w:right="49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203" w:lineRule="exact"/>
        <w:ind w:left="680"/>
      </w:pPr>
      <w:r>
        <w:rPr>
          <w:rFonts w:ascii="Times New Roman" w:eastAsia="Times New Roman"/>
        </w:rPr>
        <w:t>2</w:t>
      </w:r>
      <w:r>
        <w:rPr/>
        <w:t>、在不违反法律法规和基金合同约定且对份额持有人利益无实质性不利影响的情况下，</w:t>
      </w:r>
    </w:p>
    <w:p>
      <w:pPr>
        <w:pStyle w:val="BodyText"/>
        <w:spacing w:before="6"/>
        <w:rPr>
          <w:sz w:val="15"/>
        </w:rPr>
      </w:pPr>
    </w:p>
    <w:p>
      <w:pPr>
        <w:pStyle w:val="BodyText"/>
        <w:ind w:left="260"/>
      </w:pPr>
      <w:r>
        <w:rPr/>
        <w:t>以下情况可由基金管理人和基金托管人协商后修改，不需召开基金份额持有人大会：</w:t>
      </w:r>
    </w:p>
    <w:p>
      <w:pPr>
        <w:pStyle w:val="BodyText"/>
        <w:spacing w:before="7"/>
        <w:rPr>
          <w:sz w:val="15"/>
        </w:rPr>
      </w:pPr>
    </w:p>
    <w:p>
      <w:pPr>
        <w:pStyle w:val="ListParagraph"/>
        <w:numPr>
          <w:ilvl w:val="0"/>
          <w:numId w:val="46"/>
        </w:numPr>
        <w:tabs>
          <w:tab w:pos="1210" w:val="left" w:leader="none"/>
        </w:tabs>
        <w:spacing w:line="240" w:lineRule="auto" w:before="0" w:after="0"/>
        <w:ind w:left="120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6"/>
        </w:numPr>
        <w:tabs>
          <w:tab w:pos="1210" w:val="left" w:leader="none"/>
        </w:tabs>
        <w:spacing w:line="417" w:lineRule="auto" w:before="0" w:after="0"/>
        <w:ind w:left="260" w:right="494" w:firstLine="419"/>
        <w:jc w:val="left"/>
        <w:rPr>
          <w:sz w:val="21"/>
        </w:rPr>
      </w:pPr>
      <w:r>
        <w:rPr>
          <w:spacing w:val="-3"/>
          <w:sz w:val="21"/>
        </w:rPr>
        <w:t>增加、减少、调整本基金份额类别设置或调整本基金的申购费率或调低赎回费率或调整收费方式。</w:t>
      </w:r>
    </w:p>
    <w:p>
      <w:pPr>
        <w:spacing w:after="0" w:line="417" w:lineRule="auto"/>
        <w:jc w:val="left"/>
        <w:rPr>
          <w:sz w:val="21"/>
        </w:rPr>
        <w:sectPr>
          <w:footerReference w:type="default" r:id="rId155"/>
          <w:pgSz w:w="11910" w:h="16840"/>
          <w:pgMar w:footer="995" w:header="877" w:top="1420" w:bottom="1180" w:left="1540" w:right="1300"/>
          <w:pgNumType w:start="131"/>
        </w:sectPr>
      </w:pPr>
    </w:p>
    <w:p>
      <w:pPr>
        <w:pStyle w:val="ListParagraph"/>
        <w:numPr>
          <w:ilvl w:val="0"/>
          <w:numId w:val="46"/>
        </w:numPr>
        <w:tabs>
          <w:tab w:pos="1210" w:val="left" w:leader="none"/>
        </w:tabs>
        <w:spacing w:line="417" w:lineRule="auto" w:before="110" w:after="0"/>
        <w:ind w:left="260" w:right="494" w:firstLine="419"/>
        <w:jc w:val="left"/>
        <w:rPr>
          <w:sz w:val="21"/>
        </w:rPr>
      </w:pPr>
      <w:r>
        <w:rPr>
          <w:spacing w:val="-3"/>
          <w:sz w:val="21"/>
        </w:rPr>
        <w:t>基金管理人、登记机构、代销机构调整有关基金认购、申购、赎回、转换、非交易过户、转托管等业务的规则。</w:t>
      </w:r>
    </w:p>
    <w:p>
      <w:pPr>
        <w:pStyle w:val="ListParagraph"/>
        <w:numPr>
          <w:ilvl w:val="0"/>
          <w:numId w:val="46"/>
        </w:numPr>
        <w:tabs>
          <w:tab w:pos="1210" w:val="left" w:leader="none"/>
        </w:tabs>
        <w:spacing w:line="269" w:lineRule="exact" w:before="0" w:after="0"/>
        <w:ind w:left="1209" w:right="0" w:hanging="530"/>
        <w:jc w:val="left"/>
        <w:rPr>
          <w:sz w:val="21"/>
        </w:rPr>
      </w:pPr>
      <w:r>
        <w:rPr>
          <w:spacing w:val="-3"/>
          <w:sz w:val="21"/>
        </w:rPr>
        <w:t>因相应的法律法规发生变动而应当对《基金合同》进行修改。</w:t>
      </w:r>
    </w:p>
    <w:p>
      <w:pPr>
        <w:pStyle w:val="BodyText"/>
        <w:spacing w:before="6"/>
        <w:rPr>
          <w:sz w:val="15"/>
        </w:rPr>
      </w:pPr>
    </w:p>
    <w:p>
      <w:pPr>
        <w:pStyle w:val="ListParagraph"/>
        <w:numPr>
          <w:ilvl w:val="0"/>
          <w:numId w:val="46"/>
        </w:numPr>
        <w:tabs>
          <w:tab w:pos="1210" w:val="left" w:leader="none"/>
        </w:tabs>
        <w:spacing w:line="417" w:lineRule="auto" w:before="0" w:after="0"/>
        <w:ind w:left="260" w:right="49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46"/>
        </w:numPr>
        <w:tabs>
          <w:tab w:pos="1210" w:val="left" w:leader="none"/>
        </w:tabs>
        <w:spacing w:line="417" w:lineRule="auto" w:before="0" w:after="0"/>
        <w:ind w:left="680" w:right="71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260" w:right="49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680"/>
      </w:pPr>
      <w:r>
        <w:rPr>
          <w:rFonts w:ascii="Times New Roman" w:eastAsia="Times New Roman"/>
        </w:rPr>
        <w:t>2</w:t>
      </w:r>
      <w:r>
        <w:rPr/>
        <w:t>、基金管理人未按规定召集或不能召集时，由基金托管人召集。</w:t>
      </w:r>
    </w:p>
    <w:p>
      <w:pPr>
        <w:pStyle w:val="BodyText"/>
        <w:spacing w:before="7"/>
        <w:rPr>
          <w:sz w:val="15"/>
        </w:rPr>
      </w:pPr>
    </w:p>
    <w:p>
      <w:pPr>
        <w:pStyle w:val="BodyText"/>
        <w:spacing w:line="417" w:lineRule="auto"/>
        <w:ind w:left="260" w:right="49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260" w:right="49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基金托管人仍认为有必要召开的，应当由基金托管人自行召集，并自出具书面决定之日起</w:t>
      </w:r>
      <w:r>
        <w:rPr>
          <w:rFonts w:ascii="Times New Roman" w:eastAsia="Times New Roman"/>
          <w:spacing w:val="-13"/>
        </w:rPr>
        <w:t>60 </w:t>
      </w:r>
      <w:r>
        <w:rPr>
          <w:spacing w:val="-3"/>
        </w:rPr>
        <w:t>日内召开并告知基金管理人，基金管理人应当配合。</w:t>
      </w:r>
    </w:p>
    <w:p>
      <w:pPr>
        <w:pStyle w:val="BodyText"/>
        <w:spacing w:line="417" w:lineRule="auto"/>
        <w:ind w:left="260" w:right="49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40"/>
        </w:rPr>
        <w:t> </w:t>
      </w:r>
      <w:r>
        <w:rPr>
          <w:spacing w:val="-3"/>
        </w:rPr>
        <w:t>日内决定是否召集，并书面告知提出提议的基金份额持有人代表和基金托管人。基金管</w:t>
      </w:r>
    </w:p>
    <w:p>
      <w:pPr>
        <w:pStyle w:val="BodyText"/>
        <w:spacing w:line="417" w:lineRule="auto"/>
        <w:ind w:left="260" w:right="491"/>
        <w:jc w:val="both"/>
      </w:pPr>
      <w:r>
        <w:rPr>
          <w:spacing w:val="-5"/>
        </w:rPr>
        <w:t>理人决定召集的，应当自出具书面决定之日起 </w:t>
      </w:r>
      <w:r>
        <w:rPr>
          <w:rFonts w:ascii="Times New Roman" w:eastAsia="Times New Roman"/>
        </w:rPr>
        <w:t>60 </w:t>
      </w:r>
      <w:r>
        <w:rPr>
          <w:spacing w:val="-3"/>
        </w:rPr>
        <w:t>日内召开；基金管理人决定不召集，代表</w:t>
      </w:r>
      <w:r>
        <w:rPr>
          <w:spacing w:val="-2"/>
        </w:rPr>
        <w:t>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的基金份额持有人仍认为有必要召开的，应当向基金托管人</w:t>
      </w: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日内召开并告知基金管理人，基金管理人应当配合。</w:t>
      </w:r>
    </w:p>
    <w:p>
      <w:pPr>
        <w:pStyle w:val="BodyText"/>
        <w:spacing w:line="417" w:lineRule="auto"/>
        <w:ind w:left="260" w:right="49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260" w:right="49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680" w:right="50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spacing w:after="0" w:line="417" w:lineRule="auto"/>
        <w:sectPr>
          <w:pgSz w:w="11910" w:h="16840"/>
          <w:pgMar w:header="877" w:footer="995" w:top="1420" w:bottom="1180" w:left="1540" w:right="1300"/>
        </w:sectPr>
      </w:pPr>
    </w:p>
    <w:p>
      <w:pPr>
        <w:pStyle w:val="BodyText"/>
        <w:spacing w:line="417" w:lineRule="auto" w:before="110"/>
        <w:ind w:left="260" w:right="49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7"/>
        </w:numPr>
        <w:tabs>
          <w:tab w:pos="1210" w:val="left" w:leader="none"/>
        </w:tabs>
        <w:spacing w:line="269" w:lineRule="exact" w:before="0" w:after="0"/>
        <w:ind w:left="1209" w:right="0" w:hanging="530"/>
        <w:jc w:val="left"/>
        <w:rPr>
          <w:sz w:val="21"/>
        </w:rPr>
      </w:pPr>
      <w:r>
        <w:rPr>
          <w:spacing w:val="-3"/>
          <w:sz w:val="21"/>
        </w:rPr>
        <w:t>会议召开的时间、地点和会议形式。</w:t>
      </w:r>
    </w:p>
    <w:p>
      <w:pPr>
        <w:pStyle w:val="BodyText"/>
        <w:spacing w:before="6"/>
        <w:rPr>
          <w:sz w:val="15"/>
        </w:rPr>
      </w:pPr>
    </w:p>
    <w:p>
      <w:pPr>
        <w:pStyle w:val="ListParagraph"/>
        <w:numPr>
          <w:ilvl w:val="0"/>
          <w:numId w:val="47"/>
        </w:numPr>
        <w:tabs>
          <w:tab w:pos="1210" w:val="left" w:leader="none"/>
        </w:tabs>
        <w:spacing w:line="240" w:lineRule="auto" w:before="0" w:after="0"/>
        <w:ind w:left="120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7"/>
        </w:numPr>
        <w:tabs>
          <w:tab w:pos="1210" w:val="left" w:leader="none"/>
        </w:tabs>
        <w:spacing w:line="240" w:lineRule="auto" w:before="0" w:after="0"/>
        <w:ind w:left="120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7"/>
        </w:numPr>
        <w:tabs>
          <w:tab w:pos="1210" w:val="left" w:leader="none"/>
        </w:tabs>
        <w:spacing w:line="417" w:lineRule="auto" w:before="0" w:after="0"/>
        <w:ind w:left="260" w:right="49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7"/>
        </w:numPr>
        <w:tabs>
          <w:tab w:pos="1210" w:val="left" w:leader="none"/>
        </w:tabs>
        <w:spacing w:line="240" w:lineRule="auto" w:before="0" w:after="0"/>
        <w:ind w:left="120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7"/>
        </w:numPr>
        <w:tabs>
          <w:tab w:pos="1210" w:val="left" w:leader="none"/>
        </w:tabs>
        <w:spacing w:line="240" w:lineRule="auto" w:before="0" w:after="0"/>
        <w:ind w:left="1209" w:right="0" w:hanging="530"/>
        <w:jc w:val="left"/>
        <w:rPr>
          <w:sz w:val="21"/>
        </w:rPr>
      </w:pPr>
      <w:r>
        <w:rPr>
          <w:spacing w:val="-3"/>
          <w:sz w:val="21"/>
        </w:rPr>
        <w:t>出席会议者必须准备的文件和必须履行的手续。</w:t>
      </w:r>
    </w:p>
    <w:p>
      <w:pPr>
        <w:pStyle w:val="BodyText"/>
        <w:spacing w:before="7"/>
        <w:rPr>
          <w:sz w:val="15"/>
        </w:rPr>
      </w:pPr>
    </w:p>
    <w:p>
      <w:pPr>
        <w:pStyle w:val="ListParagraph"/>
        <w:numPr>
          <w:ilvl w:val="0"/>
          <w:numId w:val="47"/>
        </w:numPr>
        <w:tabs>
          <w:tab w:pos="1210" w:val="left" w:leader="none"/>
        </w:tabs>
        <w:spacing w:line="240" w:lineRule="auto" w:before="0" w:after="0"/>
        <w:ind w:left="1209" w:right="0" w:hanging="530"/>
        <w:jc w:val="left"/>
        <w:rPr>
          <w:sz w:val="21"/>
        </w:rPr>
      </w:pPr>
      <w:r>
        <w:rPr>
          <w:spacing w:val="-3"/>
          <w:sz w:val="21"/>
        </w:rPr>
        <w:t>召集人需要通知的其他事项。</w:t>
      </w:r>
    </w:p>
    <w:p>
      <w:pPr>
        <w:pStyle w:val="BodyText"/>
        <w:spacing w:before="6"/>
        <w:rPr>
          <w:sz w:val="15"/>
        </w:rPr>
      </w:pPr>
    </w:p>
    <w:p>
      <w:pPr>
        <w:pStyle w:val="BodyText"/>
        <w:spacing w:line="417" w:lineRule="auto"/>
        <w:ind w:left="260" w:right="49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260" w:right="49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680"/>
      </w:pPr>
      <w:r>
        <w:rPr/>
        <w:t>四、基金份额持有人出席会议的方式</w:t>
      </w:r>
    </w:p>
    <w:p>
      <w:pPr>
        <w:pStyle w:val="BodyText"/>
        <w:spacing w:before="7"/>
        <w:rPr>
          <w:sz w:val="15"/>
        </w:rPr>
      </w:pPr>
    </w:p>
    <w:p>
      <w:pPr>
        <w:pStyle w:val="BodyText"/>
        <w:spacing w:line="417" w:lineRule="auto"/>
        <w:ind w:left="260" w:right="49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260" w:right="49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8"/>
        </w:numPr>
        <w:tabs>
          <w:tab w:pos="1210" w:val="left" w:leader="none"/>
        </w:tabs>
        <w:spacing w:line="417" w:lineRule="auto" w:before="0" w:after="0"/>
        <w:ind w:left="260" w:right="49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8"/>
        </w:numPr>
        <w:tabs>
          <w:tab w:pos="1210" w:val="left" w:leader="none"/>
        </w:tabs>
        <w:spacing w:line="417" w:lineRule="auto" w:before="0" w:after="0"/>
        <w:ind w:left="260" w:right="493"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spacing w:after="0" w:line="417" w:lineRule="auto"/>
        <w:jc w:val="both"/>
        <w:rPr>
          <w:sz w:val="21"/>
        </w:rPr>
        <w:sectPr>
          <w:pgSz w:w="11910" w:h="16840"/>
          <w:pgMar w:header="877" w:footer="995" w:top="1420" w:bottom="1180" w:left="1540" w:right="1300"/>
        </w:sectPr>
      </w:pPr>
    </w:p>
    <w:p>
      <w:pPr>
        <w:pStyle w:val="BodyText"/>
        <w:spacing w:line="417" w:lineRule="auto" w:before="110"/>
        <w:ind w:left="260" w:right="491" w:firstLine="419"/>
        <w:jc w:val="both"/>
      </w:pPr>
      <w:r>
        <w:rPr>
          <w:spacing w:val="-6"/>
        </w:rPr>
        <w:t>参加基金份额持有人大会的基金份额持有人的基金份额低于上述规定比例的，召集人可</w:t>
      </w:r>
      <w:r>
        <w:rPr>
          <w:spacing w:val="-8"/>
        </w:rPr>
        <w:t>以在原公告的基金份额持有人大会召开时间的三个月以后、六个月以内，就原定审议事项重</w:t>
      </w:r>
      <w:r>
        <w:rPr>
          <w:spacing w:val="-16"/>
        </w:rPr>
        <w:t>新召集基金份额持有人大会。重新召集的基金份额持有人大会，应当有代表</w:t>
      </w:r>
      <w:r>
        <w:rPr>
          <w:rFonts w:ascii="Times New Roman" w:eastAsia="Times New Roman"/>
        </w:rPr>
        <w:t>1/3 </w:t>
      </w:r>
      <w:r>
        <w:rPr>
          <w:spacing w:val="-53"/>
        </w:rPr>
        <w:t>以上</w:t>
      </w:r>
      <w:r>
        <w:rPr/>
        <w:t>（</w:t>
      </w:r>
      <w:r>
        <w:rPr>
          <w:spacing w:val="34"/>
        </w:rPr>
        <w:t>含</w:t>
      </w:r>
      <w:r>
        <w:rPr>
          <w:rFonts w:ascii="Times New Roman" w:eastAsia="Times New Roman"/>
        </w:rPr>
        <w:t>1/3</w:t>
      </w:r>
      <w:r>
        <w:rPr/>
        <w:t>） </w:t>
      </w:r>
      <w:r>
        <w:rPr>
          <w:spacing w:val="-3"/>
        </w:rPr>
        <w:t>基金份额的基金份额持有人或其代理人参加，方可召开。</w:t>
      </w:r>
    </w:p>
    <w:p>
      <w:pPr>
        <w:pStyle w:val="BodyText"/>
        <w:spacing w:line="417" w:lineRule="auto"/>
        <w:ind w:left="260" w:right="49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680"/>
      </w:pPr>
      <w:r>
        <w:rPr/>
        <w:t>在同时符合以下条件时，通讯开会的方式视为有效：</w:t>
      </w:r>
    </w:p>
    <w:p>
      <w:pPr>
        <w:pStyle w:val="BodyText"/>
        <w:spacing w:before="6"/>
        <w:rPr>
          <w:sz w:val="15"/>
        </w:rPr>
      </w:pPr>
    </w:p>
    <w:p>
      <w:pPr>
        <w:pStyle w:val="ListParagraph"/>
        <w:numPr>
          <w:ilvl w:val="0"/>
          <w:numId w:val="49"/>
        </w:numPr>
        <w:tabs>
          <w:tab w:pos="1210" w:val="left" w:leader="none"/>
        </w:tabs>
        <w:spacing w:line="417" w:lineRule="auto" w:before="0" w:after="0"/>
        <w:ind w:left="260" w:right="49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49"/>
        </w:numPr>
        <w:tabs>
          <w:tab w:pos="1210" w:val="left" w:leader="none"/>
        </w:tabs>
        <w:spacing w:line="417" w:lineRule="auto" w:before="0" w:after="0"/>
        <w:ind w:left="260" w:right="49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9"/>
        </w:numPr>
        <w:tabs>
          <w:tab w:pos="1263" w:val="left" w:leader="none"/>
        </w:tabs>
        <w:spacing w:line="417" w:lineRule="auto" w:before="0" w:after="0"/>
        <w:ind w:left="260" w:right="49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p>
    <w:p>
      <w:pPr>
        <w:pStyle w:val="BodyText"/>
        <w:spacing w:line="417" w:lineRule="auto"/>
        <w:ind w:left="260" w:right="491" w:firstLine="472"/>
        <w:jc w:val="both"/>
      </w:pPr>
      <w:r>
        <w:rPr>
          <w:spacing w:val="-1"/>
        </w:rPr>
        <w:t>参加基金份额持有人大会的基金份额持有人的基金份额低于上述规定比例的，召集人</w:t>
      </w:r>
      <w:r>
        <w:rPr>
          <w:spacing w:val="-7"/>
        </w:rPr>
        <w:t>可以在原公告的基金份额持有人大会召开时间的三个月以后、六个月以内，就原定审议事项</w:t>
      </w:r>
      <w:r>
        <w:rPr>
          <w:spacing w:val="-9"/>
        </w:rPr>
        <w:t>重新召集基金份额持有人大会。重新召集的基金份额持有人大会，应当有代表 </w:t>
      </w:r>
      <w:r>
        <w:rPr>
          <w:rFonts w:ascii="Times New Roman" w:eastAsia="Times New Roman"/>
        </w:rPr>
        <w:t>1/3 </w:t>
      </w:r>
      <w:r>
        <w:rPr>
          <w:spacing w:val="-10"/>
        </w:rPr>
        <w:t>以上</w:t>
      </w:r>
      <w:r>
        <w:rPr/>
        <w:t>（含</w:t>
      </w:r>
      <w:r>
        <w:rPr>
          <w:rFonts w:ascii="Times New Roman" w:eastAsia="Times New Roman"/>
        </w:rPr>
        <w:t>1/3</w:t>
      </w:r>
      <w:r>
        <w:rPr/>
        <w:t>）</w:t>
      </w:r>
      <w:r>
        <w:rPr>
          <w:spacing w:val="-3"/>
        </w:rPr>
        <w:t>基金份额的基金份额持有人或其代理人参加，方可召开。</w:t>
      </w:r>
    </w:p>
    <w:p>
      <w:pPr>
        <w:pStyle w:val="ListParagraph"/>
        <w:numPr>
          <w:ilvl w:val="0"/>
          <w:numId w:val="49"/>
        </w:numPr>
        <w:tabs>
          <w:tab w:pos="1210" w:val="left" w:leader="none"/>
        </w:tabs>
        <w:spacing w:line="417" w:lineRule="auto" w:before="0" w:after="0"/>
        <w:ind w:left="260" w:right="49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ListParagraph"/>
        <w:numPr>
          <w:ilvl w:val="0"/>
          <w:numId w:val="49"/>
        </w:numPr>
        <w:tabs>
          <w:tab w:pos="1210" w:val="left" w:leader="none"/>
        </w:tabs>
        <w:spacing w:line="240" w:lineRule="auto" w:before="0" w:after="0"/>
        <w:ind w:left="1209" w:right="0" w:hanging="530"/>
        <w:jc w:val="left"/>
        <w:rPr>
          <w:sz w:val="21"/>
        </w:rPr>
      </w:pPr>
      <w:r>
        <w:rPr>
          <w:spacing w:val="-3"/>
          <w:sz w:val="21"/>
        </w:rPr>
        <w:t>会议通知公布前报中国证监会备案。</w:t>
      </w:r>
    </w:p>
    <w:p>
      <w:pPr>
        <w:pStyle w:val="BodyText"/>
        <w:spacing w:line="417" w:lineRule="auto" w:before="197"/>
        <w:ind w:left="260" w:right="49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ind w:left="680"/>
      </w:pPr>
      <w:r>
        <w:rPr/>
        <w:t>五、议事内容与程序</w:t>
      </w:r>
    </w:p>
    <w:p>
      <w:pPr>
        <w:pStyle w:val="BodyText"/>
        <w:spacing w:before="7"/>
        <w:rPr>
          <w:sz w:val="15"/>
        </w:rPr>
      </w:pPr>
    </w:p>
    <w:p>
      <w:pPr>
        <w:pStyle w:val="BodyText"/>
        <w:ind w:left="680"/>
      </w:pPr>
      <w:r>
        <w:rPr>
          <w:rFonts w:ascii="Times New Roman" w:eastAsia="Times New Roman"/>
        </w:rPr>
        <w:t>1</w:t>
      </w:r>
      <w:r>
        <w:rPr/>
        <w:t>、议事内容及提案权</w:t>
      </w:r>
    </w:p>
    <w:p>
      <w:pPr>
        <w:spacing w:after="0"/>
        <w:sectPr>
          <w:pgSz w:w="11910" w:h="16840"/>
          <w:pgMar w:header="877" w:footer="995" w:top="1420" w:bottom="1180" w:left="1540" w:right="1300"/>
        </w:sectPr>
      </w:pPr>
    </w:p>
    <w:p>
      <w:pPr>
        <w:pStyle w:val="BodyText"/>
        <w:spacing w:line="417" w:lineRule="auto" w:before="110"/>
        <w:ind w:left="260" w:right="49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260" w:right="49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680"/>
      </w:pPr>
      <w:r>
        <w:rPr/>
        <w:t>基金份额持有人大会不得对未事先公告的议事内容进行表决。</w:t>
      </w:r>
    </w:p>
    <w:p>
      <w:pPr>
        <w:pStyle w:val="BodyText"/>
        <w:spacing w:before="6"/>
        <w:rPr>
          <w:sz w:val="15"/>
        </w:rPr>
      </w:pPr>
    </w:p>
    <w:p>
      <w:pPr>
        <w:pStyle w:val="BodyText"/>
        <w:ind w:left="680"/>
      </w:pPr>
      <w:r>
        <w:rPr>
          <w:rFonts w:ascii="Times New Roman" w:eastAsia="Times New Roman"/>
        </w:rPr>
        <w:t>2</w:t>
      </w:r>
      <w:r>
        <w:rPr/>
        <w:t>、议事程序</w:t>
      </w:r>
    </w:p>
    <w:p>
      <w:pPr>
        <w:pStyle w:val="BodyText"/>
        <w:spacing w:before="7"/>
        <w:rPr>
          <w:sz w:val="15"/>
        </w:rPr>
      </w:pPr>
    </w:p>
    <w:p>
      <w:pPr>
        <w:pStyle w:val="ListParagraph"/>
        <w:numPr>
          <w:ilvl w:val="0"/>
          <w:numId w:val="50"/>
        </w:numPr>
        <w:tabs>
          <w:tab w:pos="1210" w:val="left" w:leader="none"/>
        </w:tabs>
        <w:spacing w:line="240" w:lineRule="auto" w:before="0" w:after="0"/>
        <w:ind w:left="1209" w:right="0" w:hanging="530"/>
        <w:jc w:val="left"/>
        <w:rPr>
          <w:sz w:val="21"/>
        </w:rPr>
      </w:pPr>
      <w:r>
        <w:rPr>
          <w:spacing w:val="-2"/>
          <w:sz w:val="21"/>
        </w:rPr>
        <w:t>现场开会</w:t>
      </w:r>
    </w:p>
    <w:p>
      <w:pPr>
        <w:pStyle w:val="BodyText"/>
        <w:spacing w:before="7"/>
        <w:rPr>
          <w:sz w:val="15"/>
        </w:rPr>
      </w:pPr>
    </w:p>
    <w:p>
      <w:pPr>
        <w:pStyle w:val="BodyText"/>
        <w:spacing w:line="417" w:lineRule="auto"/>
        <w:ind w:left="260" w:right="38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260" w:right="49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pStyle w:val="ListParagraph"/>
        <w:numPr>
          <w:ilvl w:val="0"/>
          <w:numId w:val="50"/>
        </w:numPr>
        <w:tabs>
          <w:tab w:pos="1210" w:val="left" w:leader="none"/>
        </w:tabs>
        <w:spacing w:line="269" w:lineRule="exact" w:before="0" w:after="0"/>
        <w:ind w:left="1209" w:right="0" w:hanging="530"/>
        <w:jc w:val="left"/>
        <w:rPr>
          <w:sz w:val="21"/>
        </w:rPr>
      </w:pPr>
      <w:r>
        <w:rPr>
          <w:spacing w:val="-2"/>
          <w:sz w:val="21"/>
        </w:rPr>
        <w:t>通讯开会</w:t>
      </w:r>
    </w:p>
    <w:p>
      <w:pPr>
        <w:pStyle w:val="BodyText"/>
        <w:spacing w:before="6"/>
        <w:rPr>
          <w:sz w:val="15"/>
        </w:rPr>
      </w:pPr>
    </w:p>
    <w:p>
      <w:pPr>
        <w:pStyle w:val="BodyText"/>
        <w:ind w:left="68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spacing w:line="417" w:lineRule="auto"/>
        <w:ind w:left="680" w:right="395" w:hanging="420"/>
      </w:pPr>
      <w:r>
        <w:rPr>
          <w:rFonts w:ascii="Times New Roman" w:eastAsia="Times New Roman"/>
        </w:rPr>
        <w:t>2 </w:t>
      </w:r>
      <w:r>
        <w:rPr>
          <w:spacing w:val="-4"/>
        </w:rPr>
        <w:t>个工作日内在公证机关监督下由召集人统计全部有效表决，在公证机关监督下形成决议。</w:t>
      </w:r>
      <w:r>
        <w:rPr>
          <w:spacing w:val="-1"/>
        </w:rPr>
        <w:t>六、表决</w:t>
      </w:r>
    </w:p>
    <w:p>
      <w:pPr>
        <w:pStyle w:val="BodyText"/>
        <w:spacing w:line="417" w:lineRule="auto"/>
        <w:ind w:left="680" w:right="354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260" w:right="49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ind w:left="680"/>
        <w:jc w:val="both"/>
        <w:rPr>
          <w:rFonts w:ascii="Times New Roman" w:eastAsia="Times New Roman"/>
        </w:rPr>
      </w:pPr>
      <w:r>
        <w:rPr>
          <w:rFonts w:ascii="Times New Roman" w:eastAsia="Times New Roman"/>
        </w:rPr>
        <w:t>2</w:t>
      </w:r>
      <w:r>
        <w:rPr>
          <w:spacing w:val="-12"/>
        </w:rPr>
        <w:t>、特别决议，特别决议应当经参加大会的基金份额持有人或其代理人所持表决权的 </w:t>
      </w:r>
      <w:r>
        <w:rPr>
          <w:rFonts w:ascii="Times New Roman" w:eastAsia="Times New Roman"/>
        </w:rPr>
        <w:t>2/3</w:t>
      </w:r>
    </w:p>
    <w:p>
      <w:pPr>
        <w:pStyle w:val="BodyText"/>
        <w:spacing w:before="3"/>
        <w:rPr>
          <w:rFonts w:ascii="Times New Roman"/>
          <w:sz w:val="17"/>
        </w:rPr>
      </w:pPr>
    </w:p>
    <w:p>
      <w:pPr>
        <w:pStyle w:val="BodyText"/>
        <w:ind w:left="260"/>
      </w:pPr>
      <w:r>
        <w:rPr/>
        <w:t>以上</w:t>
      </w:r>
      <w:r>
        <w:rPr>
          <w:spacing w:val="-3"/>
        </w:rPr>
        <w:t>（含 </w:t>
      </w:r>
      <w:r>
        <w:rPr>
          <w:rFonts w:ascii="Times New Roman" w:eastAsia="Times New Roman"/>
        </w:rPr>
        <w:t>2/3</w:t>
      </w:r>
      <w:r>
        <w:rPr/>
        <w:t>）</w:t>
      </w:r>
      <w:r>
        <w:rPr>
          <w:spacing w:val="-3"/>
        </w:rPr>
        <w:t>通过方可做出。转换基金运作方式、更换基金管理人或者基金托管人、终止</w:t>
      </w:r>
    </w:p>
    <w:p>
      <w:pPr>
        <w:spacing w:after="0"/>
        <w:sectPr>
          <w:pgSz w:w="11910" w:h="16840"/>
          <w:pgMar w:header="877" w:footer="995" w:top="1420" w:bottom="1180" w:left="1540" w:right="1300"/>
        </w:sectPr>
      </w:pPr>
    </w:p>
    <w:p>
      <w:pPr>
        <w:pStyle w:val="BodyText"/>
        <w:spacing w:line="417" w:lineRule="auto" w:before="110"/>
        <w:ind w:left="680" w:right="2814" w:hanging="420"/>
      </w:pPr>
      <w:r>
        <w:rPr>
          <w:spacing w:val="-12"/>
        </w:rPr>
        <w:t>《基金合同》、本基金与其他基金合并以特别决议通过方为有效。</w:t>
      </w:r>
      <w:r>
        <w:rPr>
          <w:spacing w:val="-6"/>
        </w:rPr>
        <w:t>基金份额持有人大会采取记名方式进行投票表决。</w:t>
      </w:r>
    </w:p>
    <w:p>
      <w:pPr>
        <w:pStyle w:val="BodyText"/>
        <w:spacing w:line="417" w:lineRule="auto"/>
        <w:ind w:left="260" w:right="49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260" w:right="491" w:firstLine="419"/>
      </w:pPr>
      <w:r>
        <w:rPr>
          <w:spacing w:val="-6"/>
        </w:rPr>
        <w:t>基金份额持有人大会的各项提案或同一项提案内并列的各项议题应当分开审议、逐项表决。</w:t>
      </w:r>
    </w:p>
    <w:p>
      <w:pPr>
        <w:pStyle w:val="BodyText"/>
        <w:ind w:left="680"/>
      </w:pPr>
      <w:r>
        <w:rPr/>
        <w:t>七、计票</w:t>
      </w:r>
    </w:p>
    <w:p>
      <w:pPr>
        <w:pStyle w:val="BodyText"/>
        <w:spacing w:before="6"/>
        <w:rPr>
          <w:sz w:val="15"/>
        </w:rPr>
      </w:pPr>
    </w:p>
    <w:p>
      <w:pPr>
        <w:pStyle w:val="BodyText"/>
        <w:ind w:left="680"/>
      </w:pPr>
      <w:r>
        <w:rPr>
          <w:rFonts w:ascii="Times New Roman" w:eastAsia="Times New Roman"/>
        </w:rPr>
        <w:t>1</w:t>
      </w:r>
      <w:r>
        <w:rPr/>
        <w:t>、现场开会</w:t>
      </w:r>
    </w:p>
    <w:p>
      <w:pPr>
        <w:pStyle w:val="BodyText"/>
        <w:spacing w:before="6"/>
        <w:rPr>
          <w:sz w:val="15"/>
        </w:rPr>
      </w:pPr>
    </w:p>
    <w:p>
      <w:pPr>
        <w:pStyle w:val="ListParagraph"/>
        <w:numPr>
          <w:ilvl w:val="0"/>
          <w:numId w:val="51"/>
        </w:numPr>
        <w:tabs>
          <w:tab w:pos="1210" w:val="left" w:leader="none"/>
        </w:tabs>
        <w:spacing w:line="417" w:lineRule="auto" w:before="0" w:after="0"/>
        <w:ind w:left="260" w:right="49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51"/>
        </w:numPr>
        <w:tabs>
          <w:tab w:pos="1210" w:val="left" w:leader="none"/>
        </w:tabs>
        <w:spacing w:line="417" w:lineRule="auto" w:before="0" w:after="0"/>
        <w:ind w:left="260" w:right="493" w:firstLine="419"/>
        <w:jc w:val="left"/>
        <w:rPr>
          <w:sz w:val="21"/>
        </w:rPr>
      </w:pPr>
      <w:r>
        <w:rPr>
          <w:spacing w:val="-3"/>
          <w:sz w:val="21"/>
        </w:rPr>
        <w:t>监票人应当在基金份额持有人表决后立即进行清点并由大会主持人当场公布计票结果。</w:t>
      </w:r>
    </w:p>
    <w:p>
      <w:pPr>
        <w:pStyle w:val="ListParagraph"/>
        <w:numPr>
          <w:ilvl w:val="0"/>
          <w:numId w:val="51"/>
        </w:numPr>
        <w:tabs>
          <w:tab w:pos="1210" w:val="left" w:leader="none"/>
        </w:tabs>
        <w:spacing w:line="417" w:lineRule="auto" w:before="0" w:after="0"/>
        <w:ind w:left="260" w:right="49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51"/>
        </w:numPr>
        <w:tabs>
          <w:tab w:pos="1210" w:val="left" w:leader="none"/>
        </w:tabs>
        <w:spacing w:line="417" w:lineRule="auto" w:before="0" w:after="0"/>
        <w:ind w:left="260" w:right="494" w:firstLine="419"/>
        <w:jc w:val="left"/>
        <w:rPr>
          <w:sz w:val="21"/>
        </w:rPr>
      </w:pPr>
      <w:r>
        <w:rPr>
          <w:spacing w:val="-3"/>
          <w:sz w:val="21"/>
        </w:rPr>
        <w:t>计票过程应由公证机关予以公证，基金管理人或基金托管人拒不出席大会的，不影响计票的效力。</w:t>
      </w:r>
    </w:p>
    <w:p>
      <w:pPr>
        <w:pStyle w:val="BodyText"/>
        <w:spacing w:line="269" w:lineRule="exact"/>
        <w:ind w:left="680"/>
      </w:pPr>
      <w:r>
        <w:rPr>
          <w:rFonts w:ascii="Times New Roman" w:eastAsia="Times New Roman"/>
        </w:rPr>
        <w:t>2</w:t>
      </w:r>
      <w:r>
        <w:rPr/>
        <w:t>、通讯开会</w:t>
      </w:r>
    </w:p>
    <w:p>
      <w:pPr>
        <w:pStyle w:val="BodyText"/>
        <w:spacing w:before="6"/>
        <w:rPr>
          <w:sz w:val="15"/>
        </w:rPr>
      </w:pPr>
    </w:p>
    <w:p>
      <w:pPr>
        <w:pStyle w:val="BodyText"/>
        <w:spacing w:line="417" w:lineRule="auto"/>
        <w:ind w:left="260" w:right="49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9" w:lineRule="exact"/>
        <w:ind w:left="680"/>
      </w:pPr>
      <w:r>
        <w:rPr/>
        <w:t>八、生效与公告</w:t>
      </w:r>
    </w:p>
    <w:p>
      <w:pPr>
        <w:pStyle w:val="BodyText"/>
        <w:spacing w:before="7"/>
        <w:rPr>
          <w:sz w:val="15"/>
        </w:rPr>
      </w:pPr>
    </w:p>
    <w:p>
      <w:pPr>
        <w:pStyle w:val="BodyText"/>
        <w:ind w:left="680"/>
      </w:pPr>
      <w:r>
        <w:rPr/>
        <w:t>基金份额持有人大会的决议，召集人应当自通过之日起 </w:t>
      </w:r>
      <w:r>
        <w:rPr>
          <w:rFonts w:ascii="Times New Roman" w:eastAsia="Times New Roman"/>
        </w:rPr>
        <w:t>5 </w:t>
      </w:r>
      <w:r>
        <w:rPr/>
        <w:t>日内报中国证监会备案。</w:t>
      </w:r>
    </w:p>
    <w:p>
      <w:pPr>
        <w:spacing w:after="0"/>
        <w:sectPr>
          <w:pgSz w:w="11910" w:h="16840"/>
          <w:pgMar w:header="877" w:footer="995" w:top="1420" w:bottom="1180" w:left="1540" w:right="1300"/>
        </w:sectPr>
      </w:pPr>
    </w:p>
    <w:p>
      <w:pPr>
        <w:pStyle w:val="BodyText"/>
        <w:spacing w:before="110"/>
        <w:ind w:left="680"/>
      </w:pPr>
      <w:r>
        <w:rPr/>
        <w:t>基金份额持有人大会的决议自表决通过之日起生效。</w:t>
      </w:r>
    </w:p>
    <w:p>
      <w:pPr>
        <w:pStyle w:val="BodyText"/>
        <w:spacing w:before="6"/>
        <w:rPr>
          <w:sz w:val="15"/>
        </w:rPr>
      </w:pPr>
    </w:p>
    <w:p>
      <w:pPr>
        <w:pStyle w:val="BodyText"/>
        <w:spacing w:line="417" w:lineRule="auto"/>
        <w:ind w:left="260" w:right="494" w:firstLine="419"/>
      </w:pPr>
      <w:r>
        <w:rPr/>
        <w:t>基金份额持有人大会决议自生效之日起 </w:t>
      </w:r>
      <w:r>
        <w:rPr>
          <w:rFonts w:ascii="Times New Roman" w:eastAsia="Times New Roman"/>
        </w:rPr>
        <w:t>2 </w:t>
      </w:r>
      <w:r>
        <w:rPr/>
        <w:t>个工作日内按照法律法规和中国证监会相关规定的要求在指定媒介上公告。</w:t>
      </w:r>
    </w:p>
    <w:p>
      <w:pPr>
        <w:pStyle w:val="BodyText"/>
        <w:spacing w:line="417" w:lineRule="auto"/>
        <w:ind w:left="260" w:right="28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tabs>
          <w:tab w:pos="2308" w:val="left" w:leader="none"/>
        </w:tabs>
        <w:spacing w:line="417" w:lineRule="auto" w:before="0"/>
        <w:ind w:left="1251" w:right="1485" w:hanging="572"/>
        <w:jc w:val="left"/>
        <w:rPr>
          <w:b/>
          <w:sz w:val="21"/>
        </w:rPr>
      </w:pPr>
      <w:r>
        <w:rPr>
          <w:sz w:val="21"/>
        </w:rPr>
        <w:t>九、</w:t>
      </w:r>
      <w:r>
        <w:rPr>
          <w:spacing w:val="-3"/>
          <w:sz w:val="21"/>
        </w:rPr>
        <w:t>法</w:t>
      </w:r>
      <w:r>
        <w:rPr>
          <w:sz w:val="21"/>
        </w:rPr>
        <w:t>律</w:t>
      </w:r>
      <w:r>
        <w:rPr>
          <w:spacing w:val="-3"/>
          <w:sz w:val="21"/>
        </w:rPr>
        <w:t>法</w:t>
      </w:r>
      <w:r>
        <w:rPr>
          <w:sz w:val="21"/>
        </w:rPr>
        <w:t>规</w:t>
      </w:r>
      <w:r>
        <w:rPr>
          <w:spacing w:val="-3"/>
          <w:sz w:val="21"/>
        </w:rPr>
        <w:t>或</w:t>
      </w:r>
      <w:r>
        <w:rPr>
          <w:sz w:val="21"/>
        </w:rPr>
        <w:t>监</w:t>
      </w:r>
      <w:r>
        <w:rPr>
          <w:spacing w:val="-3"/>
          <w:sz w:val="21"/>
        </w:rPr>
        <w:t>管</w:t>
      </w:r>
      <w:r>
        <w:rPr>
          <w:sz w:val="21"/>
        </w:rPr>
        <w:t>部</w:t>
      </w:r>
      <w:r>
        <w:rPr>
          <w:spacing w:val="-3"/>
          <w:sz w:val="21"/>
        </w:rPr>
        <w:t>门</w:t>
      </w:r>
      <w:r>
        <w:rPr>
          <w:sz w:val="21"/>
        </w:rPr>
        <w:t>对基</w:t>
      </w:r>
      <w:r>
        <w:rPr>
          <w:spacing w:val="-3"/>
          <w:sz w:val="21"/>
        </w:rPr>
        <w:t>金</w:t>
      </w:r>
      <w:r>
        <w:rPr>
          <w:sz w:val="21"/>
        </w:rPr>
        <w:t>份</w:t>
      </w:r>
      <w:r>
        <w:rPr>
          <w:spacing w:val="-3"/>
          <w:sz w:val="21"/>
        </w:rPr>
        <w:t>额</w:t>
      </w:r>
      <w:r>
        <w:rPr>
          <w:sz w:val="21"/>
        </w:rPr>
        <w:t>持</w:t>
      </w:r>
      <w:r>
        <w:rPr>
          <w:spacing w:val="-3"/>
          <w:sz w:val="21"/>
        </w:rPr>
        <w:t>有</w:t>
      </w:r>
      <w:r>
        <w:rPr>
          <w:sz w:val="21"/>
        </w:rPr>
        <w:t>人</w:t>
      </w:r>
      <w:r>
        <w:rPr>
          <w:spacing w:val="-3"/>
          <w:sz w:val="21"/>
        </w:rPr>
        <w:t>大</w:t>
      </w:r>
      <w:r>
        <w:rPr>
          <w:sz w:val="21"/>
        </w:rPr>
        <w:t>会</w:t>
      </w:r>
      <w:r>
        <w:rPr>
          <w:spacing w:val="-3"/>
          <w:sz w:val="21"/>
        </w:rPr>
        <w:t>另</w:t>
      </w:r>
      <w:r>
        <w:rPr>
          <w:sz w:val="21"/>
        </w:rPr>
        <w:t>有规</w:t>
      </w:r>
      <w:r>
        <w:rPr>
          <w:spacing w:val="-3"/>
          <w:sz w:val="21"/>
        </w:rPr>
        <w:t>定</w:t>
      </w:r>
      <w:r>
        <w:rPr>
          <w:sz w:val="21"/>
        </w:rPr>
        <w:t>的</w:t>
      </w:r>
      <w:r>
        <w:rPr>
          <w:spacing w:val="-3"/>
          <w:sz w:val="21"/>
        </w:rPr>
        <w:t>，</w:t>
      </w:r>
      <w:r>
        <w:rPr>
          <w:sz w:val="21"/>
        </w:rPr>
        <w:t>从</w:t>
      </w:r>
      <w:r>
        <w:rPr>
          <w:spacing w:val="-3"/>
          <w:sz w:val="21"/>
        </w:rPr>
        <w:t>其</w:t>
      </w:r>
      <w:r>
        <w:rPr>
          <w:sz w:val="21"/>
        </w:rPr>
        <w:t>规</w:t>
      </w:r>
      <w:r>
        <w:rPr>
          <w:spacing w:val="-3"/>
          <w:sz w:val="21"/>
        </w:rPr>
        <w:t>定</w:t>
      </w:r>
      <w:r>
        <w:rPr>
          <w:sz w:val="21"/>
        </w:rPr>
        <w:t>。 </w:t>
      </w:r>
      <w:r>
        <w:rPr>
          <w:b/>
          <w:sz w:val="21"/>
        </w:rPr>
        <w:t>第三部分</w:t>
        <w:tab/>
        <w:t>基金合</w:t>
      </w:r>
      <w:r>
        <w:rPr>
          <w:b/>
          <w:spacing w:val="-3"/>
          <w:sz w:val="21"/>
        </w:rPr>
        <w:t>同</w:t>
      </w:r>
      <w:r>
        <w:rPr>
          <w:b/>
          <w:sz w:val="21"/>
        </w:rPr>
        <w:t>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p>
    <w:p>
      <w:pPr>
        <w:pStyle w:val="BodyText"/>
        <w:ind w:left="680"/>
      </w:pPr>
      <w:r>
        <w:rPr/>
        <w:t>一、《基金合同》的变更</w:t>
      </w:r>
    </w:p>
    <w:p>
      <w:pPr>
        <w:pStyle w:val="BodyText"/>
        <w:spacing w:before="6"/>
        <w:rPr>
          <w:sz w:val="15"/>
        </w:rPr>
      </w:pPr>
    </w:p>
    <w:p>
      <w:pPr>
        <w:pStyle w:val="BodyText"/>
        <w:spacing w:line="417" w:lineRule="auto" w:before="1"/>
        <w:ind w:left="260" w:right="49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260" w:right="49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ind w:left="680"/>
      </w:pPr>
      <w:r>
        <w:rPr/>
        <w:t>二、《基金合同》的终止事由</w:t>
      </w:r>
    </w:p>
    <w:p>
      <w:pPr>
        <w:pStyle w:val="BodyText"/>
        <w:spacing w:before="6"/>
        <w:rPr>
          <w:sz w:val="15"/>
        </w:rPr>
      </w:pPr>
    </w:p>
    <w:p>
      <w:pPr>
        <w:pStyle w:val="BodyText"/>
        <w:ind w:left="680"/>
      </w:pPr>
      <w:r>
        <w:rPr/>
        <w:t>有下列情形之一的，《基金合同》应当终止：</w:t>
      </w:r>
    </w:p>
    <w:p>
      <w:pPr>
        <w:pStyle w:val="BodyText"/>
        <w:spacing w:before="6"/>
        <w:rPr>
          <w:sz w:val="15"/>
        </w:rPr>
      </w:pPr>
    </w:p>
    <w:p>
      <w:pPr>
        <w:pStyle w:val="BodyText"/>
        <w:spacing w:before="1"/>
        <w:ind w:left="680"/>
      </w:pPr>
      <w:r>
        <w:rPr>
          <w:rFonts w:ascii="Times New Roman" w:eastAsia="Times New Roman"/>
        </w:rPr>
        <w:t>1</w:t>
      </w:r>
      <w:r>
        <w:rPr/>
        <w:t>、基金份额持有人大会决定终止的。</w:t>
      </w:r>
    </w:p>
    <w:p>
      <w:pPr>
        <w:pStyle w:val="BodyText"/>
        <w:spacing w:before="6"/>
        <w:rPr>
          <w:sz w:val="15"/>
        </w:rPr>
      </w:pPr>
    </w:p>
    <w:p>
      <w:pPr>
        <w:pStyle w:val="BodyText"/>
        <w:spacing w:line="417" w:lineRule="auto"/>
        <w:ind w:left="260" w:right="43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680"/>
      </w:pPr>
      <w:r>
        <w:rPr>
          <w:rFonts w:ascii="Times New Roman" w:eastAsia="Times New Roman"/>
        </w:rPr>
        <w:t>3</w:t>
      </w:r>
      <w:r>
        <w:rPr/>
        <w:t>、《基金合同》约定的其他情形。</w:t>
      </w:r>
    </w:p>
    <w:p>
      <w:pPr>
        <w:pStyle w:val="BodyText"/>
        <w:spacing w:before="7"/>
        <w:rPr>
          <w:sz w:val="15"/>
        </w:rPr>
      </w:pPr>
    </w:p>
    <w:p>
      <w:pPr>
        <w:pStyle w:val="BodyText"/>
        <w:spacing w:line="417" w:lineRule="auto"/>
        <w:ind w:left="680" w:right="3866"/>
      </w:pPr>
      <w:r>
        <w:rPr>
          <w:rFonts w:ascii="Times New Roman" w:eastAsia="Times New Roman"/>
        </w:rPr>
        <w:t>4</w:t>
      </w:r>
      <w:r>
        <w:rPr/>
        <w:t>、相关法律法规和中国证监会规定的其他情况。三、基金财产的清算</w:t>
      </w:r>
    </w:p>
    <w:p>
      <w:pPr>
        <w:pStyle w:val="BodyText"/>
        <w:spacing w:line="417" w:lineRule="auto"/>
        <w:ind w:left="260" w:right="49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260" w:right="49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260" w:right="49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680"/>
      </w:pPr>
      <w:r>
        <w:rPr>
          <w:rFonts w:ascii="Times New Roman" w:eastAsia="Times New Roman"/>
        </w:rPr>
        <w:t>4</w:t>
      </w:r>
      <w:r>
        <w:rPr/>
        <w:t>、基金财产清算程序：</w:t>
      </w:r>
    </w:p>
    <w:p>
      <w:pPr>
        <w:spacing w:after="0"/>
        <w:sectPr>
          <w:pgSz w:w="11910" w:h="16840"/>
          <w:pgMar w:header="877" w:footer="995" w:top="1420" w:bottom="1180" w:left="1540" w:right="1300"/>
        </w:sectPr>
      </w:pPr>
    </w:p>
    <w:p>
      <w:pPr>
        <w:pStyle w:val="ListParagraph"/>
        <w:numPr>
          <w:ilvl w:val="0"/>
          <w:numId w:val="52"/>
        </w:numPr>
        <w:tabs>
          <w:tab w:pos="1210" w:val="left" w:leader="none"/>
        </w:tabs>
        <w:spacing w:line="240" w:lineRule="auto" w:before="110" w:after="0"/>
        <w:ind w:left="120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52"/>
        </w:numPr>
        <w:tabs>
          <w:tab w:pos="1210" w:val="left" w:leader="none"/>
        </w:tabs>
        <w:spacing w:line="240" w:lineRule="auto" w:before="0" w:after="0"/>
        <w:ind w:left="120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2"/>
        </w:numPr>
        <w:tabs>
          <w:tab w:pos="1210" w:val="left" w:leader="none"/>
        </w:tabs>
        <w:spacing w:line="240" w:lineRule="auto" w:before="0" w:after="0"/>
        <w:ind w:left="120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2"/>
        </w:numPr>
        <w:tabs>
          <w:tab w:pos="1210" w:val="left" w:leader="none"/>
        </w:tabs>
        <w:spacing w:line="240" w:lineRule="auto" w:before="0" w:after="0"/>
        <w:ind w:left="1209" w:right="0" w:hanging="530"/>
        <w:jc w:val="left"/>
        <w:rPr>
          <w:sz w:val="21"/>
        </w:rPr>
      </w:pPr>
      <w:r>
        <w:rPr>
          <w:spacing w:val="-3"/>
          <w:sz w:val="21"/>
        </w:rPr>
        <w:t>制作清算报告。</w:t>
      </w:r>
    </w:p>
    <w:p>
      <w:pPr>
        <w:pStyle w:val="BodyText"/>
        <w:spacing w:before="7"/>
        <w:rPr>
          <w:sz w:val="15"/>
        </w:rPr>
      </w:pPr>
    </w:p>
    <w:p>
      <w:pPr>
        <w:pStyle w:val="ListParagraph"/>
        <w:numPr>
          <w:ilvl w:val="0"/>
          <w:numId w:val="52"/>
        </w:numPr>
        <w:tabs>
          <w:tab w:pos="1210" w:val="left" w:leader="none"/>
        </w:tabs>
        <w:spacing w:line="417" w:lineRule="auto" w:before="0" w:after="0"/>
        <w:ind w:left="260" w:right="4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2"/>
        </w:numPr>
        <w:tabs>
          <w:tab w:pos="1210" w:val="left" w:leader="none"/>
        </w:tabs>
        <w:spacing w:line="269" w:lineRule="exact" w:before="0" w:after="0"/>
        <w:ind w:left="120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52"/>
        </w:numPr>
        <w:tabs>
          <w:tab w:pos="1210" w:val="left" w:leader="none"/>
        </w:tabs>
        <w:spacing w:line="240" w:lineRule="auto" w:before="0" w:after="0"/>
        <w:ind w:left="1209" w:right="0" w:hanging="530"/>
        <w:jc w:val="left"/>
        <w:rPr>
          <w:sz w:val="21"/>
        </w:rPr>
      </w:pPr>
      <w:r>
        <w:rPr>
          <w:spacing w:val="-3"/>
          <w:sz w:val="21"/>
        </w:rPr>
        <w:t>对基金财产进行分配。</w:t>
      </w:r>
    </w:p>
    <w:p>
      <w:pPr>
        <w:pStyle w:val="BodyText"/>
        <w:spacing w:before="7"/>
        <w:rPr>
          <w:sz w:val="15"/>
        </w:rPr>
      </w:pPr>
    </w:p>
    <w:p>
      <w:pPr>
        <w:pStyle w:val="BodyText"/>
        <w:spacing w:line="417" w:lineRule="auto"/>
        <w:ind w:left="680" w:right="5063"/>
      </w:pPr>
      <w:r>
        <w:rPr>
          <w:rFonts w:ascii="Times New Roman" w:eastAsia="Times New Roman"/>
        </w:rPr>
        <w:t>5</w:t>
      </w:r>
      <w:r>
        <w:rPr/>
        <w:t>、基金财产清算的期限为 </w:t>
      </w:r>
      <w:r>
        <w:rPr>
          <w:rFonts w:ascii="Times New Roman" w:eastAsia="Times New Roman"/>
        </w:rPr>
        <w:t>6 </w:t>
      </w:r>
      <w:r>
        <w:rPr/>
        <w:t>个月。四、清算费用</w:t>
      </w:r>
    </w:p>
    <w:p>
      <w:pPr>
        <w:pStyle w:val="BodyText"/>
        <w:spacing w:line="417" w:lineRule="auto"/>
        <w:ind w:left="260" w:right="4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680"/>
      </w:pPr>
      <w:r>
        <w:rPr/>
        <w:t>五、基金财产清算剩余资产的分配</w:t>
      </w:r>
    </w:p>
    <w:p>
      <w:pPr>
        <w:pStyle w:val="BodyText"/>
        <w:spacing w:before="6"/>
        <w:rPr>
          <w:sz w:val="15"/>
        </w:rPr>
      </w:pPr>
    </w:p>
    <w:p>
      <w:pPr>
        <w:pStyle w:val="BodyText"/>
        <w:spacing w:line="417" w:lineRule="auto"/>
        <w:ind w:left="260" w:right="49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ind w:left="680"/>
      </w:pPr>
      <w:r>
        <w:rPr/>
        <w:t>六、基金财产清算的公告</w:t>
      </w:r>
    </w:p>
    <w:p>
      <w:pPr>
        <w:pStyle w:val="BodyText"/>
        <w:spacing w:before="7"/>
        <w:rPr>
          <w:sz w:val="15"/>
        </w:rPr>
      </w:pPr>
    </w:p>
    <w:p>
      <w:pPr>
        <w:pStyle w:val="BodyText"/>
        <w:spacing w:line="417" w:lineRule="auto"/>
        <w:ind w:left="260" w:right="49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680"/>
      </w:pPr>
      <w:r>
        <w:rPr/>
        <w:t>七、基金财产清算账册及文件的保存</w:t>
      </w:r>
    </w:p>
    <w:p>
      <w:pPr>
        <w:pStyle w:val="BodyText"/>
        <w:spacing w:before="7"/>
        <w:rPr>
          <w:sz w:val="15"/>
        </w:rPr>
      </w:pPr>
    </w:p>
    <w:p>
      <w:pPr>
        <w:pStyle w:val="BodyText"/>
        <w:ind w:left="680"/>
      </w:pPr>
      <w:r>
        <w:rPr/>
        <w:t>基金财产清算账册及有关文件由基金托管人保存 </w:t>
      </w:r>
      <w:r>
        <w:rPr>
          <w:rFonts w:ascii="Times New Roman" w:eastAsia="Times New Roman"/>
        </w:rPr>
        <w:t>15 </w:t>
      </w:r>
      <w:r>
        <w:rPr/>
        <w:t>年以上。</w:t>
      </w:r>
    </w:p>
    <w:p>
      <w:pPr>
        <w:pStyle w:val="BodyText"/>
        <w:spacing w:before="7"/>
        <w:rPr>
          <w:sz w:val="15"/>
        </w:rPr>
      </w:pPr>
    </w:p>
    <w:p>
      <w:pPr>
        <w:spacing w:before="0"/>
        <w:ind w:left="3253" w:right="0" w:firstLine="0"/>
        <w:jc w:val="both"/>
        <w:rPr>
          <w:b/>
          <w:sz w:val="21"/>
        </w:rPr>
      </w:pPr>
      <w:r>
        <w:rPr>
          <w:b/>
          <w:sz w:val="21"/>
        </w:rPr>
        <w:t>第四部分 争议解决方式</w:t>
      </w:r>
    </w:p>
    <w:p>
      <w:pPr>
        <w:pStyle w:val="BodyText"/>
        <w:spacing w:before="7"/>
        <w:rPr>
          <w:b/>
          <w:sz w:val="15"/>
        </w:rPr>
      </w:pPr>
    </w:p>
    <w:p>
      <w:pPr>
        <w:pStyle w:val="BodyText"/>
        <w:spacing w:line="417" w:lineRule="auto"/>
        <w:ind w:left="260" w:right="491" w:firstLine="419"/>
        <w:jc w:val="both"/>
      </w:pPr>
      <w:r>
        <w:rPr>
          <w:spacing w:val="-11"/>
        </w:rPr>
        <w:t>各方当事人同意，因《基金合同》而产生的或与《基金合同》有关的一切争议，如经友</w:t>
      </w:r>
      <w:r>
        <w:rPr>
          <w:spacing w:val="-13"/>
        </w:rPr>
        <w:t>好协商未能解决的，应提交北京仲裁委员会，根据该会当时有效的仲裁规则按普通程序进行</w:t>
      </w:r>
      <w:r>
        <w:rPr>
          <w:spacing w:val="-12"/>
        </w:rPr>
        <w:t>仲裁，仲裁地点为北京，仲裁裁决是终局性的并对各方当事人具有约束力，除非仲裁裁决另</w:t>
      </w:r>
      <w:r>
        <w:rPr>
          <w:spacing w:val="-6"/>
        </w:rPr>
        <w:t>有规定，仲裁费由败诉方承担。</w:t>
      </w:r>
    </w:p>
    <w:p>
      <w:pPr>
        <w:pStyle w:val="BodyText"/>
        <w:spacing w:line="268" w:lineRule="exact"/>
        <w:ind w:left="680"/>
      </w:pPr>
      <w:r>
        <w:rPr/>
        <w:t>《基金合同》受中国法律管辖。</w:t>
      </w:r>
    </w:p>
    <w:p>
      <w:pPr>
        <w:pStyle w:val="BodyText"/>
        <w:spacing w:before="6"/>
        <w:rPr>
          <w:sz w:val="15"/>
        </w:rPr>
      </w:pPr>
    </w:p>
    <w:p>
      <w:pPr>
        <w:tabs>
          <w:tab w:pos="2833" w:val="left" w:leader="none"/>
        </w:tabs>
        <w:spacing w:before="1"/>
        <w:ind w:left="1777" w:right="0" w:firstLine="0"/>
        <w:jc w:val="left"/>
        <w:rPr>
          <w:b/>
          <w:sz w:val="21"/>
        </w:rPr>
      </w:pPr>
      <w:r>
        <w:rPr>
          <w:b/>
          <w:sz w:val="21"/>
        </w:rPr>
        <w:t>第五部分</w:t>
        <w:tab/>
        <w:t>基金合</w:t>
      </w:r>
      <w:r>
        <w:rPr>
          <w:b/>
          <w:spacing w:val="-3"/>
          <w:sz w:val="21"/>
        </w:rPr>
        <w:t>同</w:t>
      </w:r>
      <w:r>
        <w:rPr>
          <w:b/>
          <w:sz w:val="21"/>
        </w:rPr>
        <w:t>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7"/>
        <w:rPr>
          <w:b/>
          <w:sz w:val="15"/>
        </w:rPr>
      </w:pPr>
    </w:p>
    <w:p>
      <w:pPr>
        <w:pStyle w:val="BodyText"/>
        <w:spacing w:line="417" w:lineRule="auto"/>
        <w:ind w:left="260" w:right="491" w:firstLine="419"/>
      </w:pPr>
      <w:r>
        <w:rPr>
          <w:spacing w:val="-10"/>
        </w:rPr>
        <w:t>《基金合同》可印制成册，供投资者在基金管理人、基金托管人、销售机构的办公场所</w:t>
      </w:r>
      <w:r>
        <w:rPr>
          <w:spacing w:val="-5"/>
        </w:rPr>
        <w:t>和营业场所查阅。</w:t>
      </w:r>
    </w:p>
    <w:p>
      <w:pPr>
        <w:spacing w:after="0" w:line="417" w:lineRule="auto"/>
        <w:sectPr>
          <w:pgSz w:w="11910" w:h="16840"/>
          <w:pgMar w:header="877" w:footer="995" w:top="1420" w:bottom="1180" w:left="1540" w:right="1300"/>
        </w:sectPr>
      </w:pPr>
    </w:p>
    <w:p>
      <w:pPr>
        <w:pStyle w:val="BodyText"/>
        <w:spacing w:line="417" w:lineRule="auto" w:before="110"/>
        <w:ind w:left="260" w:right="491" w:firstLine="419"/>
      </w:pPr>
      <w:r>
        <w:rPr>
          <w:spacing w:val="-10"/>
        </w:rPr>
        <w:t>依法必须披露的信息发布后，基金管理人、基金托管人应当按照相关法律法规规定将信</w:t>
      </w:r>
      <w:r>
        <w:rPr>
          <w:spacing w:val="-5"/>
        </w:rPr>
        <w:t>息置备于公司住所，供社会公众查阅、复制。</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ind w:left="7"/>
      </w:pPr>
      <w:bookmarkStart w:name="_bookmark19" w:id="20"/>
      <w:bookmarkEnd w:id="20"/>
      <w:r>
        <w:rPr>
          <w:b w:val="0"/>
        </w:rPr>
      </w:r>
      <w:r>
        <w:rPr/>
        <w:t>二十、基金托管协议的内容摘要</w:t>
      </w:r>
    </w:p>
    <w:p>
      <w:pPr>
        <w:pStyle w:val="BodyText"/>
        <w:rPr>
          <w:b/>
          <w:sz w:val="20"/>
        </w:rPr>
      </w:pPr>
    </w:p>
    <w:p>
      <w:pPr>
        <w:pStyle w:val="BodyText"/>
        <w:spacing w:before="2"/>
        <w:rPr>
          <w:b/>
        </w:rPr>
      </w:pPr>
    </w:p>
    <w:p>
      <w:pPr>
        <w:pStyle w:val="BodyText"/>
        <w:ind w:left="680"/>
      </w:pPr>
      <w:r>
        <w:rPr/>
        <w:t>以下内容摘自《华夏优势精选股票型证券投资基金托管协议》。</w:t>
      </w:r>
    </w:p>
    <w:p>
      <w:pPr>
        <w:pStyle w:val="BodyText"/>
        <w:spacing w:before="7"/>
        <w:rPr>
          <w:sz w:val="15"/>
        </w:rPr>
      </w:pPr>
    </w:p>
    <w:p>
      <w:pPr>
        <w:spacing w:before="0"/>
        <w:ind w:left="10" w:right="245" w:firstLine="0"/>
        <w:jc w:val="center"/>
        <w:rPr>
          <w:b/>
          <w:sz w:val="21"/>
        </w:rPr>
      </w:pPr>
      <w:r>
        <w:rPr>
          <w:b/>
          <w:sz w:val="21"/>
        </w:rPr>
        <w:t>一、基金托管协议当事人</w:t>
      </w:r>
    </w:p>
    <w:p>
      <w:pPr>
        <w:pStyle w:val="BodyText"/>
        <w:spacing w:before="7"/>
        <w:rPr>
          <w:b/>
          <w:sz w:val="15"/>
        </w:rPr>
      </w:pPr>
    </w:p>
    <w:p>
      <w:pPr>
        <w:pStyle w:val="BodyText"/>
        <w:ind w:left="680"/>
      </w:pPr>
      <w:r>
        <w:rPr/>
        <w:t>（一）基金管理人</w:t>
      </w:r>
    </w:p>
    <w:p>
      <w:pPr>
        <w:pStyle w:val="BodyText"/>
        <w:spacing w:before="6"/>
        <w:rPr>
          <w:sz w:val="15"/>
        </w:rPr>
      </w:pPr>
    </w:p>
    <w:p>
      <w:pPr>
        <w:pStyle w:val="BodyText"/>
        <w:spacing w:before="1"/>
        <w:ind w:left="680"/>
      </w:pPr>
      <w:r>
        <w:rPr/>
        <w:t>名称：华夏基金管理有限公司</w:t>
      </w:r>
    </w:p>
    <w:p>
      <w:pPr>
        <w:pStyle w:val="BodyText"/>
        <w:spacing w:before="6"/>
        <w:rPr>
          <w:sz w:val="15"/>
        </w:rPr>
      </w:pPr>
    </w:p>
    <w:p>
      <w:pPr>
        <w:pStyle w:val="BodyText"/>
        <w:ind w:left="680"/>
      </w:pPr>
      <w:r>
        <w:rPr/>
        <w:t>注册地址：北京市顺义区安庆大街甲 </w:t>
      </w:r>
      <w:r>
        <w:rPr>
          <w:rFonts w:ascii="Times New Roman" w:eastAsia="Times New Roman"/>
        </w:rPr>
        <w:t>3 </w:t>
      </w:r>
      <w:r>
        <w:rPr/>
        <w:t>号院</w:t>
      </w:r>
    </w:p>
    <w:p>
      <w:pPr>
        <w:pStyle w:val="BodyText"/>
        <w:spacing w:before="8"/>
        <w:rPr>
          <w:sz w:val="15"/>
        </w:rPr>
      </w:pPr>
    </w:p>
    <w:p>
      <w:pPr>
        <w:pStyle w:val="BodyText"/>
        <w:spacing w:line="417" w:lineRule="auto"/>
        <w:ind w:left="680" w:right="2927"/>
        <w:rPr>
          <w:rFonts w:ascii="Times New Roman" w:eastAsia="Times New Roman"/>
        </w:rPr>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层邮政编码：</w:t>
      </w:r>
      <w:r>
        <w:rPr>
          <w:rFonts w:ascii="Times New Roman" w:eastAsia="Times New Roman"/>
        </w:rPr>
        <w:t>100033</w:t>
      </w:r>
    </w:p>
    <w:p>
      <w:pPr>
        <w:pStyle w:val="BodyText"/>
        <w:spacing w:line="269" w:lineRule="exact"/>
        <w:ind w:left="680"/>
      </w:pPr>
      <w:r>
        <w:rPr/>
        <w:t>法定代表人：杨明辉</w:t>
      </w:r>
    </w:p>
    <w:p>
      <w:pPr>
        <w:pStyle w:val="BodyText"/>
        <w:spacing w:before="6"/>
        <w:rPr>
          <w:sz w:val="15"/>
        </w:rPr>
      </w:pPr>
    </w:p>
    <w:p>
      <w:pPr>
        <w:pStyle w:val="BodyText"/>
        <w:ind w:left="680"/>
      </w:pPr>
      <w:r>
        <w:rPr/>
        <w:t>成立日期：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680" w:right="251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ind w:left="680" w:right="5861"/>
      </w:pPr>
      <w:r>
        <w:rPr/>
        <w:t>注册资本：</w:t>
      </w:r>
      <w:r>
        <w:rPr>
          <w:rFonts w:ascii="Times New Roman" w:eastAsia="Times New Roman"/>
        </w:rPr>
        <w:t>2.38 </w:t>
      </w:r>
      <w:r>
        <w:rPr/>
        <w:t>亿元人民币存续期间：</w:t>
      </w:r>
      <w:r>
        <w:rPr>
          <w:rFonts w:ascii="Times New Roman" w:eastAsia="Times New Roman"/>
        </w:rPr>
        <w:t>100 </w:t>
      </w:r>
      <w:r>
        <w:rPr/>
        <w:t>年</w:t>
      </w:r>
    </w:p>
    <w:p>
      <w:pPr>
        <w:pStyle w:val="BodyText"/>
        <w:spacing w:line="417" w:lineRule="auto"/>
        <w:ind w:left="260" w:right="411" w:firstLine="419"/>
      </w:pPr>
      <w:r>
        <w:rPr/>
        <w:t>经营范围：（一）基金募集；（二）基金销售；（三）资产管理；（四）从事特定客户资产管理业务；（五）中国证监会核准的其他业务。</w:t>
      </w:r>
    </w:p>
    <w:p>
      <w:pPr>
        <w:pStyle w:val="BodyText"/>
        <w:spacing w:line="269" w:lineRule="exact"/>
        <w:ind w:left="680"/>
      </w:pPr>
      <w:r>
        <w:rPr/>
        <w:t>（二）基金托管人</w:t>
      </w:r>
    </w:p>
    <w:p>
      <w:pPr>
        <w:pStyle w:val="BodyText"/>
        <w:spacing w:before="6"/>
        <w:rPr>
          <w:sz w:val="15"/>
        </w:rPr>
      </w:pPr>
    </w:p>
    <w:p>
      <w:pPr>
        <w:pStyle w:val="BodyText"/>
        <w:spacing w:before="1"/>
        <w:ind w:left="680"/>
      </w:pPr>
      <w:r>
        <w:rPr/>
        <w:t>名称：中国农业银行股份有限公司</w:t>
      </w:r>
    </w:p>
    <w:p>
      <w:pPr>
        <w:pStyle w:val="BodyText"/>
        <w:spacing w:before="6"/>
        <w:rPr>
          <w:sz w:val="15"/>
        </w:rPr>
      </w:pPr>
    </w:p>
    <w:p>
      <w:pPr>
        <w:pStyle w:val="BodyText"/>
        <w:ind w:left="680"/>
      </w:pPr>
      <w:r>
        <w:rPr/>
        <w:t>注册地址：北京市东城区建国门内大街 </w:t>
      </w:r>
      <w:r>
        <w:rPr>
          <w:rFonts w:ascii="Times New Roman" w:eastAsia="Times New Roman"/>
        </w:rPr>
        <w:t>69 </w:t>
      </w:r>
      <w:r>
        <w:rPr/>
        <w:t>号</w:t>
      </w:r>
    </w:p>
    <w:p>
      <w:pPr>
        <w:pStyle w:val="BodyText"/>
        <w:spacing w:before="7"/>
        <w:rPr>
          <w:sz w:val="15"/>
        </w:rPr>
      </w:pPr>
    </w:p>
    <w:p>
      <w:pPr>
        <w:pStyle w:val="BodyText"/>
        <w:spacing w:line="417" w:lineRule="auto"/>
        <w:ind w:left="680" w:right="2542"/>
        <w:rPr>
          <w:rFonts w:ascii="Times New Roman" w:eastAsia="Times New Roman"/>
        </w:rPr>
      </w:pPr>
      <w:r>
        <w:rPr/>
        <w:t>办公地址：北京市西城区复兴门内大街 </w:t>
      </w:r>
      <w:r>
        <w:rPr>
          <w:rFonts w:ascii="Times New Roman" w:eastAsia="Times New Roman"/>
        </w:rPr>
        <w:t>28 </w:t>
      </w:r>
      <w:r>
        <w:rPr/>
        <w:t>号凯晨世贸中心东座邮政编码：</w:t>
      </w:r>
      <w:r>
        <w:rPr>
          <w:rFonts w:ascii="Times New Roman" w:eastAsia="Times New Roman"/>
        </w:rPr>
        <w:t>100031</w:t>
      </w:r>
    </w:p>
    <w:p>
      <w:pPr>
        <w:pStyle w:val="BodyText"/>
        <w:ind w:left="680"/>
      </w:pPr>
      <w:r>
        <w:rPr/>
        <w:t>法定代表人：周慕冰</w:t>
      </w:r>
    </w:p>
    <w:p>
      <w:pPr>
        <w:pStyle w:val="BodyText"/>
        <w:spacing w:before="7"/>
        <w:rPr>
          <w:sz w:val="15"/>
        </w:rPr>
      </w:pPr>
    </w:p>
    <w:p>
      <w:pPr>
        <w:pStyle w:val="BodyText"/>
        <w:ind w:left="680"/>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before="7"/>
        <w:rPr>
          <w:sz w:val="15"/>
        </w:rPr>
      </w:pPr>
    </w:p>
    <w:p>
      <w:pPr>
        <w:pStyle w:val="BodyText"/>
        <w:spacing w:line="417" w:lineRule="auto"/>
        <w:ind w:left="680" w:right="3146"/>
      </w:pPr>
      <w:r>
        <w:rPr/>
        <w:t>基金托管资格批准文号：中国证监会证监基字</w:t>
      </w:r>
      <w:r>
        <w:rPr>
          <w:rFonts w:ascii="Times New Roman" w:eastAsia="Times New Roman"/>
        </w:rPr>
        <w:t>[1998]23 </w:t>
      </w:r>
      <w:r>
        <w:rPr/>
        <w:t>号注册资本：</w:t>
      </w:r>
      <w:r>
        <w:rPr>
          <w:rFonts w:ascii="Times New Roman" w:eastAsia="Times New Roman"/>
        </w:rPr>
        <w:t>32,479,411.7 </w:t>
      </w:r>
      <w:r>
        <w:rPr/>
        <w:t>万元人民币</w:t>
      </w:r>
    </w:p>
    <w:p>
      <w:pPr>
        <w:pStyle w:val="BodyText"/>
        <w:spacing w:line="269" w:lineRule="exact"/>
        <w:ind w:left="680"/>
      </w:pPr>
      <w:r>
        <w:rPr/>
        <w:t>存续期间：持续经营</w:t>
      </w:r>
    </w:p>
    <w:p>
      <w:pPr>
        <w:pStyle w:val="BodyText"/>
        <w:spacing w:before="7"/>
        <w:rPr>
          <w:sz w:val="15"/>
        </w:rPr>
      </w:pPr>
    </w:p>
    <w:p>
      <w:pPr>
        <w:pStyle w:val="BodyText"/>
        <w:spacing w:line="417" w:lineRule="auto"/>
        <w:ind w:left="260" w:right="491" w:firstLine="419"/>
      </w:pPr>
      <w:r>
        <w:rPr>
          <w:spacing w:val="-10"/>
        </w:rPr>
        <w:t>经营范围：吸收公众存款；发放短期、中期、长期贷款；办理国内外结算；办理票据承</w:t>
      </w:r>
      <w:r>
        <w:rPr>
          <w:spacing w:val="-21"/>
        </w:rPr>
        <w:t>兑与贴现；发行金融债券；代理发行、代理兑付、承销政府债券；买卖政府债券、金融债券；</w:t>
      </w:r>
    </w:p>
    <w:p>
      <w:pPr>
        <w:spacing w:after="0" w:line="417" w:lineRule="auto"/>
        <w:sectPr>
          <w:footerReference w:type="default" r:id="rId156"/>
          <w:pgSz w:w="11910" w:h="16840"/>
          <w:pgMar w:footer="995" w:header="877" w:top="1420" w:bottom="1180" w:left="1540" w:right="1300"/>
        </w:sectPr>
      </w:pPr>
    </w:p>
    <w:p>
      <w:pPr>
        <w:pStyle w:val="BodyText"/>
        <w:spacing w:line="417" w:lineRule="auto" w:before="110"/>
        <w:ind w:left="260" w:right="491"/>
        <w:jc w:val="both"/>
      </w:pPr>
      <w:r>
        <w:rPr>
          <w:spacing w:val="-11"/>
        </w:rPr>
        <w:t>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w:t>
      </w:r>
      <w:r>
        <w:rPr>
          <w:spacing w:val="-13"/>
        </w:rPr>
        <w:t>款；外汇贷款；外汇汇款；外汇借款；发行、代理发行、买卖或代理买卖股票以外的外币有</w:t>
      </w:r>
      <w:r>
        <w:rPr>
          <w:spacing w:val="-14"/>
        </w:rPr>
        <w:t>价证券；外汇票据承兑和贴现；自营、代客外汇买卖；外币兑换；外汇担保；资信调查、咨</w:t>
      </w:r>
      <w:r>
        <w:rPr>
          <w:spacing w:val="-12"/>
        </w:rPr>
        <w:t>询、见证业务；企业、个人财务顾问服务；证券公司客户交易结算资金存管业务；证券投资</w:t>
      </w:r>
      <w:r>
        <w:rPr>
          <w:spacing w:val="-17"/>
        </w:rPr>
        <w:t>基金托管业务；企业年金托管业务；产业投资基金托管业务；合格境外机构投资者境内证 券</w:t>
      </w:r>
      <w:r>
        <w:rPr>
          <w:spacing w:val="-13"/>
        </w:rPr>
        <w:t>投资托管业务；代理开放式基金业务；电话银行、手机银行、网上银行业务；金融衍生产品</w:t>
      </w:r>
      <w:r>
        <w:rPr>
          <w:spacing w:val="-6"/>
        </w:rPr>
        <w:t>交易业务；经国务院银行业监督管理机构等监管部门批准的其他业务。</w:t>
      </w:r>
    </w:p>
    <w:p>
      <w:pPr>
        <w:spacing w:line="268" w:lineRule="exact" w:before="0"/>
        <w:ind w:left="2199" w:right="0" w:firstLine="0"/>
        <w:jc w:val="left"/>
        <w:rPr>
          <w:b/>
          <w:sz w:val="21"/>
        </w:rPr>
      </w:pPr>
      <w:r>
        <w:rPr>
          <w:b/>
          <w:sz w:val="21"/>
        </w:rPr>
        <w:t>二、基金托管人对基金管理人的业务监督和核查</w:t>
      </w:r>
    </w:p>
    <w:p>
      <w:pPr>
        <w:pStyle w:val="BodyText"/>
        <w:spacing w:before="6"/>
        <w:rPr>
          <w:b/>
          <w:sz w:val="15"/>
        </w:rPr>
      </w:pPr>
    </w:p>
    <w:p>
      <w:pPr>
        <w:pStyle w:val="BodyText"/>
        <w:spacing w:line="417" w:lineRule="auto"/>
        <w:ind w:left="260" w:right="491" w:firstLine="419"/>
      </w:pPr>
      <w:r>
        <w:rPr/>
        <w:t>（</w:t>
      </w:r>
      <w:r>
        <w:rPr>
          <w:spacing w:val="-3"/>
        </w:rPr>
        <w:t>一</w:t>
      </w:r>
      <w:r>
        <w:rPr>
          <w:spacing w:val="-32"/>
        </w:rPr>
        <w:t>）</w:t>
      </w:r>
      <w:r>
        <w:rPr>
          <w:spacing w:val="-6"/>
        </w:rPr>
        <w:t>基金托管人根据有关法律法规的规定及基金合同的约定，对基金投资范围、投资</w:t>
      </w:r>
      <w:r>
        <w:rPr>
          <w:spacing w:val="-4"/>
        </w:rPr>
        <w:t>对象进行监督。</w:t>
      </w:r>
    </w:p>
    <w:p>
      <w:pPr>
        <w:pStyle w:val="BodyText"/>
        <w:spacing w:line="417" w:lineRule="auto"/>
        <w:ind w:left="260" w:right="491" w:firstLine="419"/>
        <w:jc w:val="both"/>
      </w:pPr>
      <w:r>
        <w:rPr>
          <w:spacing w:val="-3"/>
        </w:rPr>
        <w:t>本基金的投资范围为具有良好流动性的金融工具，包括国内依法发行上市的股票(包括中小板、创业板、存托凭证及其他中国证监会核准上市的股票)、港股通机制下的股票、债券(包括国内依法发行和上市交易的国债、央行票据、金融债券、企业债券、公司债券、中</w:t>
      </w:r>
      <w:r>
        <w:rPr>
          <w:spacing w:val="-12"/>
        </w:rPr>
        <w:t>期票据、短期融资券、超短期融资券、次级债券、政府支持机构债券、政府支持债券、地方</w:t>
      </w:r>
      <w:r>
        <w:rPr>
          <w:spacing w:val="-17"/>
        </w:rPr>
        <w:t>政府债券、可转换债券、可交换债券及其他经中国证监会允许投资的债券)、资产支持证券、衍生品</w:t>
      </w:r>
      <w:r>
        <w:rPr/>
        <w:t>（</w:t>
      </w:r>
      <w:r>
        <w:rPr>
          <w:spacing w:val="-7"/>
        </w:rPr>
        <w:t>包括权证、股指期货、国债期货、股票期权等</w:t>
      </w:r>
      <w:r>
        <w:rPr>
          <w:spacing w:val="-15"/>
        </w:rPr>
        <w:t>）</w:t>
      </w:r>
      <w:r>
        <w:rPr>
          <w:spacing w:val="-7"/>
        </w:rPr>
        <w:t>、货币市场工具</w:t>
      </w:r>
      <w:r>
        <w:rPr>
          <w:spacing w:val="-3"/>
        </w:rPr>
        <w:t>（</w:t>
      </w:r>
      <w:r>
        <w:rPr>
          <w:spacing w:val="-2"/>
        </w:rPr>
        <w:t>含同业存单</w:t>
      </w:r>
      <w:r>
        <w:rPr>
          <w:spacing w:val="-13"/>
        </w:rPr>
        <w:t>）</w:t>
      </w:r>
      <w:r>
        <w:rPr/>
        <w:t>以</w:t>
      </w:r>
      <w:r>
        <w:rPr>
          <w:spacing w:val="-3"/>
        </w:rPr>
        <w:t>及法律法规或中国证监会允许基金投资的其他金融工具。</w:t>
      </w:r>
    </w:p>
    <w:p>
      <w:pPr>
        <w:pStyle w:val="BodyText"/>
        <w:spacing w:line="417" w:lineRule="auto"/>
        <w:ind w:left="260" w:right="49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260" w:right="491" w:firstLine="419"/>
        <w:jc w:val="both"/>
      </w:pPr>
      <w:r>
        <w:rPr>
          <w:spacing w:val="-2"/>
        </w:rPr>
        <w:t>本基金的投资组合比例为：股票投资占基金资产的比例为 </w:t>
      </w:r>
      <w:r>
        <w:rPr>
          <w:rFonts w:ascii="Times New Roman" w:eastAsia="Times New Roman"/>
        </w:rPr>
        <w:t>80%-95%</w:t>
      </w:r>
      <w:r>
        <w:rPr>
          <w:spacing w:val="-3"/>
        </w:rPr>
        <w:t>，其中，投资于港</w:t>
      </w:r>
      <w:r>
        <w:rPr>
          <w:spacing w:val="-5"/>
        </w:rPr>
        <w:t>股通标的股票占股票资产的比例为 </w:t>
      </w:r>
      <w:r>
        <w:rPr>
          <w:rFonts w:ascii="Times New Roman" w:eastAsia="Times New Roman"/>
        </w:rPr>
        <w:t>0-50%</w:t>
      </w:r>
      <w:r>
        <w:rPr>
          <w:spacing w:val="-10"/>
        </w:rPr>
        <w:t>。每个交易日日终在扣除股指期货、国债期货、股</w:t>
      </w:r>
      <w:r>
        <w:rPr>
          <w:spacing w:val="-7"/>
        </w:rPr>
        <w:t>票期权合约需缴纳的交易保证金后，保持不低于基金资产净值 </w:t>
      </w:r>
      <w:r>
        <w:rPr>
          <w:rFonts w:ascii="Times New Roman" w:eastAsia="Times New Roman"/>
        </w:rPr>
        <w:t>5%</w:t>
      </w:r>
      <w:r>
        <w:rPr>
          <w:spacing w:val="-3"/>
        </w:rPr>
        <w:t>的现金或者到期日在一年</w:t>
      </w:r>
      <w:r>
        <w:rPr>
          <w:spacing w:val="-11"/>
        </w:rPr>
        <w:t>以内的政府债券，其中，现金不包括结算备付金、存出保证金、应收申购款等。如法律法规或中国证监会变更上述投资品种的比例限制，以变更后的比例为准，本基金的投资比例会做</w:t>
      </w:r>
      <w:r>
        <w:rPr>
          <w:spacing w:val="-6"/>
        </w:rPr>
        <w:t>相应调整。</w:t>
      </w:r>
    </w:p>
    <w:p>
      <w:pPr>
        <w:pStyle w:val="BodyText"/>
        <w:spacing w:line="417" w:lineRule="auto"/>
        <w:ind w:left="260" w:right="491" w:firstLine="419"/>
      </w:pPr>
      <w:r>
        <w:rPr/>
        <w:t>（二</w:t>
      </w:r>
      <w:r>
        <w:rPr>
          <w:spacing w:val="-27"/>
        </w:rPr>
        <w:t>）</w:t>
      </w:r>
      <w:r>
        <w:rPr>
          <w:spacing w:val="-6"/>
        </w:rPr>
        <w:t>基金托管人根据有关法律法规的规定及基金合同的约定，对基金投资、融资、融</w:t>
      </w:r>
      <w:r>
        <w:rPr>
          <w:spacing w:val="-4"/>
        </w:rPr>
        <w:t>券比例进行监督。基金托管人按下述比例和调整期限进行监督：</w:t>
      </w:r>
    </w:p>
    <w:p>
      <w:pPr>
        <w:pStyle w:val="ListParagraph"/>
        <w:numPr>
          <w:ilvl w:val="0"/>
          <w:numId w:val="53"/>
        </w:numPr>
        <w:tabs>
          <w:tab w:pos="1210" w:val="left" w:leader="none"/>
        </w:tabs>
        <w:spacing w:line="240" w:lineRule="auto" w:before="0" w:after="0"/>
        <w:ind w:left="1209" w:right="0" w:hanging="530"/>
        <w:jc w:val="left"/>
        <w:rPr>
          <w:sz w:val="21"/>
        </w:rPr>
      </w:pPr>
      <w:r>
        <w:rPr>
          <w:spacing w:val="-6"/>
          <w:sz w:val="21"/>
        </w:rPr>
        <w:t>本基金股票投资比例为基金资产的 </w:t>
      </w:r>
      <w:r>
        <w:rPr>
          <w:rFonts w:ascii="Times New Roman" w:eastAsia="Times New Roman"/>
          <w:spacing w:val="-3"/>
          <w:sz w:val="21"/>
        </w:rPr>
        <w:t>80%-95%</w:t>
      </w:r>
      <w:r>
        <w:rPr>
          <w:spacing w:val="-5"/>
          <w:sz w:val="21"/>
        </w:rPr>
        <w:t>，其中，投资于港股通标的股票占股</w:t>
      </w:r>
    </w:p>
    <w:p>
      <w:pPr>
        <w:spacing w:after="0" w:line="240" w:lineRule="auto"/>
        <w:jc w:val="left"/>
        <w:rPr>
          <w:sz w:val="21"/>
        </w:rPr>
        <w:sectPr>
          <w:footerReference w:type="default" r:id="rId157"/>
          <w:pgSz w:w="11910" w:h="16840"/>
          <w:pgMar w:footer="995" w:header="877" w:top="1420" w:bottom="1180" w:left="1540" w:right="1300"/>
          <w:pgNumType w:start="141"/>
        </w:sectPr>
      </w:pPr>
    </w:p>
    <w:p>
      <w:pPr>
        <w:pStyle w:val="BodyText"/>
        <w:spacing w:before="110"/>
        <w:ind w:left="260"/>
        <w:jc w:val="both"/>
      </w:pPr>
      <w:r>
        <w:rPr/>
        <w:t>票资产的比例为 </w:t>
      </w:r>
      <w:r>
        <w:rPr>
          <w:rFonts w:ascii="Times New Roman" w:eastAsia="Times New Roman"/>
        </w:rPr>
        <w:t>0-50%</w:t>
      </w:r>
      <w:r>
        <w:rPr/>
        <w:t>。</w:t>
      </w:r>
    </w:p>
    <w:p>
      <w:pPr>
        <w:pStyle w:val="BodyText"/>
        <w:spacing w:before="6"/>
        <w:rPr>
          <w:sz w:val="15"/>
        </w:rPr>
      </w:pPr>
    </w:p>
    <w:p>
      <w:pPr>
        <w:pStyle w:val="ListParagraph"/>
        <w:numPr>
          <w:ilvl w:val="0"/>
          <w:numId w:val="53"/>
        </w:numPr>
        <w:tabs>
          <w:tab w:pos="1210" w:val="left" w:leader="none"/>
        </w:tabs>
        <w:spacing w:line="417" w:lineRule="auto" w:before="0" w:after="0"/>
        <w:ind w:left="260" w:right="491" w:firstLine="419"/>
        <w:jc w:val="both"/>
        <w:rPr>
          <w:sz w:val="21"/>
        </w:rPr>
      </w:pPr>
      <w:r>
        <w:rPr>
          <w:spacing w:val="-3"/>
          <w:sz w:val="21"/>
        </w:rPr>
        <w:t>每个交易日日终在扣除股指期货、国债期货、股票期权合约需缴纳的交易保证金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53"/>
        </w:numPr>
        <w:tabs>
          <w:tab w:pos="1210" w:val="left" w:leader="none"/>
        </w:tabs>
        <w:spacing w:line="269" w:lineRule="exact" w:before="0" w:after="0"/>
        <w:ind w:left="120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7"/>
        <w:rPr>
          <w:sz w:val="15"/>
        </w:rPr>
      </w:pPr>
    </w:p>
    <w:p>
      <w:pPr>
        <w:pStyle w:val="ListParagraph"/>
        <w:numPr>
          <w:ilvl w:val="0"/>
          <w:numId w:val="53"/>
        </w:numPr>
        <w:tabs>
          <w:tab w:pos="1210" w:val="left" w:leader="none"/>
        </w:tabs>
        <w:spacing w:line="417" w:lineRule="auto" w:before="0" w:after="0"/>
        <w:ind w:left="260" w:right="494" w:firstLine="419"/>
        <w:jc w:val="left"/>
        <w:rPr>
          <w:sz w:val="21"/>
        </w:rPr>
      </w:pPr>
      <w:r>
        <w:rPr>
          <w:spacing w:val="-3"/>
          <w:sz w:val="21"/>
        </w:rPr>
        <w:t>本基金管理人管理的、且由本基金托管人托管的全部基金持有一家公司发行的证</w:t>
      </w:r>
      <w:r>
        <w:rPr>
          <w:spacing w:val="-8"/>
          <w:sz w:val="21"/>
        </w:rPr>
        <w:t>券，不超过该证券的 </w:t>
      </w:r>
      <w:r>
        <w:rPr>
          <w:rFonts w:ascii="Times New Roman" w:eastAsia="Times New Roman"/>
          <w:sz w:val="21"/>
        </w:rPr>
        <w:t>10%</w:t>
      </w:r>
      <w:r>
        <w:rPr>
          <w:sz w:val="21"/>
        </w:rPr>
        <w:t>。</w:t>
      </w:r>
    </w:p>
    <w:p>
      <w:pPr>
        <w:pStyle w:val="ListParagraph"/>
        <w:numPr>
          <w:ilvl w:val="0"/>
          <w:numId w:val="53"/>
        </w:numPr>
        <w:tabs>
          <w:tab w:pos="1210" w:val="left" w:leader="none"/>
        </w:tabs>
        <w:spacing w:line="417" w:lineRule="auto" w:before="0" w:after="0"/>
        <w:ind w:left="260" w:right="494" w:firstLine="419"/>
        <w:jc w:val="left"/>
        <w:rPr>
          <w:sz w:val="21"/>
        </w:rPr>
      </w:pPr>
      <w:r>
        <w:rPr>
          <w:spacing w:val="-3"/>
          <w:sz w:val="21"/>
        </w:rPr>
        <w:t>本基金管理人管理的、且由本基金托管人托管的全部开放式基金持有一家上市公</w:t>
      </w:r>
      <w:r>
        <w:rPr>
          <w:spacing w:val="-5"/>
          <w:sz w:val="21"/>
        </w:rPr>
        <w:t>司发行的可流通股票，不得超过该上市公司可流通股票的 </w:t>
      </w:r>
      <w:r>
        <w:rPr>
          <w:rFonts w:ascii="Times New Roman" w:eastAsia="Times New Roman"/>
          <w:sz w:val="21"/>
        </w:rPr>
        <w:t>15%</w:t>
      </w:r>
      <w:r>
        <w:rPr>
          <w:sz w:val="21"/>
        </w:rPr>
        <w:t>。</w:t>
      </w:r>
    </w:p>
    <w:p>
      <w:pPr>
        <w:pStyle w:val="ListParagraph"/>
        <w:numPr>
          <w:ilvl w:val="0"/>
          <w:numId w:val="53"/>
        </w:numPr>
        <w:tabs>
          <w:tab w:pos="1210" w:val="left" w:leader="none"/>
        </w:tabs>
        <w:spacing w:line="417" w:lineRule="auto" w:before="0" w:after="0"/>
        <w:ind w:left="260" w:right="494" w:firstLine="419"/>
        <w:jc w:val="left"/>
        <w:rPr>
          <w:sz w:val="21"/>
        </w:rPr>
      </w:pPr>
      <w:r>
        <w:rPr>
          <w:spacing w:val="-3"/>
          <w:sz w:val="21"/>
        </w:rPr>
        <w:t>本基金管理人管理的、且由本基金托管人托管的全部投资组合持有一家上市公司</w:t>
      </w:r>
      <w:r>
        <w:rPr>
          <w:spacing w:val="-5"/>
          <w:sz w:val="21"/>
        </w:rPr>
        <w:t>发行的可流通股票，不得超过该上市公司可流通股票的 </w:t>
      </w:r>
      <w:r>
        <w:rPr>
          <w:rFonts w:ascii="Times New Roman" w:eastAsia="Times New Roman"/>
          <w:sz w:val="21"/>
        </w:rPr>
        <w:t>30%</w:t>
      </w:r>
      <w:r>
        <w:rPr>
          <w:sz w:val="21"/>
        </w:rPr>
        <w:t>。</w:t>
      </w:r>
    </w:p>
    <w:p>
      <w:pPr>
        <w:pStyle w:val="ListParagraph"/>
        <w:numPr>
          <w:ilvl w:val="0"/>
          <w:numId w:val="53"/>
        </w:numPr>
        <w:tabs>
          <w:tab w:pos="1210" w:val="left" w:leader="none"/>
        </w:tabs>
        <w:spacing w:line="269" w:lineRule="exact" w:before="0" w:after="0"/>
        <w:ind w:left="1209" w:right="0" w:hanging="530"/>
        <w:jc w:val="left"/>
        <w:rPr>
          <w:sz w:val="21"/>
        </w:rPr>
      </w:pPr>
      <w:r>
        <w:rPr>
          <w:spacing w:val="-5"/>
          <w:sz w:val="21"/>
        </w:rPr>
        <w:t>本基金持有的全部权证，其市值不得超过基金资产净值的 </w:t>
      </w:r>
      <w:r>
        <w:rPr>
          <w:rFonts w:ascii="Times New Roman" w:eastAsia="Times New Roman"/>
          <w:sz w:val="21"/>
        </w:rPr>
        <w:t>3%</w:t>
      </w:r>
      <w:r>
        <w:rPr>
          <w:sz w:val="21"/>
        </w:rPr>
        <w:t>。</w:t>
      </w:r>
    </w:p>
    <w:p>
      <w:pPr>
        <w:pStyle w:val="BodyText"/>
        <w:spacing w:before="7"/>
        <w:rPr>
          <w:sz w:val="15"/>
        </w:rPr>
      </w:pPr>
    </w:p>
    <w:p>
      <w:pPr>
        <w:pStyle w:val="ListParagraph"/>
        <w:numPr>
          <w:ilvl w:val="0"/>
          <w:numId w:val="53"/>
        </w:numPr>
        <w:tabs>
          <w:tab w:pos="1210" w:val="left" w:leader="none"/>
        </w:tabs>
        <w:spacing w:line="417" w:lineRule="auto" w:before="0" w:after="0"/>
        <w:ind w:left="260" w:right="494" w:firstLine="419"/>
        <w:jc w:val="left"/>
        <w:rPr>
          <w:sz w:val="21"/>
        </w:rPr>
      </w:pPr>
      <w:r>
        <w:rPr>
          <w:spacing w:val="-3"/>
          <w:sz w:val="21"/>
        </w:rPr>
        <w:t>本基金管理人管理的、且由本基金托管人托管的全部基金持有的同一权证，不得</w:t>
      </w:r>
      <w:r>
        <w:rPr>
          <w:spacing w:val="-11"/>
          <w:sz w:val="21"/>
        </w:rPr>
        <w:t>超过该权证的 </w:t>
      </w:r>
      <w:r>
        <w:rPr>
          <w:rFonts w:ascii="Times New Roman" w:eastAsia="Times New Roman"/>
          <w:sz w:val="21"/>
        </w:rPr>
        <w:t>10%</w:t>
      </w:r>
      <w:r>
        <w:rPr>
          <w:sz w:val="21"/>
        </w:rPr>
        <w:t>。</w:t>
      </w:r>
    </w:p>
    <w:p>
      <w:pPr>
        <w:pStyle w:val="ListParagraph"/>
        <w:numPr>
          <w:ilvl w:val="0"/>
          <w:numId w:val="53"/>
        </w:numPr>
        <w:tabs>
          <w:tab w:pos="1225" w:val="left" w:leader="none"/>
        </w:tabs>
        <w:spacing w:line="240" w:lineRule="auto" w:before="0" w:after="0"/>
        <w:ind w:left="1224" w:right="0" w:hanging="545"/>
        <w:jc w:val="left"/>
        <w:rPr>
          <w:sz w:val="21"/>
        </w:rPr>
      </w:pPr>
      <w:r>
        <w:rPr>
          <w:spacing w:val="3"/>
          <w:sz w:val="21"/>
        </w:rPr>
        <w:t>本基金在任何交易日买入权证的总金额，不得超过上一交易日基金资产净值的</w:t>
      </w:r>
    </w:p>
    <w:p>
      <w:pPr>
        <w:pStyle w:val="BodyText"/>
        <w:spacing w:before="6"/>
        <w:rPr>
          <w:sz w:val="15"/>
        </w:rPr>
      </w:pPr>
    </w:p>
    <w:p>
      <w:pPr>
        <w:pStyle w:val="BodyText"/>
        <w:spacing w:before="1"/>
        <w:ind w:left="260"/>
      </w:pPr>
      <w:r>
        <w:rPr>
          <w:rFonts w:ascii="Times New Roman" w:eastAsia="Times New Roman"/>
        </w:rPr>
        <w:t>0.5%</w:t>
      </w:r>
      <w:r>
        <w:rPr/>
        <w:t>。</w:t>
      </w:r>
    </w:p>
    <w:p>
      <w:pPr>
        <w:pStyle w:val="BodyText"/>
        <w:spacing w:before="6"/>
        <w:rPr>
          <w:sz w:val="15"/>
        </w:rPr>
      </w:pPr>
    </w:p>
    <w:p>
      <w:pPr>
        <w:pStyle w:val="ListParagraph"/>
        <w:numPr>
          <w:ilvl w:val="0"/>
          <w:numId w:val="53"/>
        </w:numPr>
        <w:tabs>
          <w:tab w:pos="1315" w:val="left" w:leader="none"/>
        </w:tabs>
        <w:spacing w:line="417" w:lineRule="auto" w:before="0" w:after="0"/>
        <w:ind w:left="260" w:right="491" w:firstLine="419"/>
        <w:jc w:val="both"/>
        <w:rPr>
          <w:sz w:val="21"/>
        </w:rPr>
      </w:pPr>
      <w:r>
        <w:rPr>
          <w:spacing w:val="-5"/>
          <w:sz w:val="21"/>
        </w:rPr>
        <w:t>本基金投资于同一原始权益人的各类资产支持证券的比例，不得超过基金资产 </w:t>
      </w:r>
      <w:r>
        <w:rPr>
          <w:spacing w:val="-17"/>
          <w:sz w:val="21"/>
        </w:rPr>
        <w:t>净值的 </w:t>
      </w:r>
      <w:r>
        <w:rPr>
          <w:rFonts w:ascii="Times New Roman" w:eastAsia="Times New Roman"/>
          <w:sz w:val="21"/>
        </w:rPr>
        <w:t>10%</w:t>
      </w:r>
      <w:r>
        <w:rPr>
          <w:sz w:val="21"/>
        </w:rPr>
        <w:t>。</w:t>
      </w:r>
    </w:p>
    <w:p>
      <w:pPr>
        <w:pStyle w:val="ListParagraph"/>
        <w:numPr>
          <w:ilvl w:val="0"/>
          <w:numId w:val="53"/>
        </w:numPr>
        <w:tabs>
          <w:tab w:pos="1306" w:val="left" w:leader="none"/>
        </w:tabs>
        <w:spacing w:line="269" w:lineRule="exact" w:before="0" w:after="0"/>
        <w:ind w:left="1305" w:right="0" w:hanging="626"/>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z w:val="21"/>
        </w:rPr>
        <w:t>。</w:t>
      </w:r>
    </w:p>
    <w:p>
      <w:pPr>
        <w:pStyle w:val="BodyText"/>
        <w:spacing w:before="7"/>
        <w:rPr>
          <w:sz w:val="15"/>
        </w:rPr>
      </w:pPr>
    </w:p>
    <w:p>
      <w:pPr>
        <w:pStyle w:val="ListParagraph"/>
        <w:numPr>
          <w:ilvl w:val="0"/>
          <w:numId w:val="53"/>
        </w:numPr>
        <w:tabs>
          <w:tab w:pos="1315" w:val="left" w:leader="none"/>
        </w:tabs>
        <w:spacing w:line="417" w:lineRule="auto" w:before="0" w:after="0"/>
        <w:ind w:left="260" w:right="491" w:firstLine="419"/>
        <w:jc w:val="both"/>
        <w:rPr>
          <w:sz w:val="21"/>
        </w:rPr>
      </w:pPr>
      <w:r>
        <w:rPr>
          <w:spacing w:val="-6"/>
          <w:sz w:val="21"/>
        </w:rPr>
        <w:t>本基金持有的同一</w:t>
      </w:r>
      <w:r>
        <w:rPr>
          <w:sz w:val="21"/>
        </w:rPr>
        <w:t>（</w:t>
      </w:r>
      <w:r>
        <w:rPr>
          <w:spacing w:val="-3"/>
          <w:sz w:val="21"/>
        </w:rPr>
        <w:t>指同一信用级别</w:t>
      </w:r>
      <w:r>
        <w:rPr>
          <w:spacing w:val="-27"/>
          <w:sz w:val="21"/>
        </w:rPr>
        <w:t>）</w:t>
      </w:r>
      <w:r>
        <w:rPr>
          <w:spacing w:val="-6"/>
          <w:sz w:val="21"/>
        </w:rPr>
        <w:t>资产支持证券的比例，不得超过该资产 </w:t>
      </w:r>
      <w:r>
        <w:rPr>
          <w:spacing w:val="-11"/>
          <w:sz w:val="21"/>
        </w:rPr>
        <w:t>支持证券规模的 </w:t>
      </w:r>
      <w:r>
        <w:rPr>
          <w:rFonts w:ascii="Times New Roman" w:eastAsia="Times New Roman"/>
          <w:sz w:val="21"/>
        </w:rPr>
        <w:t>10%</w:t>
      </w:r>
      <w:r>
        <w:rPr>
          <w:sz w:val="21"/>
        </w:rPr>
        <w:t>。</w:t>
      </w:r>
    </w:p>
    <w:p>
      <w:pPr>
        <w:pStyle w:val="ListParagraph"/>
        <w:numPr>
          <w:ilvl w:val="0"/>
          <w:numId w:val="53"/>
        </w:numPr>
        <w:tabs>
          <w:tab w:pos="1315" w:val="left" w:leader="none"/>
        </w:tabs>
        <w:spacing w:line="417" w:lineRule="auto" w:before="0" w:after="0"/>
        <w:ind w:left="260" w:right="491" w:firstLine="419"/>
        <w:jc w:val="both"/>
        <w:rPr>
          <w:sz w:val="21"/>
        </w:rPr>
      </w:pPr>
      <w:r>
        <w:rPr>
          <w:spacing w:val="-8"/>
          <w:sz w:val="21"/>
        </w:rPr>
        <w:t>本基金管理人管理的、且由本基金托管人托管的全部基金投资于同一原始权益 人的各类资产支持证券，不得超过其各类资产支持证券合计规模的 </w:t>
      </w:r>
      <w:r>
        <w:rPr>
          <w:rFonts w:ascii="Times New Roman" w:eastAsia="Times New Roman"/>
          <w:sz w:val="21"/>
        </w:rPr>
        <w:t>10%</w:t>
      </w:r>
      <w:r>
        <w:rPr>
          <w:sz w:val="21"/>
        </w:rPr>
        <w:t>。</w:t>
      </w:r>
    </w:p>
    <w:p>
      <w:pPr>
        <w:pStyle w:val="ListParagraph"/>
        <w:numPr>
          <w:ilvl w:val="0"/>
          <w:numId w:val="53"/>
        </w:numPr>
        <w:tabs>
          <w:tab w:pos="1313" w:val="left" w:leader="none"/>
        </w:tabs>
        <w:spacing w:line="417" w:lineRule="auto" w:before="0" w:after="0"/>
        <w:ind w:left="260" w:right="491" w:firstLine="419"/>
        <w:jc w:val="both"/>
        <w:rPr>
          <w:sz w:val="21"/>
        </w:rPr>
      </w:pPr>
      <w:r>
        <w:rPr>
          <w:sz w:val="21"/>
        </w:rPr>
        <w:t>本基金应投资于信用级别评级为</w:t>
      </w:r>
      <w:r>
        <w:rPr>
          <w:rFonts w:ascii="Times New Roman" w:eastAsia="Times New Roman"/>
          <w:sz w:val="21"/>
        </w:rPr>
        <w:t>BBB</w:t>
      </w:r>
      <w:r>
        <w:rPr>
          <w:rFonts w:ascii="Times New Roman" w:eastAsia="Times New Roman"/>
          <w:spacing w:val="16"/>
          <w:sz w:val="21"/>
        </w:rPr>
        <w:t> </w:t>
      </w:r>
      <w:r>
        <w:rPr>
          <w:spacing w:val="-7"/>
          <w:sz w:val="21"/>
        </w:rPr>
        <w:t>以上</w:t>
      </w:r>
      <w:r>
        <w:rPr>
          <w:spacing w:val="-3"/>
          <w:sz w:val="21"/>
        </w:rPr>
        <w:t>（</w:t>
      </w:r>
      <w:r>
        <w:rPr>
          <w:spacing w:val="-17"/>
          <w:sz w:val="21"/>
        </w:rPr>
        <w:t>含 </w:t>
      </w:r>
      <w:r>
        <w:rPr>
          <w:rFonts w:ascii="Times New Roman" w:eastAsia="Times New Roman"/>
          <w:spacing w:val="-5"/>
          <w:sz w:val="21"/>
        </w:rPr>
        <w:t>BBB</w:t>
      </w:r>
      <w:r>
        <w:rPr>
          <w:spacing w:val="-5"/>
          <w:sz w:val="21"/>
        </w:rPr>
        <w:t>）</w:t>
      </w:r>
      <w:r>
        <w:rPr>
          <w:spacing w:val="-4"/>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53"/>
        </w:numPr>
        <w:tabs>
          <w:tab w:pos="1313" w:val="left" w:leader="none"/>
        </w:tabs>
        <w:spacing w:line="417" w:lineRule="auto" w:before="0" w:after="0"/>
        <w:ind w:left="260" w:right="49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3"/>
        </w:numPr>
        <w:tabs>
          <w:tab w:pos="1313" w:val="left" w:leader="none"/>
        </w:tabs>
        <w:spacing w:line="417" w:lineRule="auto" w:before="0" w:after="0"/>
        <w:ind w:left="260" w:right="49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pacing w:val="-8"/>
          <w:sz w:val="21"/>
        </w:rPr>
        <w:t>，债券回购最长期限为 </w:t>
      </w:r>
      <w:r>
        <w:rPr>
          <w:rFonts w:ascii="Times New Roman" w:eastAsia="Times New Roman"/>
          <w:sz w:val="21"/>
        </w:rPr>
        <w:t>1</w:t>
      </w:r>
      <w:r>
        <w:rPr>
          <w:rFonts w:ascii="Times New Roman" w:eastAsia="Times New Roman"/>
          <w:spacing w:val="-3"/>
          <w:sz w:val="21"/>
        </w:rPr>
        <w:t> </w:t>
      </w:r>
      <w:r>
        <w:rPr>
          <w:spacing w:val="-3"/>
          <w:sz w:val="21"/>
        </w:rPr>
        <w:t>年，债券回购到期后不得展期。</w:t>
      </w:r>
    </w:p>
    <w:p>
      <w:pPr>
        <w:spacing w:after="0" w:line="417" w:lineRule="auto"/>
        <w:jc w:val="left"/>
        <w:rPr>
          <w:sz w:val="21"/>
        </w:rPr>
        <w:sectPr>
          <w:pgSz w:w="11910" w:h="16840"/>
          <w:pgMar w:header="877" w:footer="995" w:top="1420" w:bottom="1180" w:left="1540" w:right="1300"/>
        </w:sectPr>
      </w:pPr>
    </w:p>
    <w:p>
      <w:pPr>
        <w:pStyle w:val="ListParagraph"/>
        <w:numPr>
          <w:ilvl w:val="0"/>
          <w:numId w:val="53"/>
        </w:numPr>
        <w:tabs>
          <w:tab w:pos="1315" w:val="left" w:leader="none"/>
        </w:tabs>
        <w:spacing w:line="240" w:lineRule="auto" w:before="110" w:after="0"/>
        <w:ind w:left="131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6"/>
        <w:rPr>
          <w:sz w:val="15"/>
        </w:rPr>
      </w:pPr>
    </w:p>
    <w:p>
      <w:pPr>
        <w:pStyle w:val="ListParagraph"/>
        <w:numPr>
          <w:ilvl w:val="0"/>
          <w:numId w:val="53"/>
        </w:numPr>
        <w:tabs>
          <w:tab w:pos="1313" w:val="left" w:leader="none"/>
        </w:tabs>
        <w:spacing w:line="417" w:lineRule="auto" w:before="0" w:after="0"/>
        <w:ind w:left="260" w:right="491" w:firstLine="419"/>
        <w:jc w:val="both"/>
        <w:rPr>
          <w:sz w:val="21"/>
        </w:rPr>
      </w:pPr>
      <w:r>
        <w:rPr>
          <w:spacing w:val="-8"/>
          <w:sz w:val="21"/>
        </w:rPr>
        <w:t>基金在任何交易日日终，持有的买入股指期货合约价值，不得超过基金资产净 </w:t>
      </w:r>
      <w:r>
        <w:rPr>
          <w:spacing w:val="14"/>
          <w:sz w:val="21"/>
        </w:rPr>
        <w:t>值的 </w:t>
      </w:r>
      <w:r>
        <w:rPr>
          <w:rFonts w:ascii="Times New Roman" w:eastAsia="Times New Roman"/>
          <w:sz w:val="21"/>
        </w:rPr>
        <w:t>10%</w:t>
      </w:r>
      <w:r>
        <w:rPr>
          <w:sz w:val="21"/>
        </w:rPr>
        <w:t>；本基金在任何交易日日终，持有的卖出股指期货合约价值不得超过基金持有的</w:t>
      </w:r>
      <w:r>
        <w:rPr>
          <w:spacing w:val="2"/>
          <w:sz w:val="21"/>
        </w:rPr>
        <w:t>股票总市值的 </w:t>
      </w:r>
      <w:r>
        <w:rPr>
          <w:rFonts w:ascii="Times New Roman" w:eastAsia="Times New Roman"/>
          <w:sz w:val="21"/>
        </w:rPr>
        <w:t>20%</w:t>
      </w:r>
      <w:r>
        <w:rPr>
          <w:sz w:val="21"/>
        </w:rPr>
        <w:t>；基金在任何交易日内交易（不包括平仓）的股指期货合约的成交金额</w:t>
      </w:r>
      <w:r>
        <w:rPr>
          <w:spacing w:val="-7"/>
          <w:sz w:val="21"/>
        </w:rPr>
        <w:t>不得超过上一交易日基金资产净值的 </w:t>
      </w:r>
      <w:r>
        <w:rPr>
          <w:rFonts w:ascii="Times New Roman" w:eastAsia="Times New Roman"/>
          <w:sz w:val="21"/>
        </w:rPr>
        <w:t>20%</w:t>
      </w:r>
      <w:r>
        <w:rPr>
          <w:sz w:val="21"/>
        </w:rPr>
        <w:t>。</w:t>
      </w:r>
    </w:p>
    <w:p>
      <w:pPr>
        <w:pStyle w:val="ListParagraph"/>
        <w:numPr>
          <w:ilvl w:val="0"/>
          <w:numId w:val="53"/>
        </w:numPr>
        <w:tabs>
          <w:tab w:pos="1313" w:val="left" w:leader="none"/>
        </w:tabs>
        <w:spacing w:line="417" w:lineRule="auto" w:before="0" w:after="0"/>
        <w:ind w:left="260" w:right="49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53"/>
        </w:numPr>
        <w:tabs>
          <w:tab w:pos="1315" w:val="left" w:leader="none"/>
        </w:tabs>
        <w:spacing w:line="417" w:lineRule="auto" w:before="0" w:after="0"/>
        <w:ind w:left="260" w:right="491" w:firstLine="419"/>
        <w:jc w:val="left"/>
        <w:rPr>
          <w:sz w:val="21"/>
        </w:rPr>
      </w:pPr>
      <w:r>
        <w:rPr>
          <w:spacing w:val="-6"/>
          <w:sz w:val="21"/>
        </w:rPr>
        <w:t>基金所持有的债券</w:t>
      </w:r>
      <w:r>
        <w:rPr>
          <w:sz w:val="21"/>
        </w:rPr>
        <w:t>（</w:t>
      </w:r>
      <w:r>
        <w:rPr>
          <w:spacing w:val="-3"/>
          <w:sz w:val="21"/>
        </w:rPr>
        <w:t>不含到期日在一年以内的政府债券</w:t>
      </w:r>
      <w:r>
        <w:rPr>
          <w:spacing w:val="-25"/>
          <w:sz w:val="21"/>
        </w:rPr>
        <w:t>）</w:t>
      </w:r>
      <w:r>
        <w:rPr>
          <w:spacing w:val="-6"/>
          <w:sz w:val="21"/>
        </w:rPr>
        <w:t>市值和买入、卖出国 </w:t>
      </w:r>
      <w:r>
        <w:rPr>
          <w:spacing w:val="-5"/>
          <w:sz w:val="21"/>
        </w:rPr>
        <w:t>债期货合约价值，合计</w:t>
      </w:r>
      <w:r>
        <w:rPr>
          <w:sz w:val="21"/>
        </w:rPr>
        <w:t>（</w:t>
      </w:r>
      <w:r>
        <w:rPr>
          <w:spacing w:val="-3"/>
          <w:sz w:val="21"/>
        </w:rPr>
        <w:t>轧差计算</w:t>
      </w:r>
      <w:r>
        <w:rPr>
          <w:sz w:val="21"/>
        </w:rPr>
        <w:t>）</w:t>
      </w:r>
      <w:r>
        <w:rPr>
          <w:spacing w:val="-3"/>
          <w:sz w:val="21"/>
        </w:rPr>
        <w:t>应当符合基金合同关于债券投资比例的有关约定。</w:t>
      </w:r>
    </w:p>
    <w:p>
      <w:pPr>
        <w:pStyle w:val="ListParagraph"/>
        <w:numPr>
          <w:ilvl w:val="0"/>
          <w:numId w:val="53"/>
        </w:numPr>
        <w:tabs>
          <w:tab w:pos="1315" w:val="left" w:leader="none"/>
        </w:tabs>
        <w:spacing w:line="417" w:lineRule="auto" w:before="0" w:after="0"/>
        <w:ind w:left="260" w:right="491" w:firstLine="419"/>
        <w:jc w:val="left"/>
        <w:rPr>
          <w:sz w:val="21"/>
        </w:rPr>
      </w:pPr>
      <w:r>
        <w:rPr>
          <w:spacing w:val="-7"/>
          <w:sz w:val="21"/>
        </w:rPr>
        <w:t>本基金所持有的股票市值和买入、卖出股指期货合约价值，合计</w:t>
      </w:r>
      <w:r>
        <w:rPr>
          <w:sz w:val="21"/>
        </w:rPr>
        <w:t>（</w:t>
      </w:r>
      <w:r>
        <w:rPr>
          <w:spacing w:val="-3"/>
          <w:sz w:val="21"/>
        </w:rPr>
        <w:t>轧差计算</w:t>
      </w:r>
      <w:r>
        <w:rPr>
          <w:spacing w:val="-20"/>
          <w:sz w:val="21"/>
        </w:rPr>
        <w:t>） </w:t>
      </w:r>
      <w:r>
        <w:rPr>
          <w:spacing w:val="-3"/>
          <w:sz w:val="21"/>
        </w:rPr>
        <w:t>应当符合基金合同关于股票投资比例的有关约定。</w:t>
      </w:r>
    </w:p>
    <w:p>
      <w:pPr>
        <w:pStyle w:val="ListParagraph"/>
        <w:numPr>
          <w:ilvl w:val="0"/>
          <w:numId w:val="53"/>
        </w:numPr>
        <w:tabs>
          <w:tab w:pos="1315" w:val="left" w:leader="none"/>
        </w:tabs>
        <w:spacing w:line="417" w:lineRule="auto" w:before="0" w:after="0"/>
        <w:ind w:left="260" w:right="49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53"/>
        </w:numPr>
        <w:tabs>
          <w:tab w:pos="1313" w:val="left" w:leader="none"/>
        </w:tabs>
        <w:spacing w:line="417" w:lineRule="auto" w:before="0" w:after="0"/>
        <w:ind w:left="260" w:right="49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53"/>
        </w:numPr>
        <w:tabs>
          <w:tab w:pos="1315" w:val="left" w:leader="none"/>
        </w:tabs>
        <w:spacing w:line="417" w:lineRule="auto" w:before="0" w:after="0"/>
        <w:ind w:left="260" w:right="491" w:firstLine="419"/>
        <w:jc w:val="both"/>
        <w:rPr>
          <w:sz w:val="21"/>
        </w:rPr>
      </w:pPr>
      <w:r>
        <w:rPr>
          <w:spacing w:val="-9"/>
          <w:sz w:val="21"/>
        </w:rPr>
        <w:t>基金参与股指期货、国债期货交易，应当遵守下列要求：开放式基金在任何交 易日日终，持有的买入期货合约价值与有价证券市值之和，不得超过基金资产净值的</w:t>
      </w:r>
      <w:r>
        <w:rPr>
          <w:rFonts w:ascii="Times New Roman" w:eastAsia="Times New Roman"/>
          <w:spacing w:val="-4"/>
          <w:sz w:val="21"/>
        </w:rPr>
        <w:t>95%</w:t>
      </w:r>
      <w:r>
        <w:rPr>
          <w:spacing w:val="-14"/>
          <w:sz w:val="21"/>
        </w:rPr>
        <w:t>；其中，有价证券指股票、债券</w:t>
      </w:r>
      <w:r>
        <w:rPr>
          <w:sz w:val="21"/>
        </w:rPr>
        <w:t>（</w:t>
      </w:r>
      <w:r>
        <w:rPr>
          <w:spacing w:val="-3"/>
          <w:sz w:val="21"/>
        </w:rPr>
        <w:t>不含到期日在一年以内的政府债券</w:t>
      </w:r>
      <w:r>
        <w:rPr>
          <w:spacing w:val="-106"/>
          <w:sz w:val="21"/>
        </w:rPr>
        <w:t>）</w:t>
      </w:r>
      <w:r>
        <w:rPr>
          <w:spacing w:val="-13"/>
          <w:sz w:val="21"/>
        </w:rPr>
        <w:t>、权证、资产支持</w:t>
      </w:r>
      <w:r>
        <w:rPr>
          <w:spacing w:val="-3"/>
          <w:sz w:val="21"/>
        </w:rPr>
        <w:t>证券、买入返售金融资产（不含质押式回购</w:t>
      </w:r>
      <w:r>
        <w:rPr>
          <w:sz w:val="21"/>
        </w:rPr>
        <w:t>）</w:t>
      </w:r>
      <w:r>
        <w:rPr>
          <w:spacing w:val="-2"/>
          <w:sz w:val="21"/>
        </w:rPr>
        <w:t>等。</w:t>
      </w:r>
    </w:p>
    <w:p>
      <w:pPr>
        <w:pStyle w:val="ListParagraph"/>
        <w:numPr>
          <w:ilvl w:val="0"/>
          <w:numId w:val="53"/>
        </w:numPr>
        <w:tabs>
          <w:tab w:pos="1315" w:val="left" w:leader="none"/>
        </w:tabs>
        <w:spacing w:line="417" w:lineRule="auto" w:before="0" w:after="0"/>
        <w:ind w:left="260" w:right="28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53"/>
        </w:numPr>
        <w:tabs>
          <w:tab w:pos="1315" w:val="left" w:leader="none"/>
        </w:tabs>
        <w:spacing w:line="417" w:lineRule="auto" w:before="0" w:after="0"/>
        <w:ind w:left="260" w:right="49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53"/>
        </w:numPr>
        <w:tabs>
          <w:tab w:pos="1315" w:val="left" w:leader="none"/>
        </w:tabs>
        <w:spacing w:line="240" w:lineRule="auto" w:before="0" w:after="0"/>
        <w:ind w:left="1315" w:right="0" w:hanging="635"/>
        <w:jc w:val="left"/>
        <w:rPr>
          <w:sz w:val="21"/>
        </w:rPr>
      </w:pPr>
      <w:r>
        <w:rPr>
          <w:spacing w:val="-3"/>
          <w:sz w:val="21"/>
        </w:rPr>
        <w:t>法律法规及中国证监会规定的和《基金合同》约定的其他投资限制。</w:t>
      </w:r>
    </w:p>
    <w:p>
      <w:pPr>
        <w:pStyle w:val="BodyText"/>
        <w:spacing w:before="197"/>
        <w:ind w:left="680"/>
      </w:pPr>
      <w:r>
        <w:rPr>
          <w:spacing w:val="-1"/>
          <w:w w:val="100"/>
        </w:rPr>
        <w:t>除上述第（</w:t>
      </w:r>
      <w:r>
        <w:rPr>
          <w:rFonts w:ascii="Times New Roman" w:eastAsia="Times New Roman"/>
          <w:w w:val="100"/>
        </w:rPr>
        <w:t>2</w:t>
      </w:r>
      <w:r>
        <w:rPr>
          <w:spacing w:val="-106"/>
          <w:w w:val="100"/>
        </w:rPr>
        <w:t>）</w:t>
      </w:r>
      <w:r>
        <w:rPr>
          <w:spacing w:val="-108"/>
          <w:w w:val="100"/>
        </w:rPr>
        <w:t>、</w:t>
      </w:r>
      <w:r>
        <w:rPr>
          <w:spacing w:val="-1"/>
          <w:w w:val="100"/>
        </w:rPr>
        <w:t>（</w:t>
      </w:r>
      <w:r>
        <w:rPr>
          <w:rFonts w:ascii="Times New Roman" w:eastAsia="Times New Roman"/>
          <w:w w:val="100"/>
        </w:rPr>
        <w:t>14</w:t>
      </w:r>
      <w:r>
        <w:rPr>
          <w:spacing w:val="-106"/>
          <w:w w:val="100"/>
        </w:rPr>
        <w:t>）</w:t>
      </w:r>
      <w:r>
        <w:rPr>
          <w:spacing w:val="-108"/>
          <w:w w:val="100"/>
        </w:rPr>
        <w:t>、</w:t>
      </w:r>
      <w:r>
        <w:rPr>
          <w:spacing w:val="-1"/>
          <w:w w:val="100"/>
        </w:rPr>
        <w:t>（</w:t>
      </w:r>
      <w:r>
        <w:rPr>
          <w:rFonts w:ascii="Times New Roman" w:eastAsia="Times New Roman"/>
          <w:w w:val="100"/>
        </w:rPr>
        <w:t>2</w:t>
      </w:r>
      <w:r>
        <w:rPr>
          <w:rFonts w:ascii="Times New Roman" w:eastAsia="Times New Roman"/>
          <w:spacing w:val="-3"/>
          <w:w w:val="100"/>
        </w:rPr>
        <w:t>2</w:t>
      </w:r>
      <w:r>
        <w:rPr>
          <w:spacing w:val="-106"/>
          <w:w w:val="100"/>
        </w:rPr>
        <w:t>）、</w:t>
      </w:r>
      <w:r>
        <w:rPr>
          <w:w w:val="100"/>
        </w:rPr>
        <w:t>（</w:t>
      </w:r>
      <w:r>
        <w:rPr>
          <w:rFonts w:ascii="Times New Roman" w:eastAsia="Times New Roman"/>
          <w:w w:val="100"/>
        </w:rPr>
        <w:t>23</w:t>
      </w:r>
      <w:r>
        <w:rPr>
          <w:spacing w:val="-3"/>
          <w:w w:val="100"/>
        </w:rPr>
        <w:t>）项外，因证券、期货市场波动、证券发行人合并、</w:t>
      </w:r>
    </w:p>
    <w:p>
      <w:pPr>
        <w:spacing w:after="0"/>
        <w:sectPr>
          <w:pgSz w:w="11910" w:h="16840"/>
          <w:pgMar w:header="877" w:footer="995" w:top="1420" w:bottom="1180" w:left="1540" w:right="1300"/>
        </w:sectPr>
      </w:pPr>
    </w:p>
    <w:p>
      <w:pPr>
        <w:pStyle w:val="BodyText"/>
        <w:spacing w:line="417" w:lineRule="auto" w:before="110"/>
        <w:ind w:left="260" w:right="388"/>
      </w:pPr>
      <w:r>
        <w:rPr>
          <w:spacing w:val="-3"/>
        </w:rPr>
        <w:t>基金规模变动、等基金管理人之外的因素致使基金投资比例不符合上述规定的投资比例的， </w:t>
      </w:r>
      <w:r>
        <w:rPr>
          <w:spacing w:val="-7"/>
        </w:rPr>
        <w:t>基金管理人应当在 </w:t>
      </w:r>
      <w:r>
        <w:rPr>
          <w:rFonts w:ascii="Times New Roman" w:eastAsia="Times New Roman"/>
        </w:rPr>
        <w:t>10 </w:t>
      </w:r>
      <w:r>
        <w:rPr>
          <w:spacing w:val="-3"/>
        </w:rPr>
        <w:t>个交易日内进行调整，但中国证监会规定的特殊情形除外。法律法规另有规定的，从其规定。</w:t>
      </w:r>
    </w:p>
    <w:p>
      <w:pPr>
        <w:pStyle w:val="BodyText"/>
        <w:spacing w:line="417" w:lineRule="auto"/>
        <w:ind w:left="260" w:right="49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10"/>
        </w:rPr>
        <w:t>托管人对基金的投资的监督与检查自基金合同生效之日起开始。法律法规或监管部门另有规</w:t>
      </w:r>
      <w:r>
        <w:rPr>
          <w:spacing w:val="-5"/>
        </w:rPr>
        <w:t>定的，从其规定。</w:t>
      </w:r>
    </w:p>
    <w:p>
      <w:pPr>
        <w:pStyle w:val="BodyText"/>
        <w:spacing w:line="417" w:lineRule="auto"/>
        <w:ind w:left="260" w:right="491" w:firstLine="419"/>
        <w:jc w:val="both"/>
      </w:pPr>
      <w:r>
        <w:rPr>
          <w:spacing w:val="-8"/>
        </w:rPr>
        <w:t>法律法规或监管部门取消或变更上述限制，如适用于本基金，基金管理人在与基金托管</w:t>
      </w:r>
      <w:r>
        <w:rPr>
          <w:spacing w:val="-12"/>
        </w:rPr>
        <w:t>人协商一致并公告后，则本基金投资不再受相关限制，自动遵守届时有效的法律法规或监管</w:t>
      </w:r>
      <w:r>
        <w:rPr>
          <w:spacing w:val="-6"/>
        </w:rPr>
        <w:t>规定，不需另行召开基金份额持有人大会。</w:t>
      </w:r>
    </w:p>
    <w:p>
      <w:pPr>
        <w:pStyle w:val="BodyText"/>
        <w:spacing w:line="417" w:lineRule="auto"/>
        <w:ind w:left="260" w:right="491" w:firstLine="419"/>
      </w:pPr>
      <w:r>
        <w:rPr/>
        <w:t>（三</w:t>
      </w:r>
      <w:r>
        <w:rPr>
          <w:spacing w:val="-51"/>
        </w:rPr>
        <w:t>）</w:t>
      </w:r>
      <w:r>
        <w:rPr>
          <w:spacing w:val="-5"/>
        </w:rPr>
        <w:t>基金托管人根据有关法律法规的规定及基金合同的约定，对本协议第十五条第九</w:t>
      </w:r>
      <w:r>
        <w:rPr>
          <w:spacing w:val="-4"/>
        </w:rPr>
        <w:t>项基金投资禁止行为进行监督。</w:t>
      </w:r>
    </w:p>
    <w:p>
      <w:pPr>
        <w:pStyle w:val="BodyText"/>
        <w:spacing w:line="417" w:lineRule="auto"/>
        <w:ind w:left="260" w:right="491" w:firstLine="419"/>
        <w:jc w:val="both"/>
      </w:pPr>
      <w:r>
        <w:rPr>
          <w:spacing w:val="-8"/>
        </w:rPr>
        <w:t>根据法律法规有关基金从事的关联交易的规定，基金管理人和基金托管人应事先相互提供与本机构有控股关系的股东或与本机构有其他重大利害关系的公司名单及其更新，并以双</w:t>
      </w:r>
      <w:r>
        <w:rPr>
          <w:spacing w:val="-11"/>
        </w:rPr>
        <w:t>方约定的方式提交，确保所提供的关联交易名单的真实性、完整性、全面性。基金管理人有</w:t>
      </w:r>
      <w:r>
        <w:rPr>
          <w:spacing w:val="-12"/>
        </w:rPr>
        <w:t>责任保管真实、完整、全面的关联交易名单，并负责及时更新该名单。名单变更后基金管理人应及时发送基金托管人，基金托管人应及时确认已知名单的变更。如果基金托管人在运作</w:t>
      </w:r>
      <w:r>
        <w:rPr>
          <w:spacing w:val="-11"/>
        </w:rPr>
        <w:t>中严格遵循了监督流程，基金管理人仍违规进行关联交易，并造成基金资产损失的，由基金</w:t>
      </w:r>
      <w:r>
        <w:rPr>
          <w:spacing w:val="-6"/>
        </w:rPr>
        <w:t>管理人承担责任，基金托管人并有权向中国证监会报告。</w:t>
      </w:r>
    </w:p>
    <w:p>
      <w:pPr>
        <w:pStyle w:val="BodyText"/>
        <w:spacing w:line="417" w:lineRule="auto"/>
        <w:ind w:left="260" w:right="28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417" w:lineRule="auto"/>
        <w:ind w:left="260" w:right="282" w:firstLine="479"/>
      </w:pPr>
      <w:r>
        <w:rPr/>
        <w:t>（四）基金托管人根据有关法律法规的规定及基金合同的约定，对基金管理人参与银 </w:t>
      </w:r>
      <w:r>
        <w:rPr>
          <w:spacing w:val="-12"/>
        </w:rPr>
        <w:t>行间债券市场进行监督。基金管理人应在基金投资运作之前向基金托管人提供经慎重选择的、</w:t>
      </w:r>
      <w:r>
        <w:rPr>
          <w:spacing w:val="-10"/>
        </w:rPr>
        <w:t>本基金适用的银行间债券市场交易对手名单，并约定各交易对手所适用的交易结算方式。基 </w:t>
      </w:r>
      <w:r>
        <w:rPr>
          <w:spacing w:val="-8"/>
        </w:rPr>
        <w:t>金托管人监督基金管理人是否按事前提供的银行间债券市场交易对手名单进行交易。基金管 </w:t>
      </w:r>
      <w:r>
        <w:rPr>
          <w:spacing w:val="-9"/>
        </w:rPr>
        <w:t>理人可以每半年对银行间债券市场交易对手名单进行更新，如基金管理人根据市场情况需要</w:t>
      </w:r>
    </w:p>
    <w:p>
      <w:pPr>
        <w:spacing w:after="0" w:line="417" w:lineRule="auto"/>
        <w:sectPr>
          <w:pgSz w:w="11910" w:h="16840"/>
          <w:pgMar w:header="877" w:footer="995" w:top="1420" w:bottom="1180" w:left="1540" w:right="1300"/>
        </w:sectPr>
      </w:pPr>
    </w:p>
    <w:p>
      <w:pPr>
        <w:pStyle w:val="BodyText"/>
        <w:spacing w:line="417" w:lineRule="auto" w:before="110"/>
        <w:ind w:left="260" w:right="491"/>
        <w:jc w:val="both"/>
      </w:pPr>
      <w:r>
        <w:rPr>
          <w:spacing w:val="-8"/>
        </w:rPr>
        <w:t>临时调整银行间债券市场交易对手名单，应向基金托管人说明理由，在与交易对手发生交易</w:t>
      </w:r>
      <w:r>
        <w:rPr>
          <w:spacing w:val="-21"/>
        </w:rPr>
        <w:t>前 </w:t>
      </w:r>
      <w:r>
        <w:rPr>
          <w:rFonts w:ascii="Times New Roman" w:eastAsia="Times New Roman"/>
        </w:rPr>
        <w:t>3 </w:t>
      </w:r>
      <w:r>
        <w:rPr>
          <w:spacing w:val="-8"/>
        </w:rPr>
        <w:t>个工作日内与基金托管人协商解决。基金管理人收到基金托管人书面确认后，被确认调</w:t>
      </w:r>
      <w:r>
        <w:rPr>
          <w:spacing w:val="-12"/>
        </w:rPr>
        <w:t>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w:t>
      </w:r>
      <w:r>
        <w:rPr>
          <w:spacing w:val="-13"/>
        </w:rPr>
        <w:t>易对手不履行合同造成的损失。如基金托管人事后发现基金管理人没有按照事先约定的交易</w:t>
      </w:r>
      <w:r>
        <w:rPr>
          <w:spacing w:val="-12"/>
        </w:rPr>
        <w:t>对手或交易方式进行交易时，基金托管人应及时提醒基金管理人，基金托管人不承担由此造</w:t>
      </w:r>
      <w:r>
        <w:rPr>
          <w:spacing w:val="-6"/>
        </w:rPr>
        <w:t>成的任何损失和责任。</w:t>
      </w:r>
    </w:p>
    <w:p>
      <w:pPr>
        <w:pStyle w:val="BodyText"/>
        <w:spacing w:line="417" w:lineRule="auto"/>
        <w:ind w:left="260" w:right="492" w:firstLine="479"/>
      </w:pPr>
      <w:r>
        <w:rPr/>
        <w:t>（五）基金托管人根据有关法律法规的规定及基金合同的约定，对基金管理人投资银行存款进行监督。</w:t>
      </w:r>
    </w:p>
    <w:p>
      <w:pPr>
        <w:pStyle w:val="BodyText"/>
        <w:spacing w:line="417" w:lineRule="auto"/>
        <w:ind w:left="260" w:right="491" w:firstLine="479"/>
        <w:jc w:val="both"/>
      </w:pPr>
      <w:r>
        <w:rPr>
          <w:spacing w:val="-1"/>
        </w:rPr>
        <w:t>基金投资银行存款的，基金管理人应根据法律法规的规定及基金合同的约定，建立投</w:t>
      </w:r>
      <w:r>
        <w:rPr>
          <w:spacing w:val="-12"/>
        </w:rPr>
        <w:t>资制度、审慎选择存款银行，做好风险控制，并按照基金托管人的要求配合基金托管人完成</w:t>
      </w:r>
      <w:r>
        <w:rPr>
          <w:spacing w:val="-6"/>
        </w:rPr>
        <w:t>相关业务办理。</w:t>
      </w:r>
    </w:p>
    <w:p>
      <w:pPr>
        <w:pStyle w:val="BodyText"/>
        <w:spacing w:line="417" w:lineRule="auto"/>
        <w:ind w:left="260" w:right="388" w:firstLine="419"/>
      </w:pPr>
      <w:r>
        <w:rPr/>
        <w:t>（六）</w:t>
      </w:r>
      <w:r>
        <w:rPr>
          <w:spacing w:val="-3"/>
        </w:rPr>
        <w:t>基金托管人根据有关法律法规的规定及基金合同的约定，对基金资产净值计算、</w:t>
      </w:r>
      <w:r>
        <w:rPr>
          <w:spacing w:val="-10"/>
        </w:rPr>
        <w:t>基金份额净值计算、应收资金到账、基金费用开支及收入确定、基金收益分配、相关信息披</w:t>
      </w:r>
      <w:r>
        <w:rPr>
          <w:spacing w:val="-5"/>
        </w:rPr>
        <w:t>露、基金宣传推介材料中登载基金业绩表现数据等进行监督和核查。</w:t>
      </w:r>
    </w:p>
    <w:p>
      <w:pPr>
        <w:pStyle w:val="BodyText"/>
        <w:spacing w:line="417" w:lineRule="auto"/>
        <w:ind w:left="260" w:right="494" w:firstLine="419"/>
      </w:pPr>
      <w:r>
        <w:rPr/>
        <w:t>如果基金管理人未经基金托管人的审核擅自将不实的业绩表现数据印制在宣传推介材料上，则基金托管人对此不承担任何责任，并将在发现后立即报告中国证监会。</w:t>
      </w:r>
    </w:p>
    <w:p>
      <w:pPr>
        <w:pStyle w:val="BodyText"/>
        <w:spacing w:line="417" w:lineRule="auto"/>
        <w:ind w:left="260" w:right="491" w:firstLine="419"/>
      </w:pPr>
      <w:r>
        <w:rPr/>
        <w:t>（七</w:t>
      </w:r>
      <w:r>
        <w:rPr>
          <w:spacing w:val="-51"/>
        </w:rPr>
        <w:t>）</w:t>
      </w:r>
      <w:r>
        <w:rPr>
          <w:spacing w:val="-5"/>
        </w:rPr>
        <w:t>基金托管人根据有关法律法规的规定及基金合同的约定，对基金投资流通受限证</w:t>
      </w:r>
      <w:r>
        <w:rPr>
          <w:spacing w:val="-4"/>
        </w:rPr>
        <w:t>券进行监督。</w:t>
      </w:r>
    </w:p>
    <w:p>
      <w:pPr>
        <w:pStyle w:val="BodyText"/>
        <w:spacing w:line="417" w:lineRule="auto"/>
        <w:ind w:left="260" w:right="494" w:firstLine="419"/>
      </w:pPr>
      <w:r>
        <w:rPr>
          <w:rFonts w:ascii="Times New Roman" w:eastAsia="Times New Roman"/>
        </w:rPr>
        <w:t>1</w:t>
      </w:r>
      <w:r>
        <w:rPr/>
        <w:t>、基金投资流通受限证券，应遵守《关于基金投资非公开发行股票等流通受限证券有关问题的通知》等有关法律法规规定。</w:t>
      </w:r>
    </w:p>
    <w:p>
      <w:pPr>
        <w:pStyle w:val="BodyText"/>
        <w:spacing w:line="417" w:lineRule="auto"/>
        <w:ind w:left="260" w:right="491" w:firstLine="419"/>
        <w:jc w:val="both"/>
      </w:pPr>
      <w:r>
        <w:rPr>
          <w:rFonts w:ascii="Times New Roman" w:eastAsia="Times New Roman"/>
        </w:rPr>
        <w:t>2</w:t>
      </w:r>
      <w:r>
        <w:rPr>
          <w:spacing w:val="-3"/>
        </w:rPr>
        <w:t>、流通受限证券，包括由《上市公司证券发行管理办法》规范的非公开发行股票、公</w:t>
      </w:r>
      <w:r>
        <w:rPr>
          <w:spacing w:val="-6"/>
        </w:rPr>
        <w:t>开发行股票网下配售部分等在发行时明确一定期限锁定期的可交易证券，不包括由于发布重</w:t>
      </w:r>
      <w:r>
        <w:rPr>
          <w:spacing w:val="-9"/>
        </w:rPr>
        <w:t>大消息或其他原因而临时停牌的证券、已发行未上市证券、回购交易中的质押券等流通受限证券。</w:t>
      </w:r>
    </w:p>
    <w:p>
      <w:pPr>
        <w:pStyle w:val="BodyText"/>
        <w:spacing w:line="417" w:lineRule="auto"/>
        <w:ind w:left="260" w:right="491" w:firstLine="419"/>
        <w:jc w:val="both"/>
      </w:pPr>
      <w:r>
        <w:rPr>
          <w:rFonts w:ascii="Times New Roman" w:eastAsia="Times New Roman"/>
        </w:rPr>
        <w:t>3</w:t>
      </w:r>
      <w:r>
        <w:rPr>
          <w:spacing w:val="-3"/>
        </w:rPr>
        <w:t>、在首次投资流通受限证券之前，基金管理人应当制定相关投资决策流程、风险控制</w:t>
      </w:r>
      <w:r>
        <w:rPr>
          <w:spacing w:val="-12"/>
        </w:rPr>
        <w:t>制度、流动性风险控制预案等规章制度。基金管理人应当根据基金流动性的需要合理安排流</w:t>
      </w:r>
      <w:r>
        <w:rPr>
          <w:spacing w:val="-11"/>
        </w:rPr>
        <w:t>通受限证券的投资比例，并在风险控制制度中明确具体比例，避免基金出现流动性风险。上述规章制度须经基金管理人董事会批准。上述规章制度经董事会通过之后，基金管理人应当</w:t>
      </w:r>
    </w:p>
    <w:p>
      <w:pPr>
        <w:spacing w:after="0" w:line="417" w:lineRule="auto"/>
        <w:jc w:val="both"/>
        <w:sectPr>
          <w:pgSz w:w="11910" w:h="16840"/>
          <w:pgMar w:header="877" w:footer="995" w:top="1420" w:bottom="1180" w:left="1540" w:right="1300"/>
        </w:sectPr>
      </w:pPr>
    </w:p>
    <w:p>
      <w:pPr>
        <w:pStyle w:val="BodyText"/>
        <w:spacing w:before="110"/>
        <w:ind w:left="260"/>
      </w:pPr>
      <w:r>
        <w:rPr/>
        <w:t>将上述规章制度以及董事会批准上述规章制度的决议提交给基金托管人。</w:t>
      </w:r>
    </w:p>
    <w:p>
      <w:pPr>
        <w:pStyle w:val="BodyText"/>
        <w:spacing w:before="6"/>
        <w:rPr>
          <w:sz w:val="15"/>
        </w:rPr>
      </w:pPr>
    </w:p>
    <w:p>
      <w:pPr>
        <w:pStyle w:val="BodyText"/>
        <w:spacing w:line="417" w:lineRule="auto"/>
        <w:ind w:left="260" w:right="494" w:firstLine="419"/>
      </w:pPr>
      <w:r>
        <w:rPr>
          <w:rFonts w:ascii="Times New Roman" w:eastAsia="Times New Roman"/>
        </w:rPr>
        <w:t>4</w:t>
      </w:r>
      <w:r>
        <w:rPr>
          <w:spacing w:val="-3"/>
        </w:rPr>
        <w:t>、在投资流通受限证券之前，基金管理人应至少提前一个交易日向基金托管人提供有</w:t>
      </w:r>
      <w:r>
        <w:rPr>
          <w:spacing w:val="-3"/>
          <w:w w:val="100"/>
        </w:rPr>
        <w:t>关流通受限证券的相关信息，具体应当包括但不限于如下文件</w:t>
      </w:r>
      <w:r>
        <w:rPr>
          <w:w w:val="100"/>
        </w:rPr>
        <w:t>（</w:t>
      </w:r>
      <w:r>
        <w:rPr>
          <w:spacing w:val="-2"/>
          <w:w w:val="100"/>
        </w:rPr>
        <w:t>如有</w:t>
      </w:r>
      <w:r>
        <w:rPr>
          <w:spacing w:val="-109"/>
          <w:w w:val="100"/>
        </w:rPr>
        <w:t>）</w:t>
      </w:r>
      <w:r>
        <w:rPr>
          <w:w w:val="100"/>
        </w:rPr>
        <w:t>：</w:t>
      </w:r>
    </w:p>
    <w:p>
      <w:pPr>
        <w:pStyle w:val="BodyText"/>
        <w:spacing w:line="417" w:lineRule="auto"/>
        <w:ind w:left="260" w:right="388" w:firstLine="419"/>
      </w:pPr>
      <w:r>
        <w:rPr>
          <w:spacing w:val="-11"/>
        </w:rPr>
        <w:t>拟发行数量、定价依据、监管机构的批准证明文件复印件、基金管理人与承销商签订的</w:t>
      </w:r>
      <w:r>
        <w:rPr>
          <w:spacing w:val="-6"/>
        </w:rPr>
        <w:t>销售协议复印件、缴款通知书、基金拟认购的数量、价格、总成本、划款账号、划款金额、</w:t>
      </w:r>
      <w:r>
        <w:rPr>
          <w:spacing w:val="-4"/>
        </w:rPr>
        <w:t>划款时间文件等。基金管理人应保证上述信息的真实、完整。</w:t>
      </w:r>
    </w:p>
    <w:p>
      <w:pPr>
        <w:pStyle w:val="BodyText"/>
        <w:spacing w:line="417" w:lineRule="auto"/>
        <w:ind w:left="260" w:right="491" w:firstLine="314"/>
        <w:jc w:val="both"/>
      </w:pPr>
      <w:r>
        <w:rPr>
          <w:rFonts w:ascii="Times New Roman" w:eastAsia="Times New Roman"/>
        </w:rPr>
        <w:t>5</w:t>
      </w:r>
      <w:r>
        <w:rPr>
          <w:spacing w:val="-10"/>
        </w:rPr>
        <w:t>、基金托管人在监督基金管理人投资流通受限证券的过程中，如认为因市场出现剧烈变</w:t>
      </w:r>
      <w:r>
        <w:rPr>
          <w:spacing w:val="-9"/>
        </w:rPr>
        <w:t>化导致基金管理人的具体投资行为可能对基金财产造成较大风险，基金托管人有权要求基金管理人对该风险的消除或防范措施进行补充和整改，并做出书面说明。否则，基金托管人经</w:t>
      </w:r>
      <w:r>
        <w:rPr>
          <w:spacing w:val="-11"/>
        </w:rPr>
        <w:t>事先书面告知基金管理人，有权拒绝执行其有关指令。因拒绝执行该指令造成基金财产损失</w:t>
      </w:r>
      <w:r>
        <w:rPr>
          <w:spacing w:val="-6"/>
        </w:rPr>
        <w:t>的，基金托管人不承担任何责任，并有权报告中国证监会。</w:t>
      </w:r>
    </w:p>
    <w:p>
      <w:pPr>
        <w:pStyle w:val="BodyText"/>
        <w:spacing w:line="417" w:lineRule="auto"/>
        <w:ind w:left="260" w:right="491" w:firstLine="314"/>
        <w:jc w:val="both"/>
      </w:pPr>
      <w:r>
        <w:rPr>
          <w:rFonts w:ascii="Times New Roman" w:eastAsia="Times New Roman"/>
        </w:rPr>
        <w:t>6</w:t>
      </w:r>
      <w:r>
        <w:rPr>
          <w:spacing w:val="-10"/>
        </w:rPr>
        <w:t>、基金管理人应保证基金投资的受限证券登记存管在本基金名下，并确保证基金托管人</w:t>
      </w:r>
      <w:r>
        <w:rPr>
          <w:spacing w:val="-12"/>
        </w:rPr>
        <w:t>能够正常查询。因基金管理人原因产生的受限证券登记存管问题，造成基金财产的损失或基</w:t>
      </w:r>
      <w:r>
        <w:rPr>
          <w:spacing w:val="-6"/>
        </w:rPr>
        <w:t>金托管人无法安全保管基金财产的责任与损失，由基金管理人承担。</w:t>
      </w:r>
    </w:p>
    <w:p>
      <w:pPr>
        <w:pStyle w:val="BodyText"/>
        <w:spacing w:line="417" w:lineRule="auto"/>
        <w:ind w:left="260" w:right="491" w:firstLine="314"/>
        <w:jc w:val="both"/>
      </w:pPr>
      <w:r>
        <w:rPr>
          <w:rFonts w:ascii="Times New Roman" w:eastAsia="Times New Roman"/>
        </w:rPr>
        <w:t>7</w:t>
      </w:r>
      <w:r>
        <w:rPr>
          <w:spacing w:val="-12"/>
        </w:rPr>
        <w:t>、如果基金管理人未按照本协议的约定向基金托管人报送相关数据或者报送了虚假的数</w:t>
      </w:r>
      <w:r>
        <w:rPr>
          <w:spacing w:val="-11"/>
        </w:rPr>
        <w:t>据，导致基金托管人不能履行托管人职责的，基金管理人应依法承担相应法律后果。除基金</w:t>
      </w:r>
      <w:r>
        <w:rPr>
          <w:spacing w:val="-10"/>
        </w:rPr>
        <w:t>托管人未能依据基金合同及本协议履行职责外，因投资流通受限证券产生的损失，基金托管</w:t>
      </w:r>
      <w:r>
        <w:rPr>
          <w:spacing w:val="-5"/>
        </w:rPr>
        <w:t>人按照本协议履行监督职责后不承担上述损失。</w:t>
      </w:r>
    </w:p>
    <w:p>
      <w:pPr>
        <w:pStyle w:val="BodyText"/>
        <w:spacing w:line="417" w:lineRule="auto"/>
        <w:ind w:left="260" w:right="491" w:firstLine="314"/>
        <w:jc w:val="both"/>
      </w:pPr>
      <w:r>
        <w:rPr/>
        <w:t>（八）</w:t>
      </w:r>
      <w:r>
        <w:rPr>
          <w:spacing w:val="-3"/>
        </w:rPr>
        <w:t>基金托管人发现基金管理人的上述事项及投资指令或实际投资运作中违反法律法</w:t>
      </w:r>
      <w:r>
        <w:rPr>
          <w:spacing w:val="-10"/>
        </w:rPr>
        <w:t>规和基金合同的规定，应及时以书面形式通知基金管理人限期纠正。基金管理人应积极配合</w:t>
      </w:r>
      <w:r>
        <w:rPr>
          <w:spacing w:val="-12"/>
        </w:rPr>
        <w:t>和协助基金托管人的监督和核查。基金管理人收到通知后应在下一工作日前及时核对并以书面形式给基金托管人发出回函，就基金托管人的疑义进行解释或举证，说明违规原因及纠正</w:t>
      </w:r>
      <w:r>
        <w:rPr>
          <w:spacing w:val="-11"/>
        </w:rPr>
        <w:t>期限，并保证在规定期限内及时改正。在上述规定期限内，基金托管人有权随时对通知事项</w:t>
      </w:r>
      <w:r>
        <w:rPr>
          <w:spacing w:val="-13"/>
        </w:rPr>
        <w:t>进行复查，督促基金管理人改正。基金管理人对基金托管人通知的违规事项未能在限期内纠</w:t>
      </w:r>
      <w:r>
        <w:rPr>
          <w:spacing w:val="-14"/>
        </w:rPr>
        <w:t>正的，基金托管人应报告中国证监会。基金托管人发现基金管理人依据交易程序已经生效的</w:t>
      </w:r>
      <w:r>
        <w:rPr>
          <w:spacing w:val="-12"/>
        </w:rPr>
        <w:t>投资指令违反法律、行政法规和其他有关规定，或者违反基金合同约定的，应当立即通知基</w:t>
      </w:r>
      <w:r>
        <w:rPr>
          <w:spacing w:val="-6"/>
        </w:rPr>
        <w:t>金管理人，并报告中国证监会。</w:t>
      </w:r>
    </w:p>
    <w:p>
      <w:pPr>
        <w:pStyle w:val="BodyText"/>
        <w:spacing w:line="417" w:lineRule="auto"/>
        <w:ind w:left="260" w:right="491" w:firstLine="479"/>
        <w:jc w:val="both"/>
      </w:pPr>
      <w:r>
        <w:rPr/>
        <w:t>（九）</w:t>
      </w:r>
      <w:r>
        <w:rPr>
          <w:spacing w:val="-1"/>
        </w:rPr>
        <w:t>基金管理人有义务配合和协助基金托管人依照法律法规、基金合同和本托管协</w:t>
      </w:r>
      <w:r>
        <w:rPr>
          <w:spacing w:val="-10"/>
        </w:rPr>
        <w:t>议对基金业务执行核查。对基金托管人发出的书面提示，基金管理人应在规定时间内答复并</w:t>
      </w:r>
      <w:r>
        <w:rPr>
          <w:spacing w:val="-12"/>
        </w:rPr>
        <w:t>改正，或就基金托管人的疑义进行解释或举证；对基金托管人按照法规要求需向中国证监会</w:t>
      </w:r>
    </w:p>
    <w:p>
      <w:pPr>
        <w:spacing w:after="0" w:line="417" w:lineRule="auto"/>
        <w:jc w:val="both"/>
        <w:sectPr>
          <w:pgSz w:w="11910" w:h="16840"/>
          <w:pgMar w:header="877" w:footer="995" w:top="1420" w:bottom="1180" w:left="1540" w:right="1300"/>
        </w:sectPr>
      </w:pPr>
    </w:p>
    <w:p>
      <w:pPr>
        <w:pStyle w:val="BodyText"/>
        <w:spacing w:before="110"/>
        <w:ind w:left="260"/>
      </w:pPr>
      <w:r>
        <w:rPr/>
        <w:t>报送基金监督报告的事项，基金管理人应积极配合提供相关数据资料和制度等。</w:t>
      </w:r>
    </w:p>
    <w:p>
      <w:pPr>
        <w:pStyle w:val="BodyText"/>
        <w:spacing w:before="6"/>
        <w:rPr>
          <w:sz w:val="15"/>
        </w:rPr>
      </w:pPr>
    </w:p>
    <w:p>
      <w:pPr>
        <w:pStyle w:val="BodyText"/>
        <w:spacing w:line="417" w:lineRule="auto"/>
        <w:ind w:left="260" w:right="491" w:firstLine="419"/>
        <w:jc w:val="both"/>
      </w:pPr>
      <w:r>
        <w:rPr/>
        <w:t>（</w:t>
      </w:r>
      <w:r>
        <w:rPr>
          <w:spacing w:val="-3"/>
        </w:rPr>
        <w:t>十</w:t>
      </w:r>
      <w:r>
        <w:rPr>
          <w:spacing w:val="-32"/>
        </w:rPr>
        <w:t>）</w:t>
      </w:r>
      <w:r>
        <w:rPr>
          <w:spacing w:val="-6"/>
        </w:rPr>
        <w:t>基金托管人发现基金管理人有重大违规行为，应及时报告中国证监会，同时通知</w:t>
      </w:r>
      <w:r>
        <w:rPr>
          <w:spacing w:val="-10"/>
        </w:rPr>
        <w:t>基金管理人限期纠正，并将纠正结果报告中国证监会。基金管理人无正当理由，拒绝、阻挠对方根据本协议规定行使监督权，或采取拖延、欺诈等手段妨碍对方进行有效监督，情节严</w:t>
      </w:r>
      <w:r>
        <w:rPr>
          <w:spacing w:val="-5"/>
        </w:rPr>
        <w:t>重或经基金托管人提出警告仍不改正的，基金托管人应报告中国证监会。</w:t>
      </w:r>
    </w:p>
    <w:p>
      <w:pPr>
        <w:spacing w:line="268" w:lineRule="exact" w:before="0"/>
        <w:ind w:left="12" w:right="245" w:firstLine="0"/>
        <w:jc w:val="center"/>
        <w:rPr>
          <w:b/>
          <w:sz w:val="21"/>
        </w:rPr>
      </w:pPr>
      <w:r>
        <w:rPr>
          <w:b/>
          <w:sz w:val="21"/>
        </w:rPr>
        <w:t>三、基金管理人对基金托管人的业务核查</w:t>
      </w:r>
    </w:p>
    <w:p>
      <w:pPr>
        <w:pStyle w:val="BodyText"/>
        <w:spacing w:before="7"/>
        <w:rPr>
          <w:b/>
          <w:sz w:val="15"/>
        </w:rPr>
      </w:pPr>
    </w:p>
    <w:p>
      <w:pPr>
        <w:pStyle w:val="BodyText"/>
        <w:spacing w:line="417" w:lineRule="auto"/>
        <w:ind w:left="260" w:right="491" w:firstLine="479"/>
        <w:jc w:val="both"/>
      </w:pPr>
      <w:r>
        <w:rPr/>
        <w:t>（一）</w:t>
      </w:r>
      <w:r>
        <w:rPr>
          <w:spacing w:val="-1"/>
        </w:rPr>
        <w:t>基金管理人对基金托管人履行托管职责情况进行核查，核查事项包括基金托管</w:t>
      </w:r>
      <w:r>
        <w:rPr>
          <w:spacing w:val="-10"/>
        </w:rPr>
        <w:t>人安全保管基金财产、开设基金财产的资金账户和证券账户等投资所需账户、复核基金管理人计算的基金资产净值和基金份额净值、根据基金管理人指令办理清算交收、相关信息披露</w:t>
      </w:r>
      <w:r>
        <w:rPr>
          <w:spacing w:val="-5"/>
        </w:rPr>
        <w:t>和监督基金投资运作等行为。</w:t>
      </w:r>
    </w:p>
    <w:p>
      <w:pPr>
        <w:pStyle w:val="BodyText"/>
        <w:spacing w:line="417" w:lineRule="auto"/>
        <w:ind w:left="260" w:right="388" w:firstLine="479"/>
      </w:pPr>
      <w:r>
        <w:rPr/>
        <w:t>（二）基金管理人发现基金托管人擅自挪用基金财产、未对基金财产实行分账管理、</w:t>
      </w:r>
      <w:r>
        <w:rPr>
          <w:spacing w:val="-6"/>
        </w:rPr>
        <w:t>未执行或无故延迟执行基金管理人资金划拨指令、泄露基金投资信息等违反《基金法》、基</w:t>
      </w:r>
      <w:r>
        <w:rPr>
          <w:spacing w:val="-11"/>
        </w:rPr>
        <w:t>金合同、本协议及其他有关规定时，应及时以书面形式通知基金托管人限期纠正。基金托管</w:t>
      </w:r>
      <w:r>
        <w:rPr>
          <w:spacing w:val="-9"/>
        </w:rPr>
        <w:t>人收到通知后应在下一工作日前及时核对并以书面形式给基金管理人发出回函，说明违规原</w:t>
      </w:r>
      <w:r>
        <w:rPr>
          <w:spacing w:val="-12"/>
        </w:rPr>
        <w:t>因及纠正期限，并保证在规定期限内及时改正。在上述规定期限内，基金管理人有权随时对</w:t>
      </w:r>
      <w:r>
        <w:rPr>
          <w:spacing w:val="-6"/>
        </w:rPr>
        <w:t>通知事项进行复查，督促基金托管人改正。基金托管人应积极配合基金管理人的核查行为， </w:t>
      </w:r>
      <w:r>
        <w:rPr>
          <w:spacing w:val="-11"/>
        </w:rPr>
        <w:t>包括但不限于：提交相关资料以供基金管理人核查托管财产的完整性和真实性，在规定时间</w:t>
      </w:r>
      <w:r>
        <w:rPr>
          <w:spacing w:val="-6"/>
        </w:rPr>
        <w:t>内答复基金管理人并改正。</w:t>
      </w:r>
    </w:p>
    <w:p>
      <w:pPr>
        <w:pStyle w:val="BodyText"/>
        <w:spacing w:line="417" w:lineRule="auto"/>
        <w:ind w:left="260" w:right="491" w:firstLine="419"/>
        <w:jc w:val="both"/>
      </w:pPr>
      <w:r>
        <w:rPr/>
        <w:t>（</w:t>
      </w:r>
      <w:r>
        <w:rPr>
          <w:spacing w:val="-3"/>
        </w:rPr>
        <w:t>三</w:t>
      </w:r>
      <w:r>
        <w:rPr>
          <w:spacing w:val="-32"/>
        </w:rPr>
        <w:t>）</w:t>
      </w:r>
      <w:r>
        <w:rPr>
          <w:spacing w:val="-6"/>
        </w:rPr>
        <w:t>基金管理人发现基金托管人有重大违规行为，应及时报告中国证监会，同时通知</w:t>
      </w:r>
      <w:r>
        <w:rPr>
          <w:spacing w:val="-10"/>
        </w:rPr>
        <w:t>基金托管人限期纠正，并将纠正结果报告中国证监会。基金托管人无正当理由，拒绝、阻挠对方根据本协议规定行使监督权，或采取拖延、欺诈等手段妨碍对方进行有效监督，情节严</w:t>
      </w:r>
      <w:r>
        <w:rPr>
          <w:spacing w:val="-5"/>
        </w:rPr>
        <w:t>重或经基金管理人提出警告仍不改正的，基金管理人应报告中国证监会。</w:t>
      </w:r>
    </w:p>
    <w:p>
      <w:pPr>
        <w:spacing w:before="0"/>
        <w:ind w:left="12" w:right="245" w:firstLine="0"/>
        <w:jc w:val="center"/>
        <w:rPr>
          <w:b/>
          <w:sz w:val="21"/>
        </w:rPr>
      </w:pPr>
      <w:r>
        <w:rPr>
          <w:b/>
          <w:sz w:val="21"/>
        </w:rPr>
        <w:t>四、基金财产的保管</w:t>
      </w:r>
    </w:p>
    <w:p>
      <w:pPr>
        <w:pStyle w:val="BodyText"/>
        <w:spacing w:before="6"/>
        <w:rPr>
          <w:b/>
          <w:sz w:val="15"/>
        </w:rPr>
      </w:pPr>
    </w:p>
    <w:p>
      <w:pPr>
        <w:pStyle w:val="BodyText"/>
        <w:ind w:left="740"/>
      </w:pPr>
      <w:r>
        <w:rPr/>
        <w:t>（一）基金财产保管的原则</w:t>
      </w:r>
    </w:p>
    <w:p>
      <w:pPr>
        <w:pStyle w:val="BodyText"/>
        <w:spacing w:before="6"/>
        <w:rPr>
          <w:sz w:val="15"/>
        </w:rPr>
      </w:pPr>
    </w:p>
    <w:p>
      <w:pPr>
        <w:pStyle w:val="BodyText"/>
        <w:spacing w:before="1"/>
        <w:ind w:left="740"/>
      </w:pPr>
      <w:r>
        <w:rPr>
          <w:rFonts w:ascii="Times New Roman" w:eastAsia="Times New Roman"/>
        </w:rPr>
        <w:t>1</w:t>
      </w:r>
      <w:r>
        <w:rPr/>
        <w:t>、基金财产应独立于基金管理人、基金托管人的固有财产。</w:t>
      </w:r>
    </w:p>
    <w:p>
      <w:pPr>
        <w:pStyle w:val="BodyText"/>
        <w:spacing w:before="6"/>
        <w:rPr>
          <w:sz w:val="15"/>
        </w:rPr>
      </w:pPr>
    </w:p>
    <w:p>
      <w:pPr>
        <w:pStyle w:val="BodyText"/>
        <w:spacing w:line="417" w:lineRule="auto"/>
        <w:ind w:left="260" w:right="493" w:firstLine="479"/>
      </w:pPr>
      <w:r>
        <w:rPr>
          <w:rFonts w:ascii="Times New Roman" w:eastAsia="Times New Roman"/>
        </w:rPr>
        <w:t>2</w:t>
      </w:r>
      <w:r>
        <w:rPr>
          <w:spacing w:val="-9"/>
        </w:rPr>
        <w:t>、基金托管人应安全保管基金财产。未经基金管理人依据合法程序作出的合法合规指</w:t>
      </w:r>
      <w:r>
        <w:rPr>
          <w:spacing w:val="-5"/>
        </w:rPr>
        <w:t>令，基金托管人不得自行运用、处分、分配基金的任何财产。</w:t>
      </w:r>
    </w:p>
    <w:p>
      <w:pPr>
        <w:pStyle w:val="BodyText"/>
        <w:spacing w:line="269" w:lineRule="exact"/>
        <w:ind w:left="740"/>
      </w:pPr>
      <w:r>
        <w:rPr>
          <w:rFonts w:ascii="Times New Roman" w:eastAsia="Times New Roman"/>
        </w:rPr>
        <w:t>3</w:t>
      </w:r>
      <w:r>
        <w:rPr/>
        <w:t>、基金托管人按照规定开设基金财产的资金账户和证券账户等投资所需账户。</w:t>
      </w:r>
    </w:p>
    <w:p>
      <w:pPr>
        <w:pStyle w:val="BodyText"/>
        <w:spacing w:before="7"/>
        <w:rPr>
          <w:sz w:val="15"/>
        </w:rPr>
      </w:pPr>
    </w:p>
    <w:p>
      <w:pPr>
        <w:pStyle w:val="BodyText"/>
        <w:ind w:left="740"/>
      </w:pPr>
      <w:r>
        <w:rPr>
          <w:rFonts w:ascii="Times New Roman" w:eastAsia="Times New Roman"/>
        </w:rPr>
        <w:t>4</w:t>
      </w:r>
      <w:r>
        <w:rPr>
          <w:spacing w:val="-3"/>
        </w:rPr>
        <w:t>、基金托管人对所托管的不同基金财产分别设置账户，确保基金财产的完整与独立。</w:t>
      </w:r>
    </w:p>
    <w:p>
      <w:pPr>
        <w:pStyle w:val="BodyText"/>
        <w:spacing w:before="7"/>
        <w:rPr>
          <w:sz w:val="15"/>
        </w:rPr>
      </w:pPr>
    </w:p>
    <w:p>
      <w:pPr>
        <w:pStyle w:val="BodyText"/>
        <w:ind w:left="740"/>
      </w:pPr>
      <w:r>
        <w:rPr>
          <w:rFonts w:ascii="Times New Roman" w:eastAsia="Times New Roman"/>
        </w:rPr>
        <w:t>5</w:t>
      </w:r>
      <w:r>
        <w:rPr/>
        <w:t>、基金托管人根据基金管理人的指令，按照基金合同和本协议的约定保管基金财产，</w:t>
      </w:r>
    </w:p>
    <w:p>
      <w:pPr>
        <w:spacing w:after="0"/>
        <w:sectPr>
          <w:pgSz w:w="11910" w:h="16840"/>
          <w:pgMar w:header="877" w:footer="995" w:top="1420" w:bottom="1180" w:left="1540" w:right="1300"/>
        </w:sectPr>
      </w:pPr>
    </w:p>
    <w:p>
      <w:pPr>
        <w:pStyle w:val="BodyText"/>
        <w:spacing w:before="110"/>
        <w:ind w:left="260"/>
      </w:pPr>
      <w:r>
        <w:rPr/>
        <w:t>如有特殊情况双方可另行协商解决。</w:t>
      </w:r>
    </w:p>
    <w:p>
      <w:pPr>
        <w:pStyle w:val="BodyText"/>
        <w:spacing w:before="6"/>
        <w:rPr>
          <w:sz w:val="15"/>
        </w:rPr>
      </w:pPr>
    </w:p>
    <w:p>
      <w:pPr>
        <w:pStyle w:val="BodyText"/>
        <w:spacing w:line="417" w:lineRule="auto"/>
        <w:ind w:left="260" w:right="491" w:firstLine="479"/>
        <w:jc w:val="both"/>
      </w:pPr>
      <w:r>
        <w:rPr>
          <w:rFonts w:ascii="Times New Roman" w:eastAsia="Times New Roman"/>
        </w:rPr>
        <w:t>6</w:t>
      </w:r>
      <w:r>
        <w:rPr>
          <w:spacing w:val="-9"/>
        </w:rPr>
        <w:t>、对于因为基金投资产生的应收资产，应由基金管理人负责与有关当事人确定到账日</w:t>
      </w:r>
      <w:r>
        <w:rPr>
          <w:spacing w:val="-12"/>
        </w:rPr>
        <w:t>期并通知基金托管人，到账日基金财产没有到达基金账户的，基金托管人应及时通知基金管</w:t>
      </w:r>
      <w:r>
        <w:rPr>
          <w:spacing w:val="-6"/>
        </w:rPr>
        <w:t>理人采取措施进行催收。由此给基金财产造成损失的，基金托管人对此不承担任何责任。</w:t>
      </w:r>
    </w:p>
    <w:p>
      <w:pPr>
        <w:spacing w:line="417" w:lineRule="auto" w:before="0"/>
        <w:ind w:left="2833" w:right="503" w:hanging="2154"/>
        <w:jc w:val="left"/>
        <w:rPr>
          <w:b/>
          <w:sz w:val="21"/>
        </w:rPr>
      </w:pPr>
      <w:r>
        <w:rPr>
          <w:rFonts w:ascii="Times New Roman" w:eastAsia="Times New Roman"/>
          <w:sz w:val="21"/>
        </w:rPr>
        <w:t>7</w:t>
      </w:r>
      <w:r>
        <w:rPr>
          <w:sz w:val="21"/>
        </w:rPr>
        <w:t>、除依据法律法规和基金合同的规定外，基金托管人不得委托第三人托管基金财产。</w:t>
      </w:r>
      <w:r>
        <w:rPr>
          <w:b/>
          <w:sz w:val="21"/>
        </w:rPr>
        <w:t>五、基金资产净值计算和会计核算</w:t>
      </w:r>
    </w:p>
    <w:p>
      <w:pPr>
        <w:pStyle w:val="BodyText"/>
        <w:spacing w:line="269" w:lineRule="exact"/>
        <w:ind w:left="740"/>
      </w:pPr>
      <w:r>
        <w:rPr/>
        <w:t>（一）基金资产净值的计算及复核程序</w:t>
      </w:r>
    </w:p>
    <w:p>
      <w:pPr>
        <w:pStyle w:val="BodyText"/>
        <w:spacing w:before="7"/>
        <w:rPr>
          <w:sz w:val="15"/>
        </w:rPr>
      </w:pPr>
    </w:p>
    <w:p>
      <w:pPr>
        <w:pStyle w:val="BodyText"/>
        <w:ind w:left="740"/>
      </w:pPr>
      <w:r>
        <w:rPr>
          <w:rFonts w:ascii="Times New Roman" w:eastAsia="Times New Roman"/>
        </w:rPr>
        <w:t>1</w:t>
      </w:r>
      <w:r>
        <w:rPr/>
        <w:t>、基金资产净值</w:t>
      </w:r>
    </w:p>
    <w:p>
      <w:pPr>
        <w:pStyle w:val="BodyText"/>
        <w:spacing w:before="7"/>
        <w:rPr>
          <w:sz w:val="15"/>
        </w:rPr>
      </w:pPr>
    </w:p>
    <w:p>
      <w:pPr>
        <w:pStyle w:val="BodyText"/>
        <w:ind w:left="740"/>
      </w:pPr>
      <w:r>
        <w:rPr/>
        <w:t>基金资产净值是指基金资产总值减去负债后的净资产值。</w:t>
      </w:r>
    </w:p>
    <w:p>
      <w:pPr>
        <w:pStyle w:val="BodyText"/>
        <w:spacing w:before="7"/>
        <w:rPr>
          <w:sz w:val="15"/>
        </w:rPr>
      </w:pPr>
    </w:p>
    <w:p>
      <w:pPr>
        <w:pStyle w:val="BodyText"/>
        <w:spacing w:line="417" w:lineRule="auto"/>
        <w:ind w:left="260" w:right="491" w:firstLine="479"/>
        <w:jc w:val="both"/>
      </w:pPr>
      <w:r>
        <w:rPr>
          <w:spacing w:val="-1"/>
        </w:rPr>
        <w:t>基金份额净值是指基金资产净值除以基金份额总数后得到的基金份额的资产净值。基</w:t>
      </w:r>
      <w:r>
        <w:rPr>
          <w:spacing w:val="-3"/>
        </w:rPr>
        <w:t>金份额净值的计算，精确到 </w:t>
      </w:r>
      <w:r>
        <w:rPr>
          <w:rFonts w:ascii="Times New Roman" w:eastAsia="Times New Roman"/>
        </w:rPr>
        <w:t>0.0001 </w:t>
      </w:r>
      <w:r>
        <w:rPr>
          <w:spacing w:val="-3"/>
        </w:rPr>
        <w:t>元，小数点后第五位四舍五入，由此产生的误差计入基金财产。国家另有规定的，从其规定。</w:t>
      </w:r>
    </w:p>
    <w:p>
      <w:pPr>
        <w:pStyle w:val="BodyText"/>
        <w:spacing w:line="269" w:lineRule="exact"/>
        <w:ind w:left="740"/>
      </w:pPr>
      <w:r>
        <w:rPr/>
        <w:t>每工作日计算基金资产净值及基金份额净值，并按规定公告。</w:t>
      </w:r>
    </w:p>
    <w:p>
      <w:pPr>
        <w:pStyle w:val="BodyText"/>
        <w:spacing w:before="6"/>
        <w:rPr>
          <w:sz w:val="15"/>
        </w:rPr>
      </w:pPr>
    </w:p>
    <w:p>
      <w:pPr>
        <w:pStyle w:val="BodyText"/>
        <w:spacing w:before="1"/>
        <w:ind w:left="740"/>
      </w:pPr>
      <w:r>
        <w:rPr>
          <w:rFonts w:ascii="Times New Roman" w:eastAsia="Times New Roman"/>
        </w:rPr>
        <w:t>2</w:t>
      </w:r>
      <w:r>
        <w:rPr/>
        <w:t>、复核程序</w:t>
      </w:r>
    </w:p>
    <w:p>
      <w:pPr>
        <w:pStyle w:val="BodyText"/>
        <w:spacing w:before="7"/>
        <w:rPr>
          <w:sz w:val="15"/>
        </w:rPr>
      </w:pPr>
    </w:p>
    <w:p>
      <w:pPr>
        <w:pStyle w:val="BodyText"/>
        <w:spacing w:line="417" w:lineRule="auto"/>
        <w:ind w:left="260" w:right="491" w:firstLine="419"/>
      </w:pPr>
      <w:r>
        <w:rPr>
          <w:spacing w:val="-8"/>
        </w:rPr>
        <w:t>基金管理人每工作日对基金资产进行估值后，将基金份额净值结果发送基金托管人，经</w:t>
      </w:r>
      <w:r>
        <w:rPr>
          <w:spacing w:val="-5"/>
        </w:rPr>
        <w:t>基金托管人复核无误后，由基金管理人依据基金合同和相关法律法规的规定对外公布。</w:t>
      </w:r>
    </w:p>
    <w:p>
      <w:pPr>
        <w:spacing w:line="269" w:lineRule="exact" w:before="0"/>
        <w:ind w:left="2622" w:right="0" w:firstLine="0"/>
        <w:jc w:val="left"/>
        <w:rPr>
          <w:b/>
          <w:sz w:val="21"/>
        </w:rPr>
      </w:pPr>
      <w:r>
        <w:rPr>
          <w:b/>
          <w:sz w:val="21"/>
        </w:rPr>
        <w:t>六、基金份额持有人名册的登记与保管</w:t>
      </w:r>
    </w:p>
    <w:p>
      <w:pPr>
        <w:pStyle w:val="BodyText"/>
        <w:spacing w:before="6"/>
        <w:rPr>
          <w:b/>
          <w:sz w:val="15"/>
        </w:rPr>
      </w:pPr>
    </w:p>
    <w:p>
      <w:pPr>
        <w:pStyle w:val="BodyText"/>
        <w:spacing w:line="417" w:lineRule="auto"/>
        <w:ind w:left="260" w:right="491" w:firstLine="419"/>
        <w:jc w:val="both"/>
        <w:rPr>
          <w:rFonts w:ascii="Times New Roman" w:eastAsia="Times New Roman"/>
        </w:rPr>
      </w:pPr>
      <w:r>
        <w:rPr>
          <w:spacing w:val="-6"/>
        </w:rPr>
        <w:t>本基金的基金管理人和基金托管人须分别妥善保管的基金份额持有人名册，包括基金合</w:t>
      </w:r>
      <w:r>
        <w:rPr>
          <w:spacing w:val="-4"/>
        </w:rPr>
        <w:t>同生效日、基金合同终止日、基金权益登记日、基金份额持有人大会权益登记日、每年 </w:t>
      </w:r>
      <w:r>
        <w:rPr>
          <w:rFonts w:ascii="Times New Roman" w:eastAsia="Times New Roman"/>
          <w:spacing w:val="-14"/>
        </w:rPr>
        <w:t>6</w:t>
      </w:r>
    </w:p>
    <w:p>
      <w:pPr>
        <w:pStyle w:val="BodyText"/>
        <w:spacing w:line="417" w:lineRule="auto"/>
        <w:ind w:left="260" w:right="491"/>
        <w:jc w:val="both"/>
      </w:pPr>
      <w:r>
        <w:rPr>
          <w:spacing w:val="-17"/>
        </w:rPr>
        <w:t>月 </w:t>
      </w:r>
      <w:r>
        <w:rPr>
          <w:rFonts w:ascii="Times New Roman" w:eastAsia="Times New Roman"/>
        </w:rPr>
        <w:t>30 </w:t>
      </w:r>
      <w:r>
        <w:rPr>
          <w:spacing w:val="-2"/>
        </w:rPr>
        <w:t>日、</w:t>
      </w:r>
      <w:r>
        <w:rPr>
          <w:rFonts w:ascii="Times New Roman" w:eastAsia="Times New Roman"/>
        </w:rPr>
        <w:t>12 </w:t>
      </w:r>
      <w:r>
        <w:rPr>
          <w:spacing w:val="-17"/>
        </w:rPr>
        <w:t>月 </w:t>
      </w:r>
      <w:r>
        <w:rPr>
          <w:rFonts w:ascii="Times New Roman" w:eastAsia="Times New Roman"/>
        </w:rPr>
        <w:t>31 </w:t>
      </w:r>
      <w:r>
        <w:rPr>
          <w:spacing w:val="-3"/>
        </w:rPr>
        <w:t>日的基金份额持有人名册。基金份额持有人名册的内容至少应包括持有人的名称和持有的基金份额。</w:t>
      </w:r>
    </w:p>
    <w:p>
      <w:pPr>
        <w:pStyle w:val="BodyText"/>
        <w:spacing w:line="417" w:lineRule="auto"/>
        <w:ind w:left="260" w:right="491" w:firstLine="419"/>
        <w:jc w:val="both"/>
      </w:pPr>
      <w:r>
        <w:rPr>
          <w:spacing w:val="-8"/>
        </w:rPr>
        <w:t>基金份额持有人名册由登记机构编制，由基金管理人审核并提交基金托管人保管。基金托管人有权要求基金管理人提供任意一个交易日或全部交易日的基金份额持有人名册，基金</w:t>
      </w:r>
      <w:r>
        <w:rPr>
          <w:spacing w:val="-5"/>
        </w:rPr>
        <w:t>管理人应及时提供，不得拖延或拒绝提供。</w:t>
      </w:r>
    </w:p>
    <w:p>
      <w:pPr>
        <w:pStyle w:val="BodyText"/>
        <w:spacing w:line="417" w:lineRule="auto"/>
        <w:ind w:left="260" w:right="491" w:firstLine="419"/>
        <w:jc w:val="both"/>
      </w:pPr>
      <w:r>
        <w:rPr>
          <w:spacing w:val="-5"/>
        </w:rPr>
        <w:t>基金管理人应及时向基金托管人提交基金份额持有人名册。每年 </w:t>
      </w:r>
      <w:r>
        <w:rPr>
          <w:rFonts w:ascii="Times New Roman" w:eastAsia="Times New Roman"/>
        </w:rPr>
        <w:t>6 </w:t>
      </w:r>
      <w:r>
        <w:rPr>
          <w:spacing w:val="-19"/>
        </w:rPr>
        <w:t>月 </w:t>
      </w:r>
      <w:r>
        <w:rPr>
          <w:rFonts w:ascii="Times New Roman" w:eastAsia="Times New Roman"/>
        </w:rPr>
        <w:t>30 </w:t>
      </w:r>
      <w:r>
        <w:rPr>
          <w:spacing w:val="-14"/>
        </w:rPr>
        <w:t>日和 </w:t>
      </w:r>
      <w:r>
        <w:rPr>
          <w:rFonts w:ascii="Times New Roman" w:eastAsia="Times New Roman"/>
        </w:rPr>
        <w:t>12 </w:t>
      </w:r>
      <w:r>
        <w:rPr>
          <w:spacing w:val="-19"/>
        </w:rPr>
        <w:t>月 </w:t>
      </w:r>
      <w:r>
        <w:rPr>
          <w:rFonts w:ascii="Times New Roman" w:eastAsia="Times New Roman"/>
        </w:rPr>
        <w:t>31 </w:t>
      </w:r>
      <w:r>
        <w:rPr>
          <w:spacing w:val="-7"/>
        </w:rPr>
        <w:t>日的基金份额持有人名册应于下月前十个工作日内提交；基金合同生效日、基金合同终止日</w:t>
      </w:r>
      <w:r>
        <w:rPr>
          <w:spacing w:val="-5"/>
        </w:rPr>
        <w:t>等涉及到基金重要事项日期的基金份额持有人名册应于发生日后十个工作日内提交。</w:t>
      </w:r>
    </w:p>
    <w:p>
      <w:pPr>
        <w:pStyle w:val="BodyText"/>
        <w:spacing w:line="417" w:lineRule="auto"/>
        <w:ind w:left="260" w:right="491" w:firstLine="419"/>
        <w:jc w:val="both"/>
      </w:pPr>
      <w:r>
        <w:rPr>
          <w:spacing w:val="-5"/>
        </w:rPr>
        <w:t>基金管理人和基金托管人应妥善保管基金份额持有人名册，保存期限为</w:t>
      </w:r>
      <w:r>
        <w:rPr>
          <w:rFonts w:ascii="Times New Roman" w:eastAsia="Times New Roman"/>
        </w:rPr>
        <w:t>15</w:t>
      </w:r>
      <w:r>
        <w:rPr>
          <w:spacing w:val="-10"/>
        </w:rPr>
        <w:t>年。基金托管</w:t>
      </w:r>
      <w:r>
        <w:rPr>
          <w:spacing w:val="-8"/>
        </w:rPr>
        <w:t>人不得将所保管的基金份额持有人名册用于基金托管业务以外的其他用途，并应遵守保密义</w:t>
      </w:r>
      <w:r>
        <w:rPr>
          <w:spacing w:val="-11"/>
        </w:rPr>
        <w:t>务。若基金管理人或基金托管人由于自身原因无法妥善保管基金份额持有人名册，应按有关</w:t>
      </w:r>
    </w:p>
    <w:p>
      <w:pPr>
        <w:spacing w:after="0" w:line="417" w:lineRule="auto"/>
        <w:jc w:val="both"/>
        <w:sectPr>
          <w:pgSz w:w="11910" w:h="16840"/>
          <w:pgMar w:header="877" w:footer="995" w:top="1420" w:bottom="1180" w:left="1540" w:right="1300"/>
        </w:sectPr>
      </w:pPr>
    </w:p>
    <w:p>
      <w:pPr>
        <w:pStyle w:val="BodyText"/>
        <w:spacing w:before="110"/>
        <w:ind w:left="260"/>
      </w:pPr>
      <w:r>
        <w:rPr/>
        <w:t>法规规定各自承担相应的责任。</w:t>
      </w:r>
    </w:p>
    <w:p>
      <w:pPr>
        <w:pStyle w:val="BodyText"/>
        <w:spacing w:before="6"/>
        <w:rPr>
          <w:sz w:val="15"/>
        </w:rPr>
      </w:pPr>
    </w:p>
    <w:p>
      <w:pPr>
        <w:spacing w:before="0"/>
        <w:ind w:left="12" w:right="245" w:firstLine="0"/>
        <w:jc w:val="center"/>
        <w:rPr>
          <w:b/>
          <w:sz w:val="21"/>
        </w:rPr>
      </w:pPr>
      <w:r>
        <w:rPr>
          <w:b/>
          <w:sz w:val="21"/>
        </w:rPr>
        <w:t>七、托管协议的变更、终止与基金财产的清算</w:t>
      </w:r>
    </w:p>
    <w:p>
      <w:pPr>
        <w:pStyle w:val="BodyText"/>
        <w:spacing w:before="7"/>
        <w:rPr>
          <w:b/>
          <w:sz w:val="15"/>
        </w:rPr>
      </w:pPr>
    </w:p>
    <w:p>
      <w:pPr>
        <w:pStyle w:val="BodyText"/>
        <w:ind w:left="680"/>
      </w:pPr>
      <w:r>
        <w:rPr/>
        <w:t>（一）托管协议的变更程序</w:t>
      </w:r>
    </w:p>
    <w:p>
      <w:pPr>
        <w:pStyle w:val="BodyText"/>
        <w:spacing w:before="7"/>
        <w:rPr>
          <w:sz w:val="15"/>
        </w:rPr>
      </w:pPr>
    </w:p>
    <w:p>
      <w:pPr>
        <w:pStyle w:val="BodyText"/>
        <w:spacing w:line="417" w:lineRule="auto"/>
        <w:ind w:left="260" w:right="491" w:firstLine="419"/>
      </w:pPr>
      <w:r>
        <w:rPr>
          <w:spacing w:val="-9"/>
        </w:rPr>
        <w:t>本协议双方当事人经协商一致，可以对协议进行修改。修改后的新协议，其内容不得与</w:t>
      </w:r>
      <w:r>
        <w:rPr>
          <w:spacing w:val="-5"/>
        </w:rPr>
        <w:t>基金合同的规定有任何冲突。基金托管协议的变更报中国证监会备案后生效。</w:t>
      </w:r>
    </w:p>
    <w:p>
      <w:pPr>
        <w:pStyle w:val="BodyText"/>
        <w:spacing w:line="269" w:lineRule="exact"/>
        <w:ind w:left="680"/>
      </w:pPr>
      <w:r>
        <w:rPr/>
        <w:t>（二）基金托管协议终止的情形</w:t>
      </w:r>
    </w:p>
    <w:p>
      <w:pPr>
        <w:pStyle w:val="BodyText"/>
        <w:spacing w:before="7"/>
        <w:rPr>
          <w:sz w:val="15"/>
        </w:rPr>
      </w:pPr>
    </w:p>
    <w:p>
      <w:pPr>
        <w:pStyle w:val="BodyText"/>
        <w:ind w:left="680"/>
      </w:pPr>
      <w:r>
        <w:rPr>
          <w:rFonts w:ascii="Times New Roman" w:eastAsia="Times New Roman"/>
        </w:rPr>
        <w:t>1</w:t>
      </w:r>
      <w:r>
        <w:rPr/>
        <w:t>、基金合同终止。</w:t>
      </w:r>
    </w:p>
    <w:p>
      <w:pPr>
        <w:pStyle w:val="BodyText"/>
        <w:spacing w:before="7"/>
        <w:rPr>
          <w:sz w:val="15"/>
        </w:rPr>
      </w:pPr>
    </w:p>
    <w:p>
      <w:pPr>
        <w:pStyle w:val="BodyText"/>
        <w:ind w:left="680"/>
      </w:pPr>
      <w:r>
        <w:rPr>
          <w:rFonts w:ascii="Times New Roman" w:eastAsia="Times New Roman"/>
        </w:rPr>
        <w:t>2</w:t>
      </w:r>
      <w:r>
        <w:rPr/>
        <w:t>、基金托管人解散、依法被撤销、破产或由其他基金托管人接管基金资产。</w:t>
      </w:r>
    </w:p>
    <w:p>
      <w:pPr>
        <w:pStyle w:val="BodyText"/>
        <w:spacing w:before="7"/>
        <w:rPr>
          <w:sz w:val="15"/>
        </w:rPr>
      </w:pPr>
    </w:p>
    <w:p>
      <w:pPr>
        <w:pStyle w:val="BodyText"/>
        <w:ind w:left="680"/>
      </w:pPr>
      <w:r>
        <w:rPr>
          <w:rFonts w:ascii="Times New Roman" w:eastAsia="Times New Roman"/>
        </w:rPr>
        <w:t>3</w:t>
      </w:r>
      <w:r>
        <w:rPr/>
        <w:t>、基金管理人解散、依法被撤销、破产或由其他基金管理人接管基金管理权。</w:t>
      </w:r>
    </w:p>
    <w:p>
      <w:pPr>
        <w:pStyle w:val="BodyText"/>
        <w:spacing w:before="6"/>
        <w:rPr>
          <w:sz w:val="15"/>
        </w:rPr>
      </w:pPr>
    </w:p>
    <w:p>
      <w:pPr>
        <w:pStyle w:val="BodyText"/>
        <w:spacing w:before="1"/>
        <w:ind w:left="680"/>
      </w:pPr>
      <w:r>
        <w:rPr>
          <w:rFonts w:ascii="Times New Roman" w:eastAsia="Times New Roman"/>
        </w:rPr>
        <w:t>4</w:t>
      </w:r>
      <w:r>
        <w:rPr/>
        <w:t>、发生法律法规、中国证监会或基金合同规定的终止事项。</w:t>
      </w:r>
    </w:p>
    <w:p>
      <w:pPr>
        <w:pStyle w:val="BodyText"/>
        <w:spacing w:before="6"/>
        <w:rPr>
          <w:sz w:val="15"/>
        </w:rPr>
      </w:pPr>
    </w:p>
    <w:p>
      <w:pPr>
        <w:pStyle w:val="BodyText"/>
        <w:ind w:left="680"/>
      </w:pPr>
      <w:r>
        <w:rPr/>
        <w:t>（三）基金财产的清算</w:t>
      </w:r>
    </w:p>
    <w:p>
      <w:pPr>
        <w:pStyle w:val="BodyText"/>
        <w:spacing w:before="7"/>
        <w:rPr>
          <w:sz w:val="15"/>
        </w:rPr>
      </w:pPr>
    </w:p>
    <w:p>
      <w:pPr>
        <w:pStyle w:val="BodyText"/>
        <w:ind w:left="680"/>
      </w:pPr>
      <w:r>
        <w:rPr>
          <w:rFonts w:ascii="Times New Roman" w:eastAsia="Times New Roman"/>
        </w:rPr>
        <w:t>1</w:t>
      </w:r>
      <w:r>
        <w:rPr/>
        <w:t>、基金财产清算小组</w:t>
      </w:r>
    </w:p>
    <w:p>
      <w:pPr>
        <w:pStyle w:val="BodyText"/>
        <w:spacing w:before="7"/>
        <w:rPr>
          <w:sz w:val="15"/>
        </w:rPr>
      </w:pPr>
    </w:p>
    <w:p>
      <w:pPr>
        <w:pStyle w:val="ListParagraph"/>
        <w:numPr>
          <w:ilvl w:val="0"/>
          <w:numId w:val="54"/>
        </w:numPr>
        <w:tabs>
          <w:tab w:pos="1210" w:val="left" w:leader="none"/>
        </w:tabs>
        <w:spacing w:line="417" w:lineRule="auto" w:before="0" w:after="0"/>
        <w:ind w:left="260" w:right="493" w:firstLine="419"/>
        <w:jc w:val="both"/>
        <w:rPr>
          <w:sz w:val="21"/>
        </w:rPr>
      </w:pPr>
      <w:r>
        <w:rPr>
          <w:spacing w:val="-9"/>
          <w:sz w:val="21"/>
        </w:rPr>
        <w:t>自出现《基金合同》终止事由之日起 </w:t>
      </w:r>
      <w:r>
        <w:rPr>
          <w:rFonts w:ascii="Times New Roman" w:eastAsia="Times New Roman"/>
          <w:sz w:val="21"/>
        </w:rPr>
        <w:t>30</w:t>
      </w:r>
      <w:r>
        <w:rPr>
          <w:rFonts w:ascii="Times New Roman" w:eastAsia="Times New Roman"/>
          <w:spacing w:val="17"/>
          <w:sz w:val="21"/>
        </w:rPr>
        <w:t> </w:t>
      </w:r>
      <w:r>
        <w:rPr>
          <w:spacing w:val="-7"/>
          <w:sz w:val="21"/>
        </w:rPr>
        <w:t>个工作日内，成立基金财产清算小组， </w:t>
      </w:r>
      <w:r>
        <w:rPr>
          <w:spacing w:val="-3"/>
          <w:sz w:val="21"/>
        </w:rPr>
        <w:t>基金管理人组织基金财产清算小组并在中国证监会的监督下进行基金清算。</w:t>
      </w:r>
    </w:p>
    <w:p>
      <w:pPr>
        <w:pStyle w:val="ListParagraph"/>
        <w:numPr>
          <w:ilvl w:val="0"/>
          <w:numId w:val="54"/>
        </w:numPr>
        <w:tabs>
          <w:tab w:pos="1210" w:val="left" w:leader="none"/>
        </w:tabs>
        <w:spacing w:line="417" w:lineRule="auto" w:before="0" w:after="0"/>
        <w:ind w:left="260" w:right="491" w:firstLine="419"/>
        <w:jc w:val="both"/>
        <w:rPr>
          <w:sz w:val="21"/>
        </w:rPr>
      </w:pPr>
      <w:r>
        <w:rPr>
          <w:spacing w:val="-3"/>
          <w:sz w:val="21"/>
        </w:rPr>
        <w:t>基金财产清算小组成员由基金管理人、基金托管人、具有从事证券相关业务资格</w:t>
      </w:r>
      <w:r>
        <w:rPr>
          <w:spacing w:val="-11"/>
          <w:sz w:val="21"/>
        </w:rPr>
        <w:t>的注册会计师、律师以及中国证监会指定的人员组成。基金财产清算小组可以聘用必要的工</w:t>
      </w:r>
      <w:r>
        <w:rPr>
          <w:spacing w:val="-7"/>
          <w:sz w:val="21"/>
        </w:rPr>
        <w:t>作人员。</w:t>
      </w:r>
    </w:p>
    <w:p>
      <w:pPr>
        <w:pStyle w:val="ListParagraph"/>
        <w:numPr>
          <w:ilvl w:val="0"/>
          <w:numId w:val="54"/>
        </w:numPr>
        <w:tabs>
          <w:tab w:pos="1210" w:val="left" w:leader="none"/>
        </w:tabs>
        <w:spacing w:line="417" w:lineRule="auto" w:before="0" w:after="0"/>
        <w:ind w:left="260" w:right="494" w:firstLine="419"/>
        <w:jc w:val="left"/>
        <w:rPr>
          <w:sz w:val="21"/>
        </w:rPr>
      </w:pPr>
      <w:r>
        <w:rPr>
          <w:spacing w:val="-3"/>
          <w:sz w:val="21"/>
        </w:rPr>
        <w:t>在基金财产清算过程中，基金管理人和基金托管人应各自履行职责，继续忠实、勤勉、尽责地履行基金合同和本托管协议规定的义务，维护基金份额持有人的合法权益。</w:t>
      </w:r>
    </w:p>
    <w:p>
      <w:pPr>
        <w:pStyle w:val="ListParagraph"/>
        <w:numPr>
          <w:ilvl w:val="0"/>
          <w:numId w:val="54"/>
        </w:numPr>
        <w:tabs>
          <w:tab w:pos="1210" w:val="left" w:leader="none"/>
        </w:tabs>
        <w:spacing w:line="417" w:lineRule="auto" w:before="0" w:after="0"/>
        <w:ind w:left="260" w:right="494" w:firstLine="419"/>
        <w:jc w:val="left"/>
        <w:rPr>
          <w:sz w:val="21"/>
        </w:rPr>
      </w:pPr>
      <w:r>
        <w:rPr>
          <w:spacing w:val="-3"/>
          <w:sz w:val="21"/>
        </w:rPr>
        <w:t>基金财产清算小组负责基金财产的保管、清理、估价、变现和分配。基金财产清算小组可以依法进行必要的民事活动。</w:t>
      </w:r>
    </w:p>
    <w:p>
      <w:pPr>
        <w:pStyle w:val="BodyText"/>
        <w:ind w:left="680"/>
      </w:pPr>
      <w:r>
        <w:rPr>
          <w:rFonts w:ascii="Times New Roman" w:eastAsia="Times New Roman"/>
        </w:rPr>
        <w:t>2</w:t>
      </w:r>
      <w:r>
        <w:rPr/>
        <w:t>、基金财产清算程序</w:t>
      </w:r>
    </w:p>
    <w:p>
      <w:pPr>
        <w:pStyle w:val="BodyText"/>
        <w:spacing w:before="6"/>
        <w:rPr>
          <w:sz w:val="15"/>
        </w:rPr>
      </w:pPr>
    </w:p>
    <w:p>
      <w:pPr>
        <w:pStyle w:val="ListParagraph"/>
        <w:numPr>
          <w:ilvl w:val="0"/>
          <w:numId w:val="55"/>
        </w:numPr>
        <w:tabs>
          <w:tab w:pos="1210" w:val="left" w:leader="none"/>
        </w:tabs>
        <w:spacing w:line="240" w:lineRule="auto" w:before="0" w:after="0"/>
        <w:ind w:left="120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5"/>
        </w:numPr>
        <w:tabs>
          <w:tab w:pos="1210" w:val="left" w:leader="none"/>
        </w:tabs>
        <w:spacing w:line="240" w:lineRule="auto" w:before="0" w:after="0"/>
        <w:ind w:left="120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55"/>
        </w:numPr>
        <w:tabs>
          <w:tab w:pos="1210" w:val="left" w:leader="none"/>
        </w:tabs>
        <w:spacing w:line="240" w:lineRule="auto" w:before="1" w:after="0"/>
        <w:ind w:left="120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55"/>
        </w:numPr>
        <w:tabs>
          <w:tab w:pos="1210" w:val="left" w:leader="none"/>
        </w:tabs>
        <w:spacing w:line="240" w:lineRule="auto" w:before="0" w:after="0"/>
        <w:ind w:left="1209" w:right="0" w:hanging="530"/>
        <w:jc w:val="left"/>
        <w:rPr>
          <w:sz w:val="21"/>
        </w:rPr>
      </w:pPr>
      <w:r>
        <w:rPr>
          <w:spacing w:val="-3"/>
          <w:sz w:val="21"/>
        </w:rPr>
        <w:t>制作清算报告。</w:t>
      </w:r>
    </w:p>
    <w:p>
      <w:pPr>
        <w:pStyle w:val="BodyText"/>
        <w:spacing w:before="7"/>
        <w:rPr>
          <w:sz w:val="15"/>
        </w:rPr>
      </w:pPr>
    </w:p>
    <w:p>
      <w:pPr>
        <w:pStyle w:val="ListParagraph"/>
        <w:numPr>
          <w:ilvl w:val="0"/>
          <w:numId w:val="55"/>
        </w:numPr>
        <w:tabs>
          <w:tab w:pos="1210" w:val="left" w:leader="none"/>
        </w:tabs>
        <w:spacing w:line="417" w:lineRule="auto" w:before="0" w:after="0"/>
        <w:ind w:left="260" w:right="49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5"/>
        </w:numPr>
        <w:tabs>
          <w:tab w:pos="1210" w:val="left" w:leader="none"/>
        </w:tabs>
        <w:spacing w:line="240" w:lineRule="auto" w:before="0" w:after="0"/>
        <w:ind w:left="120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55"/>
        </w:numPr>
        <w:tabs>
          <w:tab w:pos="1210" w:val="left" w:leader="none"/>
        </w:tabs>
        <w:spacing w:line="240" w:lineRule="auto" w:before="0" w:after="0"/>
        <w:ind w:left="1209" w:right="0" w:hanging="530"/>
        <w:jc w:val="left"/>
        <w:rPr>
          <w:sz w:val="21"/>
        </w:rPr>
      </w:pPr>
      <w:r>
        <w:rPr>
          <w:spacing w:val="-3"/>
          <w:sz w:val="21"/>
        </w:rPr>
        <w:t>对基金财产进行分配。</w:t>
      </w:r>
    </w:p>
    <w:p>
      <w:pPr>
        <w:spacing w:after="0" w:line="240" w:lineRule="auto"/>
        <w:jc w:val="left"/>
        <w:rPr>
          <w:sz w:val="21"/>
        </w:rPr>
        <w:sectPr>
          <w:pgSz w:w="11910" w:h="16840"/>
          <w:pgMar w:header="877" w:footer="995" w:top="1420" w:bottom="1180" w:left="1540" w:right="1300"/>
        </w:sectPr>
      </w:pPr>
    </w:p>
    <w:p>
      <w:pPr>
        <w:pStyle w:val="BodyText"/>
        <w:spacing w:before="110"/>
        <w:ind w:left="680"/>
      </w:pPr>
      <w:r>
        <w:rPr/>
        <w:t>基金财产清算的期限为 </w:t>
      </w:r>
      <w:r>
        <w:rPr>
          <w:rFonts w:ascii="Times New Roman" w:eastAsia="Times New Roman"/>
        </w:rPr>
        <w:t>6 </w:t>
      </w:r>
      <w:r>
        <w:rPr/>
        <w:t>个月。</w:t>
      </w:r>
    </w:p>
    <w:p>
      <w:pPr>
        <w:pStyle w:val="BodyText"/>
        <w:spacing w:before="6"/>
        <w:rPr>
          <w:sz w:val="15"/>
        </w:rPr>
      </w:pPr>
    </w:p>
    <w:p>
      <w:pPr>
        <w:pStyle w:val="BodyText"/>
        <w:ind w:left="680"/>
      </w:pPr>
      <w:r>
        <w:rPr>
          <w:rFonts w:ascii="Times New Roman" w:eastAsia="Times New Roman"/>
        </w:rPr>
        <w:t>3</w:t>
      </w:r>
      <w:r>
        <w:rPr/>
        <w:t>、清算费用</w:t>
      </w:r>
    </w:p>
    <w:p>
      <w:pPr>
        <w:pStyle w:val="BodyText"/>
        <w:spacing w:before="7"/>
        <w:rPr>
          <w:sz w:val="15"/>
        </w:rPr>
      </w:pPr>
    </w:p>
    <w:p>
      <w:pPr>
        <w:pStyle w:val="BodyText"/>
        <w:spacing w:line="417" w:lineRule="auto"/>
        <w:ind w:left="260" w:right="49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680"/>
      </w:pPr>
      <w:r>
        <w:rPr>
          <w:rFonts w:ascii="Times New Roman" w:eastAsia="Times New Roman"/>
        </w:rPr>
        <w:t>4</w:t>
      </w:r>
      <w:r>
        <w:rPr/>
        <w:t>、基金财产按下列顺序清偿：</w:t>
      </w:r>
    </w:p>
    <w:p>
      <w:pPr>
        <w:pStyle w:val="BodyText"/>
        <w:spacing w:before="7"/>
        <w:rPr>
          <w:sz w:val="15"/>
        </w:rPr>
      </w:pPr>
    </w:p>
    <w:p>
      <w:pPr>
        <w:pStyle w:val="ListParagraph"/>
        <w:numPr>
          <w:ilvl w:val="0"/>
          <w:numId w:val="56"/>
        </w:numPr>
        <w:tabs>
          <w:tab w:pos="1210" w:val="left" w:leader="none"/>
        </w:tabs>
        <w:spacing w:line="240" w:lineRule="auto" w:before="0" w:after="0"/>
        <w:ind w:left="1209" w:right="0" w:hanging="530"/>
        <w:jc w:val="left"/>
        <w:rPr>
          <w:sz w:val="21"/>
        </w:rPr>
      </w:pPr>
      <w:r>
        <w:rPr>
          <w:spacing w:val="-3"/>
          <w:sz w:val="21"/>
        </w:rPr>
        <w:t>支付清算费用。</w:t>
      </w:r>
    </w:p>
    <w:p>
      <w:pPr>
        <w:pStyle w:val="BodyText"/>
        <w:spacing w:before="7"/>
        <w:rPr>
          <w:sz w:val="15"/>
        </w:rPr>
      </w:pPr>
    </w:p>
    <w:p>
      <w:pPr>
        <w:pStyle w:val="ListParagraph"/>
        <w:numPr>
          <w:ilvl w:val="0"/>
          <w:numId w:val="56"/>
        </w:numPr>
        <w:tabs>
          <w:tab w:pos="1210" w:val="left" w:leader="none"/>
        </w:tabs>
        <w:spacing w:line="240" w:lineRule="auto" w:before="0" w:after="0"/>
        <w:ind w:left="1209" w:right="0" w:hanging="530"/>
        <w:jc w:val="left"/>
        <w:rPr>
          <w:sz w:val="21"/>
        </w:rPr>
      </w:pPr>
      <w:r>
        <w:rPr>
          <w:spacing w:val="-3"/>
          <w:sz w:val="21"/>
        </w:rPr>
        <w:t>交纳所欠税款。</w:t>
      </w:r>
    </w:p>
    <w:p>
      <w:pPr>
        <w:pStyle w:val="BodyText"/>
        <w:spacing w:before="7"/>
        <w:rPr>
          <w:sz w:val="15"/>
        </w:rPr>
      </w:pPr>
    </w:p>
    <w:p>
      <w:pPr>
        <w:pStyle w:val="ListParagraph"/>
        <w:numPr>
          <w:ilvl w:val="0"/>
          <w:numId w:val="56"/>
        </w:numPr>
        <w:tabs>
          <w:tab w:pos="1210" w:val="left" w:leader="none"/>
        </w:tabs>
        <w:spacing w:line="240" w:lineRule="auto" w:before="0" w:after="0"/>
        <w:ind w:left="1209" w:right="0" w:hanging="530"/>
        <w:jc w:val="left"/>
        <w:rPr>
          <w:sz w:val="21"/>
        </w:rPr>
      </w:pPr>
      <w:r>
        <w:rPr>
          <w:spacing w:val="-3"/>
          <w:sz w:val="21"/>
        </w:rPr>
        <w:t>清偿基金债务。</w:t>
      </w:r>
    </w:p>
    <w:p>
      <w:pPr>
        <w:pStyle w:val="BodyText"/>
        <w:spacing w:before="7"/>
        <w:rPr>
          <w:sz w:val="15"/>
        </w:rPr>
      </w:pPr>
    </w:p>
    <w:p>
      <w:pPr>
        <w:pStyle w:val="ListParagraph"/>
        <w:numPr>
          <w:ilvl w:val="0"/>
          <w:numId w:val="56"/>
        </w:numPr>
        <w:tabs>
          <w:tab w:pos="1210" w:val="left" w:leader="none"/>
        </w:tabs>
        <w:spacing w:line="240" w:lineRule="auto" w:before="0" w:after="0"/>
        <w:ind w:left="1209" w:right="0" w:hanging="530"/>
        <w:jc w:val="left"/>
        <w:rPr>
          <w:sz w:val="21"/>
        </w:rPr>
      </w:pPr>
      <w:r>
        <w:rPr>
          <w:spacing w:val="-3"/>
          <w:sz w:val="21"/>
        </w:rPr>
        <w:t>按基金份额持有人持有的基金份额比例进行分配。</w:t>
      </w:r>
    </w:p>
    <w:p>
      <w:pPr>
        <w:pStyle w:val="BodyText"/>
        <w:spacing w:before="6"/>
        <w:rPr>
          <w:sz w:val="15"/>
        </w:rPr>
      </w:pPr>
    </w:p>
    <w:p>
      <w:pPr>
        <w:pStyle w:val="BodyText"/>
        <w:spacing w:before="1"/>
        <w:ind w:left="680"/>
      </w:pPr>
      <w:r>
        <w:rPr/>
        <w:t>基金财产未按前款（</w:t>
      </w:r>
      <w:r>
        <w:rPr>
          <w:rFonts w:ascii="Times New Roman" w:eastAsia="Times New Roman"/>
        </w:rPr>
        <w:t>1</w:t>
      </w:r>
      <w:r>
        <w:rPr/>
        <w:t>）－（</w:t>
      </w:r>
      <w:r>
        <w:rPr>
          <w:rFonts w:ascii="Times New Roman" w:eastAsia="Times New Roman"/>
        </w:rPr>
        <w:t>3</w:t>
      </w:r>
      <w:r>
        <w:rPr/>
        <w:t>）项规定清偿前，不分配给基金份额持有人。</w:t>
      </w:r>
    </w:p>
    <w:p>
      <w:pPr>
        <w:pStyle w:val="BodyText"/>
        <w:spacing w:before="6"/>
        <w:rPr>
          <w:sz w:val="15"/>
        </w:rPr>
      </w:pPr>
    </w:p>
    <w:p>
      <w:pPr>
        <w:pStyle w:val="BodyText"/>
        <w:ind w:left="680"/>
      </w:pPr>
      <w:r>
        <w:rPr>
          <w:rFonts w:ascii="Times New Roman" w:eastAsia="Times New Roman"/>
        </w:rPr>
        <w:t>5</w:t>
      </w:r>
      <w:r>
        <w:rPr/>
        <w:t>、基金财产清算的公告</w:t>
      </w:r>
    </w:p>
    <w:p>
      <w:pPr>
        <w:pStyle w:val="BodyText"/>
        <w:spacing w:before="7"/>
        <w:rPr>
          <w:sz w:val="15"/>
        </w:rPr>
      </w:pPr>
    </w:p>
    <w:p>
      <w:pPr>
        <w:pStyle w:val="BodyText"/>
        <w:spacing w:line="417" w:lineRule="auto"/>
        <w:ind w:left="260" w:right="491" w:firstLine="419"/>
        <w:jc w:val="both"/>
      </w:pPr>
      <w:r>
        <w:rPr>
          <w:spacing w:val="-8"/>
        </w:rPr>
        <w:t>清算过程中的有关重大事项须及时公告；基金财产清算报告经会计师事务所审计，律师</w:t>
      </w:r>
      <w:r>
        <w:rPr>
          <w:spacing w:val="-11"/>
        </w:rPr>
        <w:t>事务所出具法律意见书后，由基金财产清算小组报中国证监会备案并公告。基金财产清算公</w:t>
      </w:r>
      <w:r>
        <w:rPr>
          <w:spacing w:val="-8"/>
        </w:rPr>
        <w:t>告于基金财产清算报告报中国证监会备案后 </w:t>
      </w:r>
      <w:r>
        <w:rPr>
          <w:rFonts w:ascii="Times New Roman" w:eastAsia="Times New Roman"/>
        </w:rPr>
        <w:t>5 </w:t>
      </w:r>
      <w:r>
        <w:rPr>
          <w:spacing w:val="-3"/>
        </w:rPr>
        <w:t>个工作日内由基金财产清算小组进行公告。</w:t>
      </w:r>
    </w:p>
    <w:p>
      <w:pPr>
        <w:pStyle w:val="BodyText"/>
        <w:ind w:left="680"/>
      </w:pPr>
      <w:r>
        <w:rPr>
          <w:rFonts w:ascii="Times New Roman" w:eastAsia="Times New Roman"/>
        </w:rPr>
        <w:t>6</w:t>
      </w:r>
      <w:r>
        <w:rPr/>
        <w:t>、基金财产清算账册及文件的保存</w:t>
      </w:r>
    </w:p>
    <w:p>
      <w:pPr>
        <w:pStyle w:val="BodyText"/>
        <w:spacing w:before="7"/>
        <w:rPr>
          <w:sz w:val="15"/>
        </w:rPr>
      </w:pPr>
    </w:p>
    <w:p>
      <w:pPr>
        <w:pStyle w:val="BodyText"/>
        <w:ind w:left="680"/>
      </w:pPr>
      <w:r>
        <w:rPr/>
        <w:t>基金财产清算账册及有关文件由基金托管人保存</w:t>
      </w:r>
      <w:r>
        <w:rPr>
          <w:rFonts w:ascii="Times New Roman" w:eastAsia="Times New Roman"/>
        </w:rPr>
        <w:t>15</w:t>
      </w:r>
      <w:r>
        <w:rPr/>
        <w:t>年以上。</w:t>
      </w:r>
    </w:p>
    <w:p>
      <w:pPr>
        <w:pStyle w:val="BodyText"/>
        <w:spacing w:before="6"/>
        <w:rPr>
          <w:sz w:val="15"/>
        </w:rPr>
      </w:pPr>
    </w:p>
    <w:p>
      <w:pPr>
        <w:spacing w:before="0"/>
        <w:ind w:left="3570" w:right="0" w:firstLine="0"/>
        <w:jc w:val="left"/>
        <w:rPr>
          <w:b/>
          <w:sz w:val="21"/>
        </w:rPr>
      </w:pPr>
      <w:r>
        <w:rPr>
          <w:b/>
          <w:sz w:val="21"/>
        </w:rPr>
        <w:t>八、争议解决方式</w:t>
      </w:r>
    </w:p>
    <w:p>
      <w:pPr>
        <w:pStyle w:val="BodyText"/>
        <w:spacing w:before="7"/>
        <w:rPr>
          <w:b/>
          <w:sz w:val="15"/>
        </w:rPr>
      </w:pPr>
    </w:p>
    <w:p>
      <w:pPr>
        <w:pStyle w:val="BodyText"/>
        <w:spacing w:line="417" w:lineRule="auto"/>
        <w:ind w:left="260" w:right="388" w:firstLine="419"/>
      </w:pPr>
      <w:r>
        <w:rPr>
          <w:spacing w:val="-8"/>
        </w:rPr>
        <w:t>因本协议产生或与之相关的争议，双方当事人应通过协商、调解解决，协商、调解不能</w:t>
      </w:r>
      <w:r>
        <w:rPr>
          <w:spacing w:val="-12"/>
        </w:rPr>
        <w:t>解决的，任何一方均有权将争议提交北京仲裁委员会，仲裁地点为北京市，按照北京仲裁委</w:t>
      </w:r>
      <w:r>
        <w:rPr>
          <w:spacing w:val="-6"/>
        </w:rPr>
        <w:t>员会届时有效的仲裁规则按普通程序进行仲裁。仲裁裁决是终局的，对当事人均有约束力。</w:t>
      </w:r>
      <w:r>
        <w:rPr>
          <w:spacing w:val="-4"/>
        </w:rPr>
        <w:t>除非仲裁裁决另有规定，仲裁费由败诉方承担。</w:t>
      </w:r>
    </w:p>
    <w:p>
      <w:pPr>
        <w:pStyle w:val="BodyText"/>
        <w:spacing w:line="417" w:lineRule="auto"/>
        <w:ind w:left="260" w:right="491" w:firstLine="419"/>
      </w:pPr>
      <w:r>
        <w:rPr>
          <w:spacing w:val="-19"/>
        </w:rPr>
        <w:t>争议处理期间，双方当事人应恪守基金管理人和基金托管人职责，各自继续忠实、勤勉、</w:t>
      </w:r>
      <w:r>
        <w:rPr>
          <w:spacing w:val="-8"/>
        </w:rPr>
        <w:t>尽责地履行基金合同和本托管协议规定的义务，维护基金份额持有人的合法权益。</w:t>
      </w:r>
    </w:p>
    <w:p>
      <w:pPr>
        <w:pStyle w:val="BodyText"/>
        <w:spacing w:line="269" w:lineRule="exact"/>
        <w:ind w:left="680"/>
      </w:pPr>
      <w:r>
        <w:rPr/>
        <w:t>本协议适用中华人民共和国法律并从其解释。</w:t>
      </w:r>
    </w:p>
    <w:p>
      <w:pPr>
        <w:spacing w:after="0" w:line="269" w:lineRule="exact"/>
        <w:sectPr>
          <w:footerReference w:type="default" r:id="rId158"/>
          <w:pgSz w:w="11910" w:h="16840"/>
          <w:pgMar w:footer="995" w:header="877" w:top="1420" w:bottom="1180" w:left="1540" w:right="1300"/>
        </w:sectPr>
      </w:pPr>
    </w:p>
    <w:p>
      <w:pPr>
        <w:pStyle w:val="BodyText"/>
        <w:spacing w:before="7"/>
        <w:rPr>
          <w:sz w:val="29"/>
        </w:rPr>
      </w:pPr>
    </w:p>
    <w:p>
      <w:pPr>
        <w:pStyle w:val="Heading1"/>
      </w:pPr>
      <w:bookmarkStart w:name="_bookmark20" w:id="21"/>
      <w:bookmarkEnd w:id="21"/>
      <w:r>
        <w:rPr>
          <w:b w:val="0"/>
        </w:rPr>
      </w:r>
      <w:r>
        <w:rPr/>
        <w:t>二十一、对基金份额持有人的服务</w:t>
      </w:r>
    </w:p>
    <w:p>
      <w:pPr>
        <w:pStyle w:val="BodyText"/>
        <w:rPr>
          <w:b/>
          <w:sz w:val="20"/>
        </w:rPr>
      </w:pPr>
    </w:p>
    <w:p>
      <w:pPr>
        <w:pStyle w:val="BodyText"/>
        <w:spacing w:before="2"/>
        <w:rPr>
          <w:b/>
        </w:rPr>
      </w:pPr>
    </w:p>
    <w:p>
      <w:pPr>
        <w:pStyle w:val="BodyText"/>
        <w:ind w:left="680"/>
      </w:pPr>
      <w:r>
        <w:rPr>
          <w:spacing w:val="-3"/>
        </w:rPr>
        <w:t>对本基金份额持有人的服务主要由基金管理人和代销机构提供。</w:t>
      </w:r>
    </w:p>
    <w:p>
      <w:pPr>
        <w:pStyle w:val="BodyText"/>
        <w:spacing w:before="7"/>
        <w:rPr>
          <w:sz w:val="15"/>
        </w:rPr>
      </w:pPr>
    </w:p>
    <w:p>
      <w:pPr>
        <w:pStyle w:val="BodyText"/>
        <w:spacing w:line="417" w:lineRule="auto"/>
        <w:ind w:left="260" w:right="49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680"/>
      </w:pPr>
      <w:r>
        <w:rPr/>
        <w:t>（一）资料发送</w:t>
      </w:r>
    </w:p>
    <w:p>
      <w:pPr>
        <w:pStyle w:val="BodyText"/>
        <w:spacing w:before="7"/>
        <w:rPr>
          <w:sz w:val="15"/>
        </w:rPr>
      </w:pPr>
    </w:p>
    <w:p>
      <w:pPr>
        <w:pStyle w:val="BodyText"/>
        <w:ind w:left="680"/>
      </w:pPr>
      <w:r>
        <w:rPr>
          <w:rFonts w:ascii="Times New Roman" w:eastAsia="Times New Roman"/>
        </w:rPr>
        <w:t>1</w:t>
      </w:r>
      <w:r>
        <w:rPr/>
        <w:t>、基金交易对账单</w:t>
      </w:r>
    </w:p>
    <w:p>
      <w:pPr>
        <w:pStyle w:val="BodyText"/>
        <w:spacing w:before="7"/>
        <w:rPr>
          <w:sz w:val="15"/>
        </w:rPr>
      </w:pPr>
    </w:p>
    <w:p>
      <w:pPr>
        <w:pStyle w:val="BodyText"/>
        <w:spacing w:line="417" w:lineRule="auto"/>
        <w:ind w:left="260" w:right="38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680"/>
      </w:pPr>
      <w:r>
        <w:rPr>
          <w:rFonts w:ascii="Times New Roman" w:eastAsia="Times New Roman"/>
        </w:rPr>
        <w:t>2</w:t>
      </w:r>
      <w:r>
        <w:rPr/>
        <w:t>、其他相关的信息资料</w:t>
      </w:r>
    </w:p>
    <w:p>
      <w:pPr>
        <w:pStyle w:val="BodyText"/>
        <w:spacing w:before="7"/>
        <w:rPr>
          <w:sz w:val="15"/>
        </w:rPr>
      </w:pPr>
    </w:p>
    <w:p>
      <w:pPr>
        <w:pStyle w:val="BodyText"/>
        <w:spacing w:line="417" w:lineRule="auto"/>
        <w:ind w:left="260" w:right="388" w:firstLine="419"/>
      </w:pPr>
      <w:r>
        <w:rPr/>
        <w:t>指随基金交易对账单不定期发送的基金资讯材料，如基金新产品或新服务的相关材料、客户服务问答等。</w:t>
      </w:r>
    </w:p>
    <w:p>
      <w:pPr>
        <w:pStyle w:val="BodyText"/>
        <w:spacing w:line="269" w:lineRule="exact"/>
        <w:ind w:left="680"/>
      </w:pPr>
      <w:r>
        <w:rPr/>
        <w:t>（二）电子交易</w:t>
      </w:r>
    </w:p>
    <w:p>
      <w:pPr>
        <w:pStyle w:val="BodyText"/>
        <w:spacing w:before="7"/>
        <w:rPr>
          <w:sz w:val="15"/>
        </w:rPr>
      </w:pPr>
    </w:p>
    <w:p>
      <w:pPr>
        <w:pStyle w:val="BodyText"/>
        <w:spacing w:line="417" w:lineRule="auto"/>
        <w:ind w:left="260" w:right="38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3">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680"/>
      </w:pPr>
      <w:r>
        <w:rPr/>
        <w:t>（三）电子邮件及短信服务</w:t>
      </w:r>
    </w:p>
    <w:p>
      <w:pPr>
        <w:pStyle w:val="BodyText"/>
        <w:spacing w:before="7"/>
        <w:rPr>
          <w:sz w:val="15"/>
        </w:rPr>
      </w:pPr>
    </w:p>
    <w:p>
      <w:pPr>
        <w:pStyle w:val="BodyText"/>
        <w:spacing w:line="417" w:lineRule="auto"/>
        <w:ind w:left="260" w:right="49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680"/>
      </w:pPr>
      <w:r>
        <w:rPr/>
        <w:t>（四）呼叫中心</w:t>
      </w:r>
    </w:p>
    <w:p>
      <w:pPr>
        <w:pStyle w:val="BodyText"/>
        <w:spacing w:before="6"/>
        <w:rPr>
          <w:sz w:val="15"/>
        </w:rPr>
      </w:pPr>
    </w:p>
    <w:p>
      <w:pPr>
        <w:pStyle w:val="BodyText"/>
        <w:spacing w:before="1"/>
        <w:ind w:left="680"/>
      </w:pPr>
      <w:r>
        <w:rPr>
          <w:rFonts w:ascii="Times New Roman" w:eastAsia="Times New Roman"/>
        </w:rPr>
        <w:t>1</w:t>
      </w:r>
      <w:r>
        <w:rPr/>
        <w:t>、自动语音服务</w:t>
      </w:r>
    </w:p>
    <w:p>
      <w:pPr>
        <w:pStyle w:val="BodyText"/>
        <w:spacing w:before="6"/>
        <w:rPr>
          <w:sz w:val="15"/>
        </w:rPr>
      </w:pPr>
    </w:p>
    <w:p>
      <w:pPr>
        <w:pStyle w:val="BodyText"/>
        <w:spacing w:line="417" w:lineRule="auto"/>
        <w:ind w:left="260" w:right="411" w:firstLine="419"/>
      </w:pPr>
      <w:r>
        <w:rPr/>
        <w:t>提供每周 </w:t>
      </w:r>
      <w:r>
        <w:rPr>
          <w:rFonts w:ascii="Times New Roman" w:eastAsia="Times New Roman"/>
        </w:rPr>
        <w:t>7 </w:t>
      </w:r>
      <w:r>
        <w:rPr/>
        <w:t>天、每天 </w:t>
      </w:r>
      <w:r>
        <w:rPr>
          <w:rFonts w:ascii="Times New Roman" w:eastAsia="Times New Roman"/>
        </w:rPr>
        <w:t>24 </w:t>
      </w:r>
      <w:r>
        <w:rPr/>
        <w:t>小时的自动语音服务，客户可通过电话查询最新热点问题、基金份额净值、基金账户余额等信息。</w:t>
      </w:r>
    </w:p>
    <w:p>
      <w:pPr>
        <w:spacing w:after="0" w:line="417" w:lineRule="auto"/>
        <w:sectPr>
          <w:footerReference w:type="default" r:id="rId159"/>
          <w:pgSz w:w="11910" w:h="16840"/>
          <w:pgMar w:footer="995" w:header="877" w:top="1420" w:bottom="1180" w:left="1540" w:right="1300"/>
          <w:pgNumType w:start="151"/>
        </w:sectPr>
      </w:pPr>
    </w:p>
    <w:p>
      <w:pPr>
        <w:pStyle w:val="BodyText"/>
        <w:spacing w:before="110"/>
        <w:ind w:left="680"/>
      </w:pPr>
      <w:r>
        <w:rPr>
          <w:rFonts w:ascii="Times New Roman" w:eastAsia="Times New Roman"/>
        </w:rPr>
        <w:t>2</w:t>
      </w:r>
      <w:r>
        <w:rPr/>
        <w:t>、人工电话服务</w:t>
      </w:r>
    </w:p>
    <w:p>
      <w:pPr>
        <w:pStyle w:val="BodyText"/>
        <w:spacing w:before="6"/>
        <w:rPr>
          <w:sz w:val="15"/>
        </w:rPr>
      </w:pPr>
    </w:p>
    <w:p>
      <w:pPr>
        <w:pStyle w:val="BodyText"/>
        <w:spacing w:line="417" w:lineRule="auto"/>
        <w:ind w:left="260" w:right="432" w:firstLine="419"/>
      </w:pPr>
      <w:r>
        <w:rPr/>
        <w:t>提供每周 </w:t>
      </w:r>
      <w:r>
        <w:rPr>
          <w:rFonts w:ascii="Times New Roman" w:eastAsia="Times New Roman"/>
        </w:rPr>
        <w:t>7 </w:t>
      </w:r>
      <w:r>
        <w:rPr/>
        <w:t>天的人工服务。周一至周五的人工电话服务时间为 </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 </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680" w:right="568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spacing w:line="269" w:lineRule="exact"/>
        <w:ind w:left="680"/>
      </w:pPr>
      <w:r>
        <w:rPr/>
        <w:t>（五）在线服务</w:t>
      </w:r>
    </w:p>
    <w:p>
      <w:pPr>
        <w:pStyle w:val="BodyText"/>
        <w:spacing w:before="7"/>
        <w:rPr>
          <w:sz w:val="15"/>
        </w:rPr>
      </w:pPr>
    </w:p>
    <w:p>
      <w:pPr>
        <w:pStyle w:val="BodyText"/>
        <w:ind w:left="680"/>
      </w:pPr>
      <w:r>
        <w:rPr/>
        <w:t>投资者可通过本公司网站、</w:t>
      </w:r>
      <w:r>
        <w:rPr>
          <w:rFonts w:ascii="Times New Roman" w:eastAsia="Times New Roman"/>
        </w:rPr>
        <w:t>APP</w:t>
      </w:r>
      <w:r>
        <w:rPr/>
        <w:t>、微信公众号、微官网等渠道获得在线服务。</w:t>
      </w:r>
    </w:p>
    <w:p>
      <w:pPr>
        <w:pStyle w:val="BodyText"/>
        <w:spacing w:before="7"/>
        <w:rPr>
          <w:sz w:val="15"/>
        </w:rPr>
      </w:pPr>
    </w:p>
    <w:p>
      <w:pPr>
        <w:pStyle w:val="BodyText"/>
        <w:ind w:left="680"/>
      </w:pPr>
      <w:r>
        <w:rPr>
          <w:rFonts w:ascii="Times New Roman" w:eastAsia="Times New Roman"/>
        </w:rPr>
        <w:t>1</w:t>
      </w:r>
      <w:r>
        <w:rPr/>
        <w:t>、查询服务</w:t>
      </w:r>
    </w:p>
    <w:p>
      <w:pPr>
        <w:pStyle w:val="BodyText"/>
        <w:spacing w:before="7"/>
        <w:rPr>
          <w:sz w:val="15"/>
        </w:rPr>
      </w:pPr>
    </w:p>
    <w:p>
      <w:pPr>
        <w:pStyle w:val="BodyText"/>
        <w:ind w:left="680"/>
      </w:pPr>
      <w:r>
        <w:rPr>
          <w:spacing w:val="-9"/>
          <w:w w:val="100"/>
        </w:rPr>
        <w:t>投资者可登录本公司网站“基金账户查询”，查询基金账户情况、更改个人信息。</w:t>
      </w:r>
    </w:p>
    <w:p>
      <w:pPr>
        <w:pStyle w:val="BodyText"/>
        <w:spacing w:before="7"/>
        <w:rPr>
          <w:sz w:val="15"/>
        </w:rPr>
      </w:pPr>
    </w:p>
    <w:p>
      <w:pPr>
        <w:pStyle w:val="BodyText"/>
        <w:ind w:left="680"/>
      </w:pPr>
      <w:r>
        <w:rPr>
          <w:rFonts w:ascii="Times New Roman" w:eastAsia="Times New Roman"/>
        </w:rPr>
        <w:t>2</w:t>
      </w:r>
      <w:r>
        <w:rPr/>
        <w:t>、自助服务</w:t>
      </w:r>
    </w:p>
    <w:p>
      <w:pPr>
        <w:pStyle w:val="BodyText"/>
        <w:spacing w:before="6"/>
        <w:rPr>
          <w:sz w:val="15"/>
        </w:rPr>
      </w:pPr>
    </w:p>
    <w:p>
      <w:pPr>
        <w:pStyle w:val="BodyText"/>
        <w:spacing w:line="417" w:lineRule="auto"/>
        <w:ind w:left="260" w:right="411" w:firstLine="419"/>
      </w:pPr>
      <w:r>
        <w:rPr/>
        <w:t>在线客服提供每周 </w:t>
      </w:r>
      <w:r>
        <w:rPr>
          <w:rFonts w:ascii="Times New Roman" w:eastAsia="Times New Roman"/>
        </w:rPr>
        <w:t>7 </w:t>
      </w:r>
      <w:r>
        <w:rPr/>
        <w:t>天、每天 </w:t>
      </w:r>
      <w:r>
        <w:rPr>
          <w:rFonts w:ascii="Times New Roman" w:eastAsia="Times New Roman"/>
        </w:rPr>
        <w:t>24 </w:t>
      </w:r>
      <w:r>
        <w:rPr/>
        <w:t>小时的自助服务，投资者可通过在线客服查询最新热点问题、业务规则、基金份额净值等信息。</w:t>
      </w:r>
    </w:p>
    <w:p>
      <w:pPr>
        <w:pStyle w:val="BodyText"/>
        <w:spacing w:line="269" w:lineRule="exact"/>
        <w:ind w:left="680"/>
      </w:pPr>
      <w:r>
        <w:rPr>
          <w:rFonts w:ascii="Times New Roman" w:eastAsia="Times New Roman"/>
        </w:rPr>
        <w:t>3</w:t>
      </w:r>
      <w:r>
        <w:rPr/>
        <w:t>、人工服务</w:t>
      </w:r>
    </w:p>
    <w:p>
      <w:pPr>
        <w:pStyle w:val="BodyText"/>
        <w:spacing w:before="7"/>
        <w:rPr>
          <w:sz w:val="15"/>
        </w:rPr>
      </w:pPr>
    </w:p>
    <w:p>
      <w:pPr>
        <w:pStyle w:val="BodyText"/>
        <w:spacing w:line="417" w:lineRule="auto"/>
        <w:ind w:left="260" w:right="493" w:firstLine="419"/>
      </w:pPr>
      <w:r>
        <w:rPr/>
        <w:t>周一至周五的在线客服人工服务时间为 </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，周六至周日的在线客服人工服务时间为 </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ind w:left="680"/>
      </w:pPr>
      <w:r>
        <w:rPr>
          <w:rFonts w:ascii="Times New Roman" w:eastAsia="Times New Roman"/>
        </w:rPr>
        <w:t>4</w:t>
      </w:r>
      <w:r>
        <w:rPr/>
        <w:t>、资讯服务</w:t>
      </w:r>
    </w:p>
    <w:p>
      <w:pPr>
        <w:pStyle w:val="BodyText"/>
        <w:spacing w:before="7"/>
        <w:rPr>
          <w:sz w:val="15"/>
        </w:rPr>
      </w:pPr>
    </w:p>
    <w:p>
      <w:pPr>
        <w:pStyle w:val="BodyText"/>
        <w:spacing w:line="417" w:lineRule="auto"/>
        <w:ind w:left="260" w:right="49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680"/>
        <w:rPr>
          <w:rFonts w:ascii="Times New Roman" w:eastAsia="Times New Roman"/>
        </w:rPr>
      </w:pPr>
      <w:r>
        <w:rPr/>
        <w:t>公司网址：</w:t>
      </w:r>
      <w:hyperlink r:id="rId160">
        <w:r>
          <w:rPr>
            <w:rFonts w:ascii="Times New Roman" w:eastAsia="Times New Roman"/>
          </w:rPr>
          <w:t>www.ChinaAMC.com</w:t>
        </w:r>
      </w:hyperlink>
    </w:p>
    <w:p>
      <w:pPr>
        <w:pStyle w:val="BodyText"/>
        <w:spacing w:before="3"/>
        <w:rPr>
          <w:rFonts w:ascii="Times New Roman"/>
          <w:sz w:val="17"/>
        </w:rPr>
      </w:pPr>
    </w:p>
    <w:p>
      <w:pPr>
        <w:pStyle w:val="BodyText"/>
        <w:ind w:left="680"/>
        <w:rPr>
          <w:rFonts w:ascii="Times New Roman" w:eastAsia="Times New Roman"/>
        </w:rPr>
      </w:pPr>
      <w:r>
        <w:rPr/>
        <w:t>电子信箱：</w:t>
      </w:r>
      <w:hyperlink r:id="rId161">
        <w:r>
          <w:rPr>
            <w:rFonts w:ascii="Times New Roman" w:eastAsia="Times New Roman"/>
          </w:rPr>
          <w:t>service@ChinaAMC.com</w:t>
        </w:r>
      </w:hyperlink>
    </w:p>
    <w:p>
      <w:pPr>
        <w:pStyle w:val="BodyText"/>
        <w:spacing w:before="4"/>
        <w:rPr>
          <w:rFonts w:ascii="Times New Roman"/>
          <w:sz w:val="17"/>
        </w:rPr>
      </w:pPr>
    </w:p>
    <w:p>
      <w:pPr>
        <w:pStyle w:val="BodyText"/>
        <w:ind w:left="680"/>
      </w:pPr>
      <w:r>
        <w:rPr/>
        <w:t>（六）客户投诉和建议处理</w:t>
      </w:r>
    </w:p>
    <w:p>
      <w:pPr>
        <w:pStyle w:val="BodyText"/>
        <w:spacing w:before="7"/>
        <w:rPr>
          <w:sz w:val="15"/>
        </w:rPr>
      </w:pPr>
    </w:p>
    <w:p>
      <w:pPr>
        <w:pStyle w:val="BodyText"/>
        <w:spacing w:line="417" w:lineRule="auto"/>
        <w:ind w:left="260" w:right="49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spacing w:after="0" w:line="417" w:lineRule="auto"/>
        <w:jc w:val="both"/>
        <w:sectPr>
          <w:pgSz w:w="11910" w:h="16840"/>
          <w:pgMar w:header="877" w:footer="995" w:top="1420" w:bottom="1180" w:left="1540" w:right="1300"/>
        </w:sectPr>
      </w:pPr>
    </w:p>
    <w:p>
      <w:pPr>
        <w:pStyle w:val="BodyText"/>
        <w:rPr>
          <w:sz w:val="20"/>
        </w:rPr>
      </w:pPr>
    </w:p>
    <w:p>
      <w:pPr>
        <w:pStyle w:val="BodyText"/>
        <w:spacing w:before="8"/>
        <w:rPr>
          <w:sz w:val="16"/>
        </w:rPr>
      </w:pPr>
    </w:p>
    <w:p>
      <w:pPr>
        <w:pStyle w:val="Heading1"/>
        <w:spacing w:before="0"/>
        <w:ind w:left="10"/>
      </w:pPr>
      <w:bookmarkStart w:name="_bookmark21" w:id="22"/>
      <w:bookmarkEnd w:id="22"/>
      <w:r>
        <w:rPr>
          <w:b w:val="0"/>
        </w:rPr>
      </w:r>
      <w:r>
        <w:rPr/>
        <w:t>二十二、其他应披露事项</w:t>
      </w:r>
    </w:p>
    <w:p>
      <w:pPr>
        <w:pStyle w:val="BodyText"/>
        <w:rPr>
          <w:b/>
          <w:sz w:val="20"/>
        </w:rPr>
      </w:pPr>
    </w:p>
    <w:p>
      <w:pPr>
        <w:pStyle w:val="BodyText"/>
        <w:spacing w:before="8"/>
        <w:rPr>
          <w:b/>
          <w:sz w:val="23"/>
        </w:rPr>
      </w:pPr>
    </w:p>
    <w:p>
      <w:pPr>
        <w:pStyle w:val="BodyText"/>
        <w:spacing w:line="417" w:lineRule="auto"/>
        <w:ind w:left="260" w:right="437" w:firstLine="419"/>
      </w:pPr>
      <w:r>
        <w:rPr/>
        <w:t>（一）</w:t>
      </w:r>
      <w:r>
        <w:rPr>
          <w:rFonts w:ascii="Times New Roman" w:eastAsia="Times New Roman"/>
        </w:rPr>
        <w:t>2020 </w:t>
      </w:r>
      <w:r>
        <w:rPr/>
        <w:t>年 </w:t>
      </w:r>
      <w:r>
        <w:rPr>
          <w:rFonts w:ascii="Times New Roman" w:eastAsia="Times New Roman"/>
        </w:rPr>
        <w:t>10 </w:t>
      </w:r>
      <w:r>
        <w:rPr/>
        <w:t>月 </w:t>
      </w:r>
      <w:r>
        <w:rPr>
          <w:rFonts w:ascii="Times New Roman" w:eastAsia="Times New Roman"/>
        </w:rPr>
        <w:t>13 </w:t>
      </w:r>
      <w:r>
        <w:rPr/>
        <w:t>日发布华夏基金管理有限公司关于修订旗下部分公募基金基金合同的公告。</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pPr>
      <w:bookmarkStart w:name="_bookmark22" w:id="23"/>
      <w:bookmarkEnd w:id="23"/>
      <w:r>
        <w:rPr>
          <w:b w:val="0"/>
        </w:rPr>
      </w:r>
      <w:r>
        <w:rPr/>
        <w:t>二十三、招募说明书存放及查阅方式</w:t>
      </w:r>
    </w:p>
    <w:p>
      <w:pPr>
        <w:pStyle w:val="BodyText"/>
        <w:rPr>
          <w:b/>
          <w:sz w:val="20"/>
        </w:rPr>
      </w:pPr>
    </w:p>
    <w:p>
      <w:pPr>
        <w:pStyle w:val="BodyText"/>
        <w:spacing w:before="2"/>
        <w:rPr>
          <w:b/>
        </w:rPr>
      </w:pPr>
    </w:p>
    <w:p>
      <w:pPr>
        <w:pStyle w:val="BodyText"/>
        <w:spacing w:line="417" w:lineRule="auto"/>
        <w:ind w:left="260" w:right="49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spacing w:after="0" w:line="417" w:lineRule="auto"/>
        <w:sectPr>
          <w:pgSz w:w="11910" w:h="16840"/>
          <w:pgMar w:header="877" w:footer="995" w:top="1420" w:bottom="1180" w:left="1540" w:right="1300"/>
        </w:sectPr>
      </w:pPr>
    </w:p>
    <w:p>
      <w:pPr>
        <w:pStyle w:val="BodyText"/>
        <w:spacing w:before="7"/>
        <w:rPr>
          <w:sz w:val="29"/>
        </w:rPr>
      </w:pPr>
    </w:p>
    <w:p>
      <w:pPr>
        <w:pStyle w:val="Heading1"/>
      </w:pPr>
      <w:bookmarkStart w:name="_bookmark23" w:id="24"/>
      <w:bookmarkEnd w:id="24"/>
      <w:r>
        <w:rPr>
          <w:b w:val="0"/>
        </w:rPr>
      </w:r>
      <w:r>
        <w:rPr/>
        <w:t>二十四、备查文件</w:t>
      </w:r>
    </w:p>
    <w:p>
      <w:pPr>
        <w:pStyle w:val="BodyText"/>
        <w:rPr>
          <w:b/>
          <w:sz w:val="20"/>
        </w:rPr>
      </w:pPr>
    </w:p>
    <w:p>
      <w:pPr>
        <w:pStyle w:val="BodyText"/>
        <w:spacing w:before="8"/>
        <w:rPr>
          <w:b/>
          <w:sz w:val="15"/>
        </w:rPr>
      </w:pPr>
    </w:p>
    <w:p>
      <w:pPr>
        <w:pStyle w:val="BodyText"/>
        <w:spacing w:before="71"/>
        <w:ind w:left="680"/>
      </w:pPr>
      <w:r>
        <w:rPr/>
        <w:t>（一）备查文件目录</w:t>
      </w:r>
    </w:p>
    <w:p>
      <w:pPr>
        <w:pStyle w:val="BodyText"/>
        <w:spacing w:before="7"/>
        <w:rPr>
          <w:sz w:val="15"/>
        </w:rPr>
      </w:pPr>
    </w:p>
    <w:p>
      <w:pPr>
        <w:pStyle w:val="BodyText"/>
        <w:ind w:left="680"/>
      </w:pPr>
      <w:r>
        <w:rPr>
          <w:rFonts w:ascii="Times New Roman" w:eastAsia="Times New Roman"/>
        </w:rPr>
        <w:t>1</w:t>
      </w:r>
      <w:r>
        <w:rPr/>
        <w:t>、中国证监会准予华夏优势精选股票型证券投资基金注册的批复。</w:t>
      </w:r>
    </w:p>
    <w:p>
      <w:pPr>
        <w:pStyle w:val="BodyText"/>
        <w:spacing w:before="7"/>
        <w:rPr>
          <w:sz w:val="15"/>
        </w:rPr>
      </w:pPr>
    </w:p>
    <w:p>
      <w:pPr>
        <w:pStyle w:val="BodyText"/>
        <w:ind w:left="680"/>
      </w:pPr>
      <w:r>
        <w:rPr>
          <w:rFonts w:ascii="Times New Roman" w:eastAsia="Times New Roman"/>
        </w:rPr>
        <w:t>2</w:t>
      </w:r>
      <w:r>
        <w:rPr>
          <w:spacing w:val="-17"/>
        </w:rPr>
        <w:t>、《华夏优势精选股票型证券投资基金基金合同》。</w:t>
      </w:r>
    </w:p>
    <w:p>
      <w:pPr>
        <w:pStyle w:val="BodyText"/>
        <w:spacing w:before="6"/>
        <w:rPr>
          <w:sz w:val="15"/>
        </w:rPr>
      </w:pPr>
    </w:p>
    <w:p>
      <w:pPr>
        <w:pStyle w:val="BodyText"/>
        <w:ind w:left="680"/>
      </w:pPr>
      <w:r>
        <w:rPr>
          <w:rFonts w:ascii="Times New Roman" w:eastAsia="Times New Roman"/>
        </w:rPr>
        <w:t>3</w:t>
      </w:r>
      <w:r>
        <w:rPr>
          <w:spacing w:val="-17"/>
        </w:rPr>
        <w:t>、《华夏优势精选股票型证券投资基金托管协议》。</w:t>
      </w:r>
    </w:p>
    <w:p>
      <w:pPr>
        <w:pStyle w:val="BodyText"/>
        <w:spacing w:before="7"/>
        <w:rPr>
          <w:sz w:val="15"/>
        </w:rPr>
      </w:pPr>
    </w:p>
    <w:p>
      <w:pPr>
        <w:pStyle w:val="BodyText"/>
        <w:ind w:left="680"/>
      </w:pPr>
      <w:r>
        <w:rPr>
          <w:rFonts w:ascii="Times New Roman" w:eastAsia="Times New Roman"/>
        </w:rPr>
        <w:t>4</w:t>
      </w:r>
      <w:r>
        <w:rPr/>
        <w:t>、法律意见书。</w:t>
      </w:r>
    </w:p>
    <w:p>
      <w:pPr>
        <w:pStyle w:val="BodyText"/>
        <w:spacing w:before="7"/>
        <w:rPr>
          <w:sz w:val="15"/>
        </w:rPr>
      </w:pPr>
    </w:p>
    <w:p>
      <w:pPr>
        <w:pStyle w:val="BodyText"/>
        <w:spacing w:before="1"/>
        <w:ind w:left="680"/>
      </w:pPr>
      <w:r>
        <w:rPr>
          <w:rFonts w:ascii="Times New Roman" w:eastAsia="Times New Roman"/>
        </w:rPr>
        <w:t>5</w:t>
      </w:r>
      <w:r>
        <w:rPr>
          <w:spacing w:val="-3"/>
        </w:rPr>
        <w:t>、基金管理人业务资格批件、营业执照。</w:t>
      </w:r>
    </w:p>
    <w:p>
      <w:pPr>
        <w:pStyle w:val="BodyText"/>
        <w:spacing w:before="6"/>
        <w:rPr>
          <w:sz w:val="15"/>
        </w:rPr>
      </w:pPr>
    </w:p>
    <w:p>
      <w:pPr>
        <w:pStyle w:val="BodyText"/>
        <w:ind w:left="680"/>
      </w:pPr>
      <w:r>
        <w:rPr>
          <w:rFonts w:ascii="Times New Roman" w:eastAsia="Times New Roman"/>
        </w:rPr>
        <w:t>6</w:t>
      </w:r>
      <w:r>
        <w:rPr>
          <w:spacing w:val="-3"/>
        </w:rPr>
        <w:t>、基金托管人业务资格批件、营业执照。</w:t>
      </w:r>
    </w:p>
    <w:p>
      <w:pPr>
        <w:pStyle w:val="BodyText"/>
        <w:spacing w:before="7"/>
        <w:rPr>
          <w:sz w:val="15"/>
        </w:rPr>
      </w:pPr>
    </w:p>
    <w:p>
      <w:pPr>
        <w:pStyle w:val="BodyText"/>
        <w:ind w:left="680"/>
      </w:pPr>
      <w:r>
        <w:rPr/>
        <w:t>（二）存放地点</w:t>
      </w:r>
    </w:p>
    <w:p>
      <w:pPr>
        <w:pStyle w:val="BodyText"/>
        <w:spacing w:before="7"/>
        <w:rPr>
          <w:sz w:val="15"/>
        </w:rPr>
      </w:pPr>
    </w:p>
    <w:p>
      <w:pPr>
        <w:pStyle w:val="BodyText"/>
        <w:ind w:left="680"/>
      </w:pPr>
      <w:r>
        <w:rPr/>
        <w:t>备查文件存放于基金管理人和</w:t>
      </w:r>
      <w:r>
        <w:rPr>
          <w:rFonts w:ascii="Times New Roman" w:eastAsia="Times New Roman"/>
        </w:rPr>
        <w:t>/</w:t>
      </w:r>
      <w:r>
        <w:rPr/>
        <w:t>或基金托管人处。</w:t>
      </w:r>
    </w:p>
    <w:p>
      <w:pPr>
        <w:pStyle w:val="BodyText"/>
        <w:spacing w:before="6"/>
        <w:rPr>
          <w:sz w:val="15"/>
        </w:rPr>
      </w:pPr>
    </w:p>
    <w:p>
      <w:pPr>
        <w:pStyle w:val="BodyText"/>
        <w:spacing w:before="1"/>
        <w:ind w:left="680"/>
      </w:pPr>
      <w:r>
        <w:rPr/>
        <w:t>（三）查阅方式</w:t>
      </w:r>
    </w:p>
    <w:p>
      <w:pPr>
        <w:pStyle w:val="BodyText"/>
        <w:spacing w:before="6"/>
        <w:rPr>
          <w:sz w:val="15"/>
        </w:rPr>
      </w:pPr>
    </w:p>
    <w:p>
      <w:pPr>
        <w:pStyle w:val="BodyText"/>
        <w:spacing w:line="417" w:lineRule="auto"/>
        <w:ind w:left="260" w:right="49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spacing w:line="417" w:lineRule="auto" w:before="168"/>
        <w:ind w:left="6467" w:right="493"/>
        <w:jc w:val="right"/>
      </w:pPr>
      <w:r>
        <w:rPr/>
        <w:t>华夏基金管理有限公司二〇二〇年十月十四日</w:t>
      </w:r>
    </w:p>
    <w:sectPr>
      <w:pgSz w:w="11910" w:h="16840"/>
      <w:pgMar w:header="877" w:footer="995" w:top="1420" w:bottom="1180" w:left="15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等线">
    <w:altName w:val="等线"/>
    <w:charset w:val="86"/>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9086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599075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9065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905536"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9045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903488"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9024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59901440"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599004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910656"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88.369995pt;margin-top:42.865608pt;width:218pt;height:11pt;mso-position-horizontal-relative:page;mso-position-vertical-relative:page;z-index:-259909632" type="#_x0000_t202" filled="false" stroked="false">
          <v:textbox inset="0,0,0,0">
            <w:txbxContent>
              <w:p>
                <w:pPr>
                  <w:spacing w:line="220" w:lineRule="exact" w:before="0"/>
                  <w:ind w:left="20" w:right="0" w:firstLine="0"/>
                  <w:jc w:val="left"/>
                  <w:rPr>
                    <w:sz w:val="18"/>
                  </w:rPr>
                </w:pPr>
                <w:r>
                  <w:rPr>
                    <w:sz w:val="18"/>
                  </w:rPr>
                  <w:t>华夏优势精选股票型证券投资基金招募说明书（更新）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7">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55">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54">
    <w:multiLevelType w:val="hybridMultilevel"/>
    <w:lvl w:ilvl="0">
      <w:start w:val="1"/>
      <w:numFmt w:val="decimal"/>
      <w:lvlText w:val="（%1）"/>
      <w:lvlJc w:val="left"/>
      <w:pPr>
        <w:ind w:left="12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53">
    <w:multiLevelType w:val="hybridMultilevel"/>
    <w:lvl w:ilvl="0">
      <w:start w:val="1"/>
      <w:numFmt w:val="decimal"/>
      <w:lvlText w:val="（%1）"/>
      <w:lvlJc w:val="left"/>
      <w:pPr>
        <w:ind w:left="260" w:hanging="529"/>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52">
    <w:multiLevelType w:val="hybridMultilevel"/>
    <w:lvl w:ilvl="0">
      <w:start w:val="1"/>
      <w:numFmt w:val="decimal"/>
      <w:lvlText w:val="（%1）"/>
      <w:lvlJc w:val="left"/>
      <w:pPr>
        <w:ind w:left="1209"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51">
    <w:multiLevelType w:val="hybridMultilevel"/>
    <w:lvl w:ilvl="0">
      <w:start w:val="1"/>
      <w:numFmt w:val="decimal"/>
      <w:lvlText w:val="（%1）"/>
      <w:lvlJc w:val="left"/>
      <w:pPr>
        <w:ind w:left="12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9">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8">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47">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46">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5">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4">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3">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2">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1">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0">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9">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8">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37">
    <w:multiLevelType w:val="hybridMultilevel"/>
    <w:lvl w:ilvl="0">
      <w:start w:val="1"/>
      <w:numFmt w:val="decimal"/>
      <w:lvlText w:val="（%1）"/>
      <w:lvlJc w:val="left"/>
      <w:pPr>
        <w:ind w:left="120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36">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35">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34">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33">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32">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31">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30">
    <w:multiLevelType w:val="hybridMultilevel"/>
    <w:lvl w:ilvl="0">
      <w:start w:val="1"/>
      <w:numFmt w:val="decimal"/>
      <w:lvlText w:val="（%1）"/>
      <w:lvlJc w:val="left"/>
      <w:pPr>
        <w:ind w:left="26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9">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8">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26">
    <w:multiLevelType w:val="hybridMultilevel"/>
    <w:lvl w:ilvl="0">
      <w:start w:val="1"/>
      <w:numFmt w:val="decimal"/>
      <w:lvlText w:val="（%1）"/>
      <w:lvlJc w:val="left"/>
      <w:pPr>
        <w:ind w:left="26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5">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4">
    <w:multiLevelType w:val="hybridMultilevel"/>
    <w:lvl w:ilvl="0">
      <w:start w:val="1"/>
      <w:numFmt w:val="decimal"/>
      <w:lvlText w:val="（%1）"/>
      <w:lvlJc w:val="left"/>
      <w:pPr>
        <w:ind w:left="26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3">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2">
    <w:multiLevelType w:val="hybridMultilevel"/>
    <w:lvl w:ilvl="0">
      <w:start w:val="5"/>
      <w:numFmt w:val="decimal"/>
      <w:lvlText w:val="%1"/>
      <w:lvlJc w:val="left"/>
      <w:pPr>
        <w:ind w:left="656" w:hanging="396"/>
        <w:jc w:val="left"/>
      </w:pPr>
      <w:rPr>
        <w:rFonts w:hint="default"/>
        <w:lang w:val="zh-CN" w:eastAsia="zh-CN" w:bidi="zh-CN"/>
      </w:rPr>
    </w:lvl>
    <w:lvl w:ilvl="1">
      <w:start w:val="1"/>
      <w:numFmt w:val="decimal"/>
      <w:lvlText w:val="%1.%2"/>
      <w:lvlJc w:val="left"/>
      <w:pPr>
        <w:ind w:left="656" w:hanging="396"/>
        <w:jc w:val="left"/>
      </w:pPr>
      <w:rPr>
        <w:rFonts w:hint="default"/>
        <w:spacing w:val="-1"/>
        <w:w w:val="100"/>
        <w:lang w:val="zh-CN" w:eastAsia="zh-CN" w:bidi="zh-CN"/>
      </w:rPr>
    </w:lvl>
    <w:lvl w:ilvl="2">
      <w:start w:val="1"/>
      <w:numFmt w:val="decimal"/>
      <w:lvlText w:val="%1.%2.%3"/>
      <w:lvlJc w:val="left"/>
      <w:pPr>
        <w:ind w:left="78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26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900" w:hanging="529"/>
      </w:pPr>
      <w:rPr>
        <w:rFonts w:hint="default"/>
        <w:lang w:val="zh-CN" w:eastAsia="zh-CN" w:bidi="zh-CN"/>
      </w:rPr>
    </w:lvl>
    <w:lvl w:ilvl="5">
      <w:start w:val="0"/>
      <w:numFmt w:val="bullet"/>
      <w:lvlText w:val="•"/>
      <w:lvlJc w:val="left"/>
      <w:pPr>
        <w:ind w:left="2261" w:hanging="529"/>
      </w:pPr>
      <w:rPr>
        <w:rFonts w:hint="default"/>
        <w:lang w:val="zh-CN" w:eastAsia="zh-CN" w:bidi="zh-CN"/>
      </w:rPr>
    </w:lvl>
    <w:lvl w:ilvl="6">
      <w:start w:val="0"/>
      <w:numFmt w:val="bullet"/>
      <w:lvlText w:val="•"/>
      <w:lvlJc w:val="left"/>
      <w:pPr>
        <w:ind w:left="3622" w:hanging="529"/>
      </w:pPr>
      <w:rPr>
        <w:rFonts w:hint="default"/>
        <w:lang w:val="zh-CN" w:eastAsia="zh-CN" w:bidi="zh-CN"/>
      </w:rPr>
    </w:lvl>
    <w:lvl w:ilvl="7">
      <w:start w:val="0"/>
      <w:numFmt w:val="bullet"/>
      <w:lvlText w:val="•"/>
      <w:lvlJc w:val="left"/>
      <w:pPr>
        <w:ind w:left="4983" w:hanging="529"/>
      </w:pPr>
      <w:rPr>
        <w:rFonts w:hint="default"/>
        <w:lang w:val="zh-CN" w:eastAsia="zh-CN" w:bidi="zh-CN"/>
      </w:rPr>
    </w:lvl>
    <w:lvl w:ilvl="8">
      <w:start w:val="0"/>
      <w:numFmt w:val="bullet"/>
      <w:lvlText w:val="•"/>
      <w:lvlJc w:val="left"/>
      <w:pPr>
        <w:ind w:left="6344" w:hanging="529"/>
      </w:pPr>
      <w:rPr>
        <w:rFonts w:hint="default"/>
        <w:lang w:val="zh-CN" w:eastAsia="zh-CN" w:bidi="zh-CN"/>
      </w:rPr>
    </w:lvl>
  </w:abstractNum>
  <w:abstractNum w:abstractNumId="21">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20">
    <w:multiLevelType w:val="hybridMultilevel"/>
    <w:lvl w:ilvl="0">
      <w:start w:val="1"/>
      <w:numFmt w:val="decimal"/>
      <w:lvlText w:val="（%1）"/>
      <w:lvlJc w:val="left"/>
      <w:pPr>
        <w:ind w:left="260"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9">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18">
    <w:multiLevelType w:val="hybridMultilevel"/>
    <w:lvl w:ilvl="0">
      <w:start w:val="1"/>
      <w:numFmt w:val="decimal"/>
      <w:lvlText w:val="（%1）"/>
      <w:lvlJc w:val="left"/>
      <w:pPr>
        <w:ind w:left="26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7">
    <w:multiLevelType w:val="hybridMultilevel"/>
    <w:lvl w:ilvl="0">
      <w:start w:val="1"/>
      <w:numFmt w:val="decimal"/>
      <w:lvlText w:val="（%1）"/>
      <w:lvlJc w:val="left"/>
      <w:pPr>
        <w:ind w:left="26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6">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5">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4">
    <w:multiLevelType w:val="hybridMultilevel"/>
    <w:lvl w:ilvl="0">
      <w:start w:val="1"/>
      <w:numFmt w:val="decimal"/>
      <w:lvlText w:val="（%1）"/>
      <w:lvlJc w:val="left"/>
      <w:pPr>
        <w:ind w:left="26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3">
    <w:multiLevelType w:val="hybridMultilevel"/>
    <w:lvl w:ilvl="0">
      <w:start w:val="1"/>
      <w:numFmt w:val="decimal"/>
      <w:lvlText w:val="（%1）"/>
      <w:lvlJc w:val="left"/>
      <w:pPr>
        <w:ind w:left="260" w:hanging="527"/>
        <w:jc w:val="left"/>
      </w:pPr>
      <w:rPr>
        <w:rFonts w:hint="default" w:ascii="宋体" w:hAnsi="宋体" w:eastAsia="宋体" w:cs="宋体"/>
        <w:spacing w:val="-80"/>
        <w:w w:val="100"/>
        <w:sz w:val="19"/>
        <w:szCs w:val="19"/>
        <w:lang w:val="zh-CN" w:eastAsia="zh-CN" w:bidi="zh-CN"/>
      </w:rPr>
    </w:lvl>
    <w:lvl w:ilvl="1">
      <w:start w:val="0"/>
      <w:numFmt w:val="bullet"/>
      <w:lvlText w:val="•"/>
      <w:lvlJc w:val="left"/>
      <w:pPr>
        <w:ind w:left="1140" w:hanging="527"/>
      </w:pPr>
      <w:rPr>
        <w:rFonts w:hint="default"/>
        <w:lang w:val="zh-CN" w:eastAsia="zh-CN" w:bidi="zh-CN"/>
      </w:rPr>
    </w:lvl>
    <w:lvl w:ilvl="2">
      <w:start w:val="0"/>
      <w:numFmt w:val="bullet"/>
      <w:lvlText w:val="•"/>
      <w:lvlJc w:val="left"/>
      <w:pPr>
        <w:ind w:left="2021" w:hanging="527"/>
      </w:pPr>
      <w:rPr>
        <w:rFonts w:hint="default"/>
        <w:lang w:val="zh-CN" w:eastAsia="zh-CN" w:bidi="zh-CN"/>
      </w:rPr>
    </w:lvl>
    <w:lvl w:ilvl="3">
      <w:start w:val="0"/>
      <w:numFmt w:val="bullet"/>
      <w:lvlText w:val="•"/>
      <w:lvlJc w:val="left"/>
      <w:pPr>
        <w:ind w:left="2901" w:hanging="527"/>
      </w:pPr>
      <w:rPr>
        <w:rFonts w:hint="default"/>
        <w:lang w:val="zh-CN" w:eastAsia="zh-CN" w:bidi="zh-CN"/>
      </w:rPr>
    </w:lvl>
    <w:lvl w:ilvl="4">
      <w:start w:val="0"/>
      <w:numFmt w:val="bullet"/>
      <w:lvlText w:val="•"/>
      <w:lvlJc w:val="left"/>
      <w:pPr>
        <w:ind w:left="3782" w:hanging="527"/>
      </w:pPr>
      <w:rPr>
        <w:rFonts w:hint="default"/>
        <w:lang w:val="zh-CN" w:eastAsia="zh-CN" w:bidi="zh-CN"/>
      </w:rPr>
    </w:lvl>
    <w:lvl w:ilvl="5">
      <w:start w:val="0"/>
      <w:numFmt w:val="bullet"/>
      <w:lvlText w:val="•"/>
      <w:lvlJc w:val="left"/>
      <w:pPr>
        <w:ind w:left="4663" w:hanging="527"/>
      </w:pPr>
      <w:rPr>
        <w:rFonts w:hint="default"/>
        <w:lang w:val="zh-CN" w:eastAsia="zh-CN" w:bidi="zh-CN"/>
      </w:rPr>
    </w:lvl>
    <w:lvl w:ilvl="6">
      <w:start w:val="0"/>
      <w:numFmt w:val="bullet"/>
      <w:lvlText w:val="•"/>
      <w:lvlJc w:val="left"/>
      <w:pPr>
        <w:ind w:left="5543" w:hanging="527"/>
      </w:pPr>
      <w:rPr>
        <w:rFonts w:hint="default"/>
        <w:lang w:val="zh-CN" w:eastAsia="zh-CN" w:bidi="zh-CN"/>
      </w:rPr>
    </w:lvl>
    <w:lvl w:ilvl="7">
      <w:start w:val="0"/>
      <w:numFmt w:val="bullet"/>
      <w:lvlText w:val="•"/>
      <w:lvlJc w:val="left"/>
      <w:pPr>
        <w:ind w:left="6424" w:hanging="527"/>
      </w:pPr>
      <w:rPr>
        <w:rFonts w:hint="default"/>
        <w:lang w:val="zh-CN" w:eastAsia="zh-CN" w:bidi="zh-CN"/>
      </w:rPr>
    </w:lvl>
    <w:lvl w:ilvl="8">
      <w:start w:val="0"/>
      <w:numFmt w:val="bullet"/>
      <w:lvlText w:val="•"/>
      <w:lvlJc w:val="left"/>
      <w:pPr>
        <w:ind w:left="7305" w:hanging="527"/>
      </w:pPr>
      <w:rPr>
        <w:rFonts w:hint="default"/>
        <w:lang w:val="zh-CN" w:eastAsia="zh-CN" w:bidi="zh-CN"/>
      </w:rPr>
    </w:lvl>
  </w:abstractNum>
  <w:abstractNum w:abstractNumId="12">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11">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10">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9">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8">
    <w:multiLevelType w:val="hybridMultilevel"/>
    <w:lvl w:ilvl="0">
      <w:start w:val="1"/>
      <w:numFmt w:val="decimal"/>
      <w:lvlText w:val="（%1）"/>
      <w:lvlJc w:val="left"/>
      <w:pPr>
        <w:ind w:left="1209" w:hanging="529"/>
        <w:jc w:val="left"/>
      </w:pPr>
      <w:rPr>
        <w:rFonts w:hint="default"/>
        <w:spacing w:val="-3"/>
        <w:w w:val="100"/>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7">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6">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5">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4">
    <w:multiLevelType w:val="hybridMultilevel"/>
    <w:lvl w:ilvl="0">
      <w:start w:val="1"/>
      <w:numFmt w:val="decimal"/>
      <w:lvlText w:val="（%1）"/>
      <w:lvlJc w:val="left"/>
      <w:pPr>
        <w:ind w:left="122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04" w:hanging="529"/>
      </w:pPr>
      <w:rPr>
        <w:rFonts w:hint="default"/>
        <w:lang w:val="zh-CN" w:eastAsia="zh-CN" w:bidi="zh-CN"/>
      </w:rPr>
    </w:lvl>
    <w:lvl w:ilvl="2">
      <w:start w:val="0"/>
      <w:numFmt w:val="bullet"/>
      <w:lvlText w:val="•"/>
      <w:lvlJc w:val="left"/>
      <w:pPr>
        <w:ind w:left="2789" w:hanging="529"/>
      </w:pPr>
      <w:rPr>
        <w:rFonts w:hint="default"/>
        <w:lang w:val="zh-CN" w:eastAsia="zh-CN" w:bidi="zh-CN"/>
      </w:rPr>
    </w:lvl>
    <w:lvl w:ilvl="3">
      <w:start w:val="0"/>
      <w:numFmt w:val="bullet"/>
      <w:lvlText w:val="•"/>
      <w:lvlJc w:val="left"/>
      <w:pPr>
        <w:ind w:left="3573" w:hanging="529"/>
      </w:pPr>
      <w:rPr>
        <w:rFonts w:hint="default"/>
        <w:lang w:val="zh-CN" w:eastAsia="zh-CN" w:bidi="zh-CN"/>
      </w:rPr>
    </w:lvl>
    <w:lvl w:ilvl="4">
      <w:start w:val="0"/>
      <w:numFmt w:val="bullet"/>
      <w:lvlText w:val="•"/>
      <w:lvlJc w:val="left"/>
      <w:pPr>
        <w:ind w:left="4358" w:hanging="529"/>
      </w:pPr>
      <w:rPr>
        <w:rFonts w:hint="default"/>
        <w:lang w:val="zh-CN" w:eastAsia="zh-CN" w:bidi="zh-CN"/>
      </w:rPr>
    </w:lvl>
    <w:lvl w:ilvl="5">
      <w:start w:val="0"/>
      <w:numFmt w:val="bullet"/>
      <w:lvlText w:val="•"/>
      <w:lvlJc w:val="left"/>
      <w:pPr>
        <w:ind w:left="5143" w:hanging="529"/>
      </w:pPr>
      <w:rPr>
        <w:rFonts w:hint="default"/>
        <w:lang w:val="zh-CN" w:eastAsia="zh-CN" w:bidi="zh-CN"/>
      </w:rPr>
    </w:lvl>
    <w:lvl w:ilvl="6">
      <w:start w:val="0"/>
      <w:numFmt w:val="bullet"/>
      <w:lvlText w:val="•"/>
      <w:lvlJc w:val="left"/>
      <w:pPr>
        <w:ind w:left="5927" w:hanging="529"/>
      </w:pPr>
      <w:rPr>
        <w:rFonts w:hint="default"/>
        <w:lang w:val="zh-CN" w:eastAsia="zh-CN" w:bidi="zh-CN"/>
      </w:rPr>
    </w:lvl>
    <w:lvl w:ilvl="7">
      <w:start w:val="0"/>
      <w:numFmt w:val="bullet"/>
      <w:lvlText w:val="•"/>
      <w:lvlJc w:val="left"/>
      <w:pPr>
        <w:ind w:left="6712" w:hanging="529"/>
      </w:pPr>
      <w:rPr>
        <w:rFonts w:hint="default"/>
        <w:lang w:val="zh-CN" w:eastAsia="zh-CN" w:bidi="zh-CN"/>
      </w:rPr>
    </w:lvl>
    <w:lvl w:ilvl="8">
      <w:start w:val="0"/>
      <w:numFmt w:val="bullet"/>
      <w:lvlText w:val="•"/>
      <w:lvlJc w:val="left"/>
      <w:pPr>
        <w:ind w:left="7497" w:hanging="529"/>
      </w:pPr>
      <w:rPr>
        <w:rFonts w:hint="default"/>
        <w:lang w:val="zh-CN" w:eastAsia="zh-CN" w:bidi="zh-CN"/>
      </w:rPr>
    </w:lvl>
  </w:abstractNum>
  <w:abstractNum w:abstractNumId="3">
    <w:multiLevelType w:val="hybridMultilevel"/>
    <w:lvl w:ilvl="0">
      <w:start w:val="1"/>
      <w:numFmt w:val="decimal"/>
      <w:lvlText w:val="（%1）"/>
      <w:lvlJc w:val="left"/>
      <w:pPr>
        <w:ind w:left="2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2">
    <w:multiLevelType w:val="hybridMultilevel"/>
    <w:lvl w:ilvl="0">
      <w:start w:val="1"/>
      <w:numFmt w:val="decimal"/>
      <w:lvlText w:val="（%1）"/>
      <w:lvlJc w:val="left"/>
      <w:pPr>
        <w:ind w:left="26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140" w:hanging="529"/>
      </w:pPr>
      <w:rPr>
        <w:rFonts w:hint="default"/>
        <w:lang w:val="zh-CN" w:eastAsia="zh-CN" w:bidi="zh-CN"/>
      </w:rPr>
    </w:lvl>
    <w:lvl w:ilvl="2">
      <w:start w:val="0"/>
      <w:numFmt w:val="bullet"/>
      <w:lvlText w:val="•"/>
      <w:lvlJc w:val="left"/>
      <w:pPr>
        <w:ind w:left="2021" w:hanging="529"/>
      </w:pPr>
      <w:rPr>
        <w:rFonts w:hint="default"/>
        <w:lang w:val="zh-CN" w:eastAsia="zh-CN" w:bidi="zh-CN"/>
      </w:rPr>
    </w:lvl>
    <w:lvl w:ilvl="3">
      <w:start w:val="0"/>
      <w:numFmt w:val="bullet"/>
      <w:lvlText w:val="•"/>
      <w:lvlJc w:val="left"/>
      <w:pPr>
        <w:ind w:left="2901" w:hanging="529"/>
      </w:pPr>
      <w:rPr>
        <w:rFonts w:hint="default"/>
        <w:lang w:val="zh-CN" w:eastAsia="zh-CN" w:bidi="zh-CN"/>
      </w:rPr>
    </w:lvl>
    <w:lvl w:ilvl="4">
      <w:start w:val="0"/>
      <w:numFmt w:val="bullet"/>
      <w:lvlText w:val="•"/>
      <w:lvlJc w:val="left"/>
      <w:pPr>
        <w:ind w:left="3782" w:hanging="529"/>
      </w:pPr>
      <w:rPr>
        <w:rFonts w:hint="default"/>
        <w:lang w:val="zh-CN" w:eastAsia="zh-CN" w:bidi="zh-CN"/>
      </w:rPr>
    </w:lvl>
    <w:lvl w:ilvl="5">
      <w:start w:val="0"/>
      <w:numFmt w:val="bullet"/>
      <w:lvlText w:val="•"/>
      <w:lvlJc w:val="left"/>
      <w:pPr>
        <w:ind w:left="4663" w:hanging="529"/>
      </w:pPr>
      <w:rPr>
        <w:rFonts w:hint="default"/>
        <w:lang w:val="zh-CN" w:eastAsia="zh-CN" w:bidi="zh-CN"/>
      </w:rPr>
    </w:lvl>
    <w:lvl w:ilvl="6">
      <w:start w:val="0"/>
      <w:numFmt w:val="bullet"/>
      <w:lvlText w:val="•"/>
      <w:lvlJc w:val="left"/>
      <w:pPr>
        <w:ind w:left="5543" w:hanging="529"/>
      </w:pPr>
      <w:rPr>
        <w:rFonts w:hint="default"/>
        <w:lang w:val="zh-CN" w:eastAsia="zh-CN" w:bidi="zh-CN"/>
      </w:rPr>
    </w:lvl>
    <w:lvl w:ilvl="7">
      <w:start w:val="0"/>
      <w:numFmt w:val="bullet"/>
      <w:lvlText w:val="•"/>
      <w:lvlJc w:val="left"/>
      <w:pPr>
        <w:ind w:left="6424" w:hanging="529"/>
      </w:pPr>
      <w:rPr>
        <w:rFonts w:hint="default"/>
        <w:lang w:val="zh-CN" w:eastAsia="zh-CN" w:bidi="zh-CN"/>
      </w:rPr>
    </w:lvl>
    <w:lvl w:ilvl="8">
      <w:start w:val="0"/>
      <w:numFmt w:val="bullet"/>
      <w:lvlText w:val="•"/>
      <w:lvlJc w:val="left"/>
      <w:pPr>
        <w:ind w:left="7305" w:hanging="529"/>
      </w:pPr>
      <w:rPr>
        <w:rFonts w:hint="default"/>
        <w:lang w:val="zh-CN" w:eastAsia="zh-CN" w:bidi="zh-CN"/>
      </w:rPr>
    </w:lvl>
  </w:abstractNum>
  <w:abstractNum w:abstractNumId="1">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abstractNum w:abstractNumId="0">
    <w:multiLevelType w:val="hybridMultilevel"/>
    <w:lvl w:ilvl="0">
      <w:start w:val="1"/>
      <w:numFmt w:val="decimal"/>
      <w:lvlText w:val="（%1）"/>
      <w:lvlJc w:val="left"/>
      <w:pPr>
        <w:ind w:left="120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86" w:hanging="529"/>
      </w:pPr>
      <w:rPr>
        <w:rFonts w:hint="default"/>
        <w:lang w:val="zh-CN" w:eastAsia="zh-CN" w:bidi="zh-CN"/>
      </w:rPr>
    </w:lvl>
    <w:lvl w:ilvl="2">
      <w:start w:val="0"/>
      <w:numFmt w:val="bullet"/>
      <w:lvlText w:val="•"/>
      <w:lvlJc w:val="left"/>
      <w:pPr>
        <w:ind w:left="2773" w:hanging="529"/>
      </w:pPr>
      <w:rPr>
        <w:rFonts w:hint="default"/>
        <w:lang w:val="zh-CN" w:eastAsia="zh-CN" w:bidi="zh-CN"/>
      </w:rPr>
    </w:lvl>
    <w:lvl w:ilvl="3">
      <w:start w:val="0"/>
      <w:numFmt w:val="bullet"/>
      <w:lvlText w:val="•"/>
      <w:lvlJc w:val="left"/>
      <w:pPr>
        <w:ind w:left="3559" w:hanging="529"/>
      </w:pPr>
      <w:rPr>
        <w:rFonts w:hint="default"/>
        <w:lang w:val="zh-CN" w:eastAsia="zh-CN" w:bidi="zh-CN"/>
      </w:rPr>
    </w:lvl>
    <w:lvl w:ilvl="4">
      <w:start w:val="0"/>
      <w:numFmt w:val="bullet"/>
      <w:lvlText w:val="•"/>
      <w:lvlJc w:val="left"/>
      <w:pPr>
        <w:ind w:left="4346" w:hanging="529"/>
      </w:pPr>
      <w:rPr>
        <w:rFonts w:hint="default"/>
        <w:lang w:val="zh-CN" w:eastAsia="zh-CN" w:bidi="zh-CN"/>
      </w:rPr>
    </w:lvl>
    <w:lvl w:ilvl="5">
      <w:start w:val="0"/>
      <w:numFmt w:val="bullet"/>
      <w:lvlText w:val="•"/>
      <w:lvlJc w:val="left"/>
      <w:pPr>
        <w:ind w:left="5133" w:hanging="529"/>
      </w:pPr>
      <w:rPr>
        <w:rFonts w:hint="default"/>
        <w:lang w:val="zh-CN" w:eastAsia="zh-CN" w:bidi="zh-CN"/>
      </w:rPr>
    </w:lvl>
    <w:lvl w:ilvl="6">
      <w:start w:val="0"/>
      <w:numFmt w:val="bullet"/>
      <w:lvlText w:val="•"/>
      <w:lvlJc w:val="left"/>
      <w:pPr>
        <w:ind w:left="5919" w:hanging="529"/>
      </w:pPr>
      <w:rPr>
        <w:rFonts w:hint="default"/>
        <w:lang w:val="zh-CN" w:eastAsia="zh-CN" w:bidi="zh-CN"/>
      </w:rPr>
    </w:lvl>
    <w:lvl w:ilvl="7">
      <w:start w:val="0"/>
      <w:numFmt w:val="bullet"/>
      <w:lvlText w:val="•"/>
      <w:lvlJc w:val="left"/>
      <w:pPr>
        <w:ind w:left="6706" w:hanging="529"/>
      </w:pPr>
      <w:rPr>
        <w:rFonts w:hint="default"/>
        <w:lang w:val="zh-CN" w:eastAsia="zh-CN" w:bidi="zh-CN"/>
      </w:rPr>
    </w:lvl>
    <w:lvl w:ilvl="8">
      <w:start w:val="0"/>
      <w:numFmt w:val="bullet"/>
      <w:lvlText w:val="•"/>
      <w:lvlJc w:val="left"/>
      <w:pPr>
        <w:ind w:left="7493" w:hanging="529"/>
      </w:pPr>
      <w:rPr>
        <w:rFonts w:hint="default"/>
        <w:lang w:val="zh-CN" w:eastAsia="zh-CN" w:bidi="zh-CN"/>
      </w:rPr>
    </w:lvl>
  </w:abstractNum>
  <w:num w:numId="51">
    <w:abstractNumId w:val="50"/>
  </w:num>
  <w:num w:numId="28">
    <w:abstractNumId w:val="27"/>
  </w:num>
  <w:num w:numId="56">
    <w:abstractNumId w:val="55"/>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right="245"/>
      <w:jc w:val="center"/>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72"/>
      <w:ind w:left="12" w:right="245"/>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209" w:hanging="530"/>
    </w:pPr>
    <w:rPr>
      <w:rFonts w:ascii="宋体" w:hAnsi="宋体" w:eastAsia="宋体" w:cs="宋体"/>
      <w:lang w:val="zh-CN" w:eastAsia="zh-CN" w:bidi="zh-CN"/>
    </w:rPr>
  </w:style>
  <w:style w:styleId="TableParagraph" w:type="paragraph">
    <w:name w:val="Table Paragraph"/>
    <w:basedOn w:val="Normal"/>
    <w:uiPriority w:val="1"/>
    <w:qFormat/>
    <w:pPr>
      <w:spacing w:before="34"/>
      <w:jc w:val="righ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ChinaAMC.com/" TargetMode="External"/><Relationship Id="rId14" Type="http://schemas.openxmlformats.org/officeDocument/2006/relationships/hyperlink" Target="http://www.icbc.com.cn/" TargetMode="External"/><Relationship Id="rId15" Type="http://schemas.openxmlformats.org/officeDocument/2006/relationships/hyperlink" Target="http://www.abchina.com/" TargetMode="External"/><Relationship Id="rId16" Type="http://schemas.openxmlformats.org/officeDocument/2006/relationships/hyperlink" Target="http://www.boc.cn/" TargetMode="External"/><Relationship Id="rId17" Type="http://schemas.openxmlformats.org/officeDocument/2006/relationships/hyperlink" Target="http://www.bankcomm.com/" TargetMode="External"/><Relationship Id="rId18" Type="http://schemas.openxmlformats.org/officeDocument/2006/relationships/hyperlink" Target="http://www.cmbchina.com/" TargetMode="External"/><Relationship Id="rId19" Type="http://schemas.openxmlformats.org/officeDocument/2006/relationships/hyperlink" Target="http://www.spdb.com.cn/" TargetMode="External"/><Relationship Id="rId20" Type="http://schemas.openxmlformats.org/officeDocument/2006/relationships/hyperlink" Target="http://www.cib.com.cn/" TargetMode="External"/><Relationship Id="rId21" Type="http://schemas.openxmlformats.org/officeDocument/2006/relationships/hyperlink" Target="http://www.cebbank.com/" TargetMode="External"/><Relationship Id="rId22" Type="http://schemas.openxmlformats.org/officeDocument/2006/relationships/hyperlink" Target="http://www.srcb.com/" TargetMode="External"/><Relationship Id="rId23" Type="http://schemas.openxmlformats.org/officeDocument/2006/relationships/hyperlink" Target="http://www.czbank.com/" TargetMode="External"/><Relationship Id="rId24" Type="http://schemas.openxmlformats.org/officeDocument/2006/relationships/hyperlink" Target="http://www.bankofchangsha.com/" TargetMode="External"/><Relationship Id="rId25" Type="http://schemas.openxmlformats.org/officeDocument/2006/relationships/hyperlink" Target="http://www.txsec.com/" TargetMode="External"/><Relationship Id="rId26" Type="http://schemas.openxmlformats.org/officeDocument/2006/relationships/hyperlink" Target="http://8.jrj.com.cn/" TargetMode="External"/><Relationship Id="rId27" Type="http://schemas.openxmlformats.org/officeDocument/2006/relationships/hyperlink" Target="http://www.wacaijijin.com/" TargetMode="External"/><Relationship Id="rId28" Type="http://schemas.openxmlformats.org/officeDocument/2006/relationships/hyperlink" Target="http://www.noah-fund.com/" TargetMode="External"/><Relationship Id="rId29" Type="http://schemas.openxmlformats.org/officeDocument/2006/relationships/hyperlink" Target="http://www.zlfund.cn/" TargetMode="External"/><Relationship Id="rId30" Type="http://schemas.openxmlformats.org/officeDocument/2006/relationships/hyperlink" Target="http://www.1234567.com.cn/" TargetMode="External"/><Relationship Id="rId31" Type="http://schemas.openxmlformats.org/officeDocument/2006/relationships/hyperlink" Target="http://www.ehowbuy.com/" TargetMode="External"/><Relationship Id="rId32" Type="http://schemas.openxmlformats.org/officeDocument/2006/relationships/hyperlink" Target="http://www.fund123.cn/" TargetMode="External"/><Relationship Id="rId33" Type="http://schemas.openxmlformats.org/officeDocument/2006/relationships/hyperlink" Target="http://www.erichfund.com/" TargetMode="External"/><Relationship Id="rId34" Type="http://schemas.openxmlformats.org/officeDocument/2006/relationships/hyperlink" Target="http://www.5ifund.com/" TargetMode="External"/><Relationship Id="rId35" Type="http://schemas.openxmlformats.org/officeDocument/2006/relationships/hyperlink" Target="http://www.myfund.com/" TargetMode="External"/><Relationship Id="rId36" Type="http://schemas.openxmlformats.org/officeDocument/2006/relationships/hyperlink" Target="http://www.leadfund.com.cn/" TargetMode="External"/><Relationship Id="rId37" Type="http://schemas.openxmlformats.org/officeDocument/2006/relationships/hyperlink" Target="http://www.jincheng-fund.com/" TargetMode="External"/><Relationship Id="rId38" Type="http://schemas.openxmlformats.org/officeDocument/2006/relationships/hyperlink" Target="http://www.qiandaojr.com/" TargetMode="External"/><Relationship Id="rId39" Type="http://schemas.openxmlformats.org/officeDocument/2006/relationships/hyperlink" Target="http://www.5irich.com/" TargetMode="External"/><Relationship Id="rId40" Type="http://schemas.openxmlformats.org/officeDocument/2006/relationships/hyperlink" Target="http://www.puyifund.com/" TargetMode="External"/><Relationship Id="rId41" Type="http://schemas.openxmlformats.org/officeDocument/2006/relationships/hyperlink" Target="http://www.yixinfund.com/" TargetMode="External"/><Relationship Id="rId42" Type="http://schemas.openxmlformats.org/officeDocument/2006/relationships/hyperlink" Target="http://www.snjijin.com/" TargetMode="External"/><Relationship Id="rId43" Type="http://schemas.openxmlformats.org/officeDocument/2006/relationships/hyperlink" Target="http://www.zscffund.com/" TargetMode="External"/><Relationship Id="rId44" Type="http://schemas.openxmlformats.org/officeDocument/2006/relationships/hyperlink" Target="http://www.tonghuafund.com/" TargetMode="External"/><Relationship Id="rId45" Type="http://schemas.openxmlformats.org/officeDocument/2006/relationships/hyperlink" Target="http://www.chtwm.com/" TargetMode="External"/><Relationship Id="rId46" Type="http://schemas.openxmlformats.org/officeDocument/2006/relationships/hyperlink" Target="http://www.hcjijin.com/" TargetMode="External"/><Relationship Id="rId47" Type="http://schemas.openxmlformats.org/officeDocument/2006/relationships/hyperlink" Target="http://www.niuji.net/" TargetMode="External"/><Relationship Id="rId48" Type="http://schemas.openxmlformats.org/officeDocument/2006/relationships/hyperlink" Target="http://www.zhixin-inv.com/" TargetMode="External"/><Relationship Id="rId49" Type="http://schemas.openxmlformats.org/officeDocument/2006/relationships/hyperlink" Target="http://www.wg.com.cn/" TargetMode="External"/><Relationship Id="rId50" Type="http://schemas.openxmlformats.org/officeDocument/2006/relationships/hyperlink" Target="http://www.htfund.com/" TargetMode="External"/><Relationship Id="rId51" Type="http://schemas.openxmlformats.org/officeDocument/2006/relationships/hyperlink" Target="http://www.jianfortune.com/" TargetMode="External"/><Relationship Id="rId52" Type="http://schemas.openxmlformats.org/officeDocument/2006/relationships/hyperlink" Target="http://www.66liantai.com/" TargetMode="External"/><Relationship Id="rId53" Type="http://schemas.openxmlformats.org/officeDocument/2006/relationships/hyperlink" Target="http://www.haojiyoujijin.com/" TargetMode="External"/><Relationship Id="rId54" Type="http://schemas.openxmlformats.org/officeDocument/2006/relationships/hyperlink" Target="http://www.hotjijin.com/" TargetMode="External"/><Relationship Id="rId55" Type="http://schemas.openxmlformats.org/officeDocument/2006/relationships/hyperlink" Target="http://www.jiyufund.com.cn/" TargetMode="External"/><Relationship Id="rId56" Type="http://schemas.openxmlformats.org/officeDocument/2006/relationships/hyperlink" Target="http://www.zhongzhengfund.com/" TargetMode="External"/><Relationship Id="rId57" Type="http://schemas.openxmlformats.org/officeDocument/2006/relationships/hyperlink" Target="http://www.hongdianfund.com/" TargetMode="External"/><Relationship Id="rId58" Type="http://schemas.openxmlformats.org/officeDocument/2006/relationships/hyperlink" Target="http://www.lufunds.com/" TargetMode="External"/><Relationship Id="rId59" Type="http://schemas.openxmlformats.org/officeDocument/2006/relationships/hyperlink" Target="http://www.yingmi.cn/" TargetMode="External"/><Relationship Id="rId60" Type="http://schemas.openxmlformats.org/officeDocument/2006/relationships/hyperlink" Target="http://www.hgccpb.com/" TargetMode="External"/><Relationship Id="rId61" Type="http://schemas.openxmlformats.org/officeDocument/2006/relationships/hyperlink" Target="http://www.ifastps.com.cn/" TargetMode="External"/><Relationship Id="rId62" Type="http://schemas.openxmlformats.org/officeDocument/2006/relationships/hyperlink" Target="http://www.jnlc.com/" TargetMode="External"/><Relationship Id="rId63" Type="http://schemas.openxmlformats.org/officeDocument/2006/relationships/hyperlink" Target="http://fund.jd.com/" TargetMode="External"/><Relationship Id="rId64" Type="http://schemas.openxmlformats.org/officeDocument/2006/relationships/hyperlink" Target="http://www.yibaijin.com/" TargetMode="External"/><Relationship Id="rId65" Type="http://schemas.openxmlformats.org/officeDocument/2006/relationships/hyperlink" Target="http://www.cmiwm.com/" TargetMode="External"/><Relationship Id="rId66" Type="http://schemas.openxmlformats.org/officeDocument/2006/relationships/hyperlink" Target="http://www.jfzinv.com/" TargetMode="External"/><Relationship Id="rId67" Type="http://schemas.openxmlformats.org/officeDocument/2006/relationships/hyperlink" Target="http://www.wanjiawealth.com/" TargetMode="External"/><Relationship Id="rId68" Type="http://schemas.openxmlformats.org/officeDocument/2006/relationships/hyperlink" Target="http://www.amcfortune.com/" TargetMode="External"/><Relationship Id="rId69" Type="http://schemas.openxmlformats.org/officeDocument/2006/relationships/hyperlink" Target="http://www.citicsf.com/" TargetMode="External"/><Relationship Id="rId70" Type="http://schemas.openxmlformats.org/officeDocument/2006/relationships/hyperlink" Target="http://www.ftol.com.cn/" TargetMode="External"/><Relationship Id="rId71" Type="http://schemas.openxmlformats.org/officeDocument/2006/relationships/hyperlink" Target="http://www.gtja.com/" TargetMode="External"/><Relationship Id="rId72" Type="http://schemas.openxmlformats.org/officeDocument/2006/relationships/hyperlink" Target="http://www.csc108.com/" TargetMode="External"/><Relationship Id="rId73" Type="http://schemas.openxmlformats.org/officeDocument/2006/relationships/hyperlink" Target="http://www.guosen.com.cn/" TargetMode="External"/><Relationship Id="rId74" Type="http://schemas.openxmlformats.org/officeDocument/2006/relationships/hyperlink" Target="http://www.cs.ecitic.com/" TargetMode="External"/><Relationship Id="rId75" Type="http://schemas.openxmlformats.org/officeDocument/2006/relationships/hyperlink" Target="http://www.swhysc.com/" TargetMode="External"/><Relationship Id="rId76" Type="http://schemas.openxmlformats.org/officeDocument/2006/relationships/hyperlink" Target="http://www.xyzq.com.cn/" TargetMode="External"/><Relationship Id="rId77" Type="http://schemas.openxmlformats.org/officeDocument/2006/relationships/hyperlink" Target="http://www.95579.com/" TargetMode="External"/><Relationship Id="rId78" Type="http://schemas.openxmlformats.org/officeDocument/2006/relationships/hyperlink" Target="http://www.essence.com.cn/" TargetMode="External"/><Relationship Id="rId79" Type="http://schemas.openxmlformats.org/officeDocument/2006/relationships/hyperlink" Target="http://www.swsc.com.cn/" TargetMode="External"/><Relationship Id="rId80" Type="http://schemas.openxmlformats.org/officeDocument/2006/relationships/hyperlink" Target="http://www.xcsc.com/" TargetMode="External"/><Relationship Id="rId81" Type="http://schemas.openxmlformats.org/officeDocument/2006/relationships/hyperlink" Target="http://www.wlzq.com.cn/" TargetMode="External"/><Relationship Id="rId82" Type="http://schemas.openxmlformats.org/officeDocument/2006/relationships/hyperlink" Target="http://www.mszq.com/" TargetMode="External"/><Relationship Id="rId83" Type="http://schemas.openxmlformats.org/officeDocument/2006/relationships/hyperlink" Target="http://www.gyzq.com.cn/" TargetMode="External"/><Relationship Id="rId84" Type="http://schemas.openxmlformats.org/officeDocument/2006/relationships/hyperlink" Target="http://www.ewww.com.cn/" TargetMode="External"/><Relationship Id="rId85" Type="http://schemas.openxmlformats.org/officeDocument/2006/relationships/hyperlink" Target="http://sd.citics.com/" TargetMode="External"/><Relationship Id="rId86" Type="http://schemas.openxmlformats.org/officeDocument/2006/relationships/hyperlink" Target="http://www.dwzq.com.cn/" TargetMode="External"/><Relationship Id="rId87" Type="http://schemas.openxmlformats.org/officeDocument/2006/relationships/hyperlink" Target="http://www.cindasc.com/" TargetMode="External"/><Relationship Id="rId88" Type="http://schemas.openxmlformats.org/officeDocument/2006/relationships/hyperlink" Target="http://www.cgws.com/" TargetMode="External"/><Relationship Id="rId89" Type="http://schemas.openxmlformats.org/officeDocument/2006/relationships/hyperlink" Target="http://www.ebscn.com/" TargetMode="External"/><Relationship Id="rId90" Type="http://schemas.openxmlformats.org/officeDocument/2006/relationships/hyperlink" Target="http://www.gzs.com.cn/" TargetMode="External"/><Relationship Id="rId91" Type="http://schemas.openxmlformats.org/officeDocument/2006/relationships/hyperlink" Target="http://www.nesc.cn/" TargetMode="External"/><Relationship Id="rId92" Type="http://schemas.openxmlformats.org/officeDocument/2006/relationships/hyperlink" Target="http://www.njzq.com.cn/" TargetMode="External"/><Relationship Id="rId93" Type="http://schemas.openxmlformats.org/officeDocument/2006/relationships/hyperlink" Target="http://www.xsdzq.cn/" TargetMode="External"/><Relationship Id="rId94" Type="http://schemas.openxmlformats.org/officeDocument/2006/relationships/hyperlink" Target="http://www.dtsbc.com.cn/" TargetMode="External"/><Relationship Id="rId95" Type="http://schemas.openxmlformats.org/officeDocument/2006/relationships/hyperlink" Target="http://www.glsc.com.cn/" TargetMode="External"/><Relationship Id="rId96" Type="http://schemas.openxmlformats.org/officeDocument/2006/relationships/hyperlink" Target="http://www.pingan.com/" TargetMode="External"/><Relationship Id="rId97" Type="http://schemas.openxmlformats.org/officeDocument/2006/relationships/hyperlink" Target="http://www.hazq.com/" TargetMode="External"/><Relationship Id="rId98" Type="http://schemas.openxmlformats.org/officeDocument/2006/relationships/hyperlink" Target="http://www.dgzq.com.cn/" TargetMode="External"/><Relationship Id="rId99" Type="http://schemas.openxmlformats.org/officeDocument/2006/relationships/hyperlink" Target="http://www.guodu.com/" TargetMode="External"/><Relationship Id="rId100" Type="http://schemas.openxmlformats.org/officeDocument/2006/relationships/hyperlink" Target="http://www.longone.com.cn/" TargetMode="External"/><Relationship Id="rId101" Type="http://schemas.openxmlformats.org/officeDocument/2006/relationships/hyperlink" Target="http://www.bocichina.com.cn/" TargetMode="External"/><Relationship Id="rId102" Type="http://schemas.openxmlformats.org/officeDocument/2006/relationships/hyperlink" Target="http://www.cnht.com.cn/" TargetMode="External"/><Relationship Id="rId103" Type="http://schemas.openxmlformats.org/officeDocument/2006/relationships/hyperlink" Target="http://www.gszq.com/" TargetMode="External"/><Relationship Id="rId104" Type="http://schemas.openxmlformats.org/officeDocument/2006/relationships/hyperlink" Target="http://www.hx168.com.cn/" TargetMode="External"/><Relationship Id="rId105" Type="http://schemas.openxmlformats.org/officeDocument/2006/relationships/hyperlink" Target="http://www.hysec.com/" TargetMode="External"/><Relationship Id="rId106" Type="http://schemas.openxmlformats.org/officeDocument/2006/relationships/hyperlink" Target="http://www.zts.com.cn/" TargetMode="External"/><Relationship Id="rId107" Type="http://schemas.openxmlformats.org/officeDocument/2006/relationships/hyperlink" Target="http://www.csco.com.cn/" TargetMode="External"/><Relationship Id="rId108" Type="http://schemas.openxmlformats.org/officeDocument/2006/relationships/hyperlink" Target="http://www.firstcapital.com.cn/" TargetMode="External"/><Relationship Id="rId109" Type="http://schemas.openxmlformats.org/officeDocument/2006/relationships/hyperlink" Target="http://www.jyzq.cn/" TargetMode="External"/><Relationship Id="rId110" Type="http://schemas.openxmlformats.org/officeDocument/2006/relationships/hyperlink" Target="http://www.westsecu.com/" TargetMode="External"/><Relationship Id="rId111" Type="http://schemas.openxmlformats.org/officeDocument/2006/relationships/hyperlink" Target="http://www.hlzqgs.com/" TargetMode="External"/><Relationship Id="rId112" Type="http://schemas.openxmlformats.org/officeDocument/2006/relationships/hyperlink" Target="http://www.cicc.com.cn/" TargetMode="External"/><Relationship Id="rId113" Type="http://schemas.openxmlformats.org/officeDocument/2006/relationships/hyperlink" Target="http://www.ctsec.com/" TargetMode="External"/><Relationship Id="rId114" Type="http://schemas.openxmlformats.org/officeDocument/2006/relationships/hyperlink" Target="http://www.shhxzq.com/" TargetMode="External"/><Relationship Id="rId115" Type="http://schemas.openxmlformats.org/officeDocument/2006/relationships/hyperlink" Target="http://www.zszq.com/" TargetMode="External"/><Relationship Id="rId116" Type="http://schemas.openxmlformats.org/officeDocument/2006/relationships/hyperlink" Target="http://www.ykzq.com/" TargetMode="External"/><Relationship Id="rId117" Type="http://schemas.openxmlformats.org/officeDocument/2006/relationships/hyperlink" Target="http://www.gjzq.com.cn/" TargetMode="External"/><Relationship Id="rId118" Type="http://schemas.openxmlformats.org/officeDocument/2006/relationships/hyperlink" Target="http://www.gwgsc.com/" TargetMode="External"/><Relationship Id="rId119" Type="http://schemas.openxmlformats.org/officeDocument/2006/relationships/hyperlink" Target="http://www.ajzq.com/" TargetMode="External"/><Relationship Id="rId120" Type="http://schemas.openxmlformats.org/officeDocument/2006/relationships/hyperlink" Target="http://www.hrsec.com.cn/" TargetMode="External"/><Relationship Id="rId121" Type="http://schemas.openxmlformats.org/officeDocument/2006/relationships/hyperlink" Target="http://www.tfzq.com/" TargetMode="External"/><Relationship Id="rId122" Type="http://schemas.openxmlformats.org/officeDocument/2006/relationships/hyperlink" Target="http://www.wanhesec.com.cn/" TargetMode="External"/><Relationship Id="rId123" Type="http://schemas.openxmlformats.org/officeDocument/2006/relationships/hyperlink" Target="http://www.hxzq.cn/" TargetMode="External"/><Relationship Id="rId124" Type="http://schemas.openxmlformats.org/officeDocument/2006/relationships/hyperlink" Target="http://www.cczp.com/" TargetMode="External"/><Relationship Id="rId125" Type="http://schemas.openxmlformats.org/officeDocument/2006/relationships/hyperlink" Target="http://www.lczq.com/" TargetMode="External"/><Relationship Id="rId126" Type="http://schemas.openxmlformats.org/officeDocument/2006/relationships/hyperlink" Target="http://fund.sinosig.com/" TargetMode="External"/><Relationship Id="rId127" Type="http://schemas.openxmlformats.org/officeDocument/2006/relationships/image" Target="media/image7.png"/><Relationship Id="rId128" Type="http://schemas.openxmlformats.org/officeDocument/2006/relationships/image" Target="media/image8.png"/><Relationship Id="rId129" Type="http://schemas.openxmlformats.org/officeDocument/2006/relationships/image" Target="media/image9.png"/><Relationship Id="rId130" Type="http://schemas.openxmlformats.org/officeDocument/2006/relationships/image" Target="media/image10.png"/><Relationship Id="rId131" Type="http://schemas.openxmlformats.org/officeDocument/2006/relationships/image" Target="media/image11.png"/><Relationship Id="rId132" Type="http://schemas.openxmlformats.org/officeDocument/2006/relationships/image" Target="media/image12.png"/><Relationship Id="rId133" Type="http://schemas.openxmlformats.org/officeDocument/2006/relationships/image" Target="media/image13.png"/><Relationship Id="rId134" Type="http://schemas.openxmlformats.org/officeDocument/2006/relationships/image" Target="media/image14.png"/><Relationship Id="rId135" Type="http://schemas.openxmlformats.org/officeDocument/2006/relationships/image" Target="media/image15.png"/><Relationship Id="rId136" Type="http://schemas.openxmlformats.org/officeDocument/2006/relationships/image" Target="media/image16.png"/><Relationship Id="rId137" Type="http://schemas.openxmlformats.org/officeDocument/2006/relationships/image" Target="media/image17.png"/><Relationship Id="rId138" Type="http://schemas.openxmlformats.org/officeDocument/2006/relationships/image" Target="media/image18.png"/><Relationship Id="rId139" Type="http://schemas.openxmlformats.org/officeDocument/2006/relationships/image" Target="media/image19.png"/><Relationship Id="rId140" Type="http://schemas.openxmlformats.org/officeDocument/2006/relationships/image" Target="media/image20.png"/><Relationship Id="rId141" Type="http://schemas.openxmlformats.org/officeDocument/2006/relationships/image" Target="media/image21.png"/><Relationship Id="rId142" Type="http://schemas.openxmlformats.org/officeDocument/2006/relationships/image" Target="media/image22.png"/><Relationship Id="rId143" Type="http://schemas.openxmlformats.org/officeDocument/2006/relationships/image" Target="media/image23.png"/><Relationship Id="rId144" Type="http://schemas.openxmlformats.org/officeDocument/2006/relationships/image" Target="media/image24.png"/><Relationship Id="rId145" Type="http://schemas.openxmlformats.org/officeDocument/2006/relationships/image" Target="media/image25.png"/><Relationship Id="rId146" Type="http://schemas.openxmlformats.org/officeDocument/2006/relationships/image" Target="media/image26.png"/><Relationship Id="rId147" Type="http://schemas.openxmlformats.org/officeDocument/2006/relationships/image" Target="media/image27.png"/><Relationship Id="rId148" Type="http://schemas.openxmlformats.org/officeDocument/2006/relationships/image" Target="media/image28.png"/><Relationship Id="rId149" Type="http://schemas.openxmlformats.org/officeDocument/2006/relationships/image" Target="media/image29.png"/><Relationship Id="rId150" Type="http://schemas.openxmlformats.org/officeDocument/2006/relationships/image" Target="media/image30.png"/><Relationship Id="rId151" Type="http://schemas.openxmlformats.org/officeDocument/2006/relationships/image" Target="media/image31.png"/><Relationship Id="rId152" Type="http://schemas.openxmlformats.org/officeDocument/2006/relationships/footer" Target="footer2.xml"/><Relationship Id="rId153" Type="http://schemas.openxmlformats.org/officeDocument/2006/relationships/footer" Target="footer3.xml"/><Relationship Id="rId154" Type="http://schemas.openxmlformats.org/officeDocument/2006/relationships/footer" Target="footer4.xml"/><Relationship Id="rId155" Type="http://schemas.openxmlformats.org/officeDocument/2006/relationships/footer" Target="footer5.xml"/><Relationship Id="rId156" Type="http://schemas.openxmlformats.org/officeDocument/2006/relationships/footer" Target="footer6.xml"/><Relationship Id="rId157" Type="http://schemas.openxmlformats.org/officeDocument/2006/relationships/footer" Target="footer7.xml"/><Relationship Id="rId158" Type="http://schemas.openxmlformats.org/officeDocument/2006/relationships/footer" Target="footer8.xml"/><Relationship Id="rId159" Type="http://schemas.openxmlformats.org/officeDocument/2006/relationships/footer" Target="footer9.xml"/><Relationship Id="rId160" Type="http://schemas.openxmlformats.org/officeDocument/2006/relationships/hyperlink" Target="http://www.chinaamc.com/" TargetMode="External"/><Relationship Id="rId161" Type="http://schemas.openxmlformats.org/officeDocument/2006/relationships/hyperlink" Target="mailto:service@ChinaAMC.com" TargetMode="External"/><Relationship Id="rId1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itle>华夏永福养老理财混合型证券投资基金                  招募说明书</dc:title>
  <dcterms:created xsi:type="dcterms:W3CDTF">2020-11-22T13:55:08Z</dcterms:created>
  <dcterms:modified xsi:type="dcterms:W3CDTF">2020-11-22T13:55:08Z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Office Word 2007</vt:lpwstr>
  </property>
  <property fmtid="{D5CDD505-2E9C-101B-9397-08002B2CF9AE}" pid="4" name="LastSaved">
    <vt:filetime>2020-11-22T00:00:00Z</vt:filetime>
  </property>
</Properties>
</file>