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6"/>
        </w:rPr>
      </w:pPr>
    </w:p>
    <w:p>
      <w:pPr>
        <w:spacing w:line="266" w:lineRule="auto" w:before="38"/>
        <w:ind w:left="2705" w:right="1602" w:hanging="884"/>
        <w:jc w:val="left"/>
        <w:rPr>
          <w:b/>
          <w:sz w:val="44"/>
        </w:rPr>
      </w:pPr>
      <w:r>
        <w:rPr>
          <w:b/>
          <w:spacing w:val="-1"/>
          <w:sz w:val="44"/>
        </w:rPr>
        <w:t>华夏鼎茂债券型证券投资基金</w:t>
      </w:r>
      <w:r>
        <w:rPr>
          <w:b/>
          <w:sz w:val="44"/>
        </w:rPr>
        <w:t>招募说明书（更新） </w:t>
      </w:r>
      <w:r>
        <w:rPr>
          <w:rFonts w:ascii="Times New Roman" w:eastAsia="Times New Roman"/>
          <w:b/>
          <w:sz w:val="44"/>
        </w:rPr>
        <w:t>2020 </w:t>
      </w:r>
      <w:r>
        <w:rPr>
          <w:b/>
          <w:spacing w:val="-57"/>
          <w:sz w:val="44"/>
        </w:rPr>
        <w:t>年 </w:t>
      </w:r>
      <w:r>
        <w:rPr>
          <w:rFonts w:ascii="Times New Roman" w:eastAsia="Times New Roman"/>
          <w:b/>
          <w:sz w:val="44"/>
        </w:rPr>
        <w:t>9</w:t>
      </w:r>
      <w:r>
        <w:rPr>
          <w:rFonts w:ascii="Times New Roman" w:eastAsia="Times New Roman"/>
          <w:b/>
          <w:spacing w:val="1"/>
          <w:sz w:val="44"/>
        </w:rPr>
        <w:t> </w:t>
      </w:r>
      <w:r>
        <w:rPr>
          <w:b/>
          <w:spacing w:val="-55"/>
          <w:sz w:val="44"/>
        </w:rPr>
        <w:t>月 </w:t>
      </w:r>
      <w:r>
        <w:rPr>
          <w:rFonts w:ascii="Times New Roman" w:eastAsia="Times New Roman"/>
          <w:b/>
          <w:sz w:val="44"/>
        </w:rPr>
        <w:t>30</w:t>
      </w:r>
      <w:r>
        <w:rPr>
          <w:rFonts w:ascii="Times New Roman" w:eastAsia="Times New Roman"/>
          <w:b/>
          <w:spacing w:val="1"/>
          <w:sz w:val="44"/>
        </w:rPr>
        <w:t> </w:t>
      </w:r>
      <w:r>
        <w:rPr>
          <w:b/>
          <w:sz w:val="44"/>
        </w:rPr>
        <w:t>日公告</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6"/>
        <w:rPr>
          <w:b/>
          <w:sz w:val="58"/>
        </w:rPr>
      </w:pPr>
    </w:p>
    <w:p>
      <w:pPr>
        <w:spacing w:line="364" w:lineRule="auto" w:before="0"/>
        <w:ind w:left="2239" w:right="1807" w:firstLine="0"/>
        <w:jc w:val="left"/>
        <w:rPr>
          <w:sz w:val="32"/>
        </w:rPr>
      </w:pPr>
      <w:r>
        <w:rPr>
          <w:sz w:val="32"/>
        </w:rPr>
        <w:t>基金管理人：华夏基金管理有限公司基金托管人：招商银行股份有限公司</w:t>
      </w:r>
    </w:p>
    <w:p>
      <w:pPr>
        <w:spacing w:after="0" w:line="364" w:lineRule="auto"/>
        <w:jc w:val="left"/>
        <w:rPr>
          <w:sz w:val="32"/>
        </w:rPr>
        <w:sectPr>
          <w:type w:val="continuous"/>
          <w:pgSz w:w="11910" w:h="16840"/>
          <w:pgMar w:top="1580" w:bottom="280" w:left="1260" w:right="1480"/>
        </w:sectPr>
      </w:pPr>
    </w:p>
    <w:p>
      <w:pPr>
        <w:spacing w:before="110"/>
        <w:ind w:left="2461" w:right="2237" w:firstLine="0"/>
        <w:jc w:val="center"/>
        <w:rPr>
          <w:b/>
          <w:sz w:val="21"/>
        </w:rPr>
      </w:pPr>
      <w:r>
        <w:rPr>
          <w:b/>
          <w:sz w:val="21"/>
        </w:rPr>
        <w:t>重要提示</w:t>
      </w:r>
    </w:p>
    <w:p>
      <w:pPr>
        <w:pStyle w:val="BodyText"/>
        <w:spacing w:before="6"/>
        <w:rPr>
          <w:b/>
          <w:sz w:val="15"/>
        </w:rPr>
      </w:pPr>
    </w:p>
    <w:p>
      <w:pPr>
        <w:pStyle w:val="BodyText"/>
        <w:ind w:left="960"/>
      </w:pPr>
      <w:r>
        <w:rPr/>
        <w:t>华夏鼎茂债券型证券投资基金（以下简称</w:t>
      </w:r>
      <w:r>
        <w:rPr>
          <w:rFonts w:ascii="Times New Roman" w:hAnsi="Times New Roman" w:eastAsia="Times New Roman"/>
        </w:rPr>
        <w:t>“</w:t>
      </w:r>
      <w:r>
        <w:rPr/>
        <w:t>本基金</w:t>
      </w:r>
      <w:r>
        <w:rPr>
          <w:rFonts w:ascii="Times New Roman" w:hAnsi="Times New Roman" w:eastAsia="Times New Roman"/>
        </w:rPr>
        <w:t>”</w:t>
      </w:r>
      <w:r>
        <w:rPr/>
        <w:t>）已经中国证监会 </w:t>
      </w:r>
      <w:r>
        <w:rPr>
          <w:rFonts w:ascii="Times New Roman" w:hAnsi="Times New Roman" w:eastAsia="Times New Roman"/>
        </w:rPr>
        <w:t>2016 </w:t>
      </w:r>
      <w:r>
        <w:rPr/>
        <w:t>年 </w:t>
      </w:r>
      <w:r>
        <w:rPr>
          <w:rFonts w:ascii="Times New Roman" w:hAnsi="Times New Roman" w:eastAsia="Times New Roman"/>
        </w:rPr>
        <w:t>12 </w:t>
      </w:r>
      <w:r>
        <w:rPr/>
        <w:t>月 </w:t>
      </w:r>
      <w:r>
        <w:rPr>
          <w:rFonts w:ascii="Times New Roman" w:hAnsi="Times New Roman" w:eastAsia="Times New Roman"/>
        </w:rPr>
        <w:t>1 </w:t>
      </w:r>
      <w:r>
        <w:rPr/>
        <w:t>日</w:t>
      </w:r>
    </w:p>
    <w:p>
      <w:pPr>
        <w:pStyle w:val="BodyText"/>
        <w:spacing w:before="7"/>
        <w:rPr>
          <w:sz w:val="15"/>
        </w:rPr>
      </w:pPr>
    </w:p>
    <w:p>
      <w:pPr>
        <w:pStyle w:val="BodyText"/>
        <w:ind w:left="540"/>
        <w:jc w:val="both"/>
      </w:pPr>
      <w:r>
        <w:rPr/>
        <w:t>证监许可</w:t>
      </w:r>
      <w:r>
        <w:rPr>
          <w:rFonts w:ascii="Times New Roman" w:eastAsia="Times New Roman"/>
        </w:rPr>
        <w:t>[2016]2938 </w:t>
      </w:r>
      <w:r>
        <w:rPr/>
        <w:t>号文准予注册。本基金基金合同于 </w:t>
      </w:r>
      <w:r>
        <w:rPr>
          <w:rFonts w:ascii="Times New Roman" w:eastAsia="Times New Roman"/>
        </w:rPr>
        <w:t>2017 </w:t>
      </w:r>
      <w:r>
        <w:rPr/>
        <w:t>年 </w:t>
      </w:r>
      <w:r>
        <w:rPr>
          <w:rFonts w:ascii="Times New Roman" w:eastAsia="Times New Roman"/>
        </w:rPr>
        <w:t>3 </w:t>
      </w:r>
      <w:r>
        <w:rPr/>
        <w:t>月 </w:t>
      </w:r>
      <w:r>
        <w:rPr>
          <w:rFonts w:ascii="Times New Roman" w:eastAsia="Times New Roman"/>
        </w:rPr>
        <w:t>15 </w:t>
      </w:r>
      <w:r>
        <w:rPr/>
        <w:t>日正式生效。</w:t>
      </w:r>
    </w:p>
    <w:p>
      <w:pPr>
        <w:pStyle w:val="BodyText"/>
        <w:spacing w:before="7"/>
        <w:rPr>
          <w:sz w:val="15"/>
        </w:rPr>
      </w:pPr>
    </w:p>
    <w:p>
      <w:pPr>
        <w:pStyle w:val="BodyText"/>
        <w:spacing w:line="417" w:lineRule="auto"/>
        <w:ind w:left="540" w:right="31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册，但中国证监会对本基金募集的注册，并不表明其对本基金的价值和收益作出实质性判断</w:t>
      </w:r>
      <w:r>
        <w:rPr>
          <w:spacing w:val="-6"/>
        </w:rPr>
        <w:t>或保证，也不表明投资于本基金没有风险。</w:t>
      </w:r>
    </w:p>
    <w:p>
      <w:pPr>
        <w:pStyle w:val="BodyText"/>
        <w:spacing w:line="417" w:lineRule="auto"/>
        <w:ind w:left="540" w:right="208"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6"/>
        </w:rPr>
        <w:t>在基金管理实施过程中产生的积极管理风险，本基金的特定风险等。本基金为债券型基金， </w:t>
      </w:r>
      <w:r>
        <w:rPr>
          <w:spacing w:val="-5"/>
        </w:rPr>
        <w:t>其长期平均风险和预期收益率低于股票基金、混合基金，高于货币市场基金。根据 </w:t>
      </w:r>
      <w:r>
        <w:rPr>
          <w:rFonts w:ascii="Times New Roman" w:eastAsia="Times New Roman"/>
        </w:rPr>
        <w:t>2017 </w:t>
      </w:r>
      <w:r>
        <w:rPr/>
        <w:t>年</w:t>
      </w:r>
    </w:p>
    <w:p>
      <w:pPr>
        <w:pStyle w:val="BodyText"/>
        <w:spacing w:line="417" w:lineRule="auto"/>
        <w:ind w:left="540" w:right="311"/>
        <w:jc w:val="both"/>
      </w:pPr>
      <w:r>
        <w:rPr>
          <w:rFonts w:ascii="Times New Roman" w:eastAsia="Times New Roman"/>
        </w:rPr>
        <w:t>7 </w:t>
      </w:r>
      <w:r>
        <w:rPr>
          <w:spacing w:val="-10"/>
        </w:rPr>
        <w:t>月 </w:t>
      </w:r>
      <w:r>
        <w:rPr>
          <w:rFonts w:ascii="Times New Roman" w:eastAsia="Times New Roman"/>
        </w:rPr>
        <w:t>1 </w:t>
      </w:r>
      <w:r>
        <w:rPr>
          <w:spacing w:val="-9"/>
        </w:rPr>
        <w:t>日施行的《证券期货投资者适当性管理办法》，基金管理人和销售机构已对本基金重</w:t>
      </w:r>
      <w:r>
        <w:rPr>
          <w:spacing w:val="-12"/>
        </w:rPr>
        <w:t>新进行风险评级，风险评级行为不改变基金的实质性风险收益特征，但由于风险分类标准的变化，本基金的风险等级表述可能有相应变化，具体风险评级结果应以基金管理人和销售机</w:t>
      </w:r>
      <w:r>
        <w:rPr>
          <w:spacing w:val="-13"/>
        </w:rPr>
        <w:t>构提供的评级结果为准。本基金可投资中小企业私募债券，当基金所投资的中小企业私募债券之债务人出现违约，或在交易过程中发生交收违约，或由于中小企业私募债券信用质量降</w:t>
      </w:r>
      <w:r>
        <w:rPr>
          <w:spacing w:val="-12"/>
        </w:rPr>
        <w:t>低导致价格下降等，可能造成基金财产损失。此外，受市场规模及交易活跃程度的影响，中</w:t>
      </w:r>
      <w:r>
        <w:rPr>
          <w:spacing w:val="-9"/>
        </w:rPr>
        <w:t>小企业私募债券可能无法在同一价格水平上进行较大数量的买入或卖出，存在一定的流动性</w:t>
      </w:r>
      <w:r>
        <w:rPr>
          <w:spacing w:val="-5"/>
        </w:rPr>
        <w:t>风险，从而对基金收益造成影响。</w:t>
      </w:r>
    </w:p>
    <w:p>
      <w:pPr>
        <w:pStyle w:val="BodyText"/>
        <w:spacing w:line="417" w:lineRule="auto"/>
        <w:ind w:left="540" w:right="20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pStyle w:val="BodyText"/>
        <w:spacing w:line="417" w:lineRule="auto"/>
        <w:ind w:left="540" w:right="311" w:firstLine="419"/>
      </w:pPr>
      <w:r>
        <w:rPr>
          <w:spacing w:val="-9"/>
        </w:rPr>
        <w:t>基金产品资料概要编制、披露与更新要求，自《信息披露办法》实施之日起一年后开始执行。</w:t>
      </w:r>
    </w:p>
    <w:p>
      <w:pPr>
        <w:pStyle w:val="BodyText"/>
        <w:spacing w:line="269" w:lineRule="exact"/>
        <w:ind w:left="960"/>
      </w:pPr>
      <w:r>
        <w:rPr/>
        <w:t>基金的过往业绩并不预示其未来表现。</w:t>
      </w:r>
    </w:p>
    <w:p>
      <w:pPr>
        <w:pStyle w:val="BodyText"/>
        <w:spacing w:before="5"/>
        <w:rPr>
          <w:sz w:val="15"/>
        </w:rPr>
      </w:pPr>
    </w:p>
    <w:p>
      <w:pPr>
        <w:pStyle w:val="BodyText"/>
        <w:spacing w:line="417" w:lineRule="auto"/>
        <w:ind w:left="540" w:right="315" w:firstLine="419"/>
      </w:pPr>
      <w:r>
        <w:rPr>
          <w:spacing w:val="-9"/>
        </w:rPr>
        <w:t>基金管理人依照恪尽职守、诚实信用、谨慎勤勉的原则管理和运用基金财产，但不保证</w:t>
      </w:r>
      <w:r>
        <w:rPr>
          <w:spacing w:val="-5"/>
        </w:rPr>
        <w:t>基金一定盈利，也不保证最低收益。</w:t>
      </w:r>
    </w:p>
    <w:p>
      <w:pPr>
        <w:pStyle w:val="BodyText"/>
        <w:ind w:left="960"/>
      </w:pPr>
      <w:r>
        <w:rPr/>
        <w:t>投资者应当认真阅读并完全理解基金合同规定的免责条款和规定的争议处理方式。</w:t>
      </w:r>
    </w:p>
    <w:p>
      <w:pPr>
        <w:pStyle w:val="BodyText"/>
        <w:spacing w:before="7"/>
        <w:rPr>
          <w:sz w:val="15"/>
        </w:rPr>
      </w:pPr>
    </w:p>
    <w:p>
      <w:pPr>
        <w:pStyle w:val="BodyText"/>
        <w:ind w:left="960"/>
      </w:pPr>
      <w:r>
        <w:rPr/>
        <w:t>本招募说明书所载内容截止日为</w:t>
      </w:r>
      <w:r>
        <w:rPr>
          <w:rFonts w:ascii="Times New Roman" w:eastAsia="Times New Roman"/>
        </w:rPr>
        <w:t>2020</w:t>
      </w:r>
      <w:r>
        <w:rPr/>
        <w:t>年</w:t>
      </w:r>
      <w:r>
        <w:rPr>
          <w:rFonts w:ascii="Times New Roman" w:eastAsia="Times New Roman"/>
        </w:rPr>
        <w:t>9</w:t>
      </w:r>
      <w:r>
        <w:rPr/>
        <w:t>月</w:t>
      </w:r>
      <w:r>
        <w:rPr>
          <w:rFonts w:ascii="Times New Roman" w:eastAsia="Times New Roman"/>
        </w:rPr>
        <w:t>28</w:t>
      </w:r>
      <w:r>
        <w:rPr/>
        <w:t>日，有关财务数据和净值表现数据截止日</w:t>
      </w:r>
    </w:p>
    <w:p>
      <w:pPr>
        <w:spacing w:after="0"/>
        <w:sectPr>
          <w:headerReference w:type="default" r:id="rId5"/>
          <w:pgSz w:w="11910" w:h="16840"/>
          <w:pgMar w:header="877" w:footer="0" w:top="1420" w:bottom="280" w:left="1260" w:right="1480"/>
        </w:sectPr>
      </w:pPr>
    </w:p>
    <w:p>
      <w:pPr>
        <w:pStyle w:val="BodyText"/>
        <w:spacing w:before="110"/>
        <w:ind w:left="540"/>
      </w:pPr>
      <w:r>
        <w:rPr/>
        <w:t>为</w:t>
      </w:r>
      <w:r>
        <w:rPr>
          <w:rFonts w:ascii="Times New Roman" w:eastAsia="Times New Roman"/>
        </w:rPr>
        <w:t>2020</w:t>
      </w:r>
      <w:r>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sectPr>
          <w:pgSz w:w="11910" w:h="16840"/>
          <w:pgMar w:header="877" w:footer="0" w:top="1420" w:bottom="280" w:left="1260" w:right="1480"/>
        </w:sectPr>
      </w:pPr>
    </w:p>
    <w:p>
      <w:pPr>
        <w:spacing w:before="110"/>
        <w:ind w:left="2461" w:right="1820" w:firstLine="0"/>
        <w:jc w:val="center"/>
        <w:rPr>
          <w:b/>
          <w:sz w:val="21"/>
        </w:rPr>
      </w:pPr>
      <w:r>
        <w:rPr>
          <w:b/>
          <w:sz w:val="21"/>
        </w:rPr>
        <w:t>目录</w:t>
      </w:r>
    </w:p>
    <w:sdt>
      <w:sdtPr>
        <w:docPartObj>
          <w:docPartGallery w:val="Table of Contents"/>
          <w:docPartUnique/>
        </w:docPartObj>
      </w:sdtPr>
      <w:sdtEndPr/>
      <w:sdtContent>
        <w:p>
          <w:pPr>
            <w:pStyle w:val="TOC1"/>
            <w:tabs>
              <w:tab w:pos="8838" w:val="right" w:leader="dot"/>
            </w:tabs>
            <w:spacing w:before="511"/>
            <w:rPr>
              <w:rFonts w:ascii="Times New Roman" w:eastAsia="Times New Roman"/>
            </w:rPr>
          </w:pPr>
          <w:hyperlink w:history="true" w:anchor="_bookmark0">
            <w:r>
              <w:rPr/>
              <w:t>一、</w:t>
            </w:r>
            <w:r>
              <w:rPr>
                <w:spacing w:val="-3"/>
              </w:rPr>
              <w:t>绪</w:t>
            </w:r>
            <w:r>
              <w:rPr/>
              <w:t>言</w:t>
              <w:tab/>
            </w:r>
            <w:r>
              <w:rPr>
                <w:rFonts w:ascii="Times New Roman" w:eastAsia="Times New Roman"/>
              </w:rPr>
              <w:t>5</w:t>
            </w:r>
          </w:hyperlink>
        </w:p>
        <w:p>
          <w:pPr>
            <w:pStyle w:val="TOC1"/>
            <w:tabs>
              <w:tab w:pos="883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5</w:t>
            </w:r>
          </w:hyperlink>
        </w:p>
        <w:p>
          <w:pPr>
            <w:pStyle w:val="TOC1"/>
            <w:tabs>
              <w:tab w:pos="8838"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9</w:t>
            </w:r>
          </w:hyperlink>
        </w:p>
        <w:p>
          <w:pPr>
            <w:pStyle w:val="TOC1"/>
            <w:tabs>
              <w:tab w:pos="8838" w:val="right" w:leader="dot"/>
            </w:tabs>
            <w:spacing w:before="198"/>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17</w:t>
            </w:r>
          </w:hyperlink>
        </w:p>
        <w:p>
          <w:pPr>
            <w:pStyle w:val="TOC1"/>
            <w:tabs>
              <w:tab w:pos="883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21</w:t>
            </w:r>
          </w:hyperlink>
        </w:p>
        <w:p>
          <w:pPr>
            <w:pStyle w:val="TOC1"/>
            <w:tabs>
              <w:tab w:pos="8838" w:val="right" w:leader="dot"/>
            </w:tabs>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46</w:t>
            </w:r>
          </w:hyperlink>
        </w:p>
        <w:p>
          <w:pPr>
            <w:pStyle w:val="TOC1"/>
            <w:tabs>
              <w:tab w:pos="8838" w:val="right" w:leader="dot"/>
            </w:tabs>
            <w:spacing w:before="200"/>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46</w:t>
            </w:r>
          </w:hyperlink>
        </w:p>
        <w:p>
          <w:pPr>
            <w:pStyle w:val="TOC1"/>
            <w:tabs>
              <w:tab w:pos="883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46</w:t>
            </w:r>
          </w:hyperlink>
        </w:p>
        <w:p>
          <w:pPr>
            <w:pStyle w:val="TOC1"/>
            <w:tabs>
              <w:tab w:pos="883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72</w:t>
            </w:r>
          </w:hyperlink>
        </w:p>
        <w:p>
          <w:pPr>
            <w:pStyle w:val="TOC1"/>
            <w:tabs>
              <w:tab w:pos="8838"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76</w:t>
            </w:r>
          </w:hyperlink>
        </w:p>
        <w:p>
          <w:pPr>
            <w:pStyle w:val="TOC1"/>
            <w:tabs>
              <w:tab w:pos="8838"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80</w:t>
            </w:r>
          </w:hyperlink>
        </w:p>
        <w:p>
          <w:pPr>
            <w:pStyle w:val="TOC1"/>
            <w:tabs>
              <w:tab w:pos="8838"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80</w:t>
            </w:r>
          </w:hyperlink>
        </w:p>
        <w:p>
          <w:pPr>
            <w:pStyle w:val="TOC1"/>
            <w:tabs>
              <w:tab w:pos="8838" w:val="right" w:leader="dot"/>
            </w:tabs>
            <w:spacing w:before="198"/>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85</w:t>
            </w:r>
          </w:hyperlink>
        </w:p>
        <w:p>
          <w:pPr>
            <w:pStyle w:val="TOC1"/>
            <w:tabs>
              <w:tab w:pos="8838" w:val="right" w:leader="dot"/>
            </w:tabs>
            <w:spacing w:before="200"/>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86</w:t>
            </w:r>
          </w:hyperlink>
        </w:p>
        <w:p>
          <w:pPr>
            <w:pStyle w:val="TOC1"/>
            <w:tabs>
              <w:tab w:pos="8838"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88</w:t>
            </w:r>
          </w:hyperlink>
        </w:p>
        <w:p>
          <w:pPr>
            <w:pStyle w:val="TOC1"/>
            <w:tabs>
              <w:tab w:pos="8838"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88</w:t>
            </w:r>
          </w:hyperlink>
        </w:p>
        <w:p>
          <w:pPr>
            <w:pStyle w:val="TOC1"/>
            <w:tabs>
              <w:tab w:pos="8838"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rPr>
              <w:t>93</w:t>
            </w:r>
          </w:hyperlink>
        </w:p>
        <w:p>
          <w:pPr>
            <w:pStyle w:val="TOC1"/>
            <w:tabs>
              <w:tab w:pos="8838" w:val="right" w:leader="dot"/>
            </w:tabs>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98</w:t>
            </w:r>
          </w:hyperlink>
        </w:p>
        <w:p>
          <w:pPr>
            <w:pStyle w:val="TOC1"/>
            <w:tabs>
              <w:tab w:pos="8838"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99</w:t>
            </w:r>
          </w:hyperlink>
        </w:p>
        <w:p>
          <w:pPr>
            <w:pStyle w:val="TOC1"/>
            <w:tabs>
              <w:tab w:pos="8841" w:val="right" w:leader="dot"/>
            </w:tabs>
            <w:spacing w:before="198"/>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spacing w:val="-3"/>
              </w:rPr>
              <w:t>114</w:t>
            </w:r>
          </w:hyperlink>
        </w:p>
        <w:p>
          <w:pPr>
            <w:pStyle w:val="TOC1"/>
            <w:tabs>
              <w:tab w:pos="8841" w:val="right" w:leader="dot"/>
            </w:tabs>
            <w:spacing w:before="200"/>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125</w:t>
            </w:r>
          </w:hyperlink>
        </w:p>
        <w:p>
          <w:pPr>
            <w:pStyle w:val="TOC1"/>
            <w:tabs>
              <w:tab w:pos="8841" w:val="right" w:leader="dot"/>
            </w:tabs>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127</w:t>
            </w:r>
          </w:hyperlink>
        </w:p>
        <w:p>
          <w:pPr>
            <w:pStyle w:val="TOC1"/>
            <w:tabs>
              <w:tab w:pos="8841" w:val="right" w:leader="dot"/>
            </w:tabs>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128</w:t>
            </w:r>
          </w:hyperlink>
        </w:p>
        <w:p>
          <w:pPr>
            <w:pStyle w:val="TOC1"/>
            <w:tabs>
              <w:tab w:pos="8841" w:val="right" w:leader="dot"/>
            </w:tabs>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128</w:t>
            </w:r>
          </w:hyperlink>
        </w:p>
      </w:sdtContent>
    </w:sdt>
    <w:p>
      <w:pPr>
        <w:spacing w:after="0"/>
        <w:rPr>
          <w:rFonts w:ascii="Times New Roman" w:eastAsia="Times New Roman"/>
        </w:rPr>
        <w:sectPr>
          <w:pgSz w:w="11910" w:h="16840"/>
          <w:pgMar w:header="877" w:footer="0" w:top="1420" w:bottom="280" w:left="1260" w:right="1480"/>
        </w:sectPr>
      </w:pPr>
    </w:p>
    <w:p>
      <w:pPr>
        <w:pStyle w:val="Heading1"/>
        <w:spacing w:before="110"/>
      </w:pPr>
      <w:bookmarkStart w:name="_bookmark0" w:id="1"/>
      <w:bookmarkEnd w:id="1"/>
      <w:r>
        <w:rPr>
          <w:b w:val="0"/>
        </w:rPr>
      </w:r>
      <w:r>
        <w:rPr/>
        <w:t>一、绪言</w:t>
      </w:r>
    </w:p>
    <w:p>
      <w:pPr>
        <w:pStyle w:val="BodyText"/>
        <w:rPr>
          <w:b/>
          <w:sz w:val="20"/>
        </w:rPr>
      </w:pPr>
    </w:p>
    <w:p>
      <w:pPr>
        <w:pStyle w:val="BodyText"/>
        <w:spacing w:before="3"/>
        <w:rPr>
          <w:b/>
          <w:sz w:val="14"/>
        </w:rPr>
      </w:pPr>
    </w:p>
    <w:p>
      <w:pPr>
        <w:pStyle w:val="BodyText"/>
        <w:ind w:left="960"/>
      </w:pPr>
      <w:r>
        <w:rPr>
          <w:spacing w:val="-5"/>
        </w:rPr>
        <w:t>《华夏鼎茂债券型证券投资基金招募说明书</w:t>
      </w:r>
      <w:r>
        <w:rPr>
          <w:spacing w:val="-3"/>
        </w:rPr>
        <w:t>（</w:t>
      </w:r>
      <w:r>
        <w:rPr/>
        <w:t>更新</w:t>
      </w:r>
      <w:r>
        <w:rPr>
          <w:spacing w:val="-108"/>
        </w:rPr>
        <w:t>）</w:t>
      </w:r>
      <w:r>
        <w:rPr>
          <w:spacing w:val="-130"/>
        </w:rPr>
        <w:t>》</w:t>
      </w:r>
      <w:r>
        <w:rPr/>
        <w:t>（</w:t>
      </w:r>
      <w:r>
        <w:rPr>
          <w:spacing w:val="-3"/>
        </w:rPr>
        <w:t>以下简称</w:t>
      </w:r>
      <w:r>
        <w:rPr>
          <w:rFonts w:ascii="Times New Roman" w:hAnsi="Times New Roman" w:eastAsia="Times New Roman"/>
        </w:rPr>
        <w:t>“</w:t>
      </w:r>
      <w:r>
        <w:rPr>
          <w:spacing w:val="-3"/>
        </w:rPr>
        <w:t>本招募说明书</w:t>
      </w:r>
      <w:r>
        <w:rPr>
          <w:rFonts w:ascii="Times New Roman" w:hAnsi="Times New Roman" w:eastAsia="Times New Roman"/>
          <w:spacing w:val="-13"/>
        </w:rPr>
        <w:t>”</w:t>
      </w:r>
      <w:r>
        <w:rPr>
          <w:spacing w:val="-13"/>
        </w:rPr>
        <w:t>）</w:t>
      </w:r>
      <w:r>
        <w:rPr>
          <w:spacing w:val="-2"/>
        </w:rPr>
        <w:t>依据</w:t>
      </w:r>
    </w:p>
    <w:p>
      <w:pPr>
        <w:pStyle w:val="BodyText"/>
        <w:spacing w:before="7"/>
        <w:rPr>
          <w:sz w:val="15"/>
        </w:rPr>
      </w:pPr>
    </w:p>
    <w:p>
      <w:pPr>
        <w:pStyle w:val="BodyText"/>
        <w:spacing w:line="417" w:lineRule="auto"/>
        <w:ind w:left="540" w:right="205"/>
        <w:jc w:val="both"/>
      </w:pPr>
      <w:r>
        <w:rPr>
          <w:spacing w:val="-9"/>
          <w:w w:val="100"/>
        </w:rPr>
        <w:t>《中华人民共和国证券投资基金法》</w:t>
      </w:r>
      <w:r>
        <w:rPr>
          <w:w w:val="100"/>
        </w:rPr>
        <w:t>（以下简称</w:t>
      </w:r>
      <w:r>
        <w:rPr>
          <w:rFonts w:ascii="Times New Roman" w:hAnsi="Times New Roman" w:eastAsia="Times New Roman"/>
          <w:spacing w:val="-1"/>
          <w:w w:val="100"/>
        </w:rPr>
        <w:t>“</w:t>
      </w:r>
      <w:r>
        <w:rPr>
          <w:spacing w:val="-2"/>
          <w:w w:val="100"/>
        </w:rPr>
        <w:t>《基金法》</w:t>
      </w:r>
      <w:r>
        <w:rPr>
          <w:rFonts w:ascii="Times New Roman" w:hAnsi="Times New Roman" w:eastAsia="Times New Roman"/>
          <w:spacing w:val="-1"/>
          <w:w w:val="100"/>
        </w:rPr>
        <w:t>”</w:t>
      </w:r>
      <w:r>
        <w:rPr>
          <w:spacing w:val="-106"/>
          <w:w w:val="100"/>
        </w:rPr>
        <w:t>）</w:t>
      </w:r>
      <w:r>
        <w:rPr>
          <w:spacing w:val="-11"/>
          <w:w w:val="100"/>
        </w:rPr>
        <w:t>、《证券投资基金销售管理办</w:t>
      </w:r>
      <w:r>
        <w:rPr>
          <w:spacing w:val="-58"/>
          <w:w w:val="100"/>
        </w:rPr>
        <w:t>法》</w:t>
      </w:r>
      <w:r>
        <w:rPr>
          <w:w w:val="100"/>
        </w:rPr>
        <w:t>（以下简称</w:t>
      </w:r>
      <w:r>
        <w:rPr>
          <w:rFonts w:ascii="Times New Roman" w:hAnsi="Times New Roman" w:eastAsia="Times New Roman"/>
          <w:spacing w:val="-1"/>
          <w:w w:val="100"/>
        </w:rPr>
        <w:t>“</w:t>
      </w:r>
      <w:r>
        <w:rPr>
          <w:spacing w:val="-1"/>
          <w:w w:val="100"/>
        </w:rPr>
        <w:t>《销售办法》</w:t>
      </w:r>
      <w:r>
        <w:rPr>
          <w:rFonts w:ascii="Times New Roman" w:hAnsi="Times New Roman" w:eastAsia="Times New Roman"/>
          <w:spacing w:val="-1"/>
          <w:w w:val="100"/>
        </w:rPr>
        <w:t>”</w:t>
      </w:r>
      <w:r>
        <w:rPr>
          <w:spacing w:val="-104"/>
          <w:w w:val="100"/>
        </w:rPr>
        <w:t>）</w:t>
      </w:r>
      <w:r>
        <w:rPr>
          <w:spacing w:val="-17"/>
          <w:w w:val="100"/>
        </w:rPr>
        <w:t>、《公开募集证券投资基金运作管理办法》</w:t>
      </w:r>
      <w:r>
        <w:rPr>
          <w:w w:val="100"/>
        </w:rPr>
        <w:t>（</w:t>
      </w:r>
      <w:r>
        <w:rPr>
          <w:spacing w:val="-2"/>
          <w:w w:val="100"/>
        </w:rPr>
        <w:t>以下简称</w:t>
      </w:r>
      <w:r>
        <w:rPr>
          <w:rFonts w:ascii="Times New Roman" w:hAnsi="Times New Roman" w:eastAsia="Times New Roman"/>
          <w:spacing w:val="-1"/>
          <w:w w:val="100"/>
        </w:rPr>
        <w:t>“</w:t>
      </w:r>
      <w:r>
        <w:rPr>
          <w:w w:val="100"/>
        </w:rPr>
        <w:t>《运</w:t>
      </w:r>
      <w:r>
        <w:rPr>
          <w:spacing w:val="-4"/>
          <w:w w:val="100"/>
        </w:rPr>
        <w:t>作办法》</w:t>
      </w:r>
      <w:r>
        <w:rPr>
          <w:rFonts w:ascii="Times New Roman" w:hAnsi="Times New Roman" w:eastAsia="Times New Roman"/>
          <w:spacing w:val="-1"/>
          <w:w w:val="100"/>
        </w:rPr>
        <w:t>”</w:t>
      </w:r>
      <w:r>
        <w:rPr>
          <w:spacing w:val="-108"/>
          <w:w w:val="100"/>
        </w:rPr>
        <w:t>）</w:t>
      </w:r>
      <w:r>
        <w:rPr>
          <w:spacing w:val="-19"/>
          <w:w w:val="100"/>
        </w:rPr>
        <w:t>、《公开募集证券投资基金信息披露管理办法》</w:t>
      </w:r>
      <w:r>
        <w:rPr>
          <w:w w:val="100"/>
        </w:rPr>
        <w:t>（</w:t>
      </w:r>
      <w:r>
        <w:rPr>
          <w:spacing w:val="-3"/>
          <w:w w:val="100"/>
        </w:rPr>
        <w:t>以下简称</w:t>
      </w:r>
      <w:r>
        <w:rPr>
          <w:rFonts w:ascii="Times New Roman" w:hAnsi="Times New Roman" w:eastAsia="Times New Roman"/>
          <w:spacing w:val="-13"/>
          <w:w w:val="100"/>
        </w:rPr>
        <w:t>“</w:t>
      </w:r>
      <w:r>
        <w:rPr>
          <w:spacing w:val="-5"/>
          <w:w w:val="100"/>
        </w:rPr>
        <w:t>《信息披露办法》</w:t>
      </w:r>
      <w:r>
        <w:rPr>
          <w:rFonts w:ascii="Times New Roman" w:hAnsi="Times New Roman" w:eastAsia="Times New Roman"/>
          <w:spacing w:val="-1"/>
          <w:w w:val="100"/>
        </w:rPr>
        <w:t>”</w:t>
      </w:r>
      <w:r>
        <w:rPr>
          <w:spacing w:val="-106"/>
          <w:w w:val="100"/>
        </w:rPr>
        <w:t>）</w:t>
      </w:r>
      <w:r>
        <w:rPr>
          <w:w w:val="100"/>
        </w:rPr>
        <w:t>、</w:t>
      </w:r>
    </w:p>
    <w:p>
      <w:pPr>
        <w:pStyle w:val="BodyText"/>
        <w:spacing w:line="417" w:lineRule="auto"/>
        <w:ind w:left="540" w:right="205"/>
      </w:pPr>
      <w:r>
        <w:rPr>
          <w:spacing w:val="-3"/>
          <w:w w:val="100"/>
        </w:rPr>
        <w:t>《公开募集开放式证券投资基金流动性风险管理规定</w:t>
      </w:r>
      <w:r>
        <w:rPr>
          <w:spacing w:val="-207"/>
          <w:w w:val="100"/>
        </w:rPr>
        <w:t>》</w:t>
      </w:r>
      <w:r>
        <w:rPr>
          <w:w w:val="100"/>
        </w:rPr>
        <w:t>（</w:t>
      </w:r>
      <w:r>
        <w:rPr>
          <w:spacing w:val="-30"/>
          <w:w w:val="100"/>
        </w:rPr>
        <w:t>以下简称“《流动性风险管理规定》”</w:t>
      </w:r>
      <w:r>
        <w:rPr>
          <w:w w:val="100"/>
        </w:rPr>
        <w:t>）</w:t>
      </w:r>
      <w:r>
        <w:rPr>
          <w:spacing w:val="-7"/>
        </w:rPr>
        <w:t>及其他有关规定以及《华夏鼎茂债券型证券投资基金基金合同》</w:t>
      </w:r>
      <w:r>
        <w:rPr>
          <w:spacing w:val="-3"/>
        </w:rPr>
        <w:t>（</w:t>
      </w:r>
      <w:r>
        <w:rPr>
          <w:spacing w:val="-2"/>
        </w:rPr>
        <w:t>以下简称</w:t>
      </w:r>
      <w:r>
        <w:rPr>
          <w:rFonts w:ascii="Times New Roman" w:hAnsi="Times New Roman" w:eastAsia="Times New Roman"/>
          <w:spacing w:val="-3"/>
        </w:rPr>
        <w:t>“</w:t>
      </w:r>
      <w:r>
        <w:rPr>
          <w:spacing w:val="-1"/>
        </w:rPr>
        <w:t>基金合同</w:t>
      </w:r>
      <w:r>
        <w:rPr>
          <w:rFonts w:ascii="Times New Roman" w:hAnsi="Times New Roman" w:eastAsia="Times New Roman"/>
          <w:spacing w:val="-10"/>
        </w:rPr>
        <w:t>”</w:t>
      </w:r>
      <w:r>
        <w:rPr>
          <w:spacing w:val="-10"/>
        </w:rPr>
        <w:t>）</w:t>
      </w:r>
      <w:r>
        <w:rPr/>
        <w:t>编写。</w:t>
      </w:r>
    </w:p>
    <w:p>
      <w:pPr>
        <w:pStyle w:val="BodyText"/>
        <w:spacing w:line="417" w:lineRule="auto"/>
        <w:ind w:left="540" w:right="31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540" w:right="311" w:firstLine="419"/>
        <w:jc w:val="both"/>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同当事人按照《基金法》、基金合同及其他有关规定享有权利、承担义务。基金投资者欲了</w:t>
      </w:r>
      <w:r>
        <w:rPr>
          <w:spacing w:val="-6"/>
        </w:rPr>
        <w:t>解基金份额持有人的权利和义务，应详细查阅基金合同。</w:t>
      </w:r>
    </w:p>
    <w:p>
      <w:pPr>
        <w:pStyle w:val="BodyText"/>
        <w:spacing w:before="6"/>
        <w:rPr>
          <w:sz w:val="26"/>
        </w:rPr>
      </w:pPr>
    </w:p>
    <w:p>
      <w:pPr>
        <w:pStyle w:val="Heading1"/>
      </w:pPr>
      <w:bookmarkStart w:name="_bookmark1" w:id="2"/>
      <w:bookmarkEnd w:id="2"/>
      <w:r>
        <w:rPr>
          <w:b w:val="0"/>
        </w:rPr>
      </w:r>
      <w:r>
        <w:rPr/>
        <w:t>二、释义</w:t>
      </w:r>
    </w:p>
    <w:p>
      <w:pPr>
        <w:pStyle w:val="BodyText"/>
        <w:rPr>
          <w:b/>
          <w:sz w:val="20"/>
        </w:rPr>
      </w:pPr>
    </w:p>
    <w:p>
      <w:pPr>
        <w:pStyle w:val="BodyText"/>
        <w:spacing w:before="2"/>
        <w:rPr>
          <w:b/>
        </w:rPr>
      </w:pPr>
    </w:p>
    <w:p>
      <w:pPr>
        <w:pStyle w:val="BodyText"/>
        <w:ind w:left="960"/>
      </w:pPr>
      <w:r>
        <w:rPr/>
        <w:t>本招募说明书中，除非文意另有所指，下列词语或简称具有如下含义：</w:t>
      </w:r>
    </w:p>
    <w:p>
      <w:pPr>
        <w:pStyle w:val="BodyText"/>
        <w:spacing w:before="7"/>
        <w:rPr>
          <w:sz w:val="15"/>
        </w:rPr>
      </w:pPr>
    </w:p>
    <w:p>
      <w:pPr>
        <w:pStyle w:val="BodyText"/>
        <w:ind w:left="960"/>
      </w:pPr>
      <w:r>
        <w:rPr>
          <w:rFonts w:ascii="Times New Roman" w:eastAsia="Times New Roman"/>
        </w:rPr>
        <w:t>1</w:t>
      </w:r>
      <w:r>
        <w:rPr/>
        <w:t>、基金或本基金：指华夏鼎茂债券型证券投资基金。</w:t>
      </w:r>
    </w:p>
    <w:p>
      <w:pPr>
        <w:pStyle w:val="BodyText"/>
        <w:spacing w:before="7"/>
        <w:rPr>
          <w:sz w:val="15"/>
        </w:rPr>
      </w:pPr>
    </w:p>
    <w:p>
      <w:pPr>
        <w:pStyle w:val="BodyText"/>
        <w:ind w:left="960"/>
      </w:pPr>
      <w:r>
        <w:rPr>
          <w:rFonts w:ascii="Times New Roman" w:eastAsia="Times New Roman"/>
        </w:rPr>
        <w:t>2</w:t>
      </w:r>
      <w:r>
        <w:rPr>
          <w:spacing w:val="-3"/>
        </w:rPr>
        <w:t>、基金管理人：指华夏基金管理有限公司。</w:t>
      </w:r>
    </w:p>
    <w:p>
      <w:pPr>
        <w:pStyle w:val="BodyText"/>
        <w:spacing w:before="6"/>
        <w:rPr>
          <w:sz w:val="15"/>
        </w:rPr>
      </w:pPr>
    </w:p>
    <w:p>
      <w:pPr>
        <w:pStyle w:val="BodyText"/>
        <w:spacing w:before="1"/>
        <w:ind w:left="960"/>
      </w:pPr>
      <w:r>
        <w:rPr>
          <w:rFonts w:ascii="Times New Roman" w:eastAsia="Times New Roman"/>
        </w:rPr>
        <w:t>3</w:t>
      </w:r>
      <w:r>
        <w:rPr>
          <w:spacing w:val="-3"/>
        </w:rPr>
        <w:t>、基金托管人：指招商银行股份有限公司。</w:t>
      </w:r>
    </w:p>
    <w:p>
      <w:pPr>
        <w:pStyle w:val="BodyText"/>
        <w:spacing w:before="6"/>
        <w:rPr>
          <w:sz w:val="15"/>
        </w:rPr>
      </w:pPr>
    </w:p>
    <w:p>
      <w:pPr>
        <w:pStyle w:val="BodyText"/>
        <w:spacing w:line="417" w:lineRule="auto"/>
        <w:ind w:left="540" w:right="313" w:firstLine="419"/>
      </w:pPr>
      <w:r>
        <w:rPr>
          <w:rFonts w:ascii="Times New Roman" w:eastAsia="Times New Roman"/>
        </w:rPr>
        <w:t>4</w:t>
      </w:r>
      <w:r>
        <w:rPr>
          <w:spacing w:val="-15"/>
        </w:rPr>
        <w:t>、基金合同</w:t>
      </w:r>
      <w:r>
        <w:rPr>
          <w:spacing w:val="-22"/>
        </w:rPr>
        <w:t>、《基金合同》或本基金合同：指《华夏鼎茂债券型证券投资基金基金合同》</w:t>
      </w:r>
      <w:r>
        <w:rPr>
          <w:spacing w:val="-8"/>
        </w:rPr>
        <w:t>及对本基金合同的任何有效修订和补充。</w:t>
      </w:r>
    </w:p>
    <w:p>
      <w:pPr>
        <w:pStyle w:val="BodyText"/>
        <w:ind w:left="960"/>
      </w:pPr>
      <w:r>
        <w:rPr>
          <w:rFonts w:ascii="Times New Roman" w:eastAsia="Times New Roman"/>
        </w:rPr>
        <w:t>5</w:t>
      </w:r>
      <w:r>
        <w:rPr/>
        <w:t>、托管协议：指基金管理人与基金托管人就本基金签订之《华夏鼎茂债券型证券投资</w:t>
      </w:r>
    </w:p>
    <w:p>
      <w:pPr>
        <w:spacing w:after="0"/>
        <w:sectPr>
          <w:pgSz w:w="11910" w:h="16840"/>
          <w:pgMar w:header="877" w:footer="0" w:top="1420" w:bottom="280" w:left="1260" w:right="1480"/>
        </w:sectPr>
      </w:pPr>
    </w:p>
    <w:p>
      <w:pPr>
        <w:pStyle w:val="BodyText"/>
        <w:spacing w:before="110"/>
        <w:ind w:left="540"/>
      </w:pPr>
      <w:r>
        <w:rPr/>
        <w:t>基金托管协议》及对该托管协议的任何有效修订和补充。</w:t>
      </w:r>
    </w:p>
    <w:p>
      <w:pPr>
        <w:pStyle w:val="BodyText"/>
        <w:spacing w:before="6"/>
        <w:rPr>
          <w:sz w:val="15"/>
        </w:rPr>
      </w:pPr>
    </w:p>
    <w:p>
      <w:pPr>
        <w:pStyle w:val="BodyText"/>
        <w:ind w:left="960"/>
      </w:pPr>
      <w:r>
        <w:rPr>
          <w:rFonts w:ascii="Times New Roman" w:eastAsia="Times New Roman"/>
        </w:rPr>
        <w:t>6</w:t>
      </w:r>
      <w:r>
        <w:rPr/>
        <w:t>、招募说明书：指《华夏鼎茂债券型证券投资基金招募说明书》及其更新。</w:t>
      </w:r>
    </w:p>
    <w:p>
      <w:pPr>
        <w:pStyle w:val="BodyText"/>
        <w:spacing w:before="7"/>
        <w:rPr>
          <w:sz w:val="15"/>
        </w:rPr>
      </w:pPr>
    </w:p>
    <w:p>
      <w:pPr>
        <w:pStyle w:val="BodyText"/>
        <w:ind w:left="960"/>
      </w:pPr>
      <w:r>
        <w:rPr>
          <w:rFonts w:ascii="Times New Roman" w:eastAsia="Times New Roman"/>
        </w:rPr>
        <w:t>7</w:t>
      </w:r>
      <w:r>
        <w:rPr/>
        <w:t>、基金份额发售公告：指《华夏鼎茂债券型证券投资基金基金份额发售公告》。</w:t>
      </w:r>
    </w:p>
    <w:p>
      <w:pPr>
        <w:pStyle w:val="BodyText"/>
        <w:spacing w:before="7"/>
        <w:rPr>
          <w:sz w:val="15"/>
        </w:rPr>
      </w:pPr>
    </w:p>
    <w:p>
      <w:pPr>
        <w:pStyle w:val="BodyText"/>
        <w:spacing w:line="417" w:lineRule="auto"/>
        <w:ind w:left="540" w:right="314" w:firstLine="419"/>
      </w:pPr>
      <w:r>
        <w:rPr>
          <w:rFonts w:ascii="Times New Roman" w:eastAsia="Times New Roman"/>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spacing w:line="269" w:lineRule="exact"/>
        <w:ind w:left="960"/>
      </w:pPr>
      <w:r>
        <w:rPr>
          <w:rFonts w:ascii="Times New Roman" w:eastAsia="Times New Roman"/>
        </w:rPr>
        <w:t>9</w:t>
      </w:r>
      <w:r>
        <w:rPr>
          <w:spacing w:val="-24"/>
        </w:rPr>
        <w:t>、《基金法》：指《中华人民共和国证券投资基金法》及颁布机关对其不时做出的修订。</w:t>
      </w:r>
    </w:p>
    <w:p>
      <w:pPr>
        <w:pStyle w:val="BodyText"/>
        <w:spacing w:before="7"/>
        <w:rPr>
          <w:sz w:val="15"/>
        </w:rPr>
      </w:pPr>
    </w:p>
    <w:p>
      <w:pPr>
        <w:pStyle w:val="BodyText"/>
        <w:ind w:left="960"/>
      </w:pPr>
      <w:r>
        <w:rPr>
          <w:rFonts w:ascii="Times New Roman" w:eastAsia="Times New Roman"/>
        </w:rPr>
        <w:t>10</w:t>
      </w:r>
      <w:r>
        <w:rPr/>
        <w:t>、《销售办法》：指《证券投资基金销售管理办法》及颁布机关对其不时做出的修订。</w:t>
      </w:r>
    </w:p>
    <w:p>
      <w:pPr>
        <w:pStyle w:val="BodyText"/>
        <w:spacing w:before="7"/>
        <w:rPr>
          <w:sz w:val="15"/>
        </w:rPr>
      </w:pPr>
    </w:p>
    <w:p>
      <w:pPr>
        <w:pStyle w:val="BodyText"/>
        <w:spacing w:line="417" w:lineRule="auto"/>
        <w:ind w:left="540" w:right="311" w:firstLine="419"/>
      </w:pPr>
      <w:r>
        <w:rPr>
          <w:rFonts w:ascii="Times New Roman" w:eastAsia="Times New Roman"/>
          <w:spacing w:val="-4"/>
        </w:rPr>
        <w:t>11</w:t>
      </w:r>
      <w:r>
        <w:rPr>
          <w:spacing w:val="-20"/>
        </w:rPr>
        <w:t>、《信息披露办法》：指《公开募集证券投资基金信息披露管理办法》及颁布机关对其</w:t>
      </w:r>
      <w:r>
        <w:rPr>
          <w:spacing w:val="-8"/>
        </w:rPr>
        <w:t>不时做出的修订。</w:t>
      </w:r>
    </w:p>
    <w:p>
      <w:pPr>
        <w:pStyle w:val="BodyText"/>
        <w:spacing w:line="417" w:lineRule="auto"/>
        <w:ind w:left="540" w:right="311" w:firstLine="419"/>
      </w:pPr>
      <w:r>
        <w:rPr>
          <w:rFonts w:ascii="Times New Roman" w:eastAsia="Times New Roman"/>
        </w:rPr>
        <w:t>12</w:t>
      </w:r>
      <w:r>
        <w:rPr>
          <w:spacing w:val="-20"/>
        </w:rPr>
        <w:t>、《运作办法》：指《公开募集证券投资基金运作管理办法》及颁布机关对其不时做出</w:t>
      </w:r>
      <w:r>
        <w:rPr>
          <w:spacing w:val="-12"/>
        </w:rPr>
        <w:t>的修订。</w:t>
      </w:r>
    </w:p>
    <w:p>
      <w:pPr>
        <w:pStyle w:val="BodyText"/>
        <w:spacing w:line="417" w:lineRule="auto"/>
        <w:ind w:left="540" w:right="313" w:firstLine="419"/>
      </w:pPr>
      <w:r>
        <w:rPr>
          <w:rFonts w:ascii="Times New Roman" w:eastAsia="Times New Roman"/>
        </w:rPr>
        <w:t>13</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0"/>
        </w:rPr>
        <w:t>施的《公开募集开放式证券投资基金流动性风险管理规定》及颁布机关对其不时做出的修订</w:t>
      </w:r>
    </w:p>
    <w:p>
      <w:pPr>
        <w:pStyle w:val="BodyText"/>
        <w:spacing w:line="269" w:lineRule="exact"/>
        <w:ind w:left="960"/>
      </w:pPr>
      <w:r>
        <w:rPr>
          <w:rFonts w:ascii="Times New Roman" w:eastAsia="Times New Roman"/>
        </w:rPr>
        <w:t>14</w:t>
      </w:r>
      <w:r>
        <w:rPr/>
        <w:t>、中国证监会：指中国证券监督管理委员会。</w:t>
      </w:r>
    </w:p>
    <w:p>
      <w:pPr>
        <w:pStyle w:val="BodyText"/>
        <w:spacing w:before="6"/>
        <w:rPr>
          <w:sz w:val="15"/>
        </w:rPr>
      </w:pPr>
    </w:p>
    <w:p>
      <w:pPr>
        <w:pStyle w:val="BodyText"/>
        <w:spacing w:before="1"/>
        <w:ind w:left="960"/>
      </w:pPr>
      <w:r>
        <w:rPr>
          <w:rFonts w:ascii="Times New Roman" w:eastAsia="Times New Roman"/>
        </w:rPr>
        <w:t>15</w:t>
      </w:r>
      <w:r>
        <w:rPr/>
        <w:t>、银行业监督管理机构：指中国人民银行和</w:t>
      </w:r>
      <w:r>
        <w:rPr>
          <w:rFonts w:ascii="Times New Roman" w:eastAsia="Times New Roman"/>
        </w:rPr>
        <w:t>/</w:t>
      </w:r>
      <w:r>
        <w:rPr/>
        <w:t>或中国银行保险监督管理委员会。</w:t>
      </w:r>
    </w:p>
    <w:p>
      <w:pPr>
        <w:pStyle w:val="BodyText"/>
        <w:spacing w:before="6"/>
        <w:rPr>
          <w:sz w:val="15"/>
        </w:rPr>
      </w:pPr>
    </w:p>
    <w:p>
      <w:pPr>
        <w:pStyle w:val="BodyText"/>
        <w:spacing w:line="417" w:lineRule="auto"/>
        <w:ind w:left="540" w:right="311" w:firstLine="419"/>
      </w:pPr>
      <w:r>
        <w:rPr>
          <w:rFonts w:ascii="Times New Roman" w:eastAsia="Times New Roman"/>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960"/>
      </w:pPr>
      <w:r>
        <w:rPr>
          <w:rFonts w:ascii="Times New Roman" w:eastAsia="Times New Roman"/>
        </w:rPr>
        <w:t>17</w:t>
      </w:r>
      <w:r>
        <w:rPr/>
        <w:t>、个人投资者：指依据有关法律法规规定可投资于证券投资基金的自然人。</w:t>
      </w:r>
    </w:p>
    <w:p>
      <w:pPr>
        <w:pStyle w:val="BodyText"/>
        <w:spacing w:before="7"/>
        <w:rPr>
          <w:sz w:val="15"/>
        </w:rPr>
      </w:pPr>
    </w:p>
    <w:p>
      <w:pPr>
        <w:pStyle w:val="BodyText"/>
        <w:spacing w:line="417" w:lineRule="auto"/>
        <w:ind w:left="540" w:right="311" w:firstLine="419"/>
      </w:pPr>
      <w:r>
        <w:rPr>
          <w:rFonts w:ascii="Times New Roman" w:eastAsia="Times New Roman"/>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ind w:left="540" w:right="210" w:firstLine="419"/>
      </w:pPr>
      <w:r>
        <w:rPr>
          <w:rFonts w:ascii="Times New Roman" w:eastAsia="Times New Roman"/>
        </w:rPr>
        <w:t>19</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417" w:lineRule="auto"/>
        <w:ind w:left="540" w:right="311" w:firstLine="419"/>
      </w:pPr>
      <w:r>
        <w:rPr>
          <w:rFonts w:ascii="Times New Roman" w:eastAsia="Times New Roman"/>
        </w:rPr>
        <w:t>20</w:t>
      </w:r>
      <w:r>
        <w:rPr>
          <w:spacing w:val="-12"/>
        </w:rPr>
        <w:t>、投资人、投资者：指个人投资者、机构投资者和合格境外机构投资者以及法律法规</w:t>
      </w:r>
      <w:r>
        <w:rPr>
          <w:spacing w:val="-6"/>
        </w:rPr>
        <w:t>或中国证监会允许购买证券投资基金的其他投资人的合称。</w:t>
      </w:r>
    </w:p>
    <w:p>
      <w:pPr>
        <w:pStyle w:val="BodyText"/>
        <w:spacing w:line="269" w:lineRule="exact"/>
        <w:ind w:left="960"/>
      </w:pPr>
      <w:r>
        <w:rPr>
          <w:rFonts w:ascii="Times New Roman" w:eastAsia="Times New Roman"/>
        </w:rPr>
        <w:t>21</w:t>
      </w:r>
      <w:r>
        <w:rPr/>
        <w:t>、基金份额持有人：指依基金合同和招募说明书合法取得基金份额的投资人。</w:t>
      </w:r>
    </w:p>
    <w:p>
      <w:pPr>
        <w:pStyle w:val="BodyText"/>
        <w:spacing w:before="7"/>
        <w:rPr>
          <w:sz w:val="15"/>
        </w:rPr>
      </w:pPr>
    </w:p>
    <w:p>
      <w:pPr>
        <w:pStyle w:val="BodyText"/>
        <w:spacing w:line="417" w:lineRule="auto"/>
        <w:ind w:left="540" w:right="311" w:firstLine="419"/>
      </w:pPr>
      <w:r>
        <w:rPr>
          <w:rFonts w:ascii="Times New Roman" w:eastAsia="Times New Roman"/>
        </w:rPr>
        <w:t>22</w:t>
      </w:r>
      <w:r>
        <w:rPr>
          <w:spacing w:val="-11"/>
        </w:rPr>
        <w:t>、基金销售业务：指基金管理人或销售机构宣传推介基金，发售基金份额，办理基金</w:t>
      </w:r>
      <w:r>
        <w:rPr>
          <w:spacing w:val="-6"/>
        </w:rPr>
        <w:t>份额的申购、赎回、转换、转托管、非交易过户及定期定额投资等业务。</w:t>
      </w:r>
    </w:p>
    <w:p>
      <w:pPr>
        <w:pStyle w:val="BodyText"/>
        <w:spacing w:line="417" w:lineRule="auto"/>
        <w:ind w:left="540" w:right="311" w:firstLine="419"/>
        <w:jc w:val="both"/>
      </w:pPr>
      <w:r>
        <w:rPr>
          <w:rFonts w:ascii="Times New Roman" w:eastAsia="Times New Roman"/>
        </w:rPr>
        <w:t>23</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spacing w:after="0" w:line="417" w:lineRule="auto"/>
        <w:jc w:val="both"/>
        <w:sectPr>
          <w:pgSz w:w="11910" w:h="16840"/>
          <w:pgMar w:header="877" w:footer="0" w:top="1420" w:bottom="280" w:left="1260" w:right="1480"/>
        </w:sectPr>
      </w:pPr>
    </w:p>
    <w:p>
      <w:pPr>
        <w:pStyle w:val="BodyText"/>
        <w:spacing w:line="417" w:lineRule="auto" w:before="110"/>
        <w:ind w:left="540" w:right="311" w:firstLine="419"/>
        <w:jc w:val="both"/>
      </w:pPr>
      <w:r>
        <w:rPr>
          <w:rFonts w:ascii="Times New Roman" w:eastAsia="Times New Roman"/>
        </w:rPr>
        <w:t>24</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540" w:right="311" w:firstLine="419"/>
      </w:pPr>
      <w:r>
        <w:rPr>
          <w:rFonts w:ascii="Times New Roman" w:eastAsia="Times New Roman"/>
        </w:rPr>
        <w:t>25</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540" w:right="311" w:firstLine="419"/>
      </w:pPr>
      <w:r>
        <w:rPr>
          <w:rFonts w:ascii="Times New Roman" w:eastAsia="Times New Roman"/>
        </w:rPr>
        <w:t>26</w:t>
      </w:r>
      <w:r>
        <w:rPr>
          <w:spacing w:val="-11"/>
        </w:rPr>
        <w:t>、基金账户：指登记机构为投资人开立的、记录其持有的、由该登记机构登记的基金</w:t>
      </w:r>
      <w:r>
        <w:rPr>
          <w:spacing w:val="-6"/>
        </w:rPr>
        <w:t>份额余额及其变动情况的账户。</w:t>
      </w:r>
    </w:p>
    <w:p>
      <w:pPr>
        <w:pStyle w:val="BodyText"/>
        <w:spacing w:line="417" w:lineRule="auto"/>
        <w:ind w:left="540" w:right="311" w:firstLine="419"/>
        <w:jc w:val="right"/>
      </w:pPr>
      <w:r>
        <w:rPr>
          <w:rFonts w:ascii="Times New Roman" w:eastAsia="Times New Roman"/>
        </w:rPr>
        <w:t>27</w:t>
      </w:r>
      <w:r>
        <w:rPr>
          <w:spacing w:val="-21"/>
        </w:rPr>
        <w:t>、基金交易账户：指销售机构为投资人开立的、记录投资人通过该销售机构办理认购、申购、赎回、转换、转托管及定期定额投资等业务而引起的基金份额变动及结余情况的账户。</w:t>
      </w:r>
      <w:r>
        <w:rPr>
          <w:rFonts w:ascii="Times New Roman" w:eastAsia="Times New Roman"/>
          <w:spacing w:val="-1"/>
        </w:rPr>
        <w:t>28</w:t>
      </w:r>
      <w:r>
        <w:rPr>
          <w:spacing w:val="-11"/>
        </w:rPr>
        <w:t>、基金合同生效日：指基金募集达到法律法规规定及基金合同规定的条件，基金管理</w:t>
      </w:r>
    </w:p>
    <w:p>
      <w:pPr>
        <w:pStyle w:val="BodyText"/>
        <w:spacing w:line="269" w:lineRule="exact"/>
        <w:ind w:left="540"/>
      </w:pPr>
      <w:r>
        <w:rPr/>
        <w:t>人向中国证监会办理基金备案手续完毕，并获得中国证监会书面确认的日期。</w:t>
      </w:r>
    </w:p>
    <w:p>
      <w:pPr>
        <w:pStyle w:val="BodyText"/>
        <w:spacing w:before="6"/>
        <w:rPr>
          <w:sz w:val="15"/>
        </w:rPr>
      </w:pPr>
    </w:p>
    <w:p>
      <w:pPr>
        <w:pStyle w:val="BodyText"/>
        <w:spacing w:line="417" w:lineRule="auto"/>
        <w:ind w:left="540" w:right="311" w:firstLine="419"/>
      </w:pPr>
      <w:r>
        <w:rPr>
          <w:rFonts w:ascii="Times New Roman" w:eastAsia="Times New Roman"/>
        </w:rPr>
        <w:t>29</w:t>
      </w:r>
      <w:r>
        <w:rPr>
          <w:spacing w:val="-20"/>
        </w:rPr>
        <w:t>、基金合同终止日：指基金合同规定的基金合同终止事由出现后，基金财产清算完毕， </w:t>
      </w:r>
      <w:r>
        <w:rPr>
          <w:spacing w:val="-8"/>
        </w:rPr>
        <w:t>清算结果报中国证监会备案并予以公告的日期。</w:t>
      </w:r>
    </w:p>
    <w:p>
      <w:pPr>
        <w:pStyle w:val="BodyText"/>
        <w:spacing w:line="417" w:lineRule="auto"/>
        <w:ind w:left="540" w:right="311" w:firstLine="419"/>
      </w:pPr>
      <w:r>
        <w:rPr>
          <w:rFonts w:ascii="Times New Roman" w:eastAsia="Times New Roman"/>
        </w:rPr>
        <w:t>30</w:t>
      </w:r>
      <w:r>
        <w:rPr>
          <w:spacing w:val="-11"/>
        </w:rPr>
        <w:t>、基金募集期：指自基金份额发售之日起至发售结束之日止的期间，最长不得超过三个月。</w:t>
      </w:r>
    </w:p>
    <w:p>
      <w:pPr>
        <w:pStyle w:val="BodyText"/>
        <w:ind w:left="960"/>
      </w:pPr>
      <w:r>
        <w:rPr>
          <w:rFonts w:ascii="Times New Roman" w:eastAsia="Times New Roman"/>
        </w:rPr>
        <w:t>31</w:t>
      </w:r>
      <w:r>
        <w:rPr/>
        <w:t>、存续期：指基金合同生效至终止之间的不定期期限。</w:t>
      </w:r>
    </w:p>
    <w:p>
      <w:pPr>
        <w:pStyle w:val="BodyText"/>
        <w:spacing w:before="6"/>
        <w:rPr>
          <w:sz w:val="15"/>
        </w:rPr>
      </w:pPr>
    </w:p>
    <w:p>
      <w:pPr>
        <w:pStyle w:val="BodyText"/>
        <w:ind w:left="960"/>
      </w:pPr>
      <w:r>
        <w:rPr>
          <w:rFonts w:ascii="Times New Roman" w:eastAsia="Times New Roman"/>
        </w:rPr>
        <w:t>32</w:t>
      </w:r>
      <w:r>
        <w:rPr/>
        <w:t>、工作日：指上海证券交易所、深圳证券交易所的正常交易日。</w:t>
      </w:r>
    </w:p>
    <w:p>
      <w:pPr>
        <w:pStyle w:val="BodyText"/>
        <w:spacing w:before="7"/>
        <w:rPr>
          <w:sz w:val="15"/>
        </w:rPr>
      </w:pPr>
    </w:p>
    <w:p>
      <w:pPr>
        <w:pStyle w:val="BodyText"/>
        <w:ind w:left="960"/>
      </w:pPr>
      <w:r>
        <w:rPr>
          <w:rFonts w:ascii="Times New Roman" w:eastAsia="Times New Roman"/>
        </w:rPr>
        <w:t>33</w:t>
      </w:r>
      <w:r>
        <w:rPr/>
        <w:t>、</w:t>
      </w:r>
      <w:r>
        <w:rPr>
          <w:rFonts w:ascii="Times New Roman" w:eastAsia="Times New Roman"/>
        </w:rPr>
        <w:t>T </w:t>
      </w:r>
      <w:r>
        <w:rPr/>
        <w:t>日：指销售机构在规定时间受理投资人申购、赎回或其他业务申请的开放日。</w:t>
      </w:r>
    </w:p>
    <w:p>
      <w:pPr>
        <w:pStyle w:val="BodyText"/>
        <w:spacing w:before="7"/>
        <w:rPr>
          <w:sz w:val="15"/>
        </w:rPr>
      </w:pPr>
    </w:p>
    <w:p>
      <w:pPr>
        <w:pStyle w:val="BodyText"/>
        <w:ind w:left="960"/>
      </w:pPr>
      <w:r>
        <w:rPr>
          <w:rFonts w:ascii="Times New Roman" w:eastAsia="Times New Roman"/>
        </w:rPr>
        <w:t>34</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w:t>
      </w:r>
      <w:r>
        <w:rPr>
          <w:rFonts w:ascii="Times New Roman" w:eastAsia="Times New Roman"/>
        </w:rPr>
        <w:t>T </w:t>
      </w:r>
      <w:r>
        <w:rPr/>
        <w:t>日</w:t>
      </w:r>
      <w:r>
        <w:rPr>
          <w:rFonts w:ascii="Times New Roman" w:eastAsia="Times New Roman"/>
        </w:rPr>
        <w:t>)</w:t>
      </w:r>
      <w:r>
        <w:rPr/>
        <w:t>。</w:t>
      </w:r>
    </w:p>
    <w:p>
      <w:pPr>
        <w:pStyle w:val="BodyText"/>
        <w:spacing w:before="6"/>
        <w:rPr>
          <w:sz w:val="15"/>
        </w:rPr>
      </w:pPr>
    </w:p>
    <w:p>
      <w:pPr>
        <w:pStyle w:val="BodyText"/>
        <w:spacing w:before="1"/>
        <w:ind w:left="960"/>
      </w:pPr>
      <w:r>
        <w:rPr>
          <w:rFonts w:ascii="Times New Roman" w:eastAsia="Times New Roman"/>
        </w:rPr>
        <w:t>35</w:t>
      </w:r>
      <w:r>
        <w:rPr/>
        <w:t>、开放日：指为投资人办理基金份额申购、赎回或其他业务的工作日。</w:t>
      </w:r>
    </w:p>
    <w:p>
      <w:pPr>
        <w:pStyle w:val="BodyText"/>
        <w:spacing w:before="6"/>
        <w:rPr>
          <w:sz w:val="15"/>
        </w:rPr>
      </w:pPr>
    </w:p>
    <w:p>
      <w:pPr>
        <w:pStyle w:val="BodyText"/>
        <w:ind w:left="960"/>
      </w:pPr>
      <w:r>
        <w:rPr>
          <w:rFonts w:ascii="Times New Roman" w:eastAsia="Times New Roman"/>
        </w:rPr>
        <w:t>36</w:t>
      </w:r>
      <w:r>
        <w:rPr/>
        <w:t>、开放时间：指开放日基金接受申购、赎回或其他交易的时间段。</w:t>
      </w:r>
    </w:p>
    <w:p>
      <w:pPr>
        <w:pStyle w:val="BodyText"/>
        <w:spacing w:before="8"/>
        <w:rPr>
          <w:sz w:val="15"/>
        </w:rPr>
      </w:pPr>
    </w:p>
    <w:p>
      <w:pPr>
        <w:pStyle w:val="BodyText"/>
        <w:spacing w:line="417" w:lineRule="auto"/>
        <w:ind w:left="540" w:right="311" w:firstLine="419"/>
        <w:jc w:val="both"/>
      </w:pPr>
      <w:r>
        <w:rPr>
          <w:rFonts w:ascii="Times New Roman" w:eastAsia="Times New Roman"/>
        </w:rPr>
        <w:t>37</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pStyle w:val="BodyText"/>
        <w:spacing w:line="269" w:lineRule="exact"/>
        <w:ind w:left="960"/>
      </w:pPr>
      <w:r>
        <w:rPr>
          <w:rFonts w:ascii="Times New Roman" w:eastAsia="Times New Roman"/>
        </w:rPr>
        <w:t>38</w:t>
      </w:r>
      <w:r>
        <w:rPr/>
        <w:t>、认购：指在基金募集期内，投资人申请购买基金份额的行为。</w:t>
      </w:r>
    </w:p>
    <w:p>
      <w:pPr>
        <w:pStyle w:val="BodyText"/>
        <w:spacing w:before="6"/>
        <w:rPr>
          <w:sz w:val="15"/>
        </w:rPr>
      </w:pPr>
    </w:p>
    <w:p>
      <w:pPr>
        <w:pStyle w:val="BodyText"/>
        <w:spacing w:line="417" w:lineRule="auto"/>
        <w:ind w:left="540" w:right="311" w:firstLine="419"/>
      </w:pPr>
      <w:r>
        <w:rPr>
          <w:rFonts w:ascii="Times New Roman" w:eastAsia="Times New Roman"/>
        </w:rPr>
        <w:t>39</w:t>
      </w:r>
      <w:r>
        <w:rPr>
          <w:spacing w:val="-12"/>
        </w:rPr>
        <w:t>、申购：指基金合同生效后，投资人根据基金合同和招募说明书的规定申请购买基金</w:t>
      </w:r>
      <w:r>
        <w:rPr>
          <w:spacing w:val="-6"/>
        </w:rPr>
        <w:t>份额的行为。</w:t>
      </w:r>
    </w:p>
    <w:p>
      <w:pPr>
        <w:pStyle w:val="BodyText"/>
        <w:spacing w:line="417" w:lineRule="auto"/>
        <w:ind w:left="540" w:right="311" w:firstLine="419"/>
      </w:pPr>
      <w:r>
        <w:rPr>
          <w:rFonts w:ascii="Times New Roman" w:eastAsia="Times New Roman"/>
        </w:rPr>
        <w:t>40</w:t>
      </w:r>
      <w:r>
        <w:rPr>
          <w:spacing w:val="-12"/>
        </w:rPr>
        <w:t>、赎回：指基金合同生效后，基金份额持有人按基金合同和招募说明书规定的条件要</w:t>
      </w:r>
      <w:r>
        <w:rPr>
          <w:spacing w:val="-6"/>
        </w:rPr>
        <w:t>求将基金份额兑换为现金的行为。</w:t>
      </w:r>
    </w:p>
    <w:p>
      <w:pPr>
        <w:pStyle w:val="BodyText"/>
        <w:ind w:left="960"/>
      </w:pPr>
      <w:r>
        <w:rPr>
          <w:rFonts w:ascii="Times New Roman" w:eastAsia="Times New Roman"/>
        </w:rPr>
        <w:t>41</w:t>
      </w:r>
      <w:r>
        <w:rPr/>
        <w:t>、基金转换：指基金份额持有人按照本基金合同和基金管理人届时有效公告规定的条</w:t>
      </w:r>
    </w:p>
    <w:p>
      <w:pPr>
        <w:spacing w:after="0"/>
        <w:sectPr>
          <w:pgSz w:w="11910" w:h="16840"/>
          <w:pgMar w:header="877" w:footer="0" w:top="1420" w:bottom="280" w:left="1260" w:right="1480"/>
        </w:sectPr>
      </w:pPr>
    </w:p>
    <w:p>
      <w:pPr>
        <w:pStyle w:val="BodyText"/>
        <w:spacing w:line="417" w:lineRule="auto" w:before="110"/>
        <w:ind w:left="540" w:right="311"/>
      </w:pPr>
      <w:r>
        <w:rPr>
          <w:spacing w:val="-11"/>
        </w:rPr>
        <w:t>件，申请将其持有基金管理人管理的、某一基金的基金份额转换为基金管理人管理的其他基</w:t>
      </w:r>
      <w:r>
        <w:rPr>
          <w:spacing w:val="-6"/>
        </w:rPr>
        <w:t>金基金份额的行为。</w:t>
      </w:r>
    </w:p>
    <w:p>
      <w:pPr>
        <w:pStyle w:val="BodyText"/>
        <w:spacing w:line="417" w:lineRule="auto"/>
        <w:ind w:left="540" w:right="311" w:firstLine="419"/>
      </w:pPr>
      <w:r>
        <w:rPr>
          <w:rFonts w:ascii="Times New Roman" w:eastAsia="Times New Roman"/>
        </w:rPr>
        <w:t>42</w:t>
      </w:r>
      <w:r>
        <w:rPr>
          <w:spacing w:val="-12"/>
        </w:rPr>
        <w:t>、转托管：指基金份额持有人在本基金的不同销售机构之间实施的变更所持基金份额</w:t>
      </w:r>
      <w:r>
        <w:rPr>
          <w:spacing w:val="-6"/>
        </w:rPr>
        <w:t>销售机构的操作。</w:t>
      </w:r>
    </w:p>
    <w:p>
      <w:pPr>
        <w:pStyle w:val="BodyText"/>
        <w:spacing w:line="417" w:lineRule="auto"/>
        <w:ind w:left="540" w:right="311" w:firstLine="419"/>
        <w:jc w:val="both"/>
      </w:pPr>
      <w:r>
        <w:rPr>
          <w:rFonts w:ascii="Times New Roman" w:eastAsia="Times New Roman"/>
        </w:rPr>
        <w:t>43</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540" w:right="314" w:firstLine="419"/>
        <w:jc w:val="both"/>
      </w:pPr>
      <w:r>
        <w:rPr>
          <w:rFonts w:ascii="Times New Roman" w:eastAsia="Times New Roman"/>
        </w:rPr>
        <w:t>44</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 </w:t>
      </w:r>
      <w:r>
        <w:rPr/>
        <w:t>超过上一开放日基金总份额的 </w:t>
      </w:r>
      <w:r>
        <w:rPr>
          <w:rFonts w:ascii="Times New Roman" w:eastAsia="Times New Roman"/>
        </w:rPr>
        <w:t>10%</w:t>
      </w:r>
      <w:r>
        <w:rPr/>
        <w:t>。</w:t>
      </w:r>
    </w:p>
    <w:p>
      <w:pPr>
        <w:pStyle w:val="BodyText"/>
        <w:spacing w:line="269" w:lineRule="exact"/>
        <w:ind w:left="960"/>
      </w:pPr>
      <w:r>
        <w:rPr>
          <w:rFonts w:ascii="Times New Roman" w:eastAsia="Times New Roman"/>
        </w:rPr>
        <w:t>45</w:t>
      </w:r>
      <w:r>
        <w:rPr/>
        <w:t>、元：指人民币元。</w:t>
      </w:r>
    </w:p>
    <w:p>
      <w:pPr>
        <w:pStyle w:val="BodyText"/>
        <w:spacing w:before="6"/>
        <w:rPr>
          <w:sz w:val="15"/>
        </w:rPr>
      </w:pPr>
    </w:p>
    <w:p>
      <w:pPr>
        <w:pStyle w:val="BodyText"/>
        <w:spacing w:line="417" w:lineRule="auto"/>
        <w:ind w:left="540" w:right="311" w:firstLine="419"/>
      </w:pPr>
      <w:r>
        <w:rPr>
          <w:rFonts w:ascii="Times New Roman" w:eastAsia="Times New Roman"/>
        </w:rPr>
        <w:t>46</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540" w:right="311" w:firstLine="419"/>
      </w:pPr>
      <w:r>
        <w:rPr>
          <w:rFonts w:ascii="Times New Roman" w:eastAsia="Times New Roman"/>
        </w:rPr>
        <w:t>47</w:t>
      </w:r>
      <w:r>
        <w:rPr>
          <w:spacing w:val="-11"/>
        </w:rPr>
        <w:t>、基金资产总值：指基金拥有的各类有价证券、银行存款本息、基金应收申购款及其</w:t>
      </w:r>
      <w:r>
        <w:rPr>
          <w:spacing w:val="-6"/>
        </w:rPr>
        <w:t>他资产的价值总和。</w:t>
      </w:r>
    </w:p>
    <w:p>
      <w:pPr>
        <w:pStyle w:val="BodyText"/>
        <w:ind w:left="960"/>
      </w:pPr>
      <w:r>
        <w:rPr>
          <w:rFonts w:ascii="Times New Roman" w:eastAsia="Times New Roman"/>
        </w:rPr>
        <w:t>48</w:t>
      </w:r>
      <w:r>
        <w:rPr/>
        <w:t>、基金资产净值：指基金资产总值减去基金负债后的价值。</w:t>
      </w:r>
    </w:p>
    <w:p>
      <w:pPr>
        <w:pStyle w:val="BodyText"/>
        <w:spacing w:before="6"/>
        <w:rPr>
          <w:sz w:val="15"/>
        </w:rPr>
      </w:pPr>
    </w:p>
    <w:p>
      <w:pPr>
        <w:pStyle w:val="BodyText"/>
        <w:ind w:left="960"/>
      </w:pPr>
      <w:r>
        <w:rPr>
          <w:rFonts w:ascii="Times New Roman" w:eastAsia="Times New Roman"/>
        </w:rPr>
        <w:t>49</w:t>
      </w:r>
      <w:r>
        <w:rPr/>
        <w:t>、基金份额净值：指计算日基金资产净值除以计算日基金份额总数。</w:t>
      </w:r>
    </w:p>
    <w:p>
      <w:pPr>
        <w:pStyle w:val="BodyText"/>
        <w:spacing w:before="7"/>
        <w:rPr>
          <w:sz w:val="15"/>
        </w:rPr>
      </w:pPr>
    </w:p>
    <w:p>
      <w:pPr>
        <w:pStyle w:val="BodyText"/>
        <w:spacing w:line="417" w:lineRule="auto"/>
        <w:ind w:left="540" w:right="311" w:firstLine="419"/>
      </w:pPr>
      <w:r>
        <w:rPr>
          <w:rFonts w:ascii="Times New Roman" w:eastAsia="Times New Roman"/>
        </w:rPr>
        <w:t>50</w:t>
      </w:r>
      <w:r>
        <w:rPr>
          <w:spacing w:val="-11"/>
        </w:rPr>
        <w:t>、基金资产估值：指计算评估基金资产和负债的价值，以确定基金资产净值和基金份</w:t>
      </w:r>
      <w:r>
        <w:rPr>
          <w:spacing w:val="-6"/>
        </w:rPr>
        <w:t>额净值的过程。</w:t>
      </w:r>
    </w:p>
    <w:p>
      <w:pPr>
        <w:pStyle w:val="BodyText"/>
        <w:spacing w:line="417" w:lineRule="auto"/>
        <w:ind w:left="540" w:right="311" w:firstLine="419"/>
        <w:jc w:val="both"/>
      </w:pPr>
      <w:r>
        <w:rPr>
          <w:rFonts w:ascii="Times New Roman" w:eastAsia="Times New Roman"/>
        </w:rPr>
        <w:t>51</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、资产支持证券、因发行人债务违约无法进行转让或交易的债券等。</w:t>
      </w:r>
    </w:p>
    <w:p>
      <w:pPr>
        <w:pStyle w:val="BodyText"/>
        <w:spacing w:line="417" w:lineRule="auto"/>
        <w:ind w:left="540" w:right="311" w:firstLine="419"/>
        <w:jc w:val="both"/>
      </w:pPr>
      <w:r>
        <w:rPr>
          <w:rFonts w:ascii="Times New Roman" w:eastAsia="Times New Roman"/>
        </w:rPr>
        <w:t>52</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spacing w:line="269" w:lineRule="exact"/>
        <w:ind w:left="960"/>
      </w:pPr>
      <w:r>
        <w:rPr>
          <w:rFonts w:ascii="Times New Roman" w:eastAsia="Times New Roman"/>
        </w:rPr>
        <w:t>53</w:t>
      </w:r>
      <w:r>
        <w:rPr/>
        <w:t>、指定媒介：指中国证监会指定的用以进行信息披露的报刊、互联网网站及其他媒介。</w:t>
      </w:r>
    </w:p>
    <w:p>
      <w:pPr>
        <w:pStyle w:val="BodyText"/>
        <w:spacing w:before="6"/>
        <w:rPr>
          <w:sz w:val="15"/>
        </w:rPr>
      </w:pPr>
    </w:p>
    <w:p>
      <w:pPr>
        <w:pStyle w:val="BodyText"/>
        <w:ind w:left="960"/>
      </w:pPr>
      <w:r>
        <w:rPr>
          <w:rFonts w:ascii="Times New Roman" w:eastAsia="Times New Roman"/>
        </w:rPr>
        <w:t>54</w:t>
      </w:r>
      <w:r>
        <w:rPr/>
        <w:t>、不可抗力：指本合同当事人不能预见、不能避免且不能克服的客观事件。</w:t>
      </w:r>
    </w:p>
    <w:p>
      <w:pPr>
        <w:pStyle w:val="BodyText"/>
        <w:spacing w:before="7"/>
        <w:rPr>
          <w:sz w:val="15"/>
        </w:rPr>
      </w:pPr>
    </w:p>
    <w:p>
      <w:pPr>
        <w:pStyle w:val="BodyText"/>
        <w:spacing w:line="417" w:lineRule="auto" w:before="1"/>
        <w:ind w:left="540" w:right="311" w:firstLine="419"/>
      </w:pPr>
      <w:r>
        <w:rPr>
          <w:rFonts w:ascii="Times New Roman" w:eastAsia="Times New Roman"/>
        </w:rPr>
        <w:t>55</w:t>
      </w:r>
      <w:r>
        <w:rPr>
          <w:spacing w:val="-12"/>
        </w:rPr>
        <w:t>、基金产品资料概要：指《华夏鼎茂债券型证券投资基金基金产品资料概要》及其更新。</w:t>
      </w:r>
    </w:p>
    <w:p>
      <w:pPr>
        <w:spacing w:after="0" w:line="417" w:lineRule="auto"/>
        <w:sectPr>
          <w:pgSz w:w="11910" w:h="16840"/>
          <w:pgMar w:header="877" w:footer="0" w:top="1420" w:bottom="280" w:left="1260" w:right="1480"/>
        </w:sectPr>
      </w:pPr>
    </w:p>
    <w:p>
      <w:pPr>
        <w:pStyle w:val="Heading1"/>
        <w:spacing w:before="110"/>
      </w:pPr>
      <w:bookmarkStart w:name="_bookmark2" w:id="3"/>
      <w:bookmarkEnd w:id="3"/>
      <w:r>
        <w:rPr>
          <w:b w:val="0"/>
        </w:rPr>
      </w:r>
      <w:r>
        <w:rPr/>
        <w:t>三、基金管理人</w:t>
      </w:r>
    </w:p>
    <w:p>
      <w:pPr>
        <w:pStyle w:val="BodyText"/>
        <w:rPr>
          <w:b/>
          <w:sz w:val="20"/>
        </w:rPr>
      </w:pPr>
    </w:p>
    <w:p>
      <w:pPr>
        <w:pStyle w:val="BodyText"/>
        <w:spacing w:before="7"/>
        <w:rPr>
          <w:b/>
          <w:sz w:val="15"/>
        </w:rPr>
      </w:pPr>
    </w:p>
    <w:p>
      <w:pPr>
        <w:pStyle w:val="BodyText"/>
        <w:spacing w:before="72"/>
        <w:ind w:left="960"/>
      </w:pPr>
      <w:r>
        <w:rPr/>
        <w:t>（一）基金管理人概况</w:t>
      </w:r>
    </w:p>
    <w:p>
      <w:pPr>
        <w:pStyle w:val="BodyText"/>
        <w:spacing w:before="7"/>
        <w:rPr>
          <w:sz w:val="15"/>
        </w:rPr>
      </w:pPr>
    </w:p>
    <w:p>
      <w:pPr>
        <w:pStyle w:val="BodyText"/>
        <w:ind w:left="960"/>
      </w:pPr>
      <w:r>
        <w:rPr/>
        <w:t>名称：华夏基金管理有限公司</w:t>
      </w:r>
    </w:p>
    <w:p>
      <w:pPr>
        <w:pStyle w:val="BodyText"/>
        <w:spacing w:before="6"/>
        <w:rPr>
          <w:sz w:val="15"/>
        </w:rPr>
      </w:pPr>
    </w:p>
    <w:p>
      <w:pPr>
        <w:pStyle w:val="BodyText"/>
        <w:ind w:left="96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6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960" w:right="6310"/>
      </w:pPr>
      <w:r>
        <w:rPr/>
        <w:t>法定代表人：杨明辉联系人：邱曦</w:t>
      </w:r>
    </w:p>
    <w:p>
      <w:pPr>
        <w:pStyle w:val="BodyText"/>
        <w:spacing w:line="417" w:lineRule="auto"/>
        <w:ind w:left="960" w:right="554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ind w:left="960"/>
      </w:pPr>
      <w:r>
        <w:rPr/>
        <w:pict>
          <v:group style="position:absolute;margin-left:137.899994pt;margin-top:18.403126pt;width:319.55pt;height:74.8pt;mso-position-horizontal-relative:page;mso-position-vertical-relative:paragraph;z-index:-258979840" coordorigin="2758,368" coordsize="6391,1496">
            <v:line style="position:absolute" from="2758,382" to="6537,382" stroked="true" strokeweight="1.44pt" strokecolor="#000000">
              <v:stroke dashstyle="solid"/>
            </v:line>
            <v:shape style="position:absolute;left:6536;top:396;width:10;height:3" type="#_x0000_t75" stroked="false">
              <v:imagedata r:id="rId6" o:title=""/>
            </v:shape>
            <v:rect style="position:absolute;left:6536;top:368;width:29;height:29" filled="true" fillcolor="#000000" stroked="false">
              <v:fill type="solid"/>
            </v:rect>
            <v:line style="position:absolute" from="6565,382" to="9148,382" stroked="true" strokeweight="1.44pt" strokecolor="#000000">
              <v:stroke dashstyle="solid"/>
            </v:line>
            <v:shape style="position:absolute;left:2758;top:399;width:6391;height:1431" type="#_x0000_t75" stroked="false">
              <v:imagedata r:id="rId7" o:title=""/>
            </v:shape>
            <v:shape style="position:absolute;left:2758;top:1830;width:3789;height:34" type="#_x0000_t75" stroked="false">
              <v:imagedata r:id="rId8" o:title=""/>
            </v:shape>
            <v:shape style="position:absolute;left:6536;top:1854;width:2612;height:10" type="#_x0000_t75" stroked="false">
              <v:imagedata r:id="rId9" o:title=""/>
            </v:shape>
            <v:shape style="position:absolute;left:4227;top:527;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6999;top:527;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rPr>
          <w:sz w:val="20"/>
        </w:rPr>
      </w:pPr>
    </w:p>
    <w:p>
      <w:pPr>
        <w:pStyle w:val="BodyText"/>
        <w:spacing w:before="3"/>
        <w:rPr>
          <w:sz w:val="12"/>
        </w:rPr>
      </w:pPr>
    </w:p>
    <w:tbl>
      <w:tblPr>
        <w:tblW w:w="0" w:type="auto"/>
        <w:jc w:val="left"/>
        <w:tblInd w:w="1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5"/>
        <w:gridCol w:w="1627"/>
      </w:tblGrid>
      <w:tr>
        <w:trPr>
          <w:trHeight w:val="278" w:hRule="atLeast"/>
        </w:trPr>
        <w:tc>
          <w:tcPr>
            <w:tcW w:w="3775" w:type="dxa"/>
          </w:tcPr>
          <w:p>
            <w:pPr>
              <w:pStyle w:val="TableParagraph"/>
              <w:spacing w:line="250" w:lineRule="exact" w:before="0"/>
              <w:ind w:left="100"/>
              <w:jc w:val="left"/>
              <w:rPr>
                <w:rFonts w:ascii="宋体" w:eastAsia="宋体" w:hint="eastAsia"/>
                <w:sz w:val="21"/>
              </w:rPr>
            </w:pPr>
            <w:r>
              <w:rPr>
                <w:rFonts w:ascii="宋体" w:eastAsia="宋体" w:hint="eastAsia"/>
                <w:sz w:val="21"/>
              </w:rPr>
              <w:t>中信证券股份有限公司</w:t>
            </w:r>
          </w:p>
        </w:tc>
        <w:tc>
          <w:tcPr>
            <w:tcW w:w="1627" w:type="dxa"/>
          </w:tcPr>
          <w:p>
            <w:pPr>
              <w:pStyle w:val="TableParagraph"/>
              <w:spacing w:line="234" w:lineRule="exact" w:before="0"/>
              <w:ind w:right="47"/>
              <w:rPr>
                <w:sz w:val="21"/>
              </w:rPr>
            </w:pPr>
            <w:r>
              <w:rPr>
                <w:sz w:val="21"/>
              </w:rPr>
              <w:t>62.2%</w:t>
            </w:r>
          </w:p>
        </w:tc>
      </w:tr>
      <w:tr>
        <w:trPr>
          <w:trHeight w:val="323" w:hRule="atLeast"/>
        </w:trPr>
        <w:tc>
          <w:tcPr>
            <w:tcW w:w="3775" w:type="dxa"/>
          </w:tcPr>
          <w:p>
            <w:pPr>
              <w:pStyle w:val="TableParagraph"/>
              <w:spacing w:before="37"/>
              <w:ind w:left="100"/>
              <w:jc w:val="left"/>
              <w:rPr>
                <w:sz w:val="21"/>
              </w:rPr>
            </w:pPr>
            <w:r>
              <w:rPr>
                <w:sz w:val="21"/>
              </w:rPr>
              <w:t>POWER CORPORATION OF CANADA</w:t>
            </w:r>
          </w:p>
        </w:tc>
        <w:tc>
          <w:tcPr>
            <w:tcW w:w="1627" w:type="dxa"/>
          </w:tcPr>
          <w:p>
            <w:pPr>
              <w:pStyle w:val="TableParagraph"/>
              <w:spacing w:before="37"/>
              <w:ind w:right="47"/>
              <w:rPr>
                <w:sz w:val="21"/>
              </w:rPr>
            </w:pPr>
            <w:r>
              <w:rPr>
                <w:sz w:val="21"/>
              </w:rPr>
              <w:t>13.9%</w:t>
            </w:r>
          </w:p>
        </w:tc>
      </w:tr>
      <w:tr>
        <w:trPr>
          <w:trHeight w:val="323" w:hRule="atLeast"/>
        </w:trPr>
        <w:tc>
          <w:tcPr>
            <w:tcW w:w="3775" w:type="dxa"/>
          </w:tcPr>
          <w:p>
            <w:pPr>
              <w:pStyle w:val="TableParagraph"/>
              <w:spacing w:before="52"/>
              <w:ind w:left="100"/>
              <w:jc w:val="left"/>
              <w:rPr>
                <w:sz w:val="18"/>
              </w:rPr>
            </w:pPr>
            <w:r>
              <w:rPr>
                <w:sz w:val="18"/>
              </w:rPr>
              <w:t>MACKENZIE FINANCIAL CORPORATION</w:t>
            </w:r>
          </w:p>
        </w:tc>
        <w:tc>
          <w:tcPr>
            <w:tcW w:w="1627" w:type="dxa"/>
          </w:tcPr>
          <w:p>
            <w:pPr>
              <w:pStyle w:val="TableParagraph"/>
              <w:spacing w:before="36"/>
              <w:ind w:right="47"/>
              <w:rPr>
                <w:sz w:val="21"/>
              </w:rPr>
            </w:pPr>
            <w:r>
              <w:rPr>
                <w:sz w:val="21"/>
              </w:rPr>
              <w:t>13.9%</w:t>
            </w:r>
          </w:p>
        </w:tc>
      </w:tr>
      <w:tr>
        <w:trPr>
          <w:trHeight w:val="806" w:hRule="atLeast"/>
        </w:trPr>
        <w:tc>
          <w:tcPr>
            <w:tcW w:w="3775" w:type="dxa"/>
            <w:tcBorders>
              <w:right w:val="single" w:sz="4" w:space="0" w:color="000000"/>
            </w:tcBorders>
          </w:tcPr>
          <w:p>
            <w:pPr>
              <w:pStyle w:val="TableParagraph"/>
              <w:spacing w:before="23"/>
              <w:ind w:left="82" w:right="1127"/>
              <w:jc w:val="center"/>
              <w:rPr>
                <w:rFonts w:ascii="宋体" w:eastAsia="宋体" w:hint="eastAsia"/>
                <w:sz w:val="21"/>
              </w:rPr>
            </w:pPr>
            <w:r>
              <w:rPr>
                <w:rFonts w:ascii="宋体" w:eastAsia="宋体" w:hint="eastAsia"/>
                <w:sz w:val="21"/>
              </w:rPr>
              <w:t>天津海鹏科技咨询有限公司</w:t>
            </w:r>
          </w:p>
          <w:p>
            <w:pPr>
              <w:pStyle w:val="TableParagraph"/>
              <w:spacing w:before="129"/>
              <w:ind w:left="82" w:right="82"/>
              <w:jc w:val="center"/>
              <w:rPr>
                <w:rFonts w:ascii="宋体" w:eastAsia="宋体" w:hint="eastAsia"/>
                <w:b/>
                <w:sz w:val="21"/>
              </w:rPr>
            </w:pPr>
            <w:r>
              <w:rPr>
                <w:rFonts w:ascii="宋体" w:eastAsia="宋体" w:hint="eastAsia"/>
                <w:b/>
                <w:sz w:val="21"/>
              </w:rPr>
              <w:t>合计</w:t>
            </w:r>
          </w:p>
        </w:tc>
        <w:tc>
          <w:tcPr>
            <w:tcW w:w="1627" w:type="dxa"/>
            <w:tcBorders>
              <w:left w:val="single" w:sz="4" w:space="0" w:color="000000"/>
            </w:tcBorders>
          </w:tcPr>
          <w:p>
            <w:pPr>
              <w:pStyle w:val="TableParagraph"/>
              <w:spacing w:before="34"/>
              <w:ind w:right="126"/>
              <w:rPr>
                <w:sz w:val="21"/>
              </w:rPr>
            </w:pPr>
            <w:r>
              <w:rPr>
                <w:sz w:val="21"/>
              </w:rPr>
              <w:t>10%</w:t>
            </w:r>
          </w:p>
          <w:p>
            <w:pPr>
              <w:pStyle w:val="TableParagraph"/>
              <w:spacing w:before="162"/>
              <w:ind w:right="57"/>
              <w:rPr>
                <w:b/>
                <w:sz w:val="21"/>
              </w:rPr>
            </w:pPr>
            <w:r>
              <w:rPr>
                <w:b/>
                <w:spacing w:val="-1"/>
                <w:sz w:val="21"/>
              </w:rPr>
              <w:t>100%</w:t>
            </w:r>
          </w:p>
        </w:tc>
      </w:tr>
    </w:tbl>
    <w:p>
      <w:pPr>
        <w:pStyle w:val="BodyText"/>
        <w:spacing w:line="30" w:lineRule="exact"/>
        <w:ind w:left="1468"/>
        <w:rPr>
          <w:sz w:val="3"/>
        </w:rPr>
      </w:pPr>
      <w:r>
        <w:rPr>
          <w:position w:val="0"/>
          <w:sz w:val="3"/>
        </w:rPr>
        <w:pict>
          <v:group style="width:320.25pt;height:1.45pt;mso-position-horizontal-relative:char;mso-position-vertical-relative:line" coordorigin="0,0" coordsize="6405,29">
            <v:line style="position:absolute" from="0,14" to="3793,14" stroked="true" strokeweight="1.44pt" strokecolor="#000000">
              <v:stroke dashstyle="solid"/>
            </v:line>
            <v:rect style="position:absolute;left:3793;top:0;width:29;height:29" filled="true" fillcolor="#000000" stroked="false">
              <v:fill type="solid"/>
            </v:rect>
            <v:line style="position:absolute" from="3822,14" to="6405,14" stroked="true" strokeweight="1.44pt" strokecolor="#000000">
              <v:stroke dashstyle="solid"/>
            </v:line>
          </v:group>
        </w:pict>
      </w:r>
      <w:r>
        <w:rPr>
          <w:position w:val="0"/>
          <w:sz w:val="3"/>
        </w:rPr>
      </w:r>
    </w:p>
    <w:p>
      <w:pPr>
        <w:pStyle w:val="BodyText"/>
        <w:spacing w:before="84"/>
        <w:ind w:left="960"/>
      </w:pPr>
      <w:r>
        <w:rPr/>
        <w:pict>
          <v:group style="position:absolute;margin-left:137.899994pt;margin-top:-26.219999pt;width:319.55pt;height:.5pt;mso-position-horizontal-relative:page;mso-position-vertical-relative:paragraph;z-index:-258978816" coordorigin="2758,-524" coordsize="6391,10">
            <v:shape style="position:absolute;left:2758;top:-525;width:3779;height:10" type="#_x0000_t75" stroked="false">
              <v:imagedata r:id="rId10" o:title=""/>
            </v:shape>
            <v:shape style="position:absolute;left:6536;top:-525;width:2612;height:10" type="#_x0000_t75" stroked="false">
              <v:imagedata r:id="rId9" o:title=""/>
            </v:shape>
            <w10:wrap type="none"/>
          </v:group>
        </w:pict>
      </w:r>
      <w:r>
        <w:rPr/>
        <w:t>（二）主要人员情况</w:t>
      </w:r>
    </w:p>
    <w:p>
      <w:pPr>
        <w:pStyle w:val="BodyText"/>
        <w:spacing w:before="6"/>
        <w:rPr>
          <w:sz w:val="15"/>
        </w:rPr>
      </w:pPr>
    </w:p>
    <w:p>
      <w:pPr>
        <w:pStyle w:val="BodyText"/>
        <w:ind w:left="960"/>
      </w:pPr>
      <w:r>
        <w:rPr>
          <w:rFonts w:ascii="Times New Roman" w:eastAsia="Times New Roman"/>
        </w:rPr>
        <w:t>1</w:t>
      </w:r>
      <w:r>
        <w:rPr/>
        <w:t>、基金管理人董事、监事、经理及其他高级管理人员基本情况</w:t>
      </w:r>
    </w:p>
    <w:p>
      <w:pPr>
        <w:pStyle w:val="BodyText"/>
        <w:spacing w:before="7"/>
        <w:rPr>
          <w:sz w:val="15"/>
        </w:rPr>
      </w:pPr>
    </w:p>
    <w:p>
      <w:pPr>
        <w:pStyle w:val="BodyText"/>
        <w:spacing w:line="417" w:lineRule="auto"/>
        <w:ind w:left="540" w:right="31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540" w:right="318" w:firstLine="419"/>
        <w:jc w:val="both"/>
      </w:pPr>
      <w:r>
        <w:rPr>
          <w:rFonts w:ascii="Times New Roman" w:eastAsia="Times New Roman"/>
        </w:rPr>
        <w:t>Barry Sean McInerney </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540" w:right="31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269" w:lineRule="exact"/>
        <w:ind w:left="960"/>
      </w:pPr>
      <w:r>
        <w:rPr/>
        <w:t>杨冰先生：董事，硕士。现任中信证券股份有限公司执行委员会委员、资产管理业务行</w:t>
      </w:r>
    </w:p>
    <w:p>
      <w:pPr>
        <w:spacing w:after="0" w:line="269" w:lineRule="exact"/>
        <w:sectPr>
          <w:pgSz w:w="11910" w:h="16840"/>
          <w:pgMar w:header="877" w:footer="0" w:top="1420" w:bottom="280" w:left="1260" w:right="1480"/>
        </w:sectPr>
      </w:pPr>
    </w:p>
    <w:p>
      <w:pPr>
        <w:pStyle w:val="BodyText"/>
        <w:spacing w:line="417" w:lineRule="auto" w:before="110"/>
        <w:ind w:left="540" w:right="311"/>
      </w:pPr>
      <w:r>
        <w:rPr>
          <w:spacing w:val="-10"/>
        </w:rPr>
        <w:t>政负责人。曾任中信证券股份有限公司固定收益部交易员、资产管理业务投资经理、资产管</w:t>
      </w:r>
      <w:r>
        <w:rPr>
          <w:spacing w:val="-5"/>
        </w:rPr>
        <w:t>理业务投资主管等。</w:t>
      </w:r>
    </w:p>
    <w:p>
      <w:pPr>
        <w:pStyle w:val="BodyText"/>
        <w:spacing w:line="417" w:lineRule="auto"/>
        <w:ind w:left="540" w:right="20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540" w:right="31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540" w:right="31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540" w:right="31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540" w:right="20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ind w:left="960"/>
      </w:pPr>
      <w:r>
        <w:rPr/>
        <w:t>杨一夫先生：监事长，硕士。现任鲍尔太平有限公司总裁，负责总部加拿大鲍尔公司</w:t>
      </w:r>
    </w:p>
    <w:p>
      <w:pPr>
        <w:pStyle w:val="BodyText"/>
        <w:spacing w:before="4"/>
        <w:rPr>
          <w:sz w:val="15"/>
        </w:rPr>
      </w:pPr>
    </w:p>
    <w:p>
      <w:pPr>
        <w:pStyle w:val="BodyText"/>
        <w:spacing w:line="417" w:lineRule="auto"/>
        <w:ind w:left="540" w:right="31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540" w:right="311" w:firstLine="419"/>
        <w:jc w:val="both"/>
      </w:pPr>
      <w:r>
        <w:rPr>
          <w:spacing w:val="-12"/>
        </w:rPr>
        <w:t>杨维华先生：监事，硕士。现任中信证券股份有限公司风险管理部行政负责人、公司副</w:t>
      </w:r>
      <w:r>
        <w:rPr>
          <w:spacing w:val="-8"/>
        </w:rPr>
        <w:t>首席风险官。曾任中信证券股份有限公司风险管理部 </w:t>
      </w:r>
      <w:r>
        <w:rPr>
          <w:rFonts w:ascii="Times New Roman" w:eastAsia="Times New Roman"/>
        </w:rPr>
        <w:t>B </w:t>
      </w:r>
      <w:r>
        <w:rPr/>
        <w:t>角</w:t>
      </w:r>
      <w:r>
        <w:rPr>
          <w:spacing w:val="-3"/>
        </w:rPr>
        <w:t>（主持工作</w:t>
      </w:r>
      <w:r>
        <w:rPr>
          <w:spacing w:val="-106"/>
        </w:rPr>
        <w:t>）</w:t>
      </w:r>
      <w:r>
        <w:rPr>
          <w:spacing w:val="-3"/>
        </w:rPr>
        <w:t>、总监等。</w:t>
      </w:r>
    </w:p>
    <w:p>
      <w:pPr>
        <w:spacing w:after="0" w:line="417" w:lineRule="auto"/>
        <w:jc w:val="both"/>
        <w:sectPr>
          <w:pgSz w:w="11910" w:h="16840"/>
          <w:pgMar w:header="877" w:footer="0" w:top="1420" w:bottom="280" w:left="1260" w:right="1480"/>
        </w:sectPr>
      </w:pPr>
    </w:p>
    <w:p>
      <w:pPr>
        <w:pStyle w:val="BodyText"/>
        <w:spacing w:line="417" w:lineRule="auto" w:before="110"/>
        <w:ind w:left="540" w:right="311" w:firstLine="419"/>
      </w:pPr>
      <w:r>
        <w:rPr>
          <w:spacing w:val="-12"/>
        </w:rPr>
        <w:t>史本良先生：监事，硕士，注册会计师。现任中信证券股份有限公司计划财务部联席负</w:t>
      </w:r>
      <w:r>
        <w:rPr>
          <w:spacing w:val="-4"/>
        </w:rPr>
        <w:t>责人、公司副财务总监。曾任中信证券股份有限公司计划财务部</w:t>
      </w:r>
      <w:r>
        <w:rPr>
          <w:rFonts w:ascii="Times New Roman" w:eastAsia="Times New Roman"/>
        </w:rPr>
        <w:t>B </w:t>
      </w:r>
      <w:r>
        <w:rPr>
          <w:spacing w:val="-3"/>
        </w:rPr>
        <w:t>角、总监等。</w:t>
      </w:r>
    </w:p>
    <w:p>
      <w:pPr>
        <w:pStyle w:val="BodyText"/>
        <w:spacing w:line="417" w:lineRule="auto"/>
        <w:ind w:left="540" w:right="31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540" w:right="20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540" w:right="311" w:firstLine="419"/>
      </w:pPr>
      <w:r>
        <w:rPr>
          <w:spacing w:val="-12"/>
        </w:rPr>
        <w:t>朱威先生：监事，硕士。现任华夏基金管理有限公司基金运作部执行总经理、行政负责</w:t>
      </w:r>
      <w:r>
        <w:rPr/>
        <w:t>人。曾任基金运作部</w:t>
      </w:r>
      <w:r>
        <w:rPr>
          <w:rFonts w:ascii="Times New Roman" w:eastAsia="Times New Roman"/>
        </w:rPr>
        <w:t>B </w:t>
      </w:r>
      <w:r>
        <w:rPr>
          <w:spacing w:val="-2"/>
        </w:rPr>
        <w:t>角等。</w:t>
      </w:r>
    </w:p>
    <w:p>
      <w:pPr>
        <w:pStyle w:val="BodyText"/>
        <w:spacing w:line="417" w:lineRule="auto"/>
        <w:ind w:left="540" w:right="31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540" w:right="20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540" w:right="20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540" w:right="20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ind w:left="960"/>
      </w:pPr>
      <w:r>
        <w:rPr>
          <w:rFonts w:ascii="Times New Roman" w:eastAsia="Times New Roman"/>
        </w:rPr>
        <w:t>2</w:t>
      </w:r>
      <w:r>
        <w:rPr/>
        <w:t>、本基金基金经理</w:t>
      </w:r>
    </w:p>
    <w:p>
      <w:pPr>
        <w:pStyle w:val="BodyText"/>
        <w:spacing w:line="417" w:lineRule="auto" w:before="196"/>
        <w:ind w:left="540" w:right="311" w:firstLine="419"/>
        <w:jc w:val="both"/>
      </w:pPr>
      <w:r>
        <w:rPr>
          <w:spacing w:val="-3"/>
        </w:rPr>
        <w:t>刘明宇先生，经济学硕士。</w:t>
      </w:r>
      <w:r>
        <w:rPr>
          <w:rFonts w:ascii="Times New Roman" w:eastAsia="Times New Roman"/>
        </w:rPr>
        <w:t>2009</w:t>
      </w:r>
      <w:r>
        <w:rPr/>
        <w:t>年</w:t>
      </w:r>
      <w:r>
        <w:rPr>
          <w:rFonts w:ascii="Times New Roman" w:eastAsia="Times New Roman"/>
        </w:rPr>
        <w:t>6</w:t>
      </w:r>
      <w:r>
        <w:rPr>
          <w:spacing w:val="-3"/>
        </w:rPr>
        <w:t>月加入华夏基金管理有限公司，曾任机构债券投资部研究员、投资经理助理、投资经理、华夏鼎实债券型证券投资基金基金经理（</w:t>
      </w:r>
      <w:r>
        <w:rPr>
          <w:rFonts w:ascii="Times New Roman" w:eastAsia="Times New Roman"/>
          <w:spacing w:val="-3"/>
        </w:rPr>
        <w:t>2017</w:t>
      </w:r>
      <w:r>
        <w:rPr>
          <w:spacing w:val="-3"/>
        </w:rPr>
        <w:t>年</w:t>
      </w:r>
      <w:r>
        <w:rPr>
          <w:rFonts w:ascii="Times New Roman" w:eastAsia="Times New Roman"/>
          <w:spacing w:val="-3"/>
        </w:rPr>
        <w:t>12 </w:t>
      </w:r>
      <w:r>
        <w:rPr/>
        <w:t>月</w:t>
      </w:r>
      <w:r>
        <w:rPr>
          <w:rFonts w:ascii="Times New Roman" w:eastAsia="Times New Roman"/>
        </w:rPr>
        <w:t>19</w:t>
      </w:r>
      <w:r>
        <w:rPr>
          <w:spacing w:val="-2"/>
        </w:rPr>
        <w:t>日至</w:t>
      </w:r>
      <w:r>
        <w:rPr>
          <w:rFonts w:ascii="Times New Roman" w:eastAsia="Times New Roman"/>
        </w:rPr>
        <w:t>2018</w:t>
      </w:r>
      <w:r>
        <w:rPr>
          <w:spacing w:val="-3"/>
        </w:rPr>
        <w:t>年</w:t>
      </w:r>
      <w:r>
        <w:rPr>
          <w:rFonts w:ascii="Times New Roman" w:eastAsia="Times New Roman"/>
        </w:rPr>
        <w:t>3</w:t>
      </w:r>
      <w:r>
        <w:rPr/>
        <w:t>月</w:t>
      </w:r>
      <w:r>
        <w:rPr>
          <w:rFonts w:ascii="Times New Roman" w:eastAsia="Times New Roman"/>
        </w:rPr>
        <w:t>14</w:t>
      </w:r>
      <w:r>
        <w:rPr>
          <w:spacing w:val="-2"/>
        </w:rPr>
        <w:t>日期间</w:t>
      </w:r>
      <w:r>
        <w:rPr>
          <w:spacing w:val="-106"/>
        </w:rPr>
        <w:t>）</w:t>
      </w:r>
      <w:r>
        <w:rPr>
          <w:spacing w:val="-12"/>
        </w:rPr>
        <w:t>、华夏鼎盛债券型证券投资基金基金经理</w:t>
      </w:r>
      <w:r>
        <w:rPr/>
        <w:t>（</w:t>
      </w:r>
      <w:r>
        <w:rPr>
          <w:rFonts w:ascii="Times New Roman" w:eastAsia="Times New Roman"/>
        </w:rPr>
        <w:t>2017</w:t>
      </w:r>
      <w:r>
        <w:rPr/>
        <w:t>年</w:t>
      </w:r>
      <w:r>
        <w:rPr>
          <w:rFonts w:ascii="Times New Roman" w:eastAsia="Times New Roman"/>
        </w:rPr>
        <w:t>12</w:t>
      </w:r>
      <w:r>
        <w:rPr>
          <w:spacing w:val="-3"/>
        </w:rPr>
        <w:t>月</w:t>
      </w:r>
      <w:r>
        <w:rPr>
          <w:rFonts w:ascii="Times New Roman" w:eastAsia="Times New Roman"/>
        </w:rPr>
        <w:t>19</w:t>
      </w:r>
      <w:r>
        <w:rPr>
          <w:spacing w:val="-3"/>
        </w:rPr>
        <w:t>日至</w:t>
      </w:r>
      <w:r>
        <w:rPr>
          <w:rFonts w:ascii="Times New Roman" w:eastAsia="Times New Roman"/>
        </w:rPr>
        <w:t>2019</w:t>
      </w:r>
      <w:r>
        <w:rPr/>
        <w:t>年</w:t>
      </w:r>
      <w:r>
        <w:rPr>
          <w:rFonts w:ascii="Times New Roman" w:eastAsia="Times New Roman"/>
          <w:spacing w:val="-3"/>
        </w:rPr>
        <w:t>1</w:t>
      </w:r>
      <w:r>
        <w:rPr/>
        <w:t>月</w:t>
      </w:r>
      <w:r>
        <w:rPr>
          <w:rFonts w:ascii="Times New Roman" w:eastAsia="Times New Roman"/>
        </w:rPr>
        <w:t>7</w:t>
      </w:r>
      <w:r>
        <w:rPr>
          <w:spacing w:val="-2"/>
        </w:rPr>
        <w:t>日期间</w:t>
      </w:r>
      <w:r>
        <w:rPr>
          <w:spacing w:val="-106"/>
        </w:rPr>
        <w:t>）</w:t>
      </w:r>
      <w:r>
        <w:rPr>
          <w:spacing w:val="-3"/>
        </w:rPr>
        <w:t>、华夏稳定双利债券型证券投资基金基金经理</w:t>
      </w:r>
      <w:r>
        <w:rPr/>
        <w:t>（</w:t>
      </w:r>
      <w:r>
        <w:rPr>
          <w:rFonts w:ascii="Times New Roman" w:eastAsia="Times New Roman"/>
        </w:rPr>
        <w:t>2018</w:t>
      </w:r>
      <w:r>
        <w:rPr/>
        <w:t>年</w:t>
      </w:r>
      <w:r>
        <w:rPr>
          <w:rFonts w:ascii="Times New Roman" w:eastAsia="Times New Roman"/>
        </w:rPr>
        <w:t>12</w:t>
      </w:r>
      <w:r>
        <w:rPr/>
        <w:t>月</w:t>
      </w:r>
      <w:r>
        <w:rPr>
          <w:rFonts w:ascii="Times New Roman" w:eastAsia="Times New Roman"/>
        </w:rPr>
        <w:t>17</w:t>
      </w:r>
      <w:r>
        <w:rPr>
          <w:spacing w:val="-2"/>
        </w:rPr>
        <w:t>日至</w:t>
      </w:r>
      <w:r>
        <w:rPr>
          <w:rFonts w:ascii="Times New Roman" w:eastAsia="Times New Roman"/>
        </w:rPr>
        <w:t>2020 </w:t>
      </w:r>
      <w:r>
        <w:rPr/>
        <w:t>年</w:t>
      </w:r>
      <w:r>
        <w:rPr>
          <w:rFonts w:ascii="Times New Roman" w:eastAsia="Times New Roman"/>
        </w:rPr>
        <w:t>3</w:t>
      </w:r>
      <w:r>
        <w:rPr/>
        <w:t>月</w:t>
      </w:r>
      <w:r>
        <w:rPr>
          <w:rFonts w:ascii="Times New Roman" w:eastAsia="Times New Roman"/>
        </w:rPr>
        <w:t>24</w:t>
      </w:r>
      <w:r>
        <w:rPr>
          <w:spacing w:val="-2"/>
        </w:rPr>
        <w:t>日期间</w:t>
      </w:r>
      <w:r>
        <w:rPr>
          <w:spacing w:val="-108"/>
        </w:rPr>
        <w:t>）</w:t>
      </w:r>
      <w:r>
        <w:rPr>
          <w:spacing w:val="-10"/>
        </w:rPr>
        <w:t>、华夏鼎祥三个月定期开放债券型发起式证券投资基金基金经理</w:t>
      </w:r>
      <w:r>
        <w:rPr/>
        <w:t>（</w:t>
      </w:r>
      <w:r>
        <w:rPr>
          <w:rFonts w:ascii="Times New Roman" w:eastAsia="Times New Roman"/>
        </w:rPr>
        <w:t>2017</w:t>
      </w:r>
      <w:r>
        <w:rPr/>
        <w:t>年</w:t>
      </w:r>
      <w:r>
        <w:rPr>
          <w:rFonts w:ascii="Times New Roman" w:eastAsia="Times New Roman"/>
        </w:rPr>
        <w:t>12 </w:t>
      </w:r>
      <w:r>
        <w:rPr/>
        <w:t>月</w:t>
      </w:r>
      <w:r>
        <w:rPr>
          <w:rFonts w:ascii="Times New Roman" w:eastAsia="Times New Roman"/>
          <w:spacing w:val="-4"/>
        </w:rPr>
        <w:t>11</w:t>
      </w:r>
      <w:r>
        <w:rPr>
          <w:spacing w:val="-2"/>
        </w:rPr>
        <w:t>日至</w:t>
      </w:r>
      <w:r>
        <w:rPr>
          <w:rFonts w:ascii="Times New Roman" w:eastAsia="Times New Roman"/>
        </w:rPr>
        <w:t>2020</w:t>
      </w:r>
      <w:r>
        <w:rPr/>
        <w:t>年</w:t>
      </w:r>
      <w:r>
        <w:rPr>
          <w:rFonts w:ascii="Times New Roman" w:eastAsia="Times New Roman"/>
          <w:spacing w:val="-3"/>
        </w:rPr>
        <w:t>6</w:t>
      </w:r>
      <w:r>
        <w:rPr/>
        <w:t>月</w:t>
      </w:r>
      <w:r>
        <w:rPr>
          <w:rFonts w:ascii="Times New Roman" w:eastAsia="Times New Roman"/>
        </w:rPr>
        <w:t>23</w:t>
      </w:r>
      <w:r>
        <w:rPr>
          <w:spacing w:val="-2"/>
        </w:rPr>
        <w:t>日期间</w:t>
      </w:r>
      <w:r>
        <w:rPr/>
        <w:t>）</w:t>
      </w:r>
      <w:r>
        <w:rPr>
          <w:spacing w:val="-3"/>
        </w:rPr>
        <w:t>等，现任华夏基金管理有限公司董事总经理，华夏鼎瑞三个</w:t>
      </w:r>
    </w:p>
    <w:p>
      <w:pPr>
        <w:spacing w:after="0" w:line="417" w:lineRule="auto"/>
        <w:jc w:val="both"/>
        <w:sectPr>
          <w:pgSz w:w="11910" w:h="16840"/>
          <w:pgMar w:header="877" w:footer="0" w:top="1420" w:bottom="280" w:left="1260" w:right="1480"/>
        </w:sectPr>
      </w:pPr>
    </w:p>
    <w:p>
      <w:pPr>
        <w:pStyle w:val="BodyText"/>
        <w:spacing w:line="417" w:lineRule="auto" w:before="110"/>
        <w:ind w:left="540" w:right="205"/>
      </w:pPr>
      <w:r>
        <w:rPr>
          <w:spacing w:val="-3"/>
        </w:rPr>
        <w:t>月定期开放债券型发起式证券投资基金基金经理</w:t>
      </w:r>
      <w:r>
        <w:rPr/>
        <w:t>（</w:t>
      </w:r>
      <w:r>
        <w:rPr>
          <w:rFonts w:ascii="Times New Roman" w:eastAsia="Times New Roman"/>
        </w:rPr>
        <w:t>2017</w:t>
      </w:r>
      <w:r>
        <w:rPr/>
        <w:t>年</w:t>
      </w:r>
      <w:r>
        <w:rPr>
          <w:rFonts w:ascii="Times New Roman" w:eastAsia="Times New Roman"/>
        </w:rPr>
        <w:t>12</w:t>
      </w:r>
      <w:r>
        <w:rPr>
          <w:spacing w:val="-3"/>
        </w:rPr>
        <w:t>月</w:t>
      </w:r>
      <w:r>
        <w:rPr>
          <w:rFonts w:ascii="Times New Roman" w:eastAsia="Times New Roman"/>
          <w:spacing w:val="-4"/>
        </w:rPr>
        <w:t>11</w:t>
      </w:r>
      <w:r>
        <w:rPr>
          <w:spacing w:val="-2"/>
        </w:rPr>
        <w:t>日起任职</w:t>
      </w:r>
      <w:r>
        <w:rPr>
          <w:spacing w:val="-106"/>
        </w:rPr>
        <w:t>）</w:t>
      </w:r>
      <w:r>
        <w:rPr>
          <w:spacing w:val="-3"/>
        </w:rPr>
        <w:t>、华夏鼎诺三个月定期开放债券型发起式证券投资基金基金经理</w:t>
      </w:r>
      <w:r>
        <w:rPr/>
        <w:t>（</w:t>
      </w:r>
      <w:r>
        <w:rPr>
          <w:rFonts w:ascii="Times New Roman" w:eastAsia="Times New Roman"/>
        </w:rPr>
        <w:t>2017</w:t>
      </w:r>
      <w:r>
        <w:rPr/>
        <w:t>年</w:t>
      </w:r>
      <w:r>
        <w:rPr>
          <w:rFonts w:ascii="Times New Roman" w:eastAsia="Times New Roman"/>
        </w:rPr>
        <w:t>12</w:t>
      </w:r>
      <w:r>
        <w:rPr>
          <w:spacing w:val="-3"/>
        </w:rPr>
        <w:t>月</w:t>
      </w:r>
      <w:r>
        <w:rPr>
          <w:rFonts w:ascii="Times New Roman" w:eastAsia="Times New Roman"/>
          <w:spacing w:val="-4"/>
        </w:rPr>
        <w:t>11</w:t>
      </w:r>
      <w:r>
        <w:rPr>
          <w:spacing w:val="-2"/>
        </w:rPr>
        <w:t>日起任职</w:t>
      </w:r>
      <w:r>
        <w:rPr>
          <w:spacing w:val="-106"/>
        </w:rPr>
        <w:t>）</w:t>
      </w:r>
      <w:r>
        <w:rPr>
          <w:spacing w:val="-3"/>
        </w:rPr>
        <w:t>、华夏鼎茂债券型证券投资基金基金经理</w:t>
      </w:r>
      <w:r>
        <w:rPr/>
        <w:t>（</w:t>
      </w:r>
      <w:r>
        <w:rPr>
          <w:rFonts w:ascii="Times New Roman" w:eastAsia="Times New Roman"/>
        </w:rPr>
        <w:t>2017</w:t>
      </w:r>
      <w:r>
        <w:rPr>
          <w:spacing w:val="-3"/>
        </w:rPr>
        <w:t>年</w:t>
      </w:r>
      <w:r>
        <w:rPr>
          <w:rFonts w:ascii="Times New Roman" w:eastAsia="Times New Roman"/>
        </w:rPr>
        <w:t>12</w:t>
      </w:r>
      <w:r>
        <w:rPr/>
        <w:t>月</w:t>
      </w:r>
      <w:r>
        <w:rPr>
          <w:rFonts w:ascii="Times New Roman" w:eastAsia="Times New Roman"/>
          <w:spacing w:val="-6"/>
        </w:rPr>
        <w:t>11</w:t>
      </w:r>
      <w:r>
        <w:rPr>
          <w:spacing w:val="-1"/>
        </w:rPr>
        <w:t>日起任职</w:t>
      </w:r>
      <w:r>
        <w:rPr>
          <w:spacing w:val="-108"/>
        </w:rPr>
        <w:t>）</w:t>
      </w:r>
      <w:r>
        <w:rPr>
          <w:spacing w:val="-3"/>
        </w:rPr>
        <w:t>、华夏鼎智债券型证券投资基金基金经理（</w:t>
      </w:r>
      <w:r>
        <w:rPr>
          <w:rFonts w:ascii="Times New Roman" w:eastAsia="Times New Roman"/>
          <w:spacing w:val="-3"/>
        </w:rPr>
        <w:t>2017</w:t>
      </w:r>
      <w:r>
        <w:rPr>
          <w:spacing w:val="-3"/>
        </w:rPr>
        <w:t>年</w:t>
      </w:r>
      <w:r>
        <w:rPr>
          <w:rFonts w:ascii="Times New Roman" w:eastAsia="Times New Roman"/>
        </w:rPr>
        <w:t>12</w:t>
      </w:r>
      <w:r>
        <w:rPr/>
        <w:t>月</w:t>
      </w:r>
      <w:r>
        <w:rPr>
          <w:rFonts w:ascii="Times New Roman" w:eastAsia="Times New Roman"/>
          <w:spacing w:val="-4"/>
        </w:rPr>
        <w:t>11</w:t>
      </w:r>
      <w:r>
        <w:rPr>
          <w:spacing w:val="-3"/>
        </w:rPr>
        <w:t>日起任职</w:t>
      </w:r>
      <w:r>
        <w:rPr>
          <w:spacing w:val="-104"/>
        </w:rPr>
        <w:t>）</w:t>
      </w:r>
      <w:r>
        <w:rPr>
          <w:spacing w:val="-3"/>
        </w:rPr>
        <w:t>、华夏鼎隆债券型证券投资基金基金经理</w:t>
      </w:r>
      <w:r>
        <w:rPr/>
        <w:t>（</w:t>
      </w:r>
      <w:r>
        <w:rPr>
          <w:rFonts w:ascii="Times New Roman" w:eastAsia="Times New Roman"/>
        </w:rPr>
        <w:t>2017</w:t>
      </w:r>
      <w:r>
        <w:rPr/>
        <w:t>年</w:t>
      </w:r>
      <w:r>
        <w:rPr>
          <w:rFonts w:ascii="Times New Roman" w:eastAsia="Times New Roman"/>
        </w:rPr>
        <w:t>12</w:t>
      </w:r>
      <w:r>
        <w:rPr/>
        <w:t>月</w:t>
      </w:r>
      <w:r>
        <w:rPr>
          <w:rFonts w:ascii="Times New Roman" w:eastAsia="Times New Roman"/>
          <w:spacing w:val="-4"/>
        </w:rPr>
        <w:t>11</w:t>
      </w:r>
      <w:r>
        <w:rPr>
          <w:spacing w:val="-3"/>
        </w:rPr>
        <w:t>日起</w:t>
      </w:r>
      <w:r>
        <w:rPr/>
        <w:t>任职</w:t>
      </w:r>
      <w:r>
        <w:rPr>
          <w:spacing w:val="-108"/>
        </w:rPr>
        <w:t>）</w:t>
      </w:r>
      <w:r>
        <w:rPr>
          <w:spacing w:val="-7"/>
        </w:rPr>
        <w:t>、华夏鼎兴债券型证券投资基金基金经理</w:t>
      </w:r>
      <w:r>
        <w:rPr/>
        <w:t>（</w:t>
      </w:r>
      <w:r>
        <w:rPr>
          <w:rFonts w:ascii="Times New Roman" w:eastAsia="Times New Roman"/>
        </w:rPr>
        <w:t>2018</w:t>
      </w:r>
      <w:r>
        <w:rPr/>
        <w:t>年</w:t>
      </w:r>
      <w:r>
        <w:rPr>
          <w:rFonts w:ascii="Times New Roman" w:eastAsia="Times New Roman"/>
        </w:rPr>
        <w:t>2</w:t>
      </w:r>
      <w:r>
        <w:rPr>
          <w:spacing w:val="-3"/>
        </w:rPr>
        <w:t>月</w:t>
      </w:r>
      <w:r>
        <w:rPr>
          <w:rFonts w:ascii="Times New Roman" w:eastAsia="Times New Roman"/>
        </w:rPr>
        <w:t>12</w:t>
      </w:r>
      <w:r>
        <w:rPr>
          <w:spacing w:val="-3"/>
        </w:rPr>
        <w:t>日起任职</w:t>
      </w:r>
      <w:r>
        <w:rPr>
          <w:spacing w:val="-108"/>
        </w:rPr>
        <w:t>）</w:t>
      </w:r>
      <w:r>
        <w:rPr>
          <w:spacing w:val="-6"/>
        </w:rPr>
        <w:t>、华夏上证</w:t>
      </w:r>
      <w:r>
        <w:rPr>
          <w:rFonts w:ascii="Times New Roman" w:eastAsia="Times New Roman"/>
        </w:rPr>
        <w:t>3-5</w:t>
      </w:r>
      <w:r>
        <w:rPr/>
        <w:t>年期</w:t>
      </w:r>
      <w:r>
        <w:rPr>
          <w:spacing w:val="-3"/>
        </w:rPr>
        <w:t>中高评级可质押信用债交易型开放式指数证券投资基金基金经理</w:t>
      </w:r>
      <w:r>
        <w:rPr/>
        <w:t>（</w:t>
      </w:r>
      <w:r>
        <w:rPr>
          <w:rFonts w:ascii="Times New Roman" w:eastAsia="Times New Roman"/>
        </w:rPr>
        <w:t>2018</w:t>
      </w:r>
      <w:r>
        <w:rPr/>
        <w:t>年</w:t>
      </w:r>
      <w:r>
        <w:rPr>
          <w:rFonts w:ascii="Times New Roman" w:eastAsia="Times New Roman"/>
        </w:rPr>
        <w:t>5</w:t>
      </w:r>
      <w:r>
        <w:rPr>
          <w:spacing w:val="-3"/>
        </w:rPr>
        <w:t>月</w:t>
      </w:r>
      <w:r>
        <w:rPr>
          <w:rFonts w:ascii="Times New Roman" w:eastAsia="Times New Roman"/>
        </w:rPr>
        <w:t>30</w:t>
      </w:r>
      <w:r>
        <w:rPr>
          <w:spacing w:val="-2"/>
        </w:rPr>
        <w:t>日起任职</w:t>
      </w:r>
      <w:r>
        <w:rPr>
          <w:spacing w:val="-106"/>
        </w:rPr>
        <w:t>）</w:t>
      </w:r>
      <w:r>
        <w:rPr/>
        <w:t>、华夏上证</w:t>
      </w:r>
      <w:r>
        <w:rPr>
          <w:rFonts w:ascii="Times New Roman" w:eastAsia="Times New Roman"/>
        </w:rPr>
        <w:t>3-5</w:t>
      </w:r>
      <w:r>
        <w:rPr/>
        <w:t>年期中高评级可质押信用债交易型开放式指数证券投资基金发起式联接基金基</w:t>
      </w:r>
      <w:r>
        <w:rPr>
          <w:spacing w:val="-1"/>
        </w:rPr>
        <w:t>金经理</w:t>
      </w:r>
      <w:r>
        <w:rPr/>
        <w:t>（</w:t>
      </w:r>
      <w:r>
        <w:rPr>
          <w:rFonts w:ascii="Times New Roman" w:eastAsia="Times New Roman"/>
        </w:rPr>
        <w:t>2018</w:t>
      </w:r>
      <w:r>
        <w:rPr/>
        <w:t>年</w:t>
      </w:r>
      <w:r>
        <w:rPr>
          <w:rFonts w:ascii="Times New Roman" w:eastAsia="Times New Roman"/>
        </w:rPr>
        <w:t>5</w:t>
      </w:r>
      <w:r>
        <w:rPr/>
        <w:t>月</w:t>
      </w:r>
      <w:r>
        <w:rPr>
          <w:rFonts w:ascii="Times New Roman" w:eastAsia="Times New Roman"/>
        </w:rPr>
        <w:t>30</w:t>
      </w:r>
      <w:r>
        <w:rPr>
          <w:spacing w:val="-2"/>
        </w:rPr>
        <w:t>日起任职</w:t>
      </w:r>
      <w:r>
        <w:rPr>
          <w:spacing w:val="-106"/>
        </w:rPr>
        <w:t>）</w:t>
      </w:r>
      <w:r>
        <w:rPr>
          <w:spacing w:val="-2"/>
        </w:rPr>
        <w:t>、华夏</w:t>
      </w:r>
      <w:r>
        <w:rPr>
          <w:rFonts w:ascii="Times New Roman" w:eastAsia="Times New Roman"/>
          <w:spacing w:val="-3"/>
        </w:rPr>
        <w:t>3</w:t>
      </w:r>
      <w:r>
        <w:rPr>
          <w:spacing w:val="-3"/>
        </w:rPr>
        <w:t>年封闭运作战略配售灵活配置混合型证券投资基金</w:t>
      </w:r>
    </w:p>
    <w:p>
      <w:pPr>
        <w:pStyle w:val="BodyText"/>
        <w:spacing w:line="417" w:lineRule="auto"/>
        <w:ind w:left="540" w:right="205"/>
      </w:pPr>
      <w:r>
        <w:rPr>
          <w:spacing w:val="-7"/>
        </w:rPr>
        <w:t>（</w:t>
      </w:r>
      <w:r>
        <w:rPr>
          <w:rFonts w:ascii="Times New Roman" w:eastAsia="Times New Roman"/>
          <w:spacing w:val="-7"/>
        </w:rPr>
        <w:t>LOF</w:t>
      </w:r>
      <w:r>
        <w:rPr>
          <w:spacing w:val="-7"/>
        </w:rPr>
        <w:t>）基金经理</w:t>
      </w:r>
      <w:r>
        <w:rPr/>
        <w:t>（</w:t>
      </w:r>
      <w:r>
        <w:rPr>
          <w:rFonts w:ascii="Times New Roman" w:eastAsia="Times New Roman"/>
        </w:rPr>
        <w:t>2018</w:t>
      </w:r>
      <w:r>
        <w:rPr>
          <w:spacing w:val="-3"/>
        </w:rPr>
        <w:t>年</w:t>
      </w:r>
      <w:r>
        <w:rPr>
          <w:rFonts w:ascii="Times New Roman" w:eastAsia="Times New Roman"/>
        </w:rPr>
        <w:t>7</w:t>
      </w:r>
      <w:r>
        <w:rPr/>
        <w:t>月</w:t>
      </w:r>
      <w:r>
        <w:rPr>
          <w:rFonts w:ascii="Times New Roman" w:eastAsia="Times New Roman"/>
        </w:rPr>
        <w:t>30</w:t>
      </w:r>
      <w:r>
        <w:rPr>
          <w:spacing w:val="-2"/>
        </w:rPr>
        <w:t>日起任职</w:t>
      </w:r>
      <w:r>
        <w:rPr>
          <w:spacing w:val="-108"/>
        </w:rPr>
        <w:t>）</w:t>
      </w:r>
      <w:r>
        <w:rPr>
          <w:spacing w:val="-7"/>
        </w:rPr>
        <w:t>、华夏鼎禄三个月定期开放债券型发起式证券投</w:t>
      </w:r>
      <w:r>
        <w:rPr>
          <w:spacing w:val="-6"/>
        </w:rPr>
        <w:t>资基金基金经理</w:t>
      </w:r>
      <w:r>
        <w:rPr/>
        <w:t>（</w:t>
      </w:r>
      <w:r>
        <w:rPr>
          <w:rFonts w:ascii="Times New Roman" w:eastAsia="Times New Roman"/>
        </w:rPr>
        <w:t>2018</w:t>
      </w:r>
      <w:r>
        <w:rPr>
          <w:spacing w:val="-3"/>
        </w:rPr>
        <w:t>年</w:t>
      </w:r>
      <w:r>
        <w:rPr>
          <w:rFonts w:ascii="Times New Roman" w:eastAsia="Times New Roman"/>
        </w:rPr>
        <w:t>10</w:t>
      </w:r>
      <w:r>
        <w:rPr/>
        <w:t>月</w:t>
      </w:r>
      <w:r>
        <w:rPr>
          <w:rFonts w:ascii="Times New Roman" w:eastAsia="Times New Roman"/>
          <w:spacing w:val="-4"/>
        </w:rPr>
        <w:t>11</w:t>
      </w:r>
      <w:r>
        <w:rPr>
          <w:spacing w:val="-2"/>
        </w:rPr>
        <w:t>日起任职</w:t>
      </w:r>
      <w:r>
        <w:rPr>
          <w:spacing w:val="-106"/>
        </w:rPr>
        <w:t>）</w:t>
      </w:r>
      <w:r>
        <w:rPr>
          <w:spacing w:val="-3"/>
        </w:rPr>
        <w:t>、华夏鼎通债券型证券投资基金基金经理</w:t>
      </w:r>
      <w:r>
        <w:rPr/>
        <w:t>（</w:t>
      </w:r>
      <w:r>
        <w:rPr>
          <w:rFonts w:ascii="Times New Roman" w:eastAsia="Times New Roman"/>
        </w:rPr>
        <w:t>2018 </w:t>
      </w:r>
      <w:r>
        <w:rPr/>
        <w:t>年</w:t>
      </w:r>
      <w:r>
        <w:rPr>
          <w:rFonts w:ascii="Times New Roman" w:eastAsia="Times New Roman"/>
        </w:rPr>
        <w:t>10</w:t>
      </w:r>
      <w:r>
        <w:rPr/>
        <w:t>月</w:t>
      </w:r>
      <w:r>
        <w:rPr>
          <w:rFonts w:ascii="Times New Roman" w:eastAsia="Times New Roman"/>
        </w:rPr>
        <w:t>23</w:t>
      </w:r>
      <w:r>
        <w:rPr>
          <w:spacing w:val="-2"/>
        </w:rPr>
        <w:t>日起任职</w:t>
      </w:r>
      <w:r>
        <w:rPr>
          <w:spacing w:val="-108"/>
        </w:rPr>
        <w:t>）</w:t>
      </w:r>
      <w:r>
        <w:rPr>
          <w:spacing w:val="-3"/>
        </w:rPr>
        <w:t>、华夏中短债债券型证券投资基金基金经理</w:t>
      </w:r>
      <w:r>
        <w:rPr/>
        <w:t>（</w:t>
      </w:r>
      <w:r>
        <w:rPr>
          <w:rFonts w:ascii="Times New Roman" w:eastAsia="Times New Roman"/>
        </w:rPr>
        <w:t>2018</w:t>
      </w:r>
      <w:r>
        <w:rPr>
          <w:spacing w:val="-3"/>
        </w:rPr>
        <w:t>年</w:t>
      </w:r>
      <w:r>
        <w:rPr>
          <w:rFonts w:ascii="Times New Roman" w:eastAsia="Times New Roman"/>
        </w:rPr>
        <w:t>12</w:t>
      </w:r>
      <w:r>
        <w:rPr/>
        <w:t>月</w:t>
      </w:r>
      <w:r>
        <w:rPr>
          <w:rFonts w:ascii="Times New Roman" w:eastAsia="Times New Roman"/>
        </w:rPr>
        <w:t>25</w:t>
      </w:r>
      <w:r>
        <w:rPr>
          <w:spacing w:val="-1"/>
        </w:rPr>
        <w:t>日起任职</w:t>
      </w:r>
      <w:r>
        <w:rPr>
          <w:spacing w:val="-106"/>
        </w:rPr>
        <w:t>）</w:t>
      </w:r>
      <w:r>
        <w:rPr/>
        <w:t>、</w:t>
      </w:r>
      <w:r>
        <w:rPr>
          <w:spacing w:val="-3"/>
        </w:rPr>
        <w:t>华夏短债债券型证券投资基金基金经理</w:t>
      </w:r>
      <w:r>
        <w:rPr/>
        <w:t>（</w:t>
      </w:r>
      <w:r>
        <w:rPr>
          <w:rFonts w:ascii="Times New Roman" w:eastAsia="Times New Roman"/>
        </w:rPr>
        <w:t>2019</w:t>
      </w:r>
      <w:r>
        <w:rPr/>
        <w:t>年</w:t>
      </w:r>
      <w:r>
        <w:rPr>
          <w:rFonts w:ascii="Times New Roman" w:eastAsia="Times New Roman"/>
        </w:rPr>
        <w:t>1</w:t>
      </w:r>
      <w:r>
        <w:rPr/>
        <w:t>月</w:t>
      </w:r>
      <w:r>
        <w:rPr>
          <w:rFonts w:ascii="Times New Roman" w:eastAsia="Times New Roman"/>
        </w:rPr>
        <w:t>8</w:t>
      </w:r>
      <w:r>
        <w:rPr>
          <w:spacing w:val="-1"/>
        </w:rPr>
        <w:t>日起任职</w:t>
      </w:r>
      <w:r>
        <w:rPr>
          <w:spacing w:val="-106"/>
        </w:rPr>
        <w:t>）</w:t>
      </w:r>
      <w:r>
        <w:rPr>
          <w:spacing w:val="-3"/>
        </w:rPr>
        <w:t>、华夏鼎康债券型证券投资基金基金经理</w:t>
      </w:r>
      <w:r>
        <w:rPr/>
        <w:t>（</w:t>
      </w:r>
      <w:r>
        <w:rPr>
          <w:rFonts w:ascii="Times New Roman" w:eastAsia="Times New Roman"/>
        </w:rPr>
        <w:t>2019</w:t>
      </w:r>
      <w:r>
        <w:rPr/>
        <w:t>年</w:t>
      </w:r>
      <w:r>
        <w:rPr>
          <w:rFonts w:ascii="Times New Roman" w:eastAsia="Times New Roman"/>
        </w:rPr>
        <w:t>1</w:t>
      </w:r>
      <w:r>
        <w:rPr>
          <w:spacing w:val="-3"/>
        </w:rPr>
        <w:t>月</w:t>
      </w:r>
      <w:r>
        <w:rPr>
          <w:rFonts w:ascii="Times New Roman" w:eastAsia="Times New Roman"/>
        </w:rPr>
        <w:t>24</w:t>
      </w:r>
      <w:r>
        <w:rPr>
          <w:spacing w:val="-1"/>
        </w:rPr>
        <w:t>日起任职</w:t>
      </w:r>
      <w:r>
        <w:rPr>
          <w:spacing w:val="-106"/>
        </w:rPr>
        <w:t>）</w:t>
      </w:r>
      <w:r>
        <w:rPr>
          <w:spacing w:val="-3"/>
        </w:rPr>
        <w:t>、华夏鼎略债券型证券投资基金基金经理</w:t>
      </w:r>
      <w:r>
        <w:rPr/>
        <w:t>（</w:t>
      </w:r>
      <w:r>
        <w:rPr>
          <w:rFonts w:ascii="Times New Roman" w:eastAsia="Times New Roman"/>
        </w:rPr>
        <w:t>2019</w:t>
      </w:r>
      <w:r>
        <w:rPr/>
        <w:t>年</w:t>
      </w:r>
      <w:r>
        <w:rPr>
          <w:rFonts w:ascii="Times New Roman" w:eastAsia="Times New Roman"/>
        </w:rPr>
        <w:t>3 </w:t>
      </w:r>
      <w:r>
        <w:rPr/>
        <w:t>月</w:t>
      </w:r>
      <w:r>
        <w:rPr>
          <w:rFonts w:ascii="Times New Roman" w:eastAsia="Times New Roman"/>
        </w:rPr>
        <w:t>21</w:t>
      </w:r>
      <w:r>
        <w:rPr/>
        <w:t>日起任职</w:t>
      </w:r>
      <w:r>
        <w:rPr>
          <w:spacing w:val="-106"/>
        </w:rPr>
        <w:t>）</w:t>
      </w:r>
      <w:r>
        <w:rPr/>
        <w:t>、华夏中债</w:t>
      </w:r>
      <w:r>
        <w:rPr>
          <w:rFonts w:ascii="Times New Roman" w:eastAsia="Times New Roman"/>
        </w:rPr>
        <w:t>1-3</w:t>
      </w:r>
      <w:r>
        <w:rPr/>
        <w:t>年政策性金融债指数证券投资基金基金经理（</w:t>
      </w:r>
      <w:r>
        <w:rPr>
          <w:rFonts w:ascii="Times New Roman" w:eastAsia="Times New Roman"/>
        </w:rPr>
        <w:t>2019</w:t>
      </w:r>
      <w:r>
        <w:rPr/>
        <w:t>年</w:t>
      </w:r>
      <w:r>
        <w:rPr>
          <w:rFonts w:ascii="Times New Roman" w:eastAsia="Times New Roman"/>
        </w:rPr>
        <w:t>4</w:t>
      </w:r>
      <w:r>
        <w:rPr/>
        <w:t>月</w:t>
      </w:r>
      <w:r>
        <w:rPr>
          <w:rFonts w:ascii="Times New Roman" w:eastAsia="Times New Roman"/>
        </w:rPr>
        <w:t>25</w:t>
      </w:r>
      <w:r>
        <w:rPr/>
        <w:t>日起任职</w:t>
      </w:r>
      <w:r>
        <w:rPr>
          <w:spacing w:val="-108"/>
        </w:rPr>
        <w:t>）</w:t>
      </w:r>
      <w:r>
        <w:rPr>
          <w:spacing w:val="-3"/>
        </w:rPr>
        <w:t>、华夏恒融一年定期开放债券型证券投资基金基金经理</w:t>
      </w:r>
      <w:r>
        <w:rPr/>
        <w:t>（</w:t>
      </w:r>
      <w:r>
        <w:rPr>
          <w:rFonts w:ascii="Times New Roman" w:eastAsia="Times New Roman"/>
        </w:rPr>
        <w:t>2019</w:t>
      </w:r>
      <w:r>
        <w:rPr>
          <w:spacing w:val="-3"/>
        </w:rPr>
        <w:t>年</w:t>
      </w:r>
      <w:r>
        <w:rPr>
          <w:rFonts w:ascii="Times New Roman" w:eastAsia="Times New Roman"/>
        </w:rPr>
        <w:t>5</w:t>
      </w:r>
      <w:r>
        <w:rPr/>
        <w:t>月</w:t>
      </w:r>
      <w:r>
        <w:rPr>
          <w:rFonts w:ascii="Times New Roman" w:eastAsia="Times New Roman"/>
        </w:rPr>
        <w:t>10</w:t>
      </w:r>
      <w:r>
        <w:rPr>
          <w:spacing w:val="-1"/>
        </w:rPr>
        <w:t>日起任职</w:t>
      </w:r>
      <w:r>
        <w:rPr>
          <w:spacing w:val="-106"/>
        </w:rPr>
        <w:t>）</w:t>
      </w:r>
      <w:r>
        <w:rPr/>
        <w:t>、华夏中债</w:t>
      </w:r>
      <w:r>
        <w:rPr>
          <w:rFonts w:ascii="Times New Roman" w:eastAsia="Times New Roman"/>
        </w:rPr>
        <w:t>3-5</w:t>
      </w:r>
      <w:r>
        <w:rPr/>
        <w:t>年政策性金融债指数证券投资基金基金经理（</w:t>
      </w:r>
      <w:r>
        <w:rPr>
          <w:rFonts w:ascii="Times New Roman" w:eastAsia="Times New Roman"/>
        </w:rPr>
        <w:t>2019</w:t>
      </w:r>
      <w:r>
        <w:rPr/>
        <w:t>年</w:t>
      </w:r>
      <w:r>
        <w:rPr>
          <w:rFonts w:ascii="Times New Roman" w:eastAsia="Times New Roman"/>
        </w:rPr>
        <w:t>7</w:t>
      </w:r>
      <w:r>
        <w:rPr/>
        <w:t>月</w:t>
      </w:r>
      <w:r>
        <w:rPr>
          <w:rFonts w:ascii="Times New Roman" w:eastAsia="Times New Roman"/>
        </w:rPr>
        <w:t>12</w:t>
      </w:r>
      <w:r>
        <w:rPr/>
        <w:t>日起任职</w:t>
      </w:r>
      <w:r>
        <w:rPr>
          <w:spacing w:val="-106"/>
        </w:rPr>
        <w:t>）</w:t>
      </w:r>
      <w:r>
        <w:rPr/>
        <w:t>、华夏鼎</w:t>
      </w:r>
      <w:r>
        <w:rPr>
          <w:spacing w:val="-7"/>
        </w:rPr>
        <w:t>淳债券型证券投资基金基金经理</w:t>
      </w:r>
      <w:r>
        <w:rPr/>
        <w:t>（</w:t>
      </w:r>
      <w:r>
        <w:rPr>
          <w:rFonts w:ascii="Times New Roman" w:eastAsia="Times New Roman"/>
        </w:rPr>
        <w:t>2019</w:t>
      </w:r>
      <w:r>
        <w:rPr/>
        <w:t>年</w:t>
      </w:r>
      <w:r>
        <w:rPr>
          <w:rFonts w:ascii="Times New Roman" w:eastAsia="Times New Roman"/>
          <w:spacing w:val="-3"/>
        </w:rPr>
        <w:t>8</w:t>
      </w:r>
      <w:r>
        <w:rPr/>
        <w:t>月</w:t>
      </w:r>
      <w:r>
        <w:rPr>
          <w:rFonts w:ascii="Times New Roman" w:eastAsia="Times New Roman"/>
        </w:rPr>
        <w:t>21</w:t>
      </w:r>
      <w:r>
        <w:rPr>
          <w:spacing w:val="-2"/>
        </w:rPr>
        <w:t>日起任职</w:t>
      </w:r>
      <w:r>
        <w:rPr>
          <w:spacing w:val="-106"/>
        </w:rPr>
        <w:t>）</w:t>
      </w:r>
      <w:r>
        <w:rPr>
          <w:spacing w:val="-9"/>
        </w:rPr>
        <w:t>、华夏鼎泓债券型证券投资基金基金经理（</w:t>
      </w:r>
      <w:r>
        <w:rPr>
          <w:rFonts w:ascii="Times New Roman" w:eastAsia="Times New Roman"/>
          <w:spacing w:val="-9"/>
        </w:rPr>
        <w:t>2019</w:t>
      </w:r>
      <w:r>
        <w:rPr>
          <w:spacing w:val="-9"/>
        </w:rPr>
        <w:t>年</w:t>
      </w:r>
      <w:r>
        <w:rPr>
          <w:rFonts w:ascii="Times New Roman" w:eastAsia="Times New Roman"/>
          <w:spacing w:val="-3"/>
        </w:rPr>
        <w:t>11</w:t>
      </w:r>
      <w:r>
        <w:rPr/>
        <w:t>月</w:t>
      </w:r>
      <w:r>
        <w:rPr>
          <w:rFonts w:ascii="Times New Roman" w:eastAsia="Times New Roman"/>
        </w:rPr>
        <w:t>19</w:t>
      </w:r>
      <w:r>
        <w:rPr/>
        <w:t>日起任职</w:t>
      </w:r>
      <w:r>
        <w:rPr>
          <w:spacing w:val="-101"/>
        </w:rPr>
        <w:t>）</w:t>
      </w:r>
      <w:r>
        <w:rPr/>
        <w:t>、华夏恒利</w:t>
      </w:r>
      <w:r>
        <w:rPr>
          <w:rFonts w:ascii="Times New Roman" w:eastAsia="Times New Roman"/>
        </w:rPr>
        <w:t>3</w:t>
      </w:r>
      <w:r>
        <w:rPr/>
        <w:t>个月定期开放债券型证券投资基金基金经理</w:t>
      </w:r>
    </w:p>
    <w:p>
      <w:pPr>
        <w:pStyle w:val="BodyText"/>
        <w:spacing w:line="268" w:lineRule="exact"/>
        <w:ind w:left="540"/>
      </w:pPr>
      <w:r>
        <w:rPr>
          <w:spacing w:val="-1"/>
        </w:rPr>
        <w:t>（</w:t>
      </w:r>
      <w:r>
        <w:rPr>
          <w:rFonts w:ascii="Times New Roman" w:eastAsia="Times New Roman"/>
          <w:spacing w:val="-1"/>
        </w:rPr>
        <w:t>2019</w:t>
      </w:r>
      <w:r>
        <w:rPr>
          <w:spacing w:val="-3"/>
        </w:rPr>
        <w:t>年</w:t>
      </w:r>
      <w:r>
        <w:rPr>
          <w:rFonts w:ascii="Times New Roman" w:eastAsia="Times New Roman"/>
          <w:spacing w:val="-4"/>
        </w:rPr>
        <w:t>11</w:t>
      </w:r>
      <w:r>
        <w:rPr/>
        <w:t>月</w:t>
      </w:r>
      <w:r>
        <w:rPr>
          <w:rFonts w:ascii="Times New Roman" w:eastAsia="Times New Roman"/>
        </w:rPr>
        <w:t>29</w:t>
      </w:r>
      <w:r>
        <w:rPr>
          <w:spacing w:val="-1"/>
        </w:rPr>
        <w:t>日起任职</w:t>
      </w:r>
      <w:r>
        <w:rPr>
          <w:spacing w:val="-108"/>
        </w:rPr>
        <w:t>）</w:t>
      </w:r>
      <w:r>
        <w:rPr>
          <w:spacing w:val="-3"/>
        </w:rPr>
        <w:t>、华夏鼎顺三个月定期开放债券型发起式证券投资基金基金经理</w:t>
      </w:r>
    </w:p>
    <w:p>
      <w:pPr>
        <w:pStyle w:val="BodyText"/>
        <w:spacing w:before="6"/>
        <w:rPr>
          <w:sz w:val="15"/>
        </w:rPr>
      </w:pPr>
    </w:p>
    <w:p>
      <w:pPr>
        <w:pStyle w:val="BodyText"/>
        <w:ind w:left="540"/>
      </w:pPr>
      <w:r>
        <w:rPr/>
        <w:t>（</w:t>
      </w:r>
      <w:r>
        <w:rPr>
          <w:rFonts w:ascii="Times New Roman" w:eastAsia="Times New Roman"/>
        </w:rPr>
        <w:t>2020</w:t>
      </w:r>
      <w:r>
        <w:rPr>
          <w:spacing w:val="4"/>
        </w:rPr>
        <w:t>年</w:t>
      </w:r>
      <w:r>
        <w:rPr>
          <w:rFonts w:ascii="Times New Roman" w:eastAsia="Times New Roman"/>
          <w:spacing w:val="4"/>
        </w:rPr>
        <w:t>5</w:t>
      </w:r>
      <w:r>
        <w:rPr>
          <w:spacing w:val="4"/>
        </w:rPr>
        <w:t>月</w:t>
      </w:r>
      <w:r>
        <w:rPr>
          <w:rFonts w:ascii="Times New Roman" w:eastAsia="Times New Roman"/>
          <w:spacing w:val="4"/>
        </w:rPr>
        <w:t>7</w:t>
      </w:r>
      <w:r>
        <w:rPr>
          <w:spacing w:val="3"/>
        </w:rPr>
        <w:t>日起任职</w:t>
      </w:r>
      <w:r>
        <w:rPr>
          <w:spacing w:val="-101"/>
        </w:rPr>
        <w:t>）</w:t>
      </w:r>
      <w:r>
        <w:rPr>
          <w:spacing w:val="1"/>
        </w:rPr>
        <w:t>、华夏鼎福三个月定期开放债券型发起式证券投资基金基金经理</w:t>
      </w:r>
    </w:p>
    <w:p>
      <w:pPr>
        <w:pStyle w:val="BodyText"/>
        <w:spacing w:before="6"/>
        <w:rPr>
          <w:sz w:val="15"/>
        </w:rPr>
      </w:pPr>
    </w:p>
    <w:p>
      <w:pPr>
        <w:pStyle w:val="BodyText"/>
        <w:ind w:left="540"/>
      </w:pPr>
      <w:r>
        <w:rPr/>
        <w:t>（</w:t>
      </w:r>
      <w:r>
        <w:rPr>
          <w:rFonts w:ascii="Times New Roman" w:eastAsia="Times New Roman"/>
        </w:rPr>
        <w:t>2020</w:t>
      </w:r>
      <w:r>
        <w:rPr/>
        <w:t>年</w:t>
      </w:r>
      <w:r>
        <w:rPr>
          <w:rFonts w:ascii="Times New Roman" w:eastAsia="Times New Roman"/>
          <w:spacing w:val="-3"/>
        </w:rPr>
        <w:t>5</w:t>
      </w:r>
      <w:r>
        <w:rPr/>
        <w:t>月</w:t>
      </w:r>
      <w:r>
        <w:rPr>
          <w:rFonts w:ascii="Times New Roman" w:eastAsia="Times New Roman"/>
        </w:rPr>
        <w:t>7</w:t>
      </w:r>
      <w:r>
        <w:rPr>
          <w:spacing w:val="-3"/>
        </w:rPr>
        <w:t>日起任职</w:t>
      </w:r>
      <w:r>
        <w:rPr>
          <w:spacing w:val="-108"/>
        </w:rPr>
        <w:t>）</w:t>
      </w:r>
      <w:r>
        <w:rPr/>
        <w:t>。</w:t>
      </w:r>
    </w:p>
    <w:p>
      <w:pPr>
        <w:pStyle w:val="BodyText"/>
        <w:spacing w:before="8"/>
        <w:rPr>
          <w:sz w:val="15"/>
        </w:rPr>
      </w:pPr>
    </w:p>
    <w:p>
      <w:pPr>
        <w:pStyle w:val="BodyText"/>
        <w:ind w:left="960"/>
      </w:pPr>
      <w:r>
        <w:rPr/>
        <w:t>历任基金经理：</w:t>
      </w:r>
      <w:r>
        <w:rPr>
          <w:rFonts w:ascii="Times New Roman" w:eastAsia="Times New Roman"/>
        </w:rPr>
        <w:t>2017</w:t>
      </w:r>
      <w:r>
        <w:rPr/>
        <w:t>年</w:t>
      </w:r>
      <w:r>
        <w:rPr>
          <w:rFonts w:ascii="Times New Roman" w:eastAsia="Times New Roman"/>
        </w:rPr>
        <w:t>3</w:t>
      </w:r>
      <w:r>
        <w:rPr/>
        <w:t>月</w:t>
      </w:r>
      <w:r>
        <w:rPr>
          <w:rFonts w:ascii="Times New Roman" w:eastAsia="Times New Roman"/>
        </w:rPr>
        <w:t>15</w:t>
      </w:r>
      <w:r>
        <w:rPr/>
        <w:t>日至</w:t>
      </w:r>
      <w:r>
        <w:rPr>
          <w:rFonts w:ascii="Times New Roman" w:eastAsia="Times New Roman"/>
        </w:rPr>
        <w:t>2018</w:t>
      </w:r>
      <w:r>
        <w:rPr/>
        <w:t>年</w:t>
      </w:r>
      <w:r>
        <w:rPr>
          <w:rFonts w:ascii="Times New Roman" w:eastAsia="Times New Roman"/>
        </w:rPr>
        <w:t>3</w:t>
      </w:r>
      <w:r>
        <w:rPr/>
        <w:t>月</w:t>
      </w:r>
      <w:r>
        <w:rPr>
          <w:rFonts w:ascii="Times New Roman" w:eastAsia="Times New Roman"/>
        </w:rPr>
        <w:t>29</w:t>
      </w:r>
      <w:r>
        <w:rPr/>
        <w:t>日期间，祝灿先生任基金经理。</w:t>
      </w:r>
    </w:p>
    <w:p>
      <w:pPr>
        <w:pStyle w:val="BodyText"/>
        <w:spacing w:before="6"/>
        <w:rPr>
          <w:sz w:val="15"/>
        </w:rPr>
      </w:pPr>
    </w:p>
    <w:p>
      <w:pPr>
        <w:pStyle w:val="BodyText"/>
        <w:spacing w:before="1"/>
        <w:ind w:left="960"/>
      </w:pPr>
      <w:r>
        <w:rPr>
          <w:rFonts w:ascii="Times New Roman" w:eastAsia="Times New Roman"/>
        </w:rPr>
        <w:t>3</w:t>
      </w:r>
      <w:r>
        <w:rPr/>
        <w:t>、本公司固定收益投资决策委员会</w:t>
      </w:r>
    </w:p>
    <w:p>
      <w:pPr>
        <w:pStyle w:val="BodyText"/>
        <w:spacing w:before="6"/>
        <w:rPr>
          <w:sz w:val="15"/>
        </w:rPr>
      </w:pPr>
    </w:p>
    <w:p>
      <w:pPr>
        <w:pStyle w:val="BodyText"/>
        <w:spacing w:line="417" w:lineRule="auto"/>
        <w:ind w:left="960" w:right="635"/>
      </w:pPr>
      <w:r>
        <w:rPr/>
        <w:t>主任：范义先生，华夏基金管理有限公司固定收益总监，董事总经理，投资经理。成员：李一梅女士，华夏基金管理有限公司董事、总经理。</w:t>
      </w:r>
    </w:p>
    <w:p>
      <w:pPr>
        <w:pStyle w:val="BodyText"/>
        <w:spacing w:line="269" w:lineRule="exact"/>
        <w:ind w:left="960"/>
      </w:pPr>
      <w:r>
        <w:rPr/>
        <w:t>阳琨先生，华夏基金管理有限公司副总经理、投资总监，基金经理。</w:t>
      </w:r>
    </w:p>
    <w:p>
      <w:pPr>
        <w:pStyle w:val="BodyText"/>
        <w:spacing w:before="7"/>
        <w:rPr>
          <w:sz w:val="15"/>
        </w:rPr>
      </w:pPr>
    </w:p>
    <w:p>
      <w:pPr>
        <w:pStyle w:val="BodyText"/>
        <w:spacing w:line="417" w:lineRule="auto"/>
        <w:ind w:left="960" w:right="1478"/>
      </w:pPr>
      <w:r>
        <w:rPr/>
        <w:t>孙彬先生，华夏基金管理有限公司总经理助理，董事总经理，投资经理。曲波先生，华夏基金管理有限公司董事总经理，基金经理。</w:t>
      </w:r>
    </w:p>
    <w:p>
      <w:pPr>
        <w:pStyle w:val="BodyText"/>
        <w:ind w:left="960"/>
      </w:pPr>
      <w:r>
        <w:rPr/>
        <w:t>刘明宇先生，华夏基金管理有限公司董事总经理，基金经理。</w:t>
      </w:r>
    </w:p>
    <w:p>
      <w:pPr>
        <w:pStyle w:val="BodyText"/>
        <w:spacing w:before="7"/>
        <w:rPr>
          <w:sz w:val="15"/>
        </w:rPr>
      </w:pPr>
    </w:p>
    <w:p>
      <w:pPr>
        <w:pStyle w:val="BodyText"/>
        <w:ind w:left="960"/>
      </w:pPr>
      <w:r>
        <w:rPr/>
        <w:t>柳万军先生，华夏基金管理有限公司固定收益部执行总经理，基金经理。</w:t>
      </w:r>
    </w:p>
    <w:p>
      <w:pPr>
        <w:spacing w:after="0"/>
        <w:sectPr>
          <w:pgSz w:w="11910" w:h="16840"/>
          <w:pgMar w:header="877" w:footer="0" w:top="1420" w:bottom="280" w:left="1260" w:right="1480"/>
        </w:sectPr>
      </w:pPr>
    </w:p>
    <w:p>
      <w:pPr>
        <w:pStyle w:val="BodyText"/>
        <w:spacing w:before="110"/>
        <w:ind w:left="960"/>
      </w:pPr>
      <w:r>
        <w:rPr/>
        <w:t>张驰先生，华夏基金管理有限公司机构债券投资部总监。</w:t>
      </w:r>
    </w:p>
    <w:p>
      <w:pPr>
        <w:pStyle w:val="BodyText"/>
        <w:spacing w:before="6"/>
        <w:rPr>
          <w:sz w:val="15"/>
        </w:rPr>
      </w:pPr>
    </w:p>
    <w:p>
      <w:pPr>
        <w:pStyle w:val="BodyText"/>
        <w:ind w:left="960"/>
      </w:pPr>
      <w:r>
        <w:rPr>
          <w:rFonts w:ascii="Times New Roman" w:eastAsia="Times New Roman"/>
        </w:rPr>
        <w:t>4</w:t>
      </w:r>
      <w:r>
        <w:rPr/>
        <w:t>、上述人员之间不存在近亲属关系。</w:t>
      </w:r>
    </w:p>
    <w:p>
      <w:pPr>
        <w:pStyle w:val="BodyText"/>
        <w:spacing w:before="7"/>
        <w:rPr>
          <w:sz w:val="15"/>
        </w:rPr>
      </w:pPr>
    </w:p>
    <w:p>
      <w:pPr>
        <w:pStyle w:val="BodyText"/>
        <w:ind w:left="960"/>
      </w:pPr>
      <w:r>
        <w:rPr/>
        <w:t>（三）基金管理人的职责</w:t>
      </w:r>
    </w:p>
    <w:p>
      <w:pPr>
        <w:pStyle w:val="BodyText"/>
        <w:spacing w:before="7"/>
        <w:rPr>
          <w:sz w:val="15"/>
        </w:rPr>
      </w:pPr>
    </w:p>
    <w:p>
      <w:pPr>
        <w:pStyle w:val="BodyText"/>
        <w:spacing w:line="417" w:lineRule="auto"/>
        <w:ind w:left="540" w:right="31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spacing w:line="269" w:lineRule="exact"/>
        <w:ind w:left="960"/>
      </w:pPr>
      <w:r>
        <w:rPr>
          <w:rFonts w:ascii="Times New Roman" w:eastAsia="Times New Roman"/>
        </w:rPr>
        <w:t>2</w:t>
      </w:r>
      <w:r>
        <w:rPr/>
        <w:t>、办理基金备案手续。</w:t>
      </w:r>
    </w:p>
    <w:p>
      <w:pPr>
        <w:pStyle w:val="BodyText"/>
        <w:spacing w:before="7"/>
        <w:rPr>
          <w:sz w:val="15"/>
        </w:rPr>
      </w:pPr>
    </w:p>
    <w:p>
      <w:pPr>
        <w:pStyle w:val="BodyText"/>
        <w:ind w:left="960"/>
      </w:pPr>
      <w:r>
        <w:rPr>
          <w:rFonts w:ascii="Times New Roman" w:eastAsia="Times New Roman"/>
        </w:rPr>
        <w:t>3</w:t>
      </w:r>
      <w:r>
        <w:rPr/>
        <w:t>、对所管理的不同基金财产分别管理、分别记账，进行证券投资。</w:t>
      </w:r>
    </w:p>
    <w:p>
      <w:pPr>
        <w:pStyle w:val="BodyText"/>
        <w:spacing w:before="7"/>
        <w:rPr>
          <w:sz w:val="15"/>
        </w:rPr>
      </w:pPr>
    </w:p>
    <w:p>
      <w:pPr>
        <w:pStyle w:val="BodyText"/>
        <w:ind w:left="960"/>
      </w:pPr>
      <w:r>
        <w:rPr>
          <w:rFonts w:ascii="Times New Roman" w:eastAsia="Times New Roman"/>
        </w:rPr>
        <w:t>4</w:t>
      </w:r>
      <w:r>
        <w:rPr/>
        <w:t>、按照基金合同的约定确定基金收益分配方案，及时向基金份额持有人分配收益。</w:t>
      </w:r>
    </w:p>
    <w:p>
      <w:pPr>
        <w:pStyle w:val="BodyText"/>
        <w:spacing w:before="7"/>
        <w:rPr>
          <w:sz w:val="15"/>
        </w:rPr>
      </w:pPr>
    </w:p>
    <w:p>
      <w:pPr>
        <w:pStyle w:val="BodyText"/>
        <w:ind w:left="960"/>
      </w:pPr>
      <w:r>
        <w:rPr>
          <w:rFonts w:ascii="Times New Roman" w:eastAsia="Times New Roman"/>
        </w:rPr>
        <w:t>5</w:t>
      </w:r>
      <w:r>
        <w:rPr/>
        <w:t>、进行基金会计核算并编制基金财务会计报告。</w:t>
      </w:r>
    </w:p>
    <w:p>
      <w:pPr>
        <w:pStyle w:val="BodyText"/>
        <w:spacing w:before="6"/>
        <w:rPr>
          <w:sz w:val="15"/>
        </w:rPr>
      </w:pPr>
    </w:p>
    <w:p>
      <w:pPr>
        <w:pStyle w:val="BodyText"/>
        <w:spacing w:before="1"/>
        <w:ind w:left="960"/>
      </w:pPr>
      <w:r>
        <w:rPr>
          <w:rFonts w:ascii="Times New Roman" w:eastAsia="Times New Roman"/>
        </w:rPr>
        <w:t>6</w:t>
      </w:r>
      <w:r>
        <w:rPr/>
        <w:t>、编制中期和年度基金报告。</w:t>
      </w:r>
    </w:p>
    <w:p>
      <w:pPr>
        <w:pStyle w:val="BodyText"/>
        <w:spacing w:before="6"/>
        <w:rPr>
          <w:sz w:val="15"/>
        </w:rPr>
      </w:pPr>
    </w:p>
    <w:p>
      <w:pPr>
        <w:pStyle w:val="BodyText"/>
        <w:ind w:left="960"/>
      </w:pPr>
      <w:r>
        <w:rPr>
          <w:rFonts w:ascii="Times New Roman" w:eastAsia="Times New Roman"/>
        </w:rPr>
        <w:t>7</w:t>
      </w:r>
      <w:r>
        <w:rPr/>
        <w:t>、计算并公告基金净值信息，确定基金份额申购、赎回价格。</w:t>
      </w:r>
    </w:p>
    <w:p>
      <w:pPr>
        <w:pStyle w:val="BodyText"/>
        <w:spacing w:before="7"/>
        <w:rPr>
          <w:sz w:val="15"/>
        </w:rPr>
      </w:pPr>
    </w:p>
    <w:p>
      <w:pPr>
        <w:pStyle w:val="BodyText"/>
        <w:ind w:left="960"/>
      </w:pPr>
      <w:r>
        <w:rPr>
          <w:rFonts w:ascii="Times New Roman" w:eastAsia="Times New Roman"/>
        </w:rPr>
        <w:t>8</w:t>
      </w:r>
      <w:r>
        <w:rPr/>
        <w:t>、办理与基金财产管理业务活动有关的信息披露事项。</w:t>
      </w:r>
    </w:p>
    <w:p>
      <w:pPr>
        <w:pStyle w:val="BodyText"/>
        <w:spacing w:before="7"/>
        <w:rPr>
          <w:sz w:val="15"/>
        </w:rPr>
      </w:pPr>
    </w:p>
    <w:p>
      <w:pPr>
        <w:pStyle w:val="BodyText"/>
        <w:ind w:left="960"/>
      </w:pPr>
      <w:r>
        <w:rPr>
          <w:rFonts w:ascii="Times New Roman" w:eastAsia="Times New Roman"/>
        </w:rPr>
        <w:t>9</w:t>
      </w:r>
      <w:r>
        <w:rPr/>
        <w:t>、召集基金份额持有人大会。</w:t>
      </w:r>
    </w:p>
    <w:p>
      <w:pPr>
        <w:pStyle w:val="BodyText"/>
        <w:spacing w:before="6"/>
        <w:rPr>
          <w:sz w:val="15"/>
        </w:rPr>
      </w:pPr>
    </w:p>
    <w:p>
      <w:pPr>
        <w:pStyle w:val="BodyText"/>
        <w:spacing w:before="1"/>
        <w:ind w:left="960"/>
      </w:pPr>
      <w:r>
        <w:rPr>
          <w:rFonts w:ascii="Times New Roman" w:eastAsia="Times New Roman"/>
        </w:rPr>
        <w:t>10</w:t>
      </w:r>
      <w:r>
        <w:rPr/>
        <w:t>、保存基金财产管理业务活动的记录、账册、报表和其他相关资料。</w:t>
      </w:r>
    </w:p>
    <w:p>
      <w:pPr>
        <w:pStyle w:val="BodyText"/>
        <w:spacing w:before="7"/>
        <w:rPr>
          <w:sz w:val="15"/>
        </w:rPr>
      </w:pPr>
    </w:p>
    <w:p>
      <w:pPr>
        <w:pStyle w:val="BodyText"/>
        <w:ind w:left="960"/>
      </w:pPr>
      <w:r>
        <w:rPr>
          <w:rFonts w:ascii="Times New Roman" w:eastAsia="Times New Roman"/>
        </w:rPr>
        <w:t>11</w:t>
      </w:r>
      <w:r>
        <w:rPr/>
        <w:t>、以基金管理人名义，代表基金份额持有人利益行使诉讼权利或者实施其他法律行为。</w:t>
      </w:r>
    </w:p>
    <w:p>
      <w:pPr>
        <w:pStyle w:val="BodyText"/>
        <w:spacing w:before="6"/>
        <w:rPr>
          <w:sz w:val="15"/>
        </w:rPr>
      </w:pPr>
    </w:p>
    <w:p>
      <w:pPr>
        <w:pStyle w:val="BodyText"/>
        <w:ind w:left="960"/>
      </w:pPr>
      <w:r>
        <w:rPr>
          <w:rFonts w:ascii="Times New Roman" w:eastAsia="Times New Roman"/>
        </w:rPr>
        <w:t>12</w:t>
      </w:r>
      <w:r>
        <w:rPr/>
        <w:t>、国务院证券监督管理机构规定的其他职责。</w:t>
      </w:r>
    </w:p>
    <w:p>
      <w:pPr>
        <w:pStyle w:val="BodyText"/>
        <w:spacing w:before="7"/>
        <w:rPr>
          <w:sz w:val="15"/>
        </w:rPr>
      </w:pPr>
    </w:p>
    <w:p>
      <w:pPr>
        <w:pStyle w:val="BodyText"/>
        <w:ind w:left="960"/>
      </w:pPr>
      <w:r>
        <w:rPr/>
        <w:t>（四）基金管理人承诺</w:t>
      </w:r>
    </w:p>
    <w:p>
      <w:pPr>
        <w:pStyle w:val="BodyText"/>
        <w:spacing w:before="7"/>
        <w:rPr>
          <w:sz w:val="15"/>
        </w:rPr>
      </w:pPr>
    </w:p>
    <w:p>
      <w:pPr>
        <w:pStyle w:val="BodyText"/>
        <w:spacing w:line="417" w:lineRule="auto"/>
        <w:ind w:left="540" w:right="31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540" w:right="313"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540" w:right="31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490" w:val="left" w:leader="none"/>
        </w:tabs>
        <w:spacing w:line="269" w:lineRule="exact" w:before="0" w:after="0"/>
        <w:ind w:left="148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490" w:val="left" w:leader="none"/>
        </w:tabs>
        <w:spacing w:line="240" w:lineRule="auto" w:before="1" w:after="0"/>
        <w:ind w:left="148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依照法律法规有关规定，由中国证监会规定禁止的其他活动。</w:t>
      </w:r>
    </w:p>
    <w:p>
      <w:pPr>
        <w:pStyle w:val="BodyText"/>
        <w:spacing w:before="7"/>
        <w:rPr>
          <w:sz w:val="15"/>
        </w:rPr>
      </w:pPr>
    </w:p>
    <w:p>
      <w:pPr>
        <w:pStyle w:val="BodyText"/>
        <w:ind w:left="960"/>
      </w:pPr>
      <w:r>
        <w:rPr/>
        <w:t>法律法规或监管部门取消上述限制，如适用于本基金，则本基金投资不再受相关限制。</w:t>
      </w:r>
    </w:p>
    <w:p>
      <w:pPr>
        <w:spacing w:after="0"/>
        <w:sectPr>
          <w:pgSz w:w="11910" w:h="16840"/>
          <w:pgMar w:header="877" w:footer="0" w:top="1420" w:bottom="280" w:left="1260" w:right="1480"/>
        </w:sectPr>
      </w:pPr>
    </w:p>
    <w:p>
      <w:pPr>
        <w:pStyle w:val="BodyText"/>
        <w:spacing w:line="417" w:lineRule="auto" w:before="110"/>
        <w:ind w:left="540" w:right="31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490" w:val="left" w:leader="none"/>
        </w:tabs>
        <w:spacing w:line="269" w:lineRule="exact" w:before="0" w:after="0"/>
        <w:ind w:left="148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不公平地对待其管理的不同基金财产。</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14"/>
          <w:sz w:val="21"/>
        </w:rPr>
        <w:t>依照法律、行政法规有关规定，由国务院证券监督管理机构规定禁止的其他行为。</w:t>
      </w:r>
    </w:p>
    <w:p>
      <w:pPr>
        <w:pStyle w:val="BodyText"/>
        <w:spacing w:before="7"/>
        <w:rPr>
          <w:sz w:val="15"/>
        </w:rPr>
      </w:pPr>
    </w:p>
    <w:p>
      <w:pPr>
        <w:pStyle w:val="BodyText"/>
        <w:ind w:left="960"/>
      </w:pPr>
      <w:r>
        <w:rPr>
          <w:rFonts w:ascii="Times New Roman" w:eastAsia="Times New Roman"/>
        </w:rPr>
        <w:t>5</w:t>
      </w:r>
      <w:r>
        <w:rPr/>
        <w:t>、基金经理承诺</w:t>
      </w:r>
    </w:p>
    <w:p>
      <w:pPr>
        <w:pStyle w:val="BodyText"/>
        <w:spacing w:before="7"/>
        <w:rPr>
          <w:sz w:val="15"/>
        </w:rPr>
      </w:pPr>
    </w:p>
    <w:p>
      <w:pPr>
        <w:pStyle w:val="ListParagraph"/>
        <w:numPr>
          <w:ilvl w:val="0"/>
          <w:numId w:val="3"/>
        </w:numPr>
        <w:tabs>
          <w:tab w:pos="1490" w:val="left" w:leader="none"/>
        </w:tabs>
        <w:spacing w:line="417" w:lineRule="auto" w:before="0" w:after="0"/>
        <w:ind w:left="540" w:right="31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490" w:val="left" w:leader="none"/>
        </w:tabs>
        <w:spacing w:line="417" w:lineRule="auto" w:before="0" w:after="0"/>
        <w:ind w:left="540" w:right="31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490" w:val="left" w:leader="none"/>
        </w:tabs>
        <w:spacing w:line="429" w:lineRule="auto" w:before="9" w:after="0"/>
        <w:ind w:left="540" w:right="31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4"/>
        <w:ind w:left="974"/>
      </w:pPr>
      <w:r>
        <w:rPr/>
        <w:t>（五）基金管理人的内部控制制度</w:t>
      </w:r>
    </w:p>
    <w:p>
      <w:pPr>
        <w:pStyle w:val="BodyText"/>
        <w:spacing w:before="8"/>
        <w:rPr>
          <w:sz w:val="16"/>
        </w:rPr>
      </w:pPr>
    </w:p>
    <w:p>
      <w:pPr>
        <w:pStyle w:val="BodyText"/>
        <w:spacing w:line="432" w:lineRule="auto"/>
        <w:ind w:left="540" w:right="20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7" w:lineRule="exact"/>
        <w:ind w:left="960"/>
      </w:pPr>
      <w:r>
        <w:rPr>
          <w:rFonts w:ascii="Times New Roman" w:eastAsia="Times New Roman"/>
        </w:rPr>
        <w:t>1</w:t>
      </w:r>
      <w:r>
        <w:rPr/>
        <w:t>、控制环境</w:t>
      </w:r>
    </w:p>
    <w:p>
      <w:pPr>
        <w:pStyle w:val="BodyText"/>
        <w:spacing w:before="9"/>
        <w:rPr>
          <w:sz w:val="16"/>
        </w:rPr>
      </w:pPr>
    </w:p>
    <w:p>
      <w:pPr>
        <w:pStyle w:val="BodyText"/>
        <w:spacing w:line="432" w:lineRule="auto"/>
        <w:ind w:left="540" w:right="324" w:firstLine="434"/>
      </w:pPr>
      <w:r>
        <w:rPr/>
        <w:t>良好的控制环境包括科学的公司治理、有效的监督管理、合理的组织结构和有力的控制文化。</w:t>
      </w:r>
    </w:p>
    <w:p>
      <w:pPr>
        <w:pStyle w:val="ListParagraph"/>
        <w:numPr>
          <w:ilvl w:val="0"/>
          <w:numId w:val="4"/>
        </w:numPr>
        <w:tabs>
          <w:tab w:pos="1504" w:val="left" w:leader="none"/>
        </w:tabs>
        <w:spacing w:line="432" w:lineRule="auto" w:before="0" w:after="0"/>
        <w:ind w:left="540" w:right="31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502" w:val="left" w:leader="none"/>
        </w:tabs>
        <w:spacing w:line="432" w:lineRule="auto" w:before="0" w:after="0"/>
        <w:ind w:left="540" w:right="31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504" w:val="left" w:leader="none"/>
        </w:tabs>
        <w:spacing w:line="432" w:lineRule="auto" w:before="0" w:after="0"/>
        <w:ind w:left="540" w:right="314" w:firstLine="434"/>
        <w:jc w:val="left"/>
        <w:rPr>
          <w:sz w:val="21"/>
        </w:rPr>
      </w:pPr>
      <w:r>
        <w:rPr>
          <w:spacing w:val="-5"/>
          <w:sz w:val="21"/>
        </w:rPr>
        <w:t>公司坚持稳健经营和规范运作，重视员工的合规守法意识和职业道德的培养，并</w:t>
      </w:r>
      <w:r>
        <w:rPr>
          <w:spacing w:val="-4"/>
          <w:sz w:val="21"/>
        </w:rPr>
        <w:t>进行持续教育。</w:t>
      </w:r>
    </w:p>
    <w:p>
      <w:pPr>
        <w:spacing w:after="0" w:line="432" w:lineRule="auto"/>
        <w:jc w:val="left"/>
        <w:rPr>
          <w:sz w:val="21"/>
        </w:rPr>
        <w:sectPr>
          <w:pgSz w:w="11910" w:h="16840"/>
          <w:pgMar w:header="877" w:footer="0" w:top="1420" w:bottom="280" w:left="1260" w:right="1480"/>
        </w:sectPr>
      </w:pPr>
    </w:p>
    <w:p>
      <w:pPr>
        <w:pStyle w:val="BodyText"/>
        <w:spacing w:before="119"/>
        <w:ind w:left="974"/>
      </w:pPr>
      <w:r>
        <w:rPr>
          <w:rFonts w:ascii="Times New Roman" w:eastAsia="Times New Roman"/>
        </w:rPr>
        <w:t>2</w:t>
      </w:r>
      <w:r>
        <w:rPr/>
        <w:t>、风险评估</w:t>
      </w:r>
    </w:p>
    <w:p>
      <w:pPr>
        <w:pStyle w:val="BodyText"/>
        <w:spacing w:before="8"/>
        <w:rPr>
          <w:sz w:val="16"/>
        </w:rPr>
      </w:pPr>
    </w:p>
    <w:p>
      <w:pPr>
        <w:pStyle w:val="BodyText"/>
        <w:spacing w:line="432" w:lineRule="auto" w:before="1"/>
        <w:ind w:left="540" w:right="20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7" w:lineRule="exact"/>
        <w:ind w:left="974"/>
      </w:pPr>
      <w:r>
        <w:rPr>
          <w:rFonts w:ascii="Times New Roman" w:eastAsia="Times New Roman"/>
        </w:rPr>
        <w:t>3</w:t>
      </w:r>
      <w:r>
        <w:rPr/>
        <w:t>、控制活动</w:t>
      </w:r>
    </w:p>
    <w:p>
      <w:pPr>
        <w:pStyle w:val="BodyText"/>
        <w:spacing w:before="8"/>
        <w:rPr>
          <w:sz w:val="16"/>
        </w:rPr>
      </w:pPr>
    </w:p>
    <w:p>
      <w:pPr>
        <w:pStyle w:val="BodyText"/>
        <w:spacing w:line="432" w:lineRule="auto" w:before="1"/>
        <w:ind w:left="540" w:right="31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504" w:val="left" w:leader="none"/>
        </w:tabs>
        <w:spacing w:line="266" w:lineRule="exact" w:before="0" w:after="0"/>
        <w:ind w:left="1503" w:right="0" w:hanging="530"/>
        <w:jc w:val="left"/>
        <w:rPr>
          <w:sz w:val="21"/>
        </w:rPr>
      </w:pPr>
      <w:r>
        <w:rPr>
          <w:spacing w:val="-3"/>
          <w:sz w:val="21"/>
        </w:rPr>
        <w:t>投资控制制度</w:t>
      </w:r>
    </w:p>
    <w:p>
      <w:pPr>
        <w:pStyle w:val="BodyText"/>
        <w:spacing w:before="10"/>
        <w:rPr>
          <w:sz w:val="16"/>
        </w:rPr>
      </w:pPr>
    </w:p>
    <w:p>
      <w:pPr>
        <w:pStyle w:val="BodyText"/>
        <w:spacing w:line="429" w:lineRule="auto"/>
        <w:ind w:left="540" w:right="318"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line="417" w:lineRule="auto"/>
        <w:ind w:left="540" w:right="311" w:firstLine="434"/>
        <w:jc w:val="both"/>
      </w:pPr>
      <w:r>
        <w:rPr/>
        <w:t>②投资授权控制。建立明确的投资决策授权制度，防止越权决策。投资决策委员会负</w:t>
      </w:r>
      <w:r>
        <w:rPr>
          <w:spacing w:val="-8"/>
        </w:rPr>
        <w:t>责制定投资原则并审定资产配置比例；基金经理在投资决策委员会确定的范围内，负责确定</w:t>
      </w:r>
      <w:r>
        <w:rPr>
          <w:spacing w:val="-12"/>
        </w:rPr>
        <w:t>与实施投资策略、建立和调整投资组合并下达投资指令，对于超过投资权限的操作需要经过</w:t>
      </w:r>
      <w:r>
        <w:rPr>
          <w:spacing w:val="-6"/>
        </w:rPr>
        <w:t>严格的审批程序；交易管理部负责交易执行。</w:t>
      </w:r>
    </w:p>
    <w:p>
      <w:pPr>
        <w:pStyle w:val="BodyText"/>
        <w:spacing w:line="417" w:lineRule="auto"/>
        <w:ind w:left="540" w:right="324" w:firstLine="434"/>
      </w:pPr>
      <w:r>
        <w:rPr/>
        <w:t>③警示性控制。按照法规或公司规定设置各类资产投资比例的预警线，交易系统在投资比例达到接近限制比例前的某一数值时自动预警。</w:t>
      </w:r>
    </w:p>
    <w:p>
      <w:pPr>
        <w:pStyle w:val="BodyText"/>
        <w:spacing w:line="417" w:lineRule="auto"/>
        <w:ind w:left="540" w:right="31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540" w:right="32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504" w:val="left" w:leader="none"/>
        </w:tabs>
        <w:spacing w:line="269" w:lineRule="exact" w:before="0" w:after="0"/>
        <w:ind w:left="1503" w:right="0" w:hanging="530"/>
        <w:jc w:val="left"/>
        <w:rPr>
          <w:sz w:val="21"/>
        </w:rPr>
      </w:pPr>
      <w:r>
        <w:rPr>
          <w:spacing w:val="-3"/>
          <w:sz w:val="21"/>
        </w:rPr>
        <w:t>会计控制制度</w:t>
      </w:r>
    </w:p>
    <w:p>
      <w:pPr>
        <w:pStyle w:val="BodyText"/>
        <w:spacing w:before="193"/>
        <w:ind w:left="960"/>
      </w:pPr>
      <w:r>
        <w:rPr/>
        <w:t>①建立了基金会计的工作制度及相应的操作和控制规程，确保会计业务有章可循。</w:t>
      </w:r>
    </w:p>
    <w:p>
      <w:pPr>
        <w:pStyle w:val="BodyText"/>
        <w:spacing w:before="7"/>
        <w:rPr>
          <w:sz w:val="15"/>
        </w:rPr>
      </w:pPr>
    </w:p>
    <w:p>
      <w:pPr>
        <w:pStyle w:val="BodyText"/>
        <w:spacing w:line="417" w:lineRule="auto"/>
        <w:ind w:left="540" w:right="311" w:firstLine="419"/>
      </w:pPr>
      <w:r>
        <w:rPr>
          <w:spacing w:val="-12"/>
        </w:rPr>
        <w:t>②按照相互制约原则，建立了基金会计业务的复核制度以及与托管人相关业务的相互核</w:t>
      </w:r>
      <w:r>
        <w:rPr>
          <w:spacing w:val="-6"/>
        </w:rPr>
        <w:t>查监督制度。</w:t>
      </w:r>
    </w:p>
    <w:p>
      <w:pPr>
        <w:pStyle w:val="BodyText"/>
        <w:ind w:left="960"/>
      </w:pPr>
      <w:r>
        <w:rPr/>
        <w:t>③为了防范基金会计在资金头寸管理上出现透支风险，制定了资金头寸管理制度。</w:t>
      </w:r>
    </w:p>
    <w:p>
      <w:pPr>
        <w:spacing w:after="0"/>
        <w:sectPr>
          <w:pgSz w:w="11910" w:h="16840"/>
          <w:pgMar w:header="877" w:footer="0" w:top="1420" w:bottom="280" w:left="1260" w:right="1480"/>
        </w:sectPr>
      </w:pPr>
    </w:p>
    <w:p>
      <w:pPr>
        <w:pStyle w:val="BodyText"/>
        <w:spacing w:before="110"/>
        <w:ind w:left="974"/>
      </w:pPr>
      <w:r>
        <w:rPr/>
        <w:t>④制定了完善的档案保管和财务交接制度。</w:t>
      </w:r>
    </w:p>
    <w:p>
      <w:pPr>
        <w:pStyle w:val="BodyText"/>
        <w:spacing w:before="6"/>
        <w:rPr>
          <w:sz w:val="15"/>
        </w:rPr>
      </w:pP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技术系统控制制度</w:t>
      </w:r>
    </w:p>
    <w:p>
      <w:pPr>
        <w:pStyle w:val="BodyText"/>
        <w:spacing w:before="7"/>
        <w:rPr>
          <w:sz w:val="15"/>
        </w:rPr>
      </w:pPr>
    </w:p>
    <w:p>
      <w:pPr>
        <w:pStyle w:val="BodyText"/>
        <w:spacing w:line="417" w:lineRule="auto"/>
        <w:ind w:left="540" w:right="31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504" w:val="left" w:leader="none"/>
        </w:tabs>
        <w:spacing w:line="269" w:lineRule="exact" w:before="0" w:after="0"/>
        <w:ind w:left="1503" w:right="0" w:hanging="530"/>
        <w:jc w:val="left"/>
        <w:rPr>
          <w:sz w:val="21"/>
        </w:rPr>
      </w:pPr>
      <w:r>
        <w:rPr>
          <w:spacing w:val="-3"/>
          <w:sz w:val="21"/>
        </w:rPr>
        <w:t>人力资源管理制度</w:t>
      </w:r>
    </w:p>
    <w:p>
      <w:pPr>
        <w:pStyle w:val="BodyText"/>
        <w:spacing w:before="11"/>
        <w:rPr>
          <w:sz w:val="16"/>
        </w:rPr>
      </w:pPr>
    </w:p>
    <w:p>
      <w:pPr>
        <w:pStyle w:val="BodyText"/>
        <w:spacing w:line="446" w:lineRule="auto"/>
        <w:ind w:left="540" w:right="324" w:firstLine="434"/>
      </w:pPr>
      <w:r>
        <w:rPr/>
        <w:t>公司建立了科学的招聘解聘制度、培训制度、考核制度、薪酬制度等人事管理制度， 确保人力资源的有效管理。</w:t>
      </w:r>
    </w:p>
    <w:p>
      <w:pPr>
        <w:pStyle w:val="ListParagraph"/>
        <w:numPr>
          <w:ilvl w:val="0"/>
          <w:numId w:val="5"/>
        </w:numPr>
        <w:tabs>
          <w:tab w:pos="1504" w:val="left" w:leader="none"/>
        </w:tabs>
        <w:spacing w:line="267" w:lineRule="exact" w:before="0" w:after="0"/>
        <w:ind w:left="1503" w:right="0" w:hanging="530"/>
        <w:jc w:val="left"/>
        <w:rPr>
          <w:sz w:val="21"/>
        </w:rPr>
      </w:pPr>
      <w:r>
        <w:rPr>
          <w:spacing w:val="-2"/>
          <w:sz w:val="21"/>
        </w:rPr>
        <w:t>监察制度</w:t>
      </w:r>
    </w:p>
    <w:p>
      <w:pPr>
        <w:pStyle w:val="BodyText"/>
        <w:spacing w:before="12"/>
        <w:rPr>
          <w:sz w:val="17"/>
        </w:rPr>
      </w:pPr>
    </w:p>
    <w:p>
      <w:pPr>
        <w:pStyle w:val="BodyText"/>
        <w:spacing w:line="446" w:lineRule="auto"/>
        <w:ind w:left="540" w:right="324"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504" w:val="left" w:leader="none"/>
        </w:tabs>
        <w:spacing w:line="250" w:lineRule="exact" w:before="0" w:after="0"/>
        <w:ind w:left="1503" w:right="0" w:hanging="530"/>
        <w:jc w:val="left"/>
        <w:rPr>
          <w:sz w:val="21"/>
        </w:rPr>
      </w:pPr>
      <w:r>
        <w:rPr>
          <w:spacing w:val="-3"/>
          <w:sz w:val="21"/>
        </w:rPr>
        <w:t>反洗钱制度</w:t>
      </w:r>
    </w:p>
    <w:p>
      <w:pPr>
        <w:pStyle w:val="BodyText"/>
        <w:spacing w:before="7"/>
        <w:rPr>
          <w:sz w:val="15"/>
        </w:rPr>
      </w:pPr>
    </w:p>
    <w:p>
      <w:pPr>
        <w:pStyle w:val="BodyText"/>
        <w:spacing w:line="417" w:lineRule="auto"/>
        <w:ind w:left="540" w:right="31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17"/>
        <w:ind w:left="974"/>
      </w:pPr>
      <w:r>
        <w:rPr>
          <w:rFonts w:ascii="Times New Roman" w:eastAsia="Times New Roman"/>
        </w:rPr>
        <w:t>4</w:t>
      </w:r>
      <w:r>
        <w:rPr/>
        <w:t>、信息沟通</w:t>
      </w:r>
    </w:p>
    <w:p>
      <w:pPr>
        <w:pStyle w:val="BodyText"/>
        <w:spacing w:before="12"/>
        <w:rPr>
          <w:sz w:val="17"/>
        </w:rPr>
      </w:pPr>
    </w:p>
    <w:p>
      <w:pPr>
        <w:pStyle w:val="BodyText"/>
        <w:spacing w:line="446" w:lineRule="auto"/>
        <w:ind w:left="540" w:right="333"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line="265" w:lineRule="exact"/>
        <w:ind w:left="974"/>
      </w:pPr>
      <w:r>
        <w:rPr>
          <w:rFonts w:ascii="Times New Roman" w:eastAsia="Times New Roman"/>
        </w:rPr>
        <w:t>5</w:t>
      </w:r>
      <w:r>
        <w:rPr/>
        <w:t>、内部监控</w:t>
      </w:r>
    </w:p>
    <w:p>
      <w:pPr>
        <w:pStyle w:val="BodyText"/>
        <w:spacing w:before="12"/>
        <w:rPr>
          <w:sz w:val="17"/>
        </w:rPr>
      </w:pPr>
    </w:p>
    <w:p>
      <w:pPr>
        <w:pStyle w:val="BodyText"/>
        <w:spacing w:line="446" w:lineRule="auto"/>
        <w:ind w:left="540" w:right="31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5" w:lineRule="exact"/>
        <w:ind w:left="960"/>
      </w:pPr>
      <w:r>
        <w:rPr>
          <w:rFonts w:ascii="Times New Roman" w:eastAsia="Times New Roman"/>
        </w:rPr>
        <w:t>6</w:t>
      </w:r>
      <w:r>
        <w:rPr/>
        <w:t>、基金管理人关于内部控制的声明</w:t>
      </w:r>
    </w:p>
    <w:p>
      <w:pPr>
        <w:pStyle w:val="BodyText"/>
        <w:spacing w:before="12"/>
        <w:rPr>
          <w:sz w:val="17"/>
        </w:rPr>
      </w:pPr>
    </w:p>
    <w:p>
      <w:pPr>
        <w:pStyle w:val="ListParagraph"/>
        <w:numPr>
          <w:ilvl w:val="0"/>
          <w:numId w:val="6"/>
        </w:numPr>
        <w:tabs>
          <w:tab w:pos="1490" w:val="left" w:leader="none"/>
        </w:tabs>
        <w:spacing w:line="240" w:lineRule="auto" w:before="1" w:after="0"/>
        <w:ind w:left="1489" w:right="0" w:hanging="530"/>
        <w:jc w:val="left"/>
        <w:rPr>
          <w:sz w:val="21"/>
        </w:rPr>
      </w:pPr>
      <w:r>
        <w:rPr>
          <w:spacing w:val="-3"/>
          <w:sz w:val="21"/>
        </w:rPr>
        <w:t>本公司确知建立、实施和维持内部控制制度是本公司董事会及管理层的责任。</w:t>
      </w:r>
    </w:p>
    <w:p>
      <w:pPr>
        <w:pStyle w:val="BodyText"/>
        <w:spacing w:before="12"/>
        <w:rPr>
          <w:sz w:val="17"/>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上述关于内部控制的披露真实、准确。</w:t>
      </w:r>
    </w:p>
    <w:p>
      <w:pPr>
        <w:spacing w:after="0" w:line="240" w:lineRule="auto"/>
        <w:jc w:val="left"/>
        <w:rPr>
          <w:sz w:val="21"/>
        </w:rPr>
        <w:sectPr>
          <w:pgSz w:w="11910" w:h="16840"/>
          <w:pgMar w:header="877" w:footer="0" w:top="1420" w:bottom="280" w:left="1260" w:right="1480"/>
        </w:sectPr>
      </w:pPr>
    </w:p>
    <w:p>
      <w:pPr>
        <w:pStyle w:val="ListParagraph"/>
        <w:numPr>
          <w:ilvl w:val="0"/>
          <w:numId w:val="6"/>
        </w:numPr>
        <w:tabs>
          <w:tab w:pos="1490" w:val="left" w:leader="none"/>
        </w:tabs>
        <w:spacing w:line="240" w:lineRule="auto" w:before="126" w:after="0"/>
        <w:ind w:left="1489"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BodyText"/>
        <w:spacing w:before="4"/>
        <w:rPr>
          <w:sz w:val="32"/>
        </w:rPr>
      </w:pPr>
    </w:p>
    <w:p>
      <w:pPr>
        <w:pStyle w:val="Heading1"/>
      </w:pPr>
      <w:bookmarkStart w:name="_bookmark3" w:id="4"/>
      <w:bookmarkEnd w:id="4"/>
      <w:r>
        <w:rPr>
          <w:b w:val="0"/>
        </w:rPr>
      </w:r>
      <w:r>
        <w:rPr/>
        <w:t>四、基金托管人</w:t>
      </w:r>
    </w:p>
    <w:p>
      <w:pPr>
        <w:pStyle w:val="BodyText"/>
        <w:rPr>
          <w:b/>
          <w:sz w:val="20"/>
        </w:rPr>
      </w:pPr>
    </w:p>
    <w:p>
      <w:pPr>
        <w:pStyle w:val="BodyText"/>
        <w:rPr>
          <w:b/>
          <w:sz w:val="20"/>
        </w:rPr>
      </w:pPr>
    </w:p>
    <w:p>
      <w:pPr>
        <w:pStyle w:val="BodyText"/>
        <w:spacing w:before="157"/>
        <w:ind w:left="960"/>
      </w:pPr>
      <w:r>
        <w:rPr/>
        <w:t>（一）基金托管人概况</w:t>
      </w:r>
    </w:p>
    <w:p>
      <w:pPr>
        <w:pStyle w:val="BodyText"/>
        <w:spacing w:before="7"/>
        <w:rPr>
          <w:sz w:val="15"/>
        </w:rPr>
      </w:pPr>
    </w:p>
    <w:p>
      <w:pPr>
        <w:pStyle w:val="BodyText"/>
        <w:ind w:left="960"/>
      </w:pPr>
      <w:r>
        <w:rPr>
          <w:rFonts w:ascii="Times New Roman" w:eastAsia="Times New Roman"/>
        </w:rPr>
        <w:t>1</w:t>
      </w:r>
      <w:r>
        <w:rPr/>
        <w:t>、基本情况</w:t>
      </w:r>
    </w:p>
    <w:p>
      <w:pPr>
        <w:pStyle w:val="BodyText"/>
        <w:spacing w:before="7"/>
        <w:rPr>
          <w:sz w:val="15"/>
        </w:rPr>
      </w:pPr>
    </w:p>
    <w:p>
      <w:pPr>
        <w:pStyle w:val="BodyText"/>
        <w:spacing w:line="417" w:lineRule="auto"/>
        <w:ind w:left="960" w:right="3184"/>
      </w:pPr>
      <w:r>
        <w:rPr/>
        <w:t>名称：招商银行股份有限公司（以下简称</w:t>
      </w:r>
      <w:r>
        <w:rPr>
          <w:rFonts w:ascii="Times New Roman" w:hAnsi="Times New Roman" w:eastAsia="Times New Roman"/>
        </w:rPr>
        <w:t>“</w:t>
      </w:r>
      <w:r>
        <w:rPr/>
        <w:t>招商银行</w:t>
      </w:r>
      <w:r>
        <w:rPr>
          <w:rFonts w:ascii="Times New Roman" w:hAnsi="Times New Roman" w:eastAsia="Times New Roman"/>
        </w:rPr>
        <w:t>”</w:t>
      </w:r>
      <w:r>
        <w:rPr/>
        <w:t>） 设立日期：</w:t>
      </w:r>
      <w:r>
        <w:rPr>
          <w:rFonts w:ascii="Times New Roman" w:hAnsi="Times New Roman" w:eastAsia="Times New Roman"/>
        </w:rPr>
        <w:t>1987</w:t>
      </w:r>
      <w:r>
        <w:rPr/>
        <w:t>年</w:t>
      </w:r>
      <w:r>
        <w:rPr>
          <w:rFonts w:ascii="Times New Roman" w:hAnsi="Times New Roman" w:eastAsia="Times New Roman"/>
        </w:rPr>
        <w:t>4</w:t>
      </w:r>
      <w:r>
        <w:rPr/>
        <w:t>月</w:t>
      </w:r>
      <w:r>
        <w:rPr>
          <w:rFonts w:ascii="Times New Roman" w:hAnsi="Times New Roman" w:eastAsia="Times New Roman"/>
        </w:rPr>
        <w:t>8</w:t>
      </w:r>
      <w:r>
        <w:rPr/>
        <w:t>日</w:t>
      </w:r>
    </w:p>
    <w:p>
      <w:pPr>
        <w:pStyle w:val="BodyText"/>
        <w:spacing w:line="417" w:lineRule="auto"/>
        <w:ind w:left="960" w:right="3789"/>
        <w:jc w:val="both"/>
      </w:pPr>
      <w:r>
        <w:rPr/>
        <w:t>注册地址：深圳市深南大道</w:t>
      </w:r>
      <w:r>
        <w:rPr>
          <w:rFonts w:ascii="Times New Roman" w:eastAsia="Times New Roman"/>
        </w:rPr>
        <w:t>7088</w:t>
      </w:r>
      <w:r>
        <w:rPr/>
        <w:t>号招商银行大厦办公地址：深圳市深南大道</w:t>
      </w:r>
      <w:r>
        <w:rPr>
          <w:rFonts w:ascii="Times New Roman" w:eastAsia="Times New Roman"/>
        </w:rPr>
        <w:t>7088</w:t>
      </w:r>
      <w:r>
        <w:rPr/>
        <w:t>号招商银行大厦注册资本：</w:t>
      </w:r>
      <w:r>
        <w:rPr>
          <w:rFonts w:ascii="Times New Roman" w:eastAsia="Times New Roman"/>
        </w:rPr>
        <w:t>252.20</w:t>
      </w:r>
      <w:r>
        <w:rPr/>
        <w:t>亿元</w:t>
      </w:r>
    </w:p>
    <w:p>
      <w:pPr>
        <w:pStyle w:val="BodyText"/>
        <w:spacing w:line="417" w:lineRule="auto"/>
        <w:ind w:left="960" w:right="6310"/>
      </w:pPr>
      <w:r>
        <w:rPr/>
        <w:t>法定代表人：李建红行长：田惠宇</w:t>
      </w:r>
    </w:p>
    <w:p>
      <w:pPr>
        <w:pStyle w:val="BodyText"/>
        <w:spacing w:line="417" w:lineRule="auto"/>
        <w:ind w:left="960" w:right="3859"/>
        <w:rPr>
          <w:rFonts w:ascii="Times New Roman" w:eastAsia="Times New Roman"/>
        </w:rPr>
      </w:pPr>
      <w:r>
        <w:rPr>
          <w:spacing w:val="-3"/>
        </w:rPr>
        <w:t>资产托管业务批准文号：证监基金字</w:t>
      </w:r>
      <w:r>
        <w:rPr>
          <w:rFonts w:ascii="Times New Roman" w:eastAsia="Times New Roman"/>
        </w:rPr>
        <w:t>[2002]83</w:t>
      </w:r>
      <w:r>
        <w:rPr>
          <w:spacing w:val="-12"/>
        </w:rPr>
        <w:t>号</w:t>
      </w:r>
      <w:r>
        <w:rPr/>
        <w:t>电话：</w:t>
      </w:r>
      <w:r>
        <w:rPr>
          <w:rFonts w:ascii="Times New Roman" w:eastAsia="Times New Roman"/>
        </w:rPr>
        <w:t>0755-83199084</w:t>
      </w:r>
    </w:p>
    <w:p>
      <w:pPr>
        <w:pStyle w:val="BodyText"/>
        <w:ind w:left="960"/>
        <w:rPr>
          <w:rFonts w:ascii="Times New Roman" w:eastAsia="Times New Roman"/>
        </w:rPr>
      </w:pPr>
      <w:r>
        <w:rPr>
          <w:spacing w:val="-1"/>
        </w:rPr>
        <w:t>传真：</w:t>
      </w:r>
      <w:r>
        <w:rPr>
          <w:rFonts w:ascii="Times New Roman" w:eastAsia="Times New Roman"/>
          <w:spacing w:val="-1"/>
        </w:rPr>
        <w:t>0755-83195201</w:t>
      </w:r>
    </w:p>
    <w:p>
      <w:pPr>
        <w:pStyle w:val="BodyText"/>
        <w:spacing w:before="2"/>
        <w:rPr>
          <w:rFonts w:ascii="Times New Roman"/>
          <w:sz w:val="17"/>
        </w:rPr>
      </w:pPr>
    </w:p>
    <w:p>
      <w:pPr>
        <w:pStyle w:val="BodyText"/>
        <w:spacing w:before="1"/>
        <w:ind w:left="960"/>
      </w:pPr>
      <w:r>
        <w:rPr/>
        <w:t>资产托管部信息披露负责人：张燕</w:t>
      </w:r>
    </w:p>
    <w:p>
      <w:pPr>
        <w:pStyle w:val="BodyText"/>
        <w:spacing w:before="6"/>
        <w:rPr>
          <w:sz w:val="15"/>
        </w:rPr>
      </w:pPr>
    </w:p>
    <w:p>
      <w:pPr>
        <w:pStyle w:val="BodyText"/>
        <w:ind w:left="960"/>
      </w:pPr>
      <w:r>
        <w:rPr>
          <w:rFonts w:ascii="Times New Roman" w:eastAsia="Times New Roman"/>
        </w:rPr>
        <w:t>2</w:t>
      </w:r>
      <w:r>
        <w:rPr/>
        <w:t>、发展概况</w:t>
      </w:r>
    </w:p>
    <w:p>
      <w:pPr>
        <w:pStyle w:val="BodyText"/>
        <w:spacing w:before="7"/>
        <w:rPr>
          <w:sz w:val="15"/>
        </w:rPr>
      </w:pPr>
    </w:p>
    <w:p>
      <w:pPr>
        <w:pStyle w:val="BodyText"/>
        <w:spacing w:line="417" w:lineRule="auto"/>
        <w:ind w:left="540" w:right="205" w:firstLine="419"/>
      </w:pPr>
      <w:r>
        <w:rPr>
          <w:spacing w:val="-2"/>
        </w:rPr>
        <w:t>招商银行成立于</w:t>
      </w:r>
      <w:r>
        <w:rPr>
          <w:rFonts w:ascii="Times New Roman" w:eastAsia="Times New Roman"/>
        </w:rPr>
        <w:t>1987</w:t>
      </w:r>
      <w:r>
        <w:rPr/>
        <w:t>年</w:t>
      </w:r>
      <w:r>
        <w:rPr>
          <w:rFonts w:ascii="Times New Roman" w:eastAsia="Times New Roman"/>
        </w:rPr>
        <w:t>4</w:t>
      </w:r>
      <w:r>
        <w:rPr>
          <w:spacing w:val="-3"/>
        </w:rPr>
        <w:t>月</w:t>
      </w:r>
      <w:r>
        <w:rPr>
          <w:rFonts w:ascii="Times New Roman" w:eastAsia="Times New Roman"/>
        </w:rPr>
        <w:t>8</w:t>
      </w:r>
      <w:r>
        <w:rPr>
          <w:spacing w:val="-3"/>
        </w:rPr>
        <w:t>日，是我国第一家完全由企业法人持股的股份制商业银行， 总行设在深圳。自成立以来，招商银行先后进行了三次增资扩股，并于</w:t>
      </w:r>
      <w:r>
        <w:rPr>
          <w:rFonts w:ascii="Times New Roman" w:eastAsia="Times New Roman"/>
        </w:rPr>
        <w:t>2002</w:t>
      </w:r>
      <w:r>
        <w:rPr/>
        <w:t>年</w:t>
      </w:r>
      <w:r>
        <w:rPr>
          <w:rFonts w:ascii="Times New Roman" w:eastAsia="Times New Roman"/>
        </w:rPr>
        <w:t>3</w:t>
      </w:r>
      <w:r>
        <w:rPr>
          <w:spacing w:val="-2"/>
        </w:rPr>
        <w:t>月成功地发</w:t>
      </w:r>
      <w:r>
        <w:rPr>
          <w:w w:val="100"/>
        </w:rPr>
        <w:t>行了</w:t>
      </w:r>
      <w:r>
        <w:rPr>
          <w:rFonts w:ascii="Times New Roman" w:eastAsia="Times New Roman"/>
          <w:w w:val="100"/>
        </w:rPr>
        <w:t>15</w:t>
      </w:r>
      <w:r>
        <w:rPr>
          <w:w w:val="100"/>
        </w:rPr>
        <w:t>亿</w:t>
      </w:r>
      <w:r>
        <w:rPr>
          <w:rFonts w:ascii="Times New Roman" w:eastAsia="Times New Roman"/>
          <w:spacing w:val="1"/>
          <w:w w:val="100"/>
        </w:rPr>
        <w:t>A</w:t>
      </w:r>
      <w:r>
        <w:rPr>
          <w:spacing w:val="1"/>
          <w:w w:val="100"/>
        </w:rPr>
        <w:t>股，</w:t>
      </w:r>
      <w:r>
        <w:rPr>
          <w:rFonts w:ascii="Times New Roman" w:eastAsia="Times New Roman"/>
          <w:w w:val="100"/>
        </w:rPr>
        <w:t>4</w:t>
      </w:r>
      <w:r>
        <w:rPr>
          <w:spacing w:val="2"/>
          <w:w w:val="100"/>
        </w:rPr>
        <w:t>月</w:t>
      </w:r>
      <w:r>
        <w:rPr>
          <w:rFonts w:ascii="Times New Roman" w:eastAsia="Times New Roman"/>
          <w:w w:val="100"/>
        </w:rPr>
        <w:t>9</w:t>
      </w:r>
      <w:r>
        <w:rPr>
          <w:w w:val="100"/>
        </w:rPr>
        <w:t>日在上交所挂牌（股票代码：</w:t>
      </w:r>
      <w:r>
        <w:rPr>
          <w:rFonts w:ascii="Times New Roman" w:eastAsia="Times New Roman"/>
          <w:spacing w:val="-3"/>
          <w:w w:val="100"/>
        </w:rPr>
        <w:t>6</w:t>
      </w:r>
      <w:r>
        <w:rPr>
          <w:rFonts w:ascii="Times New Roman" w:eastAsia="Times New Roman"/>
          <w:w w:val="100"/>
        </w:rPr>
        <w:t>0003</w:t>
      </w:r>
      <w:r>
        <w:rPr>
          <w:rFonts w:ascii="Times New Roman" w:eastAsia="Times New Roman"/>
          <w:spacing w:val="-1"/>
          <w:w w:val="100"/>
        </w:rPr>
        <w:t>6</w:t>
      </w:r>
      <w:r>
        <w:rPr>
          <w:spacing w:val="-106"/>
          <w:w w:val="100"/>
        </w:rPr>
        <w:t>）</w:t>
      </w:r>
      <w:r>
        <w:rPr>
          <w:w w:val="100"/>
        </w:rPr>
        <w:t>，是国内第一家采用国际会计标</w:t>
      </w:r>
      <w:r>
        <w:rPr>
          <w:spacing w:val="-4"/>
        </w:rPr>
        <w:t>准上市的公司。</w:t>
      </w:r>
      <w:r>
        <w:rPr>
          <w:rFonts w:ascii="Times New Roman" w:eastAsia="Times New Roman"/>
        </w:rPr>
        <w:t>2006</w:t>
      </w:r>
      <w:r>
        <w:rPr/>
        <w:t>年</w:t>
      </w:r>
      <w:r>
        <w:rPr>
          <w:rFonts w:ascii="Times New Roman" w:eastAsia="Times New Roman"/>
          <w:spacing w:val="-3"/>
        </w:rPr>
        <w:t>9</w:t>
      </w:r>
      <w:r>
        <w:rPr>
          <w:spacing w:val="-3"/>
        </w:rPr>
        <w:t>月又成功发行了</w:t>
      </w:r>
      <w:r>
        <w:rPr>
          <w:rFonts w:ascii="Times New Roman" w:eastAsia="Times New Roman"/>
        </w:rPr>
        <w:t>22</w:t>
      </w:r>
      <w:r>
        <w:rPr>
          <w:spacing w:val="-3"/>
        </w:rPr>
        <w:t>亿</w:t>
      </w:r>
      <w:r>
        <w:rPr>
          <w:rFonts w:ascii="Times New Roman" w:eastAsia="Times New Roman"/>
        </w:rPr>
        <w:t>H</w:t>
      </w:r>
      <w:r>
        <w:rPr>
          <w:spacing w:val="-6"/>
        </w:rPr>
        <w:t>股，</w:t>
      </w:r>
      <w:r>
        <w:rPr>
          <w:rFonts w:ascii="Times New Roman" w:eastAsia="Times New Roman"/>
          <w:spacing w:val="-8"/>
        </w:rPr>
        <w:t>9</w:t>
      </w:r>
      <w:r>
        <w:rPr/>
        <w:t>月</w:t>
      </w:r>
      <w:r>
        <w:rPr>
          <w:rFonts w:ascii="Times New Roman" w:eastAsia="Times New Roman"/>
        </w:rPr>
        <w:t>22</w:t>
      </w:r>
      <w:r>
        <w:rPr>
          <w:spacing w:val="-4"/>
        </w:rPr>
        <w:t>日在香港联交所挂牌交易</w:t>
      </w:r>
      <w:r>
        <w:rPr>
          <w:spacing w:val="-3"/>
        </w:rPr>
        <w:t>（</w:t>
      </w:r>
      <w:r>
        <w:rPr>
          <w:spacing w:val="-2"/>
        </w:rPr>
        <w:t>股票代</w:t>
      </w:r>
      <w:r>
        <w:rPr>
          <w:spacing w:val="-5"/>
          <w:w w:val="100"/>
        </w:rPr>
        <w:t>码：</w:t>
      </w:r>
      <w:r>
        <w:rPr>
          <w:rFonts w:ascii="Times New Roman" w:eastAsia="Times New Roman"/>
          <w:w w:val="100"/>
        </w:rPr>
        <w:t>396</w:t>
      </w:r>
      <w:r>
        <w:rPr>
          <w:rFonts w:ascii="Times New Roman" w:eastAsia="Times New Roman"/>
          <w:spacing w:val="-3"/>
          <w:w w:val="100"/>
        </w:rPr>
        <w:t>8</w:t>
      </w:r>
      <w:r>
        <w:rPr>
          <w:spacing w:val="-108"/>
          <w:w w:val="100"/>
        </w:rPr>
        <w:t>）</w:t>
      </w:r>
      <w:r>
        <w:rPr>
          <w:spacing w:val="-5"/>
          <w:w w:val="100"/>
        </w:rPr>
        <w:t>，</w:t>
      </w:r>
      <w:r>
        <w:rPr>
          <w:rFonts w:ascii="Times New Roman" w:eastAsia="Times New Roman"/>
          <w:w w:val="100"/>
        </w:rPr>
        <w:t>1</w:t>
      </w:r>
      <w:r>
        <w:rPr>
          <w:rFonts w:ascii="Times New Roman" w:eastAsia="Times New Roman"/>
          <w:spacing w:val="-3"/>
          <w:w w:val="100"/>
        </w:rPr>
        <w:t>0</w:t>
      </w:r>
      <w:r>
        <w:rPr>
          <w:w w:val="100"/>
        </w:rPr>
        <w:t>月</w:t>
      </w:r>
      <w:r>
        <w:rPr>
          <w:rFonts w:ascii="Times New Roman" w:eastAsia="Times New Roman"/>
          <w:w w:val="100"/>
        </w:rPr>
        <w:t>5</w:t>
      </w:r>
      <w:r>
        <w:rPr>
          <w:spacing w:val="-2"/>
          <w:w w:val="100"/>
        </w:rPr>
        <w:t>日行使</w:t>
      </w:r>
      <w:r>
        <w:rPr>
          <w:rFonts w:ascii="Times New Roman" w:eastAsia="Times New Roman"/>
          <w:spacing w:val="-2"/>
          <w:w w:val="100"/>
        </w:rPr>
        <w:t>H</w:t>
      </w:r>
      <w:r>
        <w:rPr>
          <w:spacing w:val="-3"/>
          <w:w w:val="100"/>
        </w:rPr>
        <w:t>股超额配售，共发行了</w:t>
      </w:r>
      <w:r>
        <w:rPr>
          <w:rFonts w:ascii="Times New Roman" w:eastAsia="Times New Roman"/>
          <w:w w:val="100"/>
        </w:rPr>
        <w:t>24</w:t>
      </w:r>
      <w:r>
        <w:rPr>
          <w:rFonts w:ascii="Times New Roman" w:eastAsia="Times New Roman"/>
          <w:spacing w:val="-3"/>
          <w:w w:val="100"/>
        </w:rPr>
        <w:t>.</w:t>
      </w:r>
      <w:r>
        <w:rPr>
          <w:rFonts w:ascii="Times New Roman" w:eastAsia="Times New Roman"/>
          <w:spacing w:val="-1"/>
          <w:w w:val="100"/>
        </w:rPr>
        <w:t>2</w:t>
      </w:r>
      <w:r>
        <w:rPr>
          <w:spacing w:val="-3"/>
          <w:w w:val="100"/>
        </w:rPr>
        <w:t>亿</w:t>
      </w:r>
      <w:r>
        <w:rPr>
          <w:rFonts w:ascii="Times New Roman" w:eastAsia="Times New Roman"/>
          <w:spacing w:val="1"/>
          <w:w w:val="100"/>
        </w:rPr>
        <w:t>H</w:t>
      </w:r>
      <w:r>
        <w:rPr>
          <w:spacing w:val="-4"/>
          <w:w w:val="100"/>
        </w:rPr>
        <w:t>股。截至</w:t>
      </w:r>
      <w:r>
        <w:rPr>
          <w:rFonts w:ascii="Times New Roman" w:eastAsia="Times New Roman"/>
          <w:w w:val="100"/>
        </w:rPr>
        <w:t>2</w:t>
      </w:r>
      <w:r>
        <w:rPr>
          <w:rFonts w:ascii="Times New Roman" w:eastAsia="Times New Roman"/>
          <w:spacing w:val="-3"/>
          <w:w w:val="100"/>
        </w:rPr>
        <w:t>0</w:t>
      </w:r>
      <w:r>
        <w:rPr>
          <w:rFonts w:ascii="Times New Roman" w:eastAsia="Times New Roman"/>
          <w:w w:val="100"/>
        </w:rPr>
        <w:t>2</w:t>
      </w:r>
      <w:r>
        <w:rPr>
          <w:rFonts w:ascii="Times New Roman" w:eastAsia="Times New Roman"/>
          <w:spacing w:val="-1"/>
          <w:w w:val="100"/>
        </w:rPr>
        <w:t>0</w:t>
      </w:r>
      <w:r>
        <w:rPr>
          <w:spacing w:val="-3"/>
          <w:w w:val="100"/>
        </w:rPr>
        <w:t>年</w:t>
      </w:r>
      <w:r>
        <w:rPr>
          <w:rFonts w:ascii="Times New Roman" w:eastAsia="Times New Roman"/>
          <w:w w:val="100"/>
        </w:rPr>
        <w:t>6</w:t>
      </w:r>
      <w:r>
        <w:rPr>
          <w:w w:val="100"/>
        </w:rPr>
        <w:t>月</w:t>
      </w:r>
      <w:r>
        <w:rPr>
          <w:rFonts w:ascii="Times New Roman" w:eastAsia="Times New Roman"/>
          <w:spacing w:val="-3"/>
          <w:w w:val="100"/>
        </w:rPr>
        <w:t>3</w:t>
      </w:r>
      <w:r>
        <w:rPr>
          <w:rFonts w:ascii="Times New Roman" w:eastAsia="Times New Roman"/>
          <w:spacing w:val="-2"/>
          <w:w w:val="100"/>
        </w:rPr>
        <w:t>0</w:t>
      </w:r>
      <w:r>
        <w:rPr>
          <w:spacing w:val="-3"/>
          <w:w w:val="100"/>
        </w:rPr>
        <w:t>日，本集团</w:t>
      </w:r>
      <w:r>
        <w:rPr>
          <w:spacing w:val="-3"/>
        </w:rPr>
        <w:t>总资产</w:t>
      </w:r>
      <w:r>
        <w:rPr>
          <w:rFonts w:ascii="Times New Roman" w:eastAsia="Times New Roman"/>
        </w:rPr>
        <w:t>80,318.26</w:t>
      </w:r>
      <w:r>
        <w:rPr>
          <w:spacing w:val="-3"/>
        </w:rPr>
        <w:t>亿元人民币，高级法下资本充足率</w:t>
      </w:r>
      <w:r>
        <w:rPr>
          <w:rFonts w:ascii="Times New Roman" w:eastAsia="Times New Roman"/>
        </w:rPr>
        <w:t>14.90%</w:t>
      </w:r>
      <w:r>
        <w:rPr>
          <w:spacing w:val="-3"/>
        </w:rPr>
        <w:t>，权重法下资本充足率</w:t>
      </w:r>
      <w:r>
        <w:rPr>
          <w:rFonts w:ascii="Times New Roman" w:eastAsia="Times New Roman"/>
        </w:rPr>
        <w:t>12.49%</w:t>
      </w:r>
      <w:r>
        <w:rPr/>
        <w:t>。</w:t>
      </w:r>
    </w:p>
    <w:p>
      <w:pPr>
        <w:pStyle w:val="BodyText"/>
        <w:spacing w:line="417" w:lineRule="auto"/>
        <w:ind w:left="540" w:right="311" w:firstLine="419"/>
        <w:jc w:val="both"/>
      </w:pPr>
      <w:r>
        <w:rPr>
          <w:rFonts w:ascii="Times New Roman" w:eastAsia="Times New Roman"/>
        </w:rPr>
        <w:t>2002</w:t>
      </w:r>
      <w:r>
        <w:rPr>
          <w:spacing w:val="-3"/>
        </w:rPr>
        <w:t>年</w:t>
      </w:r>
      <w:r>
        <w:rPr>
          <w:rFonts w:ascii="Times New Roman" w:eastAsia="Times New Roman"/>
        </w:rPr>
        <w:t>8</w:t>
      </w:r>
      <w:r>
        <w:rPr>
          <w:spacing w:val="-7"/>
        </w:rPr>
        <w:t>月，招商银行成立基金托管部；</w:t>
      </w:r>
      <w:r>
        <w:rPr>
          <w:rFonts w:ascii="Times New Roman" w:eastAsia="Times New Roman"/>
          <w:spacing w:val="-6"/>
        </w:rPr>
        <w:t>2005</w:t>
      </w:r>
      <w:r>
        <w:rPr/>
        <w:t>年</w:t>
      </w:r>
      <w:r>
        <w:rPr>
          <w:rFonts w:ascii="Times New Roman" w:eastAsia="Times New Roman"/>
          <w:spacing w:val="-3"/>
        </w:rPr>
        <w:t>8</w:t>
      </w:r>
      <w:r>
        <w:rPr>
          <w:spacing w:val="-8"/>
        </w:rPr>
        <w:t>月，经报中国证监会同意，更名为资产</w:t>
      </w:r>
      <w:r>
        <w:rPr>
          <w:spacing w:val="-12"/>
        </w:rPr>
        <w:t>托管部，现下设业务管理团队、产品管理团队、项目管理团队、稽核监察团队、基金外包业</w:t>
      </w:r>
      <w:r>
        <w:rPr>
          <w:spacing w:val="-8"/>
        </w:rPr>
        <w:t>务团队、养老金团队、系统与数据团队</w:t>
      </w:r>
      <w:r>
        <w:rPr>
          <w:rFonts w:ascii="Times New Roman" w:eastAsia="Times New Roman"/>
        </w:rPr>
        <w:t>7</w:t>
      </w:r>
      <w:r>
        <w:rPr>
          <w:spacing w:val="-3"/>
        </w:rPr>
        <w:t>个职能团队，现有员工</w:t>
      </w:r>
      <w:r>
        <w:rPr>
          <w:rFonts w:ascii="Times New Roman" w:eastAsia="Times New Roman"/>
        </w:rPr>
        <w:t>96</w:t>
      </w:r>
      <w:r>
        <w:rPr>
          <w:spacing w:val="-2"/>
        </w:rPr>
        <w:t>人。</w:t>
      </w:r>
      <w:r>
        <w:rPr>
          <w:rFonts w:ascii="Times New Roman" w:eastAsia="Times New Roman"/>
        </w:rPr>
        <w:t>2002</w:t>
      </w:r>
      <w:r>
        <w:rPr>
          <w:spacing w:val="-3"/>
        </w:rPr>
        <w:t>年</w:t>
      </w:r>
      <w:r>
        <w:rPr>
          <w:rFonts w:ascii="Times New Roman" w:eastAsia="Times New Roman"/>
          <w:spacing w:val="-5"/>
        </w:rPr>
        <w:t>11</w:t>
      </w:r>
      <w:r>
        <w:rPr>
          <w:spacing w:val="-1"/>
        </w:rPr>
        <w:t>月，经中国</w:t>
      </w:r>
      <w:r>
        <w:rPr>
          <w:spacing w:val="-7"/>
        </w:rPr>
        <w:t>人民银行和中国证监会批准获得证券投资基金托管业务资格，成为国内第一家获得该项业务</w:t>
      </w:r>
      <w:r>
        <w:rPr>
          <w:spacing w:val="-5"/>
        </w:rPr>
        <w:t>资格上市银行；</w:t>
      </w:r>
      <w:r>
        <w:rPr>
          <w:rFonts w:ascii="Times New Roman" w:eastAsia="Times New Roman"/>
        </w:rPr>
        <w:t>2003</w:t>
      </w:r>
      <w:r>
        <w:rPr/>
        <w:t>年</w:t>
      </w:r>
      <w:r>
        <w:rPr>
          <w:rFonts w:ascii="Times New Roman" w:eastAsia="Times New Roman"/>
        </w:rPr>
        <w:t>4</w:t>
      </w:r>
      <w:r>
        <w:rPr>
          <w:spacing w:val="-3"/>
        </w:rPr>
        <w:t>月，正式办理基金托管业务。招商银行作为托管业务资质最全的商</w:t>
      </w:r>
    </w:p>
    <w:p>
      <w:pPr>
        <w:spacing w:after="0" w:line="417" w:lineRule="auto"/>
        <w:jc w:val="both"/>
        <w:sectPr>
          <w:pgSz w:w="11910" w:h="16840"/>
          <w:pgMar w:header="877" w:footer="0" w:top="1420" w:bottom="280" w:left="1260" w:right="1480"/>
        </w:sectPr>
      </w:pPr>
    </w:p>
    <w:p>
      <w:pPr>
        <w:pStyle w:val="BodyText"/>
        <w:spacing w:line="417" w:lineRule="auto" w:before="110"/>
        <w:ind w:left="540" w:right="313"/>
      </w:pPr>
      <w:r>
        <w:rPr>
          <w:spacing w:val="-3"/>
          <w:w w:val="100"/>
        </w:rPr>
        <w:t>业银行，拥有证券投资基金托管、受托投资管理托管、合格境外机构投资者托管</w:t>
      </w:r>
      <w:r>
        <w:rPr>
          <w:spacing w:val="-2"/>
          <w:w w:val="100"/>
        </w:rPr>
        <w:t>（</w:t>
      </w:r>
      <w:r>
        <w:rPr>
          <w:rFonts w:ascii="Times New Roman" w:eastAsia="Times New Roman"/>
          <w:w w:val="100"/>
        </w:rPr>
        <w:t>Q</w:t>
      </w:r>
      <w:r>
        <w:rPr>
          <w:rFonts w:ascii="Times New Roman" w:eastAsia="Times New Roman"/>
          <w:spacing w:val="-3"/>
          <w:w w:val="100"/>
        </w:rPr>
        <w:t>F</w:t>
      </w:r>
      <w:r>
        <w:rPr>
          <w:rFonts w:ascii="Times New Roman" w:eastAsia="Times New Roman"/>
          <w:spacing w:val="-1"/>
          <w:w w:val="100"/>
        </w:rPr>
        <w:t>II</w:t>
      </w:r>
      <w:r>
        <w:rPr>
          <w:spacing w:val="-106"/>
          <w:w w:val="100"/>
        </w:rPr>
        <w:t>）、</w:t>
      </w:r>
      <w:r>
        <w:rPr>
          <w:spacing w:val="-4"/>
          <w:w w:val="100"/>
        </w:rPr>
        <w:t>合格境内机构投资者托管</w:t>
      </w:r>
      <w:r>
        <w:rPr>
          <w:spacing w:val="-3"/>
          <w:w w:val="100"/>
        </w:rPr>
        <w:t>（</w:t>
      </w:r>
      <w:r>
        <w:rPr>
          <w:rFonts w:ascii="Times New Roman" w:eastAsia="Times New Roman"/>
          <w:w w:val="100"/>
        </w:rPr>
        <w:t>QD</w:t>
      </w:r>
      <w:r>
        <w:rPr>
          <w:rFonts w:ascii="Times New Roman" w:eastAsia="Times New Roman"/>
          <w:spacing w:val="-4"/>
          <w:w w:val="100"/>
        </w:rPr>
        <w:t>I</w:t>
      </w:r>
      <w:r>
        <w:rPr>
          <w:rFonts w:ascii="Times New Roman" w:eastAsia="Times New Roman"/>
          <w:spacing w:val="-3"/>
          <w:w w:val="100"/>
        </w:rPr>
        <w:t>I</w:t>
      </w:r>
      <w:r>
        <w:rPr>
          <w:spacing w:val="-106"/>
          <w:w w:val="100"/>
        </w:rPr>
        <w:t>）</w:t>
      </w:r>
      <w:r>
        <w:rPr>
          <w:spacing w:val="-5"/>
          <w:w w:val="100"/>
        </w:rPr>
        <w:t>、全国社会保障基金托管、保险资金托管、企业年金基金</w:t>
      </w:r>
      <w:r>
        <w:rPr>
          <w:spacing w:val="-4"/>
        </w:rPr>
        <w:t>托管、存托凭证试点存托人等业务资格。</w:t>
      </w:r>
    </w:p>
    <w:p>
      <w:pPr>
        <w:pStyle w:val="BodyText"/>
        <w:spacing w:line="417" w:lineRule="auto"/>
        <w:ind w:left="540" w:right="212" w:firstLine="419"/>
        <w:jc w:val="both"/>
      </w:pPr>
      <w:r>
        <w:rPr>
          <w:spacing w:val="-2"/>
        </w:rPr>
        <w:t>招商银行确立</w:t>
      </w:r>
      <w:r>
        <w:rPr>
          <w:rFonts w:ascii="Times New Roman" w:hAnsi="Times New Roman" w:eastAsia="Times New Roman"/>
          <w:spacing w:val="-3"/>
        </w:rPr>
        <w:t>“</w:t>
      </w:r>
      <w:r>
        <w:rPr>
          <w:spacing w:val="-6"/>
        </w:rPr>
        <w:t>因势而变、先您所想</w:t>
      </w:r>
      <w:r>
        <w:rPr>
          <w:rFonts w:ascii="Times New Roman" w:hAnsi="Times New Roman" w:eastAsia="Times New Roman"/>
          <w:spacing w:val="-3"/>
        </w:rPr>
        <w:t>”</w:t>
      </w:r>
      <w:r>
        <w:rPr>
          <w:spacing w:val="-3"/>
        </w:rPr>
        <w:t>的托管理念和</w:t>
      </w:r>
      <w:r>
        <w:rPr>
          <w:rFonts w:ascii="Times New Roman" w:hAnsi="Times New Roman" w:eastAsia="Times New Roman"/>
          <w:spacing w:val="-3"/>
        </w:rPr>
        <w:t>“</w:t>
      </w:r>
      <w:r>
        <w:rPr>
          <w:spacing w:val="-6"/>
        </w:rPr>
        <w:t>财富所托、信守承诺</w:t>
      </w:r>
      <w:r>
        <w:rPr>
          <w:rFonts w:ascii="Times New Roman" w:hAnsi="Times New Roman" w:eastAsia="Times New Roman"/>
          <w:spacing w:val="-3"/>
        </w:rPr>
        <w:t>”</w:t>
      </w:r>
      <w:r>
        <w:rPr>
          <w:spacing w:val="-3"/>
        </w:rPr>
        <w:t>的托管核心价</w:t>
      </w:r>
      <w:r>
        <w:rPr>
          <w:spacing w:val="-6"/>
        </w:rPr>
        <w:t>值，独创</w:t>
      </w:r>
      <w:r>
        <w:rPr>
          <w:rFonts w:ascii="Times New Roman" w:hAnsi="Times New Roman" w:eastAsia="Times New Roman"/>
        </w:rPr>
        <w:t>“6S</w:t>
      </w:r>
      <w:r>
        <w:rPr>
          <w:spacing w:val="-3"/>
        </w:rPr>
        <w:t>托管银行</w:t>
      </w:r>
      <w:r>
        <w:rPr>
          <w:rFonts w:ascii="Times New Roman" w:hAnsi="Times New Roman" w:eastAsia="Times New Roman"/>
        </w:rPr>
        <w:t>”</w:t>
      </w:r>
      <w:r>
        <w:rPr>
          <w:spacing w:val="-5"/>
        </w:rPr>
        <w:t>品牌体系，以</w:t>
      </w:r>
      <w:r>
        <w:rPr>
          <w:rFonts w:ascii="Times New Roman" w:hAnsi="Times New Roman" w:eastAsia="Times New Roman"/>
        </w:rPr>
        <w:t>“</w:t>
      </w:r>
      <w:r>
        <w:rPr>
          <w:spacing w:val="-5"/>
        </w:rPr>
        <w:t>保护您的业务、保护您的财富</w:t>
      </w:r>
      <w:r>
        <w:rPr>
          <w:rFonts w:ascii="Times New Roman" w:hAnsi="Times New Roman" w:eastAsia="Times New Roman"/>
        </w:rPr>
        <w:t>”</w:t>
      </w:r>
      <w:r>
        <w:rPr>
          <w:spacing w:val="-6"/>
        </w:rPr>
        <w:t>为历史使命，不断创新托管系统、服务和产品：在业内率先推出</w:t>
      </w:r>
      <w:r>
        <w:rPr>
          <w:rFonts w:ascii="Times New Roman" w:hAnsi="Times New Roman" w:eastAsia="Times New Roman"/>
          <w:spacing w:val="-6"/>
        </w:rPr>
        <w:t>“</w:t>
      </w:r>
      <w:r>
        <w:rPr>
          <w:spacing w:val="-5"/>
        </w:rPr>
        <w:t>网上托管银行系统</w:t>
      </w:r>
      <w:r>
        <w:rPr>
          <w:rFonts w:ascii="Times New Roman" w:hAnsi="Times New Roman" w:eastAsia="Times New Roman"/>
        </w:rPr>
        <w:t>”</w:t>
      </w:r>
      <w:r>
        <w:rPr/>
        <w:t>、托管业务综合系统和</w:t>
      </w:r>
      <w:r>
        <w:rPr>
          <w:rFonts w:ascii="Times New Roman" w:hAnsi="Times New Roman" w:eastAsia="Times New Roman"/>
        </w:rPr>
        <w:t>“6</w:t>
      </w:r>
      <w:r>
        <w:rPr/>
        <w:t>心</w:t>
      </w:r>
      <w:r>
        <w:rPr>
          <w:rFonts w:ascii="Times New Roman" w:hAnsi="Times New Roman" w:eastAsia="Times New Roman"/>
        </w:rPr>
        <w:t>” </w:t>
      </w:r>
      <w:r>
        <w:rPr>
          <w:spacing w:val="-10"/>
        </w:rPr>
        <w:t>托管服务标准，首家发布私募基金绩效分析报告，开办国内首个托管银行网站，推出国内首</w:t>
      </w:r>
      <w:r>
        <w:rPr>
          <w:spacing w:val="-8"/>
        </w:rPr>
        <w:t>个托管大数据平台，成功托管国内第一只券商集合资产管理计划、第一只</w:t>
      </w:r>
      <w:r>
        <w:rPr>
          <w:rFonts w:ascii="Times New Roman" w:hAnsi="Times New Roman" w:eastAsia="Times New Roman"/>
          <w:spacing w:val="-4"/>
        </w:rPr>
        <w:t>FOF</w:t>
      </w:r>
      <w:r>
        <w:rPr>
          <w:spacing w:val="-5"/>
        </w:rPr>
        <w:t>、第一只信托</w:t>
      </w:r>
      <w:r>
        <w:rPr>
          <w:spacing w:val="-6"/>
        </w:rPr>
        <w:t>资金计划、第一只股权私募基金、第一家实现货币市场基金赎回资金</w:t>
      </w:r>
      <w:r>
        <w:rPr>
          <w:rFonts w:ascii="Times New Roman" w:hAnsi="Times New Roman" w:eastAsia="Times New Roman"/>
        </w:rPr>
        <w:t>T+1</w:t>
      </w:r>
      <w:r>
        <w:rPr>
          <w:spacing w:val="-4"/>
        </w:rPr>
        <w:t>到账、第一只境外银行</w:t>
      </w:r>
      <w:r>
        <w:rPr>
          <w:rFonts w:ascii="Times New Roman" w:hAnsi="Times New Roman" w:eastAsia="Times New Roman"/>
        </w:rPr>
        <w:t>QDII</w:t>
      </w:r>
      <w:r>
        <w:rPr>
          <w:spacing w:val="-12"/>
        </w:rPr>
        <w:t>基金、第一只红利</w:t>
      </w:r>
      <w:r>
        <w:rPr>
          <w:rFonts w:ascii="Times New Roman" w:hAnsi="Times New Roman" w:eastAsia="Times New Roman"/>
          <w:spacing w:val="-2"/>
        </w:rPr>
        <w:t>ETF</w:t>
      </w:r>
      <w:r>
        <w:rPr>
          <w:spacing w:val="-14"/>
        </w:rPr>
        <w:t>基金、第一只</w:t>
      </w:r>
      <w:r>
        <w:rPr>
          <w:rFonts w:ascii="Times New Roman" w:hAnsi="Times New Roman" w:eastAsia="Times New Roman"/>
        </w:rPr>
        <w:t>“1+N”</w:t>
      </w:r>
      <w:r>
        <w:rPr>
          <w:spacing w:val="-10"/>
        </w:rPr>
        <w:t>基金专户理财、第一家大小非解禁资产、</w:t>
      </w:r>
      <w:r>
        <w:rPr>
          <w:spacing w:val="-8"/>
        </w:rPr>
        <w:t>第一单</w:t>
      </w:r>
      <w:r>
        <w:rPr>
          <w:rFonts w:ascii="Times New Roman" w:hAnsi="Times New Roman" w:eastAsia="Times New Roman"/>
          <w:spacing w:val="-3"/>
        </w:rPr>
        <w:t>TOT</w:t>
      </w:r>
      <w:r>
        <w:rPr>
          <w:spacing w:val="-3"/>
        </w:rPr>
        <w:t>保管，实现从单一托管服务商向全面投资者服务机构的转变，得到了同业认可。</w:t>
      </w:r>
    </w:p>
    <w:p>
      <w:pPr>
        <w:pStyle w:val="BodyText"/>
        <w:spacing w:line="417" w:lineRule="auto"/>
        <w:ind w:left="540" w:right="311" w:firstLine="419"/>
        <w:jc w:val="both"/>
      </w:pPr>
      <w:r>
        <w:rPr>
          <w:spacing w:val="-4"/>
        </w:rPr>
        <w:t>招商银行资产托管业务持续稳健发展，社会影响力不断提升</w:t>
      </w:r>
      <w:r>
        <w:rPr>
          <w:rFonts w:ascii="Times New Roman" w:hAnsi="Times New Roman" w:eastAsia="Times New Roman"/>
          <w:spacing w:val="-3"/>
        </w:rPr>
        <w:t>,</w:t>
      </w:r>
      <w:r>
        <w:rPr>
          <w:spacing w:val="-6"/>
        </w:rPr>
        <w:t>四度蝉联获《财资》</w:t>
      </w:r>
      <w:r>
        <w:rPr>
          <w:rFonts w:ascii="Times New Roman" w:hAnsi="Times New Roman" w:eastAsia="Times New Roman"/>
          <w:spacing w:val="-3"/>
        </w:rPr>
        <w:t>“</w:t>
      </w:r>
      <w:r>
        <w:rPr/>
        <w:t>中国</w:t>
      </w:r>
      <w:r>
        <w:rPr>
          <w:spacing w:val="-3"/>
        </w:rPr>
        <w:t>最佳托管专业银行</w:t>
      </w:r>
      <w:r>
        <w:rPr>
          <w:rFonts w:ascii="Times New Roman" w:hAnsi="Times New Roman" w:eastAsia="Times New Roman"/>
          <w:spacing w:val="-3"/>
        </w:rPr>
        <w:t>”</w:t>
      </w:r>
      <w:r>
        <w:rPr>
          <w:spacing w:val="-15"/>
        </w:rPr>
        <w:t>。</w:t>
      </w:r>
      <w:r>
        <w:rPr>
          <w:rFonts w:ascii="Times New Roman" w:hAnsi="Times New Roman" w:eastAsia="Times New Roman"/>
        </w:rPr>
        <w:t>2016</w:t>
      </w:r>
      <w:r>
        <w:rPr/>
        <w:t>年</w:t>
      </w:r>
      <w:r>
        <w:rPr>
          <w:rFonts w:ascii="Times New Roman" w:hAnsi="Times New Roman" w:eastAsia="Times New Roman"/>
        </w:rPr>
        <w:t>6</w:t>
      </w:r>
      <w:r>
        <w:rPr>
          <w:spacing w:val="-6"/>
        </w:rPr>
        <w:t>月招商银行荣膺《财资》</w:t>
      </w:r>
      <w:r>
        <w:rPr>
          <w:rFonts w:ascii="Times New Roman" w:hAnsi="Times New Roman" w:eastAsia="Times New Roman"/>
        </w:rPr>
        <w:t>“</w:t>
      </w:r>
      <w:r>
        <w:rPr>
          <w:spacing w:val="-3"/>
        </w:rPr>
        <w:t>中国最佳托管银行奖</w:t>
      </w:r>
      <w:r>
        <w:rPr>
          <w:rFonts w:ascii="Times New Roman" w:hAnsi="Times New Roman" w:eastAsia="Times New Roman"/>
          <w:spacing w:val="-9"/>
        </w:rPr>
        <w:t>”</w:t>
      </w:r>
      <w:r>
        <w:rPr>
          <w:spacing w:val="-4"/>
        </w:rPr>
        <w:t>，成为国内唯一获得该奖项的托管银行；</w:t>
      </w:r>
      <w:r>
        <w:rPr>
          <w:rFonts w:ascii="Times New Roman" w:hAnsi="Times New Roman" w:eastAsia="Times New Roman"/>
          <w:spacing w:val="-4"/>
        </w:rPr>
        <w:t>“</w:t>
      </w:r>
      <w:r>
        <w:rPr>
          <w:spacing w:val="-4"/>
        </w:rPr>
        <w:t>托管通</w:t>
      </w:r>
      <w:r>
        <w:rPr>
          <w:rFonts w:ascii="Times New Roman" w:hAnsi="Times New Roman" w:eastAsia="Times New Roman"/>
          <w:spacing w:val="-4"/>
        </w:rPr>
        <w:t>”</w:t>
      </w:r>
      <w:r>
        <w:rPr>
          <w:spacing w:val="-4"/>
        </w:rPr>
        <w:t>获得国内《银行家》</w:t>
      </w:r>
      <w:r>
        <w:rPr>
          <w:rFonts w:ascii="Times New Roman" w:hAnsi="Times New Roman" w:eastAsia="Times New Roman"/>
          <w:spacing w:val="-4"/>
        </w:rPr>
        <w:t>2016</w:t>
      </w:r>
      <w:r>
        <w:rPr>
          <w:spacing w:val="-4"/>
        </w:rPr>
        <w:t>中国金融创新</w:t>
      </w:r>
      <w:r>
        <w:rPr>
          <w:rFonts w:ascii="Times New Roman" w:hAnsi="Times New Roman" w:eastAsia="Times New Roman"/>
          <w:spacing w:val="-4"/>
        </w:rPr>
        <w:t>“</w:t>
      </w:r>
      <w:r>
        <w:rPr>
          <w:spacing w:val="-6"/>
        </w:rPr>
        <w:t>十佳金融产品</w:t>
      </w:r>
      <w:r>
        <w:rPr/>
        <w:t>创新奖</w:t>
      </w:r>
      <w:r>
        <w:rPr>
          <w:rFonts w:ascii="Times New Roman" w:hAnsi="Times New Roman" w:eastAsia="Times New Roman"/>
        </w:rPr>
        <w:t>”</w:t>
      </w:r>
      <w:r>
        <w:rPr/>
        <w:t>；</w:t>
      </w:r>
      <w:r>
        <w:rPr>
          <w:rFonts w:ascii="Times New Roman" w:hAnsi="Times New Roman" w:eastAsia="Times New Roman"/>
        </w:rPr>
        <w:t>7</w:t>
      </w:r>
      <w:r>
        <w:rPr/>
        <w:t>月荣膺</w:t>
      </w:r>
      <w:r>
        <w:rPr>
          <w:rFonts w:ascii="Times New Roman" w:hAnsi="Times New Roman" w:eastAsia="Times New Roman"/>
        </w:rPr>
        <w:t>2016</w:t>
      </w:r>
      <w:r>
        <w:rPr/>
        <w:t>年中国资产管理</w:t>
      </w:r>
      <w:r>
        <w:rPr>
          <w:rFonts w:ascii="Times New Roman" w:hAnsi="Times New Roman" w:eastAsia="Times New Roman"/>
        </w:rPr>
        <w:t>“</w:t>
      </w:r>
      <w:r>
        <w:rPr/>
        <w:t>金贝奖</w:t>
      </w:r>
      <w:r>
        <w:rPr>
          <w:rFonts w:ascii="Times New Roman" w:hAnsi="Times New Roman" w:eastAsia="Times New Roman"/>
        </w:rPr>
        <w:t>”“</w:t>
      </w:r>
      <w:r>
        <w:rPr/>
        <w:t>最佳资产托管银行</w:t>
      </w:r>
      <w:r>
        <w:rPr>
          <w:rFonts w:ascii="Times New Roman" w:hAnsi="Times New Roman" w:eastAsia="Times New Roman"/>
        </w:rPr>
        <w:t>”</w:t>
      </w:r>
      <w:r>
        <w:rPr/>
        <w:t>。</w:t>
      </w:r>
      <w:r>
        <w:rPr>
          <w:rFonts w:ascii="Times New Roman" w:hAnsi="Times New Roman" w:eastAsia="Times New Roman"/>
        </w:rPr>
        <w:t>2017</w:t>
      </w:r>
      <w:r>
        <w:rPr/>
        <w:t>年</w:t>
      </w:r>
      <w:r>
        <w:rPr>
          <w:rFonts w:ascii="Times New Roman" w:hAnsi="Times New Roman" w:eastAsia="Times New Roman"/>
        </w:rPr>
        <w:t>6</w:t>
      </w:r>
      <w:r>
        <w:rPr/>
        <w:t>月招商银行</w:t>
      </w:r>
      <w:r>
        <w:rPr>
          <w:spacing w:val="-3"/>
        </w:rPr>
        <w:t>再度荣膺《财资》</w:t>
      </w:r>
      <w:r>
        <w:rPr>
          <w:rFonts w:ascii="Times New Roman" w:hAnsi="Times New Roman" w:eastAsia="Times New Roman"/>
        </w:rPr>
        <w:t>“</w:t>
      </w:r>
      <w:r>
        <w:rPr>
          <w:spacing w:val="-3"/>
        </w:rPr>
        <w:t>中国最佳托管银行奖</w:t>
      </w:r>
      <w:r>
        <w:rPr>
          <w:rFonts w:ascii="Times New Roman" w:hAnsi="Times New Roman" w:eastAsia="Times New Roman"/>
        </w:rPr>
        <w:t>”</w:t>
      </w:r>
      <w:r>
        <w:rPr>
          <w:spacing w:val="15"/>
        </w:rPr>
        <w:t>； </w:t>
      </w:r>
      <w:r>
        <w:rPr>
          <w:rFonts w:ascii="Times New Roman" w:hAnsi="Times New Roman" w:eastAsia="Times New Roman"/>
          <w:spacing w:val="-3"/>
        </w:rPr>
        <w:t>“</w:t>
      </w:r>
      <w:r>
        <w:rPr>
          <w:spacing w:val="-3"/>
        </w:rPr>
        <w:t>全功能网上托管银行</w:t>
      </w:r>
      <w:r>
        <w:rPr>
          <w:rFonts w:ascii="Times New Roman" w:hAnsi="Times New Roman" w:eastAsia="Times New Roman"/>
        </w:rPr>
        <w:t>2.0”</w:t>
      </w:r>
      <w:r>
        <w:rPr>
          <w:spacing w:val="-3"/>
        </w:rPr>
        <w:t>荣获《银行家》</w:t>
      </w:r>
      <w:r>
        <w:rPr>
          <w:rFonts w:ascii="Times New Roman" w:hAnsi="Times New Roman" w:eastAsia="Times New Roman"/>
        </w:rPr>
        <w:t>2017 </w:t>
      </w:r>
      <w:r>
        <w:rPr>
          <w:spacing w:val="-2"/>
        </w:rPr>
        <w:t>中国金融创新</w:t>
      </w:r>
      <w:r>
        <w:rPr>
          <w:rFonts w:ascii="Times New Roman" w:hAnsi="Times New Roman" w:eastAsia="Times New Roman"/>
          <w:spacing w:val="-3"/>
        </w:rPr>
        <w:t>“</w:t>
      </w:r>
      <w:r>
        <w:rPr>
          <w:spacing w:val="-3"/>
        </w:rPr>
        <w:t>十佳金融产品创新奖</w:t>
      </w:r>
      <w:r>
        <w:rPr>
          <w:rFonts w:ascii="Times New Roman" w:hAnsi="Times New Roman" w:eastAsia="Times New Roman"/>
          <w:spacing w:val="-9"/>
        </w:rPr>
        <w:t>”</w:t>
      </w:r>
      <w:r>
        <w:rPr>
          <w:spacing w:val="-9"/>
        </w:rPr>
        <w:t>；</w:t>
      </w:r>
      <w:r>
        <w:rPr>
          <w:rFonts w:ascii="Times New Roman" w:hAnsi="Times New Roman" w:eastAsia="Times New Roman"/>
          <w:spacing w:val="-9"/>
        </w:rPr>
        <w:t>8</w:t>
      </w:r>
      <w:r>
        <w:rPr>
          <w:spacing w:val="-6"/>
        </w:rPr>
        <w:t>月荣膺国际财经权威媒体《亚洲银行家》</w:t>
      </w:r>
      <w:r>
        <w:rPr>
          <w:rFonts w:ascii="Times New Roman" w:hAnsi="Times New Roman" w:eastAsia="Times New Roman"/>
          <w:spacing w:val="-3"/>
        </w:rPr>
        <w:t>“</w:t>
      </w:r>
      <w:r>
        <w:rPr>
          <w:spacing w:val="-2"/>
        </w:rPr>
        <w:t>中国年度托管银行奖</w:t>
      </w:r>
      <w:r>
        <w:rPr>
          <w:rFonts w:ascii="Times New Roman" w:hAnsi="Times New Roman" w:eastAsia="Times New Roman"/>
          <w:spacing w:val="-2"/>
        </w:rPr>
        <w:t>”</w:t>
      </w:r>
      <w:r>
        <w:rPr>
          <w:spacing w:val="-2"/>
        </w:rPr>
        <w:t>。</w:t>
      </w:r>
      <w:r>
        <w:rPr>
          <w:rFonts w:ascii="Times New Roman" w:hAnsi="Times New Roman" w:eastAsia="Times New Roman"/>
          <w:spacing w:val="-2"/>
        </w:rPr>
        <w:t>2018</w:t>
      </w:r>
      <w:r>
        <w:rPr>
          <w:spacing w:val="-2"/>
        </w:rPr>
        <w:t>年</w:t>
      </w:r>
      <w:r>
        <w:rPr>
          <w:rFonts w:ascii="Times New Roman" w:hAnsi="Times New Roman" w:eastAsia="Times New Roman"/>
          <w:spacing w:val="-2"/>
        </w:rPr>
        <w:t>1</w:t>
      </w:r>
      <w:r>
        <w:rPr>
          <w:spacing w:val="-3"/>
        </w:rPr>
        <w:t>月招商银行荣膺中央国债登记结算有限责任公司</w:t>
      </w:r>
      <w:r>
        <w:rPr>
          <w:rFonts w:ascii="Times New Roman" w:hAnsi="Times New Roman" w:eastAsia="Times New Roman"/>
        </w:rPr>
        <w:t>“2017</w:t>
      </w:r>
      <w:r>
        <w:rPr/>
        <w:t>年度优秀资产</w:t>
      </w:r>
      <w:r>
        <w:rPr>
          <w:spacing w:val="-1"/>
        </w:rPr>
        <w:t>托管机构</w:t>
      </w:r>
      <w:r>
        <w:rPr>
          <w:rFonts w:ascii="Times New Roman" w:hAnsi="Times New Roman" w:eastAsia="Times New Roman"/>
          <w:spacing w:val="-3"/>
        </w:rPr>
        <w:t>”</w:t>
      </w:r>
      <w:r>
        <w:rPr>
          <w:spacing w:val="-8"/>
        </w:rPr>
        <w:t>奖项；同月，招商银行托管大数据平台风险管理系统荣获</w:t>
      </w:r>
      <w:r>
        <w:rPr>
          <w:rFonts w:ascii="Times New Roman" w:hAnsi="Times New Roman" w:eastAsia="Times New Roman"/>
        </w:rPr>
        <w:t>2016-2017</w:t>
      </w:r>
      <w:r>
        <w:rPr>
          <w:spacing w:val="-2"/>
        </w:rPr>
        <w:t>年度银监会系统</w:t>
      </w:r>
      <w:r>
        <w:rPr>
          <w:rFonts w:ascii="Times New Roman" w:hAnsi="Times New Roman" w:eastAsia="Times New Roman"/>
          <w:spacing w:val="-2"/>
        </w:rPr>
        <w:t>“</w:t>
      </w:r>
      <w:r>
        <w:rPr>
          <w:spacing w:val="-2"/>
        </w:rPr>
        <w:t>金点子</w:t>
      </w:r>
      <w:r>
        <w:rPr>
          <w:rFonts w:ascii="Times New Roman" w:hAnsi="Times New Roman" w:eastAsia="Times New Roman"/>
          <w:spacing w:val="-3"/>
        </w:rPr>
        <w:t>”</w:t>
      </w:r>
      <w:r>
        <w:rPr>
          <w:spacing w:val="-8"/>
        </w:rPr>
        <w:t>方案一等奖，以及中央金融团工委、全国金融青联第五届</w:t>
      </w:r>
      <w:r>
        <w:rPr>
          <w:rFonts w:ascii="Times New Roman" w:hAnsi="Times New Roman" w:eastAsia="Times New Roman"/>
          <w:spacing w:val="-3"/>
        </w:rPr>
        <w:t>“</w:t>
      </w:r>
      <w:r>
        <w:rPr>
          <w:spacing w:val="-3"/>
        </w:rPr>
        <w:t>双提升</w:t>
      </w:r>
      <w:r>
        <w:rPr>
          <w:rFonts w:ascii="Times New Roman" w:hAnsi="Times New Roman" w:eastAsia="Times New Roman"/>
        </w:rPr>
        <w:t>”</w:t>
      </w:r>
      <w:r>
        <w:rPr>
          <w:spacing w:val="-3"/>
        </w:rPr>
        <w:t>金点子方案二</w:t>
      </w:r>
      <w:r>
        <w:rPr>
          <w:spacing w:val="-7"/>
        </w:rPr>
        <w:t>等奖；</w:t>
      </w:r>
      <w:r>
        <w:rPr>
          <w:rFonts w:ascii="Times New Roman" w:hAnsi="Times New Roman" w:eastAsia="Times New Roman"/>
          <w:spacing w:val="-14"/>
        </w:rPr>
        <w:t>3</w:t>
      </w:r>
      <w:r>
        <w:rPr>
          <w:spacing w:val="-3"/>
        </w:rPr>
        <w:t>月荣膺公募基金</w:t>
      </w:r>
      <w:r>
        <w:rPr>
          <w:rFonts w:ascii="Times New Roman" w:hAnsi="Times New Roman" w:eastAsia="Times New Roman"/>
        </w:rPr>
        <w:t>20</w:t>
      </w:r>
      <w:r>
        <w:rPr/>
        <w:t>年</w:t>
      </w:r>
      <w:r>
        <w:rPr>
          <w:rFonts w:ascii="Times New Roman" w:hAnsi="Times New Roman" w:eastAsia="Times New Roman"/>
        </w:rPr>
        <w:t>“</w:t>
      </w:r>
      <w:r>
        <w:rPr>
          <w:spacing w:val="-3"/>
        </w:rPr>
        <w:t>最佳基金托管银行</w:t>
      </w:r>
      <w:r>
        <w:rPr>
          <w:rFonts w:ascii="Times New Roman" w:hAnsi="Times New Roman" w:eastAsia="Times New Roman"/>
        </w:rPr>
        <w:t>”</w:t>
      </w:r>
      <w:r>
        <w:rPr>
          <w:spacing w:val="-8"/>
        </w:rPr>
        <w:t>奖；</w:t>
      </w:r>
      <w:r>
        <w:rPr>
          <w:rFonts w:ascii="Times New Roman" w:hAnsi="Times New Roman" w:eastAsia="Times New Roman"/>
          <w:spacing w:val="-12"/>
        </w:rPr>
        <w:t>5</w:t>
      </w:r>
      <w:r>
        <w:rPr>
          <w:spacing w:val="-5"/>
        </w:rPr>
        <w:t>月荣膺国际财经权威媒体《亚洲银行家》</w:t>
      </w:r>
      <w:r>
        <w:rPr>
          <w:rFonts w:ascii="Times New Roman" w:hAnsi="Times New Roman" w:eastAsia="Times New Roman"/>
          <w:spacing w:val="-5"/>
        </w:rPr>
        <w:t>“</w:t>
      </w:r>
      <w:r>
        <w:rPr>
          <w:spacing w:val="-5"/>
        </w:rPr>
        <w:t>中国年度托管银行奖</w:t>
      </w:r>
      <w:r>
        <w:rPr>
          <w:rFonts w:ascii="Times New Roman" w:hAnsi="Times New Roman" w:eastAsia="Times New Roman"/>
          <w:spacing w:val="-5"/>
        </w:rPr>
        <w:t>”</w:t>
      </w:r>
      <w:r>
        <w:rPr>
          <w:spacing w:val="-5"/>
        </w:rPr>
        <w:t>；</w:t>
      </w:r>
      <w:r>
        <w:rPr>
          <w:rFonts w:ascii="Times New Roman" w:hAnsi="Times New Roman" w:eastAsia="Times New Roman"/>
          <w:spacing w:val="-5"/>
        </w:rPr>
        <w:t>12</w:t>
      </w:r>
      <w:r>
        <w:rPr>
          <w:spacing w:val="-5"/>
        </w:rPr>
        <w:t>月荣膺</w:t>
      </w:r>
      <w:r>
        <w:rPr>
          <w:rFonts w:ascii="Times New Roman" w:hAnsi="Times New Roman" w:eastAsia="Times New Roman"/>
          <w:spacing w:val="-5"/>
        </w:rPr>
        <w:t>2018</w:t>
      </w:r>
      <w:r>
        <w:rPr>
          <w:spacing w:val="-4"/>
        </w:rPr>
        <w:t>东方财富风云榜</w:t>
      </w:r>
      <w:r>
        <w:rPr>
          <w:rFonts w:ascii="Times New Roman" w:hAnsi="Times New Roman" w:eastAsia="Times New Roman"/>
        </w:rPr>
        <w:t>“2018</w:t>
      </w:r>
      <w:r>
        <w:rPr/>
        <w:t>年度最佳托管银行</w:t>
      </w:r>
      <w:r>
        <w:rPr>
          <w:rFonts w:ascii="Times New Roman" w:hAnsi="Times New Roman" w:eastAsia="Times New Roman"/>
        </w:rPr>
        <w:t>”</w:t>
      </w:r>
      <w:r>
        <w:rPr/>
        <w:t>、</w:t>
      </w:r>
      <w:r>
        <w:rPr>
          <w:rFonts w:ascii="Times New Roman" w:hAnsi="Times New Roman" w:eastAsia="Times New Roman"/>
        </w:rPr>
        <w:t>“20 </w:t>
      </w:r>
      <w:r>
        <w:rPr/>
        <w:t>年最值得信赖托管银行</w:t>
      </w:r>
      <w:r>
        <w:rPr>
          <w:rFonts w:ascii="Times New Roman" w:hAnsi="Times New Roman" w:eastAsia="Times New Roman"/>
        </w:rPr>
        <w:t>”</w:t>
      </w:r>
      <w:r>
        <w:rPr>
          <w:spacing w:val="-2"/>
        </w:rPr>
        <w:t>奖。</w:t>
      </w:r>
      <w:r>
        <w:rPr>
          <w:rFonts w:ascii="Times New Roman" w:hAnsi="Times New Roman" w:eastAsia="Times New Roman"/>
        </w:rPr>
        <w:t>2019</w:t>
      </w:r>
      <w:r>
        <w:rPr/>
        <w:t>年</w:t>
      </w:r>
      <w:r>
        <w:rPr>
          <w:rFonts w:ascii="Times New Roman" w:hAnsi="Times New Roman" w:eastAsia="Times New Roman"/>
        </w:rPr>
        <w:t>3</w:t>
      </w:r>
      <w:r>
        <w:rPr>
          <w:spacing w:val="-1"/>
        </w:rPr>
        <w:t>月招商银行荣获《中国基金报》</w:t>
      </w:r>
      <w:r>
        <w:rPr>
          <w:rFonts w:ascii="Times New Roman" w:hAnsi="Times New Roman" w:eastAsia="Times New Roman"/>
        </w:rPr>
        <w:t>“2018</w:t>
      </w:r>
      <w:r>
        <w:rPr>
          <w:spacing w:val="-2"/>
        </w:rPr>
        <w:t>年度最佳基金托管银行</w:t>
      </w:r>
      <w:r>
        <w:rPr>
          <w:rFonts w:ascii="Times New Roman" w:hAnsi="Times New Roman" w:eastAsia="Times New Roman"/>
          <w:spacing w:val="-2"/>
        </w:rPr>
        <w:t>”</w:t>
      </w:r>
      <w:r>
        <w:rPr>
          <w:spacing w:val="-2"/>
        </w:rPr>
        <w:t>奖；</w:t>
      </w:r>
      <w:r>
        <w:rPr>
          <w:rFonts w:ascii="Times New Roman" w:hAnsi="Times New Roman" w:eastAsia="Times New Roman"/>
          <w:spacing w:val="-2"/>
        </w:rPr>
        <w:t>6</w:t>
      </w:r>
      <w:r>
        <w:rPr>
          <w:spacing w:val="-2"/>
        </w:rPr>
        <w:t>月荣获《财资》</w:t>
      </w:r>
      <w:r>
        <w:rPr>
          <w:rFonts w:ascii="Times New Roman" w:hAnsi="Times New Roman" w:eastAsia="Times New Roman"/>
          <w:spacing w:val="-2"/>
        </w:rPr>
        <w:t>“</w:t>
      </w:r>
      <w:r>
        <w:rPr>
          <w:spacing w:val="-2"/>
        </w:rPr>
        <w:t>中国最佳托管机构</w:t>
      </w:r>
      <w:r>
        <w:rPr>
          <w:rFonts w:ascii="Times New Roman" w:hAnsi="Times New Roman" w:eastAsia="Times New Roman"/>
        </w:rPr>
        <w:t>”“</w:t>
      </w:r>
      <w:r>
        <w:rPr/>
        <w:t>中国最佳养老金托管机构</w:t>
      </w:r>
      <w:r>
        <w:rPr>
          <w:rFonts w:ascii="Times New Roman" w:hAnsi="Times New Roman" w:eastAsia="Times New Roman"/>
        </w:rPr>
        <w:t>”“</w:t>
      </w:r>
      <w:r>
        <w:rPr/>
        <w:t>中国最佳零</w:t>
      </w:r>
      <w:r>
        <w:rPr>
          <w:spacing w:val="-3"/>
        </w:rPr>
        <w:t>售基金行政外包</w:t>
      </w:r>
      <w:r>
        <w:rPr>
          <w:rFonts w:ascii="Times New Roman" w:hAnsi="Times New Roman" w:eastAsia="Times New Roman"/>
        </w:rPr>
        <w:t>”</w:t>
      </w:r>
      <w:r>
        <w:rPr>
          <w:spacing w:val="-9"/>
        </w:rPr>
        <w:t>三项大奖；</w:t>
      </w:r>
      <w:r>
        <w:rPr>
          <w:rFonts w:ascii="Times New Roman" w:hAnsi="Times New Roman" w:eastAsia="Times New Roman"/>
          <w:spacing w:val="-29"/>
        </w:rPr>
        <w:t>12</w:t>
      </w:r>
      <w:r>
        <w:rPr>
          <w:spacing w:val="-2"/>
        </w:rPr>
        <w:t>月荣获</w:t>
      </w:r>
      <w:r>
        <w:rPr>
          <w:rFonts w:ascii="Times New Roman" w:hAnsi="Times New Roman" w:eastAsia="Times New Roman"/>
        </w:rPr>
        <w:t>2019</w:t>
      </w:r>
      <w:r>
        <w:rPr>
          <w:spacing w:val="-3"/>
        </w:rPr>
        <w:t>东方财富风云榜</w:t>
      </w:r>
      <w:r>
        <w:rPr>
          <w:rFonts w:ascii="Times New Roman" w:hAnsi="Times New Roman" w:eastAsia="Times New Roman"/>
        </w:rPr>
        <w:t>“2019</w:t>
      </w:r>
      <w:r>
        <w:rPr>
          <w:spacing w:val="-3"/>
        </w:rPr>
        <w:t>年度最佳托管银行</w:t>
      </w:r>
      <w:r>
        <w:rPr>
          <w:rFonts w:ascii="Times New Roman" w:hAnsi="Times New Roman" w:eastAsia="Times New Roman"/>
        </w:rPr>
        <w:t>”</w:t>
      </w:r>
      <w:r>
        <w:rPr>
          <w:spacing w:val="-43"/>
        </w:rPr>
        <w:t>奖。</w:t>
      </w:r>
      <w:r>
        <w:rPr>
          <w:rFonts w:ascii="Times New Roman" w:hAnsi="Times New Roman" w:eastAsia="Times New Roman"/>
        </w:rPr>
        <w:t>2020 </w:t>
      </w:r>
      <w:r>
        <w:rPr>
          <w:spacing w:val="-1"/>
          <w:w w:val="100"/>
        </w:rPr>
        <w:t>年</w:t>
      </w:r>
      <w:r>
        <w:rPr>
          <w:rFonts w:ascii="Times New Roman" w:hAnsi="Times New Roman" w:eastAsia="Times New Roman"/>
          <w:w w:val="100"/>
        </w:rPr>
        <w:t>6</w:t>
      </w:r>
      <w:r>
        <w:rPr>
          <w:spacing w:val="-16"/>
          <w:w w:val="100"/>
        </w:rPr>
        <w:t>月荣获《财资》“中国最佳托管机构</w:t>
      </w:r>
      <w:r>
        <w:rPr>
          <w:spacing w:val="-15"/>
          <w:w w:val="100"/>
        </w:rPr>
        <w:t>”“最佳公募基金托管机构”“最佳公募基金行政外包</w:t>
      </w:r>
      <w:r>
        <w:rPr>
          <w:spacing w:val="-7"/>
        </w:rPr>
        <w:t>机构”三项大奖。</w:t>
      </w:r>
    </w:p>
    <w:p>
      <w:pPr>
        <w:pStyle w:val="BodyText"/>
        <w:spacing w:line="267" w:lineRule="exact"/>
        <w:ind w:left="960"/>
      </w:pPr>
      <w:r>
        <w:rPr/>
        <w:t>（二）主要人员情况</w:t>
      </w:r>
    </w:p>
    <w:p>
      <w:pPr>
        <w:pStyle w:val="BodyText"/>
        <w:spacing w:before="5"/>
        <w:rPr>
          <w:sz w:val="15"/>
        </w:rPr>
      </w:pPr>
    </w:p>
    <w:p>
      <w:pPr>
        <w:pStyle w:val="BodyText"/>
        <w:spacing w:line="417" w:lineRule="auto" w:before="1"/>
        <w:ind w:left="540" w:right="311" w:firstLine="419"/>
      </w:pPr>
      <w:r>
        <w:rPr>
          <w:spacing w:val="-3"/>
        </w:rPr>
        <w:t>李建红先生，本行董事长、非执行董事，</w:t>
      </w:r>
      <w:r>
        <w:rPr>
          <w:rFonts w:ascii="Times New Roman" w:eastAsia="Times New Roman"/>
        </w:rPr>
        <w:t>2014</w:t>
      </w:r>
      <w:r>
        <w:rPr/>
        <w:t>年</w:t>
      </w:r>
      <w:r>
        <w:rPr>
          <w:rFonts w:ascii="Times New Roman" w:eastAsia="Times New Roman"/>
        </w:rPr>
        <w:t>7</w:t>
      </w:r>
      <w:r>
        <w:rPr>
          <w:spacing w:val="-3"/>
        </w:rPr>
        <w:t>月起担任本行董事、董事长。英国东</w:t>
      </w:r>
      <w:r>
        <w:rPr>
          <w:spacing w:val="-9"/>
        </w:rPr>
        <w:t>伦敦大学工商管理硕士、吉林大学经济管理专业硕士，高级经济师。招商局集团有限公司董</w:t>
      </w:r>
    </w:p>
    <w:p>
      <w:pPr>
        <w:spacing w:after="0" w:line="417" w:lineRule="auto"/>
        <w:sectPr>
          <w:pgSz w:w="11910" w:h="16840"/>
          <w:pgMar w:header="877" w:footer="0" w:top="1420" w:bottom="280" w:left="1260" w:right="1480"/>
        </w:sectPr>
      </w:pPr>
    </w:p>
    <w:p>
      <w:pPr>
        <w:pStyle w:val="BodyText"/>
        <w:spacing w:line="417" w:lineRule="auto" w:before="110"/>
        <w:ind w:left="540" w:right="311"/>
        <w:jc w:val="both"/>
      </w:pPr>
      <w:r>
        <w:rPr>
          <w:spacing w:val="-10"/>
        </w:rPr>
        <w:t>事长，兼任招商局国际有限公司董事会主席、招商局能源运输股份有限公司董事长、中国国</w:t>
      </w:r>
      <w:r>
        <w:rPr>
          <w:spacing w:val="-11"/>
        </w:rPr>
        <w:t>际海运集装箱</w:t>
      </w:r>
      <w:r>
        <w:rPr/>
        <w:t>（</w:t>
      </w:r>
      <w:r>
        <w:rPr>
          <w:spacing w:val="-2"/>
        </w:rPr>
        <w:t>集团</w:t>
      </w:r>
      <w:r>
        <w:rPr>
          <w:spacing w:val="-34"/>
        </w:rPr>
        <w:t>）</w:t>
      </w:r>
      <w:r>
        <w:rPr>
          <w:spacing w:val="-7"/>
        </w:rPr>
        <w:t>股份有限公司董事长、招商局华建公路投资有限公司董事长和招商局</w:t>
      </w:r>
      <w:r>
        <w:rPr>
          <w:spacing w:val="-8"/>
        </w:rPr>
        <w:t>资本投资有限责任公司董事长。曾任中国远洋运输</w:t>
      </w:r>
      <w:r>
        <w:rPr/>
        <w:t>（</w:t>
      </w:r>
      <w:r>
        <w:rPr>
          <w:spacing w:val="-2"/>
        </w:rPr>
        <w:t>集团</w:t>
      </w:r>
      <w:r>
        <w:rPr>
          <w:spacing w:val="-20"/>
        </w:rPr>
        <w:t>）</w:t>
      </w:r>
      <w:r>
        <w:rPr>
          <w:spacing w:val="-8"/>
        </w:rPr>
        <w:t>总公司总裁助理、总经济师、副</w:t>
      </w:r>
      <w:r>
        <w:rPr>
          <w:spacing w:val="-5"/>
        </w:rPr>
        <w:t>总裁，招商局集团有限公司董事、总裁。</w:t>
      </w:r>
    </w:p>
    <w:p>
      <w:pPr>
        <w:pStyle w:val="BodyText"/>
        <w:spacing w:line="417" w:lineRule="auto"/>
        <w:ind w:left="540" w:right="311" w:firstLine="419"/>
        <w:jc w:val="both"/>
      </w:pPr>
      <w:r>
        <w:rPr>
          <w:spacing w:val="-3"/>
        </w:rPr>
        <w:t>田惠宇先生，本行行长、执行董事，</w:t>
      </w:r>
      <w:r>
        <w:rPr>
          <w:rFonts w:ascii="Times New Roman" w:eastAsia="Times New Roman"/>
        </w:rPr>
        <w:t>2013</w:t>
      </w:r>
      <w:r>
        <w:rPr/>
        <w:t>年</w:t>
      </w:r>
      <w:r>
        <w:rPr>
          <w:rFonts w:ascii="Times New Roman" w:eastAsia="Times New Roman"/>
          <w:spacing w:val="-3"/>
        </w:rPr>
        <w:t>5</w:t>
      </w:r>
      <w:r>
        <w:rPr>
          <w:spacing w:val="-3"/>
        </w:rPr>
        <w:t>月起担任本行行长、本行执行董事。美国</w:t>
      </w:r>
      <w:r>
        <w:rPr>
          <w:spacing w:val="-9"/>
        </w:rPr>
        <w:t>哥伦比亚大学公共管理硕士学位，高级经济师。曾于</w:t>
      </w:r>
      <w:r>
        <w:rPr>
          <w:rFonts w:ascii="Times New Roman" w:eastAsia="Times New Roman"/>
        </w:rPr>
        <w:t>2003 </w:t>
      </w:r>
      <w:r>
        <w:rPr/>
        <w:t>年</w:t>
      </w:r>
      <w:r>
        <w:rPr>
          <w:rFonts w:ascii="Times New Roman" w:eastAsia="Times New Roman"/>
        </w:rPr>
        <w:t>7 </w:t>
      </w:r>
      <w:r>
        <w:rPr/>
        <w:t>月至</w:t>
      </w:r>
      <w:r>
        <w:rPr>
          <w:rFonts w:ascii="Times New Roman" w:eastAsia="Times New Roman"/>
        </w:rPr>
        <w:t>2013</w:t>
      </w:r>
      <w:r>
        <w:rPr/>
        <w:t>年</w:t>
      </w:r>
      <w:r>
        <w:rPr>
          <w:rFonts w:ascii="Times New Roman" w:eastAsia="Times New Roman"/>
        </w:rPr>
        <w:t>5</w:t>
      </w:r>
      <w:r>
        <w:rPr>
          <w:spacing w:val="-3"/>
        </w:rPr>
        <w:t>月历任上海银行</w:t>
      </w:r>
      <w:r>
        <w:rPr>
          <w:spacing w:val="-10"/>
        </w:rPr>
        <w:t>副行长、中国建设银行上海市分行副行长、深圳市分行行长、中国建设银行零售业务总监兼</w:t>
      </w:r>
      <w:r>
        <w:rPr>
          <w:spacing w:val="-5"/>
        </w:rPr>
        <w:t>北京市分行行长。</w:t>
      </w:r>
    </w:p>
    <w:p>
      <w:pPr>
        <w:pStyle w:val="BodyText"/>
        <w:spacing w:line="417" w:lineRule="auto"/>
        <w:ind w:left="540" w:right="208" w:firstLine="419"/>
      </w:pPr>
      <w:r>
        <w:rPr>
          <w:spacing w:val="-9"/>
        </w:rPr>
        <w:t>汪建中先生，本行副行长。</w:t>
      </w:r>
      <w:r>
        <w:rPr>
          <w:rFonts w:ascii="Times New Roman" w:eastAsia="Times New Roman"/>
        </w:rPr>
        <w:t>1991</w:t>
      </w:r>
      <w:r>
        <w:rPr>
          <w:spacing w:val="-4"/>
        </w:rPr>
        <w:t>年加入本行；</w:t>
      </w:r>
      <w:r>
        <w:rPr>
          <w:rFonts w:ascii="Times New Roman" w:eastAsia="Times New Roman"/>
          <w:spacing w:val="-8"/>
        </w:rPr>
        <w:t>2002</w:t>
      </w:r>
      <w:r>
        <w:rPr/>
        <w:t>年</w:t>
      </w:r>
      <w:r>
        <w:rPr>
          <w:rFonts w:ascii="Times New Roman" w:eastAsia="Times New Roman"/>
        </w:rPr>
        <w:t>10</w:t>
      </w:r>
      <w:r>
        <w:rPr>
          <w:spacing w:val="-2"/>
        </w:rPr>
        <w:t>月至</w:t>
      </w:r>
      <w:r>
        <w:rPr>
          <w:rFonts w:ascii="Times New Roman" w:eastAsia="Times New Roman"/>
        </w:rPr>
        <w:t>2013</w:t>
      </w:r>
      <w:r>
        <w:rPr>
          <w:spacing w:val="-3"/>
        </w:rPr>
        <w:t>年</w:t>
      </w:r>
      <w:r>
        <w:rPr>
          <w:rFonts w:ascii="Times New Roman" w:eastAsia="Times New Roman"/>
        </w:rPr>
        <w:t>12</w:t>
      </w:r>
      <w:r>
        <w:rPr>
          <w:spacing w:val="-3"/>
        </w:rPr>
        <w:t>月历任本行长沙分行行长，总行公司银行部副总经理，佛山分行筹备组组长，佛山分行行长，武汉分行行长； </w:t>
      </w:r>
      <w:r>
        <w:rPr>
          <w:rFonts w:ascii="Times New Roman" w:eastAsia="Times New Roman"/>
          <w:spacing w:val="-3"/>
        </w:rPr>
        <w:t>2013</w:t>
      </w:r>
      <w:r>
        <w:rPr>
          <w:spacing w:val="-3"/>
        </w:rPr>
        <w:t>年</w:t>
      </w:r>
      <w:r>
        <w:rPr>
          <w:rFonts w:ascii="Times New Roman" w:eastAsia="Times New Roman"/>
        </w:rPr>
        <w:t>12</w:t>
      </w:r>
      <w:r>
        <w:rPr>
          <w:spacing w:val="-2"/>
        </w:rPr>
        <w:t>月至</w:t>
      </w:r>
      <w:r>
        <w:rPr>
          <w:rFonts w:ascii="Times New Roman" w:eastAsia="Times New Roman"/>
        </w:rPr>
        <w:t>2016</w:t>
      </w:r>
      <w:r>
        <w:rPr>
          <w:spacing w:val="-3"/>
        </w:rPr>
        <w:t>年</w:t>
      </w:r>
      <w:r>
        <w:rPr>
          <w:rFonts w:ascii="Times New Roman" w:eastAsia="Times New Roman"/>
        </w:rPr>
        <w:t>10</w:t>
      </w:r>
      <w:r>
        <w:rPr>
          <w:spacing w:val="-9"/>
        </w:rPr>
        <w:t>月任本行业务总监兼公司金融总部总裁，期间先后兼任公司金融综合</w:t>
      </w:r>
      <w:r>
        <w:rPr>
          <w:spacing w:val="-6"/>
        </w:rPr>
        <w:t>管理部总经理、战略客户部总经理；</w:t>
      </w:r>
      <w:r>
        <w:rPr>
          <w:rFonts w:ascii="Times New Roman" w:eastAsia="Times New Roman"/>
        </w:rPr>
        <w:t>2016</w:t>
      </w:r>
      <w:r>
        <w:rPr/>
        <w:t>年</w:t>
      </w:r>
      <w:r>
        <w:rPr>
          <w:rFonts w:ascii="Times New Roman" w:eastAsia="Times New Roman"/>
        </w:rPr>
        <w:t>10</w:t>
      </w:r>
      <w:r>
        <w:rPr/>
        <w:t>月至</w:t>
      </w:r>
      <w:r>
        <w:rPr>
          <w:rFonts w:ascii="Times New Roman" w:eastAsia="Times New Roman"/>
        </w:rPr>
        <w:t>2017</w:t>
      </w:r>
      <w:r>
        <w:rPr/>
        <w:t>年</w:t>
      </w:r>
      <w:r>
        <w:rPr>
          <w:rFonts w:ascii="Times New Roman" w:eastAsia="Times New Roman"/>
        </w:rPr>
        <w:t>4</w:t>
      </w:r>
      <w:r>
        <w:rPr>
          <w:spacing w:val="-3"/>
        </w:rPr>
        <w:t>月任本行业务总监兼北京分行行长；</w:t>
      </w:r>
      <w:r>
        <w:rPr>
          <w:rFonts w:ascii="Times New Roman" w:eastAsia="Times New Roman"/>
          <w:spacing w:val="-3"/>
        </w:rPr>
        <w:t>2017</w:t>
      </w:r>
      <w:r>
        <w:rPr>
          <w:spacing w:val="-3"/>
        </w:rPr>
        <w:t>年</w:t>
      </w:r>
      <w:r>
        <w:rPr>
          <w:rFonts w:ascii="Times New Roman" w:eastAsia="Times New Roman"/>
        </w:rPr>
        <w:t>4</w:t>
      </w:r>
      <w:r>
        <w:rPr>
          <w:spacing w:val="-3"/>
        </w:rPr>
        <w:t>月起任本行党委委员兼北京分行行长。</w:t>
      </w:r>
      <w:r>
        <w:rPr>
          <w:rFonts w:ascii="Times New Roman" w:eastAsia="Times New Roman"/>
        </w:rPr>
        <w:t>2019</w:t>
      </w:r>
      <w:r>
        <w:rPr/>
        <w:t>年</w:t>
      </w:r>
      <w:r>
        <w:rPr>
          <w:rFonts w:ascii="Times New Roman" w:eastAsia="Times New Roman"/>
          <w:spacing w:val="-3"/>
        </w:rPr>
        <w:t>4</w:t>
      </w:r>
      <w:r>
        <w:rPr>
          <w:spacing w:val="-3"/>
        </w:rPr>
        <w:t>月起任本行副行长。</w:t>
      </w:r>
    </w:p>
    <w:p>
      <w:pPr>
        <w:pStyle w:val="BodyText"/>
        <w:spacing w:line="268" w:lineRule="exact"/>
        <w:ind w:left="960"/>
      </w:pPr>
      <w:r>
        <w:rPr/>
        <w:t>（三）基金托管业务经营情况</w:t>
      </w:r>
    </w:p>
    <w:p>
      <w:pPr>
        <w:pStyle w:val="BodyText"/>
        <w:spacing w:before="6"/>
        <w:rPr>
          <w:sz w:val="15"/>
        </w:rPr>
      </w:pPr>
    </w:p>
    <w:p>
      <w:pPr>
        <w:pStyle w:val="BodyText"/>
        <w:ind w:left="960"/>
      </w:pPr>
      <w:r>
        <w:rPr/>
        <w:t>截至</w:t>
      </w:r>
      <w:r>
        <w:rPr>
          <w:rFonts w:ascii="Times New Roman" w:eastAsia="Times New Roman"/>
        </w:rPr>
        <w:t>2020</w:t>
      </w:r>
      <w:r>
        <w:rPr/>
        <w:t>年</w:t>
      </w:r>
      <w:r>
        <w:rPr>
          <w:rFonts w:ascii="Times New Roman" w:eastAsia="Times New Roman"/>
        </w:rPr>
        <w:t>6</w:t>
      </w:r>
      <w:r>
        <w:rPr/>
        <w:t>月</w:t>
      </w:r>
      <w:r>
        <w:rPr>
          <w:rFonts w:ascii="Times New Roman" w:eastAsia="Times New Roman"/>
        </w:rPr>
        <w:t>30</w:t>
      </w:r>
      <w:r>
        <w:rPr/>
        <w:t>日，招商银行股份有限公司累计托管</w:t>
      </w:r>
      <w:r>
        <w:rPr>
          <w:rFonts w:ascii="Times New Roman" w:eastAsia="Times New Roman"/>
        </w:rPr>
        <w:t>641</w:t>
      </w:r>
      <w:r>
        <w:rPr/>
        <w:t>只证券投资基金。</w:t>
      </w:r>
    </w:p>
    <w:p>
      <w:pPr>
        <w:pStyle w:val="BodyText"/>
        <w:spacing w:before="7"/>
        <w:rPr>
          <w:sz w:val="15"/>
        </w:rPr>
      </w:pPr>
    </w:p>
    <w:p>
      <w:pPr>
        <w:pStyle w:val="BodyText"/>
        <w:ind w:left="960"/>
      </w:pPr>
      <w:r>
        <w:rPr/>
        <w:t>（四）托管人的内部控制制度</w:t>
      </w:r>
    </w:p>
    <w:p>
      <w:pPr>
        <w:pStyle w:val="BodyText"/>
        <w:spacing w:before="6"/>
        <w:rPr>
          <w:sz w:val="15"/>
        </w:rPr>
      </w:pPr>
    </w:p>
    <w:p>
      <w:pPr>
        <w:pStyle w:val="BodyText"/>
        <w:spacing w:before="1"/>
        <w:ind w:left="960"/>
      </w:pPr>
      <w:r>
        <w:rPr>
          <w:rFonts w:ascii="Times New Roman" w:eastAsia="Times New Roman"/>
        </w:rPr>
        <w:t>1</w:t>
      </w:r>
      <w:r>
        <w:rPr/>
        <w:t>、内部控制目标</w:t>
      </w:r>
    </w:p>
    <w:p>
      <w:pPr>
        <w:pStyle w:val="BodyText"/>
        <w:spacing w:before="6"/>
        <w:rPr>
          <w:sz w:val="15"/>
        </w:rPr>
      </w:pPr>
    </w:p>
    <w:p>
      <w:pPr>
        <w:pStyle w:val="BodyText"/>
        <w:spacing w:line="417" w:lineRule="auto"/>
        <w:ind w:left="540" w:right="208" w:firstLine="419"/>
      </w:pPr>
      <w:r>
        <w:rPr>
          <w:spacing w:val="-7"/>
        </w:rPr>
        <w:t>招商银行确保托管业务严格遵守国家有关法律法规和行业监管制度，坚持守法经营、规</w:t>
      </w:r>
      <w:r>
        <w:rPr>
          <w:spacing w:val="-21"/>
        </w:rPr>
        <w:t>范运作的经营理念；形成科学合理的决策机制、执行机制和监督机制，防范和化解经营风险， </w:t>
      </w:r>
      <w:r>
        <w:rPr>
          <w:spacing w:val="-7"/>
        </w:rPr>
        <w:t>确保托管业务的稳健运行和托管资产的安全；建立有利于查错防弊、堵塞漏洞、消除隐患， </w:t>
      </w:r>
      <w:r>
        <w:rPr>
          <w:spacing w:val="-11"/>
        </w:rPr>
        <w:t>保证业务稳健运行的风险控制制度，确保托管业务信息真实、准确、完整、及时；确保内控</w:t>
      </w:r>
      <w:r>
        <w:rPr>
          <w:spacing w:val="-6"/>
        </w:rPr>
        <w:t>机制、体制的不断改进和各项业务制度、流程的不断完善。</w:t>
      </w:r>
    </w:p>
    <w:p>
      <w:pPr>
        <w:pStyle w:val="BodyText"/>
        <w:spacing w:line="269" w:lineRule="exact"/>
        <w:ind w:left="960"/>
      </w:pPr>
      <w:r>
        <w:rPr>
          <w:rFonts w:ascii="Times New Roman" w:eastAsia="Times New Roman"/>
        </w:rPr>
        <w:t>2</w:t>
      </w:r>
      <w:r>
        <w:rPr/>
        <w:t>、内部控制组织结构</w:t>
      </w:r>
    </w:p>
    <w:p>
      <w:pPr>
        <w:pStyle w:val="BodyText"/>
        <w:spacing w:before="7"/>
        <w:rPr>
          <w:sz w:val="15"/>
        </w:rPr>
      </w:pPr>
    </w:p>
    <w:p>
      <w:pPr>
        <w:pStyle w:val="BodyText"/>
        <w:ind w:left="960"/>
      </w:pPr>
      <w:r>
        <w:rPr/>
        <w:t>招商银行资产托管业务建立三级内部控制及风险防范体系：</w:t>
      </w:r>
    </w:p>
    <w:p>
      <w:pPr>
        <w:pStyle w:val="BodyText"/>
        <w:spacing w:before="7"/>
        <w:rPr>
          <w:sz w:val="15"/>
        </w:rPr>
      </w:pPr>
    </w:p>
    <w:p>
      <w:pPr>
        <w:pStyle w:val="BodyText"/>
        <w:ind w:left="960"/>
      </w:pPr>
      <w:r>
        <w:rPr/>
        <w:t>一级内部控制及风险防范是在招商银行总行风险管控层面对风险进行预防和控制；</w:t>
      </w:r>
    </w:p>
    <w:p>
      <w:pPr>
        <w:pStyle w:val="BodyText"/>
        <w:spacing w:before="6"/>
        <w:rPr>
          <w:sz w:val="15"/>
        </w:rPr>
      </w:pPr>
    </w:p>
    <w:p>
      <w:pPr>
        <w:pStyle w:val="BodyText"/>
        <w:spacing w:line="417" w:lineRule="auto" w:before="1"/>
        <w:ind w:left="540" w:right="311" w:firstLine="419"/>
      </w:pPr>
      <w:r>
        <w:rPr>
          <w:spacing w:val="-7"/>
        </w:rPr>
        <w:t>二级内部控制及风险防范是招商银行资产托管部设立稽核监察团队，负责部门内部风险</w:t>
      </w:r>
      <w:r>
        <w:rPr>
          <w:spacing w:val="-5"/>
        </w:rPr>
        <w:t>预防和控制；</w:t>
      </w:r>
    </w:p>
    <w:p>
      <w:pPr>
        <w:pStyle w:val="BodyText"/>
        <w:spacing w:line="417" w:lineRule="auto"/>
        <w:ind w:left="540" w:right="102" w:firstLine="419"/>
      </w:pPr>
      <w:r>
        <w:rPr>
          <w:spacing w:val="-7"/>
        </w:rPr>
        <w:t>三级内部控制及风险防范是招商银行资产托管部在设置专业岗位时，遵循内控制衡原则， </w:t>
      </w:r>
      <w:r>
        <w:rPr>
          <w:spacing w:val="-5"/>
        </w:rPr>
        <w:t>视业务的风险程度制定相应监督制衡机制。</w:t>
      </w:r>
    </w:p>
    <w:p>
      <w:pPr>
        <w:pStyle w:val="BodyText"/>
        <w:ind w:left="960"/>
      </w:pPr>
      <w:r>
        <w:rPr>
          <w:rFonts w:ascii="Times New Roman" w:eastAsia="Times New Roman"/>
        </w:rPr>
        <w:t>3</w:t>
      </w:r>
      <w:r>
        <w:rPr/>
        <w:t>、内部控制原则</w:t>
      </w:r>
    </w:p>
    <w:p>
      <w:pPr>
        <w:spacing w:after="0"/>
        <w:sectPr>
          <w:pgSz w:w="11910" w:h="16840"/>
          <w:pgMar w:header="877" w:footer="0" w:top="1420" w:bottom="280" w:left="1260" w:right="1480"/>
        </w:sectPr>
      </w:pPr>
    </w:p>
    <w:p>
      <w:pPr>
        <w:pStyle w:val="ListParagraph"/>
        <w:numPr>
          <w:ilvl w:val="0"/>
          <w:numId w:val="7"/>
        </w:numPr>
        <w:tabs>
          <w:tab w:pos="1490" w:val="left" w:leader="none"/>
        </w:tabs>
        <w:spacing w:line="417" w:lineRule="auto" w:before="110" w:after="0"/>
        <w:ind w:left="540" w:right="314" w:firstLine="419"/>
        <w:jc w:val="left"/>
        <w:rPr>
          <w:sz w:val="21"/>
        </w:rPr>
      </w:pPr>
      <w:r>
        <w:rPr>
          <w:spacing w:val="-3"/>
          <w:sz w:val="21"/>
        </w:rPr>
        <w:t>全面性原则。内部控制覆盖各项业务过程和操作环节、覆盖所有团队和岗位，并由全部人员参与。</w:t>
      </w:r>
    </w:p>
    <w:p>
      <w:pPr>
        <w:pStyle w:val="ListParagraph"/>
        <w:numPr>
          <w:ilvl w:val="0"/>
          <w:numId w:val="7"/>
        </w:numPr>
        <w:tabs>
          <w:tab w:pos="1490" w:val="left" w:leader="none"/>
        </w:tabs>
        <w:spacing w:line="417" w:lineRule="auto" w:before="0" w:after="0"/>
        <w:ind w:left="540" w:right="314" w:firstLine="419"/>
        <w:jc w:val="left"/>
        <w:rPr>
          <w:sz w:val="21"/>
        </w:rPr>
      </w:pPr>
      <w:r>
        <w:rPr>
          <w:spacing w:val="-3"/>
          <w:sz w:val="21"/>
        </w:rPr>
        <w:t>审慎性原则。托管组织体系的构成、内部管理制度的建立均以防范风险、审慎经营为出发点，体现</w:t>
      </w:r>
      <w:r>
        <w:rPr>
          <w:rFonts w:ascii="Times New Roman" w:hAnsi="Times New Roman" w:eastAsia="Times New Roman"/>
          <w:spacing w:val="-3"/>
          <w:sz w:val="21"/>
        </w:rPr>
        <w:t>“</w:t>
      </w:r>
      <w:r>
        <w:rPr>
          <w:spacing w:val="-3"/>
          <w:sz w:val="21"/>
        </w:rPr>
        <w:t>内控优先</w:t>
      </w:r>
      <w:r>
        <w:rPr>
          <w:rFonts w:ascii="Times New Roman" w:hAnsi="Times New Roman" w:eastAsia="Times New Roman"/>
          <w:sz w:val="21"/>
        </w:rPr>
        <w:t>”</w:t>
      </w:r>
      <w:r>
        <w:rPr>
          <w:spacing w:val="-3"/>
          <w:sz w:val="21"/>
        </w:rPr>
        <w:t>的要求。</w:t>
      </w:r>
    </w:p>
    <w:p>
      <w:pPr>
        <w:pStyle w:val="ListParagraph"/>
        <w:numPr>
          <w:ilvl w:val="0"/>
          <w:numId w:val="7"/>
        </w:numPr>
        <w:tabs>
          <w:tab w:pos="1490" w:val="left" w:leader="none"/>
        </w:tabs>
        <w:spacing w:line="417" w:lineRule="auto" w:before="0" w:after="0"/>
        <w:ind w:left="540" w:right="311" w:firstLine="419"/>
        <w:jc w:val="both"/>
        <w:rPr>
          <w:sz w:val="21"/>
        </w:rPr>
      </w:pPr>
      <w:r>
        <w:rPr>
          <w:spacing w:val="-3"/>
          <w:sz w:val="21"/>
        </w:rPr>
        <w:t>独立性原则。招商银行资产托管部各团队、各岗位职责保持相对独立，不同托管</w:t>
      </w:r>
      <w:r>
        <w:rPr>
          <w:spacing w:val="-10"/>
          <w:sz w:val="21"/>
        </w:rPr>
        <w:t>资产之间、托管资产和自有资产之间相互分离。内部控制的检查、评价部门独立于内部控制</w:t>
      </w:r>
      <w:r>
        <w:rPr>
          <w:spacing w:val="-5"/>
          <w:sz w:val="21"/>
        </w:rPr>
        <w:t>的建立和执行部门。</w:t>
      </w:r>
    </w:p>
    <w:p>
      <w:pPr>
        <w:pStyle w:val="ListParagraph"/>
        <w:numPr>
          <w:ilvl w:val="0"/>
          <w:numId w:val="7"/>
        </w:numPr>
        <w:tabs>
          <w:tab w:pos="1490" w:val="left" w:leader="none"/>
        </w:tabs>
        <w:spacing w:line="417" w:lineRule="auto" w:before="0" w:after="0"/>
        <w:ind w:left="540" w:right="311" w:firstLine="419"/>
        <w:jc w:val="both"/>
        <w:rPr>
          <w:sz w:val="21"/>
        </w:rPr>
      </w:pPr>
      <w:r>
        <w:rPr>
          <w:spacing w:val="-3"/>
          <w:sz w:val="21"/>
        </w:rPr>
        <w:t>有效性原则。内部控制有效性包含内部控制设计的有效性、内部控制执行的有效</w:t>
      </w:r>
      <w:r>
        <w:rPr>
          <w:spacing w:val="-11"/>
          <w:sz w:val="21"/>
        </w:rPr>
        <w:t>性。内部控制设计的有效性是指内部控制的设计覆盖了所有应关注的重要风险，且设计的风</w:t>
      </w:r>
      <w:r>
        <w:rPr>
          <w:spacing w:val="-6"/>
          <w:sz w:val="21"/>
        </w:rPr>
        <w:t>险应对措施适当。内部控制执行的有效性是指内部控制能够按照设计要求严格有效执行。</w:t>
      </w:r>
    </w:p>
    <w:p>
      <w:pPr>
        <w:pStyle w:val="ListParagraph"/>
        <w:numPr>
          <w:ilvl w:val="0"/>
          <w:numId w:val="7"/>
        </w:numPr>
        <w:tabs>
          <w:tab w:pos="1490" w:val="left" w:leader="none"/>
        </w:tabs>
        <w:spacing w:line="417" w:lineRule="auto" w:before="0" w:after="0"/>
        <w:ind w:left="540" w:right="311" w:firstLine="419"/>
        <w:jc w:val="both"/>
        <w:rPr>
          <w:sz w:val="21"/>
        </w:rPr>
      </w:pPr>
      <w:r>
        <w:rPr>
          <w:spacing w:val="-3"/>
          <w:sz w:val="21"/>
        </w:rPr>
        <w:t>适应性原则。内部控制适应招商银行托管业务风险管理的需要，并能够随着托管</w:t>
      </w:r>
      <w:r>
        <w:rPr>
          <w:spacing w:val="-11"/>
          <w:sz w:val="21"/>
        </w:rPr>
        <w:t>业务经营战略、经营方针、经营理念等内部环境的变化和国家法律、法规、政策制度等外部</w:t>
      </w:r>
      <w:r>
        <w:rPr>
          <w:spacing w:val="-6"/>
          <w:sz w:val="21"/>
        </w:rPr>
        <w:t>环境的改变及时进行修订和完善。</w:t>
      </w:r>
    </w:p>
    <w:p>
      <w:pPr>
        <w:pStyle w:val="ListParagraph"/>
        <w:numPr>
          <w:ilvl w:val="0"/>
          <w:numId w:val="7"/>
        </w:numPr>
        <w:tabs>
          <w:tab w:pos="1490" w:val="left" w:leader="none"/>
        </w:tabs>
        <w:spacing w:line="417" w:lineRule="auto" w:before="0" w:after="0"/>
        <w:ind w:left="540" w:right="314" w:firstLine="419"/>
        <w:jc w:val="left"/>
        <w:rPr>
          <w:sz w:val="21"/>
        </w:rPr>
      </w:pPr>
      <w:r>
        <w:rPr>
          <w:spacing w:val="-3"/>
          <w:sz w:val="21"/>
        </w:rPr>
        <w:t>防火墙原则。招商银行资产托管部办公场地与我行其他业务场地隔离，办公网和业务网物理分离，部门业务网和全行业务网防火墙策略分离，以达到风险防范的目的。</w:t>
      </w:r>
    </w:p>
    <w:p>
      <w:pPr>
        <w:pStyle w:val="ListParagraph"/>
        <w:numPr>
          <w:ilvl w:val="0"/>
          <w:numId w:val="7"/>
        </w:numPr>
        <w:tabs>
          <w:tab w:pos="1490" w:val="left" w:leader="none"/>
        </w:tabs>
        <w:spacing w:line="417" w:lineRule="auto" w:before="0" w:after="0"/>
        <w:ind w:left="540" w:right="314" w:firstLine="419"/>
        <w:jc w:val="left"/>
        <w:rPr>
          <w:sz w:val="21"/>
        </w:rPr>
      </w:pPr>
      <w:r>
        <w:rPr>
          <w:spacing w:val="-3"/>
          <w:sz w:val="21"/>
        </w:rPr>
        <w:t>重要性原则。内部控制在实现全面控制的基础上，关注重要托管业务事项和高风险环节。</w:t>
      </w:r>
    </w:p>
    <w:p>
      <w:pPr>
        <w:pStyle w:val="ListParagraph"/>
        <w:numPr>
          <w:ilvl w:val="0"/>
          <w:numId w:val="7"/>
        </w:numPr>
        <w:tabs>
          <w:tab w:pos="1490" w:val="left" w:leader="none"/>
        </w:tabs>
        <w:spacing w:line="417" w:lineRule="auto" w:before="0" w:after="0"/>
        <w:ind w:left="540" w:right="314" w:firstLine="419"/>
        <w:jc w:val="left"/>
        <w:rPr>
          <w:sz w:val="21"/>
        </w:rPr>
      </w:pPr>
      <w:r>
        <w:rPr>
          <w:spacing w:val="-3"/>
          <w:sz w:val="21"/>
        </w:rPr>
        <w:t>制衡性原则。内部控制能够实现在托管组织体系、机构设置及权责分配、业务流程等方面形成相互制约、相互监督，同时兼顾运营效率。</w:t>
      </w:r>
    </w:p>
    <w:p>
      <w:pPr>
        <w:pStyle w:val="BodyText"/>
        <w:spacing w:line="269" w:lineRule="exact"/>
        <w:ind w:left="960"/>
      </w:pPr>
      <w:r>
        <w:rPr>
          <w:rFonts w:ascii="Times New Roman" w:eastAsia="Times New Roman"/>
        </w:rPr>
        <w:t>4</w:t>
      </w:r>
      <w:r>
        <w:rPr/>
        <w:t>、内部控制措施</w:t>
      </w:r>
    </w:p>
    <w:p>
      <w:pPr>
        <w:pStyle w:val="ListParagraph"/>
        <w:numPr>
          <w:ilvl w:val="0"/>
          <w:numId w:val="8"/>
        </w:numPr>
        <w:tabs>
          <w:tab w:pos="1490" w:val="left" w:leader="none"/>
        </w:tabs>
        <w:spacing w:line="417" w:lineRule="auto" w:before="197" w:after="0"/>
        <w:ind w:left="540" w:right="311" w:firstLine="419"/>
        <w:jc w:val="both"/>
        <w:rPr>
          <w:sz w:val="21"/>
        </w:rPr>
      </w:pPr>
      <w:r>
        <w:rPr>
          <w:spacing w:val="-3"/>
          <w:sz w:val="21"/>
        </w:rPr>
        <w:t>完善的制度建设。招商银行资产托管部从资产托管业务内控管理、产品受理、会</w:t>
      </w:r>
      <w:r>
        <w:rPr>
          <w:spacing w:val="-12"/>
          <w:sz w:val="21"/>
        </w:rPr>
        <w:t>计核算、资金清算、岗位管理、档案管理和信息管理等方面制定一系列规章制度，保证资产</w:t>
      </w:r>
      <w:r>
        <w:rPr>
          <w:spacing w:val="-6"/>
          <w:sz w:val="21"/>
        </w:rPr>
        <w:t>托管业务科学化、制度化、规范化运作。</w:t>
      </w:r>
    </w:p>
    <w:p>
      <w:pPr>
        <w:pStyle w:val="ListParagraph"/>
        <w:numPr>
          <w:ilvl w:val="0"/>
          <w:numId w:val="8"/>
        </w:numPr>
        <w:tabs>
          <w:tab w:pos="1490" w:val="left" w:leader="none"/>
        </w:tabs>
        <w:spacing w:line="417" w:lineRule="auto" w:before="0" w:after="0"/>
        <w:ind w:left="540" w:right="311" w:firstLine="419"/>
        <w:jc w:val="both"/>
        <w:rPr>
          <w:sz w:val="21"/>
        </w:rPr>
      </w:pPr>
      <w:r>
        <w:rPr>
          <w:spacing w:val="-3"/>
          <w:sz w:val="21"/>
        </w:rPr>
        <w:t>业务信息风险控制。招商银行资产托管部在数据传输和保存方面有严格的加密和</w:t>
      </w:r>
      <w:r>
        <w:rPr>
          <w:spacing w:val="-11"/>
          <w:sz w:val="21"/>
        </w:rPr>
        <w:t>备份措施，采用加密、直连方式传输数据，数据执行异地实时备份，所有的业务信息须经过</w:t>
      </w:r>
      <w:r>
        <w:rPr>
          <w:spacing w:val="-6"/>
          <w:sz w:val="21"/>
        </w:rPr>
        <w:t>严格的授权方能进行访问。</w:t>
      </w:r>
    </w:p>
    <w:p>
      <w:pPr>
        <w:pStyle w:val="ListParagraph"/>
        <w:numPr>
          <w:ilvl w:val="0"/>
          <w:numId w:val="8"/>
        </w:numPr>
        <w:tabs>
          <w:tab w:pos="1490" w:val="left" w:leader="none"/>
        </w:tabs>
        <w:spacing w:line="417" w:lineRule="auto" w:before="0" w:after="0"/>
        <w:ind w:left="540" w:right="311" w:firstLine="419"/>
        <w:jc w:val="both"/>
        <w:rPr>
          <w:sz w:val="21"/>
        </w:rPr>
      </w:pPr>
      <w:r>
        <w:rPr>
          <w:spacing w:val="-3"/>
          <w:sz w:val="21"/>
        </w:rPr>
        <w:t>客户资料风险控制。招商银行资产托管部对业务办理过程中形成的客户资料，视</w:t>
      </w:r>
      <w:r>
        <w:rPr>
          <w:spacing w:val="-10"/>
          <w:sz w:val="21"/>
        </w:rPr>
        <w:t>同会计资料保管。客户资料不得泄露，有关人员如需调用，须经总经理室成员审批，并做好</w:t>
      </w:r>
      <w:r>
        <w:rPr>
          <w:spacing w:val="-5"/>
          <w:sz w:val="21"/>
        </w:rPr>
        <w:t>调用登记。</w:t>
      </w:r>
    </w:p>
    <w:p>
      <w:pPr>
        <w:pStyle w:val="ListParagraph"/>
        <w:numPr>
          <w:ilvl w:val="0"/>
          <w:numId w:val="8"/>
        </w:numPr>
        <w:tabs>
          <w:tab w:pos="1490" w:val="left" w:leader="none"/>
        </w:tabs>
        <w:spacing w:line="240" w:lineRule="auto" w:before="0" w:after="0"/>
        <w:ind w:left="1489" w:right="0" w:hanging="530"/>
        <w:jc w:val="left"/>
        <w:rPr>
          <w:sz w:val="21"/>
        </w:rPr>
      </w:pPr>
      <w:r>
        <w:rPr>
          <w:spacing w:val="-3"/>
          <w:sz w:val="21"/>
        </w:rPr>
        <w:t>信息技术系统风险控制。招商银行对信息技术系统管理实行双人双岗双责、机房</w:t>
      </w:r>
    </w:p>
    <w:p>
      <w:pPr>
        <w:spacing w:after="0" w:line="240" w:lineRule="auto"/>
        <w:jc w:val="left"/>
        <w:rPr>
          <w:sz w:val="21"/>
        </w:rPr>
        <w:sectPr>
          <w:pgSz w:w="11910" w:h="16840"/>
          <w:pgMar w:header="877" w:footer="0" w:top="1420" w:bottom="280" w:left="1260" w:right="1480"/>
        </w:sectPr>
      </w:pPr>
    </w:p>
    <w:p>
      <w:pPr>
        <w:pStyle w:val="BodyText"/>
        <w:spacing w:line="417" w:lineRule="auto" w:before="110"/>
        <w:ind w:left="540" w:right="311"/>
        <w:jc w:val="both"/>
      </w:pPr>
      <w:r>
        <w:rPr>
          <w:rFonts w:ascii="Times New Roman" w:eastAsia="Times New Roman"/>
        </w:rPr>
        <w:t>24</w:t>
      </w:r>
      <w:r>
        <w:rPr>
          <w:spacing w:val="-9"/>
        </w:rPr>
        <w:t>小时值班并设置门禁管理、电脑密码设置及权限管理、业务网和办公网、托管业务网与全</w:t>
      </w:r>
      <w:r>
        <w:rPr>
          <w:spacing w:val="-12"/>
        </w:rPr>
        <w:t>行业务网双分离制度，与外部业务机构实行防火墙保护，对信息技术系统采取两地三中心的</w:t>
      </w:r>
      <w:r>
        <w:rPr>
          <w:spacing w:val="-6"/>
        </w:rPr>
        <w:t>应急备份管理措施等，保证信息技术系统的安全。</w:t>
      </w:r>
    </w:p>
    <w:p>
      <w:pPr>
        <w:pStyle w:val="ListParagraph"/>
        <w:numPr>
          <w:ilvl w:val="0"/>
          <w:numId w:val="8"/>
        </w:numPr>
        <w:tabs>
          <w:tab w:pos="1490" w:val="left" w:leader="none"/>
        </w:tabs>
        <w:spacing w:line="417" w:lineRule="auto" w:before="0" w:after="0"/>
        <w:ind w:left="540" w:right="210" w:firstLine="419"/>
        <w:jc w:val="left"/>
        <w:rPr>
          <w:sz w:val="21"/>
        </w:rPr>
      </w:pPr>
      <w:r>
        <w:rPr>
          <w:spacing w:val="-3"/>
          <w:sz w:val="21"/>
        </w:rPr>
        <w:t>人力资源控制。招商银行资产托管部通过建立良好的企业文化和员工培训、激励机制、加强人力资源管理及建立人才梯级队伍及人才储备机制，有效的进行人力资源管理。</w:t>
      </w:r>
    </w:p>
    <w:p>
      <w:pPr>
        <w:pStyle w:val="BodyText"/>
        <w:spacing w:line="269" w:lineRule="exact"/>
        <w:ind w:left="960"/>
      </w:pPr>
      <w:r>
        <w:rPr/>
        <w:t>（五）基金托管人对基金管理人运作基金进行监督的方法和程序</w:t>
      </w:r>
    </w:p>
    <w:p>
      <w:pPr>
        <w:pStyle w:val="BodyText"/>
        <w:spacing w:before="6"/>
        <w:rPr>
          <w:sz w:val="15"/>
        </w:rPr>
      </w:pPr>
    </w:p>
    <w:p>
      <w:pPr>
        <w:pStyle w:val="BodyText"/>
        <w:spacing w:line="417" w:lineRule="auto"/>
        <w:ind w:left="540" w:right="311" w:firstLine="419"/>
        <w:jc w:val="both"/>
      </w:pPr>
      <w:r>
        <w:rPr>
          <w:spacing w:val="-13"/>
        </w:rPr>
        <w:t>根据《中华人民共和国证券投资基金法》</w:t>
      </w:r>
      <w:r>
        <w:rPr>
          <w:spacing w:val="-15"/>
        </w:rPr>
        <w:t>、《公开募集证券投资基金运作管理办法》等有</w:t>
      </w:r>
      <w:r>
        <w:rPr>
          <w:spacing w:val="-12"/>
        </w:rPr>
        <w:t>关法律法规的规定及基金合同、托管协议的约定，对基金投资范围、投资比例、投资组合等</w:t>
      </w:r>
      <w:r>
        <w:rPr>
          <w:spacing w:val="-6"/>
        </w:rPr>
        <w:t>情况的合法性、合规性进行监督和核查。</w:t>
      </w:r>
    </w:p>
    <w:p>
      <w:pPr>
        <w:pStyle w:val="BodyText"/>
        <w:spacing w:line="417" w:lineRule="auto"/>
        <w:ind w:left="540" w:right="208" w:firstLine="419"/>
      </w:pPr>
      <w:r>
        <w:rPr>
          <w:spacing w:val="-7"/>
        </w:rPr>
        <w:t>在为基金投资运作所提供的基金清算和核算服务环节中，基金托管人对基金管理人发送</w:t>
      </w:r>
      <w:r>
        <w:rPr>
          <w:spacing w:val="-4"/>
        </w:rPr>
        <w:t>的投资指令、基金管理人对各基金费用的提取与支付情况进行检查监督，对违反法律法规、</w:t>
      </w:r>
      <w:r>
        <w:rPr>
          <w:spacing w:val="-3"/>
        </w:rPr>
        <w:t>基金合同的指令拒绝执行，并立即通知基金管理人。</w:t>
      </w:r>
    </w:p>
    <w:p>
      <w:pPr>
        <w:pStyle w:val="BodyText"/>
        <w:spacing w:line="417" w:lineRule="auto"/>
        <w:ind w:left="540" w:right="311" w:firstLine="419"/>
        <w:jc w:val="both"/>
      </w:pPr>
      <w:r>
        <w:rPr>
          <w:spacing w:val="-6"/>
        </w:rPr>
        <w:t>基金托管人如发现基金管理人依据交易程序已经生效的投资指令违反法律、行政法规和</w:t>
      </w:r>
      <w:r>
        <w:rPr>
          <w:spacing w:val="-10"/>
        </w:rPr>
        <w:t>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w:t>
      </w:r>
      <w:r>
        <w:rPr>
          <w:spacing w:val="-5"/>
        </w:rPr>
        <w:t>限期内纠正的，基金托管人应报告中国证监会。</w:t>
      </w:r>
    </w:p>
    <w:p>
      <w:pPr>
        <w:pStyle w:val="BodyText"/>
        <w:spacing w:before="7"/>
        <w:rPr>
          <w:sz w:val="26"/>
        </w:rPr>
      </w:pPr>
    </w:p>
    <w:p>
      <w:pPr>
        <w:pStyle w:val="Heading1"/>
      </w:pPr>
      <w:bookmarkStart w:name="_bookmark4" w:id="5"/>
      <w:bookmarkEnd w:id="5"/>
      <w:r>
        <w:rPr>
          <w:b w:val="0"/>
        </w:rPr>
      </w:r>
      <w:r>
        <w:rPr/>
        <w:t>五、相关服务机构</w:t>
      </w:r>
    </w:p>
    <w:p>
      <w:pPr>
        <w:pStyle w:val="BodyText"/>
        <w:rPr>
          <w:b/>
          <w:sz w:val="20"/>
        </w:rPr>
      </w:pPr>
    </w:p>
    <w:p>
      <w:pPr>
        <w:pStyle w:val="BodyText"/>
        <w:spacing w:before="2"/>
        <w:rPr>
          <w:b/>
        </w:rPr>
      </w:pPr>
    </w:p>
    <w:p>
      <w:pPr>
        <w:pStyle w:val="BodyText"/>
        <w:ind w:left="960"/>
      </w:pPr>
      <w:r>
        <w:rPr/>
        <w:t>（一）销售机构</w:t>
      </w:r>
    </w:p>
    <w:p>
      <w:pPr>
        <w:pStyle w:val="BodyText"/>
        <w:spacing w:before="7"/>
        <w:rPr>
          <w:sz w:val="15"/>
        </w:rPr>
      </w:pPr>
    </w:p>
    <w:p>
      <w:pPr>
        <w:pStyle w:val="BodyText"/>
        <w:ind w:left="960"/>
      </w:pPr>
      <w:r>
        <w:rPr>
          <w:rFonts w:ascii="Times New Roman" w:eastAsia="Times New Roman"/>
        </w:rPr>
        <w:t>1</w:t>
      </w:r>
      <w:r>
        <w:rPr/>
        <w:t>、直销机构</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60" w:right="280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96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60"/>
      </w:pPr>
      <w:r>
        <w:rPr/>
        <w:t>联系人：张德根</w:t>
      </w:r>
    </w:p>
    <w:p>
      <w:pPr>
        <w:pStyle w:val="BodyText"/>
        <w:spacing w:before="6"/>
        <w:rPr>
          <w:sz w:val="15"/>
        </w:rPr>
      </w:pPr>
    </w:p>
    <w:p>
      <w:pPr>
        <w:pStyle w:val="BodyText"/>
        <w:spacing w:before="1"/>
        <w:ind w:left="960"/>
        <w:rPr>
          <w:rFonts w:ascii="Times New Roman" w:eastAsia="Times New Roman"/>
        </w:rPr>
      </w:pPr>
      <w:r>
        <w:rPr/>
        <w:t>网址：</w:t>
      </w:r>
      <w:hyperlink r:id="rId11">
        <w:r>
          <w:rPr>
            <w:rFonts w:ascii="Times New Roman" w:eastAsia="Times New Roman"/>
          </w:rPr>
          <w:t>www.ChinaAMC.com</w:t>
        </w:r>
      </w:hyperlink>
    </w:p>
    <w:p>
      <w:pPr>
        <w:spacing w:after="0"/>
        <w:rPr>
          <w:rFonts w:ascii="Times New Roman" w:eastAsia="Times New Roman"/>
        </w:rPr>
        <w:sectPr>
          <w:pgSz w:w="11910" w:h="16840"/>
          <w:pgMar w:header="877" w:footer="0" w:top="1420" w:bottom="280" w:left="1260" w:right="1480"/>
        </w:sectPr>
      </w:pPr>
    </w:p>
    <w:p>
      <w:pPr>
        <w:pStyle w:val="BodyText"/>
        <w:spacing w:before="110"/>
        <w:ind w:left="960"/>
      </w:pPr>
      <w:r>
        <w:rPr>
          <w:rFonts w:ascii="Times New Roman" w:eastAsia="Times New Roman"/>
        </w:rPr>
        <w:t>2</w:t>
      </w:r>
      <w:r>
        <w:rPr/>
        <w:t>、代销机构</w:t>
      </w:r>
    </w:p>
    <w:p>
      <w:pPr>
        <w:pStyle w:val="BodyText"/>
        <w:spacing w:before="6"/>
        <w:rPr>
          <w:sz w:val="15"/>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中国工商银行股份有限公司</w:t>
      </w:r>
    </w:p>
    <w:p>
      <w:pPr>
        <w:pStyle w:val="BodyText"/>
        <w:spacing w:before="7"/>
        <w:rPr>
          <w:sz w:val="15"/>
        </w:rPr>
      </w:pPr>
    </w:p>
    <w:p>
      <w:pPr>
        <w:pStyle w:val="BodyText"/>
        <w:ind w:left="960"/>
      </w:pPr>
      <w:r>
        <w:rPr/>
        <w:t>住所：北京市西城区复兴门内大街 </w:t>
      </w:r>
      <w:r>
        <w:rPr>
          <w:rFonts w:ascii="Times New Roman" w:eastAsia="Times New Roman"/>
        </w:rPr>
        <w:t>55 </w:t>
      </w:r>
      <w:r>
        <w:rPr/>
        <w:t>号</w:t>
      </w:r>
    </w:p>
    <w:p>
      <w:pPr>
        <w:pStyle w:val="BodyText"/>
        <w:spacing w:before="7"/>
        <w:rPr>
          <w:sz w:val="15"/>
        </w:rPr>
      </w:pPr>
    </w:p>
    <w:p>
      <w:pPr>
        <w:pStyle w:val="BodyText"/>
        <w:spacing w:line="417" w:lineRule="auto"/>
        <w:ind w:left="960" w:right="4104"/>
      </w:pPr>
      <w:r>
        <w:rPr>
          <w:spacing w:val="-6"/>
        </w:rPr>
        <w:t>办公地址：北京市西城区复兴门内大街 </w:t>
      </w:r>
      <w:r>
        <w:rPr>
          <w:rFonts w:ascii="Times New Roman" w:eastAsia="Times New Roman"/>
        </w:rPr>
        <w:t>55</w:t>
      </w:r>
      <w:r>
        <w:rPr>
          <w:rFonts w:ascii="Times New Roman" w:eastAsia="Times New Roman"/>
          <w:spacing w:val="8"/>
        </w:rPr>
        <w:t> </w:t>
      </w:r>
      <w:r>
        <w:rPr>
          <w:spacing w:val="-11"/>
        </w:rPr>
        <w:t>号</w:t>
      </w:r>
      <w:r>
        <w:rPr>
          <w:spacing w:val="-3"/>
        </w:rPr>
        <w:t>法定代表人：陈四清</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ind w:left="960"/>
      </w:pPr>
      <w:r>
        <w:rPr/>
        <w:t>联系人：王佺</w:t>
      </w:r>
    </w:p>
    <w:p>
      <w:pPr>
        <w:pStyle w:val="BodyText"/>
        <w:spacing w:before="6"/>
        <w:rPr>
          <w:sz w:val="15"/>
        </w:rPr>
      </w:pPr>
    </w:p>
    <w:p>
      <w:pPr>
        <w:pStyle w:val="BodyText"/>
        <w:spacing w:before="1"/>
        <w:ind w:left="960"/>
        <w:rPr>
          <w:rFonts w:ascii="Times New Roman" w:eastAsia="Times New Roman"/>
        </w:rPr>
      </w:pPr>
      <w:r>
        <w:rPr/>
        <w:t>网址：</w:t>
      </w:r>
      <w:hyperlink r:id="rId12">
        <w:r>
          <w:rPr>
            <w:rFonts w:ascii="Times New Roman" w:eastAsia="Times New Roman"/>
          </w:rPr>
          <w:t>www.icbc.com.cn</w:t>
        </w:r>
      </w:hyperlink>
    </w:p>
    <w:p>
      <w:pPr>
        <w:pStyle w:val="BodyText"/>
        <w:spacing w:before="3"/>
        <w:rPr>
          <w:rFonts w:ascii="Times New Roman"/>
          <w:sz w:val="17"/>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中国银行股份有限公司</w:t>
      </w:r>
    </w:p>
    <w:p>
      <w:pPr>
        <w:pStyle w:val="BodyText"/>
        <w:spacing w:before="7"/>
        <w:rPr>
          <w:sz w:val="15"/>
        </w:rPr>
      </w:pPr>
    </w:p>
    <w:p>
      <w:pPr>
        <w:pStyle w:val="BodyText"/>
        <w:ind w:left="960"/>
      </w:pPr>
      <w:r>
        <w:rPr/>
        <w:t>住所：北京市西城区复兴门内大街 </w:t>
      </w:r>
      <w:r>
        <w:rPr>
          <w:rFonts w:ascii="Times New Roman" w:eastAsia="Times New Roman"/>
        </w:rPr>
        <w:t>1 </w:t>
      </w:r>
      <w:r>
        <w:rPr/>
        <w:t>号</w:t>
      </w:r>
    </w:p>
    <w:p>
      <w:pPr>
        <w:pStyle w:val="BodyText"/>
        <w:spacing w:before="6"/>
        <w:rPr>
          <w:sz w:val="15"/>
        </w:rPr>
      </w:pPr>
    </w:p>
    <w:p>
      <w:pPr>
        <w:pStyle w:val="BodyText"/>
        <w:spacing w:line="417" w:lineRule="auto" w:before="1"/>
        <w:ind w:left="960" w:right="4148"/>
      </w:pPr>
      <w:r>
        <w:rPr/>
        <w:t>办公地址：北京市西城区复兴门内大街 </w:t>
      </w:r>
      <w:r>
        <w:rPr>
          <w:rFonts w:ascii="Times New Roman" w:eastAsia="Times New Roman"/>
        </w:rPr>
        <w:t>1 </w:t>
      </w:r>
      <w:r>
        <w:rPr/>
        <w:t>号法定代表人：刘连舸</w:t>
      </w:r>
    </w:p>
    <w:p>
      <w:pPr>
        <w:pStyle w:val="BodyText"/>
        <w:spacing w:line="417" w:lineRule="auto"/>
        <w:ind w:left="960" w:right="634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spacing w:line="417" w:lineRule="auto"/>
        <w:ind w:left="960" w:right="6101"/>
        <w:rPr>
          <w:rFonts w:ascii="Times New Roman" w:eastAsia="Times New Roman"/>
        </w:rPr>
      </w:pPr>
      <w:r>
        <w:rPr/>
        <w:t>联系人：客户服务中心网址：</w:t>
      </w:r>
      <w:hyperlink r:id="rId13">
        <w:r>
          <w:rPr>
            <w:rFonts w:ascii="Times New Roman" w:eastAsia="Times New Roman"/>
          </w:rPr>
          <w:t>www.boc.cn</w:t>
        </w:r>
      </w:hyperlink>
    </w:p>
    <w:p>
      <w:pPr>
        <w:pStyle w:val="BodyText"/>
        <w:spacing w:line="269" w:lineRule="exact"/>
        <w:ind w:left="96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9"/>
        </w:numPr>
        <w:tabs>
          <w:tab w:pos="1490" w:val="left" w:leader="none"/>
        </w:tabs>
        <w:spacing w:line="417" w:lineRule="auto" w:before="0" w:after="0"/>
        <w:ind w:left="960" w:right="4944" w:firstLine="0"/>
        <w:jc w:val="left"/>
        <w:rPr>
          <w:sz w:val="21"/>
        </w:rPr>
      </w:pPr>
      <w:r>
        <w:rPr>
          <w:spacing w:val="-3"/>
          <w:sz w:val="21"/>
        </w:rPr>
        <w:t>中国建设银行股份有限公司 </w:t>
      </w:r>
      <w:r>
        <w:rPr>
          <w:spacing w:val="-7"/>
          <w:sz w:val="21"/>
        </w:rPr>
        <w:t>住所：北京市西城区金融大街 </w:t>
      </w:r>
      <w:r>
        <w:rPr>
          <w:rFonts w:ascii="Times New Roman" w:eastAsia="Times New Roman"/>
          <w:sz w:val="21"/>
        </w:rPr>
        <w:t>25</w:t>
      </w:r>
      <w:r>
        <w:rPr>
          <w:rFonts w:ascii="Times New Roman" w:eastAsia="Times New Roman"/>
          <w:spacing w:val="7"/>
          <w:sz w:val="21"/>
        </w:rPr>
        <w:t> </w:t>
      </w:r>
      <w:r>
        <w:rPr>
          <w:spacing w:val="-14"/>
          <w:sz w:val="21"/>
        </w:rPr>
        <w:t>号</w:t>
      </w:r>
    </w:p>
    <w:p>
      <w:pPr>
        <w:pStyle w:val="BodyText"/>
        <w:spacing w:line="417" w:lineRule="auto"/>
        <w:ind w:left="960" w:right="3578"/>
      </w:pPr>
      <w:r>
        <w:rPr>
          <w:spacing w:val="-6"/>
        </w:rPr>
        <w:t>办公地址：北京市西城区闹市口大街 </w:t>
      </w:r>
      <w:r>
        <w:rPr>
          <w:rFonts w:ascii="Times New Roman" w:eastAsia="Times New Roman"/>
        </w:rPr>
        <w:t>1</w:t>
      </w:r>
      <w:r>
        <w:rPr>
          <w:rFonts w:ascii="Times New Roman" w:eastAsia="Times New Roman"/>
          <w:spacing w:val="6"/>
        </w:rPr>
        <w:t> </w:t>
      </w:r>
      <w:r>
        <w:rPr>
          <w:spacing w:val="-17"/>
        </w:rPr>
        <w:t>号院 </w:t>
      </w:r>
      <w:r>
        <w:rPr>
          <w:rFonts w:ascii="Times New Roman" w:eastAsia="Times New Roman"/>
        </w:rPr>
        <w:t>1</w:t>
      </w:r>
      <w:r>
        <w:rPr>
          <w:rFonts w:ascii="Times New Roman" w:eastAsia="Times New Roman"/>
          <w:spacing w:val="4"/>
        </w:rPr>
        <w:t> </w:t>
      </w:r>
      <w:r>
        <w:rPr/>
        <w:t>号楼</w:t>
      </w:r>
      <w:r>
        <w:rPr>
          <w:spacing w:val="-3"/>
        </w:rPr>
        <w:t>法定代表人：田国立</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pStyle w:val="BodyText"/>
        <w:spacing w:line="269" w:lineRule="exact"/>
        <w:ind w:left="960"/>
      </w:pPr>
      <w:r>
        <w:rPr/>
        <w:t>联系人：王嘉朔</w:t>
      </w:r>
    </w:p>
    <w:p>
      <w:pPr>
        <w:pStyle w:val="BodyText"/>
        <w:spacing w:before="6"/>
        <w:rPr>
          <w:sz w:val="15"/>
        </w:rPr>
      </w:pPr>
    </w:p>
    <w:p>
      <w:pPr>
        <w:pStyle w:val="BodyText"/>
        <w:ind w:left="960"/>
        <w:rPr>
          <w:rFonts w:ascii="Times New Roman" w:eastAsia="Times New Roman"/>
        </w:rPr>
      </w:pPr>
      <w:r>
        <w:rPr/>
        <w:t>网址：</w:t>
      </w:r>
      <w:hyperlink r:id="rId14">
        <w:r>
          <w:rPr>
            <w:rFonts w:ascii="Times New Roman" w:eastAsia="Times New Roman"/>
          </w:rPr>
          <w:t>www.ccb.com</w:t>
        </w:r>
      </w:hyperlink>
    </w:p>
    <w:p>
      <w:pPr>
        <w:pStyle w:val="BodyText"/>
        <w:spacing w:before="4"/>
        <w:rPr>
          <w:rFonts w:ascii="Times New Roman"/>
          <w:sz w:val="17"/>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招商银行股份有限公司</w:t>
      </w:r>
    </w:p>
    <w:p>
      <w:pPr>
        <w:pStyle w:val="BodyText"/>
        <w:spacing w:before="6"/>
        <w:rPr>
          <w:sz w:val="15"/>
        </w:rPr>
      </w:pPr>
    </w:p>
    <w:p>
      <w:pPr>
        <w:pStyle w:val="BodyText"/>
        <w:spacing w:before="1"/>
        <w:ind w:left="960"/>
      </w:pPr>
      <w:r>
        <w:rPr>
          <w:spacing w:val="-7"/>
        </w:rPr>
        <w:t>住所：深圳市深南大道 </w:t>
      </w:r>
      <w:r>
        <w:rPr>
          <w:rFonts w:ascii="Times New Roman" w:eastAsia="Times New Roman"/>
        </w:rPr>
        <w:t>7088</w:t>
      </w:r>
      <w:r>
        <w:rPr>
          <w:rFonts w:ascii="Times New Roman" w:eastAsia="Times New Roman"/>
          <w:spacing w:val="8"/>
        </w:rPr>
        <w:t> </w:t>
      </w:r>
      <w:r>
        <w:rPr>
          <w:spacing w:val="-3"/>
        </w:rPr>
        <w:t>号招商银行大厦</w:t>
      </w:r>
    </w:p>
    <w:p>
      <w:pPr>
        <w:pStyle w:val="BodyText"/>
        <w:spacing w:before="7"/>
        <w:rPr>
          <w:sz w:val="15"/>
        </w:rPr>
      </w:pPr>
    </w:p>
    <w:p>
      <w:pPr>
        <w:pStyle w:val="BodyText"/>
        <w:spacing w:line="417" w:lineRule="auto"/>
        <w:ind w:left="960" w:right="3622"/>
      </w:pPr>
      <w:r>
        <w:rPr/>
        <w:t>办公地址：深圳市深南大道 </w:t>
      </w:r>
      <w:r>
        <w:rPr>
          <w:rFonts w:ascii="Times New Roman" w:eastAsia="Times New Roman"/>
        </w:rPr>
        <w:t>7088 </w:t>
      </w:r>
      <w:r>
        <w:rPr/>
        <w:t>号招商银行大厦法定代表人：李建红</w:t>
      </w:r>
    </w:p>
    <w:p>
      <w:pPr>
        <w:spacing w:after="0" w:line="417" w:lineRule="auto"/>
        <w:sectPr>
          <w:pgSz w:w="11910" w:h="16840"/>
          <w:pgMar w:header="877" w:footer="0" w:top="1420" w:bottom="280" w:left="1260" w:right="1480"/>
        </w:sectPr>
      </w:pPr>
    </w:p>
    <w:p>
      <w:pPr>
        <w:pStyle w:val="BodyText"/>
        <w:spacing w:line="417" w:lineRule="auto" w:before="110"/>
        <w:ind w:left="960" w:right="624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spacing w:line="269" w:lineRule="exact"/>
        <w:ind w:left="960"/>
      </w:pPr>
      <w:r>
        <w:rPr/>
        <w:t>联系人：邓炯鹏</w:t>
      </w:r>
    </w:p>
    <w:p>
      <w:pPr>
        <w:pStyle w:val="BodyText"/>
        <w:spacing w:before="6"/>
        <w:rPr>
          <w:sz w:val="15"/>
        </w:rPr>
      </w:pPr>
    </w:p>
    <w:p>
      <w:pPr>
        <w:pStyle w:val="BodyText"/>
        <w:spacing w:line="417" w:lineRule="auto"/>
        <w:ind w:left="960" w:right="5803"/>
        <w:rPr>
          <w:rFonts w:ascii="Times New Roman" w:eastAsia="Times New Roman"/>
        </w:rPr>
      </w:pPr>
      <w:r>
        <w:rPr/>
        <w:t>网址：</w:t>
      </w:r>
      <w:hyperlink r:id="rId15">
        <w:r>
          <w:rPr>
            <w:rFonts w:ascii="Times New Roman" w:eastAsia="Times New Roman"/>
          </w:rPr>
          <w:t>www.cmbchina.com </w:t>
        </w:r>
      </w:hyperlink>
      <w:r>
        <w:rPr/>
        <w:t>客户服务电话：</w:t>
      </w:r>
      <w:r>
        <w:rPr>
          <w:rFonts w:ascii="Times New Roman" w:eastAsia="Times New Roman"/>
        </w:rPr>
        <w:t>95555</w:t>
      </w:r>
    </w:p>
    <w:p>
      <w:pPr>
        <w:pStyle w:val="ListParagraph"/>
        <w:numPr>
          <w:ilvl w:val="0"/>
          <w:numId w:val="9"/>
        </w:numPr>
        <w:tabs>
          <w:tab w:pos="1490" w:val="left" w:leader="none"/>
        </w:tabs>
        <w:spacing w:line="269" w:lineRule="exact" w:before="0" w:after="0"/>
        <w:ind w:left="1489" w:right="0" w:hanging="530"/>
        <w:jc w:val="left"/>
        <w:rPr>
          <w:sz w:val="21"/>
        </w:rPr>
      </w:pPr>
      <w:r>
        <w:rPr>
          <w:spacing w:val="-3"/>
          <w:sz w:val="21"/>
        </w:rPr>
        <w:t>中信银行股份有限公司</w:t>
      </w:r>
    </w:p>
    <w:p>
      <w:pPr>
        <w:pStyle w:val="BodyText"/>
        <w:spacing w:before="7"/>
        <w:rPr>
          <w:sz w:val="15"/>
        </w:rPr>
      </w:pPr>
    </w:p>
    <w:p>
      <w:pPr>
        <w:pStyle w:val="BodyText"/>
        <w:ind w:left="960"/>
      </w:pPr>
      <w:r>
        <w:rPr/>
        <w:t>住所：北京市东城区朝阳门北大街 </w:t>
      </w:r>
      <w:r>
        <w:rPr>
          <w:rFonts w:ascii="Times New Roman" w:eastAsia="Times New Roman"/>
        </w:rPr>
        <w:t>8 </w:t>
      </w:r>
      <w:r>
        <w:rPr/>
        <w:t>号富华大厦</w:t>
      </w:r>
      <w:r>
        <w:rPr>
          <w:rFonts w:ascii="Times New Roman" w:eastAsia="Times New Roman"/>
        </w:rPr>
        <w:t>C </w:t>
      </w:r>
      <w:r>
        <w:rPr/>
        <w:t>座</w:t>
      </w:r>
    </w:p>
    <w:p>
      <w:pPr>
        <w:pStyle w:val="BodyText"/>
        <w:spacing w:before="7"/>
        <w:rPr>
          <w:sz w:val="15"/>
        </w:rPr>
      </w:pPr>
    </w:p>
    <w:p>
      <w:pPr>
        <w:pStyle w:val="BodyText"/>
        <w:spacing w:line="417" w:lineRule="auto" w:before="1"/>
        <w:ind w:left="960" w:right="2913"/>
      </w:pPr>
      <w:r>
        <w:rPr>
          <w:spacing w:val="-6"/>
        </w:rPr>
        <w:t>办公地址：北京市东城区朝阳门北大街 </w:t>
      </w:r>
      <w:r>
        <w:rPr>
          <w:rFonts w:ascii="Times New Roman" w:eastAsia="Times New Roman"/>
        </w:rPr>
        <w:t>8 </w:t>
      </w:r>
      <w:r>
        <w:rPr>
          <w:spacing w:val="-10"/>
        </w:rPr>
        <w:t>号富华大厦 </w:t>
      </w:r>
      <w:r>
        <w:rPr>
          <w:rFonts w:ascii="Times New Roman" w:eastAsia="Times New Roman"/>
        </w:rPr>
        <w:t>C </w:t>
      </w:r>
      <w:r>
        <w:rPr/>
        <w:t>座</w:t>
      </w:r>
      <w:r>
        <w:rPr>
          <w:spacing w:val="-3"/>
        </w:rPr>
        <w:t>法定代表人：李庆萍</w:t>
      </w:r>
    </w:p>
    <w:p>
      <w:pPr>
        <w:pStyle w:val="BodyText"/>
        <w:spacing w:line="417" w:lineRule="auto"/>
        <w:ind w:left="960" w:right="6346"/>
        <w:rPr>
          <w:rFonts w:ascii="Times New Roman" w:eastAsia="Times New Roman"/>
        </w:rPr>
      </w:pPr>
      <w:r>
        <w:rPr/>
        <w:t>电话：</w:t>
      </w:r>
      <w:r>
        <w:rPr>
          <w:rFonts w:ascii="Times New Roman" w:eastAsia="Times New Roman"/>
        </w:rPr>
        <w:t>010-65556689 </w:t>
      </w:r>
      <w:r>
        <w:rPr/>
        <w:t>传真：</w:t>
      </w:r>
      <w:r>
        <w:rPr>
          <w:rFonts w:ascii="Times New Roman" w:eastAsia="Times New Roman"/>
        </w:rPr>
        <w:t>010-65550827</w:t>
      </w:r>
    </w:p>
    <w:p>
      <w:pPr>
        <w:pStyle w:val="BodyText"/>
        <w:spacing w:line="269" w:lineRule="exact"/>
        <w:ind w:left="960"/>
      </w:pPr>
      <w:r>
        <w:rPr/>
        <w:t>联系人：方爽</w:t>
      </w:r>
    </w:p>
    <w:p>
      <w:pPr>
        <w:pStyle w:val="BodyText"/>
        <w:spacing w:before="6"/>
        <w:rPr>
          <w:sz w:val="15"/>
        </w:rPr>
      </w:pPr>
    </w:p>
    <w:p>
      <w:pPr>
        <w:pStyle w:val="BodyText"/>
        <w:spacing w:line="417" w:lineRule="auto"/>
        <w:ind w:left="960" w:right="620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9"/>
        </w:numPr>
        <w:tabs>
          <w:tab w:pos="1490" w:val="left" w:leader="none"/>
        </w:tabs>
        <w:spacing w:line="417" w:lineRule="auto" w:before="0" w:after="0"/>
        <w:ind w:left="960" w:right="4735" w:firstLine="0"/>
        <w:jc w:val="left"/>
        <w:rPr>
          <w:sz w:val="21"/>
        </w:rPr>
      </w:pPr>
      <w:r>
        <w:rPr>
          <w:spacing w:val="-4"/>
          <w:sz w:val="21"/>
        </w:rPr>
        <w:t>上海浦东发展银行股份有限公司</w:t>
      </w:r>
      <w:r>
        <w:rPr>
          <w:spacing w:val="-8"/>
          <w:sz w:val="21"/>
        </w:rPr>
        <w:t>住所：上海市中山东一路 </w:t>
      </w:r>
      <w:r>
        <w:rPr>
          <w:rFonts w:ascii="Times New Roman" w:eastAsia="Times New Roman"/>
          <w:sz w:val="21"/>
        </w:rPr>
        <w:t>12</w:t>
      </w:r>
      <w:r>
        <w:rPr>
          <w:rFonts w:ascii="Times New Roman" w:eastAsia="Times New Roman"/>
          <w:spacing w:val="1"/>
          <w:sz w:val="21"/>
        </w:rPr>
        <w:t> </w:t>
      </w:r>
      <w:r>
        <w:rPr>
          <w:sz w:val="21"/>
        </w:rPr>
        <w:t>号</w:t>
      </w:r>
    </w:p>
    <w:p>
      <w:pPr>
        <w:pStyle w:val="BodyText"/>
        <w:spacing w:line="417" w:lineRule="auto"/>
        <w:ind w:left="960" w:right="4988"/>
      </w:pPr>
      <w:r>
        <w:rPr/>
        <w:t>办公地址：上海市北京东路 </w:t>
      </w:r>
      <w:r>
        <w:rPr>
          <w:rFonts w:ascii="Times New Roman" w:eastAsia="Times New Roman"/>
        </w:rPr>
        <w:t>689 </w:t>
      </w:r>
      <w:r>
        <w:rPr/>
        <w:t>号法定代表人：郑杨</w:t>
      </w:r>
    </w:p>
    <w:p>
      <w:pPr>
        <w:pStyle w:val="BodyText"/>
        <w:spacing w:line="417" w:lineRule="auto"/>
        <w:ind w:left="960" w:right="634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17" w:lineRule="auto"/>
        <w:ind w:left="960" w:right="5974"/>
        <w:rPr>
          <w:rFonts w:ascii="Times New Roman" w:eastAsia="Times New Roman"/>
        </w:rPr>
      </w:pPr>
      <w:r>
        <w:rPr/>
        <w:t>联系人：高天、汤嘉惠网址：</w:t>
      </w:r>
      <w:hyperlink r:id="rId16">
        <w:r>
          <w:rPr>
            <w:rFonts w:ascii="Times New Roman" w:eastAsia="Times New Roman"/>
          </w:rPr>
          <w:t>www.spdb.com.cn </w:t>
        </w:r>
      </w:hyperlink>
      <w:r>
        <w:rPr/>
        <w:t>客户服务电话：</w:t>
      </w:r>
      <w:r>
        <w:rPr>
          <w:rFonts w:ascii="Times New Roman" w:eastAsia="Times New Roman"/>
        </w:rPr>
        <w:t>95528</w:t>
      </w: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中国光大银行股份有限公司</w:t>
      </w:r>
    </w:p>
    <w:p>
      <w:pPr>
        <w:pStyle w:val="BodyText"/>
        <w:spacing w:before="6"/>
        <w:rPr>
          <w:sz w:val="15"/>
        </w:rPr>
      </w:pPr>
    </w:p>
    <w:p>
      <w:pPr>
        <w:pStyle w:val="BodyText"/>
        <w:ind w:left="960"/>
      </w:pPr>
      <w:r>
        <w:rPr/>
        <w:t>住所：北京市西城区太平桥大街 </w:t>
      </w:r>
      <w:r>
        <w:rPr>
          <w:rFonts w:ascii="Times New Roman" w:eastAsia="Times New Roman"/>
        </w:rPr>
        <w:t>25 </w:t>
      </w:r>
      <w:r>
        <w:rPr/>
        <w:t>号、甲 </w:t>
      </w:r>
      <w:r>
        <w:rPr>
          <w:rFonts w:ascii="Times New Roman" w:eastAsia="Times New Roman"/>
        </w:rPr>
        <w:t>25 </w:t>
      </w:r>
      <w:r>
        <w:rPr/>
        <w:t>号中国光大中心</w:t>
      </w:r>
    </w:p>
    <w:p>
      <w:pPr>
        <w:pStyle w:val="BodyText"/>
        <w:spacing w:before="6"/>
        <w:rPr>
          <w:sz w:val="15"/>
        </w:rPr>
      </w:pPr>
    </w:p>
    <w:p>
      <w:pPr>
        <w:pStyle w:val="BodyText"/>
        <w:spacing w:line="417" w:lineRule="auto" w:before="1"/>
        <w:ind w:left="960" w:right="2993"/>
      </w:pPr>
      <w:r>
        <w:rPr/>
        <w:t>办公地址：北京市西城区太平桥大街 </w:t>
      </w:r>
      <w:r>
        <w:rPr>
          <w:rFonts w:ascii="Times New Roman" w:eastAsia="Times New Roman"/>
        </w:rPr>
        <w:t>25 </w:t>
      </w:r>
      <w:r>
        <w:rPr/>
        <w:t>号中国光大中心法定代表人：李晓鹏</w:t>
      </w:r>
    </w:p>
    <w:p>
      <w:pPr>
        <w:pStyle w:val="BodyText"/>
        <w:spacing w:line="417" w:lineRule="auto"/>
        <w:ind w:left="960" w:right="6346"/>
        <w:rPr>
          <w:rFonts w:ascii="Times New Roman" w:eastAsia="Times New Roman"/>
        </w:rPr>
      </w:pPr>
      <w:r>
        <w:rPr/>
        <w:t>电话：</w:t>
      </w:r>
      <w:r>
        <w:rPr>
          <w:rFonts w:ascii="Times New Roman" w:eastAsia="Times New Roman"/>
        </w:rPr>
        <w:t>010-63636153 </w:t>
      </w:r>
      <w:r>
        <w:rPr/>
        <w:t>传真：</w:t>
      </w:r>
      <w:r>
        <w:rPr>
          <w:rFonts w:ascii="Times New Roman" w:eastAsia="Times New Roman"/>
        </w:rPr>
        <w:t>010-63639709</w:t>
      </w:r>
    </w:p>
    <w:p>
      <w:pPr>
        <w:pStyle w:val="BodyText"/>
        <w:ind w:left="960"/>
      </w:pPr>
      <w:r>
        <w:rPr/>
        <w:t>联系人：朱红</w:t>
      </w:r>
    </w:p>
    <w:p>
      <w:pPr>
        <w:spacing w:after="0"/>
        <w:sectPr>
          <w:pgSz w:w="11910" w:h="16840"/>
          <w:pgMar w:header="877" w:footer="0" w:top="1420" w:bottom="280" w:left="1260" w:right="1480"/>
        </w:sectPr>
      </w:pPr>
    </w:p>
    <w:p>
      <w:pPr>
        <w:pStyle w:val="BodyText"/>
        <w:spacing w:line="417" w:lineRule="auto" w:before="110"/>
        <w:ind w:left="960" w:right="5920"/>
        <w:rPr>
          <w:rFonts w:ascii="Times New Roman" w:eastAsia="Times New Roman"/>
        </w:rPr>
      </w:pPr>
      <w:r>
        <w:rPr/>
        <w:t>网址：</w:t>
      </w:r>
      <w:hyperlink r:id="rId17">
        <w:r>
          <w:rPr>
            <w:rFonts w:ascii="Times New Roman" w:eastAsia="Times New Roman"/>
          </w:rPr>
          <w:t>www.cebbank.com </w:t>
        </w:r>
      </w:hyperlink>
      <w:r>
        <w:rPr/>
        <w:t>客户服务电话：</w:t>
      </w:r>
      <w:r>
        <w:rPr>
          <w:rFonts w:ascii="Times New Roman" w:eastAsia="Times New Roman"/>
        </w:rPr>
        <w:t>95595</w:t>
      </w:r>
    </w:p>
    <w:p>
      <w:pPr>
        <w:pStyle w:val="ListParagraph"/>
        <w:numPr>
          <w:ilvl w:val="0"/>
          <w:numId w:val="9"/>
        </w:numPr>
        <w:tabs>
          <w:tab w:pos="1490" w:val="left" w:leader="none"/>
        </w:tabs>
        <w:spacing w:line="269" w:lineRule="exact" w:before="0" w:after="0"/>
        <w:ind w:left="1489" w:right="0" w:hanging="530"/>
        <w:jc w:val="left"/>
        <w:rPr>
          <w:sz w:val="21"/>
        </w:rPr>
      </w:pPr>
      <w:r>
        <w:rPr>
          <w:spacing w:val="-3"/>
          <w:sz w:val="21"/>
        </w:rPr>
        <w:t>平安银行股份有限公司</w:t>
      </w:r>
    </w:p>
    <w:p>
      <w:pPr>
        <w:pStyle w:val="BodyText"/>
        <w:spacing w:before="6"/>
        <w:rPr>
          <w:sz w:val="15"/>
        </w:rPr>
      </w:pPr>
    </w:p>
    <w:p>
      <w:pPr>
        <w:pStyle w:val="BodyText"/>
        <w:ind w:left="960"/>
      </w:pPr>
      <w:r>
        <w:rPr/>
        <w:t>住所：广东省深圳市深南东路 </w:t>
      </w:r>
      <w:r>
        <w:rPr>
          <w:rFonts w:ascii="Times New Roman" w:eastAsia="Times New Roman"/>
        </w:rPr>
        <w:t>5047 </w:t>
      </w:r>
      <w:r>
        <w:rPr/>
        <w:t>号</w:t>
      </w:r>
    </w:p>
    <w:p>
      <w:pPr>
        <w:pStyle w:val="BodyText"/>
        <w:spacing w:before="7"/>
        <w:rPr>
          <w:sz w:val="15"/>
        </w:rPr>
      </w:pPr>
    </w:p>
    <w:p>
      <w:pPr>
        <w:pStyle w:val="BodyText"/>
        <w:spacing w:line="417" w:lineRule="auto"/>
        <w:ind w:left="960" w:right="4253"/>
      </w:pPr>
      <w:r>
        <w:rPr/>
        <w:t>办公地址：广东省深圳市深南东路 </w:t>
      </w:r>
      <w:r>
        <w:rPr>
          <w:rFonts w:ascii="Times New Roman" w:eastAsia="Times New Roman"/>
        </w:rPr>
        <w:t>5047 </w:t>
      </w:r>
      <w:r>
        <w:rPr/>
        <w:t>号法定代表人：孙建一</w:t>
      </w:r>
    </w:p>
    <w:p>
      <w:pPr>
        <w:pStyle w:val="BodyText"/>
        <w:spacing w:line="417" w:lineRule="auto"/>
        <w:ind w:left="960" w:right="6240"/>
        <w:rPr>
          <w:rFonts w:ascii="Times New Roman" w:eastAsia="Times New Roman"/>
        </w:rPr>
      </w:pPr>
      <w:r>
        <w:rPr/>
        <w:t>电话：</w:t>
      </w:r>
      <w:r>
        <w:rPr>
          <w:rFonts w:ascii="Times New Roman" w:eastAsia="Times New Roman"/>
        </w:rPr>
        <w:t>0755-82088888 </w:t>
      </w:r>
      <w:r>
        <w:rPr/>
        <w:t>传真：</w:t>
      </w:r>
      <w:r>
        <w:rPr>
          <w:rFonts w:ascii="Times New Roman" w:eastAsia="Times New Roman"/>
        </w:rPr>
        <w:t>0755-25841098</w:t>
      </w:r>
    </w:p>
    <w:p>
      <w:pPr>
        <w:pStyle w:val="BodyText"/>
        <w:ind w:left="960"/>
      </w:pPr>
      <w:r>
        <w:rPr/>
        <w:t>联系人：张莉</w:t>
      </w:r>
    </w:p>
    <w:p>
      <w:pPr>
        <w:pStyle w:val="BodyText"/>
        <w:spacing w:before="7"/>
        <w:rPr>
          <w:sz w:val="15"/>
        </w:rPr>
      </w:pPr>
    </w:p>
    <w:p>
      <w:pPr>
        <w:pStyle w:val="BodyText"/>
        <w:spacing w:line="417" w:lineRule="auto"/>
        <w:ind w:left="960" w:right="6000"/>
        <w:rPr>
          <w:rFonts w:ascii="Times New Roman" w:eastAsia="Times New Roman"/>
        </w:rPr>
      </w:pPr>
      <w:r>
        <w:rPr/>
        <w:t>网址：</w:t>
      </w:r>
      <w:r>
        <w:rPr>
          <w:rFonts w:ascii="Times New Roman" w:eastAsia="Times New Roman"/>
        </w:rPr>
        <w:t>bank.pingan.com </w:t>
      </w:r>
      <w:r>
        <w:rPr/>
        <w:t>客户服务电话：</w:t>
      </w:r>
      <w:r>
        <w:rPr>
          <w:rFonts w:ascii="Times New Roman" w:eastAsia="Times New Roman"/>
        </w:rPr>
        <w:t>95511-3</w:t>
      </w:r>
    </w:p>
    <w:p>
      <w:pPr>
        <w:pStyle w:val="ListParagraph"/>
        <w:numPr>
          <w:ilvl w:val="0"/>
          <w:numId w:val="9"/>
        </w:numPr>
        <w:tabs>
          <w:tab w:pos="1490" w:val="left" w:leader="none"/>
        </w:tabs>
        <w:spacing w:line="417" w:lineRule="auto" w:before="0" w:after="0"/>
        <w:ind w:left="960" w:right="5577" w:firstLine="0"/>
        <w:jc w:val="left"/>
        <w:rPr>
          <w:sz w:val="21"/>
        </w:rPr>
      </w:pPr>
      <w:r>
        <w:rPr>
          <w:spacing w:val="-4"/>
          <w:sz w:val="21"/>
        </w:rPr>
        <w:t>江苏银行股份有限公司</w:t>
      </w:r>
      <w:r>
        <w:rPr>
          <w:spacing w:val="-8"/>
          <w:sz w:val="21"/>
        </w:rPr>
        <w:t>住所：南京市中华路 </w:t>
      </w:r>
      <w:r>
        <w:rPr>
          <w:rFonts w:ascii="Times New Roman" w:eastAsia="Times New Roman"/>
          <w:sz w:val="21"/>
        </w:rPr>
        <w:t>26</w:t>
      </w:r>
      <w:r>
        <w:rPr>
          <w:rFonts w:ascii="Times New Roman" w:eastAsia="Times New Roman"/>
          <w:spacing w:val="-1"/>
          <w:sz w:val="21"/>
        </w:rPr>
        <w:t> </w:t>
      </w:r>
      <w:r>
        <w:rPr>
          <w:sz w:val="21"/>
        </w:rPr>
        <w:t>号</w:t>
      </w:r>
    </w:p>
    <w:p>
      <w:pPr>
        <w:pStyle w:val="BodyText"/>
        <w:spacing w:line="417" w:lineRule="auto"/>
        <w:ind w:left="960" w:right="5304"/>
      </w:pPr>
      <w:r>
        <w:rPr/>
        <w:t>办公地址：南京市中华路 </w:t>
      </w:r>
      <w:r>
        <w:rPr>
          <w:rFonts w:ascii="Times New Roman" w:eastAsia="Times New Roman"/>
        </w:rPr>
        <w:t>26 </w:t>
      </w:r>
      <w:r>
        <w:rPr/>
        <w:t>号法定代表人：夏平</w:t>
      </w:r>
    </w:p>
    <w:p>
      <w:pPr>
        <w:pStyle w:val="BodyText"/>
        <w:spacing w:line="417" w:lineRule="auto"/>
        <w:ind w:left="960" w:right="6346"/>
        <w:rPr>
          <w:rFonts w:ascii="Times New Roman" w:eastAsia="Times New Roman"/>
        </w:rPr>
      </w:pPr>
      <w:r>
        <w:rPr/>
        <w:t>电话：</w:t>
      </w:r>
      <w:r>
        <w:rPr>
          <w:rFonts w:ascii="Times New Roman" w:eastAsia="Times New Roman"/>
        </w:rPr>
        <w:t>025-58588167 </w:t>
      </w:r>
      <w:r>
        <w:rPr/>
        <w:t>传真：</w:t>
      </w:r>
      <w:r>
        <w:rPr>
          <w:rFonts w:ascii="Times New Roman" w:eastAsia="Times New Roman"/>
        </w:rPr>
        <w:t>025-58588164</w:t>
      </w:r>
    </w:p>
    <w:p>
      <w:pPr>
        <w:pStyle w:val="BodyText"/>
        <w:spacing w:line="269" w:lineRule="exact"/>
        <w:ind w:left="960"/>
      </w:pPr>
      <w:r>
        <w:rPr/>
        <w:t>联系人：田春慧</w:t>
      </w:r>
    </w:p>
    <w:p>
      <w:pPr>
        <w:pStyle w:val="BodyText"/>
        <w:spacing w:before="6"/>
        <w:rPr>
          <w:sz w:val="15"/>
        </w:rPr>
      </w:pPr>
    </w:p>
    <w:p>
      <w:pPr>
        <w:pStyle w:val="BodyText"/>
        <w:spacing w:line="417" w:lineRule="auto"/>
        <w:ind w:left="960" w:right="6084"/>
        <w:rPr>
          <w:rFonts w:ascii="Times New Roman" w:eastAsia="Times New Roman"/>
        </w:rPr>
      </w:pPr>
      <w:r>
        <w:rPr/>
        <w:t>网址：</w:t>
      </w:r>
      <w:hyperlink r:id="rId18">
        <w:r>
          <w:rPr>
            <w:rFonts w:ascii="Times New Roman" w:eastAsia="Times New Roman"/>
          </w:rPr>
          <w:t>www.jsbchina.cn </w:t>
        </w:r>
      </w:hyperlink>
      <w:r>
        <w:rPr/>
        <w:t>客户服务电话：</w:t>
      </w:r>
      <w:r>
        <w:rPr>
          <w:rFonts w:ascii="Times New Roman" w:eastAsia="Times New Roman"/>
        </w:rPr>
        <w:t>95319</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渤海银行股份有限公司</w:t>
      </w:r>
    </w:p>
    <w:p>
      <w:pPr>
        <w:pStyle w:val="BodyText"/>
        <w:spacing w:before="7"/>
        <w:rPr>
          <w:sz w:val="15"/>
        </w:rPr>
      </w:pPr>
    </w:p>
    <w:p>
      <w:pPr>
        <w:pStyle w:val="BodyText"/>
        <w:ind w:left="960"/>
      </w:pPr>
      <w:r>
        <w:rPr/>
        <w:t>住所：天津市河东区海河东路 </w:t>
      </w:r>
      <w:r>
        <w:rPr>
          <w:rFonts w:ascii="Times New Roman" w:eastAsia="Times New Roman"/>
        </w:rPr>
        <w:t>218 </w:t>
      </w:r>
      <w:r>
        <w:rPr/>
        <w:t>号</w:t>
      </w:r>
    </w:p>
    <w:p>
      <w:pPr>
        <w:pStyle w:val="BodyText"/>
        <w:spacing w:before="7"/>
        <w:rPr>
          <w:sz w:val="15"/>
        </w:rPr>
      </w:pPr>
    </w:p>
    <w:p>
      <w:pPr>
        <w:pStyle w:val="BodyText"/>
        <w:spacing w:line="417" w:lineRule="auto"/>
        <w:ind w:left="960" w:right="4418"/>
      </w:pPr>
      <w:r>
        <w:rPr>
          <w:spacing w:val="-6"/>
        </w:rPr>
        <w:t>办公地址：天津市河东区海河东路 </w:t>
      </w:r>
      <w:r>
        <w:rPr>
          <w:rFonts w:ascii="Times New Roman" w:eastAsia="Times New Roman"/>
        </w:rPr>
        <w:t>218</w:t>
      </w:r>
      <w:r>
        <w:rPr>
          <w:rFonts w:ascii="Times New Roman" w:eastAsia="Times New Roman"/>
          <w:spacing w:val="8"/>
        </w:rPr>
        <w:t> </w:t>
      </w:r>
      <w:r>
        <w:rPr>
          <w:spacing w:val="-12"/>
        </w:rPr>
        <w:t>号</w:t>
      </w:r>
      <w:r>
        <w:rPr>
          <w:spacing w:val="-3"/>
        </w:rPr>
        <w:t>法定代表人：李伏安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022-58316666</w:t>
      </w:r>
    </w:p>
    <w:p>
      <w:pPr>
        <w:pStyle w:val="BodyText"/>
        <w:spacing w:before="3"/>
        <w:rPr>
          <w:rFonts w:ascii="Times New Roman"/>
          <w:sz w:val="17"/>
        </w:rPr>
      </w:pPr>
    </w:p>
    <w:p>
      <w:pPr>
        <w:pStyle w:val="BodyText"/>
        <w:spacing w:before="1"/>
        <w:ind w:left="96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960"/>
      </w:pPr>
      <w:r>
        <w:rPr/>
        <w:t>联系人：潘鹏程</w:t>
      </w:r>
    </w:p>
    <w:p>
      <w:pPr>
        <w:pStyle w:val="BodyText"/>
        <w:spacing w:before="7"/>
        <w:rPr>
          <w:sz w:val="15"/>
        </w:rPr>
      </w:pPr>
    </w:p>
    <w:p>
      <w:pPr>
        <w:pStyle w:val="BodyText"/>
        <w:spacing w:line="417" w:lineRule="auto"/>
        <w:ind w:left="960" w:right="5962"/>
        <w:rPr>
          <w:rFonts w:ascii="Times New Roman" w:eastAsia="Times New Roman"/>
        </w:rPr>
      </w:pPr>
      <w:r>
        <w:rPr/>
        <w:t>网址：</w:t>
      </w:r>
      <w:hyperlink r:id="rId19">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9"/>
        </w:numPr>
        <w:tabs>
          <w:tab w:pos="1586" w:val="left" w:leader="none"/>
        </w:tabs>
        <w:spacing w:line="240" w:lineRule="auto" w:before="0" w:after="0"/>
        <w:ind w:left="1585" w:right="0" w:hanging="626"/>
        <w:jc w:val="left"/>
        <w:rPr>
          <w:sz w:val="21"/>
        </w:rPr>
      </w:pPr>
      <w:r>
        <w:rPr>
          <w:spacing w:val="-3"/>
          <w:sz w:val="21"/>
        </w:rPr>
        <w:t>江苏苏州农村商业银行股份有限公司</w:t>
      </w:r>
    </w:p>
    <w:p>
      <w:pPr>
        <w:spacing w:after="0" w:line="240" w:lineRule="auto"/>
        <w:jc w:val="left"/>
        <w:rPr>
          <w:sz w:val="21"/>
        </w:rPr>
        <w:sectPr>
          <w:pgSz w:w="11910" w:h="16840"/>
          <w:pgMar w:header="877" w:footer="0" w:top="1420" w:bottom="280" w:left="1260" w:right="1480"/>
        </w:sectPr>
      </w:pPr>
    </w:p>
    <w:p>
      <w:pPr>
        <w:pStyle w:val="BodyText"/>
        <w:spacing w:before="110"/>
        <w:ind w:left="960"/>
      </w:pPr>
      <w:r>
        <w:rPr/>
        <w:t>住所：江苏省苏州市吴江区中山南路 </w:t>
      </w:r>
      <w:r>
        <w:rPr>
          <w:rFonts w:ascii="Times New Roman" w:eastAsia="Times New Roman"/>
        </w:rPr>
        <w:t>1777 </w:t>
      </w:r>
      <w:r>
        <w:rPr/>
        <w:t>号</w:t>
      </w:r>
    </w:p>
    <w:p>
      <w:pPr>
        <w:pStyle w:val="BodyText"/>
        <w:spacing w:before="6"/>
        <w:rPr>
          <w:sz w:val="15"/>
        </w:rPr>
      </w:pPr>
    </w:p>
    <w:p>
      <w:pPr>
        <w:pStyle w:val="BodyText"/>
        <w:spacing w:line="417" w:lineRule="auto"/>
        <w:ind w:left="960" w:right="3622"/>
      </w:pPr>
      <w:r>
        <w:rPr/>
        <w:t>办公地址：江苏省苏州市吴江区中山南路 </w:t>
      </w:r>
      <w:r>
        <w:rPr>
          <w:rFonts w:ascii="Times New Roman" w:eastAsia="Times New Roman"/>
        </w:rPr>
        <w:t>1777 </w:t>
      </w:r>
      <w:r>
        <w:rPr/>
        <w:t>号法定代表人：魏礼亚</w:t>
      </w:r>
    </w:p>
    <w:p>
      <w:pPr>
        <w:pStyle w:val="BodyText"/>
        <w:spacing w:line="417" w:lineRule="auto"/>
        <w:ind w:left="960" w:right="6240"/>
        <w:rPr>
          <w:rFonts w:ascii="Times New Roman" w:eastAsia="Times New Roman"/>
        </w:rPr>
      </w:pPr>
      <w:r>
        <w:rPr/>
        <w:t>电话：</w:t>
      </w:r>
      <w:r>
        <w:rPr>
          <w:rFonts w:ascii="Times New Roman" w:eastAsia="Times New Roman"/>
        </w:rPr>
        <w:t>0512-63969209 </w:t>
      </w:r>
      <w:r>
        <w:rPr/>
        <w:t>传真：</w:t>
      </w:r>
      <w:r>
        <w:rPr>
          <w:rFonts w:ascii="Times New Roman" w:eastAsia="Times New Roman"/>
        </w:rPr>
        <w:t>0512-63969209</w:t>
      </w:r>
    </w:p>
    <w:p>
      <w:pPr>
        <w:pStyle w:val="BodyText"/>
        <w:spacing w:line="269" w:lineRule="exact"/>
        <w:ind w:left="960"/>
      </w:pPr>
      <w:r>
        <w:rPr/>
        <w:t>联系人：葛晓亮</w:t>
      </w:r>
    </w:p>
    <w:p>
      <w:pPr>
        <w:pStyle w:val="BodyText"/>
        <w:spacing w:before="7"/>
        <w:rPr>
          <w:sz w:val="15"/>
        </w:rPr>
      </w:pPr>
    </w:p>
    <w:p>
      <w:pPr>
        <w:pStyle w:val="BodyText"/>
        <w:ind w:left="960"/>
        <w:rPr>
          <w:rFonts w:ascii="Times New Roman" w:eastAsia="Times New Roman"/>
        </w:rPr>
      </w:pPr>
      <w:r>
        <w:rPr/>
        <w:t>网址：</w:t>
      </w:r>
      <w:hyperlink r:id="rId20">
        <w:r>
          <w:rPr>
            <w:rFonts w:ascii="Times New Roman" w:eastAsia="Times New Roman"/>
          </w:rPr>
          <w:t>http://www.szrcb.com</w:t>
        </w:r>
      </w:hyperlink>
    </w:p>
    <w:p>
      <w:pPr>
        <w:pStyle w:val="BodyText"/>
        <w:spacing w:before="4"/>
        <w:rPr>
          <w:rFonts w:ascii="Times New Roman"/>
          <w:sz w:val="17"/>
        </w:rPr>
      </w:pPr>
    </w:p>
    <w:p>
      <w:pPr>
        <w:pStyle w:val="BodyText"/>
        <w:ind w:left="960"/>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6"/>
        <w:rPr>
          <w:sz w:val="15"/>
        </w:rPr>
      </w:pPr>
    </w:p>
    <w:p>
      <w:pPr>
        <w:pStyle w:val="ListParagraph"/>
        <w:numPr>
          <w:ilvl w:val="0"/>
          <w:numId w:val="9"/>
        </w:numPr>
        <w:tabs>
          <w:tab w:pos="1595" w:val="left" w:leader="none"/>
        </w:tabs>
        <w:spacing w:line="240" w:lineRule="auto" w:before="1" w:after="0"/>
        <w:ind w:left="1595" w:right="0" w:hanging="635"/>
        <w:jc w:val="left"/>
        <w:rPr>
          <w:sz w:val="21"/>
        </w:rPr>
      </w:pPr>
      <w:r>
        <w:rPr>
          <w:spacing w:val="-3"/>
          <w:sz w:val="21"/>
        </w:rPr>
        <w:t>厦门银行股份有限公司</w:t>
      </w:r>
    </w:p>
    <w:p>
      <w:pPr>
        <w:pStyle w:val="BodyText"/>
        <w:spacing w:before="6"/>
        <w:rPr>
          <w:sz w:val="15"/>
        </w:rPr>
      </w:pPr>
    </w:p>
    <w:p>
      <w:pPr>
        <w:pStyle w:val="BodyText"/>
        <w:ind w:left="960"/>
      </w:pPr>
      <w:r>
        <w:rPr/>
        <w:t>住所：厦门市湖滨北路 </w:t>
      </w:r>
      <w:r>
        <w:rPr>
          <w:rFonts w:ascii="Times New Roman" w:eastAsia="Times New Roman"/>
        </w:rPr>
        <w:t>101 </w:t>
      </w:r>
      <w:r>
        <w:rPr/>
        <w:t>号商业银行大厦</w:t>
      </w:r>
    </w:p>
    <w:p>
      <w:pPr>
        <w:pStyle w:val="BodyText"/>
        <w:spacing w:before="7"/>
        <w:rPr>
          <w:sz w:val="15"/>
        </w:rPr>
      </w:pPr>
    </w:p>
    <w:p>
      <w:pPr>
        <w:pStyle w:val="BodyText"/>
        <w:spacing w:line="417" w:lineRule="auto"/>
        <w:ind w:left="960" w:right="3728"/>
      </w:pPr>
      <w:r>
        <w:rPr/>
        <w:t>办公地址：厦门市湖滨北路 </w:t>
      </w:r>
      <w:r>
        <w:rPr>
          <w:rFonts w:ascii="Times New Roman" w:eastAsia="Times New Roman"/>
        </w:rPr>
        <w:t>101 </w:t>
      </w:r>
      <w:r>
        <w:rPr/>
        <w:t>号商业银行大厦法定代表人：吴世群</w:t>
      </w:r>
    </w:p>
    <w:p>
      <w:pPr>
        <w:pStyle w:val="BodyText"/>
        <w:spacing w:line="417" w:lineRule="auto"/>
        <w:ind w:left="960" w:right="634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pStyle w:val="BodyText"/>
        <w:ind w:left="960"/>
      </w:pPr>
      <w:r>
        <w:rPr/>
        <w:t>联系人：孙瑜</w:t>
      </w:r>
    </w:p>
    <w:p>
      <w:pPr>
        <w:pStyle w:val="BodyText"/>
        <w:spacing w:before="6"/>
        <w:rPr>
          <w:sz w:val="15"/>
        </w:rPr>
      </w:pPr>
    </w:p>
    <w:p>
      <w:pPr>
        <w:pStyle w:val="BodyText"/>
        <w:spacing w:before="1"/>
        <w:ind w:left="960"/>
        <w:rPr>
          <w:rFonts w:ascii="Times New Roman" w:eastAsia="Times New Roman"/>
        </w:rPr>
      </w:pPr>
      <w:r>
        <w:rPr/>
        <w:t>网址：</w:t>
      </w:r>
      <w:hyperlink r:id="rId21">
        <w:r>
          <w:rPr>
            <w:rFonts w:ascii="Times New Roman" w:eastAsia="Times New Roman"/>
          </w:rPr>
          <w:t>www.xmccb.com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400-858-8888</w:t>
      </w:r>
    </w:p>
    <w:p>
      <w:pPr>
        <w:pStyle w:val="BodyText"/>
        <w:spacing w:before="3"/>
        <w:rPr>
          <w:rFonts w:ascii="Times New Roman"/>
          <w:sz w:val="17"/>
        </w:rPr>
      </w:pPr>
    </w:p>
    <w:p>
      <w:pPr>
        <w:pStyle w:val="ListParagraph"/>
        <w:numPr>
          <w:ilvl w:val="0"/>
          <w:numId w:val="9"/>
        </w:numPr>
        <w:tabs>
          <w:tab w:pos="1595" w:val="left" w:leader="none"/>
        </w:tabs>
        <w:spacing w:line="417" w:lineRule="auto" w:before="1" w:after="0"/>
        <w:ind w:left="960" w:right="5258" w:firstLine="0"/>
        <w:jc w:val="left"/>
        <w:rPr>
          <w:sz w:val="21"/>
        </w:rPr>
      </w:pPr>
      <w:r>
        <w:rPr>
          <w:spacing w:val="-3"/>
          <w:sz w:val="21"/>
        </w:rPr>
        <w:t>泉州银行股份有限公司 </w:t>
      </w:r>
      <w:r>
        <w:rPr>
          <w:spacing w:val="-7"/>
          <w:sz w:val="21"/>
        </w:rPr>
        <w:t>住所：泉州市丰泽区云鹿路 </w:t>
      </w:r>
      <w:r>
        <w:rPr>
          <w:rFonts w:ascii="Times New Roman" w:eastAsia="Times New Roman"/>
          <w:sz w:val="21"/>
        </w:rPr>
        <w:t>3</w:t>
      </w:r>
      <w:r>
        <w:rPr>
          <w:rFonts w:ascii="Times New Roman" w:eastAsia="Times New Roman"/>
          <w:spacing w:val="7"/>
          <w:sz w:val="21"/>
        </w:rPr>
        <w:t> </w:t>
      </w:r>
      <w:r>
        <w:rPr>
          <w:spacing w:val="-14"/>
          <w:sz w:val="21"/>
        </w:rPr>
        <w:t>号</w:t>
      </w:r>
    </w:p>
    <w:p>
      <w:pPr>
        <w:pStyle w:val="BodyText"/>
        <w:spacing w:line="417" w:lineRule="auto"/>
        <w:ind w:left="960" w:right="4777"/>
      </w:pPr>
      <w:r>
        <w:rPr/>
        <w:t>办公地址：泉州市丰泽区云鹿路 </w:t>
      </w:r>
      <w:r>
        <w:rPr>
          <w:rFonts w:ascii="Times New Roman" w:eastAsia="Times New Roman"/>
        </w:rPr>
        <w:t>3 </w:t>
      </w:r>
      <w:r>
        <w:rPr/>
        <w:t>号法定代表人：傅子能</w:t>
      </w:r>
    </w:p>
    <w:p>
      <w:pPr>
        <w:pStyle w:val="BodyText"/>
        <w:spacing w:line="417" w:lineRule="auto"/>
        <w:ind w:left="960" w:right="6240"/>
        <w:rPr>
          <w:rFonts w:ascii="Times New Roman" w:eastAsia="Times New Roman"/>
        </w:rPr>
      </w:pPr>
      <w:r>
        <w:rPr/>
        <w:t>电话：</w:t>
      </w:r>
      <w:r>
        <w:rPr>
          <w:rFonts w:ascii="Times New Roman" w:eastAsia="Times New Roman"/>
        </w:rPr>
        <w:t>0595-22551071 </w:t>
      </w:r>
      <w:r>
        <w:rPr/>
        <w:t>传真：</w:t>
      </w:r>
      <w:r>
        <w:rPr>
          <w:rFonts w:ascii="Times New Roman" w:eastAsia="Times New Roman"/>
        </w:rPr>
        <w:t>0595-22578871</w:t>
      </w:r>
    </w:p>
    <w:p>
      <w:pPr>
        <w:pStyle w:val="BodyText"/>
        <w:spacing w:line="269" w:lineRule="exact"/>
        <w:ind w:left="960"/>
      </w:pPr>
      <w:r>
        <w:rPr/>
        <w:t>联系人：董培姗</w:t>
      </w:r>
    </w:p>
    <w:p>
      <w:pPr>
        <w:pStyle w:val="BodyText"/>
        <w:spacing w:before="6"/>
        <w:rPr>
          <w:sz w:val="15"/>
        </w:rPr>
      </w:pPr>
    </w:p>
    <w:p>
      <w:pPr>
        <w:pStyle w:val="BodyText"/>
        <w:ind w:left="960"/>
        <w:rPr>
          <w:rFonts w:ascii="Times New Roman" w:eastAsia="Times New Roman"/>
        </w:rPr>
      </w:pPr>
      <w:r>
        <w:rPr/>
        <w:t>网址：</w:t>
      </w:r>
      <w:hyperlink r:id="rId22">
        <w:r>
          <w:rPr>
            <w:rFonts w:ascii="Times New Roman" w:eastAsia="Times New Roman"/>
          </w:rPr>
          <w:t>www. </w:t>
        </w:r>
      </w:hyperlink>
      <w:r>
        <w:rPr>
          <w:rFonts w:ascii="Times New Roman" w:eastAsia="Times New Roman"/>
        </w:rPr>
        <w:t>qzccbank.com</w:t>
      </w:r>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400-889-6312</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华融湘江银行股份有限公司</w:t>
      </w:r>
    </w:p>
    <w:p>
      <w:pPr>
        <w:pStyle w:val="BodyText"/>
        <w:spacing w:before="7"/>
        <w:rPr>
          <w:sz w:val="15"/>
        </w:rPr>
      </w:pPr>
    </w:p>
    <w:p>
      <w:pPr>
        <w:pStyle w:val="BodyText"/>
        <w:ind w:left="960"/>
      </w:pPr>
      <w:r>
        <w:rPr/>
        <w:t>住所：湖南省长沙市天心区芙蓉南路二段 </w:t>
      </w:r>
      <w:r>
        <w:rPr>
          <w:rFonts w:ascii="Times New Roman" w:eastAsia="Times New Roman"/>
        </w:rPr>
        <w:t>828 </w:t>
      </w:r>
      <w:r>
        <w:rPr/>
        <w:t>号鑫远杰座</w:t>
      </w:r>
    </w:p>
    <w:p>
      <w:pPr>
        <w:pStyle w:val="BodyText"/>
        <w:spacing w:before="7"/>
        <w:rPr>
          <w:sz w:val="15"/>
        </w:rPr>
      </w:pPr>
    </w:p>
    <w:p>
      <w:pPr>
        <w:pStyle w:val="BodyText"/>
        <w:spacing w:line="417" w:lineRule="auto"/>
        <w:ind w:left="960" w:right="1626"/>
      </w:pPr>
      <w:r>
        <w:rPr/>
        <w:t>办公地址：湖南省长沙市雨花区湘府东路二段 </w:t>
      </w:r>
      <w:r>
        <w:rPr>
          <w:rFonts w:ascii="Times New Roman" w:eastAsia="Times New Roman"/>
        </w:rPr>
        <w:t>208 </w:t>
      </w:r>
      <w:r>
        <w:rPr/>
        <w:t>号万境财智中心南栋法定代表人：张永宏</w:t>
      </w:r>
    </w:p>
    <w:p>
      <w:pPr>
        <w:spacing w:after="0" w:line="417" w:lineRule="auto"/>
        <w:sectPr>
          <w:pgSz w:w="11910" w:h="16840"/>
          <w:pgMar w:header="877" w:footer="0" w:top="1420" w:bottom="280" w:left="1260" w:right="1480"/>
        </w:sectPr>
      </w:pPr>
    </w:p>
    <w:p>
      <w:pPr>
        <w:pStyle w:val="BodyText"/>
        <w:spacing w:line="417" w:lineRule="auto" w:before="110"/>
        <w:ind w:left="960" w:right="6240"/>
        <w:rPr>
          <w:rFonts w:ascii="Times New Roman" w:eastAsia="Times New Roman"/>
        </w:rPr>
      </w:pPr>
      <w:r>
        <w:rPr/>
        <w:t>电话：</w:t>
      </w:r>
      <w:r>
        <w:rPr>
          <w:rFonts w:ascii="Times New Roman" w:eastAsia="Times New Roman"/>
        </w:rPr>
        <w:t>0731-89828592 </w:t>
      </w:r>
      <w:r>
        <w:rPr/>
        <w:t>传真：</w:t>
      </w:r>
      <w:r>
        <w:rPr>
          <w:rFonts w:ascii="Times New Roman" w:eastAsia="Times New Roman"/>
        </w:rPr>
        <w:t>0731-89828806</w:t>
      </w:r>
    </w:p>
    <w:p>
      <w:pPr>
        <w:pStyle w:val="BodyText"/>
        <w:spacing w:line="269" w:lineRule="exact"/>
        <w:ind w:left="960"/>
      </w:pPr>
      <w:r>
        <w:rPr/>
        <w:t>联系人：曾玉姣</w:t>
      </w:r>
    </w:p>
    <w:p>
      <w:pPr>
        <w:pStyle w:val="BodyText"/>
        <w:spacing w:before="6"/>
        <w:rPr>
          <w:sz w:val="15"/>
        </w:rPr>
      </w:pPr>
    </w:p>
    <w:p>
      <w:pPr>
        <w:pStyle w:val="BodyText"/>
        <w:spacing w:line="417" w:lineRule="auto"/>
        <w:ind w:left="960" w:right="5623"/>
        <w:rPr>
          <w:rFonts w:ascii="Times New Roman" w:eastAsia="Times New Roman"/>
        </w:rPr>
      </w:pPr>
      <w:r>
        <w:rPr/>
        <w:t>网址：</w:t>
      </w:r>
      <w:hyperlink r:id="rId23">
        <w:r>
          <w:rPr>
            <w:rFonts w:ascii="Times New Roman" w:eastAsia="Times New Roman"/>
          </w:rPr>
          <w:t>www.hrxjbank.com.cn </w:t>
        </w:r>
      </w:hyperlink>
      <w:r>
        <w:rPr/>
        <w:t>客户服务电话：</w:t>
      </w:r>
      <w:r>
        <w:rPr>
          <w:rFonts w:ascii="Times New Roman" w:eastAsia="Times New Roman"/>
        </w:rPr>
        <w:t>0731-96599</w:t>
      </w:r>
    </w:p>
    <w:p>
      <w:pPr>
        <w:pStyle w:val="ListParagraph"/>
        <w:numPr>
          <w:ilvl w:val="0"/>
          <w:numId w:val="9"/>
        </w:numPr>
        <w:tabs>
          <w:tab w:pos="1595" w:val="left" w:leader="none"/>
        </w:tabs>
        <w:spacing w:line="417" w:lineRule="auto" w:before="0" w:after="0"/>
        <w:ind w:left="960" w:right="5049" w:firstLine="0"/>
        <w:jc w:val="left"/>
        <w:rPr>
          <w:sz w:val="21"/>
        </w:rPr>
      </w:pPr>
      <w:r>
        <w:rPr>
          <w:spacing w:val="-4"/>
          <w:sz w:val="21"/>
        </w:rPr>
        <w:t>云南红塔银行股份有限公司</w:t>
      </w:r>
      <w:r>
        <w:rPr>
          <w:spacing w:val="-6"/>
          <w:sz w:val="21"/>
        </w:rPr>
        <w:t>住所：云南省玉溪市东风南路 </w:t>
      </w:r>
      <w:r>
        <w:rPr>
          <w:rFonts w:ascii="Times New Roman" w:eastAsia="Times New Roman"/>
          <w:sz w:val="21"/>
        </w:rPr>
        <w:t>2</w:t>
      </w:r>
      <w:r>
        <w:rPr>
          <w:rFonts w:ascii="Times New Roman" w:eastAsia="Times New Roman"/>
          <w:spacing w:val="4"/>
          <w:sz w:val="21"/>
        </w:rPr>
        <w:t> </w:t>
      </w:r>
      <w:r>
        <w:rPr>
          <w:spacing w:val="-13"/>
          <w:sz w:val="21"/>
        </w:rPr>
        <w:t>号</w:t>
      </w:r>
    </w:p>
    <w:p>
      <w:pPr>
        <w:pStyle w:val="BodyText"/>
        <w:spacing w:line="417" w:lineRule="auto"/>
        <w:ind w:left="960" w:right="3323"/>
      </w:pPr>
      <w:r>
        <w:rPr/>
        <w:t>办公地址：云南省昆明市盘龙区世博路低碳中心</w:t>
      </w:r>
      <w:r>
        <w:rPr>
          <w:rFonts w:ascii="Times New Roman" w:eastAsia="Times New Roman"/>
        </w:rPr>
        <w:t>A </w:t>
      </w:r>
      <w:r>
        <w:rPr/>
        <w:t>座法定代表人：李光林</w:t>
      </w:r>
    </w:p>
    <w:p>
      <w:pPr>
        <w:pStyle w:val="BodyText"/>
        <w:spacing w:line="417" w:lineRule="auto"/>
        <w:ind w:left="960" w:right="6240"/>
        <w:rPr>
          <w:rFonts w:ascii="Times New Roman" w:eastAsia="Times New Roman"/>
        </w:rPr>
      </w:pPr>
      <w:r>
        <w:rPr/>
        <w:t>电话：</w:t>
      </w:r>
      <w:r>
        <w:rPr>
          <w:rFonts w:ascii="Times New Roman" w:eastAsia="Times New Roman"/>
        </w:rPr>
        <w:t>0871-65236624 </w:t>
      </w:r>
      <w:r>
        <w:rPr/>
        <w:t>传真：</w:t>
      </w:r>
      <w:r>
        <w:rPr>
          <w:rFonts w:ascii="Times New Roman" w:eastAsia="Times New Roman"/>
        </w:rPr>
        <w:t>0871-65236614</w:t>
      </w:r>
    </w:p>
    <w:p>
      <w:pPr>
        <w:pStyle w:val="BodyText"/>
        <w:spacing w:line="269" w:lineRule="exact"/>
        <w:ind w:left="960"/>
      </w:pPr>
      <w:r>
        <w:rPr/>
        <w:t>联系人：马杰</w:t>
      </w:r>
    </w:p>
    <w:p>
      <w:pPr>
        <w:pStyle w:val="BodyText"/>
        <w:spacing w:before="7"/>
        <w:rPr>
          <w:sz w:val="15"/>
        </w:rPr>
      </w:pPr>
    </w:p>
    <w:p>
      <w:pPr>
        <w:pStyle w:val="BodyText"/>
        <w:spacing w:line="417" w:lineRule="auto"/>
        <w:ind w:left="960" w:right="5716"/>
        <w:rPr>
          <w:rFonts w:ascii="Times New Roman" w:eastAsia="Times New Roman"/>
        </w:rPr>
      </w:pPr>
      <w:r>
        <w:rPr/>
        <w:t>网址：</w:t>
      </w:r>
      <w:hyperlink r:id="rId24">
        <w:r>
          <w:rPr>
            <w:rFonts w:ascii="Times New Roman" w:eastAsia="Times New Roman"/>
          </w:rPr>
          <w:t>www.ynhtbank.com </w:t>
        </w:r>
      </w:hyperlink>
      <w:r>
        <w:rPr/>
        <w:t>客户服务电话：</w:t>
      </w:r>
      <w:r>
        <w:rPr>
          <w:rFonts w:ascii="Times New Roman" w:eastAsia="Times New Roman"/>
        </w:rPr>
        <w:t>0877-96522</w:t>
      </w:r>
    </w:p>
    <w:p>
      <w:pPr>
        <w:pStyle w:val="ListParagraph"/>
        <w:numPr>
          <w:ilvl w:val="0"/>
          <w:numId w:val="9"/>
        </w:numPr>
        <w:tabs>
          <w:tab w:pos="1595" w:val="left" w:leader="none"/>
        </w:tabs>
        <w:spacing w:line="417" w:lineRule="auto" w:before="0" w:after="0"/>
        <w:ind w:left="960" w:right="4106" w:firstLine="0"/>
        <w:jc w:val="left"/>
        <w:rPr>
          <w:sz w:val="21"/>
        </w:rPr>
      </w:pPr>
      <w:r>
        <w:rPr>
          <w:spacing w:val="-3"/>
          <w:sz w:val="21"/>
        </w:rPr>
        <w:t>招商银行股份有限公司招赢通平台  </w:t>
      </w:r>
      <w:r>
        <w:rPr>
          <w:spacing w:val="-7"/>
          <w:sz w:val="21"/>
        </w:rPr>
        <w:t>住所：深圳市深南大道 </w:t>
      </w:r>
      <w:r>
        <w:rPr>
          <w:rFonts w:ascii="Times New Roman" w:eastAsia="Times New Roman"/>
          <w:sz w:val="21"/>
        </w:rPr>
        <w:t>7088</w:t>
      </w:r>
      <w:r>
        <w:rPr>
          <w:rFonts w:ascii="Times New Roman" w:eastAsia="Times New Roman"/>
          <w:spacing w:val="7"/>
          <w:sz w:val="21"/>
        </w:rPr>
        <w:t> </w:t>
      </w:r>
      <w:r>
        <w:rPr>
          <w:spacing w:val="-5"/>
          <w:sz w:val="21"/>
        </w:rPr>
        <w:t>号招商银行大厦</w:t>
      </w:r>
    </w:p>
    <w:p>
      <w:pPr>
        <w:pStyle w:val="BodyText"/>
        <w:spacing w:line="417" w:lineRule="auto"/>
        <w:ind w:left="960" w:right="3622"/>
      </w:pPr>
      <w:r>
        <w:rPr/>
        <w:t>办公地址：深圳市深南大道 </w:t>
      </w:r>
      <w:r>
        <w:rPr>
          <w:rFonts w:ascii="Times New Roman" w:eastAsia="Times New Roman"/>
        </w:rPr>
        <w:t>7088 </w:t>
      </w:r>
      <w:r>
        <w:rPr/>
        <w:t>号招商银行大厦法定代表人：李建红</w:t>
      </w:r>
    </w:p>
    <w:p>
      <w:pPr>
        <w:pStyle w:val="BodyText"/>
        <w:spacing w:line="417" w:lineRule="auto"/>
        <w:ind w:left="960" w:right="624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spacing w:line="269" w:lineRule="exact"/>
        <w:ind w:left="960"/>
      </w:pPr>
      <w:r>
        <w:rPr/>
        <w:t>联系人：邓炯鹏</w:t>
      </w:r>
    </w:p>
    <w:p>
      <w:pPr>
        <w:pStyle w:val="BodyText"/>
        <w:spacing w:before="6"/>
        <w:rPr>
          <w:sz w:val="15"/>
        </w:rPr>
      </w:pPr>
    </w:p>
    <w:p>
      <w:pPr>
        <w:pStyle w:val="BodyText"/>
        <w:spacing w:line="417" w:lineRule="auto" w:before="1"/>
        <w:ind w:left="960" w:right="5055"/>
        <w:rPr>
          <w:rFonts w:ascii="Times New Roman" w:eastAsia="Times New Roman"/>
        </w:rPr>
      </w:pPr>
      <w:r>
        <w:rPr/>
        <w:t>网址：</w:t>
      </w:r>
      <w:r>
        <w:rPr>
          <w:rFonts w:ascii="Times New Roman" w:eastAsia="Times New Roman"/>
        </w:rPr>
        <w:t>https://fi.cmbchina.com/home </w:t>
      </w:r>
      <w:r>
        <w:rPr/>
        <w:t>客户服务电话：</w:t>
      </w:r>
      <w:r>
        <w:rPr>
          <w:rFonts w:ascii="Times New Roman" w:eastAsia="Times New Roman"/>
        </w:rPr>
        <w:t>95555</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江苏汇林保大基金销售有限公司</w:t>
      </w:r>
    </w:p>
    <w:p>
      <w:pPr>
        <w:pStyle w:val="BodyText"/>
        <w:spacing w:before="6"/>
        <w:rPr>
          <w:sz w:val="15"/>
        </w:rPr>
      </w:pPr>
    </w:p>
    <w:p>
      <w:pPr>
        <w:pStyle w:val="BodyText"/>
        <w:ind w:left="960"/>
      </w:pPr>
      <w:r>
        <w:rPr/>
        <w:t>住所：南京市高淳区经济开发区古檀大道 </w:t>
      </w:r>
      <w:r>
        <w:rPr>
          <w:rFonts w:ascii="Times New Roman" w:eastAsia="Times New Roman"/>
        </w:rPr>
        <w:t>47 </w:t>
      </w:r>
      <w:r>
        <w:rPr/>
        <w:t>号</w:t>
      </w:r>
    </w:p>
    <w:p>
      <w:pPr>
        <w:pStyle w:val="BodyText"/>
        <w:spacing w:before="7"/>
        <w:rPr>
          <w:sz w:val="15"/>
        </w:rPr>
      </w:pPr>
    </w:p>
    <w:p>
      <w:pPr>
        <w:pStyle w:val="BodyText"/>
        <w:spacing w:line="417" w:lineRule="auto"/>
        <w:ind w:left="960" w:right="2632"/>
      </w:pPr>
      <w:r>
        <w:rPr>
          <w:spacing w:val="-6"/>
        </w:rPr>
        <w:t>办公地址：南京市鼓楼区中山北路 </w:t>
      </w:r>
      <w:r>
        <w:rPr>
          <w:rFonts w:ascii="Times New Roman" w:eastAsia="Times New Roman"/>
        </w:rPr>
        <w:t>2 </w:t>
      </w:r>
      <w:r>
        <w:rPr>
          <w:spacing w:val="-9"/>
        </w:rPr>
        <w:t>号绿地紫峰大厦 </w:t>
      </w:r>
      <w:r>
        <w:rPr>
          <w:rFonts w:ascii="Times New Roman" w:eastAsia="Times New Roman"/>
        </w:rPr>
        <w:t>2005 </w:t>
      </w:r>
      <w:r>
        <w:rPr/>
        <w:t>室</w:t>
      </w:r>
      <w:r>
        <w:rPr>
          <w:spacing w:val="-3"/>
        </w:rPr>
        <w:t>法定代表人：吴言林</w:t>
      </w:r>
    </w:p>
    <w:p>
      <w:pPr>
        <w:pStyle w:val="BodyText"/>
        <w:spacing w:line="269" w:lineRule="exact"/>
        <w:ind w:left="960"/>
        <w:rPr>
          <w:rFonts w:ascii="Times New Roman" w:eastAsia="Times New Roman"/>
        </w:rPr>
      </w:pPr>
      <w:r>
        <w:rPr/>
        <w:t>电话：</w:t>
      </w:r>
      <w:r>
        <w:rPr>
          <w:rFonts w:ascii="Times New Roman" w:eastAsia="Times New Roman"/>
        </w:rPr>
        <w:t>025-66046166 </w:t>
      </w:r>
      <w:r>
        <w:rPr/>
        <w:t>转 </w:t>
      </w:r>
      <w:r>
        <w:rPr>
          <w:rFonts w:ascii="Times New Roman" w:eastAsia="Times New Roman"/>
        </w:rPr>
        <w:t>837</w:t>
      </w:r>
    </w:p>
    <w:p>
      <w:pPr>
        <w:pStyle w:val="BodyText"/>
        <w:spacing w:before="4"/>
        <w:rPr>
          <w:rFonts w:ascii="Times New Roman"/>
          <w:sz w:val="17"/>
        </w:rPr>
      </w:pPr>
    </w:p>
    <w:p>
      <w:pPr>
        <w:pStyle w:val="BodyText"/>
        <w:ind w:left="960"/>
      </w:pPr>
      <w:r>
        <w:rPr/>
        <w:t>联系人：孙平</w:t>
      </w:r>
    </w:p>
    <w:p>
      <w:pPr>
        <w:pStyle w:val="BodyText"/>
        <w:spacing w:before="6"/>
        <w:rPr>
          <w:sz w:val="15"/>
        </w:rPr>
      </w:pPr>
    </w:p>
    <w:p>
      <w:pPr>
        <w:pStyle w:val="BodyText"/>
        <w:spacing w:before="1"/>
        <w:ind w:left="960"/>
        <w:rPr>
          <w:rFonts w:ascii="Times New Roman" w:eastAsia="Times New Roman"/>
        </w:rPr>
      </w:pPr>
      <w:r>
        <w:rPr/>
        <w:t>网址：</w:t>
      </w:r>
      <w:hyperlink r:id="rId25">
        <w:r>
          <w:rPr>
            <w:rFonts w:ascii="Times New Roman" w:eastAsia="Times New Roman"/>
          </w:rPr>
          <w:t>www.huilinbd.com</w:t>
        </w:r>
      </w:hyperlink>
    </w:p>
    <w:p>
      <w:pPr>
        <w:spacing w:after="0"/>
        <w:rPr>
          <w:rFonts w:ascii="Times New Roman" w:eastAsia="Times New Roman"/>
        </w:rPr>
        <w:sectPr>
          <w:pgSz w:w="11910" w:h="16840"/>
          <w:pgMar w:header="877" w:footer="0" w:top="1420" w:bottom="280" w:left="1260" w:right="1480"/>
        </w:sectPr>
      </w:pPr>
    </w:p>
    <w:p>
      <w:pPr>
        <w:pStyle w:val="BodyText"/>
        <w:spacing w:before="110"/>
        <w:ind w:left="960"/>
        <w:rPr>
          <w:rFonts w:ascii="Times New Roman" w:eastAsia="Times New Roman"/>
        </w:rPr>
      </w:pPr>
      <w:r>
        <w:rPr/>
        <w:t>客户服务电话：</w:t>
      </w:r>
      <w:r>
        <w:rPr>
          <w:rFonts w:ascii="Times New Roman" w:eastAsia="Times New Roman"/>
        </w:rPr>
        <w:t>025-66046166</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上海挖财基金销售有限公司</w:t>
      </w:r>
    </w:p>
    <w:p>
      <w:pPr>
        <w:pStyle w:val="BodyText"/>
        <w:spacing w:before="7"/>
        <w:rPr>
          <w:sz w:val="15"/>
        </w:rPr>
      </w:pPr>
    </w:p>
    <w:p>
      <w:pPr>
        <w:pStyle w:val="BodyText"/>
        <w:ind w:left="960"/>
      </w:pPr>
      <w:r>
        <w:rPr/>
        <w:t>住所：中国（上海）自由贸易试验区杨高南路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pStyle w:val="BodyText"/>
        <w:spacing w:before="6"/>
        <w:rPr>
          <w:sz w:val="15"/>
        </w:rPr>
      </w:pPr>
    </w:p>
    <w:p>
      <w:pPr>
        <w:pStyle w:val="BodyText"/>
        <w:spacing w:line="417" w:lineRule="auto" w:before="1"/>
        <w:ind w:left="960" w:right="1165"/>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799 </w:t>
      </w:r>
      <w:r>
        <w:rPr>
          <w:spacing w:val="-25"/>
        </w:rPr>
        <w:t>号 </w:t>
      </w:r>
      <w:r>
        <w:rPr>
          <w:rFonts w:ascii="Times New Roman" w:eastAsia="Times New Roman"/>
        </w:rPr>
        <w:t>5 </w:t>
      </w:r>
      <w:r>
        <w:rPr>
          <w:spacing w:val="-25"/>
        </w:rPr>
        <w:t>层 </w:t>
      </w:r>
      <w:r>
        <w:rPr>
          <w:rFonts w:ascii="Times New Roman" w:eastAsia="Times New Roman"/>
        </w:rPr>
        <w:t>01</w:t>
      </w:r>
      <w:r>
        <w:rPr>
          <w:spacing w:val="-3"/>
        </w:rPr>
        <w:t>、</w:t>
      </w:r>
      <w:r>
        <w:rPr>
          <w:rFonts w:ascii="Times New Roman" w:eastAsia="Times New Roman"/>
        </w:rPr>
        <w:t>02</w:t>
      </w:r>
      <w:r>
        <w:rPr>
          <w:spacing w:val="-3"/>
        </w:rPr>
        <w:t>、</w:t>
      </w:r>
      <w:r>
        <w:rPr>
          <w:rFonts w:ascii="Times New Roman" w:eastAsia="Times New Roman"/>
        </w:rPr>
        <w:t>03 </w:t>
      </w:r>
      <w:r>
        <w:rPr/>
        <w:t>室</w:t>
      </w:r>
      <w:r>
        <w:rPr>
          <w:spacing w:val="-3"/>
        </w:rPr>
        <w:t>法定代表人：胡燕亮</w:t>
      </w:r>
    </w:p>
    <w:p>
      <w:pPr>
        <w:pStyle w:val="BodyText"/>
        <w:spacing w:line="417" w:lineRule="auto"/>
        <w:ind w:left="960" w:right="634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ind w:left="960"/>
      </w:pPr>
      <w:r>
        <w:rPr/>
        <w:t>联系人：李娟</w:t>
      </w:r>
    </w:p>
    <w:p>
      <w:pPr>
        <w:pStyle w:val="BodyText"/>
        <w:spacing w:before="6"/>
        <w:rPr>
          <w:sz w:val="15"/>
        </w:rPr>
      </w:pPr>
    </w:p>
    <w:p>
      <w:pPr>
        <w:pStyle w:val="BodyText"/>
        <w:ind w:left="960"/>
        <w:rPr>
          <w:rFonts w:ascii="Times New Roman" w:eastAsia="Times New Roman"/>
        </w:rPr>
      </w:pPr>
      <w:r>
        <w:rPr/>
        <w:t>网址：</w:t>
      </w:r>
      <w:hyperlink r:id="rId26">
        <w:r>
          <w:rPr>
            <w:rFonts w:ascii="Times New Roman" w:eastAsia="Times New Roman"/>
          </w:rPr>
          <w:t>www.wacaijijin.com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021-50810673</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喜鹊财富基金销售有限公司</w:t>
      </w:r>
    </w:p>
    <w:p>
      <w:pPr>
        <w:pStyle w:val="BodyText"/>
        <w:spacing w:before="7"/>
        <w:rPr>
          <w:sz w:val="15"/>
        </w:rPr>
      </w:pPr>
    </w:p>
    <w:p>
      <w:pPr>
        <w:pStyle w:val="BodyText"/>
        <w:ind w:left="960"/>
      </w:pPr>
      <w:r>
        <w:rPr/>
        <w:t>住所：西藏拉萨市柳梧新区柳梧大厦 </w:t>
      </w:r>
      <w:r>
        <w:rPr>
          <w:rFonts w:ascii="Times New Roman" w:eastAsia="Times New Roman"/>
        </w:rPr>
        <w:t>1513 </w:t>
      </w:r>
      <w:r>
        <w:rPr/>
        <w:t>室</w:t>
      </w:r>
    </w:p>
    <w:p>
      <w:pPr>
        <w:pStyle w:val="BodyText"/>
        <w:spacing w:before="7"/>
        <w:rPr>
          <w:sz w:val="15"/>
        </w:rPr>
      </w:pPr>
    </w:p>
    <w:p>
      <w:pPr>
        <w:pStyle w:val="BodyText"/>
        <w:spacing w:line="417" w:lineRule="auto"/>
        <w:ind w:left="960" w:right="3622"/>
      </w:pPr>
      <w:r>
        <w:rPr/>
        <w:t>办公地址：西藏拉萨市柳梧新区柳梧大厦 </w:t>
      </w:r>
      <w:r>
        <w:rPr>
          <w:rFonts w:ascii="Times New Roman" w:eastAsia="Times New Roman"/>
        </w:rPr>
        <w:t>1513 </w:t>
      </w:r>
      <w:r>
        <w:rPr/>
        <w:t>室法定代表人：陈皓</w:t>
      </w:r>
    </w:p>
    <w:p>
      <w:pPr>
        <w:pStyle w:val="BodyText"/>
        <w:spacing w:line="417" w:lineRule="auto"/>
        <w:ind w:left="960" w:right="513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960"/>
      </w:pPr>
      <w:r>
        <w:rPr/>
        <w:t>联系人：张萌</w:t>
      </w:r>
    </w:p>
    <w:p>
      <w:pPr>
        <w:pStyle w:val="BodyText"/>
        <w:spacing w:before="6"/>
        <w:rPr>
          <w:sz w:val="15"/>
        </w:rPr>
      </w:pPr>
    </w:p>
    <w:p>
      <w:pPr>
        <w:pStyle w:val="BodyText"/>
        <w:spacing w:before="1"/>
        <w:ind w:left="960"/>
        <w:rPr>
          <w:rFonts w:ascii="Times New Roman" w:eastAsia="Times New Roman"/>
        </w:rPr>
      </w:pPr>
      <w:r>
        <w:rPr/>
        <w:t>网址：</w:t>
      </w:r>
      <w:hyperlink r:id="rId27">
        <w:r>
          <w:rPr>
            <w:rFonts w:ascii="Times New Roman" w:eastAsia="Times New Roman"/>
          </w:rPr>
          <w:t>www.xiquefund.com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400-699-7719</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腾安基金销售</w:t>
      </w:r>
      <w:r>
        <w:rPr>
          <w:sz w:val="21"/>
        </w:rPr>
        <w:t>（</w:t>
      </w:r>
      <w:r>
        <w:rPr>
          <w:spacing w:val="-2"/>
          <w:sz w:val="21"/>
        </w:rPr>
        <w:t>深圳</w:t>
      </w:r>
      <w:r>
        <w:rPr>
          <w:sz w:val="21"/>
        </w:rPr>
        <w:t>）</w:t>
      </w:r>
      <w:r>
        <w:rPr>
          <w:spacing w:val="-3"/>
          <w:sz w:val="21"/>
        </w:rPr>
        <w:t>有限公司</w:t>
      </w:r>
    </w:p>
    <w:p>
      <w:pPr>
        <w:pStyle w:val="BodyText"/>
        <w:spacing w:before="7"/>
        <w:rPr>
          <w:sz w:val="15"/>
        </w:rPr>
      </w:pPr>
    </w:p>
    <w:p>
      <w:pPr>
        <w:pStyle w:val="BodyText"/>
        <w:spacing w:line="417" w:lineRule="auto"/>
        <w:ind w:left="540" w:right="320" w:firstLine="419"/>
      </w:pPr>
      <w:r>
        <w:rPr/>
        <w:t>住所：深圳市前海深港合作区前湾一路 </w:t>
      </w:r>
      <w:r>
        <w:rPr>
          <w:rFonts w:ascii="Times New Roman" w:eastAsia="Times New Roman"/>
        </w:rPr>
        <w:t>1 </w:t>
      </w:r>
      <w:r>
        <w:rPr/>
        <w:t>号</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17" w:lineRule="auto"/>
        <w:ind w:left="960" w:right="2740"/>
      </w:pPr>
      <w:r>
        <w:rPr>
          <w:spacing w:val="-6"/>
        </w:rPr>
        <w:t>办公地址：深圳市南山区天海二路 </w:t>
      </w:r>
      <w:r>
        <w:rPr>
          <w:rFonts w:ascii="Times New Roman" w:eastAsia="Times New Roman"/>
        </w:rPr>
        <w:t>33 </w:t>
      </w:r>
      <w:r>
        <w:rPr>
          <w:spacing w:val="-9"/>
        </w:rPr>
        <w:t>号腾讯海滨大厦 </w:t>
      </w:r>
      <w:r>
        <w:rPr>
          <w:rFonts w:ascii="Times New Roman" w:eastAsia="Times New Roman"/>
        </w:rPr>
        <w:t>15 </w:t>
      </w:r>
      <w:r>
        <w:rPr/>
        <w:t>楼</w:t>
      </w:r>
      <w:r>
        <w:rPr>
          <w:spacing w:val="-3"/>
        </w:rPr>
        <w:t>法定代表人：刘明军</w:t>
      </w:r>
    </w:p>
    <w:p>
      <w:pPr>
        <w:pStyle w:val="BodyText"/>
        <w:spacing w:line="269" w:lineRule="exact"/>
        <w:ind w:left="960"/>
        <w:rPr>
          <w:rFonts w:ascii="Times New Roman" w:eastAsia="Times New Roman"/>
        </w:rPr>
      </w:pPr>
      <w:r>
        <w:rPr/>
        <w:t>电话：</w:t>
      </w:r>
      <w:r>
        <w:rPr>
          <w:rFonts w:ascii="Times New Roman" w:eastAsia="Times New Roman"/>
        </w:rPr>
        <w:t>0755-86013388 </w:t>
      </w:r>
      <w:r>
        <w:rPr/>
        <w:t>转 </w:t>
      </w:r>
      <w:r>
        <w:rPr>
          <w:rFonts w:ascii="Times New Roman" w:eastAsia="Times New Roman"/>
        </w:rPr>
        <w:t>80618</w:t>
      </w:r>
    </w:p>
    <w:p>
      <w:pPr>
        <w:pStyle w:val="BodyText"/>
        <w:spacing w:before="4"/>
        <w:rPr>
          <w:rFonts w:ascii="Times New Roman"/>
          <w:sz w:val="17"/>
        </w:rPr>
      </w:pPr>
    </w:p>
    <w:p>
      <w:pPr>
        <w:pStyle w:val="BodyText"/>
        <w:ind w:left="960"/>
      </w:pPr>
      <w:r>
        <w:rPr/>
        <w:t>联系人：谭广锋</w:t>
      </w:r>
    </w:p>
    <w:p>
      <w:pPr>
        <w:pStyle w:val="BodyText"/>
        <w:spacing w:before="6"/>
        <w:rPr>
          <w:sz w:val="15"/>
        </w:rPr>
      </w:pPr>
    </w:p>
    <w:p>
      <w:pPr>
        <w:pStyle w:val="BodyText"/>
        <w:spacing w:line="417" w:lineRule="auto" w:before="1"/>
        <w:ind w:left="960" w:right="5630"/>
        <w:rPr>
          <w:rFonts w:ascii="Times New Roman" w:eastAsia="Times New Roman"/>
        </w:rPr>
      </w:pPr>
      <w:r>
        <w:rPr/>
        <w:t>网址：</w:t>
      </w:r>
      <w:hyperlink r:id="rId28">
        <w:r>
          <w:rPr>
            <w:rFonts w:ascii="Times New Roman" w:eastAsia="Times New Roman"/>
          </w:rPr>
          <w:t>www.tenganxinxi.com </w:t>
        </w:r>
      </w:hyperlink>
      <w:r>
        <w:rPr/>
        <w:t>客户服务电话：</w:t>
      </w:r>
      <w:r>
        <w:rPr>
          <w:rFonts w:ascii="Times New Roman" w:eastAsia="Times New Roman"/>
        </w:rPr>
        <w:t>95017</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北京度小满基金销售有限公司</w:t>
      </w:r>
    </w:p>
    <w:p>
      <w:pPr>
        <w:pStyle w:val="BodyText"/>
        <w:spacing w:before="6"/>
        <w:rPr>
          <w:sz w:val="15"/>
        </w:rPr>
      </w:pPr>
    </w:p>
    <w:p>
      <w:pPr>
        <w:pStyle w:val="BodyText"/>
        <w:ind w:left="960"/>
      </w:pPr>
      <w:r>
        <w:rPr/>
        <w:t>住所：北京市海淀区西北旺东路 </w:t>
      </w:r>
      <w:r>
        <w:rPr>
          <w:rFonts w:ascii="Times New Roman" w:eastAsia="Times New Roman"/>
        </w:rPr>
        <w:t>10 </w:t>
      </w:r>
      <w:r>
        <w:rPr/>
        <w:t>号院西区 </w:t>
      </w:r>
      <w:r>
        <w:rPr>
          <w:rFonts w:ascii="Times New Roman" w:eastAsia="Times New Roman"/>
        </w:rPr>
        <w:t>4 </w:t>
      </w:r>
      <w:r>
        <w:rPr/>
        <w:t>号楼 </w:t>
      </w:r>
      <w:r>
        <w:rPr>
          <w:rFonts w:ascii="Times New Roman" w:eastAsia="Times New Roman"/>
        </w:rPr>
        <w:t>1 </w:t>
      </w:r>
      <w:r>
        <w:rPr/>
        <w:t>层 </w:t>
      </w:r>
      <w:r>
        <w:rPr>
          <w:rFonts w:ascii="Times New Roman" w:eastAsia="Times New Roman"/>
        </w:rPr>
        <w:t>103 </w:t>
      </w:r>
      <w:r>
        <w:rPr/>
        <w:t>室</w:t>
      </w:r>
    </w:p>
    <w:p>
      <w:pPr>
        <w:spacing w:after="0"/>
        <w:sectPr>
          <w:pgSz w:w="11910" w:h="16840"/>
          <w:pgMar w:header="877" w:footer="0" w:top="1420" w:bottom="280" w:left="1260" w:right="1480"/>
        </w:sectPr>
      </w:pPr>
    </w:p>
    <w:p>
      <w:pPr>
        <w:pStyle w:val="BodyText"/>
        <w:spacing w:line="417" w:lineRule="auto" w:before="110"/>
        <w:ind w:left="960" w:right="3055"/>
      </w:pPr>
      <w:r>
        <w:rPr>
          <w:spacing w:val="-6"/>
        </w:rPr>
        <w:t>办公地址：北京市海淀区西北旺东路 </w:t>
      </w:r>
      <w:r>
        <w:rPr>
          <w:rFonts w:ascii="Times New Roman" w:eastAsia="Times New Roman"/>
        </w:rPr>
        <w:t>10 </w:t>
      </w:r>
      <w:r>
        <w:rPr>
          <w:spacing w:val="-12"/>
        </w:rPr>
        <w:t>号院西区 </w:t>
      </w:r>
      <w:r>
        <w:rPr>
          <w:rFonts w:ascii="Times New Roman" w:eastAsia="Times New Roman"/>
        </w:rPr>
        <w:t>4 </w:t>
      </w:r>
      <w:r>
        <w:rPr/>
        <w:t>号楼</w:t>
      </w:r>
      <w:r>
        <w:rPr>
          <w:spacing w:val="-3"/>
        </w:rPr>
        <w:t>法定代表人：葛新</w:t>
      </w:r>
    </w:p>
    <w:p>
      <w:pPr>
        <w:pStyle w:val="BodyText"/>
        <w:spacing w:line="417" w:lineRule="auto"/>
        <w:ind w:left="960" w:right="6346"/>
        <w:rPr>
          <w:rFonts w:ascii="Times New Roman" w:eastAsia="Times New Roman"/>
        </w:rPr>
      </w:pPr>
      <w:r>
        <w:rPr/>
        <w:t>电话：</w:t>
      </w:r>
      <w:r>
        <w:rPr>
          <w:rFonts w:ascii="Times New Roman" w:eastAsia="Times New Roman"/>
        </w:rPr>
        <w:t>010-59403028 </w:t>
      </w:r>
      <w:r>
        <w:rPr/>
        <w:t>传真：</w:t>
      </w:r>
      <w:r>
        <w:rPr>
          <w:rFonts w:ascii="Times New Roman" w:eastAsia="Times New Roman"/>
        </w:rPr>
        <w:t>010-59403027</w:t>
      </w:r>
    </w:p>
    <w:p>
      <w:pPr>
        <w:pStyle w:val="BodyText"/>
        <w:spacing w:line="269" w:lineRule="exact"/>
        <w:ind w:left="960"/>
      </w:pPr>
      <w:r>
        <w:rPr/>
        <w:t>联系人：孙博超</w:t>
      </w:r>
    </w:p>
    <w:p>
      <w:pPr>
        <w:pStyle w:val="BodyText"/>
        <w:spacing w:before="6"/>
        <w:rPr>
          <w:sz w:val="15"/>
        </w:rPr>
      </w:pPr>
    </w:p>
    <w:p>
      <w:pPr>
        <w:pStyle w:val="BodyText"/>
        <w:spacing w:line="417" w:lineRule="auto"/>
        <w:ind w:left="960" w:right="5606"/>
        <w:rPr>
          <w:rFonts w:ascii="Times New Roman" w:eastAsia="Times New Roman"/>
        </w:rPr>
      </w:pPr>
      <w:r>
        <w:rPr/>
        <w:t>网址：</w:t>
      </w:r>
      <w:hyperlink r:id="rId29">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诺亚正行基金销售有限公司</w:t>
      </w:r>
    </w:p>
    <w:p>
      <w:pPr>
        <w:pStyle w:val="BodyText"/>
        <w:spacing w:before="7"/>
        <w:rPr>
          <w:sz w:val="15"/>
        </w:rPr>
      </w:pPr>
    </w:p>
    <w:p>
      <w:pPr>
        <w:pStyle w:val="BodyText"/>
        <w:ind w:left="960"/>
      </w:pPr>
      <w:r>
        <w:rPr/>
        <w:t>住所：上海市虹口区飞虹路 </w:t>
      </w:r>
      <w:r>
        <w:rPr>
          <w:rFonts w:ascii="Times New Roman" w:eastAsia="Times New Roman"/>
        </w:rPr>
        <w:t>360 </w:t>
      </w:r>
      <w:r>
        <w:rPr/>
        <w:t>弄 </w:t>
      </w:r>
      <w:r>
        <w:rPr>
          <w:rFonts w:ascii="Times New Roman" w:eastAsia="Times New Roman"/>
        </w:rPr>
        <w:t>9 </w:t>
      </w:r>
      <w:r>
        <w:rPr/>
        <w:t>号 </w:t>
      </w:r>
      <w:r>
        <w:rPr>
          <w:rFonts w:ascii="Times New Roman" w:eastAsia="Times New Roman"/>
        </w:rPr>
        <w:t>3724 </w:t>
      </w:r>
      <w:r>
        <w:rPr/>
        <w:t>室</w:t>
      </w:r>
    </w:p>
    <w:p>
      <w:pPr>
        <w:pStyle w:val="BodyText"/>
        <w:spacing w:before="7"/>
        <w:rPr>
          <w:sz w:val="15"/>
        </w:rPr>
      </w:pPr>
    </w:p>
    <w:p>
      <w:pPr>
        <w:pStyle w:val="BodyText"/>
        <w:spacing w:line="417" w:lineRule="auto"/>
        <w:ind w:left="960" w:right="2748"/>
      </w:pPr>
      <w:r>
        <w:rPr/>
        <w:t>办公地址：上海市杨浦区昆明路 </w:t>
      </w:r>
      <w:r>
        <w:rPr>
          <w:rFonts w:ascii="Times New Roman" w:eastAsia="Times New Roman"/>
        </w:rPr>
        <w:t>508 </w:t>
      </w:r>
      <w:r>
        <w:rPr/>
        <w:t>号北美广场</w:t>
      </w:r>
      <w:r>
        <w:rPr>
          <w:rFonts w:ascii="Times New Roman" w:eastAsia="Times New Roman"/>
        </w:rPr>
        <w:t>B </w:t>
      </w:r>
      <w:r>
        <w:rPr/>
        <w:t>座 </w:t>
      </w:r>
      <w:r>
        <w:rPr>
          <w:rFonts w:ascii="Times New Roman" w:eastAsia="Times New Roman"/>
        </w:rPr>
        <w:t>12 </w:t>
      </w:r>
      <w:r>
        <w:rPr/>
        <w:t>楼法定代表人：汪静波</w:t>
      </w:r>
    </w:p>
    <w:p>
      <w:pPr>
        <w:pStyle w:val="BodyText"/>
        <w:spacing w:line="417" w:lineRule="auto"/>
        <w:ind w:left="960" w:right="634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9" w:lineRule="exact"/>
        <w:ind w:left="960"/>
      </w:pPr>
      <w:r>
        <w:rPr/>
        <w:t>联系人：张裕</w:t>
      </w:r>
    </w:p>
    <w:p>
      <w:pPr>
        <w:pStyle w:val="BodyText"/>
        <w:spacing w:before="6"/>
        <w:rPr>
          <w:sz w:val="15"/>
        </w:rPr>
      </w:pPr>
    </w:p>
    <w:p>
      <w:pPr>
        <w:pStyle w:val="BodyText"/>
        <w:spacing w:line="417" w:lineRule="auto" w:before="1"/>
        <w:ind w:left="960" w:right="5541"/>
        <w:rPr>
          <w:rFonts w:ascii="Times New Roman" w:eastAsia="Times New Roman"/>
        </w:rPr>
      </w:pPr>
      <w:r>
        <w:rPr/>
        <w:t>网址：</w:t>
      </w:r>
      <w:hyperlink r:id="rId30">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深圳众禄基金销售股份有限公司</w:t>
      </w:r>
    </w:p>
    <w:p>
      <w:pPr>
        <w:pStyle w:val="BodyText"/>
        <w:spacing w:before="6"/>
        <w:rPr>
          <w:sz w:val="15"/>
        </w:rPr>
      </w:pPr>
    </w:p>
    <w:p>
      <w:pPr>
        <w:pStyle w:val="BodyText"/>
        <w:ind w:left="960"/>
        <w:rPr>
          <w:rFonts w:ascii="Times New Roman" w:eastAsia="Times New Roman"/>
        </w:rPr>
      </w:pPr>
      <w:r>
        <w:rPr/>
        <w:t>住所：深圳市罗湖区梨园路物资控股置地大厦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4"/>
        <w:rPr>
          <w:rFonts w:ascii="Times New Roman"/>
          <w:sz w:val="17"/>
        </w:rPr>
      </w:pPr>
    </w:p>
    <w:p>
      <w:pPr>
        <w:pStyle w:val="BodyText"/>
        <w:ind w:left="960"/>
        <w:rPr>
          <w:rFonts w:ascii="Times New Roman" w:eastAsia="Times New Roman"/>
        </w:rPr>
      </w:pPr>
      <w:r>
        <w:rPr/>
        <w:t>办公地址：深圳市罗湖区梨园路物资控股置地大厦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3"/>
        <w:rPr>
          <w:rFonts w:ascii="Times New Roman"/>
          <w:sz w:val="17"/>
        </w:rPr>
      </w:pPr>
    </w:p>
    <w:p>
      <w:pPr>
        <w:pStyle w:val="BodyText"/>
        <w:spacing w:line="417" w:lineRule="auto"/>
        <w:ind w:left="960" w:right="6178"/>
        <w:rPr>
          <w:rFonts w:ascii="Times New Roman" w:eastAsia="Times New Roman"/>
        </w:rPr>
      </w:pPr>
      <w:r>
        <w:rPr/>
        <w:t>法定代表人：薛峰 电话：</w:t>
      </w:r>
      <w:r>
        <w:rPr>
          <w:rFonts w:ascii="Times New Roman" w:eastAsia="Times New Roman"/>
        </w:rPr>
        <w:t>0755-33227950 </w:t>
      </w:r>
      <w:r>
        <w:rPr/>
        <w:t>传真：</w:t>
      </w:r>
      <w:r>
        <w:rPr>
          <w:rFonts w:ascii="Times New Roman" w:eastAsia="Times New Roman"/>
        </w:rPr>
        <w:t>0755-33227951</w:t>
      </w:r>
    </w:p>
    <w:p>
      <w:pPr>
        <w:pStyle w:val="BodyText"/>
        <w:ind w:left="960"/>
      </w:pPr>
      <w:r>
        <w:rPr/>
        <w:t>联系人：童彩平</w:t>
      </w:r>
    </w:p>
    <w:p>
      <w:pPr>
        <w:pStyle w:val="BodyText"/>
        <w:spacing w:before="7"/>
        <w:rPr>
          <w:sz w:val="15"/>
        </w:rPr>
      </w:pPr>
    </w:p>
    <w:p>
      <w:pPr>
        <w:pStyle w:val="BodyText"/>
        <w:ind w:left="960"/>
        <w:rPr>
          <w:rFonts w:ascii="Times New Roman" w:eastAsia="Times New Roman"/>
        </w:rPr>
      </w:pPr>
      <w:r>
        <w:rPr/>
        <w:t>网址：</w:t>
      </w:r>
      <w:hyperlink r:id="rId31">
        <w:r>
          <w:rPr>
            <w:rFonts w:ascii="Times New Roman" w:eastAsia="Times New Roman"/>
          </w:rPr>
          <w:t>www.zlfund.cn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4006-788-887</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上海天天基金销售有限公司</w:t>
      </w:r>
    </w:p>
    <w:p>
      <w:pPr>
        <w:pStyle w:val="BodyText"/>
        <w:spacing w:before="7"/>
        <w:rPr>
          <w:sz w:val="15"/>
        </w:rPr>
      </w:pPr>
    </w:p>
    <w:p>
      <w:pPr>
        <w:pStyle w:val="BodyText"/>
        <w:ind w:left="960"/>
      </w:pPr>
      <w:r>
        <w:rPr/>
        <w:t>住所：上海市徐汇区龙田路 </w:t>
      </w:r>
      <w:r>
        <w:rPr>
          <w:rFonts w:ascii="Times New Roman" w:eastAsia="Times New Roman"/>
        </w:rPr>
        <w:t>190 </w:t>
      </w:r>
      <w:r>
        <w:rPr/>
        <w:t>号 </w:t>
      </w:r>
      <w:r>
        <w:rPr>
          <w:rFonts w:ascii="Times New Roman" w:eastAsia="Times New Roman"/>
        </w:rPr>
        <w:t>2 </w:t>
      </w:r>
      <w:r>
        <w:rPr/>
        <w:t>号楼</w:t>
      </w:r>
    </w:p>
    <w:p>
      <w:pPr>
        <w:pStyle w:val="BodyText"/>
        <w:spacing w:before="6"/>
        <w:rPr>
          <w:sz w:val="15"/>
        </w:rPr>
      </w:pPr>
    </w:p>
    <w:p>
      <w:pPr>
        <w:pStyle w:val="BodyText"/>
        <w:spacing w:line="417" w:lineRule="auto" w:before="1"/>
        <w:ind w:left="960" w:right="2782"/>
      </w:pPr>
      <w:r>
        <w:rPr/>
        <w:t>办公地址：上海市徐汇区宛平南路 </w:t>
      </w:r>
      <w:r>
        <w:rPr>
          <w:rFonts w:ascii="Times New Roman" w:eastAsia="Times New Roman"/>
        </w:rPr>
        <w:t>88 </w:t>
      </w:r>
      <w:r>
        <w:rPr/>
        <w:t>号金座东方财富大厦法定代表人：其实</w:t>
      </w:r>
    </w:p>
    <w:p>
      <w:pPr>
        <w:pStyle w:val="BodyText"/>
        <w:ind w:left="960"/>
        <w:rPr>
          <w:rFonts w:ascii="Times New Roman" w:eastAsia="Times New Roman"/>
        </w:rPr>
      </w:pPr>
      <w:r>
        <w:rPr/>
        <w:t>电话：</w:t>
      </w:r>
      <w:r>
        <w:rPr>
          <w:rFonts w:ascii="Times New Roman" w:eastAsia="Times New Roman"/>
        </w:rPr>
        <w:t>95021</w:t>
      </w:r>
    </w:p>
    <w:p>
      <w:pPr>
        <w:spacing w:after="0"/>
        <w:rPr>
          <w:rFonts w:ascii="Times New Roman" w:eastAsia="Times New Roman"/>
        </w:rPr>
        <w:sectPr>
          <w:pgSz w:w="11910" w:h="16840"/>
          <w:pgMar w:header="877" w:footer="0" w:top="1420" w:bottom="280" w:left="1260" w:right="1480"/>
        </w:sectPr>
      </w:pPr>
    </w:p>
    <w:p>
      <w:pPr>
        <w:pStyle w:val="BodyText"/>
        <w:spacing w:before="110"/>
        <w:ind w:left="96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ind w:left="960"/>
      </w:pPr>
      <w:r>
        <w:rPr/>
        <w:t>联系人：屠彦洋</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32">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上海好买基金销售有限公司</w:t>
      </w:r>
    </w:p>
    <w:p>
      <w:pPr>
        <w:pStyle w:val="BodyText"/>
        <w:spacing w:before="6"/>
        <w:rPr>
          <w:sz w:val="15"/>
        </w:rPr>
      </w:pPr>
    </w:p>
    <w:p>
      <w:pPr>
        <w:pStyle w:val="BodyText"/>
        <w:spacing w:before="1"/>
        <w:ind w:left="960"/>
      </w:pPr>
      <w:r>
        <w:rPr/>
        <w:t>住所：上海市虹口区场中路 </w:t>
      </w:r>
      <w:r>
        <w:rPr>
          <w:rFonts w:ascii="Times New Roman" w:eastAsia="Times New Roman"/>
        </w:rPr>
        <w:t>685 </w:t>
      </w:r>
      <w:r>
        <w:rPr/>
        <w:t>弄 </w:t>
      </w:r>
      <w:r>
        <w:rPr>
          <w:rFonts w:ascii="Times New Roman" w:eastAsia="Times New Roman"/>
        </w:rPr>
        <w:t>37 </w:t>
      </w:r>
      <w:r>
        <w:rPr/>
        <w:t>号 </w:t>
      </w:r>
      <w:r>
        <w:rPr>
          <w:rFonts w:ascii="Times New Roman" w:eastAsia="Times New Roman"/>
        </w:rPr>
        <w:t>4 </w:t>
      </w:r>
      <w:r>
        <w:rPr/>
        <w:t>号楼 </w:t>
      </w:r>
      <w:r>
        <w:rPr>
          <w:rFonts w:ascii="Times New Roman" w:eastAsia="Times New Roman"/>
        </w:rPr>
        <w:t>449 </w:t>
      </w:r>
      <w:r>
        <w:rPr/>
        <w:t>室</w:t>
      </w:r>
    </w:p>
    <w:p>
      <w:pPr>
        <w:pStyle w:val="BodyText"/>
        <w:spacing w:before="6"/>
        <w:rPr>
          <w:sz w:val="15"/>
        </w:rPr>
      </w:pPr>
    </w:p>
    <w:p>
      <w:pPr>
        <w:pStyle w:val="BodyText"/>
        <w:spacing w:line="417" w:lineRule="auto"/>
        <w:ind w:left="960" w:right="1379"/>
      </w:pPr>
      <w:r>
        <w:rPr>
          <w:spacing w:val="-6"/>
        </w:rPr>
        <w:t>办公地址：上海市浦东新区浦东南路 </w:t>
      </w:r>
      <w:r>
        <w:rPr>
          <w:rFonts w:ascii="Times New Roman" w:eastAsia="Times New Roman"/>
          <w:spacing w:val="-5"/>
        </w:rPr>
        <w:t>1118 </w:t>
      </w:r>
      <w:r>
        <w:rPr>
          <w:spacing w:val="-8"/>
        </w:rPr>
        <w:t>号鄂尔多斯国际大厦 </w:t>
      </w:r>
      <w:r>
        <w:rPr>
          <w:rFonts w:ascii="Times New Roman" w:eastAsia="Times New Roman"/>
        </w:rPr>
        <w:t>903~906 </w:t>
      </w:r>
      <w:r>
        <w:rPr/>
        <w:t>室</w:t>
      </w:r>
      <w:r>
        <w:rPr>
          <w:spacing w:val="-3"/>
        </w:rPr>
        <w:t>法定代表人：杨文斌</w:t>
      </w:r>
    </w:p>
    <w:p>
      <w:pPr>
        <w:pStyle w:val="BodyText"/>
        <w:spacing w:line="417" w:lineRule="auto" w:before="1"/>
        <w:ind w:left="960" w:right="634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960"/>
      </w:pPr>
      <w:r>
        <w:rPr/>
        <w:t>联系人：周天雪</w:t>
      </w:r>
    </w:p>
    <w:p>
      <w:pPr>
        <w:pStyle w:val="BodyText"/>
        <w:spacing w:before="6"/>
        <w:rPr>
          <w:sz w:val="15"/>
        </w:rPr>
      </w:pPr>
    </w:p>
    <w:p>
      <w:pPr>
        <w:pStyle w:val="BodyText"/>
        <w:ind w:left="960"/>
        <w:rPr>
          <w:rFonts w:ascii="Times New Roman" w:eastAsia="Times New Roman"/>
        </w:rPr>
      </w:pPr>
      <w:r>
        <w:rPr/>
        <w:t>网址：</w:t>
      </w:r>
      <w:hyperlink r:id="rId33">
        <w:r>
          <w:rPr>
            <w:rFonts w:ascii="Times New Roman" w:eastAsia="Times New Roman"/>
          </w:rPr>
          <w:t>www.ehowbuy.com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rPr>
          <w:sz w:val="15"/>
        </w:rPr>
      </w:pPr>
    </w:p>
    <w:p>
      <w:pPr>
        <w:pStyle w:val="BodyText"/>
        <w:spacing w:line="417" w:lineRule="auto"/>
        <w:ind w:left="960" w:right="1898"/>
      </w:pPr>
      <w:r>
        <w:rPr>
          <w:spacing w:val="-6"/>
        </w:rPr>
        <w:t>住所：浙江省杭州市余杭区五常街道文一西路 </w:t>
      </w:r>
      <w:r>
        <w:rPr>
          <w:rFonts w:ascii="Times New Roman" w:eastAsia="Times New Roman"/>
        </w:rPr>
        <w:t>969 </w:t>
      </w:r>
      <w:r>
        <w:rPr>
          <w:spacing w:val="-25"/>
        </w:rPr>
        <w:t>号 </w:t>
      </w:r>
      <w:r>
        <w:rPr>
          <w:rFonts w:ascii="Times New Roman" w:eastAsia="Times New Roman"/>
        </w:rPr>
        <w:t>3 </w:t>
      </w:r>
      <w:r>
        <w:rPr>
          <w:spacing w:val="-25"/>
        </w:rPr>
        <w:t>幢 </w:t>
      </w:r>
      <w:r>
        <w:rPr>
          <w:rFonts w:ascii="Times New Roman" w:eastAsia="Times New Roman"/>
        </w:rPr>
        <w:t>5 </w:t>
      </w:r>
      <w:r>
        <w:rPr>
          <w:spacing w:val="-25"/>
        </w:rPr>
        <w:t>层 </w:t>
      </w:r>
      <w:r>
        <w:rPr>
          <w:rFonts w:ascii="Times New Roman" w:eastAsia="Times New Roman"/>
        </w:rPr>
        <w:t>599 </w:t>
      </w:r>
      <w:r>
        <w:rPr/>
        <w:t>室</w:t>
      </w:r>
      <w:r>
        <w:rPr>
          <w:spacing w:val="-6"/>
        </w:rPr>
        <w:t>办公地址：浙江省杭州市西湖区万塘路 </w:t>
      </w:r>
      <w:r>
        <w:rPr>
          <w:rFonts w:ascii="Times New Roman" w:eastAsia="Times New Roman"/>
        </w:rPr>
        <w:t>18 </w:t>
      </w:r>
      <w:r>
        <w:rPr>
          <w:spacing w:val="-8"/>
        </w:rPr>
        <w:t>号黄龙时代广场 </w:t>
      </w:r>
      <w:r>
        <w:rPr>
          <w:rFonts w:ascii="Times New Roman" w:eastAsia="Times New Roman"/>
        </w:rPr>
        <w:t>B </w:t>
      </w:r>
      <w:r>
        <w:rPr>
          <w:spacing w:val="-21"/>
        </w:rPr>
        <w:t>座 </w:t>
      </w:r>
      <w:r>
        <w:rPr>
          <w:rFonts w:ascii="Times New Roman" w:eastAsia="Times New Roman"/>
        </w:rPr>
        <w:t>6F </w:t>
      </w:r>
      <w:r>
        <w:rPr>
          <w:spacing w:val="-3"/>
        </w:rPr>
        <w:t>法定代表人：祖国明</w:t>
      </w:r>
    </w:p>
    <w:p>
      <w:pPr>
        <w:pStyle w:val="BodyText"/>
        <w:spacing w:line="269" w:lineRule="exact"/>
        <w:ind w:left="960"/>
        <w:rPr>
          <w:rFonts w:ascii="Times New Roman" w:eastAsia="Times New Roman"/>
        </w:rPr>
      </w:pPr>
      <w:r>
        <w:rPr/>
        <w:t>电话：</w:t>
      </w:r>
      <w:r>
        <w:rPr>
          <w:rFonts w:ascii="Times New Roman" w:eastAsia="Times New Roman"/>
        </w:rPr>
        <w:t>18205712248</w:t>
      </w:r>
    </w:p>
    <w:p>
      <w:pPr>
        <w:pStyle w:val="BodyText"/>
        <w:spacing w:before="4"/>
        <w:rPr>
          <w:rFonts w:ascii="Times New Roman"/>
          <w:sz w:val="17"/>
        </w:rPr>
      </w:pPr>
    </w:p>
    <w:p>
      <w:pPr>
        <w:pStyle w:val="BodyText"/>
        <w:ind w:left="960"/>
      </w:pPr>
      <w:r>
        <w:rPr/>
        <w:t>联系人：韩爱斌</w:t>
      </w:r>
    </w:p>
    <w:p>
      <w:pPr>
        <w:pStyle w:val="BodyText"/>
        <w:spacing w:before="6"/>
        <w:rPr>
          <w:sz w:val="15"/>
        </w:rPr>
      </w:pPr>
    </w:p>
    <w:p>
      <w:pPr>
        <w:pStyle w:val="BodyText"/>
        <w:spacing w:before="1"/>
        <w:ind w:left="960"/>
        <w:rPr>
          <w:rFonts w:ascii="Times New Roman" w:eastAsia="Times New Roman"/>
        </w:rPr>
      </w:pPr>
      <w:r>
        <w:rPr/>
        <w:t>网址：</w:t>
      </w:r>
      <w:hyperlink r:id="rId34">
        <w:r>
          <w:rPr>
            <w:rFonts w:ascii="Times New Roman" w:eastAsia="Times New Roman"/>
          </w:rPr>
          <w:t>www.fund123.cn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4000-766-123</w:t>
      </w:r>
    </w:p>
    <w:p>
      <w:pPr>
        <w:pStyle w:val="BodyText"/>
        <w:spacing w:before="4"/>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上海长量基金销售有限公司</w:t>
      </w:r>
    </w:p>
    <w:p>
      <w:pPr>
        <w:pStyle w:val="BodyText"/>
        <w:spacing w:before="7"/>
        <w:rPr>
          <w:sz w:val="15"/>
        </w:rPr>
      </w:pPr>
    </w:p>
    <w:p>
      <w:pPr>
        <w:pStyle w:val="BodyText"/>
        <w:ind w:left="960"/>
      </w:pPr>
      <w:r>
        <w:rPr/>
        <w:t>住所：上海市浦东新区高翔路 </w:t>
      </w:r>
      <w:r>
        <w:rPr>
          <w:rFonts w:ascii="Times New Roman" w:eastAsia="Times New Roman"/>
        </w:rPr>
        <w:t>526 </w:t>
      </w:r>
      <w:r>
        <w:rPr/>
        <w:t>号 </w:t>
      </w:r>
      <w:r>
        <w:rPr>
          <w:rFonts w:ascii="Times New Roman" w:eastAsia="Times New Roman"/>
        </w:rPr>
        <w:t>2 </w:t>
      </w:r>
      <w:r>
        <w:rPr/>
        <w:t>幢 </w:t>
      </w:r>
      <w:r>
        <w:rPr>
          <w:rFonts w:ascii="Times New Roman" w:eastAsia="Times New Roman"/>
        </w:rPr>
        <w:t>220 </w:t>
      </w:r>
      <w:r>
        <w:rPr/>
        <w:t>室</w:t>
      </w:r>
    </w:p>
    <w:p>
      <w:pPr>
        <w:pStyle w:val="BodyText"/>
        <w:spacing w:before="6"/>
        <w:rPr>
          <w:sz w:val="15"/>
        </w:rPr>
      </w:pPr>
    </w:p>
    <w:p>
      <w:pPr>
        <w:pStyle w:val="BodyText"/>
        <w:spacing w:line="417" w:lineRule="auto" w:before="1"/>
        <w:ind w:left="960" w:right="2387"/>
      </w:pPr>
      <w:r>
        <w:rPr>
          <w:spacing w:val="-6"/>
        </w:rPr>
        <w:t>办公地址：上海市浦东新区浦东大道 </w:t>
      </w:r>
      <w:r>
        <w:rPr>
          <w:rFonts w:ascii="Times New Roman" w:eastAsia="Times New Roman"/>
        </w:rPr>
        <w:t>555 </w:t>
      </w:r>
      <w:r>
        <w:rPr>
          <w:spacing w:val="-11"/>
        </w:rPr>
        <w:t>号裕景国际 </w:t>
      </w:r>
      <w:r>
        <w:rPr>
          <w:rFonts w:ascii="Times New Roman" w:eastAsia="Times New Roman"/>
        </w:rPr>
        <w:t>B </w:t>
      </w:r>
      <w:r>
        <w:rPr>
          <w:spacing w:val="-24"/>
        </w:rPr>
        <w:t>座 </w:t>
      </w:r>
      <w:r>
        <w:rPr>
          <w:rFonts w:ascii="Times New Roman" w:eastAsia="Times New Roman"/>
        </w:rPr>
        <w:t>16 </w:t>
      </w:r>
      <w:r>
        <w:rPr/>
        <w:t>层</w:t>
      </w:r>
      <w:r>
        <w:rPr>
          <w:spacing w:val="-3"/>
        </w:rPr>
        <w:t>法定代表人：张跃伟</w:t>
      </w:r>
    </w:p>
    <w:p>
      <w:pPr>
        <w:pStyle w:val="BodyText"/>
        <w:spacing w:line="417" w:lineRule="auto"/>
        <w:ind w:left="960" w:right="634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spacing w:line="269" w:lineRule="exact"/>
        <w:ind w:left="960"/>
      </w:pPr>
      <w:r>
        <w:rPr/>
        <w:t>联系人：黄辉</w:t>
      </w:r>
    </w:p>
    <w:p>
      <w:pPr>
        <w:pStyle w:val="BodyText"/>
        <w:spacing w:before="6"/>
        <w:rPr>
          <w:sz w:val="15"/>
        </w:rPr>
      </w:pPr>
    </w:p>
    <w:p>
      <w:pPr>
        <w:pStyle w:val="BodyText"/>
        <w:spacing w:before="1"/>
        <w:ind w:left="960"/>
        <w:rPr>
          <w:rFonts w:ascii="Times New Roman" w:eastAsia="Times New Roman"/>
        </w:rPr>
      </w:pPr>
      <w:r>
        <w:rPr/>
        <w:t>网址：</w:t>
      </w:r>
      <w:hyperlink r:id="rId35">
        <w:r>
          <w:rPr>
            <w:rFonts w:ascii="Times New Roman" w:eastAsia="Times New Roman"/>
          </w:rPr>
          <w:t>www.erichfund.com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400-820-2899</w:t>
      </w:r>
    </w:p>
    <w:p>
      <w:pPr>
        <w:spacing w:after="0"/>
        <w:rPr>
          <w:rFonts w:ascii="Times New Roman" w:eastAsia="Times New Roman"/>
        </w:rPr>
        <w:sectPr>
          <w:pgSz w:w="11910" w:h="16840"/>
          <w:pgMar w:header="877" w:footer="0" w:top="1420" w:bottom="280" w:left="1260" w:right="1480"/>
        </w:sectPr>
      </w:pPr>
    </w:p>
    <w:p>
      <w:pPr>
        <w:pStyle w:val="ListParagraph"/>
        <w:numPr>
          <w:ilvl w:val="0"/>
          <w:numId w:val="9"/>
        </w:numPr>
        <w:tabs>
          <w:tab w:pos="1595" w:val="left" w:leader="none"/>
        </w:tabs>
        <w:spacing w:line="240" w:lineRule="auto" w:before="110" w:after="0"/>
        <w:ind w:left="1595" w:right="0" w:hanging="635"/>
        <w:jc w:val="left"/>
        <w:rPr>
          <w:sz w:val="21"/>
        </w:rPr>
      </w:pPr>
      <w:r>
        <w:rPr>
          <w:spacing w:val="-3"/>
          <w:sz w:val="21"/>
        </w:rPr>
        <w:t>浙江同花顺基金销售有限公司</w:t>
      </w:r>
    </w:p>
    <w:p>
      <w:pPr>
        <w:pStyle w:val="BodyText"/>
        <w:spacing w:before="6"/>
        <w:rPr>
          <w:sz w:val="15"/>
        </w:rPr>
      </w:pPr>
    </w:p>
    <w:p>
      <w:pPr>
        <w:pStyle w:val="BodyText"/>
        <w:ind w:left="960"/>
      </w:pPr>
      <w:r>
        <w:rPr/>
        <w:t>住所：浙江省杭州市文二西路一号元茂大厦 </w:t>
      </w:r>
      <w:r>
        <w:rPr>
          <w:rFonts w:ascii="Times New Roman" w:eastAsia="Times New Roman"/>
        </w:rPr>
        <w:t>903 </w:t>
      </w:r>
      <w:r>
        <w:rPr/>
        <w:t>室</w:t>
      </w:r>
    </w:p>
    <w:p>
      <w:pPr>
        <w:pStyle w:val="BodyText"/>
        <w:spacing w:before="7"/>
        <w:rPr>
          <w:sz w:val="15"/>
        </w:rPr>
      </w:pPr>
    </w:p>
    <w:p>
      <w:pPr>
        <w:pStyle w:val="BodyText"/>
        <w:spacing w:line="417" w:lineRule="auto"/>
        <w:ind w:left="960" w:right="1795"/>
      </w:pPr>
      <w:r>
        <w:rPr>
          <w:spacing w:val="-5"/>
        </w:rPr>
        <w:t>办公地址：浙江省杭州市余杭区五常街道同顺街 </w:t>
      </w:r>
      <w:r>
        <w:rPr>
          <w:rFonts w:ascii="Times New Roman" w:eastAsia="Times New Roman"/>
        </w:rPr>
        <w:t>18 </w:t>
      </w:r>
      <w:r>
        <w:rPr>
          <w:spacing w:val="-9"/>
        </w:rPr>
        <w:t>号同花顺大楼 </w:t>
      </w:r>
      <w:r>
        <w:rPr>
          <w:rFonts w:ascii="Times New Roman" w:eastAsia="Times New Roman"/>
        </w:rPr>
        <w:t>4 </w:t>
      </w:r>
      <w:r>
        <w:rPr/>
        <w:t>层</w:t>
      </w:r>
      <w:r>
        <w:rPr>
          <w:spacing w:val="-3"/>
        </w:rPr>
        <w:t>法定代表人：凌顺平</w:t>
      </w:r>
    </w:p>
    <w:p>
      <w:pPr>
        <w:pStyle w:val="BodyText"/>
        <w:spacing w:line="417" w:lineRule="auto"/>
        <w:ind w:left="960" w:right="576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spacing w:line="269" w:lineRule="exact"/>
        <w:ind w:left="960"/>
      </w:pPr>
      <w:r>
        <w:rPr/>
        <w:t>联系人：吴强</w:t>
      </w:r>
    </w:p>
    <w:p>
      <w:pPr>
        <w:pStyle w:val="BodyText"/>
        <w:spacing w:before="7"/>
        <w:rPr>
          <w:sz w:val="15"/>
        </w:rPr>
      </w:pPr>
    </w:p>
    <w:p>
      <w:pPr>
        <w:pStyle w:val="BodyText"/>
        <w:ind w:left="960"/>
        <w:rPr>
          <w:rFonts w:ascii="Times New Roman" w:eastAsia="Times New Roman"/>
        </w:rPr>
      </w:pPr>
      <w:r>
        <w:rPr/>
        <w:t>网址：</w:t>
      </w:r>
      <w:hyperlink r:id="rId36">
        <w:r>
          <w:rPr>
            <w:rFonts w:ascii="Times New Roman" w:eastAsia="Times New Roman"/>
          </w:rPr>
          <w:t>www.5ifund.com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400-877-3772</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上海利得基金销售有限公司</w:t>
      </w:r>
    </w:p>
    <w:p>
      <w:pPr>
        <w:pStyle w:val="BodyText"/>
        <w:spacing w:before="7"/>
        <w:rPr>
          <w:sz w:val="15"/>
        </w:rPr>
      </w:pPr>
    </w:p>
    <w:p>
      <w:pPr>
        <w:pStyle w:val="BodyText"/>
        <w:ind w:left="960"/>
      </w:pPr>
      <w:r>
        <w:rPr/>
        <w:t>住所：上海市宝山区蕴川路 </w:t>
      </w:r>
      <w:r>
        <w:rPr>
          <w:rFonts w:ascii="Times New Roman" w:eastAsia="Times New Roman"/>
        </w:rPr>
        <w:t>5475 </w:t>
      </w:r>
      <w:r>
        <w:rPr/>
        <w:t>号 </w:t>
      </w:r>
      <w:r>
        <w:rPr>
          <w:rFonts w:ascii="Times New Roman" w:eastAsia="Times New Roman"/>
        </w:rPr>
        <w:t>1033 </w:t>
      </w:r>
      <w:r>
        <w:rPr/>
        <w:t>室</w:t>
      </w:r>
    </w:p>
    <w:p>
      <w:pPr>
        <w:pStyle w:val="BodyText"/>
        <w:spacing w:before="6"/>
        <w:rPr>
          <w:sz w:val="15"/>
        </w:rPr>
      </w:pPr>
    </w:p>
    <w:p>
      <w:pPr>
        <w:pStyle w:val="BodyText"/>
        <w:spacing w:line="417" w:lineRule="auto" w:before="1"/>
        <w:ind w:left="960" w:right="3789"/>
      </w:pPr>
      <w:r>
        <w:rPr>
          <w:spacing w:val="-6"/>
        </w:rPr>
        <w:t>办公地址：上海市虹口区东大名路 </w:t>
      </w:r>
      <w:r>
        <w:rPr>
          <w:rFonts w:ascii="Times New Roman" w:eastAsia="Times New Roman"/>
        </w:rPr>
        <w:t>1098 </w:t>
      </w:r>
      <w:r>
        <w:rPr>
          <w:spacing w:val="-24"/>
        </w:rPr>
        <w:t>号 </w:t>
      </w:r>
      <w:r>
        <w:rPr>
          <w:rFonts w:ascii="Times New Roman" w:eastAsia="Times New Roman"/>
        </w:rPr>
        <w:t>53 </w:t>
      </w:r>
      <w:r>
        <w:rPr/>
        <w:t>楼</w:t>
      </w:r>
      <w:r>
        <w:rPr>
          <w:spacing w:val="-3"/>
        </w:rPr>
        <w:t>法定代表人：沈继伟</w:t>
      </w:r>
    </w:p>
    <w:p>
      <w:pPr>
        <w:pStyle w:val="BodyText"/>
        <w:spacing w:line="417" w:lineRule="auto"/>
        <w:ind w:left="960" w:right="634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ind w:left="960"/>
      </w:pPr>
      <w:r>
        <w:rPr/>
        <w:t>联系人：曹怡晨</w:t>
      </w:r>
    </w:p>
    <w:p>
      <w:pPr>
        <w:pStyle w:val="BodyText"/>
        <w:spacing w:before="6"/>
        <w:rPr>
          <w:sz w:val="15"/>
        </w:rPr>
      </w:pPr>
    </w:p>
    <w:p>
      <w:pPr>
        <w:pStyle w:val="BodyText"/>
        <w:spacing w:line="417" w:lineRule="auto"/>
        <w:ind w:left="960" w:right="5077"/>
        <w:rPr>
          <w:rFonts w:ascii="Times New Roman" w:eastAsia="Times New Roman"/>
        </w:rPr>
      </w:pPr>
      <w:r>
        <w:rPr/>
        <w:t>网址：</w:t>
      </w:r>
      <w:hyperlink r:id="rId37">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嘉实财富管理有限公司</w:t>
      </w:r>
    </w:p>
    <w:p>
      <w:pPr>
        <w:pStyle w:val="BodyText"/>
        <w:spacing w:before="7"/>
        <w:rPr>
          <w:sz w:val="15"/>
        </w:rPr>
      </w:pPr>
    </w:p>
    <w:p>
      <w:pPr>
        <w:pStyle w:val="BodyText"/>
        <w:spacing w:line="417" w:lineRule="auto"/>
        <w:ind w:left="960" w:right="776"/>
      </w:pPr>
      <w:r>
        <w:rPr>
          <w:spacing w:val="-6"/>
        </w:rPr>
        <w:t>住所：上海市浦东新区世纪大道 </w:t>
      </w:r>
      <w:r>
        <w:rPr>
          <w:rFonts w:ascii="Times New Roman" w:eastAsia="Times New Roman"/>
        </w:rPr>
        <w:t>8 </w:t>
      </w:r>
      <w:r>
        <w:rPr>
          <w:spacing w:val="-7"/>
        </w:rPr>
        <w:t>号上海国金中心办公楼二期 </w:t>
      </w:r>
      <w:r>
        <w:rPr>
          <w:rFonts w:ascii="Times New Roman" w:eastAsia="Times New Roman"/>
        </w:rPr>
        <w:t>53 </w:t>
      </w:r>
      <w:r>
        <w:rPr>
          <w:spacing w:val="-24"/>
        </w:rPr>
        <w:t>层 </w:t>
      </w:r>
      <w:r>
        <w:rPr>
          <w:rFonts w:ascii="Times New Roman" w:eastAsia="Times New Roman"/>
        </w:rPr>
        <w:t>5312-15 </w:t>
      </w:r>
      <w:r>
        <w:rPr/>
        <w:t>单元</w:t>
      </w:r>
      <w:r>
        <w:rPr>
          <w:spacing w:val="-7"/>
        </w:rPr>
        <w:t>办公地址：北京市朝阳区建国路 </w:t>
      </w:r>
      <w:r>
        <w:rPr>
          <w:rFonts w:ascii="Times New Roman" w:eastAsia="Times New Roman"/>
        </w:rPr>
        <w:t>91 </w:t>
      </w:r>
      <w:r>
        <w:rPr>
          <w:spacing w:val="7"/>
        </w:rPr>
        <w:t>号金地中心</w:t>
      </w:r>
      <w:r>
        <w:rPr>
          <w:rFonts w:ascii="Times New Roman" w:eastAsia="Times New Roman"/>
        </w:rPr>
        <w:t>A </w:t>
      </w:r>
      <w:r>
        <w:rPr>
          <w:spacing w:val="-26"/>
        </w:rPr>
        <w:t>座 </w:t>
      </w:r>
      <w:r>
        <w:rPr>
          <w:rFonts w:ascii="Times New Roman" w:eastAsia="Times New Roman"/>
        </w:rPr>
        <w:t>6 </w:t>
      </w:r>
      <w:r>
        <w:rPr/>
        <w:t>层</w:t>
      </w:r>
    </w:p>
    <w:p>
      <w:pPr>
        <w:pStyle w:val="BodyText"/>
        <w:spacing w:line="417" w:lineRule="auto"/>
        <w:ind w:left="960" w:right="6310"/>
        <w:jc w:val="both"/>
        <w:rPr>
          <w:rFonts w:ascii="Times New Roman" w:eastAsia="Times New Roman"/>
        </w:rPr>
      </w:pPr>
      <w:r>
        <w:rPr/>
        <w:t>法定代表人：赵学军电话：</w:t>
      </w:r>
      <w:r>
        <w:rPr>
          <w:rFonts w:ascii="Times New Roman" w:eastAsia="Times New Roman"/>
        </w:rPr>
        <w:t>010-85097570 </w:t>
      </w:r>
      <w:r>
        <w:rPr/>
        <w:t>传真：</w:t>
      </w:r>
      <w:r>
        <w:rPr>
          <w:rFonts w:ascii="Times New Roman" w:eastAsia="Times New Roman"/>
        </w:rPr>
        <w:t>010-85097308</w:t>
      </w:r>
    </w:p>
    <w:p>
      <w:pPr>
        <w:pStyle w:val="BodyText"/>
        <w:spacing w:line="269" w:lineRule="exact"/>
        <w:ind w:left="960"/>
      </w:pPr>
      <w:r>
        <w:rPr/>
        <w:t>联系人：余永键</w:t>
      </w:r>
    </w:p>
    <w:p>
      <w:pPr>
        <w:pStyle w:val="BodyText"/>
        <w:spacing w:before="7"/>
        <w:rPr>
          <w:sz w:val="15"/>
        </w:rPr>
      </w:pPr>
    </w:p>
    <w:p>
      <w:pPr>
        <w:pStyle w:val="BodyText"/>
        <w:ind w:left="960"/>
        <w:rPr>
          <w:rFonts w:ascii="Times New Roman" w:eastAsia="Times New Roman"/>
        </w:rPr>
      </w:pPr>
      <w:r>
        <w:rPr/>
        <w:t>网址：</w:t>
      </w:r>
      <w:hyperlink r:id="rId38">
        <w:r>
          <w:rPr>
            <w:rFonts w:ascii="Times New Roman" w:eastAsia="Times New Roman"/>
          </w:rPr>
          <w:t>www.harvestwm.cn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400-021-8850</w:t>
      </w:r>
    </w:p>
    <w:p>
      <w:pPr>
        <w:pStyle w:val="BodyText"/>
        <w:spacing w:before="4"/>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北京创金启富基金销售有限公司</w:t>
      </w:r>
    </w:p>
    <w:p>
      <w:pPr>
        <w:pStyle w:val="BodyText"/>
        <w:spacing w:before="7"/>
        <w:rPr>
          <w:sz w:val="15"/>
        </w:rPr>
      </w:pPr>
    </w:p>
    <w:p>
      <w:pPr>
        <w:pStyle w:val="BodyText"/>
        <w:ind w:left="960"/>
      </w:pPr>
      <w:r>
        <w:rPr/>
        <w:t>住所：北京市西城区白纸坊东街 </w:t>
      </w:r>
      <w:r>
        <w:rPr>
          <w:rFonts w:ascii="Times New Roman" w:eastAsia="Times New Roman"/>
        </w:rPr>
        <w:t>2 </w:t>
      </w:r>
      <w:r>
        <w:rPr/>
        <w:t>号院 </w:t>
      </w:r>
      <w:r>
        <w:rPr>
          <w:rFonts w:ascii="Times New Roman" w:eastAsia="Times New Roman"/>
        </w:rPr>
        <w:t>6 </w:t>
      </w:r>
      <w:r>
        <w:rPr/>
        <w:t>号楼 </w:t>
      </w:r>
      <w:r>
        <w:rPr>
          <w:rFonts w:ascii="Times New Roman" w:eastAsia="Times New Roman"/>
        </w:rPr>
        <w:t>712 </w:t>
      </w:r>
      <w:r>
        <w:rPr/>
        <w:t>室</w:t>
      </w:r>
    </w:p>
    <w:p>
      <w:pPr>
        <w:pStyle w:val="BodyText"/>
        <w:spacing w:before="6"/>
        <w:rPr>
          <w:sz w:val="15"/>
        </w:rPr>
      </w:pPr>
    </w:p>
    <w:p>
      <w:pPr>
        <w:pStyle w:val="BodyText"/>
        <w:spacing w:before="1"/>
        <w:ind w:left="960"/>
      </w:pPr>
      <w:r>
        <w:rPr/>
        <w:t>办公地址：北京市西城区白纸坊东街 </w:t>
      </w:r>
      <w:r>
        <w:rPr>
          <w:rFonts w:ascii="Times New Roman" w:eastAsia="Times New Roman"/>
        </w:rPr>
        <w:t>2 </w:t>
      </w:r>
      <w:r>
        <w:rPr/>
        <w:t>号院 </w:t>
      </w:r>
      <w:r>
        <w:rPr>
          <w:rFonts w:ascii="Times New Roman" w:eastAsia="Times New Roman"/>
        </w:rPr>
        <w:t>6 </w:t>
      </w:r>
      <w:r>
        <w:rPr/>
        <w:t>号楼 </w:t>
      </w:r>
      <w:r>
        <w:rPr>
          <w:rFonts w:ascii="Times New Roman" w:eastAsia="Times New Roman"/>
        </w:rPr>
        <w:t>712 </w:t>
      </w:r>
      <w:r>
        <w:rPr/>
        <w:t>室</w:t>
      </w:r>
    </w:p>
    <w:p>
      <w:pPr>
        <w:spacing w:after="0"/>
        <w:sectPr>
          <w:pgSz w:w="11910" w:h="16840"/>
          <w:pgMar w:header="877" w:footer="0" w:top="1420" w:bottom="280" w:left="1260" w:right="1480"/>
        </w:sectPr>
      </w:pPr>
    </w:p>
    <w:p>
      <w:pPr>
        <w:pStyle w:val="BodyText"/>
        <w:spacing w:before="110"/>
        <w:ind w:left="960"/>
      </w:pPr>
      <w:r>
        <w:rPr/>
        <w:t>法定代表人：梁蓉</w:t>
      </w:r>
    </w:p>
    <w:p>
      <w:pPr>
        <w:pStyle w:val="BodyText"/>
        <w:spacing w:before="6"/>
        <w:rPr>
          <w:sz w:val="15"/>
        </w:rPr>
      </w:pPr>
    </w:p>
    <w:p>
      <w:pPr>
        <w:pStyle w:val="BodyText"/>
        <w:spacing w:line="417" w:lineRule="auto"/>
        <w:ind w:left="960" w:right="596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spacing w:line="269" w:lineRule="exact"/>
        <w:ind w:left="960"/>
      </w:pPr>
      <w:r>
        <w:rPr/>
        <w:t>联系人：马浩</w:t>
      </w:r>
    </w:p>
    <w:p>
      <w:pPr>
        <w:pStyle w:val="BodyText"/>
        <w:spacing w:before="7"/>
        <w:rPr>
          <w:sz w:val="15"/>
        </w:rPr>
      </w:pPr>
    </w:p>
    <w:p>
      <w:pPr>
        <w:pStyle w:val="BodyText"/>
        <w:ind w:left="960"/>
        <w:rPr>
          <w:rFonts w:ascii="Times New Roman" w:eastAsia="Times New Roman"/>
        </w:rPr>
      </w:pPr>
      <w:r>
        <w:rPr/>
        <w:t>网址：</w:t>
      </w:r>
      <w:hyperlink r:id="rId39">
        <w:r>
          <w:rPr>
            <w:rFonts w:ascii="Times New Roman" w:eastAsia="Times New Roman"/>
          </w:rPr>
          <w:t>www.5irich.com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400-6262-818</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泛华普益基金销售有限公司</w:t>
      </w:r>
    </w:p>
    <w:p>
      <w:pPr>
        <w:pStyle w:val="BodyText"/>
        <w:spacing w:before="7"/>
        <w:rPr>
          <w:sz w:val="15"/>
        </w:rPr>
      </w:pPr>
    </w:p>
    <w:p>
      <w:pPr>
        <w:pStyle w:val="BodyText"/>
        <w:ind w:left="960"/>
      </w:pPr>
      <w:r>
        <w:rPr/>
        <w:t>住所：成都市成华区建设路 </w:t>
      </w:r>
      <w:r>
        <w:rPr>
          <w:rFonts w:ascii="Times New Roman" w:eastAsia="Times New Roman"/>
        </w:rPr>
        <w:t>9 </w:t>
      </w:r>
      <w:r>
        <w:rPr/>
        <w:t>号高地中心 </w:t>
      </w:r>
      <w:r>
        <w:rPr>
          <w:rFonts w:ascii="Times New Roman" w:eastAsia="Times New Roman"/>
        </w:rPr>
        <w:t>1101 </w:t>
      </w:r>
      <w:r>
        <w:rPr/>
        <w:t>室</w:t>
      </w:r>
    </w:p>
    <w:p>
      <w:pPr>
        <w:pStyle w:val="BodyText"/>
        <w:spacing w:before="7"/>
        <w:rPr>
          <w:sz w:val="15"/>
        </w:rPr>
      </w:pPr>
    </w:p>
    <w:p>
      <w:pPr>
        <w:pStyle w:val="BodyText"/>
        <w:spacing w:line="417" w:lineRule="auto"/>
        <w:ind w:left="960" w:right="498"/>
      </w:pPr>
      <w:r>
        <w:rPr>
          <w:spacing w:val="-6"/>
        </w:rPr>
        <w:t>办公地址：成都市金牛区花照壁西顺街 </w:t>
      </w:r>
      <w:r>
        <w:rPr>
          <w:rFonts w:ascii="Times New Roman" w:eastAsia="Times New Roman"/>
        </w:rPr>
        <w:t>399 </w:t>
      </w:r>
      <w:r>
        <w:rPr>
          <w:spacing w:val="-24"/>
        </w:rPr>
        <w:t>号 </w:t>
      </w:r>
      <w:r>
        <w:rPr>
          <w:rFonts w:ascii="Times New Roman" w:eastAsia="Times New Roman"/>
        </w:rPr>
        <w:t>1 </w:t>
      </w:r>
      <w:r>
        <w:rPr>
          <w:spacing w:val="-26"/>
        </w:rPr>
        <w:t>栋 </w:t>
      </w:r>
      <w:r>
        <w:rPr>
          <w:rFonts w:ascii="Times New Roman" w:eastAsia="Times New Roman"/>
        </w:rPr>
        <w:t>1 </w:t>
      </w:r>
      <w:r>
        <w:rPr>
          <w:spacing w:val="3"/>
        </w:rPr>
        <w:t>单元龙湖西宸天街</w:t>
      </w:r>
      <w:r>
        <w:rPr>
          <w:rFonts w:ascii="Times New Roman" w:eastAsia="Times New Roman"/>
        </w:rPr>
        <w:t>B </w:t>
      </w:r>
      <w:r>
        <w:rPr>
          <w:spacing w:val="-25"/>
        </w:rPr>
        <w:t>座 </w:t>
      </w:r>
      <w:r>
        <w:rPr>
          <w:rFonts w:ascii="Times New Roman" w:eastAsia="Times New Roman"/>
        </w:rPr>
        <w:t>1201 </w:t>
      </w:r>
      <w:r>
        <w:rPr/>
        <w:t>号</w:t>
      </w:r>
      <w:r>
        <w:rPr>
          <w:spacing w:val="-3"/>
        </w:rPr>
        <w:t>法定代表人：于海锋</w:t>
      </w:r>
    </w:p>
    <w:p>
      <w:pPr>
        <w:pStyle w:val="BodyText"/>
        <w:spacing w:line="269" w:lineRule="exact"/>
        <w:ind w:left="960"/>
        <w:rPr>
          <w:rFonts w:ascii="Times New Roman" w:eastAsia="Times New Roman"/>
        </w:rPr>
      </w:pPr>
      <w:r>
        <w:rPr/>
        <w:t>电话：</w:t>
      </w:r>
      <w:r>
        <w:rPr>
          <w:rFonts w:ascii="Times New Roman" w:eastAsia="Times New Roman"/>
        </w:rPr>
        <w:t>13910181936</w:t>
      </w:r>
    </w:p>
    <w:p>
      <w:pPr>
        <w:pStyle w:val="BodyText"/>
        <w:spacing w:before="3"/>
        <w:rPr>
          <w:rFonts w:ascii="Times New Roman"/>
          <w:sz w:val="17"/>
        </w:rPr>
      </w:pPr>
    </w:p>
    <w:p>
      <w:pPr>
        <w:pStyle w:val="BodyText"/>
        <w:spacing w:before="1"/>
        <w:ind w:left="96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960"/>
      </w:pPr>
      <w:r>
        <w:rPr/>
        <w:t>联系人：隋亚方</w:t>
      </w:r>
    </w:p>
    <w:p>
      <w:pPr>
        <w:pStyle w:val="BodyText"/>
        <w:spacing w:before="7"/>
        <w:rPr>
          <w:sz w:val="15"/>
        </w:rPr>
      </w:pPr>
    </w:p>
    <w:p>
      <w:pPr>
        <w:pStyle w:val="BodyText"/>
        <w:spacing w:line="417" w:lineRule="auto"/>
        <w:ind w:left="960" w:right="5221"/>
        <w:rPr>
          <w:rFonts w:ascii="Times New Roman" w:eastAsia="Times New Roman"/>
        </w:rPr>
      </w:pPr>
      <w:r>
        <w:rPr/>
        <w:t>网址：</w:t>
      </w:r>
      <w:r>
        <w:rPr>
          <w:rFonts w:ascii="Times New Roman" w:eastAsia="Times New Roman"/>
        </w:rPr>
        <w:t>https://</w:t>
      </w:r>
      <w:hyperlink r:id="rId40">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宜信普泽</w:t>
      </w:r>
      <w:r>
        <w:rPr>
          <w:sz w:val="21"/>
        </w:rPr>
        <w:t>（</w:t>
      </w:r>
      <w:r>
        <w:rPr>
          <w:spacing w:val="-2"/>
          <w:sz w:val="21"/>
        </w:rPr>
        <w:t>北京</w:t>
      </w:r>
      <w:r>
        <w:rPr>
          <w:spacing w:val="-3"/>
          <w:sz w:val="21"/>
        </w:rPr>
        <w:t>）基金销售有限公司</w:t>
      </w:r>
    </w:p>
    <w:p>
      <w:pPr>
        <w:pStyle w:val="BodyText"/>
        <w:spacing w:before="6"/>
        <w:rPr>
          <w:sz w:val="15"/>
        </w:rPr>
      </w:pPr>
    </w:p>
    <w:p>
      <w:pPr>
        <w:pStyle w:val="BodyText"/>
        <w:spacing w:before="1"/>
        <w:ind w:left="960"/>
        <w:rPr>
          <w:rFonts w:ascii="Times New Roman" w:eastAsia="Times New Roman"/>
        </w:rPr>
      </w:pPr>
      <w:r>
        <w:rPr/>
        <w:t>住所：北京市朝阳区建国路 </w:t>
      </w:r>
      <w:r>
        <w:rPr>
          <w:rFonts w:ascii="Times New Roman" w:eastAsia="Times New Roman"/>
        </w:rPr>
        <w:t>88 </w:t>
      </w:r>
      <w:r>
        <w:rPr/>
        <w:t>号 </w:t>
      </w:r>
      <w:r>
        <w:rPr>
          <w:rFonts w:ascii="Times New Roman" w:eastAsia="Times New Roman"/>
        </w:rPr>
        <w:t>9 </w:t>
      </w:r>
      <w:r>
        <w:rPr/>
        <w:t>号楼 </w:t>
      </w:r>
      <w:r>
        <w:rPr>
          <w:rFonts w:ascii="Times New Roman" w:eastAsia="Times New Roman"/>
        </w:rPr>
        <w:t>15 </w:t>
      </w:r>
      <w:r>
        <w:rPr/>
        <w:t>层 </w:t>
      </w:r>
      <w:r>
        <w:rPr>
          <w:rFonts w:ascii="Times New Roman" w:eastAsia="Times New Roman"/>
        </w:rPr>
        <w:t>1809</w:t>
      </w:r>
    </w:p>
    <w:p>
      <w:pPr>
        <w:pStyle w:val="BodyText"/>
        <w:spacing w:before="3"/>
        <w:rPr>
          <w:rFonts w:ascii="Times New Roman"/>
          <w:sz w:val="17"/>
        </w:rPr>
      </w:pPr>
    </w:p>
    <w:p>
      <w:pPr>
        <w:pStyle w:val="BodyText"/>
        <w:ind w:left="960"/>
        <w:rPr>
          <w:rFonts w:ascii="Times New Roman" w:eastAsia="Times New Roman"/>
        </w:rPr>
      </w:pPr>
      <w:r>
        <w:rPr/>
        <w:t>办公地址：北京市朝阳区建国路 </w:t>
      </w:r>
      <w:r>
        <w:rPr>
          <w:rFonts w:ascii="Times New Roman" w:eastAsia="Times New Roman"/>
        </w:rPr>
        <w:t>88 </w:t>
      </w:r>
      <w:r>
        <w:rPr/>
        <w:t>号 </w:t>
      </w:r>
      <w:r>
        <w:rPr>
          <w:rFonts w:ascii="Times New Roman" w:eastAsia="Times New Roman"/>
        </w:rPr>
        <w:t>SOHO </w:t>
      </w:r>
      <w:r>
        <w:rPr/>
        <w:t>现代城 </w:t>
      </w:r>
      <w:r>
        <w:rPr>
          <w:rFonts w:ascii="Times New Roman" w:eastAsia="Times New Roman"/>
        </w:rPr>
        <w:t>C </w:t>
      </w:r>
      <w:r>
        <w:rPr/>
        <w:t>座 </w:t>
      </w:r>
      <w:r>
        <w:rPr>
          <w:rFonts w:ascii="Times New Roman" w:eastAsia="Times New Roman"/>
        </w:rPr>
        <w:t>18 </w:t>
      </w:r>
      <w:r>
        <w:rPr/>
        <w:t>层 </w:t>
      </w:r>
      <w:r>
        <w:rPr>
          <w:rFonts w:ascii="Times New Roman" w:eastAsia="Times New Roman"/>
        </w:rPr>
        <w:t>1809</w:t>
      </w:r>
    </w:p>
    <w:p>
      <w:pPr>
        <w:pStyle w:val="BodyText"/>
        <w:spacing w:before="3"/>
        <w:rPr>
          <w:rFonts w:ascii="Times New Roman"/>
          <w:sz w:val="17"/>
        </w:rPr>
      </w:pPr>
    </w:p>
    <w:p>
      <w:pPr>
        <w:pStyle w:val="BodyText"/>
        <w:spacing w:line="417" w:lineRule="auto" w:before="1"/>
        <w:ind w:left="960" w:right="6310"/>
        <w:jc w:val="both"/>
        <w:rPr>
          <w:rFonts w:ascii="Times New Roman" w:eastAsia="Times New Roman"/>
        </w:rPr>
      </w:pPr>
      <w:r>
        <w:rPr/>
        <w:t>法定代表人：沈伟桦电话：</w:t>
      </w:r>
      <w:r>
        <w:rPr>
          <w:rFonts w:ascii="Times New Roman" w:eastAsia="Times New Roman"/>
        </w:rPr>
        <w:t>010-52855713 </w:t>
      </w:r>
      <w:r>
        <w:rPr/>
        <w:t>传真：</w:t>
      </w:r>
      <w:r>
        <w:rPr>
          <w:rFonts w:ascii="Times New Roman" w:eastAsia="Times New Roman"/>
        </w:rPr>
        <w:t>010-85894285</w:t>
      </w:r>
    </w:p>
    <w:p>
      <w:pPr>
        <w:pStyle w:val="BodyText"/>
        <w:ind w:left="960"/>
      </w:pPr>
      <w:r>
        <w:rPr/>
        <w:t>联系人：程刚</w:t>
      </w:r>
    </w:p>
    <w:p>
      <w:pPr>
        <w:pStyle w:val="BodyText"/>
        <w:spacing w:before="6"/>
        <w:rPr>
          <w:sz w:val="15"/>
        </w:rPr>
      </w:pPr>
    </w:p>
    <w:p>
      <w:pPr>
        <w:pStyle w:val="BodyText"/>
        <w:ind w:left="960"/>
        <w:rPr>
          <w:rFonts w:ascii="Times New Roman" w:eastAsia="Times New Roman"/>
        </w:rPr>
      </w:pPr>
      <w:r>
        <w:rPr/>
        <w:t>网址：</w:t>
      </w:r>
      <w:hyperlink r:id="rId41">
        <w:r>
          <w:rPr>
            <w:rFonts w:ascii="Times New Roman" w:eastAsia="Times New Roman"/>
          </w:rPr>
          <w:t>www.yixinfund.com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400-609-9200</w:t>
      </w:r>
    </w:p>
    <w:p>
      <w:pPr>
        <w:pStyle w:val="BodyText"/>
        <w:spacing w:before="3"/>
        <w:rPr>
          <w:rFonts w:ascii="Times New Roman"/>
          <w:sz w:val="17"/>
        </w:rPr>
      </w:pPr>
    </w:p>
    <w:p>
      <w:pPr>
        <w:pStyle w:val="ListParagraph"/>
        <w:numPr>
          <w:ilvl w:val="0"/>
          <w:numId w:val="9"/>
        </w:numPr>
        <w:tabs>
          <w:tab w:pos="1595" w:val="left" w:leader="none"/>
        </w:tabs>
        <w:spacing w:line="417" w:lineRule="auto" w:before="0" w:after="0"/>
        <w:ind w:left="960" w:right="4874" w:firstLine="0"/>
        <w:jc w:val="left"/>
        <w:rPr>
          <w:sz w:val="21"/>
        </w:rPr>
      </w:pPr>
      <w:r>
        <w:rPr>
          <w:spacing w:val="-3"/>
          <w:sz w:val="21"/>
        </w:rPr>
        <w:t>南京苏宁基金销售有限公司</w:t>
      </w:r>
      <w:r>
        <w:rPr>
          <w:spacing w:val="-7"/>
          <w:sz w:val="21"/>
        </w:rPr>
        <w:t>住所：南京市玄武区苏宁大道 </w:t>
      </w:r>
      <w:r>
        <w:rPr>
          <w:rFonts w:ascii="Times New Roman" w:eastAsia="Times New Roman"/>
          <w:sz w:val="21"/>
        </w:rPr>
        <w:t>1-5</w:t>
      </w:r>
      <w:r>
        <w:rPr>
          <w:rFonts w:ascii="Times New Roman" w:eastAsia="Times New Roman"/>
          <w:spacing w:val="6"/>
          <w:sz w:val="21"/>
        </w:rPr>
        <w:t> </w:t>
      </w:r>
      <w:r>
        <w:rPr>
          <w:spacing w:val="-13"/>
          <w:sz w:val="21"/>
        </w:rPr>
        <w:t>号</w:t>
      </w:r>
    </w:p>
    <w:p>
      <w:pPr>
        <w:pStyle w:val="BodyText"/>
        <w:spacing w:line="417" w:lineRule="auto"/>
        <w:ind w:left="960" w:right="4209"/>
      </w:pPr>
      <w:r>
        <w:rPr/>
        <w:t>办公地址：南京市玄武区苏宁大道苏宁总部法定代表人：刘汉青</w:t>
      </w:r>
    </w:p>
    <w:p>
      <w:pPr>
        <w:pStyle w:val="BodyText"/>
        <w:spacing w:line="417" w:lineRule="auto"/>
        <w:ind w:left="960" w:right="564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spacing w:after="0" w:line="417" w:lineRule="auto"/>
        <w:rPr>
          <w:rFonts w:ascii="Times New Roman" w:eastAsia="Times New Roman"/>
        </w:rPr>
        <w:sectPr>
          <w:pgSz w:w="11910" w:h="16840"/>
          <w:pgMar w:header="877" w:footer="0" w:top="1420" w:bottom="280" w:left="1260" w:right="1480"/>
        </w:sectPr>
      </w:pPr>
    </w:p>
    <w:p>
      <w:pPr>
        <w:pStyle w:val="BodyText"/>
        <w:spacing w:before="110"/>
        <w:ind w:left="960"/>
      </w:pPr>
      <w:r>
        <w:rPr/>
        <w:t>联系人：王峰</w:t>
      </w:r>
    </w:p>
    <w:p>
      <w:pPr>
        <w:pStyle w:val="BodyText"/>
        <w:spacing w:before="6"/>
        <w:rPr>
          <w:sz w:val="15"/>
        </w:rPr>
      </w:pPr>
    </w:p>
    <w:p>
      <w:pPr>
        <w:pStyle w:val="BodyText"/>
        <w:spacing w:line="417" w:lineRule="auto"/>
        <w:ind w:left="960" w:right="6095"/>
        <w:rPr>
          <w:rFonts w:ascii="Times New Roman" w:eastAsia="Times New Roman"/>
        </w:rPr>
      </w:pPr>
      <w:r>
        <w:rPr/>
        <w:t>网址：</w:t>
      </w:r>
      <w:hyperlink r:id="rId42">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7"/>
        <w:rPr>
          <w:sz w:val="15"/>
        </w:rPr>
      </w:pPr>
    </w:p>
    <w:p>
      <w:pPr>
        <w:pStyle w:val="BodyText"/>
        <w:ind w:left="960"/>
      </w:pPr>
      <w:r>
        <w:rPr/>
        <w:t>住所：上海市虹口区同丰路 </w:t>
      </w:r>
      <w:r>
        <w:rPr>
          <w:rFonts w:ascii="Times New Roman" w:eastAsia="Times New Roman"/>
        </w:rPr>
        <w:t>667 </w:t>
      </w:r>
      <w:r>
        <w:rPr/>
        <w:t>弄 </w:t>
      </w:r>
      <w:r>
        <w:rPr>
          <w:rFonts w:ascii="Times New Roman" w:eastAsia="Times New Roman"/>
        </w:rPr>
        <w:t>107 </w:t>
      </w:r>
      <w:r>
        <w:rPr/>
        <w:t>号 </w:t>
      </w:r>
      <w:r>
        <w:rPr>
          <w:rFonts w:ascii="Times New Roman" w:eastAsia="Times New Roman"/>
        </w:rPr>
        <w:t>201 </w:t>
      </w:r>
      <w:r>
        <w:rPr/>
        <w:t>室</w:t>
      </w:r>
    </w:p>
    <w:p>
      <w:pPr>
        <w:pStyle w:val="BodyText"/>
        <w:spacing w:before="7"/>
        <w:rPr>
          <w:sz w:val="15"/>
        </w:rPr>
      </w:pPr>
    </w:p>
    <w:p>
      <w:pPr>
        <w:pStyle w:val="BodyText"/>
        <w:spacing w:line="417" w:lineRule="auto"/>
        <w:ind w:left="960" w:right="2843"/>
      </w:pPr>
      <w:r>
        <w:rPr>
          <w:spacing w:val="-6"/>
        </w:rPr>
        <w:t>办公地址：上海市浦东新区金沪路 </w:t>
      </w:r>
      <w:r>
        <w:rPr>
          <w:rFonts w:ascii="Times New Roman" w:eastAsia="Times New Roman"/>
        </w:rPr>
        <w:t>55 </w:t>
      </w:r>
      <w:r>
        <w:rPr>
          <w:spacing w:val="-9"/>
        </w:rPr>
        <w:t>号通华科技大厦 </w:t>
      </w:r>
      <w:r>
        <w:rPr>
          <w:rFonts w:ascii="Times New Roman" w:eastAsia="Times New Roman"/>
        </w:rPr>
        <w:t>2 </w:t>
      </w:r>
      <w:r>
        <w:rPr/>
        <w:t>层</w:t>
      </w:r>
      <w:r>
        <w:rPr>
          <w:spacing w:val="-3"/>
        </w:rPr>
        <w:t>法定代表人：沈丹义</w:t>
      </w:r>
    </w:p>
    <w:p>
      <w:pPr>
        <w:pStyle w:val="BodyText"/>
        <w:spacing w:line="417" w:lineRule="auto"/>
        <w:ind w:left="960" w:right="634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spacing w:line="269" w:lineRule="exact"/>
        <w:ind w:left="960"/>
      </w:pPr>
      <w:r>
        <w:rPr/>
        <w:t>联系人：周晶</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43">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北京恒天明泽基金销售有限公司</w:t>
      </w:r>
    </w:p>
    <w:p>
      <w:pPr>
        <w:pStyle w:val="BodyText"/>
        <w:spacing w:before="7"/>
        <w:rPr>
          <w:sz w:val="15"/>
        </w:rPr>
      </w:pPr>
    </w:p>
    <w:p>
      <w:pPr>
        <w:pStyle w:val="BodyText"/>
        <w:ind w:left="960"/>
      </w:pPr>
      <w:r>
        <w:rPr/>
        <w:t>住所：北京市经济技术开发区宏达北路 </w:t>
      </w:r>
      <w:r>
        <w:rPr>
          <w:rFonts w:ascii="Times New Roman" w:eastAsia="Times New Roman"/>
        </w:rPr>
        <w:t>10 </w:t>
      </w:r>
      <w:r>
        <w:rPr/>
        <w:t>号五层 </w:t>
      </w:r>
      <w:r>
        <w:rPr>
          <w:rFonts w:ascii="Times New Roman" w:eastAsia="Times New Roman"/>
        </w:rPr>
        <w:t>5122 </w:t>
      </w:r>
      <w:r>
        <w:rPr/>
        <w:t>室</w:t>
      </w:r>
    </w:p>
    <w:p>
      <w:pPr>
        <w:pStyle w:val="BodyText"/>
        <w:spacing w:before="7"/>
        <w:rPr>
          <w:sz w:val="15"/>
        </w:rPr>
      </w:pPr>
    </w:p>
    <w:p>
      <w:pPr>
        <w:pStyle w:val="BodyText"/>
        <w:spacing w:line="417" w:lineRule="auto"/>
        <w:ind w:left="960" w:right="2420"/>
      </w:pPr>
      <w:r>
        <w:rPr/>
        <w:t>办公地址：北京市朝阳区东三环中路 </w:t>
      </w:r>
      <w:r>
        <w:rPr>
          <w:rFonts w:ascii="Times New Roman" w:eastAsia="Times New Roman"/>
        </w:rPr>
        <w:t>20 </w:t>
      </w:r>
      <w:r>
        <w:rPr/>
        <w:t>号乐成中心</w:t>
      </w:r>
      <w:r>
        <w:rPr>
          <w:rFonts w:ascii="Times New Roman" w:eastAsia="Times New Roman"/>
        </w:rPr>
        <w:t>A </w:t>
      </w:r>
      <w:r>
        <w:rPr/>
        <w:t>座 </w:t>
      </w:r>
      <w:r>
        <w:rPr>
          <w:rFonts w:ascii="Times New Roman" w:eastAsia="Times New Roman"/>
        </w:rPr>
        <w:t>23 </w:t>
      </w:r>
      <w:r>
        <w:rPr/>
        <w:t>层法定代表人：梁越</w:t>
      </w:r>
    </w:p>
    <w:p>
      <w:pPr>
        <w:pStyle w:val="BodyText"/>
        <w:spacing w:line="417" w:lineRule="auto"/>
        <w:ind w:left="960" w:right="634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ind w:left="960"/>
      </w:pPr>
      <w:r>
        <w:rPr/>
        <w:t>联系人：马鹏程</w:t>
      </w:r>
    </w:p>
    <w:p>
      <w:pPr>
        <w:pStyle w:val="BodyText"/>
        <w:spacing w:before="6"/>
        <w:rPr>
          <w:sz w:val="15"/>
        </w:rPr>
      </w:pPr>
    </w:p>
    <w:p>
      <w:pPr>
        <w:pStyle w:val="BodyText"/>
        <w:ind w:left="960"/>
        <w:rPr>
          <w:rFonts w:ascii="Times New Roman" w:eastAsia="Times New Roman"/>
        </w:rPr>
      </w:pPr>
      <w:r>
        <w:rPr/>
        <w:t>网址：</w:t>
      </w:r>
      <w:hyperlink r:id="rId44">
        <w:r>
          <w:rPr>
            <w:rFonts w:ascii="Times New Roman" w:eastAsia="Times New Roman"/>
          </w:rPr>
          <w:t>www.chtwm.com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400-898-0618</w:t>
      </w:r>
    </w:p>
    <w:p>
      <w:pPr>
        <w:pStyle w:val="BodyText"/>
        <w:spacing w:before="4"/>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北京汇成基金销售有限公司</w:t>
      </w:r>
    </w:p>
    <w:p>
      <w:pPr>
        <w:pStyle w:val="BodyText"/>
        <w:spacing w:before="6"/>
        <w:rPr>
          <w:sz w:val="15"/>
        </w:rPr>
      </w:pPr>
    </w:p>
    <w:p>
      <w:pPr>
        <w:pStyle w:val="BodyText"/>
        <w:spacing w:before="1"/>
        <w:ind w:left="960"/>
        <w:rPr>
          <w:rFonts w:ascii="Times New Roman" w:eastAsia="Times New Roman"/>
        </w:rPr>
      </w:pPr>
      <w:r>
        <w:rPr/>
        <w:t>住所：北京市海淀区中关村大街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3"/>
        <w:rPr>
          <w:rFonts w:ascii="Times New Roman"/>
          <w:sz w:val="17"/>
        </w:rPr>
      </w:pPr>
    </w:p>
    <w:p>
      <w:pPr>
        <w:pStyle w:val="BodyText"/>
        <w:ind w:left="960"/>
        <w:rPr>
          <w:rFonts w:ascii="Times New Roman" w:eastAsia="Times New Roman"/>
        </w:rPr>
      </w:pPr>
      <w:r>
        <w:rPr/>
        <w:t>办公地址：北京市海淀区中关村大街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3"/>
        <w:rPr>
          <w:rFonts w:ascii="Times New Roman"/>
          <w:sz w:val="17"/>
        </w:rPr>
      </w:pPr>
    </w:p>
    <w:p>
      <w:pPr>
        <w:pStyle w:val="BodyText"/>
        <w:spacing w:line="417" w:lineRule="auto"/>
        <w:ind w:left="960" w:right="6310"/>
        <w:jc w:val="both"/>
        <w:rPr>
          <w:rFonts w:ascii="Times New Roman" w:eastAsia="Times New Roman"/>
        </w:rPr>
      </w:pPr>
      <w:r>
        <w:rPr/>
        <w:t>法定代表人：王伟刚电话：</w:t>
      </w:r>
      <w:r>
        <w:rPr>
          <w:rFonts w:ascii="Times New Roman" w:eastAsia="Times New Roman"/>
        </w:rPr>
        <w:t>010-56282140 </w:t>
      </w:r>
      <w:r>
        <w:rPr/>
        <w:t>传真：</w:t>
      </w:r>
      <w:r>
        <w:rPr>
          <w:rFonts w:ascii="Times New Roman" w:eastAsia="Times New Roman"/>
        </w:rPr>
        <w:t>010-62680827</w:t>
      </w:r>
    </w:p>
    <w:p>
      <w:pPr>
        <w:pStyle w:val="BodyText"/>
        <w:spacing w:line="269" w:lineRule="exact"/>
        <w:ind w:left="960"/>
      </w:pPr>
      <w:r>
        <w:rPr/>
        <w:t>联系人：丁向坤</w:t>
      </w:r>
    </w:p>
    <w:p>
      <w:pPr>
        <w:pStyle w:val="BodyText"/>
        <w:spacing w:before="7"/>
        <w:rPr>
          <w:sz w:val="15"/>
        </w:rPr>
      </w:pPr>
    </w:p>
    <w:p>
      <w:pPr>
        <w:pStyle w:val="BodyText"/>
        <w:spacing w:before="1"/>
        <w:ind w:left="960"/>
        <w:rPr>
          <w:rFonts w:ascii="Times New Roman" w:eastAsia="Times New Roman"/>
        </w:rPr>
      </w:pPr>
      <w:r>
        <w:rPr/>
        <w:t>网址： </w:t>
      </w:r>
      <w:hyperlink r:id="rId45">
        <w:r>
          <w:rPr>
            <w:rFonts w:ascii="Times New Roman" w:eastAsia="Times New Roman"/>
          </w:rPr>
          <w:t>www.hcjijin.com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400-619-9059</w:t>
      </w:r>
    </w:p>
    <w:p>
      <w:pPr>
        <w:spacing w:after="0"/>
        <w:rPr>
          <w:rFonts w:ascii="Times New Roman" w:eastAsia="Times New Roman"/>
        </w:rPr>
        <w:sectPr>
          <w:pgSz w:w="11910" w:h="16840"/>
          <w:pgMar w:header="877" w:footer="0" w:top="1420" w:bottom="280" w:left="1260" w:right="1480"/>
        </w:sectPr>
      </w:pPr>
    </w:p>
    <w:p>
      <w:pPr>
        <w:pStyle w:val="ListParagraph"/>
        <w:numPr>
          <w:ilvl w:val="0"/>
          <w:numId w:val="9"/>
        </w:numPr>
        <w:tabs>
          <w:tab w:pos="1595" w:val="left" w:leader="none"/>
        </w:tabs>
        <w:spacing w:line="240" w:lineRule="auto" w:before="110" w:after="0"/>
        <w:ind w:left="1595" w:right="0" w:hanging="635"/>
        <w:jc w:val="left"/>
        <w:rPr>
          <w:sz w:val="21"/>
        </w:rPr>
      </w:pPr>
      <w:r>
        <w:rPr>
          <w:spacing w:val="-3"/>
          <w:sz w:val="21"/>
        </w:rPr>
        <w:t>北京唐鼎耀华基金销售有限公司</w:t>
      </w:r>
    </w:p>
    <w:p>
      <w:pPr>
        <w:pStyle w:val="BodyText"/>
        <w:spacing w:before="6"/>
        <w:rPr>
          <w:sz w:val="15"/>
        </w:rPr>
      </w:pPr>
    </w:p>
    <w:p>
      <w:pPr>
        <w:pStyle w:val="BodyText"/>
        <w:spacing w:line="417" w:lineRule="auto"/>
        <w:ind w:left="960" w:right="2635"/>
      </w:pPr>
      <w:r>
        <w:rPr>
          <w:spacing w:val="-6"/>
        </w:rPr>
        <w:t>住所：北京市延庆县延庆经济开发区百泉街 </w:t>
      </w:r>
      <w:r>
        <w:rPr>
          <w:rFonts w:ascii="Times New Roman" w:eastAsia="Times New Roman"/>
        </w:rPr>
        <w:t>10</w:t>
      </w:r>
      <w:r>
        <w:rPr>
          <w:rFonts w:ascii="Times New Roman" w:eastAsia="Times New Roman"/>
          <w:spacing w:val="4"/>
        </w:rPr>
        <w:t> </w:t>
      </w:r>
      <w:r>
        <w:rPr>
          <w:spacing w:val="-26"/>
        </w:rPr>
        <w:t>号 </w:t>
      </w:r>
      <w:r>
        <w:rPr>
          <w:rFonts w:ascii="Times New Roman" w:eastAsia="Times New Roman"/>
        </w:rPr>
        <w:t>2</w:t>
      </w:r>
      <w:r>
        <w:rPr>
          <w:rFonts w:ascii="Times New Roman" w:eastAsia="Times New Roman"/>
          <w:spacing w:val="2"/>
        </w:rPr>
        <w:t> </w:t>
      </w:r>
      <w:r>
        <w:rPr>
          <w:spacing w:val="-25"/>
        </w:rPr>
        <w:t>栋 </w:t>
      </w:r>
      <w:r>
        <w:rPr>
          <w:rFonts w:ascii="Times New Roman" w:eastAsia="Times New Roman"/>
        </w:rPr>
        <w:t>236</w:t>
      </w:r>
      <w:r>
        <w:rPr>
          <w:rFonts w:ascii="Times New Roman" w:eastAsia="Times New Roman"/>
          <w:spacing w:val="1"/>
        </w:rPr>
        <w:t> </w:t>
      </w:r>
      <w:r>
        <w:rPr/>
        <w:t>室</w:t>
      </w:r>
      <w:r>
        <w:rPr>
          <w:spacing w:val="-5"/>
        </w:rPr>
        <w:t>办公地址：北京市朝阳区建国门外大街 </w:t>
      </w:r>
      <w:r>
        <w:rPr>
          <w:rFonts w:ascii="Times New Roman" w:eastAsia="Times New Roman"/>
        </w:rPr>
        <w:t>19</w:t>
      </w:r>
      <w:r>
        <w:rPr>
          <w:rFonts w:ascii="Times New Roman" w:eastAsia="Times New Roman"/>
          <w:spacing w:val="19"/>
        </w:rPr>
        <w:t> </w:t>
      </w:r>
      <w:r>
        <w:rPr>
          <w:spacing w:val="50"/>
        </w:rPr>
        <w:t>号</w:t>
      </w:r>
      <w:r>
        <w:rPr>
          <w:rFonts w:ascii="Times New Roman" w:eastAsia="Times New Roman"/>
        </w:rPr>
        <w:t>A</w:t>
      </w:r>
      <w:r>
        <w:rPr>
          <w:rFonts w:ascii="Times New Roman" w:eastAsia="Times New Roman"/>
          <w:spacing w:val="18"/>
        </w:rPr>
        <w:t> </w:t>
      </w:r>
      <w:r>
        <w:rPr>
          <w:spacing w:val="-17"/>
        </w:rPr>
        <w:t>座 </w:t>
      </w:r>
      <w:r>
        <w:rPr>
          <w:rFonts w:ascii="Times New Roman" w:eastAsia="Times New Roman"/>
        </w:rPr>
        <w:t>1505</w:t>
      </w:r>
      <w:r>
        <w:rPr>
          <w:rFonts w:ascii="Times New Roman" w:eastAsia="Times New Roman"/>
          <w:spacing w:val="18"/>
        </w:rPr>
        <w:t> </w:t>
      </w:r>
      <w:r>
        <w:rPr/>
        <w:t>室 </w:t>
      </w:r>
      <w:r>
        <w:rPr>
          <w:spacing w:val="-3"/>
        </w:rPr>
        <w:t>法定代表人：张冠宇</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010-85932810</w:t>
      </w:r>
    </w:p>
    <w:p>
      <w:pPr>
        <w:pStyle w:val="BodyText"/>
        <w:spacing w:before="4"/>
        <w:rPr>
          <w:rFonts w:ascii="Times New Roman"/>
          <w:sz w:val="17"/>
        </w:rPr>
      </w:pPr>
    </w:p>
    <w:p>
      <w:pPr>
        <w:pStyle w:val="BodyText"/>
        <w:ind w:left="960"/>
      </w:pPr>
      <w:r>
        <w:rPr/>
        <w:t>联系人：王丽敏</w:t>
      </w:r>
    </w:p>
    <w:p>
      <w:pPr>
        <w:pStyle w:val="BodyText"/>
        <w:spacing w:before="6"/>
        <w:rPr>
          <w:sz w:val="15"/>
        </w:rPr>
      </w:pPr>
    </w:p>
    <w:p>
      <w:pPr>
        <w:pStyle w:val="BodyText"/>
        <w:spacing w:line="417" w:lineRule="auto" w:before="1"/>
        <w:ind w:left="960" w:right="5221"/>
        <w:rPr>
          <w:rFonts w:ascii="Times New Roman" w:eastAsia="Times New Roman"/>
        </w:rPr>
      </w:pPr>
      <w:r>
        <w:rPr/>
        <w:t>网址：</w:t>
      </w:r>
      <w:r>
        <w:rPr>
          <w:rFonts w:ascii="Times New Roman" w:eastAsia="Times New Roman"/>
        </w:rPr>
        <w:t>https://</w:t>
      </w:r>
      <w:hyperlink r:id="rId46">
        <w:r>
          <w:rPr>
            <w:rFonts w:ascii="Times New Roman" w:eastAsia="Times New Roman"/>
          </w:rPr>
          <w:t>www.tdyhfund.com/ </w:t>
        </w:r>
      </w:hyperlink>
      <w:r>
        <w:rPr/>
        <w:t>客户服务电话：</w:t>
      </w:r>
      <w:r>
        <w:rPr>
          <w:rFonts w:ascii="Times New Roman" w:eastAsia="Times New Roman"/>
        </w:rPr>
        <w:t>400-819-9868</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北京植信基金销售有限公司</w:t>
      </w:r>
    </w:p>
    <w:p>
      <w:pPr>
        <w:pStyle w:val="BodyText"/>
        <w:spacing w:before="6"/>
        <w:rPr>
          <w:sz w:val="15"/>
        </w:rPr>
      </w:pPr>
    </w:p>
    <w:p>
      <w:pPr>
        <w:pStyle w:val="BodyText"/>
        <w:spacing w:before="1"/>
        <w:ind w:left="960"/>
        <w:rPr>
          <w:rFonts w:ascii="Times New Roman" w:eastAsia="Times New Roman"/>
        </w:rPr>
      </w:pPr>
      <w:r>
        <w:rPr/>
        <w:t>住所：北京市密云县兴盛南路 </w:t>
      </w:r>
      <w:r>
        <w:rPr>
          <w:rFonts w:ascii="Times New Roman" w:eastAsia="Times New Roman"/>
        </w:rPr>
        <w:t>8 </w:t>
      </w:r>
      <w:r>
        <w:rPr/>
        <w:t>号院 </w:t>
      </w:r>
      <w:r>
        <w:rPr>
          <w:rFonts w:ascii="Times New Roman" w:eastAsia="Times New Roman"/>
        </w:rPr>
        <w:t>2 </w:t>
      </w:r>
      <w:r>
        <w:rPr/>
        <w:t>号楼 </w:t>
      </w:r>
      <w:r>
        <w:rPr>
          <w:rFonts w:ascii="Times New Roman" w:eastAsia="Times New Roman"/>
        </w:rPr>
        <w:t>106-67</w:t>
      </w:r>
    </w:p>
    <w:p>
      <w:pPr>
        <w:pStyle w:val="BodyText"/>
        <w:spacing w:before="3"/>
        <w:rPr>
          <w:rFonts w:ascii="Times New Roman"/>
          <w:sz w:val="17"/>
        </w:rPr>
      </w:pPr>
    </w:p>
    <w:p>
      <w:pPr>
        <w:pStyle w:val="BodyText"/>
        <w:spacing w:line="417" w:lineRule="auto"/>
        <w:ind w:left="960" w:right="3623"/>
      </w:pPr>
      <w:r>
        <w:rPr/>
        <w:t>办公地址：北京市朝阳区盛世龙源国食苑 </w:t>
      </w:r>
      <w:r>
        <w:rPr>
          <w:rFonts w:ascii="Times New Roman" w:eastAsia="Times New Roman"/>
        </w:rPr>
        <w:t>10 </w:t>
      </w:r>
      <w:r>
        <w:rPr/>
        <w:t>号楼法定代表人：王军辉</w:t>
      </w:r>
    </w:p>
    <w:p>
      <w:pPr>
        <w:pStyle w:val="BodyText"/>
        <w:spacing w:line="417" w:lineRule="auto"/>
        <w:ind w:left="960" w:right="5541"/>
      </w:pPr>
      <w:r>
        <w:rPr/>
        <w:t>客户服务电话：</w:t>
      </w:r>
      <w:r>
        <w:rPr>
          <w:rFonts w:ascii="Times New Roman" w:eastAsia="Times New Roman"/>
        </w:rPr>
        <w:t>400-680-2123 </w:t>
      </w:r>
      <w:r>
        <w:rPr/>
        <w:t>联系人：吴鹏</w:t>
      </w:r>
    </w:p>
    <w:p>
      <w:pPr>
        <w:pStyle w:val="BodyText"/>
        <w:ind w:left="960"/>
        <w:rPr>
          <w:rFonts w:ascii="Times New Roman" w:eastAsia="Times New Roman"/>
        </w:rPr>
      </w:pPr>
      <w:r>
        <w:rPr/>
        <w:t>网址：</w:t>
      </w:r>
      <w:hyperlink r:id="rId47">
        <w:r>
          <w:rPr>
            <w:rFonts w:ascii="Times New Roman" w:eastAsia="Times New Roman"/>
          </w:rPr>
          <w:t>www.zhixin-inv.com</w:t>
        </w:r>
      </w:hyperlink>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海银基金销售有限公司</w:t>
      </w:r>
    </w:p>
    <w:p>
      <w:pPr>
        <w:pStyle w:val="BodyText"/>
        <w:spacing w:before="7"/>
        <w:rPr>
          <w:sz w:val="15"/>
        </w:rPr>
      </w:pPr>
    </w:p>
    <w:p>
      <w:pPr>
        <w:pStyle w:val="BodyText"/>
        <w:ind w:left="960"/>
      </w:pPr>
      <w:r>
        <w:rPr/>
        <w:t>住所：上海市自由贸易试验区银城中路 </w:t>
      </w:r>
      <w:r>
        <w:rPr>
          <w:rFonts w:ascii="Times New Roman" w:eastAsia="Times New Roman"/>
        </w:rPr>
        <w:t>8 </w:t>
      </w:r>
      <w:r>
        <w:rPr/>
        <w:t>号 </w:t>
      </w:r>
      <w:r>
        <w:rPr>
          <w:rFonts w:ascii="Times New Roman" w:eastAsia="Times New Roman"/>
        </w:rPr>
        <w:t>4 </w:t>
      </w:r>
      <w:r>
        <w:rPr/>
        <w:t>楼</w:t>
      </w:r>
    </w:p>
    <w:p>
      <w:pPr>
        <w:pStyle w:val="BodyText"/>
        <w:spacing w:before="7"/>
        <w:rPr>
          <w:sz w:val="15"/>
        </w:rPr>
      </w:pPr>
    </w:p>
    <w:p>
      <w:pPr>
        <w:pStyle w:val="BodyText"/>
        <w:spacing w:line="417" w:lineRule="auto"/>
        <w:ind w:left="960" w:right="3369"/>
      </w:pPr>
      <w:r>
        <w:rPr>
          <w:spacing w:val="-6"/>
        </w:rPr>
        <w:t>办公地址：上海市自由贸易试验区银城中路 </w:t>
      </w:r>
      <w:r>
        <w:rPr>
          <w:rFonts w:ascii="Times New Roman" w:eastAsia="Times New Roman"/>
        </w:rPr>
        <w:t>8 </w:t>
      </w:r>
      <w:r>
        <w:rPr>
          <w:spacing w:val="-24"/>
        </w:rPr>
        <w:t>号 </w:t>
      </w:r>
      <w:r>
        <w:rPr>
          <w:rFonts w:ascii="Times New Roman" w:eastAsia="Times New Roman"/>
        </w:rPr>
        <w:t>4 </w:t>
      </w:r>
      <w:r>
        <w:rPr/>
        <w:t>楼</w:t>
      </w:r>
      <w:r>
        <w:rPr>
          <w:spacing w:val="-3"/>
        </w:rPr>
        <w:t>法定代表人：惠晓川</w:t>
      </w:r>
    </w:p>
    <w:p>
      <w:pPr>
        <w:pStyle w:val="BodyText"/>
        <w:spacing w:line="417" w:lineRule="auto"/>
        <w:ind w:left="960" w:right="634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ind w:left="960"/>
      </w:pPr>
      <w:r>
        <w:rPr/>
        <w:t>联系人：秦琼</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48">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上海大智慧基金销售有限公司</w:t>
      </w:r>
    </w:p>
    <w:p>
      <w:pPr>
        <w:pStyle w:val="BodyText"/>
        <w:spacing w:before="7"/>
        <w:rPr>
          <w:sz w:val="15"/>
        </w:rPr>
      </w:pPr>
    </w:p>
    <w:p>
      <w:pPr>
        <w:pStyle w:val="BodyText"/>
        <w:ind w:left="960"/>
      </w:pPr>
      <w:r>
        <w:rPr/>
        <w:t>住所：中国（上海）自由贸易试验区杨高南路 </w:t>
      </w:r>
      <w:r>
        <w:rPr>
          <w:rFonts w:ascii="Times New Roman" w:eastAsia="Times New Roman"/>
        </w:rPr>
        <w:t>428 </w:t>
      </w:r>
      <w:r>
        <w:rPr/>
        <w:t>号 </w:t>
      </w:r>
      <w:r>
        <w:rPr>
          <w:rFonts w:ascii="Times New Roman" w:eastAsia="Times New Roman"/>
        </w:rPr>
        <w:t>1 </w:t>
      </w:r>
      <w:r>
        <w:rPr/>
        <w:t>号楼 </w:t>
      </w:r>
      <w:r>
        <w:rPr>
          <w:rFonts w:ascii="Times New Roman" w:eastAsia="Times New Roman"/>
        </w:rPr>
        <w:t>1102 </w:t>
      </w:r>
      <w:r>
        <w:rPr/>
        <w:t>单元</w:t>
      </w:r>
    </w:p>
    <w:p>
      <w:pPr>
        <w:pStyle w:val="BodyText"/>
        <w:spacing w:before="7"/>
        <w:rPr>
          <w:sz w:val="15"/>
        </w:rPr>
      </w:pPr>
    </w:p>
    <w:p>
      <w:pPr>
        <w:pStyle w:val="BodyText"/>
        <w:spacing w:line="417" w:lineRule="auto"/>
        <w:ind w:left="960" w:right="1382"/>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428 </w:t>
      </w:r>
      <w:r>
        <w:rPr>
          <w:spacing w:val="-25"/>
        </w:rPr>
        <w:t>号 </w:t>
      </w:r>
      <w:r>
        <w:rPr>
          <w:rFonts w:ascii="Times New Roman" w:eastAsia="Times New Roman"/>
        </w:rPr>
        <w:t>1 </w:t>
      </w:r>
      <w:r>
        <w:rPr>
          <w:spacing w:val="-17"/>
        </w:rPr>
        <w:t>号楼 </w:t>
      </w:r>
      <w:r>
        <w:rPr>
          <w:rFonts w:ascii="Times New Roman" w:eastAsia="Times New Roman"/>
          <w:spacing w:val="-3"/>
        </w:rPr>
        <w:t>1102 </w:t>
      </w:r>
      <w:r>
        <w:rPr/>
        <w:t>单元</w:t>
      </w:r>
      <w:r>
        <w:rPr>
          <w:spacing w:val="-3"/>
        </w:rPr>
        <w:t>法定代表人：申健</w:t>
      </w:r>
    </w:p>
    <w:p>
      <w:pPr>
        <w:pStyle w:val="BodyText"/>
        <w:spacing w:line="417" w:lineRule="auto"/>
        <w:ind w:left="960" w:right="634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spacing w:after="0" w:line="417" w:lineRule="auto"/>
        <w:rPr>
          <w:rFonts w:ascii="Times New Roman" w:eastAsia="Times New Roman"/>
        </w:rPr>
        <w:sectPr>
          <w:pgSz w:w="11910" w:h="16840"/>
          <w:pgMar w:header="877" w:footer="0" w:top="1420" w:bottom="280" w:left="1260" w:right="1480"/>
        </w:sectPr>
      </w:pPr>
    </w:p>
    <w:p>
      <w:pPr>
        <w:pStyle w:val="BodyText"/>
        <w:spacing w:before="110"/>
        <w:ind w:left="960"/>
      </w:pPr>
      <w:r>
        <w:rPr/>
        <w:t>联系人：张蜓</w:t>
      </w:r>
    </w:p>
    <w:p>
      <w:pPr>
        <w:pStyle w:val="BodyText"/>
        <w:spacing w:before="6"/>
        <w:rPr>
          <w:sz w:val="15"/>
        </w:rPr>
      </w:pPr>
    </w:p>
    <w:p>
      <w:pPr>
        <w:pStyle w:val="BodyText"/>
        <w:spacing w:line="417" w:lineRule="auto"/>
        <w:ind w:left="960" w:right="5505"/>
        <w:rPr>
          <w:rFonts w:ascii="Times New Roman" w:eastAsia="Times New Roman"/>
        </w:rPr>
      </w:pPr>
      <w:r>
        <w:rPr/>
        <w:t>网址：</w:t>
      </w:r>
      <w:r>
        <w:rPr>
          <w:rFonts w:ascii="Times New Roman" w:eastAsia="Times New Roman"/>
        </w:rPr>
        <w:t>https://</w:t>
      </w:r>
      <w:hyperlink r:id="rId49">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深圳市金海九州基金销售有限公司</w:t>
      </w:r>
    </w:p>
    <w:p>
      <w:pPr>
        <w:pStyle w:val="BodyText"/>
        <w:spacing w:before="7"/>
        <w:rPr>
          <w:sz w:val="15"/>
        </w:rPr>
      </w:pPr>
    </w:p>
    <w:p>
      <w:pPr>
        <w:pStyle w:val="BodyText"/>
        <w:spacing w:line="417" w:lineRule="auto"/>
        <w:ind w:left="540" w:right="320" w:firstLine="419"/>
      </w:pPr>
      <w:r>
        <w:rPr/>
        <w:t>住所：深圳市前海深港合作区前湾一路 </w:t>
      </w:r>
      <w:r>
        <w:rPr>
          <w:rFonts w:ascii="Times New Roman" w:eastAsia="Times New Roman"/>
        </w:rPr>
        <w:t>1 </w:t>
      </w:r>
      <w:r>
        <w:rPr/>
        <w:t>号</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17" w:lineRule="auto"/>
        <w:ind w:left="960" w:right="3417"/>
      </w:pPr>
      <w:r>
        <w:rPr/>
        <w:t>办公地址：深圳市福田区富德生命保险大厦 </w:t>
      </w:r>
      <w:r>
        <w:rPr>
          <w:rFonts w:ascii="Times New Roman" w:eastAsia="Times New Roman"/>
        </w:rPr>
        <w:t>1106 </w:t>
      </w:r>
      <w:r>
        <w:rPr/>
        <w:t>室法定代表人：彭维熙</w:t>
      </w:r>
    </w:p>
    <w:p>
      <w:pPr>
        <w:pStyle w:val="BodyText"/>
        <w:spacing w:line="417" w:lineRule="auto"/>
        <w:ind w:left="960" w:right="624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spacing w:line="269" w:lineRule="exact"/>
        <w:ind w:left="960"/>
      </w:pPr>
      <w:r>
        <w:rPr/>
        <w:t>联系人：彭维熙</w:t>
      </w:r>
    </w:p>
    <w:p>
      <w:pPr>
        <w:pStyle w:val="BodyText"/>
        <w:spacing w:before="7"/>
        <w:rPr>
          <w:sz w:val="15"/>
        </w:rPr>
      </w:pPr>
    </w:p>
    <w:p>
      <w:pPr>
        <w:pStyle w:val="BodyText"/>
        <w:ind w:left="960"/>
        <w:rPr>
          <w:rFonts w:ascii="Times New Roman" w:eastAsia="Times New Roman"/>
        </w:rPr>
      </w:pPr>
      <w:r>
        <w:rPr/>
        <w:t>网址：</w:t>
      </w:r>
      <w:hyperlink r:id="rId50">
        <w:r>
          <w:rPr>
            <w:rFonts w:ascii="Times New Roman" w:eastAsia="Times New Roman"/>
          </w:rPr>
          <w:t>www.jhjzfund.com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400-099-3333</w:t>
      </w:r>
    </w:p>
    <w:p>
      <w:pPr>
        <w:pStyle w:val="BodyText"/>
        <w:spacing w:before="4"/>
        <w:rPr>
          <w:rFonts w:ascii="Times New Roman"/>
          <w:sz w:val="17"/>
        </w:rPr>
      </w:pPr>
    </w:p>
    <w:p>
      <w:pPr>
        <w:pStyle w:val="ListParagraph"/>
        <w:numPr>
          <w:ilvl w:val="0"/>
          <w:numId w:val="9"/>
        </w:numPr>
        <w:tabs>
          <w:tab w:pos="1595" w:val="left" w:leader="none"/>
        </w:tabs>
        <w:spacing w:line="417" w:lineRule="auto" w:before="0" w:after="0"/>
        <w:ind w:left="960" w:right="3998"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 </w:t>
      </w:r>
      <w:r>
        <w:rPr>
          <w:spacing w:val="-6"/>
          <w:sz w:val="21"/>
        </w:rPr>
        <w:t>住所：辽宁省大连市沙河口区星海中龙园 </w:t>
      </w:r>
      <w:r>
        <w:rPr>
          <w:rFonts w:ascii="Times New Roman" w:eastAsia="Times New Roman"/>
          <w:sz w:val="21"/>
        </w:rPr>
        <w:t>3</w:t>
      </w:r>
      <w:r>
        <w:rPr>
          <w:rFonts w:ascii="Times New Roman" w:eastAsia="Times New Roman"/>
          <w:spacing w:val="10"/>
          <w:sz w:val="21"/>
        </w:rPr>
        <w:t> </w:t>
      </w:r>
      <w:r>
        <w:rPr>
          <w:spacing w:val="-11"/>
          <w:sz w:val="21"/>
        </w:rPr>
        <w:t>号</w:t>
      </w:r>
    </w:p>
    <w:p>
      <w:pPr>
        <w:pStyle w:val="BodyText"/>
        <w:spacing w:line="417" w:lineRule="auto"/>
        <w:ind w:left="960" w:right="3517"/>
      </w:pPr>
      <w:r>
        <w:rPr/>
        <w:t>办公地址：辽宁省大连市沙河口区星海中龙园 </w:t>
      </w:r>
      <w:r>
        <w:rPr>
          <w:rFonts w:ascii="Times New Roman" w:eastAsia="Times New Roman"/>
        </w:rPr>
        <w:t>3 </w:t>
      </w:r>
      <w:r>
        <w:rPr/>
        <w:t>号法定代表人：李春光</w:t>
      </w:r>
    </w:p>
    <w:p>
      <w:pPr>
        <w:pStyle w:val="BodyText"/>
        <w:spacing w:line="417" w:lineRule="auto"/>
        <w:ind w:left="960" w:right="586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ind w:left="960"/>
      </w:pPr>
      <w:r>
        <w:rPr/>
        <w:t>联系人：张晓辉</w:t>
      </w:r>
    </w:p>
    <w:p>
      <w:pPr>
        <w:pStyle w:val="BodyText"/>
        <w:spacing w:before="6"/>
        <w:rPr>
          <w:sz w:val="15"/>
        </w:rPr>
      </w:pPr>
    </w:p>
    <w:p>
      <w:pPr>
        <w:pStyle w:val="BodyText"/>
        <w:spacing w:line="417" w:lineRule="auto"/>
        <w:ind w:left="960" w:right="5549"/>
        <w:rPr>
          <w:rFonts w:ascii="Times New Roman" w:eastAsia="Times New Roman"/>
        </w:rPr>
      </w:pPr>
      <w:r>
        <w:rPr/>
        <w:t>网址：</w:t>
      </w:r>
      <w:hyperlink r:id="rId51">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9"/>
        </w:numPr>
        <w:tabs>
          <w:tab w:pos="1595" w:val="left" w:leader="none"/>
        </w:tabs>
        <w:spacing w:line="240" w:lineRule="auto" w:before="1" w:after="0"/>
        <w:ind w:left="1595" w:right="0" w:hanging="635"/>
        <w:jc w:val="left"/>
        <w:rPr>
          <w:sz w:val="21"/>
        </w:rPr>
      </w:pPr>
      <w:r>
        <w:rPr>
          <w:spacing w:val="-3"/>
          <w:sz w:val="21"/>
        </w:rPr>
        <w:t>上海基煜基金销售有限公司</w:t>
      </w:r>
    </w:p>
    <w:p>
      <w:pPr>
        <w:pStyle w:val="BodyText"/>
        <w:spacing w:before="6"/>
        <w:rPr>
          <w:sz w:val="15"/>
        </w:rPr>
      </w:pPr>
    </w:p>
    <w:p>
      <w:pPr>
        <w:pStyle w:val="BodyText"/>
        <w:ind w:left="960"/>
      </w:pPr>
      <w:r>
        <w:rPr/>
        <w:t>住所：上海市崇明县长兴镇路潘园公路 </w:t>
      </w:r>
      <w:r>
        <w:rPr>
          <w:rFonts w:ascii="Times New Roman" w:eastAsia="Times New Roman"/>
        </w:rPr>
        <w:t>1800 </w:t>
      </w:r>
      <w:r>
        <w:rPr/>
        <w:t>号 </w:t>
      </w:r>
      <w:r>
        <w:rPr>
          <w:rFonts w:ascii="Times New Roman" w:eastAsia="Times New Roman"/>
        </w:rPr>
        <w:t>2 </w:t>
      </w:r>
      <w:r>
        <w:rPr/>
        <w:t>号楼 </w:t>
      </w:r>
      <w:r>
        <w:rPr>
          <w:rFonts w:ascii="Times New Roman" w:eastAsia="Times New Roman"/>
        </w:rPr>
        <w:t>6153 </w:t>
      </w:r>
      <w:r>
        <w:rPr/>
        <w:t>室（上海泰和经济发展区）</w:t>
      </w:r>
    </w:p>
    <w:p>
      <w:pPr>
        <w:pStyle w:val="BodyText"/>
        <w:spacing w:before="7"/>
        <w:rPr>
          <w:sz w:val="15"/>
        </w:rPr>
      </w:pPr>
    </w:p>
    <w:p>
      <w:pPr>
        <w:pStyle w:val="BodyText"/>
        <w:spacing w:line="417" w:lineRule="auto"/>
        <w:ind w:left="960" w:right="2212"/>
      </w:pPr>
      <w:r>
        <w:rPr>
          <w:spacing w:val="-6"/>
        </w:rPr>
        <w:t>办公地址：上海市浦东新区银城中路 </w:t>
      </w:r>
      <w:r>
        <w:rPr>
          <w:rFonts w:ascii="Times New Roman" w:eastAsia="Times New Roman"/>
        </w:rPr>
        <w:t>488 </w:t>
      </w:r>
      <w:r>
        <w:rPr>
          <w:spacing w:val="-9"/>
        </w:rPr>
        <w:t>号太平金融大厦 </w:t>
      </w:r>
      <w:r>
        <w:rPr>
          <w:rFonts w:ascii="Times New Roman" w:eastAsia="Times New Roman"/>
        </w:rPr>
        <w:t>1503 </w:t>
      </w:r>
      <w:r>
        <w:rPr/>
        <w:t>室</w:t>
      </w:r>
      <w:r>
        <w:rPr>
          <w:spacing w:val="-3"/>
        </w:rPr>
        <w:t>法定代表人：王翔</w:t>
      </w:r>
    </w:p>
    <w:p>
      <w:pPr>
        <w:pStyle w:val="BodyText"/>
        <w:spacing w:line="417" w:lineRule="auto"/>
        <w:ind w:left="960" w:right="592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ind w:left="960"/>
      </w:pPr>
      <w:r>
        <w:rPr/>
        <w:t>联系人：蓝杰</w:t>
      </w:r>
    </w:p>
    <w:p>
      <w:pPr>
        <w:pStyle w:val="BodyText"/>
        <w:spacing w:before="6"/>
        <w:rPr>
          <w:sz w:val="15"/>
        </w:rPr>
      </w:pPr>
    </w:p>
    <w:p>
      <w:pPr>
        <w:pStyle w:val="BodyText"/>
        <w:ind w:left="960"/>
        <w:rPr>
          <w:rFonts w:ascii="Times New Roman" w:eastAsia="Times New Roman"/>
        </w:rPr>
      </w:pPr>
      <w:r>
        <w:rPr/>
        <w:t>网址：</w:t>
      </w:r>
      <w:hyperlink r:id="rId52">
        <w:r>
          <w:rPr>
            <w:rFonts w:ascii="Times New Roman" w:eastAsia="Times New Roman"/>
          </w:rPr>
          <w:t>www.jiyufund.com.cn</w:t>
        </w:r>
      </w:hyperlink>
    </w:p>
    <w:p>
      <w:pPr>
        <w:spacing w:after="0"/>
        <w:rPr>
          <w:rFonts w:ascii="Times New Roman" w:eastAsia="Times New Roman"/>
        </w:rPr>
        <w:sectPr>
          <w:pgSz w:w="11910" w:h="16840"/>
          <w:pgMar w:header="877" w:footer="0" w:top="1420" w:bottom="2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400-820-5369</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上海攀赢基金销售有限公司</w:t>
      </w:r>
    </w:p>
    <w:p>
      <w:pPr>
        <w:pStyle w:val="BodyText"/>
        <w:spacing w:before="7"/>
        <w:rPr>
          <w:sz w:val="15"/>
        </w:rPr>
      </w:pPr>
    </w:p>
    <w:p>
      <w:pPr>
        <w:pStyle w:val="BodyText"/>
        <w:ind w:left="960"/>
      </w:pPr>
      <w:r>
        <w:rPr/>
        <w:t>住所：上海市闸北区广中西路 </w:t>
      </w:r>
      <w:r>
        <w:rPr>
          <w:rFonts w:ascii="Times New Roman" w:eastAsia="Times New Roman"/>
        </w:rPr>
        <w:t>1207 </w:t>
      </w:r>
      <w:r>
        <w:rPr/>
        <w:t>号 </w:t>
      </w:r>
      <w:r>
        <w:rPr>
          <w:rFonts w:ascii="Times New Roman" w:eastAsia="Times New Roman"/>
        </w:rPr>
        <w:t>306 </w:t>
      </w:r>
      <w:r>
        <w:rPr/>
        <w:t>室</w:t>
      </w:r>
    </w:p>
    <w:p>
      <w:pPr>
        <w:pStyle w:val="BodyText"/>
        <w:spacing w:before="6"/>
        <w:rPr>
          <w:sz w:val="15"/>
        </w:rPr>
      </w:pPr>
    </w:p>
    <w:p>
      <w:pPr>
        <w:pStyle w:val="BodyText"/>
        <w:spacing w:line="417" w:lineRule="auto" w:before="1"/>
        <w:ind w:left="960" w:right="2956"/>
      </w:pPr>
      <w:r>
        <w:rPr>
          <w:spacing w:val="-6"/>
        </w:rPr>
        <w:t>办公地址：上海市陆家嘴银城路 </w:t>
      </w:r>
      <w:r>
        <w:rPr>
          <w:rFonts w:ascii="Times New Roman" w:eastAsia="Times New Roman"/>
          <w:spacing w:val="-4"/>
        </w:rPr>
        <w:t>116 </w:t>
      </w:r>
      <w:r>
        <w:rPr>
          <w:spacing w:val="-9"/>
        </w:rPr>
        <w:t>号大华银行大厦 </w:t>
      </w:r>
      <w:r>
        <w:rPr>
          <w:rFonts w:ascii="Times New Roman" w:eastAsia="Times New Roman"/>
        </w:rPr>
        <w:t>7 </w:t>
      </w:r>
      <w:r>
        <w:rPr/>
        <w:t>楼</w:t>
      </w:r>
      <w:r>
        <w:rPr>
          <w:spacing w:val="-3"/>
        </w:rPr>
        <w:t>法定代表人：沈茹意</w:t>
      </w:r>
    </w:p>
    <w:p>
      <w:pPr>
        <w:pStyle w:val="BodyText"/>
        <w:spacing w:line="417" w:lineRule="auto"/>
        <w:ind w:left="960" w:right="6346"/>
        <w:rPr>
          <w:rFonts w:ascii="Times New Roman" w:eastAsia="Times New Roman"/>
        </w:rPr>
      </w:pPr>
      <w:r>
        <w:rPr/>
        <w:t>电话：</w:t>
      </w:r>
      <w:r>
        <w:rPr>
          <w:rFonts w:ascii="Times New Roman" w:eastAsia="Times New Roman"/>
        </w:rPr>
        <w:t>15317992110 </w:t>
      </w:r>
      <w:r>
        <w:rPr/>
        <w:t>传真：</w:t>
      </w:r>
      <w:r>
        <w:rPr>
          <w:rFonts w:ascii="Times New Roman" w:eastAsia="Times New Roman"/>
        </w:rPr>
        <w:t>021-68889283</w:t>
      </w:r>
    </w:p>
    <w:p>
      <w:pPr>
        <w:pStyle w:val="BodyText"/>
        <w:ind w:left="960"/>
      </w:pPr>
      <w:r>
        <w:rPr/>
        <w:t>联系人：孟召社</w:t>
      </w:r>
    </w:p>
    <w:p>
      <w:pPr>
        <w:pStyle w:val="BodyText"/>
        <w:spacing w:before="6"/>
        <w:rPr>
          <w:sz w:val="15"/>
        </w:rPr>
      </w:pPr>
    </w:p>
    <w:p>
      <w:pPr>
        <w:pStyle w:val="BodyText"/>
        <w:ind w:left="960"/>
        <w:rPr>
          <w:rFonts w:ascii="Times New Roman" w:eastAsia="Times New Roman"/>
        </w:rPr>
      </w:pPr>
      <w:r>
        <w:rPr/>
        <w:t>网址：</w:t>
      </w:r>
      <w:hyperlink r:id="rId53">
        <w:r>
          <w:rPr>
            <w:rFonts w:ascii="Times New Roman" w:eastAsia="Times New Roman"/>
          </w:rPr>
          <w:t>http://www.pytz.cn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021-68889082</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上海陆金所基金销售有限公司</w:t>
      </w:r>
    </w:p>
    <w:p>
      <w:pPr>
        <w:pStyle w:val="BodyText"/>
        <w:spacing w:before="7"/>
        <w:rPr>
          <w:sz w:val="15"/>
        </w:rPr>
      </w:pPr>
    </w:p>
    <w:p>
      <w:pPr>
        <w:pStyle w:val="BodyText"/>
        <w:ind w:left="960"/>
      </w:pPr>
      <w:r>
        <w:rPr/>
        <w:t>住所：上海市浦东新区陆家嘴环路 </w:t>
      </w:r>
      <w:r>
        <w:rPr>
          <w:rFonts w:ascii="Times New Roman" w:eastAsia="Times New Roman"/>
        </w:rPr>
        <w:t>1333 </w:t>
      </w:r>
      <w:r>
        <w:rPr/>
        <w:t>号 </w:t>
      </w:r>
      <w:r>
        <w:rPr>
          <w:rFonts w:ascii="Times New Roman" w:eastAsia="Times New Roman"/>
        </w:rPr>
        <w:t>14 </w:t>
      </w:r>
      <w:r>
        <w:rPr/>
        <w:t>楼 </w:t>
      </w:r>
      <w:r>
        <w:rPr>
          <w:rFonts w:ascii="Times New Roman" w:eastAsia="Times New Roman"/>
        </w:rPr>
        <w:t>09 </w:t>
      </w:r>
      <w:r>
        <w:rPr/>
        <w:t>单元</w:t>
      </w:r>
    </w:p>
    <w:p>
      <w:pPr>
        <w:pStyle w:val="BodyText"/>
        <w:spacing w:before="7"/>
        <w:rPr>
          <w:sz w:val="15"/>
        </w:rPr>
      </w:pPr>
    </w:p>
    <w:p>
      <w:pPr>
        <w:pStyle w:val="BodyText"/>
        <w:spacing w:line="417" w:lineRule="auto"/>
        <w:ind w:left="960" w:right="3833"/>
      </w:pPr>
      <w:r>
        <w:rPr/>
        <w:t>办公地址：上海市浦东新区陆家嘴环路 </w:t>
      </w:r>
      <w:r>
        <w:rPr>
          <w:rFonts w:ascii="Times New Roman" w:eastAsia="Times New Roman"/>
        </w:rPr>
        <w:t>1333 </w:t>
      </w:r>
      <w:r>
        <w:rPr/>
        <w:t>号法定代表人：王之光</w:t>
      </w:r>
    </w:p>
    <w:p>
      <w:pPr>
        <w:pStyle w:val="BodyText"/>
        <w:spacing w:line="417" w:lineRule="auto"/>
        <w:ind w:left="960" w:right="6346"/>
        <w:rPr>
          <w:rFonts w:ascii="Times New Roman" w:eastAsia="Times New Roman"/>
        </w:rPr>
      </w:pPr>
      <w:r>
        <w:rPr/>
        <w:t>电话：</w:t>
      </w:r>
      <w:r>
        <w:rPr>
          <w:rFonts w:ascii="Times New Roman" w:eastAsia="Times New Roman"/>
        </w:rPr>
        <w:t>021-20665952 </w:t>
      </w:r>
      <w:r>
        <w:rPr/>
        <w:t>传真：</w:t>
      </w:r>
      <w:r>
        <w:rPr>
          <w:rFonts w:ascii="Times New Roman" w:eastAsia="Times New Roman"/>
        </w:rPr>
        <w:t>021-22066653</w:t>
      </w:r>
    </w:p>
    <w:p>
      <w:pPr>
        <w:pStyle w:val="BodyText"/>
        <w:spacing w:line="269" w:lineRule="exact"/>
        <w:ind w:left="960"/>
      </w:pPr>
      <w:r>
        <w:rPr/>
        <w:t>联系人：宁博宇</w:t>
      </w:r>
    </w:p>
    <w:p>
      <w:pPr>
        <w:pStyle w:val="BodyText"/>
        <w:spacing w:before="6"/>
        <w:rPr>
          <w:sz w:val="15"/>
        </w:rPr>
      </w:pPr>
    </w:p>
    <w:p>
      <w:pPr>
        <w:pStyle w:val="BodyText"/>
        <w:spacing w:before="1"/>
        <w:ind w:left="960"/>
        <w:rPr>
          <w:rFonts w:ascii="Times New Roman" w:eastAsia="Times New Roman"/>
        </w:rPr>
      </w:pPr>
      <w:r>
        <w:rPr/>
        <w:t>网址：</w:t>
      </w:r>
      <w:hyperlink r:id="rId54">
        <w:r>
          <w:rPr>
            <w:rFonts w:ascii="Times New Roman" w:eastAsia="Times New Roman"/>
          </w:rPr>
          <w:t>www.lufunds.com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400-821-9031</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珠海盈米基金销售有限公司</w:t>
      </w:r>
    </w:p>
    <w:p>
      <w:pPr>
        <w:pStyle w:val="BodyText"/>
        <w:spacing w:before="7"/>
        <w:rPr>
          <w:sz w:val="15"/>
        </w:rPr>
      </w:pPr>
    </w:p>
    <w:p>
      <w:pPr>
        <w:pStyle w:val="BodyText"/>
        <w:ind w:left="960"/>
        <w:rPr>
          <w:rFonts w:ascii="Times New Roman" w:eastAsia="Times New Roman"/>
        </w:rPr>
      </w:pPr>
      <w:r>
        <w:rPr/>
        <w:t>住所：珠海市横琴新区宝华路 </w:t>
      </w:r>
      <w:r>
        <w:rPr>
          <w:rFonts w:ascii="Times New Roman" w:eastAsia="Times New Roman"/>
        </w:rPr>
        <w:t>6 </w:t>
      </w:r>
      <w:r>
        <w:rPr/>
        <w:t>号 </w:t>
      </w:r>
      <w:r>
        <w:rPr>
          <w:rFonts w:ascii="Times New Roman" w:eastAsia="Times New Roman"/>
        </w:rPr>
        <w:t>105 </w:t>
      </w:r>
      <w:r>
        <w:rPr/>
        <w:t>室</w:t>
      </w:r>
      <w:r>
        <w:rPr>
          <w:rFonts w:ascii="Times New Roman" w:eastAsia="Times New Roman"/>
        </w:rPr>
        <w:t>-3491</w:t>
      </w:r>
    </w:p>
    <w:p>
      <w:pPr>
        <w:pStyle w:val="BodyText"/>
        <w:spacing w:before="4"/>
        <w:rPr>
          <w:rFonts w:ascii="Times New Roman"/>
          <w:sz w:val="17"/>
        </w:rPr>
      </w:pPr>
    </w:p>
    <w:p>
      <w:pPr>
        <w:pStyle w:val="BodyText"/>
        <w:ind w:left="960"/>
        <w:rPr>
          <w:rFonts w:ascii="Times New Roman" w:eastAsia="Times New Roman"/>
        </w:rPr>
      </w:pPr>
      <w:r>
        <w:rPr/>
        <w:t>办公地址：广东省广州市海珠区琶洲大道东 </w:t>
      </w:r>
      <w:r>
        <w:rPr>
          <w:rFonts w:ascii="Times New Roman" w:eastAsia="Times New Roman"/>
        </w:rPr>
        <w:t>1 </w:t>
      </w:r>
      <w:r>
        <w:rPr/>
        <w:t>号保利国际广场南塔</w:t>
      </w:r>
      <w:r>
        <w:rPr>
          <w:rFonts w:ascii="Times New Roman" w:eastAsia="Times New Roman"/>
        </w:rPr>
        <w:t>B1201-1203</w:t>
      </w:r>
    </w:p>
    <w:p>
      <w:pPr>
        <w:pStyle w:val="BodyText"/>
        <w:spacing w:before="4"/>
        <w:rPr>
          <w:rFonts w:ascii="Times New Roman"/>
          <w:sz w:val="17"/>
        </w:rPr>
      </w:pPr>
    </w:p>
    <w:p>
      <w:pPr>
        <w:pStyle w:val="BodyText"/>
        <w:spacing w:line="417" w:lineRule="auto"/>
        <w:ind w:left="960" w:right="6284"/>
        <w:rPr>
          <w:rFonts w:ascii="Times New Roman" w:eastAsia="Times New Roman"/>
        </w:rPr>
      </w:pPr>
      <w:r>
        <w:rPr/>
        <w:t>法定代表人：肖雯电话：</w:t>
      </w:r>
      <w:r>
        <w:rPr>
          <w:rFonts w:ascii="Times New Roman" w:eastAsia="Times New Roman"/>
        </w:rPr>
        <w:t>020-89629021 </w:t>
      </w:r>
      <w:r>
        <w:rPr/>
        <w:t>传真：</w:t>
      </w:r>
      <w:r>
        <w:rPr>
          <w:rFonts w:ascii="Times New Roman" w:eastAsia="Times New Roman"/>
        </w:rPr>
        <w:t>020-89629011</w:t>
      </w:r>
    </w:p>
    <w:p>
      <w:pPr>
        <w:pStyle w:val="BodyText"/>
        <w:spacing w:line="269" w:lineRule="exact"/>
        <w:ind w:left="960"/>
      </w:pPr>
      <w:r>
        <w:rPr/>
        <w:t>联系人：吴煜浩</w:t>
      </w:r>
    </w:p>
    <w:p>
      <w:pPr>
        <w:pStyle w:val="BodyText"/>
        <w:spacing w:before="6"/>
        <w:rPr>
          <w:sz w:val="15"/>
        </w:rPr>
      </w:pPr>
    </w:p>
    <w:p>
      <w:pPr>
        <w:pStyle w:val="BodyText"/>
        <w:ind w:left="960"/>
        <w:rPr>
          <w:rFonts w:ascii="Times New Roman" w:eastAsia="Times New Roman"/>
        </w:rPr>
      </w:pPr>
      <w:r>
        <w:rPr/>
        <w:t>网址：</w:t>
      </w:r>
      <w:hyperlink r:id="rId55">
        <w:r>
          <w:rPr>
            <w:rFonts w:ascii="Times New Roman" w:eastAsia="Times New Roman"/>
          </w:rPr>
          <w:t>www.yingmi.cn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020-89629066</w:t>
      </w:r>
    </w:p>
    <w:p>
      <w:pPr>
        <w:pStyle w:val="BodyText"/>
        <w:spacing w:before="4"/>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和耕传承基金销售有限公司</w:t>
      </w:r>
    </w:p>
    <w:p>
      <w:pPr>
        <w:pStyle w:val="BodyText"/>
        <w:spacing w:before="6"/>
        <w:rPr>
          <w:sz w:val="15"/>
        </w:rPr>
      </w:pPr>
    </w:p>
    <w:p>
      <w:pPr>
        <w:pStyle w:val="BodyText"/>
        <w:spacing w:before="1"/>
        <w:ind w:left="960"/>
        <w:rPr>
          <w:rFonts w:ascii="Times New Roman" w:eastAsia="Times New Roman"/>
        </w:rPr>
      </w:pPr>
      <w:r>
        <w:rPr/>
        <w:t>住所：河南自贸试验区郑州片区（郑东）东风东路东、康宁街北 </w:t>
      </w:r>
      <w:r>
        <w:rPr>
          <w:rFonts w:ascii="Times New Roman" w:eastAsia="Times New Roman"/>
        </w:rPr>
        <w:t>6 </w:t>
      </w:r>
      <w:r>
        <w:rPr/>
        <w:t>号楼 </w:t>
      </w:r>
      <w:r>
        <w:rPr>
          <w:rFonts w:ascii="Times New Roman" w:eastAsia="Times New Roman"/>
        </w:rPr>
        <w:t>6 </w:t>
      </w:r>
      <w:r>
        <w:rPr/>
        <w:t>楼 </w:t>
      </w:r>
      <w:r>
        <w:rPr>
          <w:rFonts w:ascii="Times New Roman" w:eastAsia="Times New Roman"/>
        </w:rPr>
        <w:t>602</w:t>
      </w:r>
      <w:r>
        <w:rPr/>
        <w:t>、</w:t>
      </w:r>
      <w:r>
        <w:rPr>
          <w:rFonts w:ascii="Times New Roman" w:eastAsia="Times New Roman"/>
        </w:rPr>
        <w:t>603</w:t>
      </w:r>
    </w:p>
    <w:p>
      <w:pPr>
        <w:spacing w:after="0"/>
        <w:rPr>
          <w:rFonts w:ascii="Times New Roman" w:eastAsia="Times New Roman"/>
        </w:rPr>
        <w:sectPr>
          <w:pgSz w:w="11910" w:h="16840"/>
          <w:pgMar w:header="877" w:footer="0" w:top="1420" w:bottom="280" w:left="1260" w:right="1480"/>
        </w:sectPr>
      </w:pPr>
    </w:p>
    <w:p>
      <w:pPr>
        <w:pStyle w:val="BodyText"/>
        <w:spacing w:before="110"/>
        <w:ind w:left="540"/>
      </w:pPr>
      <w:r>
        <w:rPr/>
        <w:t>房间</w:t>
      </w:r>
    </w:p>
    <w:p>
      <w:pPr>
        <w:pStyle w:val="BodyText"/>
        <w:spacing w:before="6"/>
        <w:rPr>
          <w:sz w:val="15"/>
        </w:rPr>
      </w:pPr>
    </w:p>
    <w:p>
      <w:pPr>
        <w:pStyle w:val="BodyText"/>
        <w:spacing w:line="417" w:lineRule="auto"/>
        <w:ind w:left="960" w:right="2947"/>
      </w:pPr>
      <w:r>
        <w:rPr>
          <w:spacing w:val="-6"/>
        </w:rPr>
        <w:t>办公地址：北京市朝阳区酒仙桥路 </w:t>
      </w:r>
      <w:r>
        <w:rPr>
          <w:rFonts w:ascii="Times New Roman" w:eastAsia="Times New Roman"/>
        </w:rPr>
        <w:t>6 </w:t>
      </w:r>
      <w:r>
        <w:rPr>
          <w:spacing w:val="-9"/>
        </w:rPr>
        <w:t>号院国际电子城 </w:t>
      </w:r>
      <w:r>
        <w:rPr>
          <w:rFonts w:ascii="Times New Roman" w:eastAsia="Times New Roman"/>
        </w:rPr>
        <w:t>b </w:t>
      </w:r>
      <w:r>
        <w:rPr/>
        <w:t>座</w:t>
      </w:r>
      <w:r>
        <w:rPr>
          <w:spacing w:val="-3"/>
        </w:rPr>
        <w:t>法定代表人：王旋</w:t>
      </w:r>
    </w:p>
    <w:p>
      <w:pPr>
        <w:pStyle w:val="BodyText"/>
        <w:spacing w:line="417" w:lineRule="auto"/>
        <w:ind w:left="960" w:right="624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spacing w:line="269" w:lineRule="exact"/>
        <w:ind w:left="960"/>
      </w:pPr>
      <w:r>
        <w:rPr/>
        <w:t>联系人：胡静华</w:t>
      </w:r>
    </w:p>
    <w:p>
      <w:pPr>
        <w:pStyle w:val="BodyText"/>
        <w:spacing w:before="7"/>
        <w:rPr>
          <w:sz w:val="15"/>
        </w:rPr>
      </w:pPr>
    </w:p>
    <w:p>
      <w:pPr>
        <w:pStyle w:val="BodyText"/>
        <w:ind w:left="960"/>
        <w:rPr>
          <w:rFonts w:ascii="Times New Roman" w:eastAsia="Times New Roman"/>
        </w:rPr>
      </w:pPr>
      <w:r>
        <w:rPr/>
        <w:t>网址：</w:t>
      </w:r>
      <w:hyperlink r:id="rId56">
        <w:r>
          <w:rPr>
            <w:rFonts w:ascii="Times New Roman" w:eastAsia="Times New Roman"/>
          </w:rPr>
          <w:t>www.hgccpb.com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4000-555-671</w:t>
      </w:r>
    </w:p>
    <w:p>
      <w:pPr>
        <w:pStyle w:val="BodyText"/>
        <w:spacing w:before="3"/>
        <w:rPr>
          <w:rFonts w:ascii="Times New Roman"/>
          <w:sz w:val="17"/>
        </w:rPr>
      </w:pPr>
    </w:p>
    <w:p>
      <w:pPr>
        <w:pStyle w:val="ListParagraph"/>
        <w:numPr>
          <w:ilvl w:val="0"/>
          <w:numId w:val="9"/>
        </w:numPr>
        <w:tabs>
          <w:tab w:pos="1595" w:val="left" w:leader="none"/>
        </w:tabs>
        <w:spacing w:line="417" w:lineRule="auto" w:before="0" w:after="0"/>
        <w:ind w:left="960" w:right="3929" w:firstLine="0"/>
        <w:jc w:val="left"/>
        <w:rPr>
          <w:sz w:val="21"/>
        </w:rPr>
      </w:pPr>
      <w:r>
        <w:rPr>
          <w:spacing w:val="-3"/>
          <w:sz w:val="21"/>
        </w:rPr>
        <w:t>中证金牛</w:t>
      </w:r>
      <w:r>
        <w:rPr>
          <w:sz w:val="21"/>
        </w:rPr>
        <w:t>（</w:t>
      </w:r>
      <w:r>
        <w:rPr>
          <w:spacing w:val="-2"/>
          <w:sz w:val="21"/>
        </w:rPr>
        <w:t>北京</w:t>
      </w:r>
      <w:r>
        <w:rPr>
          <w:spacing w:val="-3"/>
          <w:sz w:val="21"/>
        </w:rPr>
        <w:t>）投资咨询有限公司 </w:t>
      </w:r>
      <w:r>
        <w:rPr>
          <w:spacing w:val="-7"/>
          <w:sz w:val="21"/>
        </w:rPr>
        <w:t>住所：北京市丰台区东管头 </w:t>
      </w:r>
      <w:r>
        <w:rPr>
          <w:rFonts w:ascii="Times New Roman" w:eastAsia="Times New Roman"/>
          <w:sz w:val="21"/>
        </w:rPr>
        <w:t>1</w:t>
      </w:r>
      <w:r>
        <w:rPr>
          <w:rFonts w:ascii="Times New Roman" w:eastAsia="Times New Roman"/>
          <w:spacing w:val="-1"/>
          <w:sz w:val="21"/>
        </w:rPr>
        <w:t> </w:t>
      </w:r>
      <w:r>
        <w:rPr>
          <w:spacing w:val="-25"/>
          <w:sz w:val="21"/>
        </w:rPr>
        <w:t>号 </w:t>
      </w:r>
      <w:r>
        <w:rPr>
          <w:rFonts w:ascii="Times New Roman" w:eastAsia="Times New Roman"/>
          <w:sz w:val="21"/>
        </w:rPr>
        <w:t>2</w:t>
      </w:r>
      <w:r>
        <w:rPr>
          <w:rFonts w:ascii="Times New Roman" w:eastAsia="Times New Roman"/>
          <w:spacing w:val="3"/>
          <w:sz w:val="21"/>
        </w:rPr>
        <w:t> </w:t>
      </w:r>
      <w:r>
        <w:rPr>
          <w:spacing w:val="-18"/>
          <w:sz w:val="21"/>
        </w:rPr>
        <w:t>号楼 </w:t>
      </w:r>
      <w:r>
        <w:rPr>
          <w:rFonts w:ascii="Times New Roman" w:eastAsia="Times New Roman"/>
          <w:sz w:val="21"/>
        </w:rPr>
        <w:t>2-45</w:t>
      </w:r>
      <w:r>
        <w:rPr>
          <w:rFonts w:ascii="Times New Roman" w:eastAsia="Times New Roman"/>
          <w:spacing w:val="3"/>
          <w:sz w:val="21"/>
        </w:rPr>
        <w:t> </w:t>
      </w:r>
      <w:r>
        <w:rPr>
          <w:sz w:val="21"/>
        </w:rPr>
        <w:t>室</w:t>
      </w:r>
    </w:p>
    <w:p>
      <w:pPr>
        <w:pStyle w:val="BodyText"/>
        <w:spacing w:line="417" w:lineRule="auto"/>
        <w:ind w:left="960" w:right="2061"/>
      </w:pPr>
      <w:r>
        <w:rPr/>
        <w:t>办公地址：北京市宣武门外大街甲一号新华社第三工作区</w:t>
      </w:r>
      <w:r>
        <w:rPr>
          <w:rFonts w:ascii="Times New Roman" w:eastAsia="Times New Roman"/>
        </w:rPr>
        <w:t>A </w:t>
      </w:r>
      <w:r>
        <w:rPr/>
        <w:t>座 </w:t>
      </w:r>
      <w:r>
        <w:rPr>
          <w:rFonts w:ascii="Times New Roman" w:eastAsia="Times New Roman"/>
        </w:rPr>
        <w:t>5 </w:t>
      </w:r>
      <w:r>
        <w:rPr/>
        <w:t>层法定代表人：钱昊旻</w:t>
      </w:r>
    </w:p>
    <w:p>
      <w:pPr>
        <w:pStyle w:val="BodyText"/>
        <w:spacing w:line="417" w:lineRule="auto"/>
        <w:ind w:left="960" w:right="6345"/>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ind w:left="960"/>
      </w:pPr>
      <w:r>
        <w:rPr/>
        <w:t>联系人：孙雯</w:t>
      </w:r>
    </w:p>
    <w:p>
      <w:pPr>
        <w:pStyle w:val="BodyText"/>
        <w:spacing w:before="6"/>
        <w:rPr>
          <w:sz w:val="15"/>
        </w:rPr>
      </w:pPr>
    </w:p>
    <w:p>
      <w:pPr>
        <w:pStyle w:val="BodyText"/>
        <w:spacing w:before="1"/>
        <w:ind w:left="960"/>
        <w:rPr>
          <w:rFonts w:ascii="Times New Roman" w:eastAsia="Times New Roman"/>
        </w:rPr>
      </w:pPr>
      <w:r>
        <w:rPr/>
        <w:t>网址：</w:t>
      </w:r>
      <w:hyperlink r:id="rId57">
        <w:r>
          <w:rPr>
            <w:rFonts w:ascii="Times New Roman" w:eastAsia="Times New Roman"/>
          </w:rPr>
          <w:t>www.jnlc.com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京东肯特瑞基金销售有限公司</w:t>
      </w:r>
    </w:p>
    <w:p>
      <w:pPr>
        <w:pStyle w:val="BodyText"/>
        <w:spacing w:before="7"/>
        <w:rPr>
          <w:sz w:val="15"/>
        </w:rPr>
      </w:pPr>
    </w:p>
    <w:p>
      <w:pPr>
        <w:pStyle w:val="BodyText"/>
        <w:ind w:left="960"/>
        <w:rPr>
          <w:rFonts w:ascii="Times New Roman" w:eastAsia="Times New Roman"/>
        </w:rPr>
      </w:pPr>
      <w:r>
        <w:rPr/>
        <w:t>住所：北京市海淀区显龙山路 </w:t>
      </w:r>
      <w:r>
        <w:rPr>
          <w:rFonts w:ascii="Times New Roman" w:eastAsia="Times New Roman"/>
        </w:rPr>
        <w:t>19 </w:t>
      </w:r>
      <w:r>
        <w:rPr/>
        <w:t>号 </w:t>
      </w:r>
      <w:r>
        <w:rPr>
          <w:rFonts w:ascii="Times New Roman" w:eastAsia="Times New Roman"/>
        </w:rPr>
        <w:t>1 </w:t>
      </w:r>
      <w:r>
        <w:rPr/>
        <w:t>幢 </w:t>
      </w:r>
      <w:r>
        <w:rPr>
          <w:rFonts w:ascii="Times New Roman" w:eastAsia="Times New Roman"/>
        </w:rPr>
        <w:t>4 </w:t>
      </w:r>
      <w:r>
        <w:rPr/>
        <w:t>层 </w:t>
      </w:r>
      <w:r>
        <w:rPr>
          <w:rFonts w:ascii="Times New Roman" w:eastAsia="Times New Roman"/>
        </w:rPr>
        <w:t>1 </w:t>
      </w:r>
      <w:r>
        <w:rPr/>
        <w:t>座 </w:t>
      </w:r>
      <w:r>
        <w:rPr>
          <w:rFonts w:ascii="Times New Roman" w:eastAsia="Times New Roman"/>
        </w:rPr>
        <w:t>401</w:t>
      </w:r>
    </w:p>
    <w:p>
      <w:pPr>
        <w:pStyle w:val="BodyText"/>
        <w:spacing w:before="3"/>
        <w:rPr>
          <w:rFonts w:ascii="Times New Roman"/>
          <w:sz w:val="17"/>
        </w:rPr>
      </w:pPr>
    </w:p>
    <w:p>
      <w:pPr>
        <w:pStyle w:val="BodyText"/>
        <w:spacing w:line="417" w:lineRule="auto" w:before="1"/>
        <w:ind w:left="960" w:right="1266"/>
      </w:pPr>
      <w:r>
        <w:rPr/>
        <w:t>办公地址：北京市大兴区亦庄经济开发区科创十一街十八号院京东集团总部法定代表人：江卉</w:t>
      </w:r>
    </w:p>
    <w:p>
      <w:pPr>
        <w:pStyle w:val="BodyText"/>
        <w:spacing w:line="417" w:lineRule="auto"/>
        <w:ind w:left="960" w:right="634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spacing w:line="269" w:lineRule="exact"/>
        <w:ind w:left="960"/>
      </w:pPr>
      <w:r>
        <w:rPr/>
        <w:t>联系人：黄立影</w:t>
      </w:r>
    </w:p>
    <w:p>
      <w:pPr>
        <w:pStyle w:val="BodyText"/>
        <w:spacing w:before="6"/>
        <w:rPr>
          <w:sz w:val="15"/>
        </w:rPr>
      </w:pPr>
    </w:p>
    <w:p>
      <w:pPr>
        <w:pStyle w:val="BodyText"/>
        <w:spacing w:before="1"/>
        <w:ind w:left="960"/>
        <w:rPr>
          <w:rFonts w:ascii="Times New Roman" w:eastAsia="Times New Roman"/>
        </w:rPr>
      </w:pPr>
      <w:r>
        <w:rPr/>
        <w:t>网址：</w:t>
      </w:r>
      <w:hyperlink r:id="rId58">
        <w:r>
          <w:rPr>
            <w:rFonts w:ascii="Times New Roman" w:eastAsia="Times New Roman"/>
          </w:rPr>
          <w:t>http://fund.jd.com/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3"/>
        <w:rPr>
          <w:rFonts w:ascii="Times New Roman"/>
          <w:sz w:val="17"/>
        </w:rPr>
      </w:pPr>
    </w:p>
    <w:p>
      <w:pPr>
        <w:pStyle w:val="ListParagraph"/>
        <w:numPr>
          <w:ilvl w:val="0"/>
          <w:numId w:val="9"/>
        </w:numPr>
        <w:tabs>
          <w:tab w:pos="1595" w:val="left" w:leader="none"/>
        </w:tabs>
        <w:spacing w:line="240" w:lineRule="auto" w:before="1" w:after="0"/>
        <w:ind w:left="1595" w:right="0" w:hanging="635"/>
        <w:jc w:val="left"/>
        <w:rPr>
          <w:sz w:val="21"/>
        </w:rPr>
      </w:pPr>
      <w:r>
        <w:rPr>
          <w:spacing w:val="-3"/>
          <w:sz w:val="21"/>
        </w:rPr>
        <w:t>大连网金基金销售有限公司</w:t>
      </w:r>
    </w:p>
    <w:p>
      <w:pPr>
        <w:pStyle w:val="BodyText"/>
        <w:spacing w:before="6"/>
        <w:rPr>
          <w:sz w:val="15"/>
        </w:rPr>
      </w:pPr>
    </w:p>
    <w:p>
      <w:pPr>
        <w:pStyle w:val="BodyText"/>
        <w:ind w:left="960"/>
        <w:rPr>
          <w:rFonts w:ascii="Times New Roman" w:eastAsia="Times New Roman"/>
        </w:rPr>
      </w:pPr>
      <w:r>
        <w:rPr/>
        <w:t>住所：中国大连市沙河口区体坛路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4"/>
        <w:rPr>
          <w:rFonts w:ascii="Times New Roman"/>
          <w:sz w:val="17"/>
        </w:rPr>
      </w:pPr>
    </w:p>
    <w:p>
      <w:pPr>
        <w:pStyle w:val="BodyText"/>
        <w:ind w:left="960"/>
        <w:rPr>
          <w:rFonts w:ascii="Times New Roman" w:eastAsia="Times New Roman"/>
        </w:rPr>
      </w:pPr>
      <w:r>
        <w:rPr/>
        <w:t>办公地址：中国大连市沙河口区体坛路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spacing w:before="1"/>
        <w:ind w:left="960"/>
      </w:pPr>
      <w:r>
        <w:rPr/>
        <w:t>法定代表人：樊怀东</w:t>
      </w:r>
    </w:p>
    <w:p>
      <w:pPr>
        <w:spacing w:after="0"/>
        <w:sectPr>
          <w:pgSz w:w="11910" w:h="16840"/>
          <w:pgMar w:header="877" w:footer="0" w:top="1420" w:bottom="280" w:left="1260" w:right="1480"/>
        </w:sectPr>
      </w:pPr>
    </w:p>
    <w:p>
      <w:pPr>
        <w:pStyle w:val="BodyText"/>
        <w:spacing w:line="417" w:lineRule="auto" w:before="110"/>
        <w:ind w:left="960" w:right="6250"/>
        <w:rPr>
          <w:rFonts w:ascii="Times New Roman" w:eastAsia="Times New Roman"/>
        </w:rPr>
      </w:pPr>
      <w:r>
        <w:rPr/>
        <w:t>电话：</w:t>
      </w:r>
      <w:r>
        <w:rPr>
          <w:rFonts w:ascii="Times New Roman" w:eastAsia="Times New Roman"/>
        </w:rPr>
        <w:t>13522300698 </w:t>
      </w:r>
      <w:r>
        <w:rPr/>
        <w:t>传真：</w:t>
      </w:r>
      <w:r>
        <w:rPr>
          <w:rFonts w:ascii="Times New Roman" w:eastAsia="Times New Roman"/>
        </w:rPr>
        <w:t>0411-39027835</w:t>
      </w:r>
    </w:p>
    <w:p>
      <w:pPr>
        <w:pStyle w:val="BodyText"/>
        <w:spacing w:line="269" w:lineRule="exact"/>
        <w:ind w:left="960"/>
      </w:pPr>
      <w:r>
        <w:rPr/>
        <w:t>联系人：王清臣</w:t>
      </w:r>
    </w:p>
    <w:p>
      <w:pPr>
        <w:pStyle w:val="BodyText"/>
        <w:spacing w:before="6"/>
        <w:rPr>
          <w:sz w:val="15"/>
        </w:rPr>
      </w:pPr>
    </w:p>
    <w:p>
      <w:pPr>
        <w:pStyle w:val="BodyText"/>
        <w:spacing w:line="417" w:lineRule="auto"/>
        <w:ind w:left="960" w:right="5421"/>
        <w:rPr>
          <w:rFonts w:ascii="Times New Roman" w:eastAsia="Times New Roman"/>
        </w:rPr>
      </w:pPr>
      <w:r>
        <w:rPr/>
        <w:t>网址：</w:t>
      </w:r>
      <w:hyperlink r:id="rId59">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pPr>
        <w:pStyle w:val="BodyText"/>
        <w:spacing w:before="7"/>
        <w:rPr>
          <w:sz w:val="15"/>
        </w:rPr>
      </w:pPr>
    </w:p>
    <w:p>
      <w:pPr>
        <w:pStyle w:val="BodyText"/>
        <w:ind w:left="960"/>
      </w:pPr>
      <w:r>
        <w:rPr/>
        <w:t>住所：上海市黄浦区中山南路 </w:t>
      </w:r>
      <w:r>
        <w:rPr>
          <w:rFonts w:ascii="Times New Roman" w:eastAsia="Times New Roman"/>
        </w:rPr>
        <w:t>100 </w:t>
      </w:r>
      <w:r>
        <w:rPr/>
        <w:t>号 </w:t>
      </w:r>
      <w:r>
        <w:rPr>
          <w:rFonts w:ascii="Times New Roman" w:eastAsia="Times New Roman"/>
        </w:rPr>
        <w:t>7 </w:t>
      </w:r>
      <w:r>
        <w:rPr/>
        <w:t>层 </w:t>
      </w:r>
      <w:r>
        <w:rPr>
          <w:rFonts w:ascii="Times New Roman" w:eastAsia="Times New Roman"/>
        </w:rPr>
        <w:t>05 </w:t>
      </w:r>
      <w:r>
        <w:rPr/>
        <w:t>单元</w:t>
      </w:r>
    </w:p>
    <w:p>
      <w:pPr>
        <w:pStyle w:val="BodyText"/>
        <w:spacing w:before="7"/>
        <w:rPr>
          <w:sz w:val="15"/>
        </w:rPr>
      </w:pPr>
    </w:p>
    <w:p>
      <w:pPr>
        <w:pStyle w:val="BodyText"/>
        <w:spacing w:line="417" w:lineRule="auto" w:before="1"/>
        <w:ind w:left="960" w:right="1696"/>
      </w:pPr>
      <w:r>
        <w:rPr>
          <w:spacing w:val="-7"/>
        </w:rPr>
        <w:t>办公地址：上海市浦东新区民生路 </w:t>
      </w:r>
      <w:r>
        <w:rPr>
          <w:rFonts w:ascii="Times New Roman" w:eastAsia="Times New Roman"/>
        </w:rPr>
        <w:t>1199 </w:t>
      </w:r>
      <w:r>
        <w:rPr>
          <w:spacing w:val="-9"/>
        </w:rPr>
        <w:t>弄证大五道口广场 </w:t>
      </w:r>
      <w:r>
        <w:rPr>
          <w:rFonts w:ascii="Times New Roman" w:eastAsia="Times New Roman"/>
        </w:rPr>
        <w:t>1 </w:t>
      </w:r>
      <w:r>
        <w:rPr>
          <w:spacing w:val="-18"/>
        </w:rPr>
        <w:t>号楼 </w:t>
      </w:r>
      <w:r>
        <w:rPr>
          <w:rFonts w:ascii="Times New Roman" w:eastAsia="Times New Roman"/>
        </w:rPr>
        <w:t>27 </w:t>
      </w:r>
      <w:r>
        <w:rPr/>
        <w:t>层</w:t>
      </w:r>
      <w:r>
        <w:rPr>
          <w:spacing w:val="-3"/>
        </w:rPr>
        <w:t>法定代表人：弭洪军</w:t>
      </w:r>
    </w:p>
    <w:p>
      <w:pPr>
        <w:pStyle w:val="BodyText"/>
        <w:spacing w:line="417" w:lineRule="auto"/>
        <w:ind w:left="960" w:right="634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9" w:lineRule="exact"/>
        <w:ind w:left="960"/>
      </w:pPr>
      <w:r>
        <w:rPr/>
        <w:t>联系人：李娜</w:t>
      </w:r>
    </w:p>
    <w:p>
      <w:pPr>
        <w:pStyle w:val="BodyText"/>
        <w:spacing w:before="6"/>
        <w:rPr>
          <w:sz w:val="15"/>
        </w:rPr>
      </w:pPr>
    </w:p>
    <w:p>
      <w:pPr>
        <w:pStyle w:val="BodyText"/>
        <w:ind w:left="960"/>
        <w:rPr>
          <w:rFonts w:ascii="Times New Roman" w:eastAsia="Times New Roman"/>
        </w:rPr>
      </w:pPr>
      <w:r>
        <w:rPr/>
        <w:t>网址：</w:t>
      </w:r>
      <w:hyperlink r:id="rId60">
        <w:r>
          <w:rPr>
            <w:rFonts w:ascii="Times New Roman" w:eastAsia="Times New Roman"/>
          </w:rPr>
          <w:t>www.cmiwm.com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400-876-5716</w:t>
      </w:r>
    </w:p>
    <w:p>
      <w:pPr>
        <w:pStyle w:val="BodyText"/>
        <w:spacing w:before="4"/>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深圳市金斧子基金销售有限公司</w:t>
      </w:r>
    </w:p>
    <w:p>
      <w:pPr>
        <w:pStyle w:val="BodyText"/>
        <w:spacing w:before="7"/>
        <w:rPr>
          <w:sz w:val="15"/>
        </w:rPr>
      </w:pPr>
    </w:p>
    <w:p>
      <w:pPr>
        <w:pStyle w:val="BodyText"/>
        <w:ind w:left="960"/>
        <w:rPr>
          <w:rFonts w:ascii="Times New Roman" w:eastAsia="Times New Roman"/>
        </w:rPr>
      </w:pPr>
      <w:r>
        <w:rPr>
          <w:spacing w:val="-15"/>
        </w:rPr>
        <w:t>住所：深圳市南山区粤海街道科技园中区科苑路 </w:t>
      </w:r>
      <w:r>
        <w:rPr>
          <w:rFonts w:ascii="Times New Roman" w:eastAsia="Times New Roman"/>
        </w:rPr>
        <w:t>15 </w:t>
      </w:r>
      <w:r>
        <w:rPr>
          <w:spacing w:val="4"/>
        </w:rPr>
        <w:t>号科兴科学园</w:t>
      </w:r>
      <w:r>
        <w:rPr>
          <w:rFonts w:ascii="Times New Roman" w:eastAsia="Times New Roman"/>
        </w:rPr>
        <w:t>B </w:t>
      </w:r>
      <w:r>
        <w:rPr>
          <w:spacing w:val="-30"/>
        </w:rPr>
        <w:t>栋 </w:t>
      </w:r>
      <w:r>
        <w:rPr>
          <w:rFonts w:ascii="Times New Roman" w:eastAsia="Times New Roman"/>
        </w:rPr>
        <w:t>3 </w:t>
      </w:r>
      <w:r>
        <w:rPr>
          <w:spacing w:val="-20"/>
        </w:rPr>
        <w:t>单元 </w:t>
      </w:r>
      <w:r>
        <w:rPr>
          <w:rFonts w:ascii="Times New Roman" w:eastAsia="Times New Roman"/>
          <w:spacing w:val="-4"/>
        </w:rPr>
        <w:t>11 </w:t>
      </w:r>
      <w:r>
        <w:rPr>
          <w:spacing w:val="-29"/>
        </w:rPr>
        <w:t>层 </w:t>
      </w:r>
      <w:r>
        <w:rPr>
          <w:rFonts w:ascii="Times New Roman" w:eastAsia="Times New Roman"/>
          <w:spacing w:val="-3"/>
        </w:rPr>
        <w:t>1108</w:t>
      </w:r>
    </w:p>
    <w:p>
      <w:pPr>
        <w:pStyle w:val="BodyText"/>
        <w:spacing w:before="3"/>
        <w:rPr>
          <w:rFonts w:ascii="Times New Roman"/>
          <w:sz w:val="17"/>
        </w:rPr>
      </w:pPr>
    </w:p>
    <w:p>
      <w:pPr>
        <w:pStyle w:val="BodyText"/>
        <w:ind w:left="960"/>
        <w:rPr>
          <w:rFonts w:ascii="Times New Roman" w:eastAsia="Times New Roman"/>
        </w:rPr>
      </w:pPr>
      <w:r>
        <w:rPr/>
        <w:t>办公地址：深圳市南山区粤海街道科技园中区科苑路 </w:t>
      </w:r>
      <w:r>
        <w:rPr>
          <w:rFonts w:ascii="Times New Roman" w:eastAsia="Times New Roman"/>
        </w:rPr>
        <w:t>15 </w:t>
      </w:r>
      <w:r>
        <w:rPr/>
        <w:t>号科兴科学园</w:t>
      </w:r>
      <w:r>
        <w:rPr>
          <w:rFonts w:ascii="Times New Roman" w:eastAsia="Times New Roman"/>
        </w:rPr>
        <w:t>B </w:t>
      </w:r>
      <w:r>
        <w:rPr/>
        <w:t>栋 </w:t>
      </w:r>
      <w:r>
        <w:rPr>
          <w:rFonts w:ascii="Times New Roman" w:eastAsia="Times New Roman"/>
        </w:rPr>
        <w:t>3 </w:t>
      </w:r>
      <w:r>
        <w:rPr/>
        <w:t>单元 </w:t>
      </w:r>
      <w:r>
        <w:rPr>
          <w:rFonts w:ascii="Times New Roman" w:eastAsia="Times New Roman"/>
        </w:rPr>
        <w:t>11</w:t>
      </w:r>
    </w:p>
    <w:p>
      <w:pPr>
        <w:pStyle w:val="BodyText"/>
        <w:spacing w:before="4"/>
        <w:rPr>
          <w:rFonts w:ascii="Times New Roman"/>
          <w:sz w:val="17"/>
        </w:rPr>
      </w:pPr>
    </w:p>
    <w:p>
      <w:pPr>
        <w:pStyle w:val="BodyText"/>
        <w:ind w:left="540"/>
        <w:rPr>
          <w:rFonts w:ascii="Times New Roman" w:eastAsia="Times New Roman"/>
        </w:rPr>
      </w:pPr>
      <w:r>
        <w:rPr/>
        <w:t>层 </w:t>
      </w:r>
      <w:r>
        <w:rPr>
          <w:rFonts w:ascii="Times New Roman" w:eastAsia="Times New Roman"/>
        </w:rPr>
        <w:t>1108</w:t>
      </w:r>
    </w:p>
    <w:p>
      <w:pPr>
        <w:pStyle w:val="BodyText"/>
        <w:spacing w:before="3"/>
        <w:rPr>
          <w:rFonts w:ascii="Times New Roman"/>
          <w:sz w:val="17"/>
        </w:rPr>
      </w:pPr>
    </w:p>
    <w:p>
      <w:pPr>
        <w:pStyle w:val="BodyText"/>
        <w:spacing w:line="417" w:lineRule="auto"/>
        <w:ind w:left="960" w:right="624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ind w:left="960"/>
      </w:pPr>
      <w:r>
        <w:rPr/>
        <w:t>联系人：陈丽霞</w:t>
      </w:r>
    </w:p>
    <w:p>
      <w:pPr>
        <w:pStyle w:val="BodyText"/>
        <w:spacing w:before="7"/>
        <w:rPr>
          <w:sz w:val="15"/>
        </w:rPr>
      </w:pPr>
    </w:p>
    <w:p>
      <w:pPr>
        <w:pStyle w:val="BodyText"/>
        <w:ind w:left="960"/>
        <w:rPr>
          <w:rFonts w:ascii="Times New Roman" w:eastAsia="Times New Roman"/>
        </w:rPr>
      </w:pPr>
      <w:r>
        <w:rPr/>
        <w:t>网址：</w:t>
      </w:r>
      <w:hyperlink r:id="rId61">
        <w:r>
          <w:rPr>
            <w:rFonts w:ascii="Times New Roman" w:eastAsia="Times New Roman"/>
          </w:rPr>
          <w:t>www.jfzinv.com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400-9302-888</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北京蛋卷基金销售有限公司</w:t>
      </w:r>
    </w:p>
    <w:p>
      <w:pPr>
        <w:pStyle w:val="BodyText"/>
        <w:spacing w:before="7"/>
        <w:rPr>
          <w:sz w:val="15"/>
        </w:rPr>
      </w:pPr>
    </w:p>
    <w:p>
      <w:pPr>
        <w:pStyle w:val="BodyText"/>
        <w:ind w:left="960"/>
        <w:rPr>
          <w:rFonts w:ascii="Times New Roman" w:eastAsia="Times New Roman"/>
        </w:rPr>
      </w:pPr>
      <w:r>
        <w:rPr/>
        <w:t>住所：北京市朝阳区阜通东大街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3"/>
        <w:rPr>
          <w:rFonts w:ascii="Times New Roman"/>
          <w:sz w:val="17"/>
        </w:rPr>
      </w:pPr>
    </w:p>
    <w:p>
      <w:pPr>
        <w:pStyle w:val="BodyText"/>
        <w:ind w:left="960"/>
        <w:rPr>
          <w:rFonts w:ascii="Times New Roman" w:eastAsia="Times New Roman"/>
        </w:rPr>
      </w:pPr>
      <w:r>
        <w:rPr/>
        <w:t>办公地址：北京市朝阳区阜通东大街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4"/>
        <w:rPr>
          <w:rFonts w:ascii="Times New Roman"/>
          <w:sz w:val="17"/>
        </w:rPr>
      </w:pPr>
    </w:p>
    <w:p>
      <w:pPr>
        <w:pStyle w:val="BodyText"/>
        <w:spacing w:line="417" w:lineRule="auto"/>
        <w:ind w:left="960" w:right="6310"/>
        <w:jc w:val="both"/>
        <w:rPr>
          <w:rFonts w:ascii="Times New Roman" w:eastAsia="Times New Roman"/>
        </w:rPr>
      </w:pPr>
      <w:r>
        <w:rPr/>
        <w:t>法定代表人：钟斐斐电话：</w:t>
      </w:r>
      <w:r>
        <w:rPr>
          <w:rFonts w:ascii="Times New Roman" w:eastAsia="Times New Roman"/>
        </w:rPr>
        <w:t>010-61840688 </w:t>
      </w:r>
      <w:r>
        <w:rPr/>
        <w:t>传真：</w:t>
      </w:r>
      <w:r>
        <w:rPr>
          <w:rFonts w:ascii="Times New Roman" w:eastAsia="Times New Roman"/>
        </w:rPr>
        <w:t>010-61840699</w:t>
      </w:r>
    </w:p>
    <w:p>
      <w:pPr>
        <w:spacing w:after="0" w:line="417" w:lineRule="auto"/>
        <w:jc w:val="both"/>
        <w:rPr>
          <w:rFonts w:ascii="Times New Roman" w:eastAsia="Times New Roman"/>
        </w:rPr>
        <w:sectPr>
          <w:pgSz w:w="11910" w:h="16840"/>
          <w:pgMar w:header="877" w:footer="0" w:top="1420" w:bottom="280" w:left="1260" w:right="1480"/>
        </w:sectPr>
      </w:pPr>
    </w:p>
    <w:p>
      <w:pPr>
        <w:pStyle w:val="BodyText"/>
        <w:spacing w:before="110"/>
        <w:ind w:left="960"/>
      </w:pPr>
      <w:r>
        <w:rPr/>
        <w:t>联系人：袁永姣</w:t>
      </w:r>
    </w:p>
    <w:p>
      <w:pPr>
        <w:pStyle w:val="BodyText"/>
        <w:spacing w:before="6"/>
        <w:rPr>
          <w:sz w:val="15"/>
        </w:rPr>
      </w:pPr>
    </w:p>
    <w:p>
      <w:pPr>
        <w:pStyle w:val="BodyText"/>
        <w:spacing w:line="417" w:lineRule="auto"/>
        <w:ind w:left="960" w:right="554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上海中欧财富基金销售有限公司</w:t>
      </w:r>
    </w:p>
    <w:p>
      <w:pPr>
        <w:pStyle w:val="BodyText"/>
        <w:spacing w:before="7"/>
        <w:rPr>
          <w:sz w:val="15"/>
        </w:rPr>
      </w:pPr>
    </w:p>
    <w:p>
      <w:pPr>
        <w:pStyle w:val="BodyText"/>
        <w:spacing w:line="417" w:lineRule="auto"/>
        <w:ind w:left="960" w:right="2414"/>
      </w:pPr>
      <w:r>
        <w:rPr>
          <w:spacing w:val="-2"/>
        </w:rPr>
        <w:t>住所：中国</w:t>
      </w:r>
      <w:r>
        <w:rPr/>
        <w:t>（</w:t>
      </w:r>
      <w:r>
        <w:rPr>
          <w:spacing w:val="-2"/>
        </w:rPr>
        <w:t>上海</w:t>
      </w:r>
      <w:r>
        <w:rPr>
          <w:spacing w:val="-3"/>
        </w:rPr>
        <w:t>）</w:t>
      </w:r>
      <w:r>
        <w:rPr>
          <w:spacing w:val="-7"/>
        </w:rPr>
        <w:t>自由贸易试验区陆家嘴环路 </w:t>
      </w:r>
      <w:r>
        <w:rPr>
          <w:rFonts w:ascii="Times New Roman" w:eastAsia="Times New Roman"/>
        </w:rPr>
        <w:t>333</w:t>
      </w:r>
      <w:r>
        <w:rPr>
          <w:rFonts w:ascii="Times New Roman" w:eastAsia="Times New Roman"/>
          <w:spacing w:val="5"/>
        </w:rPr>
        <w:t> </w:t>
      </w:r>
      <w:r>
        <w:rPr>
          <w:spacing w:val="-24"/>
        </w:rPr>
        <w:t>号 </w:t>
      </w:r>
      <w:r>
        <w:rPr>
          <w:rFonts w:ascii="Times New Roman" w:eastAsia="Times New Roman"/>
        </w:rPr>
        <w:t>729S</w:t>
      </w:r>
      <w:r>
        <w:rPr>
          <w:rFonts w:ascii="Times New Roman" w:eastAsia="Times New Roman"/>
          <w:spacing w:val="3"/>
        </w:rPr>
        <w:t> </w:t>
      </w:r>
      <w:r>
        <w:rPr/>
        <w:t>室</w:t>
      </w:r>
      <w:r>
        <w:rPr>
          <w:spacing w:val="-7"/>
        </w:rPr>
        <w:t>办公地址：上海市虹口区公平路 </w:t>
      </w:r>
      <w:r>
        <w:rPr>
          <w:rFonts w:ascii="Times New Roman" w:eastAsia="Times New Roman"/>
        </w:rPr>
        <w:t>18</w:t>
      </w:r>
      <w:r>
        <w:rPr>
          <w:rFonts w:ascii="Times New Roman" w:eastAsia="Times New Roman"/>
          <w:spacing w:val="-2"/>
        </w:rPr>
        <w:t> </w:t>
      </w:r>
      <w:r>
        <w:rPr>
          <w:spacing w:val="-26"/>
        </w:rPr>
        <w:t>号 </w:t>
      </w:r>
      <w:r>
        <w:rPr>
          <w:rFonts w:ascii="Times New Roman" w:eastAsia="Times New Roman"/>
        </w:rPr>
        <w:t>8</w:t>
      </w:r>
      <w:r>
        <w:rPr>
          <w:rFonts w:ascii="Times New Roman" w:eastAsia="Times New Roman"/>
          <w:spacing w:val="-2"/>
        </w:rPr>
        <w:t> </w:t>
      </w:r>
      <w:r>
        <w:rPr>
          <w:spacing w:val="-11"/>
        </w:rPr>
        <w:t>栋嘉昱大厦 </w:t>
      </w:r>
      <w:r>
        <w:rPr>
          <w:rFonts w:ascii="Times New Roman" w:eastAsia="Times New Roman"/>
        </w:rPr>
        <w:t>6</w:t>
      </w:r>
      <w:r>
        <w:rPr>
          <w:rFonts w:ascii="Times New Roman" w:eastAsia="Times New Roman"/>
          <w:spacing w:val="1"/>
        </w:rPr>
        <w:t> </w:t>
      </w:r>
      <w:r>
        <w:rPr/>
        <w:t>层</w:t>
      </w:r>
    </w:p>
    <w:p>
      <w:pPr>
        <w:pStyle w:val="BodyText"/>
        <w:spacing w:line="269" w:lineRule="exact"/>
        <w:ind w:left="960"/>
      </w:pPr>
      <w:r>
        <w:rPr/>
        <w:t>法定代表人：许欣</w:t>
      </w:r>
    </w:p>
    <w:p>
      <w:pPr>
        <w:pStyle w:val="BodyText"/>
        <w:spacing w:before="7"/>
        <w:rPr>
          <w:sz w:val="15"/>
        </w:rPr>
      </w:pPr>
    </w:p>
    <w:p>
      <w:pPr>
        <w:pStyle w:val="BodyText"/>
        <w:spacing w:line="417" w:lineRule="auto" w:before="1"/>
        <w:ind w:left="960" w:right="5856"/>
        <w:rPr>
          <w:rFonts w:ascii="Times New Roman" w:eastAsia="Times New Roman"/>
        </w:rPr>
      </w:pPr>
      <w:r>
        <w:rPr/>
        <w:t>电话：</w:t>
      </w:r>
      <w:r>
        <w:rPr>
          <w:rFonts w:ascii="Times New Roman" w:eastAsia="Times New Roman"/>
        </w:rPr>
        <w:t>021-68609600-5952 </w:t>
      </w:r>
      <w:r>
        <w:rPr/>
        <w:t>传真：</w:t>
      </w:r>
      <w:r>
        <w:rPr>
          <w:rFonts w:ascii="Times New Roman" w:eastAsia="Times New Roman"/>
        </w:rPr>
        <w:t>021-33830351</w:t>
      </w:r>
    </w:p>
    <w:p>
      <w:pPr>
        <w:pStyle w:val="BodyText"/>
        <w:spacing w:line="269" w:lineRule="exact"/>
        <w:ind w:left="960"/>
      </w:pPr>
      <w:r>
        <w:rPr/>
        <w:t>联系人：黎静</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62">
        <w:r>
          <w:rPr>
            <w:rFonts w:ascii="Times New Roman" w:eastAsia="Times New Roman"/>
          </w:rPr>
          <w:t>www.qiangungun.com </w:t>
        </w:r>
      </w:hyperlink>
      <w:r>
        <w:rPr/>
        <w:t>客户服务电话：</w:t>
      </w:r>
      <w:r>
        <w:rPr>
          <w:rFonts w:ascii="Times New Roman" w:eastAsia="Times New Roman"/>
        </w:rPr>
        <w:t>400-700-9700</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上海华夏财富投资管理有限公司</w:t>
      </w:r>
    </w:p>
    <w:p>
      <w:pPr>
        <w:pStyle w:val="BodyText"/>
        <w:spacing w:before="7"/>
        <w:rPr>
          <w:sz w:val="15"/>
        </w:rPr>
      </w:pPr>
    </w:p>
    <w:p>
      <w:pPr>
        <w:pStyle w:val="BodyText"/>
        <w:ind w:left="960"/>
      </w:pPr>
      <w:r>
        <w:rPr/>
        <w:t>住所：上海市虹口区东大名路 </w:t>
      </w:r>
      <w:r>
        <w:rPr>
          <w:rFonts w:ascii="Times New Roman" w:eastAsia="Times New Roman"/>
        </w:rPr>
        <w:t>687 </w:t>
      </w:r>
      <w:r>
        <w:rPr/>
        <w:t>号一幢二楼 </w:t>
      </w:r>
      <w:r>
        <w:rPr>
          <w:rFonts w:ascii="Times New Roman" w:eastAsia="Times New Roman"/>
        </w:rPr>
        <w:t>268 </w:t>
      </w:r>
      <w:r>
        <w:rPr/>
        <w:t>室</w:t>
      </w:r>
    </w:p>
    <w:p>
      <w:pPr>
        <w:pStyle w:val="BodyText"/>
        <w:spacing w:before="7"/>
        <w:rPr>
          <w:sz w:val="15"/>
        </w:rPr>
      </w:pPr>
    </w:p>
    <w:p>
      <w:pPr>
        <w:pStyle w:val="BodyText"/>
        <w:spacing w:line="417" w:lineRule="auto"/>
        <w:ind w:left="96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层法定代表人：毛淮平</w:t>
      </w:r>
    </w:p>
    <w:p>
      <w:pPr>
        <w:pStyle w:val="BodyText"/>
        <w:spacing w:line="417" w:lineRule="auto"/>
        <w:ind w:left="960" w:right="634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960"/>
      </w:pPr>
      <w:r>
        <w:rPr/>
        <w:t>联系人：张静怡</w:t>
      </w:r>
    </w:p>
    <w:p>
      <w:pPr>
        <w:pStyle w:val="BodyText"/>
        <w:spacing w:before="6"/>
        <w:rPr>
          <w:sz w:val="15"/>
        </w:rPr>
      </w:pPr>
    </w:p>
    <w:p>
      <w:pPr>
        <w:pStyle w:val="BodyText"/>
        <w:spacing w:line="417" w:lineRule="auto" w:before="1"/>
        <w:ind w:left="960" w:right="5541"/>
        <w:rPr>
          <w:rFonts w:ascii="Times New Roman" w:eastAsia="Times New Roman"/>
        </w:rPr>
      </w:pPr>
      <w:r>
        <w:rPr/>
        <w:t>网址：</w:t>
      </w:r>
      <w:hyperlink r:id="rId63">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中信期货有限公司</w:t>
      </w:r>
    </w:p>
    <w:p>
      <w:pPr>
        <w:pStyle w:val="BodyText"/>
        <w:spacing w:before="6"/>
        <w:rPr>
          <w:sz w:val="15"/>
        </w:rPr>
      </w:pPr>
    </w:p>
    <w:p>
      <w:pPr>
        <w:pStyle w:val="BodyText"/>
        <w:spacing w:line="417" w:lineRule="auto" w:before="1"/>
        <w:ind w:left="960" w:right="356"/>
      </w:pPr>
      <w:r>
        <w:rPr>
          <w:spacing w:val="-7"/>
        </w:rPr>
        <w:t>住所：深圳市福田区中心三路 </w:t>
      </w:r>
      <w:r>
        <w:rPr>
          <w:rFonts w:ascii="Times New Roman" w:eastAsia="Times New Roman"/>
        </w:rPr>
        <w:t>8 </w:t>
      </w:r>
      <w:r>
        <w:rPr>
          <w:spacing w:val="-3"/>
        </w:rPr>
        <w:t>号卓越时代广场（</w:t>
      </w:r>
      <w:r>
        <w:rPr/>
        <w:t>二期</w:t>
      </w:r>
      <w:r>
        <w:rPr>
          <w:spacing w:val="-3"/>
        </w:rPr>
        <w:t>）</w:t>
      </w:r>
      <w:r>
        <w:rPr>
          <w:spacing w:val="-17"/>
        </w:rPr>
        <w:t>北座 </w:t>
      </w:r>
      <w:r>
        <w:rPr>
          <w:rFonts w:ascii="Times New Roman" w:eastAsia="Times New Roman"/>
        </w:rPr>
        <w:t>13 </w:t>
      </w:r>
      <w:r>
        <w:rPr>
          <w:spacing w:val="-24"/>
        </w:rPr>
        <w:t>层 </w:t>
      </w:r>
      <w:r>
        <w:rPr>
          <w:rFonts w:ascii="Times New Roman" w:eastAsia="Times New Roman"/>
        </w:rPr>
        <w:t>1301-1305</w:t>
      </w:r>
      <w:r>
        <w:rPr/>
        <w:t>、</w:t>
      </w:r>
      <w:r>
        <w:rPr>
          <w:rFonts w:ascii="Times New Roman" w:eastAsia="Times New Roman"/>
        </w:rPr>
        <w:t>14 </w:t>
      </w:r>
      <w:r>
        <w:rPr/>
        <w:t>层</w:t>
      </w:r>
      <w:r>
        <w:rPr>
          <w:spacing w:val="-6"/>
        </w:rPr>
        <w:t>办公地址：深圳市福田区中心三路 </w:t>
      </w:r>
      <w:r>
        <w:rPr>
          <w:rFonts w:ascii="Times New Roman" w:eastAsia="Times New Roman"/>
        </w:rPr>
        <w:t>8 </w:t>
      </w:r>
      <w:r>
        <w:rPr>
          <w:spacing w:val="-3"/>
        </w:rPr>
        <w:t>号卓越时代广场</w:t>
      </w:r>
      <w:r>
        <w:rPr/>
        <w:t>（</w:t>
      </w:r>
      <w:r>
        <w:rPr>
          <w:spacing w:val="-2"/>
        </w:rPr>
        <w:t>二期</w:t>
      </w:r>
      <w:r>
        <w:rPr>
          <w:spacing w:val="-3"/>
        </w:rPr>
        <w:t>）</w:t>
      </w:r>
      <w:r>
        <w:rPr>
          <w:spacing w:val="-18"/>
        </w:rPr>
        <w:t>北座 </w:t>
      </w:r>
      <w:r>
        <w:rPr>
          <w:rFonts w:ascii="Times New Roman" w:eastAsia="Times New Roman"/>
        </w:rPr>
        <w:t>13 </w:t>
      </w:r>
      <w:r>
        <w:rPr>
          <w:spacing w:val="-24"/>
        </w:rPr>
        <w:t>层 </w:t>
      </w:r>
      <w:r>
        <w:rPr>
          <w:rFonts w:ascii="Times New Roman" w:eastAsia="Times New Roman"/>
        </w:rPr>
        <w:t>1301-1305</w:t>
      </w:r>
      <w:r>
        <w:rPr/>
        <w:t>、</w:t>
      </w:r>
    </w:p>
    <w:p>
      <w:pPr>
        <w:pStyle w:val="ListParagraph"/>
        <w:numPr>
          <w:ilvl w:val="0"/>
          <w:numId w:val="10"/>
        </w:numPr>
        <w:tabs>
          <w:tab w:pos="805" w:val="left" w:leader="none"/>
        </w:tabs>
        <w:spacing w:line="269" w:lineRule="exact" w:before="0" w:after="0"/>
        <w:ind w:left="804" w:right="0" w:hanging="265"/>
        <w:jc w:val="left"/>
        <w:rPr>
          <w:sz w:val="21"/>
        </w:rPr>
      </w:pPr>
      <w:r>
        <w:rPr>
          <w:w w:val="100"/>
          <w:sz w:val="21"/>
        </w:rPr>
        <w:t>层</w:t>
      </w:r>
    </w:p>
    <w:p>
      <w:pPr>
        <w:pStyle w:val="BodyText"/>
        <w:spacing w:before="6"/>
        <w:rPr>
          <w:sz w:val="15"/>
        </w:rPr>
      </w:pPr>
    </w:p>
    <w:p>
      <w:pPr>
        <w:pStyle w:val="BodyText"/>
        <w:spacing w:line="417" w:lineRule="auto"/>
        <w:ind w:left="960" w:right="618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ind w:left="960"/>
      </w:pPr>
      <w:r>
        <w:rPr/>
        <w:t>联系人：刘宏莹</w:t>
      </w:r>
    </w:p>
    <w:p>
      <w:pPr>
        <w:pStyle w:val="BodyText"/>
        <w:spacing w:before="7"/>
        <w:rPr>
          <w:sz w:val="15"/>
        </w:rPr>
      </w:pPr>
    </w:p>
    <w:p>
      <w:pPr>
        <w:pStyle w:val="BodyText"/>
        <w:ind w:left="960"/>
        <w:rPr>
          <w:rFonts w:ascii="Times New Roman" w:eastAsia="Times New Roman"/>
        </w:rPr>
      </w:pPr>
      <w:r>
        <w:rPr/>
        <w:t>网址：</w:t>
      </w:r>
      <w:hyperlink r:id="rId64">
        <w:r>
          <w:rPr>
            <w:rFonts w:ascii="Times New Roman" w:eastAsia="Times New Roman"/>
          </w:rPr>
          <w:t>www.citicsf.com</w:t>
        </w:r>
      </w:hyperlink>
    </w:p>
    <w:p>
      <w:pPr>
        <w:spacing w:after="0"/>
        <w:rPr>
          <w:rFonts w:ascii="Times New Roman" w:eastAsia="Times New Roman"/>
        </w:rPr>
        <w:sectPr>
          <w:pgSz w:w="11910" w:h="16840"/>
          <w:pgMar w:header="877" w:footer="0" w:top="1420" w:bottom="2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400-990-8826</w:t>
      </w:r>
    </w:p>
    <w:p>
      <w:pPr>
        <w:pStyle w:val="BodyText"/>
        <w:spacing w:before="3"/>
        <w:rPr>
          <w:rFonts w:ascii="Times New Roman"/>
          <w:sz w:val="17"/>
        </w:rPr>
      </w:pPr>
    </w:p>
    <w:p>
      <w:pPr>
        <w:pStyle w:val="ListParagraph"/>
        <w:numPr>
          <w:ilvl w:val="0"/>
          <w:numId w:val="9"/>
        </w:numPr>
        <w:tabs>
          <w:tab w:pos="1595" w:val="left" w:leader="none"/>
        </w:tabs>
        <w:spacing w:line="417" w:lineRule="auto" w:before="0" w:after="0"/>
        <w:ind w:left="960" w:right="5470" w:firstLine="0"/>
        <w:jc w:val="left"/>
        <w:rPr>
          <w:sz w:val="21"/>
        </w:rPr>
      </w:pPr>
      <w:r>
        <w:rPr>
          <w:spacing w:val="-5"/>
          <w:sz w:val="21"/>
        </w:rPr>
        <w:t>弘业期货股份有限公司</w:t>
      </w:r>
      <w:r>
        <w:rPr>
          <w:spacing w:val="-8"/>
          <w:sz w:val="21"/>
        </w:rPr>
        <w:t>住所：南京市中华路 </w:t>
      </w:r>
      <w:r>
        <w:rPr>
          <w:rFonts w:ascii="Times New Roman" w:eastAsia="Times New Roman"/>
          <w:sz w:val="21"/>
        </w:rPr>
        <w:t>50</w:t>
      </w:r>
      <w:r>
        <w:rPr>
          <w:rFonts w:ascii="Times New Roman" w:eastAsia="Times New Roman"/>
          <w:spacing w:val="-1"/>
          <w:sz w:val="21"/>
        </w:rPr>
        <w:t> </w:t>
      </w:r>
      <w:r>
        <w:rPr>
          <w:sz w:val="21"/>
        </w:rPr>
        <w:t>号</w:t>
      </w:r>
    </w:p>
    <w:p>
      <w:pPr>
        <w:pStyle w:val="BodyText"/>
        <w:spacing w:line="417" w:lineRule="auto"/>
        <w:ind w:left="960" w:right="4464"/>
      </w:pPr>
      <w:r>
        <w:rPr/>
        <w:t>办公地址：南京市中华路 </w:t>
      </w:r>
      <w:r>
        <w:rPr>
          <w:rFonts w:ascii="Times New Roman" w:eastAsia="Times New Roman"/>
        </w:rPr>
        <w:t>50 </w:t>
      </w:r>
      <w:r>
        <w:rPr/>
        <w:t>号弘业大厦法定代表人：周剑秋</w:t>
      </w:r>
    </w:p>
    <w:p>
      <w:pPr>
        <w:pStyle w:val="BodyText"/>
        <w:spacing w:line="417" w:lineRule="auto"/>
        <w:ind w:left="960" w:right="634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ind w:left="960"/>
      </w:pPr>
      <w:r>
        <w:rPr/>
        <w:t>联系人：张苏怡</w:t>
      </w:r>
    </w:p>
    <w:p>
      <w:pPr>
        <w:pStyle w:val="BodyText"/>
        <w:spacing w:before="6"/>
        <w:rPr>
          <w:sz w:val="15"/>
        </w:rPr>
      </w:pPr>
    </w:p>
    <w:p>
      <w:pPr>
        <w:pStyle w:val="BodyText"/>
        <w:ind w:left="960"/>
        <w:rPr>
          <w:rFonts w:ascii="Times New Roman" w:eastAsia="Times New Roman"/>
        </w:rPr>
      </w:pPr>
      <w:r>
        <w:rPr/>
        <w:t>网址：</w:t>
      </w:r>
      <w:hyperlink r:id="rId65">
        <w:r>
          <w:rPr>
            <w:rFonts w:ascii="Times New Roman" w:eastAsia="Times New Roman"/>
          </w:rPr>
          <w:t>www.ftol.com.cn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400-828-8288</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中信建投证券股份有限公司</w:t>
      </w:r>
    </w:p>
    <w:p>
      <w:pPr>
        <w:pStyle w:val="BodyText"/>
        <w:spacing w:before="7"/>
        <w:rPr>
          <w:sz w:val="15"/>
        </w:rPr>
      </w:pPr>
    </w:p>
    <w:p>
      <w:pPr>
        <w:pStyle w:val="BodyText"/>
        <w:ind w:left="960"/>
      </w:pPr>
      <w:r>
        <w:rPr/>
        <w:t>住所：北京市朝阳区安立路 </w:t>
      </w:r>
      <w:r>
        <w:rPr>
          <w:rFonts w:ascii="Times New Roman" w:eastAsia="Times New Roman"/>
        </w:rPr>
        <w:t>66 </w:t>
      </w:r>
      <w:r>
        <w:rPr/>
        <w:t>号 </w:t>
      </w:r>
      <w:r>
        <w:rPr>
          <w:rFonts w:ascii="Times New Roman" w:eastAsia="Times New Roman"/>
        </w:rPr>
        <w:t>4 </w:t>
      </w:r>
      <w:r>
        <w:rPr/>
        <w:t>号楼</w:t>
      </w:r>
    </w:p>
    <w:p>
      <w:pPr>
        <w:pStyle w:val="BodyText"/>
        <w:spacing w:before="7"/>
        <w:rPr>
          <w:sz w:val="15"/>
        </w:rPr>
      </w:pPr>
    </w:p>
    <w:p>
      <w:pPr>
        <w:pStyle w:val="BodyText"/>
        <w:spacing w:line="417" w:lineRule="auto"/>
        <w:ind w:left="960" w:right="4629"/>
      </w:pPr>
      <w:r>
        <w:rPr>
          <w:spacing w:val="-6"/>
        </w:rPr>
        <w:t>办公地址：北京市朝阳门内大街 </w:t>
      </w:r>
      <w:r>
        <w:rPr>
          <w:rFonts w:ascii="Times New Roman" w:eastAsia="Times New Roman"/>
        </w:rPr>
        <w:t>188</w:t>
      </w:r>
      <w:r>
        <w:rPr>
          <w:rFonts w:ascii="Times New Roman" w:eastAsia="Times New Roman"/>
          <w:spacing w:val="5"/>
        </w:rPr>
        <w:t> </w:t>
      </w:r>
      <w:r>
        <w:rPr>
          <w:spacing w:val="-11"/>
        </w:rPr>
        <w:t>号</w:t>
      </w:r>
      <w:r>
        <w:rPr>
          <w:spacing w:val="-3"/>
        </w:rPr>
        <w:t>法定代表人：王常青</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9" w:lineRule="exact"/>
        <w:ind w:left="960"/>
      </w:pPr>
      <w:r>
        <w:rPr/>
        <w:t>联系人：权唐</w:t>
      </w:r>
    </w:p>
    <w:p>
      <w:pPr>
        <w:pStyle w:val="BodyText"/>
        <w:spacing w:before="7"/>
        <w:rPr>
          <w:sz w:val="15"/>
        </w:rPr>
      </w:pPr>
    </w:p>
    <w:p>
      <w:pPr>
        <w:pStyle w:val="BodyText"/>
        <w:ind w:left="960"/>
        <w:rPr>
          <w:rFonts w:ascii="Times New Roman" w:eastAsia="Times New Roman"/>
        </w:rPr>
      </w:pPr>
      <w:r>
        <w:rPr/>
        <w:t>网址：</w:t>
      </w:r>
      <w:hyperlink r:id="rId66">
        <w:r>
          <w:rPr>
            <w:rFonts w:ascii="Times New Roman" w:eastAsia="Times New Roman"/>
          </w:rPr>
          <w:t>www.csc108.com</w:t>
        </w:r>
      </w:hyperlink>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中信证券股份有限公司</w:t>
      </w:r>
    </w:p>
    <w:p>
      <w:pPr>
        <w:pStyle w:val="BodyText"/>
        <w:spacing w:before="7"/>
        <w:rPr>
          <w:sz w:val="15"/>
        </w:rPr>
      </w:pPr>
    </w:p>
    <w:p>
      <w:pPr>
        <w:pStyle w:val="BodyText"/>
        <w:ind w:left="960"/>
      </w:pPr>
      <w:r>
        <w:rPr/>
        <w:t>住所：广东省深圳市福田区中心三路 </w:t>
      </w:r>
      <w:r>
        <w:rPr>
          <w:rFonts w:ascii="Times New Roman" w:eastAsia="Times New Roman"/>
        </w:rPr>
        <w:t>8 </w:t>
      </w:r>
      <w:r>
        <w:rPr/>
        <w:t>号卓越时代广场（二期）北座</w:t>
      </w:r>
    </w:p>
    <w:p>
      <w:pPr>
        <w:pStyle w:val="BodyText"/>
        <w:spacing w:before="6"/>
        <w:rPr>
          <w:sz w:val="15"/>
        </w:rPr>
      </w:pPr>
    </w:p>
    <w:p>
      <w:pPr>
        <w:pStyle w:val="BodyText"/>
        <w:spacing w:line="417" w:lineRule="auto" w:before="1"/>
        <w:ind w:left="960" w:right="3204"/>
      </w:pPr>
      <w:r>
        <w:rPr/>
        <w:t>办公地址：北京市朝阳区亮马桥路 </w:t>
      </w:r>
      <w:r>
        <w:rPr>
          <w:rFonts w:ascii="Times New Roman" w:eastAsia="Times New Roman"/>
        </w:rPr>
        <w:t>48 </w:t>
      </w:r>
      <w:r>
        <w:rPr/>
        <w:t>号中信证券大厦法定代表人：张佑君</w:t>
      </w:r>
    </w:p>
    <w:p>
      <w:pPr>
        <w:pStyle w:val="BodyText"/>
        <w:spacing w:line="417" w:lineRule="auto"/>
        <w:ind w:left="960" w:right="634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pStyle w:val="BodyText"/>
        <w:spacing w:line="269" w:lineRule="exact"/>
        <w:ind w:left="960"/>
      </w:pPr>
      <w:r>
        <w:rPr/>
        <w:t>联系人：郑慧</w:t>
      </w:r>
    </w:p>
    <w:p>
      <w:pPr>
        <w:pStyle w:val="BodyText"/>
        <w:spacing w:before="6"/>
        <w:rPr>
          <w:sz w:val="15"/>
        </w:rPr>
      </w:pPr>
    </w:p>
    <w:p>
      <w:pPr>
        <w:pStyle w:val="BodyText"/>
        <w:spacing w:line="417" w:lineRule="auto" w:before="1"/>
        <w:ind w:left="960" w:right="5938"/>
        <w:rPr>
          <w:rFonts w:ascii="Times New Roman" w:eastAsia="Times New Roman"/>
        </w:rPr>
      </w:pPr>
      <w:r>
        <w:rPr/>
        <w:t>网址：</w:t>
      </w:r>
      <w:hyperlink r:id="rId67">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中国银河证券股份有限公司</w:t>
      </w:r>
    </w:p>
    <w:p>
      <w:pPr>
        <w:pStyle w:val="BodyText"/>
        <w:spacing w:before="7"/>
        <w:rPr>
          <w:sz w:val="15"/>
        </w:rPr>
      </w:pPr>
    </w:p>
    <w:p>
      <w:pPr>
        <w:pStyle w:val="BodyText"/>
        <w:ind w:left="960"/>
      </w:pPr>
      <w:r>
        <w:rPr/>
        <w:t>住所：北京市西城区金融大街 </w:t>
      </w:r>
      <w:r>
        <w:rPr>
          <w:rFonts w:ascii="Times New Roman" w:eastAsia="Times New Roman"/>
        </w:rPr>
        <w:t>35 </w:t>
      </w:r>
      <w:r>
        <w:rPr/>
        <w:t>号 </w:t>
      </w:r>
      <w:r>
        <w:rPr>
          <w:rFonts w:ascii="Times New Roman" w:eastAsia="Times New Roman"/>
        </w:rPr>
        <w:t>2-6 </w:t>
      </w:r>
      <w:r>
        <w:rPr/>
        <w:t>层</w:t>
      </w:r>
    </w:p>
    <w:p>
      <w:pPr>
        <w:pStyle w:val="BodyText"/>
        <w:spacing w:before="6"/>
        <w:rPr>
          <w:sz w:val="15"/>
        </w:rPr>
      </w:pPr>
    </w:p>
    <w:p>
      <w:pPr>
        <w:pStyle w:val="BodyText"/>
        <w:spacing w:before="1"/>
        <w:ind w:left="960"/>
      </w:pPr>
      <w:r>
        <w:rPr/>
        <w:t>办公地址：北京市西城区金融大街 </w:t>
      </w:r>
      <w:r>
        <w:rPr>
          <w:rFonts w:ascii="Times New Roman" w:eastAsia="Times New Roman"/>
        </w:rPr>
        <w:t>35 </w:t>
      </w:r>
      <w:r>
        <w:rPr/>
        <w:t>号国际企业大厦 </w:t>
      </w:r>
      <w:r>
        <w:rPr>
          <w:rFonts w:ascii="Times New Roman" w:eastAsia="Times New Roman"/>
        </w:rPr>
        <w:t>C </w:t>
      </w:r>
      <w:r>
        <w:rPr/>
        <w:t>座</w:t>
      </w:r>
    </w:p>
    <w:p>
      <w:pPr>
        <w:spacing w:after="0"/>
        <w:sectPr>
          <w:pgSz w:w="11910" w:h="16840"/>
          <w:pgMar w:header="877" w:footer="0" w:top="1420" w:bottom="280" w:left="1260" w:right="1480"/>
        </w:sectPr>
      </w:pPr>
    </w:p>
    <w:p>
      <w:pPr>
        <w:pStyle w:val="BodyText"/>
        <w:spacing w:line="417" w:lineRule="auto" w:before="110"/>
        <w:ind w:left="960" w:right="6310"/>
        <w:jc w:val="both"/>
        <w:rPr>
          <w:rFonts w:ascii="Times New Roman" w:eastAsia="Times New Roman"/>
        </w:rPr>
      </w:pPr>
      <w:r>
        <w:rPr/>
        <w:t>法定代表人：陈共炎电话：</w:t>
      </w:r>
      <w:r>
        <w:rPr>
          <w:rFonts w:ascii="Times New Roman" w:eastAsia="Times New Roman"/>
        </w:rPr>
        <w:t>010-83574507 </w:t>
      </w:r>
      <w:r>
        <w:rPr/>
        <w:t>传真：</w:t>
      </w:r>
      <w:r>
        <w:rPr>
          <w:rFonts w:ascii="Times New Roman" w:eastAsia="Times New Roman"/>
        </w:rPr>
        <w:t>010-66568990</w:t>
      </w:r>
    </w:p>
    <w:p>
      <w:pPr>
        <w:pStyle w:val="BodyText"/>
        <w:spacing w:line="269" w:lineRule="exact"/>
        <w:ind w:left="960"/>
      </w:pPr>
      <w:r>
        <w:rPr/>
        <w:t>联系人：辛国政</w:t>
      </w:r>
    </w:p>
    <w:p>
      <w:pPr>
        <w:pStyle w:val="BodyText"/>
        <w:spacing w:before="6"/>
        <w:rPr>
          <w:sz w:val="15"/>
        </w:rPr>
      </w:pPr>
    </w:p>
    <w:p>
      <w:pPr>
        <w:pStyle w:val="BodyText"/>
        <w:ind w:left="960"/>
        <w:rPr>
          <w:rFonts w:ascii="Times New Roman" w:eastAsia="Times New Roman"/>
        </w:rPr>
      </w:pPr>
      <w:r>
        <w:rPr/>
        <w:t>网址：</w:t>
      </w:r>
      <w:hyperlink r:id="rId68">
        <w:r>
          <w:rPr>
            <w:rFonts w:ascii="Times New Roman" w:eastAsia="Times New Roman"/>
          </w:rPr>
          <w:t>www.chinastock.com.cn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4008-888-888 </w:t>
      </w:r>
      <w:r>
        <w:rPr/>
        <w:t>或 </w:t>
      </w:r>
      <w:r>
        <w:rPr>
          <w:rFonts w:ascii="Times New Roman" w:eastAsia="Times New Roman"/>
        </w:rPr>
        <w:t>95551</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申万宏源证券有限公司</w:t>
      </w:r>
    </w:p>
    <w:p>
      <w:pPr>
        <w:pStyle w:val="BodyText"/>
        <w:spacing w:before="8"/>
        <w:rPr>
          <w:sz w:val="15"/>
        </w:rPr>
      </w:pPr>
    </w:p>
    <w:p>
      <w:pPr>
        <w:pStyle w:val="BodyText"/>
        <w:ind w:left="960"/>
      </w:pPr>
      <w:r>
        <w:rPr/>
        <w:t>住所：上海市徐汇区长乐路 </w:t>
      </w:r>
      <w:r>
        <w:rPr>
          <w:rFonts w:ascii="Times New Roman" w:eastAsia="Times New Roman"/>
        </w:rPr>
        <w:t>989 </w:t>
      </w:r>
      <w:r>
        <w:rPr/>
        <w:t>号 </w:t>
      </w:r>
      <w:r>
        <w:rPr>
          <w:rFonts w:ascii="Times New Roman" w:eastAsia="Times New Roman"/>
        </w:rPr>
        <w:t>45 </w:t>
      </w:r>
      <w:r>
        <w:rPr/>
        <w:t>层</w:t>
      </w:r>
    </w:p>
    <w:p>
      <w:pPr>
        <w:pStyle w:val="BodyText"/>
        <w:spacing w:before="6"/>
        <w:rPr>
          <w:sz w:val="15"/>
        </w:rPr>
      </w:pPr>
    </w:p>
    <w:p>
      <w:pPr>
        <w:pStyle w:val="BodyText"/>
        <w:spacing w:line="417" w:lineRule="auto"/>
        <w:ind w:left="960" w:right="3055"/>
      </w:pPr>
      <w:r>
        <w:rPr>
          <w:spacing w:val="-7"/>
        </w:rPr>
        <w:t>办公地址：上海市徐汇区长乐路 </w:t>
      </w:r>
      <w:r>
        <w:rPr>
          <w:rFonts w:ascii="Times New Roman" w:eastAsia="Times New Roman"/>
        </w:rPr>
        <w:t>989 </w:t>
      </w:r>
      <w:r>
        <w:rPr>
          <w:spacing w:val="-25"/>
        </w:rPr>
        <w:t>号 </w:t>
      </w:r>
      <w:r>
        <w:rPr>
          <w:rFonts w:ascii="Times New Roman" w:eastAsia="Times New Roman"/>
        </w:rPr>
        <w:t>45 </w:t>
      </w:r>
      <w:r>
        <w:rPr>
          <w:spacing w:val="-3"/>
        </w:rPr>
        <w:t>层</w:t>
      </w:r>
      <w:r>
        <w:rPr/>
        <w:t>（</w:t>
      </w:r>
      <w:r>
        <w:rPr>
          <w:rFonts w:ascii="Times New Roman" w:eastAsia="Times New Roman"/>
        </w:rPr>
        <w:t>200031</w:t>
      </w:r>
      <w:r>
        <w:rPr/>
        <w:t>） </w:t>
      </w:r>
      <w:r>
        <w:rPr>
          <w:spacing w:val="-3"/>
        </w:rPr>
        <w:t>法定代表人：李梅</w:t>
      </w:r>
    </w:p>
    <w:p>
      <w:pPr>
        <w:pStyle w:val="BodyText"/>
        <w:spacing w:line="417" w:lineRule="auto"/>
        <w:ind w:left="960" w:right="634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960"/>
      </w:pPr>
      <w:r>
        <w:rPr/>
        <w:t>联系人：陈宇</w:t>
      </w:r>
    </w:p>
    <w:p>
      <w:pPr>
        <w:pStyle w:val="BodyText"/>
        <w:spacing w:before="7"/>
        <w:rPr>
          <w:sz w:val="15"/>
        </w:rPr>
      </w:pPr>
    </w:p>
    <w:p>
      <w:pPr>
        <w:pStyle w:val="BodyText"/>
        <w:ind w:left="960"/>
        <w:rPr>
          <w:rFonts w:ascii="Times New Roman" w:eastAsia="Times New Roman"/>
        </w:rPr>
      </w:pPr>
      <w:r>
        <w:rPr/>
        <w:t>网址：</w:t>
      </w:r>
      <w:hyperlink r:id="rId69">
        <w:r>
          <w:rPr>
            <w:rFonts w:ascii="Times New Roman" w:eastAsia="Times New Roman"/>
          </w:rPr>
          <w:t>www.swhysc.com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rPr>
          <w:rFonts w:ascii="Times New Roman"/>
          <w:sz w:val="17"/>
        </w:rPr>
      </w:pPr>
    </w:p>
    <w:p>
      <w:pPr>
        <w:pStyle w:val="ListParagraph"/>
        <w:numPr>
          <w:ilvl w:val="0"/>
          <w:numId w:val="9"/>
        </w:numPr>
        <w:tabs>
          <w:tab w:pos="1595" w:val="left" w:leader="none"/>
        </w:tabs>
        <w:spacing w:line="417" w:lineRule="auto" w:before="0" w:after="0"/>
        <w:ind w:left="960" w:right="5470" w:firstLine="0"/>
        <w:jc w:val="left"/>
        <w:rPr>
          <w:sz w:val="21"/>
        </w:rPr>
      </w:pPr>
      <w:r>
        <w:rPr>
          <w:spacing w:val="-5"/>
          <w:sz w:val="21"/>
        </w:rPr>
        <w:t>兴业证券股份有限公司</w:t>
      </w:r>
      <w:r>
        <w:rPr>
          <w:spacing w:val="-8"/>
          <w:sz w:val="21"/>
        </w:rPr>
        <w:t>住所：福州市湖东路 </w:t>
      </w:r>
      <w:r>
        <w:rPr>
          <w:rFonts w:ascii="Times New Roman" w:eastAsia="Times New Roman"/>
          <w:sz w:val="21"/>
        </w:rPr>
        <w:t>268</w:t>
      </w:r>
      <w:r>
        <w:rPr>
          <w:rFonts w:ascii="Times New Roman" w:eastAsia="Times New Roman"/>
          <w:spacing w:val="-1"/>
          <w:sz w:val="21"/>
        </w:rPr>
        <w:t> </w:t>
      </w:r>
      <w:r>
        <w:rPr>
          <w:sz w:val="21"/>
        </w:rPr>
        <w:t>号</w:t>
      </w:r>
    </w:p>
    <w:p>
      <w:pPr>
        <w:pStyle w:val="BodyText"/>
        <w:spacing w:line="417" w:lineRule="auto"/>
        <w:ind w:left="960" w:right="4463"/>
      </w:pPr>
      <w:r>
        <w:rPr/>
        <w:t>办公地址：上海市浦东新区长柳路 </w:t>
      </w:r>
      <w:r>
        <w:rPr>
          <w:rFonts w:ascii="Times New Roman" w:eastAsia="Times New Roman"/>
        </w:rPr>
        <w:t>36 </w:t>
      </w:r>
      <w:r>
        <w:rPr/>
        <w:t>号法定代表人：杨华辉</w:t>
      </w:r>
    </w:p>
    <w:p>
      <w:pPr>
        <w:pStyle w:val="BodyText"/>
        <w:spacing w:line="417" w:lineRule="auto"/>
        <w:ind w:left="960" w:right="634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ind w:left="960"/>
      </w:pPr>
      <w:r>
        <w:rPr/>
        <w:t>联系人：乔琳雪</w:t>
      </w:r>
    </w:p>
    <w:p>
      <w:pPr>
        <w:pStyle w:val="BodyText"/>
        <w:spacing w:before="6"/>
        <w:rPr>
          <w:sz w:val="15"/>
        </w:rPr>
      </w:pPr>
    </w:p>
    <w:p>
      <w:pPr>
        <w:pStyle w:val="BodyText"/>
        <w:spacing w:line="417" w:lineRule="auto" w:before="1"/>
        <w:ind w:left="960" w:right="5963"/>
        <w:rPr>
          <w:rFonts w:ascii="Times New Roman" w:eastAsia="Times New Roman"/>
        </w:rPr>
      </w:pPr>
      <w:r>
        <w:rPr/>
        <w:t>网址：</w:t>
      </w:r>
      <w:hyperlink r:id="rId70">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民生证券股份有限公司</w:t>
      </w:r>
    </w:p>
    <w:p>
      <w:pPr>
        <w:pStyle w:val="BodyText"/>
        <w:spacing w:before="6"/>
        <w:rPr>
          <w:sz w:val="15"/>
        </w:rPr>
      </w:pPr>
    </w:p>
    <w:p>
      <w:pPr>
        <w:pStyle w:val="BodyText"/>
        <w:ind w:left="960"/>
      </w:pPr>
      <w:r>
        <w:rPr/>
        <w:t>住所：北京市东城区建国门内大街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w:t>
      </w:r>
    </w:p>
    <w:p>
      <w:pPr>
        <w:pStyle w:val="BodyText"/>
        <w:spacing w:before="7"/>
        <w:rPr>
          <w:sz w:val="15"/>
        </w:rPr>
      </w:pPr>
    </w:p>
    <w:p>
      <w:pPr>
        <w:pStyle w:val="BodyText"/>
        <w:spacing w:line="417" w:lineRule="auto"/>
        <w:ind w:left="960" w:right="1512"/>
      </w:pPr>
      <w:r>
        <w:rPr/>
        <w:t>办公地址：北京市东城区建国门内大街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层法定代表人：冯鹤年</w:t>
      </w:r>
    </w:p>
    <w:p>
      <w:pPr>
        <w:pStyle w:val="BodyText"/>
        <w:spacing w:line="417" w:lineRule="auto"/>
        <w:ind w:left="960" w:right="634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spacing w:after="0" w:line="417" w:lineRule="auto"/>
        <w:rPr>
          <w:rFonts w:ascii="Times New Roman" w:eastAsia="Times New Roman"/>
        </w:rPr>
        <w:sectPr>
          <w:pgSz w:w="11910" w:h="16840"/>
          <w:pgMar w:header="877" w:footer="0" w:top="1420" w:bottom="280" w:left="1260" w:right="1480"/>
        </w:sectPr>
      </w:pPr>
    </w:p>
    <w:p>
      <w:pPr>
        <w:pStyle w:val="BodyText"/>
        <w:spacing w:before="110"/>
        <w:ind w:left="960"/>
      </w:pPr>
      <w:r>
        <w:rPr/>
        <w:t>联系人：韩秀萍</w:t>
      </w:r>
    </w:p>
    <w:p>
      <w:pPr>
        <w:pStyle w:val="BodyText"/>
        <w:spacing w:before="6"/>
        <w:rPr>
          <w:sz w:val="15"/>
        </w:rPr>
      </w:pPr>
    </w:p>
    <w:p>
      <w:pPr>
        <w:pStyle w:val="BodyText"/>
        <w:spacing w:line="417" w:lineRule="auto"/>
        <w:ind w:left="960" w:right="6207"/>
        <w:rPr>
          <w:rFonts w:ascii="Times New Roman" w:eastAsia="Times New Roman"/>
        </w:rPr>
      </w:pPr>
      <w:r>
        <w:rPr/>
        <w:t>网址：</w:t>
      </w:r>
      <w:hyperlink r:id="rId71">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960"/>
        <w:rPr>
          <w:rFonts w:ascii="Times New Roman" w:eastAsia="Times New Roman"/>
        </w:rPr>
      </w:pPr>
      <w:r>
        <w:rPr/>
        <w:t>住所：山东省青岛市崂山区深圳路 </w:t>
      </w:r>
      <w:r>
        <w:rPr>
          <w:rFonts w:ascii="Times New Roman" w:eastAsia="Times New Roman"/>
        </w:rPr>
        <w:t>222 </w:t>
      </w:r>
      <w:r>
        <w:rPr/>
        <w:t>号 </w:t>
      </w:r>
      <w:r>
        <w:rPr>
          <w:rFonts w:ascii="Times New Roman" w:eastAsia="Times New Roman"/>
        </w:rPr>
        <w:t>1 </w:t>
      </w:r>
      <w:r>
        <w:rPr/>
        <w:t>号楼 </w:t>
      </w:r>
      <w:r>
        <w:rPr>
          <w:rFonts w:ascii="Times New Roman" w:eastAsia="Times New Roman"/>
        </w:rPr>
        <w:t>2001</w:t>
      </w:r>
    </w:p>
    <w:p>
      <w:pPr>
        <w:pStyle w:val="BodyText"/>
        <w:spacing w:before="3"/>
        <w:rPr>
          <w:rFonts w:ascii="Times New Roman"/>
          <w:sz w:val="17"/>
        </w:rPr>
      </w:pPr>
    </w:p>
    <w:p>
      <w:pPr>
        <w:pStyle w:val="BodyText"/>
        <w:spacing w:line="417" w:lineRule="auto" w:before="1"/>
        <w:ind w:left="960" w:right="2215"/>
      </w:pPr>
      <w:r>
        <w:rPr>
          <w:spacing w:val="-6"/>
        </w:rPr>
        <w:t>办公地址：山东省青岛市市南区东海西路 </w:t>
      </w:r>
      <w:r>
        <w:rPr>
          <w:rFonts w:ascii="Times New Roman" w:eastAsia="Times New Roman"/>
        </w:rPr>
        <w:t>28 </w:t>
      </w:r>
      <w:r>
        <w:rPr>
          <w:spacing w:val="-9"/>
        </w:rPr>
        <w:t>号龙翔广场东座 </w:t>
      </w:r>
      <w:r>
        <w:rPr>
          <w:rFonts w:ascii="Times New Roman" w:eastAsia="Times New Roman"/>
        </w:rPr>
        <w:t>5 </w:t>
      </w:r>
      <w:r>
        <w:rPr/>
        <w:t>层</w:t>
      </w:r>
      <w:r>
        <w:rPr>
          <w:spacing w:val="-3"/>
        </w:rPr>
        <w:t>法定代表人：姜晓林</w:t>
      </w:r>
    </w:p>
    <w:p>
      <w:pPr>
        <w:pStyle w:val="BodyText"/>
        <w:spacing w:line="417" w:lineRule="auto"/>
        <w:ind w:left="960" w:right="624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spacing w:line="269" w:lineRule="exact"/>
        <w:ind w:left="960"/>
      </w:pPr>
      <w:r>
        <w:rPr/>
        <w:t>联系人：刘晓明</w:t>
      </w:r>
    </w:p>
    <w:p>
      <w:pPr>
        <w:pStyle w:val="BodyText"/>
        <w:spacing w:before="6"/>
        <w:rPr>
          <w:sz w:val="15"/>
        </w:rPr>
      </w:pPr>
    </w:p>
    <w:p>
      <w:pPr>
        <w:pStyle w:val="BodyText"/>
        <w:spacing w:line="417" w:lineRule="auto" w:before="1"/>
        <w:ind w:left="960" w:right="5975"/>
        <w:rPr>
          <w:rFonts w:ascii="Times New Roman" w:eastAsia="Times New Roman"/>
        </w:rPr>
      </w:pPr>
      <w:r>
        <w:rPr/>
        <w:t>网址：</w:t>
      </w:r>
      <w:hyperlink r:id="rId72">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中信证券华南股份有限公司</w:t>
      </w:r>
    </w:p>
    <w:p>
      <w:pPr>
        <w:pStyle w:val="BodyText"/>
        <w:spacing w:before="6"/>
        <w:rPr>
          <w:sz w:val="15"/>
        </w:rPr>
      </w:pPr>
    </w:p>
    <w:p>
      <w:pPr>
        <w:pStyle w:val="BodyText"/>
        <w:ind w:left="960"/>
      </w:pPr>
      <w:r>
        <w:rPr/>
        <w:t>住所：广州市天河区珠江西路 </w:t>
      </w:r>
      <w:r>
        <w:rPr>
          <w:rFonts w:ascii="Times New Roman" w:eastAsia="Times New Roman"/>
        </w:rPr>
        <w:t>5 </w:t>
      </w:r>
      <w:r>
        <w:rPr/>
        <w:t>号广州国际金融中心主塔 </w:t>
      </w:r>
      <w:r>
        <w:rPr>
          <w:rFonts w:ascii="Times New Roman" w:eastAsia="Times New Roman"/>
        </w:rPr>
        <w:t>19 </w:t>
      </w:r>
      <w:r>
        <w:rPr/>
        <w:t>层、</w:t>
      </w:r>
      <w:r>
        <w:rPr>
          <w:rFonts w:ascii="Times New Roman" w:eastAsia="Times New Roman"/>
        </w:rPr>
        <w:t>20 </w:t>
      </w:r>
      <w:r>
        <w:rPr/>
        <w:t>层</w:t>
      </w:r>
    </w:p>
    <w:p>
      <w:pPr>
        <w:pStyle w:val="BodyText"/>
        <w:spacing w:before="7"/>
        <w:rPr>
          <w:sz w:val="15"/>
        </w:rPr>
      </w:pPr>
    </w:p>
    <w:p>
      <w:pPr>
        <w:pStyle w:val="BodyText"/>
        <w:spacing w:line="417" w:lineRule="auto" w:before="1"/>
        <w:ind w:left="960" w:right="1319"/>
      </w:pPr>
      <w:r>
        <w:rPr>
          <w:spacing w:val="-6"/>
        </w:rPr>
        <w:t>办公地址：广州市天河区珠江西路 </w:t>
      </w:r>
      <w:r>
        <w:rPr>
          <w:rFonts w:ascii="Times New Roman" w:eastAsia="Times New Roman"/>
        </w:rPr>
        <w:t>5 </w:t>
      </w:r>
      <w:r>
        <w:rPr>
          <w:spacing w:val="-7"/>
        </w:rPr>
        <w:t>号广州国际金融中心主塔 </w:t>
      </w:r>
      <w:r>
        <w:rPr>
          <w:rFonts w:ascii="Times New Roman" w:eastAsia="Times New Roman"/>
        </w:rPr>
        <w:t>19 </w:t>
      </w:r>
      <w:r>
        <w:rPr/>
        <w:t>层、</w:t>
      </w:r>
      <w:r>
        <w:rPr>
          <w:rFonts w:ascii="Times New Roman" w:eastAsia="Times New Roman"/>
        </w:rPr>
        <w:t>20 </w:t>
      </w:r>
      <w:r>
        <w:rPr/>
        <w:t>层</w:t>
      </w:r>
      <w:r>
        <w:rPr>
          <w:spacing w:val="-3"/>
        </w:rPr>
        <w:t>法定代表人：胡伏云</w:t>
      </w:r>
    </w:p>
    <w:p>
      <w:pPr>
        <w:pStyle w:val="BodyText"/>
        <w:spacing w:line="417" w:lineRule="auto"/>
        <w:ind w:left="960" w:right="634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960"/>
      </w:pPr>
      <w:r>
        <w:rPr/>
        <w:t>联系人：陈靖</w:t>
      </w:r>
    </w:p>
    <w:p>
      <w:pPr>
        <w:pStyle w:val="BodyText"/>
        <w:spacing w:before="6"/>
        <w:rPr>
          <w:sz w:val="15"/>
        </w:rPr>
      </w:pPr>
    </w:p>
    <w:p>
      <w:pPr>
        <w:pStyle w:val="BodyText"/>
        <w:spacing w:line="417" w:lineRule="auto"/>
        <w:ind w:left="960" w:right="6091"/>
        <w:rPr>
          <w:rFonts w:ascii="Times New Roman" w:eastAsia="Times New Roman"/>
        </w:rPr>
      </w:pPr>
      <w:r>
        <w:rPr/>
        <w:t>网址：</w:t>
      </w:r>
      <w:hyperlink r:id="rId73">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平安证券股份有限公司</w:t>
      </w:r>
    </w:p>
    <w:p>
      <w:pPr>
        <w:pStyle w:val="BodyText"/>
        <w:spacing w:before="7"/>
        <w:rPr>
          <w:sz w:val="15"/>
        </w:rPr>
      </w:pPr>
    </w:p>
    <w:p>
      <w:pPr>
        <w:pStyle w:val="BodyText"/>
        <w:spacing w:line="417" w:lineRule="auto"/>
        <w:ind w:left="960" w:right="1375"/>
      </w:pPr>
      <w:r>
        <w:rPr>
          <w:spacing w:val="-6"/>
        </w:rPr>
        <w:t>住所：深圳市福田区福田街道益田路 </w:t>
      </w:r>
      <w:r>
        <w:rPr>
          <w:rFonts w:ascii="Times New Roman" w:eastAsia="Times New Roman"/>
        </w:rPr>
        <w:t>5023 </w:t>
      </w:r>
      <w:r>
        <w:rPr>
          <w:spacing w:val="-9"/>
        </w:rPr>
        <w:t>号平安金融中心 </w:t>
      </w:r>
      <w:r>
        <w:rPr>
          <w:rFonts w:ascii="Times New Roman" w:eastAsia="Times New Roman"/>
        </w:rPr>
        <w:t>B </w:t>
      </w:r>
      <w:r>
        <w:rPr>
          <w:spacing w:val="-17"/>
        </w:rPr>
        <w:t>座第 </w:t>
      </w:r>
      <w:r>
        <w:rPr>
          <w:rFonts w:ascii="Times New Roman" w:eastAsia="Times New Roman"/>
        </w:rPr>
        <w:t>22-25 </w:t>
      </w:r>
      <w:r>
        <w:rPr/>
        <w:t>层</w:t>
      </w:r>
      <w:r>
        <w:rPr>
          <w:spacing w:val="-6"/>
        </w:rPr>
        <w:t>办公地址：深圳市福田中心区金田路 </w:t>
      </w:r>
      <w:r>
        <w:rPr>
          <w:rFonts w:ascii="Times New Roman" w:eastAsia="Times New Roman"/>
        </w:rPr>
        <w:t>4036 </w:t>
      </w:r>
      <w:r>
        <w:rPr>
          <w:spacing w:val="-12"/>
        </w:rPr>
        <w:t>号荣超大厦 </w:t>
      </w:r>
      <w:r>
        <w:rPr>
          <w:rFonts w:ascii="Times New Roman" w:eastAsia="Times New Roman"/>
        </w:rPr>
        <w:t>16-20 </w:t>
      </w:r>
      <w:r>
        <w:rPr/>
        <w:t>层</w:t>
      </w:r>
    </w:p>
    <w:p>
      <w:pPr>
        <w:pStyle w:val="BodyText"/>
        <w:spacing w:line="417" w:lineRule="auto"/>
        <w:ind w:left="960" w:right="631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spacing w:line="269" w:lineRule="exact"/>
        <w:ind w:left="960"/>
      </w:pPr>
      <w:r>
        <w:rPr/>
        <w:t>联系人：王阳</w:t>
      </w:r>
    </w:p>
    <w:p>
      <w:pPr>
        <w:pStyle w:val="BodyText"/>
        <w:spacing w:before="7"/>
        <w:rPr>
          <w:sz w:val="15"/>
        </w:rPr>
      </w:pPr>
    </w:p>
    <w:p>
      <w:pPr>
        <w:pStyle w:val="BodyText"/>
        <w:spacing w:line="417" w:lineRule="auto"/>
        <w:ind w:left="960" w:right="6000"/>
        <w:rPr>
          <w:rFonts w:ascii="Times New Roman" w:eastAsia="Times New Roman"/>
        </w:rPr>
      </w:pPr>
      <w:r>
        <w:rPr/>
        <w:t>网址：</w:t>
      </w:r>
      <w:hyperlink r:id="rId74">
        <w:r>
          <w:rPr>
            <w:rFonts w:ascii="Times New Roman" w:eastAsia="Times New Roman"/>
          </w:rPr>
          <w:t>www.pingan.com </w:t>
        </w:r>
      </w:hyperlink>
      <w:r>
        <w:rPr/>
        <w:t>客户服务电话：</w:t>
      </w:r>
      <w:r>
        <w:rPr>
          <w:rFonts w:ascii="Times New Roman" w:eastAsia="Times New Roman"/>
        </w:rPr>
        <w:t>95511-8</w:t>
      </w:r>
    </w:p>
    <w:p>
      <w:pPr>
        <w:spacing w:after="0" w:line="417" w:lineRule="auto"/>
        <w:rPr>
          <w:rFonts w:ascii="Times New Roman" w:eastAsia="Times New Roman"/>
        </w:rPr>
        <w:sectPr>
          <w:pgSz w:w="11910" w:h="16840"/>
          <w:pgMar w:header="877" w:footer="0" w:top="1420" w:bottom="280" w:left="1260" w:right="1480"/>
        </w:sectPr>
      </w:pPr>
    </w:p>
    <w:p>
      <w:pPr>
        <w:pStyle w:val="ListParagraph"/>
        <w:numPr>
          <w:ilvl w:val="0"/>
          <w:numId w:val="9"/>
        </w:numPr>
        <w:tabs>
          <w:tab w:pos="1595" w:val="left" w:leader="none"/>
        </w:tabs>
        <w:spacing w:line="240" w:lineRule="auto" w:before="110" w:after="0"/>
        <w:ind w:left="1595" w:right="0" w:hanging="635"/>
        <w:jc w:val="left"/>
        <w:rPr>
          <w:sz w:val="21"/>
        </w:rPr>
      </w:pPr>
      <w:r>
        <w:rPr>
          <w:spacing w:val="-3"/>
          <w:sz w:val="21"/>
        </w:rPr>
        <w:t>中银国际证券股份有限公司</w:t>
      </w:r>
    </w:p>
    <w:p>
      <w:pPr>
        <w:pStyle w:val="BodyText"/>
        <w:spacing w:before="6"/>
        <w:rPr>
          <w:sz w:val="15"/>
        </w:rPr>
      </w:pPr>
    </w:p>
    <w:p>
      <w:pPr>
        <w:pStyle w:val="BodyText"/>
        <w:ind w:left="960"/>
      </w:pPr>
      <w:r>
        <w:rPr>
          <w:spacing w:val="-7"/>
        </w:rPr>
        <w:t>住所：上海浦东新区银城中路 </w:t>
      </w:r>
      <w:r>
        <w:rPr>
          <w:rFonts w:ascii="Times New Roman" w:eastAsia="Times New Roman"/>
        </w:rPr>
        <w:t>200</w:t>
      </w:r>
      <w:r>
        <w:rPr>
          <w:rFonts w:ascii="Times New Roman" w:eastAsia="Times New Roman"/>
          <w:spacing w:val="6"/>
        </w:rPr>
        <w:t> </w:t>
      </w:r>
      <w:r>
        <w:rPr>
          <w:spacing w:val="-11"/>
        </w:rPr>
        <w:t>号中银大厦 </w:t>
      </w:r>
      <w:r>
        <w:rPr>
          <w:rFonts w:ascii="Times New Roman" w:eastAsia="Times New Roman"/>
        </w:rPr>
        <w:t>39</w:t>
      </w:r>
      <w:r>
        <w:rPr>
          <w:rFonts w:ascii="Times New Roman" w:eastAsia="Times New Roman"/>
          <w:spacing w:val="2"/>
        </w:rPr>
        <w:t> </w:t>
      </w:r>
      <w:r>
        <w:rPr/>
        <w:t>层</w:t>
      </w:r>
    </w:p>
    <w:p>
      <w:pPr>
        <w:pStyle w:val="BodyText"/>
        <w:spacing w:before="7"/>
        <w:rPr>
          <w:sz w:val="15"/>
        </w:rPr>
      </w:pPr>
    </w:p>
    <w:p>
      <w:pPr>
        <w:pStyle w:val="BodyText"/>
        <w:spacing w:line="417" w:lineRule="auto"/>
        <w:ind w:left="960" w:right="3055"/>
      </w:pPr>
      <w:r>
        <w:rPr>
          <w:spacing w:val="-6"/>
        </w:rPr>
        <w:t>办公地址：上海浦东新区银城中路 </w:t>
      </w:r>
      <w:r>
        <w:rPr>
          <w:rFonts w:ascii="Times New Roman" w:eastAsia="Times New Roman"/>
        </w:rPr>
        <w:t>200 </w:t>
      </w:r>
      <w:r>
        <w:rPr>
          <w:spacing w:val="-11"/>
        </w:rPr>
        <w:t>号中银大厦 </w:t>
      </w:r>
      <w:r>
        <w:rPr>
          <w:rFonts w:ascii="Times New Roman" w:eastAsia="Times New Roman"/>
        </w:rPr>
        <w:t>39 </w:t>
      </w:r>
      <w:r>
        <w:rPr/>
        <w:t>层</w:t>
      </w:r>
      <w:r>
        <w:rPr>
          <w:spacing w:val="-3"/>
        </w:rPr>
        <w:t>法定代表人：宁敏</w:t>
      </w:r>
    </w:p>
    <w:p>
      <w:pPr>
        <w:pStyle w:val="BodyText"/>
        <w:spacing w:line="417" w:lineRule="auto"/>
        <w:ind w:left="960" w:right="634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spacing w:line="269" w:lineRule="exact"/>
        <w:ind w:left="960"/>
      </w:pPr>
      <w:r>
        <w:rPr/>
        <w:t>联系人：王炜哲</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75">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申万宏源西部证券有限公司</w:t>
      </w:r>
    </w:p>
    <w:p>
      <w:pPr>
        <w:pStyle w:val="BodyText"/>
        <w:spacing w:before="7"/>
        <w:rPr>
          <w:sz w:val="15"/>
        </w:rPr>
      </w:pPr>
    </w:p>
    <w:p>
      <w:pPr>
        <w:pStyle w:val="BodyText"/>
        <w:ind w:left="960"/>
      </w:pPr>
      <w:r>
        <w:rPr/>
        <w:t>住所：新疆乌鲁木齐市高新区（新市区）北京南路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 </w:t>
      </w:r>
      <w:r>
        <w:rPr/>
        <w:t>室</w:t>
      </w:r>
    </w:p>
    <w:p>
      <w:pPr>
        <w:pStyle w:val="BodyText"/>
        <w:spacing w:before="7"/>
        <w:rPr>
          <w:sz w:val="15"/>
        </w:rPr>
      </w:pPr>
    </w:p>
    <w:p>
      <w:pPr>
        <w:pStyle w:val="BodyText"/>
        <w:ind w:left="960"/>
        <w:rPr>
          <w:rFonts w:ascii="Times New Roman" w:eastAsia="Times New Roman"/>
        </w:rPr>
      </w:pPr>
      <w:r>
        <w:rPr/>
        <w:t>办公地址：新疆乌鲁木齐市高新区（新市区）北京南路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w:t>
      </w:r>
    </w:p>
    <w:p>
      <w:pPr>
        <w:pStyle w:val="BodyText"/>
        <w:spacing w:before="3"/>
        <w:rPr>
          <w:rFonts w:ascii="Times New Roman"/>
          <w:sz w:val="17"/>
        </w:rPr>
      </w:pPr>
    </w:p>
    <w:p>
      <w:pPr>
        <w:pStyle w:val="BodyText"/>
        <w:ind w:left="540"/>
      </w:pPr>
      <w:r>
        <w:rPr/>
        <w:t>室（</w:t>
      </w:r>
      <w:r>
        <w:rPr>
          <w:rFonts w:ascii="Times New Roman" w:eastAsia="Times New Roman"/>
        </w:rPr>
        <w:t>830002</w:t>
      </w:r>
      <w:r>
        <w:rPr/>
        <w:t>）</w:t>
      </w:r>
    </w:p>
    <w:p>
      <w:pPr>
        <w:pStyle w:val="BodyText"/>
        <w:spacing w:before="7"/>
        <w:rPr>
          <w:sz w:val="15"/>
        </w:rPr>
      </w:pPr>
    </w:p>
    <w:p>
      <w:pPr>
        <w:pStyle w:val="BodyText"/>
        <w:spacing w:line="417" w:lineRule="auto"/>
        <w:ind w:left="960" w:right="631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ind w:left="960"/>
      </w:pPr>
      <w:r>
        <w:rPr/>
        <w:t>联系人：王怀春</w:t>
      </w:r>
    </w:p>
    <w:p>
      <w:pPr>
        <w:pStyle w:val="BodyText"/>
        <w:spacing w:before="6"/>
        <w:rPr>
          <w:sz w:val="15"/>
        </w:rPr>
      </w:pPr>
    </w:p>
    <w:p>
      <w:pPr>
        <w:pStyle w:val="BodyText"/>
        <w:spacing w:before="1"/>
        <w:ind w:left="960"/>
        <w:rPr>
          <w:rFonts w:ascii="Times New Roman" w:eastAsia="Times New Roman"/>
        </w:rPr>
      </w:pPr>
      <w:r>
        <w:rPr/>
        <w:t>网址：</w:t>
      </w:r>
      <w:hyperlink r:id="rId76">
        <w:r>
          <w:rPr>
            <w:rFonts w:ascii="Times New Roman" w:eastAsia="Times New Roman"/>
          </w:rPr>
          <w:t>www.hysec.com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400-800-0562</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中泰证券股份有限公司</w:t>
      </w:r>
    </w:p>
    <w:p>
      <w:pPr>
        <w:pStyle w:val="BodyText"/>
        <w:spacing w:before="7"/>
        <w:rPr>
          <w:sz w:val="15"/>
        </w:rPr>
      </w:pPr>
    </w:p>
    <w:p>
      <w:pPr>
        <w:pStyle w:val="BodyText"/>
        <w:ind w:left="960"/>
      </w:pPr>
      <w:r>
        <w:rPr/>
        <w:t>住所：山东省济南市市中区经七路 </w:t>
      </w:r>
      <w:r>
        <w:rPr>
          <w:rFonts w:ascii="Times New Roman" w:eastAsia="Times New Roman"/>
        </w:rPr>
        <w:t>86 </w:t>
      </w:r>
      <w:r>
        <w:rPr/>
        <w:t>号</w:t>
      </w:r>
    </w:p>
    <w:p>
      <w:pPr>
        <w:pStyle w:val="BodyText"/>
        <w:spacing w:before="7"/>
        <w:rPr>
          <w:sz w:val="15"/>
        </w:rPr>
      </w:pPr>
    </w:p>
    <w:p>
      <w:pPr>
        <w:pStyle w:val="BodyText"/>
        <w:spacing w:line="417" w:lineRule="auto" w:before="1"/>
        <w:ind w:left="960" w:right="4043"/>
      </w:pPr>
      <w:r>
        <w:rPr/>
        <w:t>办公地址：山东省济南市市中区经七路 </w:t>
      </w:r>
      <w:r>
        <w:rPr>
          <w:rFonts w:ascii="Times New Roman" w:eastAsia="Times New Roman"/>
        </w:rPr>
        <w:t>86 </w:t>
      </w:r>
      <w:r>
        <w:rPr/>
        <w:t>号法定代表人：李玮</w:t>
      </w:r>
    </w:p>
    <w:p>
      <w:pPr>
        <w:pStyle w:val="BodyText"/>
        <w:spacing w:line="417" w:lineRule="auto"/>
        <w:ind w:left="960" w:right="634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spacing w:line="269" w:lineRule="exact"/>
        <w:ind w:left="960"/>
      </w:pPr>
      <w:r>
        <w:rPr/>
        <w:t>联系人：许曼华</w:t>
      </w:r>
    </w:p>
    <w:p>
      <w:pPr>
        <w:pStyle w:val="BodyText"/>
        <w:spacing w:before="6"/>
        <w:rPr>
          <w:sz w:val="15"/>
        </w:rPr>
      </w:pPr>
    </w:p>
    <w:p>
      <w:pPr>
        <w:pStyle w:val="BodyText"/>
        <w:spacing w:line="417" w:lineRule="auto"/>
        <w:ind w:left="960" w:right="6137"/>
        <w:rPr>
          <w:rFonts w:ascii="Times New Roman" w:eastAsia="Times New Roman"/>
        </w:rPr>
      </w:pPr>
      <w:r>
        <w:rPr/>
        <w:t>网址：</w:t>
      </w:r>
      <w:hyperlink r:id="rId77">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万和证券股份有限公司</w:t>
      </w:r>
    </w:p>
    <w:p>
      <w:pPr>
        <w:pStyle w:val="BodyText"/>
        <w:spacing w:before="7"/>
        <w:rPr>
          <w:sz w:val="15"/>
        </w:rPr>
      </w:pPr>
    </w:p>
    <w:p>
      <w:pPr>
        <w:pStyle w:val="BodyText"/>
        <w:ind w:left="960"/>
      </w:pPr>
      <w:r>
        <w:rPr/>
        <w:t>住所：海口市南沙路 </w:t>
      </w:r>
      <w:r>
        <w:rPr>
          <w:rFonts w:ascii="Times New Roman" w:eastAsia="Times New Roman"/>
        </w:rPr>
        <w:t>49 </w:t>
      </w:r>
      <w:r>
        <w:rPr/>
        <w:t>号通信广场二楼</w:t>
      </w:r>
    </w:p>
    <w:p>
      <w:pPr>
        <w:spacing w:after="0"/>
        <w:sectPr>
          <w:pgSz w:w="11910" w:h="16840"/>
          <w:pgMar w:header="877" w:footer="0" w:top="1420" w:bottom="280" w:left="1260" w:right="1480"/>
        </w:sectPr>
      </w:pPr>
    </w:p>
    <w:p>
      <w:pPr>
        <w:pStyle w:val="BodyText"/>
        <w:spacing w:line="417" w:lineRule="auto" w:before="110"/>
        <w:ind w:left="960" w:right="2109"/>
      </w:pPr>
      <w:r>
        <w:rPr>
          <w:spacing w:val="-6"/>
        </w:rPr>
        <w:t>办公地址：深圳市福田区深南大道 </w:t>
      </w:r>
      <w:r>
        <w:rPr>
          <w:rFonts w:ascii="Times New Roman" w:eastAsia="Times New Roman"/>
        </w:rPr>
        <w:t>7028 </w:t>
      </w:r>
      <w:r>
        <w:rPr>
          <w:spacing w:val="-9"/>
        </w:rPr>
        <w:t>号时代科技大厦 </w:t>
      </w:r>
      <w:r>
        <w:rPr>
          <w:rFonts w:ascii="Times New Roman" w:eastAsia="Times New Roman"/>
        </w:rPr>
        <w:t>20 </w:t>
      </w:r>
      <w:r>
        <w:rPr>
          <w:spacing w:val="-2"/>
        </w:rPr>
        <w:t>层西厅</w:t>
      </w:r>
      <w:r>
        <w:rPr>
          <w:spacing w:val="-3"/>
        </w:rPr>
        <w:t>法定代表人：冯周让</w:t>
      </w:r>
    </w:p>
    <w:p>
      <w:pPr>
        <w:pStyle w:val="BodyText"/>
        <w:spacing w:line="417" w:lineRule="auto"/>
        <w:ind w:left="960" w:right="624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9" w:lineRule="exact"/>
        <w:ind w:left="960"/>
      </w:pPr>
      <w:r>
        <w:rPr/>
        <w:t>联系人：王少峰</w:t>
      </w:r>
    </w:p>
    <w:p>
      <w:pPr>
        <w:pStyle w:val="BodyText"/>
        <w:spacing w:before="6"/>
        <w:rPr>
          <w:sz w:val="15"/>
        </w:rPr>
      </w:pPr>
    </w:p>
    <w:p>
      <w:pPr>
        <w:pStyle w:val="BodyText"/>
        <w:spacing w:line="417" w:lineRule="auto"/>
        <w:ind w:left="960" w:right="5053"/>
        <w:rPr>
          <w:rFonts w:ascii="Times New Roman" w:eastAsia="Times New Roman"/>
        </w:rPr>
      </w:pPr>
      <w:r>
        <w:rPr/>
        <w:t>网址：</w:t>
      </w:r>
      <w:hyperlink r:id="rId78">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太平洋证券股份有限公司</w:t>
      </w:r>
    </w:p>
    <w:p>
      <w:pPr>
        <w:pStyle w:val="BodyText"/>
        <w:spacing w:before="7"/>
        <w:rPr>
          <w:sz w:val="15"/>
        </w:rPr>
      </w:pPr>
    </w:p>
    <w:p>
      <w:pPr>
        <w:pStyle w:val="BodyText"/>
        <w:ind w:left="960"/>
      </w:pPr>
      <w:r>
        <w:rPr>
          <w:spacing w:val="-7"/>
        </w:rPr>
        <w:t>住所：云南省昆明市青年路 </w:t>
      </w:r>
      <w:r>
        <w:rPr>
          <w:rFonts w:ascii="Times New Roman" w:eastAsia="Times New Roman"/>
        </w:rPr>
        <w:t>389</w:t>
      </w:r>
      <w:r>
        <w:rPr>
          <w:rFonts w:ascii="Times New Roman" w:eastAsia="Times New Roman"/>
          <w:spacing w:val="2"/>
        </w:rPr>
        <w:t> </w:t>
      </w:r>
      <w:r>
        <w:rPr>
          <w:spacing w:val="-11"/>
        </w:rPr>
        <w:t>号志远大厦 </w:t>
      </w:r>
      <w:r>
        <w:rPr>
          <w:rFonts w:ascii="Times New Roman" w:eastAsia="Times New Roman"/>
        </w:rPr>
        <w:t>18</w:t>
      </w:r>
      <w:r>
        <w:rPr>
          <w:rFonts w:ascii="Times New Roman" w:eastAsia="Times New Roman"/>
          <w:spacing w:val="5"/>
        </w:rPr>
        <w:t> </w:t>
      </w:r>
      <w:r>
        <w:rPr/>
        <w:t>层</w:t>
      </w:r>
    </w:p>
    <w:p>
      <w:pPr>
        <w:pStyle w:val="BodyText"/>
        <w:spacing w:before="7"/>
        <w:rPr>
          <w:sz w:val="15"/>
        </w:rPr>
      </w:pPr>
    </w:p>
    <w:p>
      <w:pPr>
        <w:pStyle w:val="BodyText"/>
        <w:spacing w:line="417" w:lineRule="auto"/>
        <w:ind w:left="960" w:right="2486"/>
      </w:pPr>
      <w:r>
        <w:rPr>
          <w:spacing w:val="-6"/>
        </w:rPr>
        <w:t>办公地址：北京市西城区北展北街 </w:t>
      </w:r>
      <w:r>
        <w:rPr>
          <w:rFonts w:ascii="Times New Roman" w:eastAsia="Times New Roman"/>
        </w:rPr>
        <w:t>9</w:t>
      </w:r>
      <w:r>
        <w:rPr>
          <w:rFonts w:ascii="Times New Roman" w:eastAsia="Times New Roman"/>
          <w:spacing w:val="3"/>
        </w:rPr>
        <w:t> </w:t>
      </w:r>
      <w:r>
        <w:rPr>
          <w:spacing w:val="5"/>
        </w:rPr>
        <w:t>号华远企业号</w:t>
      </w:r>
      <w:r>
        <w:rPr>
          <w:rFonts w:ascii="Times New Roman" w:eastAsia="Times New Roman"/>
        </w:rPr>
        <w:t>D</w:t>
      </w:r>
      <w:r>
        <w:rPr>
          <w:rFonts w:ascii="Times New Roman" w:eastAsia="Times New Roman"/>
          <w:spacing w:val="5"/>
        </w:rPr>
        <w:t> </w:t>
      </w:r>
      <w:r>
        <w:rPr>
          <w:spacing w:val="-24"/>
        </w:rPr>
        <w:t>座 </w:t>
      </w:r>
      <w:r>
        <w:rPr>
          <w:rFonts w:ascii="Times New Roman" w:eastAsia="Times New Roman"/>
        </w:rPr>
        <w:t>3</w:t>
      </w:r>
      <w:r>
        <w:rPr>
          <w:rFonts w:ascii="Times New Roman" w:eastAsia="Times New Roman"/>
          <w:spacing w:val="5"/>
        </w:rPr>
        <w:t> </w:t>
      </w:r>
      <w:r>
        <w:rPr>
          <w:spacing w:val="-3"/>
        </w:rPr>
        <w:t>单元法定代表人：李长伟</w:t>
      </w:r>
    </w:p>
    <w:p>
      <w:pPr>
        <w:pStyle w:val="BodyText"/>
        <w:spacing w:line="417" w:lineRule="auto"/>
        <w:ind w:left="960" w:right="498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pStyle w:val="BodyText"/>
        <w:spacing w:line="269" w:lineRule="exact"/>
        <w:ind w:left="960"/>
      </w:pPr>
      <w:r>
        <w:rPr/>
        <w:t>联系人：唐昌田</w:t>
      </w:r>
    </w:p>
    <w:p>
      <w:pPr>
        <w:pStyle w:val="BodyText"/>
        <w:spacing w:before="6"/>
        <w:rPr>
          <w:sz w:val="15"/>
        </w:rPr>
      </w:pPr>
    </w:p>
    <w:p>
      <w:pPr>
        <w:pStyle w:val="BodyText"/>
        <w:spacing w:line="417" w:lineRule="auto" w:before="1"/>
        <w:ind w:left="960" w:right="6154"/>
        <w:rPr>
          <w:rFonts w:ascii="Times New Roman" w:eastAsia="Times New Roman"/>
        </w:rPr>
      </w:pPr>
      <w:r>
        <w:rPr/>
        <w:t>网址：</w:t>
      </w:r>
      <w:hyperlink r:id="rId79">
        <w:r>
          <w:rPr>
            <w:rFonts w:ascii="Times New Roman" w:eastAsia="Times New Roman"/>
          </w:rPr>
          <w:t>www.tpyzq.com </w:t>
        </w:r>
      </w:hyperlink>
      <w:r>
        <w:rPr/>
        <w:t>客户服务电话：</w:t>
      </w:r>
      <w:r>
        <w:rPr>
          <w:rFonts w:ascii="Times New Roman" w:eastAsia="Times New Roman"/>
        </w:rPr>
        <w:t>95397</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川财证券有限责任公司</w:t>
      </w:r>
    </w:p>
    <w:p>
      <w:pPr>
        <w:pStyle w:val="BodyText"/>
        <w:spacing w:before="6"/>
        <w:rPr>
          <w:sz w:val="15"/>
        </w:rPr>
      </w:pPr>
    </w:p>
    <w:p>
      <w:pPr>
        <w:pStyle w:val="BodyText"/>
        <w:spacing w:line="417" w:lineRule="auto"/>
        <w:ind w:left="960" w:right="240"/>
      </w:pPr>
      <w:r>
        <w:rPr/>
        <w:t>住所：中国（四川）自由贸易试验区成都市高新区交子大道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楼办公地址：成都市高新区交子大道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w:t>
      </w:r>
    </w:p>
    <w:p>
      <w:pPr>
        <w:pStyle w:val="BodyText"/>
        <w:spacing w:line="417" w:lineRule="auto"/>
        <w:ind w:left="960" w:right="631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ind w:left="960"/>
      </w:pPr>
      <w:r>
        <w:rPr/>
        <w:t>联系人：匡婷</w:t>
      </w:r>
    </w:p>
    <w:p>
      <w:pPr>
        <w:pStyle w:val="BodyText"/>
        <w:spacing w:before="7"/>
        <w:rPr>
          <w:sz w:val="15"/>
        </w:rPr>
      </w:pPr>
    </w:p>
    <w:p>
      <w:pPr>
        <w:pStyle w:val="BodyText"/>
        <w:ind w:left="960"/>
        <w:rPr>
          <w:rFonts w:ascii="Times New Roman" w:eastAsia="Times New Roman"/>
        </w:rPr>
      </w:pPr>
      <w:r>
        <w:rPr/>
        <w:t>网址：</w:t>
      </w:r>
      <w:hyperlink r:id="rId80">
        <w:r>
          <w:rPr>
            <w:rFonts w:ascii="Times New Roman" w:eastAsia="Times New Roman"/>
          </w:rPr>
          <w:t>http://www.cczp.com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028-86585518</w:t>
      </w:r>
    </w:p>
    <w:p>
      <w:pPr>
        <w:pStyle w:val="BodyText"/>
        <w:spacing w:before="4"/>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联储证券有限责任公司</w:t>
      </w:r>
    </w:p>
    <w:p>
      <w:pPr>
        <w:pStyle w:val="BodyText"/>
        <w:spacing w:before="6"/>
        <w:rPr>
          <w:sz w:val="15"/>
        </w:rPr>
      </w:pPr>
    </w:p>
    <w:p>
      <w:pPr>
        <w:pStyle w:val="BodyText"/>
        <w:spacing w:before="1"/>
        <w:ind w:left="960"/>
      </w:pPr>
      <w:r>
        <w:rPr/>
        <w:t>住所：深圳市福田区福田街道岗厦社区深南大道南侧金地中心大厦 </w:t>
      </w:r>
      <w:r>
        <w:rPr>
          <w:rFonts w:ascii="Times New Roman" w:eastAsia="Times New Roman"/>
        </w:rPr>
        <w:t>9 </w:t>
      </w:r>
      <w:r>
        <w:rPr/>
        <w:t>楼</w:t>
      </w:r>
    </w:p>
    <w:p>
      <w:pPr>
        <w:pStyle w:val="BodyText"/>
        <w:spacing w:before="6"/>
        <w:rPr>
          <w:sz w:val="15"/>
        </w:rPr>
      </w:pPr>
    </w:p>
    <w:p>
      <w:pPr>
        <w:pStyle w:val="BodyText"/>
        <w:spacing w:line="417" w:lineRule="auto"/>
        <w:ind w:left="960" w:right="1792"/>
      </w:pPr>
      <w:r>
        <w:rPr>
          <w:spacing w:val="-6"/>
        </w:rPr>
        <w:t>办公地址：北京市朝阳区安定路 </w:t>
      </w:r>
      <w:r>
        <w:rPr>
          <w:rFonts w:ascii="Times New Roman" w:eastAsia="Times New Roman"/>
        </w:rPr>
        <w:t>5</w:t>
      </w:r>
      <w:r>
        <w:rPr>
          <w:rFonts w:ascii="Times New Roman" w:eastAsia="Times New Roman"/>
          <w:spacing w:val="5"/>
        </w:rPr>
        <w:t> </w:t>
      </w:r>
      <w:r>
        <w:rPr>
          <w:spacing w:val="-18"/>
        </w:rPr>
        <w:t>号院 </w:t>
      </w:r>
      <w:r>
        <w:rPr>
          <w:rFonts w:ascii="Times New Roman" w:eastAsia="Times New Roman"/>
        </w:rPr>
        <w:t>3</w:t>
      </w:r>
      <w:r>
        <w:rPr>
          <w:rFonts w:ascii="Times New Roman" w:eastAsia="Times New Roman"/>
          <w:spacing w:val="1"/>
        </w:rPr>
        <w:t> </w:t>
      </w:r>
      <w:r>
        <w:rPr>
          <w:spacing w:val="-8"/>
        </w:rPr>
        <w:t>号楼中建财富国际中心 </w:t>
      </w:r>
      <w:r>
        <w:rPr>
          <w:rFonts w:ascii="Times New Roman" w:eastAsia="Times New Roman"/>
        </w:rPr>
        <w:t>27</w:t>
      </w:r>
      <w:r>
        <w:rPr>
          <w:rFonts w:ascii="Times New Roman" w:eastAsia="Times New Roman"/>
          <w:spacing w:val="5"/>
        </w:rPr>
        <w:t> </w:t>
      </w:r>
      <w:r>
        <w:rPr/>
        <w:t>层</w:t>
      </w:r>
      <w:r>
        <w:rPr>
          <w:spacing w:val="-3"/>
        </w:rPr>
        <w:t>法定代表人：吕春卫</w:t>
      </w:r>
    </w:p>
    <w:p>
      <w:pPr>
        <w:pStyle w:val="BodyText"/>
        <w:ind w:left="960"/>
        <w:rPr>
          <w:rFonts w:ascii="Times New Roman" w:eastAsia="Times New Roman"/>
        </w:rPr>
      </w:pPr>
      <w:r>
        <w:rPr>
          <w:spacing w:val="-1"/>
        </w:rPr>
        <w:t>电话：</w:t>
      </w:r>
      <w:r>
        <w:rPr>
          <w:rFonts w:ascii="Times New Roman" w:eastAsia="Times New Roman"/>
          <w:spacing w:val="-1"/>
        </w:rPr>
        <w:t>010-86499427</w:t>
      </w:r>
    </w:p>
    <w:p>
      <w:pPr>
        <w:spacing w:after="0"/>
        <w:rPr>
          <w:rFonts w:ascii="Times New Roman" w:eastAsia="Times New Roman"/>
        </w:rPr>
        <w:sectPr>
          <w:pgSz w:w="11910" w:h="16840"/>
          <w:pgMar w:header="877" w:footer="0" w:top="1420" w:bottom="280" w:left="1260" w:right="1480"/>
        </w:sectPr>
      </w:pPr>
    </w:p>
    <w:p>
      <w:pPr>
        <w:pStyle w:val="BodyText"/>
        <w:spacing w:before="110"/>
        <w:ind w:left="960"/>
        <w:rPr>
          <w:rFonts w:ascii="Times New Roman" w:eastAsia="Times New Roman"/>
        </w:rPr>
      </w:pPr>
      <w:r>
        <w:rPr/>
        <w:t>传真：</w:t>
      </w:r>
      <w:r>
        <w:rPr>
          <w:rFonts w:ascii="Times New Roman" w:eastAsia="Times New Roman"/>
        </w:rPr>
        <w:t>010-86499401</w:t>
      </w:r>
    </w:p>
    <w:p>
      <w:pPr>
        <w:pStyle w:val="BodyText"/>
        <w:spacing w:before="3"/>
        <w:rPr>
          <w:rFonts w:ascii="Times New Roman"/>
          <w:sz w:val="17"/>
        </w:rPr>
      </w:pPr>
    </w:p>
    <w:p>
      <w:pPr>
        <w:pStyle w:val="BodyText"/>
        <w:ind w:left="960"/>
      </w:pPr>
      <w:r>
        <w:rPr/>
        <w:t>联系人：丁倩云</w:t>
      </w:r>
    </w:p>
    <w:p>
      <w:pPr>
        <w:pStyle w:val="BodyText"/>
        <w:spacing w:before="7"/>
        <w:rPr>
          <w:sz w:val="15"/>
        </w:rPr>
      </w:pPr>
    </w:p>
    <w:p>
      <w:pPr>
        <w:pStyle w:val="BodyText"/>
        <w:ind w:left="960"/>
        <w:rPr>
          <w:rFonts w:ascii="Times New Roman" w:eastAsia="Times New Roman"/>
        </w:rPr>
      </w:pPr>
      <w:r>
        <w:rPr/>
        <w:t>网址：</w:t>
      </w:r>
      <w:hyperlink r:id="rId81">
        <w:r>
          <w:rPr>
            <w:rFonts w:ascii="Times New Roman" w:eastAsia="Times New Roman"/>
          </w:rPr>
          <w:t>www.lczq.com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400-620-6868</w:t>
      </w:r>
    </w:p>
    <w:p>
      <w:pPr>
        <w:pStyle w:val="BodyText"/>
        <w:spacing w:before="4"/>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玄元保险代理有限公司</w:t>
      </w:r>
    </w:p>
    <w:p>
      <w:pPr>
        <w:pStyle w:val="BodyText"/>
        <w:spacing w:before="6"/>
        <w:rPr>
          <w:sz w:val="15"/>
        </w:rPr>
      </w:pPr>
    </w:p>
    <w:p>
      <w:pPr>
        <w:pStyle w:val="BodyText"/>
        <w:spacing w:before="1"/>
        <w:ind w:left="960"/>
      </w:pPr>
      <w:r>
        <w:rPr/>
        <w:t>住所：中国（上海）自由贸易试验区张杨路 </w:t>
      </w:r>
      <w:r>
        <w:rPr>
          <w:rFonts w:ascii="Times New Roman" w:eastAsia="Times New Roman"/>
        </w:rPr>
        <w:t>707 </w:t>
      </w:r>
      <w:r>
        <w:rPr/>
        <w:t>号 </w:t>
      </w:r>
      <w:r>
        <w:rPr>
          <w:rFonts w:ascii="Times New Roman" w:eastAsia="Times New Roman"/>
        </w:rPr>
        <w:t>1105 </w:t>
      </w:r>
      <w:r>
        <w:rPr/>
        <w:t>室</w:t>
      </w:r>
    </w:p>
    <w:p>
      <w:pPr>
        <w:pStyle w:val="BodyText"/>
        <w:spacing w:before="6"/>
        <w:rPr>
          <w:sz w:val="15"/>
        </w:rPr>
      </w:pPr>
    </w:p>
    <w:p>
      <w:pPr>
        <w:pStyle w:val="BodyText"/>
        <w:spacing w:line="417" w:lineRule="auto"/>
        <w:ind w:left="960" w:right="2433"/>
      </w:pPr>
      <w:r>
        <w:rPr>
          <w:spacing w:val="-3"/>
        </w:rPr>
        <w:t>办公地址：中国</w:t>
      </w:r>
      <w:r>
        <w:rPr/>
        <w:t>（</w:t>
      </w:r>
      <w:r>
        <w:rPr>
          <w:spacing w:val="-2"/>
        </w:rPr>
        <w:t>上海</w:t>
      </w:r>
      <w:r>
        <w:rPr>
          <w:spacing w:val="-3"/>
        </w:rPr>
        <w:t>）</w:t>
      </w:r>
      <w:r>
        <w:rPr>
          <w:spacing w:val="-7"/>
        </w:rPr>
        <w:t>自由贸易试验区张杨路 </w:t>
      </w:r>
      <w:r>
        <w:rPr>
          <w:rFonts w:ascii="Times New Roman" w:eastAsia="Times New Roman"/>
        </w:rPr>
        <w:t>707 </w:t>
      </w:r>
      <w:r>
        <w:rPr>
          <w:spacing w:val="-24"/>
        </w:rPr>
        <w:t>号 </w:t>
      </w:r>
      <w:r>
        <w:rPr>
          <w:rFonts w:ascii="Times New Roman" w:eastAsia="Times New Roman"/>
          <w:spacing w:val="-3"/>
        </w:rPr>
        <w:t>1105 </w:t>
      </w:r>
      <w:r>
        <w:rPr/>
        <w:t>室</w:t>
      </w:r>
      <w:r>
        <w:rPr>
          <w:spacing w:val="-3"/>
        </w:rPr>
        <w:t>法定代表人：马永谙</w:t>
      </w:r>
    </w:p>
    <w:p>
      <w:pPr>
        <w:pStyle w:val="BodyText"/>
        <w:spacing w:line="417" w:lineRule="auto" w:before="1"/>
        <w:ind w:left="960" w:right="634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spacing w:line="269" w:lineRule="exact"/>
        <w:ind w:left="960"/>
      </w:pPr>
      <w:r>
        <w:rPr/>
        <w:t>联系人：卢亚博</w:t>
      </w:r>
    </w:p>
    <w:p>
      <w:pPr>
        <w:pStyle w:val="BodyText"/>
        <w:spacing w:before="6"/>
        <w:rPr>
          <w:sz w:val="15"/>
        </w:rPr>
      </w:pPr>
    </w:p>
    <w:p>
      <w:pPr>
        <w:pStyle w:val="BodyText"/>
        <w:spacing w:line="417" w:lineRule="auto"/>
        <w:ind w:left="960" w:right="404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阳光人寿保险股份有限公司</w:t>
      </w:r>
    </w:p>
    <w:p>
      <w:pPr>
        <w:pStyle w:val="BodyText"/>
        <w:spacing w:before="7"/>
        <w:rPr>
          <w:sz w:val="15"/>
        </w:rPr>
      </w:pPr>
    </w:p>
    <w:p>
      <w:pPr>
        <w:pStyle w:val="BodyText"/>
        <w:ind w:left="960"/>
      </w:pPr>
      <w:r>
        <w:rPr/>
        <w:t>住所：海南省三亚市迎宾路 </w:t>
      </w:r>
      <w:r>
        <w:rPr>
          <w:rFonts w:ascii="Times New Roman" w:eastAsia="Times New Roman"/>
        </w:rPr>
        <w:t>360-1 </w:t>
      </w:r>
      <w:r>
        <w:rPr/>
        <w:t>号三亚阳光金融广场 </w:t>
      </w:r>
      <w:r>
        <w:rPr>
          <w:rFonts w:ascii="Times New Roman" w:eastAsia="Times New Roman"/>
        </w:rPr>
        <w:t>16 </w:t>
      </w:r>
      <w:r>
        <w:rPr/>
        <w:t>层</w:t>
      </w:r>
    </w:p>
    <w:p>
      <w:pPr>
        <w:pStyle w:val="BodyText"/>
        <w:spacing w:before="7"/>
        <w:rPr>
          <w:sz w:val="15"/>
        </w:rPr>
      </w:pPr>
    </w:p>
    <w:p>
      <w:pPr>
        <w:pStyle w:val="BodyText"/>
        <w:spacing w:line="417" w:lineRule="auto"/>
        <w:ind w:left="960" w:right="1480"/>
      </w:pPr>
      <w:r>
        <w:rPr>
          <w:spacing w:val="-6"/>
        </w:rPr>
        <w:t>办公地址：北京市朝阳区朝阳门外大街乙 </w:t>
      </w:r>
      <w:r>
        <w:rPr>
          <w:rFonts w:ascii="Times New Roman" w:eastAsia="Times New Roman"/>
        </w:rPr>
        <w:t>12 </w:t>
      </w:r>
      <w:r>
        <w:rPr>
          <w:spacing w:val="-17"/>
        </w:rPr>
        <w:t>号院 </w:t>
      </w:r>
      <w:r>
        <w:rPr>
          <w:rFonts w:ascii="Times New Roman" w:eastAsia="Times New Roman"/>
        </w:rPr>
        <w:t>1 </w:t>
      </w:r>
      <w:r>
        <w:rPr>
          <w:spacing w:val="-9"/>
        </w:rPr>
        <w:t>号昆泰国际大厦 </w:t>
      </w:r>
      <w:r>
        <w:rPr>
          <w:rFonts w:ascii="Times New Roman" w:eastAsia="Times New Roman"/>
        </w:rPr>
        <w:t>12 </w:t>
      </w:r>
      <w:r>
        <w:rPr/>
        <w:t>层</w:t>
      </w:r>
      <w:r>
        <w:rPr>
          <w:spacing w:val="-3"/>
        </w:rPr>
        <w:t>法定代表人：李科</w:t>
      </w:r>
    </w:p>
    <w:p>
      <w:pPr>
        <w:pStyle w:val="BodyText"/>
        <w:spacing w:line="417" w:lineRule="auto"/>
        <w:ind w:left="960" w:right="634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960"/>
      </w:pPr>
      <w:r>
        <w:rPr/>
        <w:t>联系人：王超</w:t>
      </w:r>
    </w:p>
    <w:p>
      <w:pPr>
        <w:pStyle w:val="BodyText"/>
        <w:spacing w:before="6"/>
        <w:rPr>
          <w:sz w:val="15"/>
        </w:rPr>
      </w:pPr>
    </w:p>
    <w:p>
      <w:pPr>
        <w:pStyle w:val="BodyText"/>
        <w:spacing w:line="417" w:lineRule="auto" w:before="1"/>
        <w:ind w:left="960" w:right="5570"/>
        <w:rPr>
          <w:rFonts w:ascii="Times New Roman" w:eastAsia="Times New Roman"/>
        </w:rPr>
      </w:pPr>
      <w:r>
        <w:rPr/>
        <w:t>网址：</w:t>
      </w:r>
      <w:hyperlink r:id="rId82">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中国人寿保险股份有限公司</w:t>
      </w:r>
    </w:p>
    <w:p>
      <w:pPr>
        <w:pStyle w:val="BodyText"/>
        <w:spacing w:before="6"/>
        <w:rPr>
          <w:sz w:val="15"/>
        </w:rPr>
      </w:pPr>
    </w:p>
    <w:p>
      <w:pPr>
        <w:pStyle w:val="BodyText"/>
        <w:spacing w:before="1"/>
        <w:ind w:left="960"/>
      </w:pPr>
      <w:r>
        <w:rPr/>
        <w:t>住所：中国北京市西城区金融大街 </w:t>
      </w:r>
      <w:r>
        <w:rPr>
          <w:rFonts w:ascii="Times New Roman" w:eastAsia="Times New Roman"/>
        </w:rPr>
        <w:t>16 </w:t>
      </w:r>
      <w:r>
        <w:rPr/>
        <w:t>号</w:t>
      </w:r>
    </w:p>
    <w:p>
      <w:pPr>
        <w:pStyle w:val="BodyText"/>
        <w:spacing w:before="6"/>
        <w:rPr>
          <w:sz w:val="15"/>
        </w:rPr>
      </w:pPr>
    </w:p>
    <w:p>
      <w:pPr>
        <w:pStyle w:val="BodyText"/>
        <w:spacing w:line="417" w:lineRule="auto"/>
        <w:ind w:left="960" w:right="4043"/>
      </w:pPr>
      <w:r>
        <w:rPr/>
        <w:t>办公地址：中国北京市西城区金融大街 </w:t>
      </w:r>
      <w:r>
        <w:rPr>
          <w:rFonts w:ascii="Times New Roman" w:eastAsia="Times New Roman"/>
        </w:rPr>
        <w:t>16 </w:t>
      </w:r>
      <w:r>
        <w:rPr/>
        <w:t>号法定代表人：王滨</w:t>
      </w:r>
    </w:p>
    <w:p>
      <w:pPr>
        <w:pStyle w:val="BodyText"/>
        <w:spacing w:line="417" w:lineRule="auto"/>
        <w:ind w:left="960" w:right="634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ind w:left="960"/>
      </w:pPr>
      <w:r>
        <w:rPr/>
        <w:t>联系人：柳亚卿</w:t>
      </w:r>
    </w:p>
    <w:p>
      <w:pPr>
        <w:pStyle w:val="BodyText"/>
        <w:spacing w:before="7"/>
        <w:rPr>
          <w:sz w:val="15"/>
        </w:rPr>
      </w:pPr>
    </w:p>
    <w:p>
      <w:pPr>
        <w:pStyle w:val="BodyText"/>
        <w:ind w:left="960"/>
        <w:rPr>
          <w:rFonts w:ascii="Times New Roman" w:eastAsia="Times New Roman"/>
        </w:rPr>
      </w:pPr>
      <w:r>
        <w:rPr/>
        <w:t>网址：</w:t>
      </w:r>
      <w:hyperlink r:id="rId83">
        <w:r>
          <w:rPr>
            <w:rFonts w:ascii="Times New Roman" w:eastAsia="Times New Roman"/>
          </w:rPr>
          <w:t>www.e-chinalife.com</w:t>
        </w:r>
      </w:hyperlink>
    </w:p>
    <w:p>
      <w:pPr>
        <w:spacing w:after="0"/>
        <w:rPr>
          <w:rFonts w:ascii="Times New Roman" w:eastAsia="Times New Roman"/>
        </w:rPr>
        <w:sectPr>
          <w:pgSz w:w="11910" w:h="16840"/>
          <w:pgMar w:header="877" w:footer="0" w:top="1420" w:bottom="280" w:left="1260" w:right="1480"/>
        </w:sectPr>
      </w:pPr>
    </w:p>
    <w:p>
      <w:pPr>
        <w:pStyle w:val="BodyText"/>
        <w:spacing w:before="110"/>
        <w:ind w:left="960"/>
        <w:rPr>
          <w:rFonts w:ascii="Times New Roman" w:eastAsia="Times New Roman"/>
        </w:rPr>
      </w:pPr>
      <w:r>
        <w:rPr/>
        <w:t>客户服务电话：</w:t>
      </w:r>
      <w:r>
        <w:rPr>
          <w:rFonts w:ascii="Times New Roman" w:eastAsia="Times New Roman"/>
        </w:rPr>
        <w:t>95519</w:t>
      </w:r>
    </w:p>
    <w:p>
      <w:pPr>
        <w:pStyle w:val="BodyText"/>
        <w:spacing w:before="3"/>
        <w:rPr>
          <w:rFonts w:ascii="Times New Roman"/>
          <w:sz w:val="17"/>
        </w:rPr>
      </w:pPr>
    </w:p>
    <w:p>
      <w:pPr>
        <w:pStyle w:val="BodyText"/>
        <w:spacing w:line="417" w:lineRule="auto"/>
        <w:ind w:left="540" w:right="311" w:firstLine="419"/>
      </w:pPr>
      <w:r>
        <w:rPr>
          <w:spacing w:val="-7"/>
        </w:rPr>
        <w:t>本公司可以根据情况变化增加或者减少基金销售机构。基金销售机构可以根据情况增加</w:t>
      </w:r>
      <w:r>
        <w:rPr>
          <w:spacing w:val="-5"/>
        </w:rPr>
        <w:t>或者减少其销售城市、网点。</w:t>
      </w:r>
    </w:p>
    <w:p>
      <w:pPr>
        <w:pStyle w:val="BodyText"/>
        <w:spacing w:line="269" w:lineRule="exact"/>
        <w:ind w:left="960"/>
      </w:pPr>
      <w:r>
        <w:rPr/>
        <w:t>（二）登记机构</w:t>
      </w:r>
    </w:p>
    <w:p>
      <w:pPr>
        <w:pStyle w:val="BodyText"/>
        <w:spacing w:before="7"/>
        <w:rPr>
          <w:sz w:val="15"/>
        </w:rPr>
      </w:pPr>
    </w:p>
    <w:p>
      <w:pPr>
        <w:pStyle w:val="BodyText"/>
        <w:ind w:left="960"/>
      </w:pPr>
      <w:r>
        <w:rPr/>
        <w:t>名称：华夏基金管理有限公司</w:t>
      </w:r>
    </w:p>
    <w:p>
      <w:pPr>
        <w:pStyle w:val="BodyText"/>
        <w:spacing w:before="6"/>
        <w:rPr>
          <w:sz w:val="15"/>
        </w:rPr>
      </w:pPr>
    </w:p>
    <w:p>
      <w:pPr>
        <w:pStyle w:val="BodyText"/>
        <w:spacing w:before="1"/>
        <w:ind w:left="960"/>
      </w:pPr>
      <w:r>
        <w:rPr/>
        <w:t>住所：北京市顺义区安庆大街甲</w:t>
      </w:r>
      <w:r>
        <w:rPr>
          <w:rFonts w:ascii="Times New Roman" w:eastAsia="Times New Roman"/>
        </w:rPr>
        <w:t>3</w:t>
      </w:r>
      <w:r>
        <w:rPr/>
        <w:t>号院</w:t>
      </w:r>
    </w:p>
    <w:p>
      <w:pPr>
        <w:pStyle w:val="BodyText"/>
        <w:spacing w:before="6"/>
        <w:rPr>
          <w:sz w:val="15"/>
        </w:rPr>
      </w:pPr>
    </w:p>
    <w:p>
      <w:pPr>
        <w:pStyle w:val="BodyText"/>
        <w:spacing w:line="417" w:lineRule="auto"/>
        <w:ind w:left="960" w:right="312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before="1"/>
        <w:ind w:left="96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60"/>
      </w:pPr>
      <w:r>
        <w:rPr/>
        <w:t>联系人：朱威</w:t>
      </w:r>
    </w:p>
    <w:p>
      <w:pPr>
        <w:pStyle w:val="BodyText"/>
        <w:spacing w:before="6"/>
        <w:rPr>
          <w:sz w:val="15"/>
        </w:rPr>
      </w:pPr>
    </w:p>
    <w:p>
      <w:pPr>
        <w:pStyle w:val="BodyText"/>
        <w:ind w:left="960"/>
      </w:pPr>
      <w:r>
        <w:rPr/>
        <w:t>（三）律师事务所</w:t>
      </w:r>
    </w:p>
    <w:p>
      <w:pPr>
        <w:pStyle w:val="BodyText"/>
        <w:spacing w:before="7"/>
        <w:rPr>
          <w:sz w:val="15"/>
        </w:rPr>
      </w:pPr>
    </w:p>
    <w:p>
      <w:pPr>
        <w:pStyle w:val="BodyText"/>
        <w:ind w:left="960"/>
      </w:pPr>
      <w:r>
        <w:rPr/>
        <w:t>名称：北京市天元律师事务所</w:t>
      </w:r>
    </w:p>
    <w:p>
      <w:pPr>
        <w:pStyle w:val="BodyText"/>
        <w:spacing w:before="7"/>
        <w:rPr>
          <w:sz w:val="15"/>
        </w:rPr>
      </w:pPr>
    </w:p>
    <w:p>
      <w:pPr>
        <w:pStyle w:val="BodyText"/>
        <w:ind w:left="96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7"/>
        <w:rPr>
          <w:sz w:val="15"/>
        </w:rPr>
      </w:pPr>
    </w:p>
    <w:p>
      <w:pPr>
        <w:pStyle w:val="BodyText"/>
        <w:spacing w:line="417" w:lineRule="auto"/>
        <w:ind w:left="960" w:right="252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960" w:right="592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spacing w:line="269" w:lineRule="exact"/>
        <w:ind w:left="960"/>
      </w:pPr>
      <w:r>
        <w:rPr/>
        <w:t>联系人：李晗</w:t>
      </w:r>
    </w:p>
    <w:p>
      <w:pPr>
        <w:pStyle w:val="BodyText"/>
        <w:spacing w:before="6"/>
        <w:rPr>
          <w:sz w:val="15"/>
        </w:rPr>
      </w:pPr>
    </w:p>
    <w:p>
      <w:pPr>
        <w:pStyle w:val="BodyText"/>
        <w:ind w:left="960"/>
      </w:pPr>
      <w:r>
        <w:rPr/>
        <w:t>经办律师：吴冠雄、李晗</w:t>
      </w:r>
    </w:p>
    <w:p>
      <w:pPr>
        <w:pStyle w:val="BodyText"/>
        <w:spacing w:before="7"/>
        <w:rPr>
          <w:sz w:val="15"/>
        </w:rPr>
      </w:pPr>
    </w:p>
    <w:p>
      <w:pPr>
        <w:pStyle w:val="BodyText"/>
        <w:ind w:left="960"/>
      </w:pPr>
      <w:r>
        <w:rPr/>
        <w:t>（四）会计师事务所</w:t>
      </w:r>
    </w:p>
    <w:p>
      <w:pPr>
        <w:pStyle w:val="BodyText"/>
        <w:spacing w:before="7"/>
        <w:rPr>
          <w:sz w:val="15"/>
        </w:rPr>
      </w:pPr>
    </w:p>
    <w:p>
      <w:pPr>
        <w:pStyle w:val="BodyText"/>
        <w:spacing w:before="1"/>
        <w:ind w:left="960"/>
      </w:pPr>
      <w:r>
        <w:rPr/>
        <w:t>名称：普华永道中天会计师事务所（特殊普通合伙）</w:t>
      </w:r>
    </w:p>
    <w:p>
      <w:pPr>
        <w:pStyle w:val="BodyText"/>
        <w:spacing w:before="6"/>
        <w:rPr>
          <w:sz w:val="15"/>
        </w:rPr>
      </w:pPr>
    </w:p>
    <w:p>
      <w:pPr>
        <w:pStyle w:val="BodyText"/>
        <w:ind w:left="960"/>
      </w:pPr>
      <w:r>
        <w:rPr/>
        <w:t>住所：上海市浦东新区陆家嘴环路</w:t>
      </w:r>
      <w:r>
        <w:rPr>
          <w:rFonts w:ascii="Times New Roman" w:eastAsia="Times New Roman"/>
        </w:rPr>
        <w:t>1318</w:t>
      </w:r>
      <w:r>
        <w:rPr/>
        <w:t>号星展银行大厦</w:t>
      </w:r>
      <w:r>
        <w:rPr>
          <w:rFonts w:ascii="Times New Roman" w:eastAsia="Times New Roman"/>
        </w:rPr>
        <w:t>6</w:t>
      </w:r>
      <w:r>
        <w:rPr/>
        <w:t>楼</w:t>
      </w:r>
    </w:p>
    <w:p>
      <w:pPr>
        <w:pStyle w:val="BodyText"/>
        <w:spacing w:before="7"/>
        <w:rPr>
          <w:sz w:val="15"/>
        </w:rPr>
      </w:pPr>
    </w:p>
    <w:p>
      <w:pPr>
        <w:pStyle w:val="BodyText"/>
        <w:spacing w:line="417" w:lineRule="auto"/>
        <w:ind w:left="960" w:right="1382"/>
      </w:pPr>
      <w:r>
        <w:rPr/>
        <w:t>办公地址：上海市黄浦区湖滨路</w:t>
      </w:r>
      <w:r>
        <w:rPr>
          <w:rFonts w:ascii="Times New Roman" w:eastAsia="Times New Roman"/>
        </w:rPr>
        <w:t>202</w:t>
      </w:r>
      <w:r>
        <w:rPr/>
        <w:t>号领展企业广场二座普华永道中心</w:t>
      </w:r>
      <w:r>
        <w:rPr>
          <w:rFonts w:ascii="Times New Roman" w:eastAsia="Times New Roman"/>
        </w:rPr>
        <w:t>11</w:t>
      </w:r>
      <w:r>
        <w:rPr/>
        <w:t>楼执行事务合伙人：李丹</w:t>
      </w:r>
    </w:p>
    <w:p>
      <w:pPr>
        <w:pStyle w:val="BodyText"/>
        <w:spacing w:line="417" w:lineRule="auto"/>
        <w:ind w:left="960" w:right="5926"/>
        <w:rPr>
          <w:rFonts w:ascii="Times New Roman" w:eastAsia="Times New Roman"/>
        </w:rPr>
      </w:pPr>
      <w:r>
        <w:rPr/>
        <w:t>联系电话：</w:t>
      </w:r>
      <w:r>
        <w:rPr>
          <w:rFonts w:ascii="Times New Roman" w:eastAsia="Times New Roman"/>
        </w:rPr>
        <w:t>021-23238888 </w:t>
      </w:r>
      <w:r>
        <w:rPr/>
        <w:t>传真：</w:t>
      </w:r>
      <w:r>
        <w:rPr>
          <w:rFonts w:ascii="Times New Roman" w:eastAsia="Times New Roman"/>
        </w:rPr>
        <w:t>021-23238800</w:t>
      </w:r>
    </w:p>
    <w:p>
      <w:pPr>
        <w:pStyle w:val="BodyText"/>
        <w:spacing w:line="269" w:lineRule="exact"/>
        <w:ind w:left="960"/>
      </w:pPr>
      <w:r>
        <w:rPr/>
        <w:t>联系人：单峰、程红粤</w:t>
      </w:r>
    </w:p>
    <w:p>
      <w:pPr>
        <w:pStyle w:val="BodyText"/>
        <w:spacing w:before="7"/>
        <w:rPr>
          <w:sz w:val="15"/>
        </w:rPr>
      </w:pPr>
    </w:p>
    <w:p>
      <w:pPr>
        <w:pStyle w:val="BodyText"/>
        <w:ind w:left="960"/>
      </w:pPr>
      <w:r>
        <w:rPr/>
        <w:t>经办注册会计师：单峰、程红粤</w:t>
      </w:r>
    </w:p>
    <w:p>
      <w:pPr>
        <w:spacing w:after="0"/>
        <w:sectPr>
          <w:pgSz w:w="11910" w:h="16840"/>
          <w:pgMar w:header="877" w:footer="0" w:top="1420" w:bottom="280" w:left="1260" w:right="1480"/>
        </w:sectPr>
      </w:pPr>
    </w:p>
    <w:p>
      <w:pPr>
        <w:pStyle w:val="Heading1"/>
        <w:spacing w:before="110"/>
      </w:pPr>
      <w:bookmarkStart w:name="_bookmark5" w:id="6"/>
      <w:bookmarkEnd w:id="6"/>
      <w:r>
        <w:rPr>
          <w:b w:val="0"/>
        </w:rPr>
      </w:r>
      <w:r>
        <w:rPr/>
        <w:t>六、基金的募集</w:t>
      </w:r>
    </w:p>
    <w:p>
      <w:pPr>
        <w:pStyle w:val="BodyText"/>
        <w:rPr>
          <w:b/>
          <w:sz w:val="20"/>
        </w:rPr>
      </w:pPr>
    </w:p>
    <w:p>
      <w:pPr>
        <w:pStyle w:val="BodyText"/>
        <w:spacing w:before="2"/>
        <w:rPr>
          <w:b/>
        </w:rPr>
      </w:pPr>
    </w:p>
    <w:p>
      <w:pPr>
        <w:pStyle w:val="BodyText"/>
        <w:spacing w:line="417" w:lineRule="auto"/>
        <w:ind w:left="540" w:right="313" w:firstLine="419"/>
      </w:pPr>
      <w:r>
        <w:rPr>
          <w:spacing w:val="-27"/>
        </w:rPr>
        <w:t>本基金由基金管理人依照《基金法》、《运作办法》、《销售办法》、基金合同及其他有关</w:t>
      </w:r>
      <w:r>
        <w:rPr>
          <w:spacing w:val="-13"/>
        </w:rPr>
        <w:t>规定募集。本基金募集申请已经中国证监会</w:t>
      </w:r>
      <w:r>
        <w:rPr>
          <w:rFonts w:ascii="Times New Roman" w:eastAsia="Times New Roman"/>
        </w:rPr>
        <w:t>2016 </w:t>
      </w:r>
      <w:r>
        <w:rPr>
          <w:spacing w:val="26"/>
        </w:rPr>
        <w:t>年</w:t>
      </w:r>
      <w:r>
        <w:rPr>
          <w:rFonts w:ascii="Times New Roman" w:eastAsia="Times New Roman"/>
        </w:rPr>
        <w:t>12 </w:t>
      </w:r>
      <w:r>
        <w:rPr>
          <w:spacing w:val="26"/>
        </w:rPr>
        <w:t>月</w:t>
      </w:r>
      <w:r>
        <w:rPr>
          <w:rFonts w:ascii="Times New Roman" w:eastAsia="Times New Roman"/>
        </w:rPr>
        <w:t>1 </w:t>
      </w:r>
      <w:r>
        <w:rPr>
          <w:spacing w:val="-3"/>
        </w:rPr>
        <w:t>日证监许可</w:t>
      </w:r>
      <w:r>
        <w:rPr>
          <w:rFonts w:ascii="Times New Roman" w:eastAsia="Times New Roman"/>
        </w:rPr>
        <w:t>[2016]2938 </w:t>
      </w:r>
      <w:r>
        <w:rPr>
          <w:spacing w:val="-1"/>
        </w:rPr>
        <w:t>号文注册。</w:t>
      </w:r>
    </w:p>
    <w:p>
      <w:pPr>
        <w:pStyle w:val="BodyText"/>
        <w:spacing w:line="269" w:lineRule="exact"/>
        <w:ind w:left="960"/>
      </w:pPr>
      <w:r>
        <w:rPr/>
        <w:t>本基金为契约型开放式基金，基金存续期间为不定期。</w:t>
      </w:r>
    </w:p>
    <w:p>
      <w:pPr>
        <w:pStyle w:val="BodyText"/>
        <w:spacing w:before="7"/>
        <w:rPr>
          <w:sz w:val="15"/>
        </w:rPr>
      </w:pPr>
    </w:p>
    <w:p>
      <w:pPr>
        <w:pStyle w:val="BodyText"/>
        <w:ind w:left="960"/>
        <w:jc w:val="both"/>
      </w:pPr>
      <w:r>
        <w:rPr/>
        <w:t>本基金每份基金份额初始面值为 </w:t>
      </w:r>
      <w:r>
        <w:rPr>
          <w:rFonts w:ascii="Times New Roman" w:eastAsia="Times New Roman"/>
        </w:rPr>
        <w:t>1.00 </w:t>
      </w:r>
      <w:r>
        <w:rPr/>
        <w:t>元人民币，认购价格为 </w:t>
      </w:r>
      <w:r>
        <w:rPr>
          <w:rFonts w:ascii="Times New Roman" w:eastAsia="Times New Roman"/>
        </w:rPr>
        <w:t>1.00 </w:t>
      </w:r>
      <w:r>
        <w:rPr/>
        <w:t>元人民币。</w:t>
      </w:r>
    </w:p>
    <w:p>
      <w:pPr>
        <w:pStyle w:val="BodyText"/>
        <w:spacing w:before="6"/>
        <w:rPr>
          <w:sz w:val="15"/>
        </w:rPr>
      </w:pPr>
    </w:p>
    <w:p>
      <w:pPr>
        <w:pStyle w:val="BodyText"/>
        <w:spacing w:before="1"/>
        <w:ind w:left="960"/>
        <w:jc w:val="both"/>
      </w:pPr>
      <w:r>
        <w:rPr/>
        <w:t>本基金自 </w:t>
      </w:r>
      <w:r>
        <w:rPr>
          <w:rFonts w:ascii="Times New Roman" w:eastAsia="Times New Roman"/>
        </w:rPr>
        <w:t>2017 </w:t>
      </w:r>
      <w:r>
        <w:rPr/>
        <w:t>年 </w:t>
      </w:r>
      <w:r>
        <w:rPr>
          <w:rFonts w:ascii="Times New Roman" w:eastAsia="Times New Roman"/>
        </w:rPr>
        <w:t>3 </w:t>
      </w:r>
      <w:r>
        <w:rPr/>
        <w:t>月 </w:t>
      </w:r>
      <w:r>
        <w:rPr>
          <w:rFonts w:ascii="Times New Roman" w:eastAsia="Times New Roman"/>
        </w:rPr>
        <w:t>6 </w:t>
      </w:r>
      <w:r>
        <w:rPr/>
        <w:t>日至 </w:t>
      </w:r>
      <w:r>
        <w:rPr>
          <w:rFonts w:ascii="Times New Roman" w:eastAsia="Times New Roman"/>
        </w:rPr>
        <w:t>2017 </w:t>
      </w:r>
      <w:r>
        <w:rPr/>
        <w:t>年 </w:t>
      </w:r>
      <w:r>
        <w:rPr>
          <w:rFonts w:ascii="Times New Roman" w:eastAsia="Times New Roman"/>
        </w:rPr>
        <w:t>3 </w:t>
      </w:r>
      <w:r>
        <w:rPr/>
        <w:t>月 </w:t>
      </w:r>
      <w:r>
        <w:rPr>
          <w:rFonts w:ascii="Times New Roman" w:eastAsia="Times New Roman"/>
        </w:rPr>
        <w:t>10 </w:t>
      </w:r>
      <w:r>
        <w:rPr/>
        <w:t>日进行发售。募集期间，本基金共募集</w:t>
      </w:r>
    </w:p>
    <w:p>
      <w:pPr>
        <w:pStyle w:val="BodyText"/>
        <w:spacing w:before="6"/>
        <w:rPr>
          <w:sz w:val="15"/>
        </w:rPr>
      </w:pPr>
    </w:p>
    <w:p>
      <w:pPr>
        <w:pStyle w:val="BodyText"/>
        <w:ind w:left="540"/>
        <w:jc w:val="both"/>
      </w:pPr>
      <w:r>
        <w:rPr>
          <w:rFonts w:ascii="Times New Roman" w:eastAsia="Times New Roman"/>
        </w:rPr>
        <w:t>200,065,711.73 </w:t>
      </w:r>
      <w:r>
        <w:rPr/>
        <w:t>份基金份额，有效认购户数为 </w:t>
      </w:r>
      <w:r>
        <w:rPr>
          <w:rFonts w:ascii="Times New Roman" w:eastAsia="Times New Roman"/>
        </w:rPr>
        <w:t>219 </w:t>
      </w:r>
      <w:r>
        <w:rPr/>
        <w:t>户。</w:t>
      </w:r>
    </w:p>
    <w:p>
      <w:pPr>
        <w:pStyle w:val="BodyText"/>
        <w:spacing w:before="8"/>
        <w:rPr>
          <w:sz w:val="15"/>
        </w:rPr>
      </w:pPr>
    </w:p>
    <w:p>
      <w:pPr>
        <w:pStyle w:val="BodyText"/>
        <w:spacing w:line="417" w:lineRule="auto"/>
        <w:ind w:left="540" w:right="311" w:firstLine="419"/>
        <w:jc w:val="both"/>
      </w:pPr>
      <w:r>
        <w:rPr>
          <w:spacing w:val="-20"/>
        </w:rPr>
        <w:t>本基金根据认购费、申购费、销售服务费收取方式的不同，将基金份额分为不同的类别。</w:t>
      </w:r>
      <w:r>
        <w:rPr>
          <w:spacing w:val="-10"/>
        </w:rPr>
        <w:t>在投资者认购</w:t>
      </w:r>
      <w:r>
        <w:rPr>
          <w:rFonts w:ascii="Times New Roman" w:eastAsia="Times New Roman"/>
        </w:rPr>
        <w:t>/</w:t>
      </w:r>
      <w:r>
        <w:rPr>
          <w:spacing w:val="-3"/>
        </w:rPr>
        <w:t>申购时收取前端认购</w:t>
      </w:r>
      <w:r>
        <w:rPr>
          <w:rFonts w:ascii="Times New Roman" w:eastAsia="Times New Roman"/>
        </w:rPr>
        <w:t>/</w:t>
      </w:r>
      <w:r>
        <w:rPr>
          <w:spacing w:val="-1"/>
        </w:rPr>
        <w:t>申购费的，称为 </w:t>
      </w:r>
      <w:r>
        <w:rPr>
          <w:rFonts w:ascii="Times New Roman" w:eastAsia="Times New Roman"/>
        </w:rPr>
        <w:t>A </w:t>
      </w:r>
      <w:r>
        <w:rPr>
          <w:spacing w:val="-3"/>
        </w:rPr>
        <w:t>类；不收取前后端认购</w:t>
      </w:r>
      <w:r>
        <w:rPr>
          <w:rFonts w:ascii="Times New Roman" w:eastAsia="Times New Roman"/>
        </w:rPr>
        <w:t>/</w:t>
      </w:r>
      <w:r>
        <w:rPr>
          <w:spacing w:val="-3"/>
        </w:rPr>
        <w:t>申购费，而</w:t>
      </w:r>
      <w:r>
        <w:rPr>
          <w:spacing w:val="-4"/>
        </w:rPr>
        <w:t>从本类别基金资产中计提销售服务费的，称为 </w:t>
      </w:r>
      <w:r>
        <w:rPr>
          <w:rFonts w:ascii="Times New Roman" w:eastAsia="Times New Roman"/>
        </w:rPr>
        <w:t>C </w:t>
      </w:r>
      <w:r>
        <w:rPr>
          <w:spacing w:val="-2"/>
        </w:rPr>
        <w:t>类。</w:t>
      </w:r>
      <w:r>
        <w:rPr>
          <w:rFonts w:ascii="Times New Roman" w:eastAsia="Times New Roman"/>
        </w:rPr>
        <w:t>A </w:t>
      </w:r>
      <w:r>
        <w:rPr>
          <w:spacing w:val="-2"/>
        </w:rPr>
        <w:t>类、</w:t>
      </w:r>
      <w:r>
        <w:rPr>
          <w:rFonts w:ascii="Times New Roman" w:eastAsia="Times New Roman"/>
        </w:rPr>
        <w:t>C </w:t>
      </w:r>
      <w:r>
        <w:rPr>
          <w:spacing w:val="-3"/>
        </w:rPr>
        <w:t>类基金份额分别设置代码， 分别计算和公告基金份额净值和基金份额累计净值。</w:t>
      </w:r>
    </w:p>
    <w:p>
      <w:pPr>
        <w:pStyle w:val="BodyText"/>
        <w:spacing w:line="417" w:lineRule="auto"/>
        <w:ind w:left="540" w:right="311" w:firstLine="419"/>
        <w:jc w:val="both"/>
      </w:pPr>
      <w:r>
        <w:rPr>
          <w:spacing w:val="-12"/>
        </w:rPr>
        <w:t>根据基金销售情况，基金管理人可在对已有基金份额持有人利益无实质性不利影响的前</w:t>
      </w:r>
      <w:r>
        <w:rPr>
          <w:spacing w:val="-11"/>
        </w:rPr>
        <w:t>提下，经与基金托管人协商，增加新的基金份额类别、或者调整现有基金份额类别的费率水平、或者停止现有基金份额类别的销售等，不需召开基金份额持有人大会，调整前基金管理</w:t>
      </w:r>
      <w:r>
        <w:rPr>
          <w:spacing w:val="-6"/>
        </w:rPr>
        <w:t>人需及时公告并报中国证监会备案。</w:t>
      </w:r>
    </w:p>
    <w:p>
      <w:pPr>
        <w:pStyle w:val="BodyText"/>
        <w:rPr>
          <w:sz w:val="20"/>
        </w:rPr>
      </w:pPr>
    </w:p>
    <w:p>
      <w:pPr>
        <w:pStyle w:val="BodyText"/>
        <w:spacing w:before="7"/>
        <w:rPr>
          <w:sz w:val="17"/>
        </w:rPr>
      </w:pPr>
    </w:p>
    <w:p>
      <w:pPr>
        <w:pStyle w:val="Heading1"/>
      </w:pPr>
      <w:bookmarkStart w:name="_bookmark6" w:id="7"/>
      <w:bookmarkEnd w:id="7"/>
      <w:r>
        <w:rPr>
          <w:b w:val="0"/>
        </w:rPr>
      </w:r>
      <w:r>
        <w:rPr/>
        <w:t>七、基金合同的生效</w:t>
      </w:r>
    </w:p>
    <w:p>
      <w:pPr>
        <w:pStyle w:val="BodyText"/>
        <w:rPr>
          <w:b/>
          <w:sz w:val="20"/>
        </w:rPr>
      </w:pPr>
    </w:p>
    <w:p>
      <w:pPr>
        <w:pStyle w:val="BodyText"/>
        <w:rPr>
          <w:b/>
          <w:sz w:val="20"/>
        </w:rPr>
      </w:pPr>
    </w:p>
    <w:p>
      <w:pPr>
        <w:pStyle w:val="BodyText"/>
        <w:spacing w:line="417" w:lineRule="auto" w:before="159"/>
        <w:ind w:left="540" w:right="314" w:firstLine="419"/>
        <w:jc w:val="both"/>
      </w:pPr>
      <w:r>
        <w:rPr>
          <w:spacing w:val="-15"/>
        </w:rPr>
        <w:t>根据有关规定，本基金满足基金合同生效条件，基金合同于</w:t>
      </w:r>
      <w:r>
        <w:rPr>
          <w:rFonts w:ascii="Times New Roman" w:eastAsia="Times New Roman"/>
        </w:rPr>
        <w:t>2017</w:t>
      </w:r>
      <w:r>
        <w:rPr>
          <w:rFonts w:ascii="Times New Roman" w:eastAsia="Times New Roman"/>
          <w:spacing w:val="-5"/>
        </w:rPr>
        <w:t> </w:t>
      </w:r>
      <w:r>
        <w:rPr>
          <w:spacing w:val="36"/>
        </w:rPr>
        <w:t>年</w:t>
      </w:r>
      <w:r>
        <w:rPr>
          <w:rFonts w:ascii="Times New Roman" w:eastAsia="Times New Roman"/>
        </w:rPr>
        <w:t>3</w:t>
      </w:r>
      <w:r>
        <w:rPr>
          <w:rFonts w:ascii="Times New Roman" w:eastAsia="Times New Roman"/>
          <w:spacing w:val="-4"/>
        </w:rPr>
        <w:t> </w:t>
      </w:r>
      <w:r>
        <w:rPr>
          <w:spacing w:val="33"/>
        </w:rPr>
        <w:t>月</w:t>
      </w:r>
      <w:r>
        <w:rPr>
          <w:rFonts w:ascii="Times New Roman" w:eastAsia="Times New Roman"/>
        </w:rPr>
        <w:t>15</w:t>
      </w:r>
      <w:r>
        <w:rPr>
          <w:rFonts w:ascii="Times New Roman" w:eastAsia="Times New Roman"/>
          <w:spacing w:val="-4"/>
        </w:rPr>
        <w:t> </w:t>
      </w:r>
      <w:r>
        <w:rPr>
          <w:spacing w:val="-3"/>
        </w:rPr>
        <w:t>日正式生效。自基金合同生效日起，本基金管理人正式开始管理本基金。</w:t>
      </w:r>
    </w:p>
    <w:p>
      <w:pPr>
        <w:pStyle w:val="BodyText"/>
        <w:spacing w:before="1"/>
        <w:ind w:left="960"/>
        <w:jc w:val="both"/>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人或者基金</w:t>
      </w:r>
    </w:p>
    <w:p>
      <w:pPr>
        <w:pStyle w:val="BodyText"/>
        <w:spacing w:before="6"/>
        <w:rPr>
          <w:sz w:val="15"/>
        </w:rPr>
      </w:pPr>
    </w:p>
    <w:p>
      <w:pPr>
        <w:pStyle w:val="BodyText"/>
        <w:spacing w:line="417" w:lineRule="auto"/>
        <w:ind w:left="540" w:right="311"/>
        <w:jc w:val="both"/>
      </w:pPr>
      <w:r>
        <w:rPr>
          <w:spacing w:val="-8"/>
        </w:rPr>
        <w:t>资产净值低于 </w:t>
      </w:r>
      <w:r>
        <w:rPr>
          <w:rFonts w:ascii="Times New Roman" w:eastAsia="Times New Roman"/>
        </w:rPr>
        <w:t>5000 </w:t>
      </w:r>
      <w:r>
        <w:rPr>
          <w:spacing w:val="-13"/>
        </w:rPr>
        <w:t>万元情形的，基金管理人应当在定期报告中予以披露；连续 </w:t>
      </w:r>
      <w:r>
        <w:rPr>
          <w:rFonts w:ascii="Times New Roman" w:eastAsia="Times New Roman"/>
        </w:rPr>
        <w:t>60 </w:t>
      </w:r>
      <w:r>
        <w:rPr>
          <w:spacing w:val="-2"/>
        </w:rPr>
        <w:t>个工作日</w:t>
      </w:r>
      <w:r>
        <w:rPr>
          <w:spacing w:val="-9"/>
        </w:rPr>
        <w:t>出现前述情形的，基金管理人应当向中国证监会报告并提出解决方案，如转换运作方式、与</w:t>
      </w:r>
      <w:r>
        <w:rPr>
          <w:spacing w:val="-5"/>
        </w:rPr>
        <w:t>其他基金合并或者终止基金合同等，并召开基金份额持有人大会进行表决。</w:t>
      </w:r>
    </w:p>
    <w:p>
      <w:pPr>
        <w:pStyle w:val="BodyText"/>
        <w:spacing w:line="269" w:lineRule="exact"/>
        <w:ind w:left="960"/>
      </w:pPr>
      <w:r>
        <w:rPr/>
        <w:t>法律法规另有规定时，从其规定。</w:t>
      </w:r>
    </w:p>
    <w:p>
      <w:pPr>
        <w:pStyle w:val="BodyText"/>
        <w:rPr>
          <w:sz w:val="20"/>
        </w:rPr>
      </w:pPr>
    </w:p>
    <w:p>
      <w:pPr>
        <w:pStyle w:val="BodyText"/>
        <w:spacing w:before="2"/>
        <w:rPr>
          <w:sz w:val="22"/>
        </w:rPr>
      </w:pPr>
    </w:p>
    <w:p>
      <w:pPr>
        <w:pStyle w:val="Heading1"/>
      </w:pPr>
      <w:bookmarkStart w:name="_bookmark7" w:id="8"/>
      <w:bookmarkEnd w:id="8"/>
      <w:r>
        <w:rPr>
          <w:b w:val="0"/>
        </w:rPr>
      </w:r>
      <w:r>
        <w:rPr/>
        <w:t>八、基金份额的申购、赎回与转换</w:t>
      </w:r>
    </w:p>
    <w:p>
      <w:pPr>
        <w:pStyle w:val="BodyText"/>
        <w:rPr>
          <w:b/>
          <w:sz w:val="20"/>
        </w:rPr>
      </w:pPr>
    </w:p>
    <w:p>
      <w:pPr>
        <w:pStyle w:val="BodyText"/>
        <w:spacing w:before="3"/>
        <w:rPr>
          <w:b/>
        </w:rPr>
      </w:pPr>
    </w:p>
    <w:p>
      <w:pPr>
        <w:pStyle w:val="BodyText"/>
        <w:ind w:left="960"/>
      </w:pPr>
      <w:r>
        <w:rPr/>
        <w:t>（一）申购和赎回场所</w:t>
      </w:r>
    </w:p>
    <w:p>
      <w:pPr>
        <w:spacing w:after="0"/>
        <w:sectPr>
          <w:pgSz w:w="11910" w:h="16840"/>
          <w:pgMar w:header="877" w:footer="0" w:top="1420" w:bottom="280" w:left="1260" w:right="1480"/>
        </w:sectPr>
      </w:pPr>
    </w:p>
    <w:p>
      <w:pPr>
        <w:pStyle w:val="BodyText"/>
        <w:spacing w:before="110"/>
        <w:ind w:left="960"/>
      </w:pPr>
      <w:r>
        <w:rPr/>
        <w:t>本基金的申购与赎回将通过销售机构进行。</w:t>
      </w:r>
    </w:p>
    <w:p>
      <w:pPr>
        <w:pStyle w:val="BodyText"/>
        <w:spacing w:before="6"/>
        <w:rPr>
          <w:sz w:val="15"/>
        </w:rPr>
      </w:pPr>
    </w:p>
    <w:p>
      <w:pPr>
        <w:pStyle w:val="BodyText"/>
        <w:ind w:left="960"/>
      </w:pPr>
      <w:r>
        <w:rPr>
          <w:rFonts w:ascii="Times New Roman" w:eastAsia="Times New Roman"/>
        </w:rPr>
        <w:t>1</w:t>
      </w:r>
      <w:r>
        <w:rPr/>
        <w:t>、直销机构</w:t>
      </w:r>
    </w:p>
    <w:p>
      <w:pPr>
        <w:pStyle w:val="BodyText"/>
        <w:spacing w:before="7"/>
        <w:rPr>
          <w:sz w:val="15"/>
        </w:rPr>
      </w:pPr>
    </w:p>
    <w:p>
      <w:pPr>
        <w:pStyle w:val="BodyText"/>
        <w:spacing w:line="417" w:lineRule="auto"/>
        <w:ind w:left="540" w:right="31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1"/>
        </w:numPr>
        <w:tabs>
          <w:tab w:pos="1490" w:val="left" w:leader="none"/>
        </w:tabs>
        <w:spacing w:line="269" w:lineRule="exact" w:before="0" w:after="0"/>
        <w:ind w:left="1489" w:right="0" w:hanging="530"/>
        <w:jc w:val="left"/>
        <w:rPr>
          <w:sz w:val="21"/>
        </w:rPr>
      </w:pPr>
      <w:r>
        <w:rPr>
          <w:spacing w:val="-3"/>
          <w:sz w:val="21"/>
        </w:rPr>
        <w:t>北京分公司</w:t>
      </w:r>
    </w:p>
    <w:p>
      <w:pPr>
        <w:pStyle w:val="BodyText"/>
        <w:spacing w:before="7"/>
        <w:rPr>
          <w:sz w:val="15"/>
        </w:rPr>
      </w:pPr>
    </w:p>
    <w:p>
      <w:pPr>
        <w:pStyle w:val="BodyText"/>
        <w:spacing w:line="417" w:lineRule="auto"/>
        <w:ind w:left="960" w:right="217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ind w:left="96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11"/>
        </w:numPr>
        <w:tabs>
          <w:tab w:pos="1490" w:val="left" w:leader="none"/>
        </w:tabs>
        <w:spacing w:line="240" w:lineRule="auto" w:before="1" w:after="0"/>
        <w:ind w:left="1489" w:right="0" w:hanging="530"/>
        <w:jc w:val="left"/>
        <w:rPr>
          <w:sz w:val="21"/>
        </w:rPr>
      </w:pPr>
      <w:r>
        <w:rPr>
          <w:spacing w:val="-3"/>
          <w:sz w:val="21"/>
        </w:rPr>
        <w:t>北京东中街投资理财中心</w:t>
      </w:r>
    </w:p>
    <w:p>
      <w:pPr>
        <w:pStyle w:val="BodyText"/>
        <w:spacing w:before="6"/>
        <w:rPr>
          <w:sz w:val="15"/>
        </w:rPr>
      </w:pPr>
    </w:p>
    <w:p>
      <w:pPr>
        <w:pStyle w:val="BodyText"/>
        <w:spacing w:line="417" w:lineRule="auto"/>
        <w:ind w:left="960" w:right="238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010-64185180</w:t>
      </w:r>
    </w:p>
    <w:p>
      <w:pPr>
        <w:pStyle w:val="BodyText"/>
        <w:spacing w:before="4"/>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北京科学院南路投资理财中心</w:t>
      </w:r>
    </w:p>
    <w:p>
      <w:pPr>
        <w:pStyle w:val="BodyText"/>
        <w:spacing w:before="6"/>
        <w:rPr>
          <w:sz w:val="15"/>
        </w:rPr>
      </w:pPr>
    </w:p>
    <w:p>
      <w:pPr>
        <w:pStyle w:val="BodyText"/>
        <w:spacing w:line="417" w:lineRule="auto" w:before="1"/>
        <w:ind w:left="960" w:right="53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ind w:left="960"/>
        <w:rPr>
          <w:rFonts w:ascii="Times New Roman" w:eastAsia="Times New Roman"/>
        </w:rPr>
      </w:pPr>
      <w:r>
        <w:rPr>
          <w:spacing w:val="-1"/>
        </w:rPr>
        <w:t>传真：</w:t>
      </w:r>
      <w:r>
        <w:rPr>
          <w:rFonts w:ascii="Times New Roman" w:eastAsia="Times New Roman"/>
          <w:spacing w:val="-1"/>
        </w:rPr>
        <w:t>010-82523196</w:t>
      </w:r>
    </w:p>
    <w:p>
      <w:pPr>
        <w:pStyle w:val="BodyText"/>
        <w:spacing w:before="3"/>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北京东四环投资理财中心</w:t>
      </w:r>
    </w:p>
    <w:p>
      <w:pPr>
        <w:pStyle w:val="BodyText"/>
        <w:spacing w:before="7"/>
        <w:rPr>
          <w:sz w:val="15"/>
        </w:rPr>
      </w:pPr>
    </w:p>
    <w:p>
      <w:pPr>
        <w:pStyle w:val="BodyText"/>
        <w:spacing w:line="417" w:lineRule="auto"/>
        <w:ind w:left="960" w:right="74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010-85869575</w:t>
      </w:r>
    </w:p>
    <w:p>
      <w:pPr>
        <w:pStyle w:val="BodyText"/>
        <w:spacing w:before="3"/>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北京望京投资理财中心</w:t>
      </w:r>
    </w:p>
    <w:p>
      <w:pPr>
        <w:pStyle w:val="BodyText"/>
        <w:spacing w:before="8"/>
        <w:rPr>
          <w:sz w:val="15"/>
        </w:rPr>
      </w:pPr>
    </w:p>
    <w:p>
      <w:pPr>
        <w:pStyle w:val="BodyText"/>
        <w:spacing w:line="417" w:lineRule="auto"/>
        <w:ind w:left="960" w:right="257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96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3"/>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上海分公司</w:t>
      </w:r>
    </w:p>
    <w:p>
      <w:pPr>
        <w:pStyle w:val="BodyText"/>
        <w:spacing w:before="7"/>
        <w:rPr>
          <w:sz w:val="15"/>
        </w:rPr>
      </w:pPr>
    </w:p>
    <w:p>
      <w:pPr>
        <w:pStyle w:val="BodyText"/>
        <w:spacing w:line="417" w:lineRule="auto"/>
        <w:ind w:left="960" w:right="126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021-58771998</w:t>
      </w:r>
    </w:p>
    <w:p>
      <w:pPr>
        <w:pStyle w:val="BodyText"/>
        <w:spacing w:before="4"/>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深圳分公司</w:t>
      </w:r>
    </w:p>
    <w:p>
      <w:pPr>
        <w:pStyle w:val="BodyText"/>
        <w:spacing w:before="6"/>
        <w:rPr>
          <w:sz w:val="15"/>
        </w:rPr>
      </w:pPr>
    </w:p>
    <w:p>
      <w:pPr>
        <w:pStyle w:val="BodyText"/>
        <w:ind w:left="960"/>
      </w:pPr>
      <w:r>
        <w:rPr/>
        <w:t>地址：深圳市福田区莲花街道益田路 </w:t>
      </w:r>
      <w:r>
        <w:rPr>
          <w:rFonts w:ascii="Times New Roman" w:eastAsia="Times New Roman"/>
        </w:rPr>
        <w:t>6001 </w:t>
      </w:r>
      <w:r>
        <w:rPr/>
        <w:t>号太平金融大厦 </w:t>
      </w:r>
      <w:r>
        <w:rPr>
          <w:rFonts w:ascii="Times New Roman" w:eastAsia="Times New Roman"/>
        </w:rPr>
        <w:t>40 </w:t>
      </w:r>
      <w:r>
        <w:rPr/>
        <w:t>层 </w:t>
      </w:r>
      <w:r>
        <w:rPr>
          <w:rFonts w:ascii="Times New Roman" w:eastAsia="Times New Roman"/>
        </w:rPr>
        <w:t>02 </w:t>
      </w:r>
      <w:r>
        <w:rPr/>
        <w:t>室（</w:t>
      </w:r>
      <w:r>
        <w:rPr>
          <w:rFonts w:ascii="Times New Roman" w:eastAsia="Times New Roman"/>
        </w:rPr>
        <w:t>518038</w:t>
      </w:r>
      <w:r>
        <w:rPr/>
        <w:t>）</w:t>
      </w:r>
    </w:p>
    <w:p>
      <w:pPr>
        <w:spacing w:after="0"/>
        <w:sectPr>
          <w:pgSz w:w="11910" w:h="16840"/>
          <w:pgMar w:header="877" w:footer="0" w:top="1420" w:bottom="280" w:left="1260" w:right="1480"/>
        </w:sectPr>
      </w:pPr>
    </w:p>
    <w:p>
      <w:pPr>
        <w:pStyle w:val="BodyText"/>
        <w:spacing w:line="417" w:lineRule="auto" w:before="110"/>
        <w:ind w:left="960" w:right="6240"/>
        <w:rPr>
          <w:rFonts w:ascii="Times New Roman" w:eastAsia="Times New Roman"/>
        </w:rPr>
      </w:pPr>
      <w:r>
        <w:rPr/>
        <w:t>电话：</w:t>
      </w:r>
      <w:r>
        <w:rPr>
          <w:rFonts w:ascii="Times New Roman" w:eastAsia="Times New Roman"/>
        </w:rPr>
        <w:t>0755-82033033 </w:t>
      </w:r>
      <w:r>
        <w:rPr/>
        <w:t>传真：</w:t>
      </w:r>
      <w:r>
        <w:rPr>
          <w:rFonts w:ascii="Times New Roman" w:eastAsia="Times New Roman"/>
        </w:rPr>
        <w:t>0755-82031949</w:t>
      </w:r>
    </w:p>
    <w:p>
      <w:pPr>
        <w:pStyle w:val="ListParagraph"/>
        <w:numPr>
          <w:ilvl w:val="0"/>
          <w:numId w:val="11"/>
        </w:numPr>
        <w:tabs>
          <w:tab w:pos="1490" w:val="left" w:leader="none"/>
        </w:tabs>
        <w:spacing w:line="269" w:lineRule="exact" w:before="0" w:after="0"/>
        <w:ind w:left="1489" w:right="0" w:hanging="530"/>
        <w:jc w:val="left"/>
        <w:rPr>
          <w:sz w:val="21"/>
        </w:rPr>
      </w:pPr>
      <w:r>
        <w:rPr>
          <w:spacing w:val="-3"/>
          <w:sz w:val="21"/>
        </w:rPr>
        <w:t>南京分公司</w:t>
      </w:r>
    </w:p>
    <w:p>
      <w:pPr>
        <w:pStyle w:val="BodyText"/>
        <w:spacing w:before="6"/>
        <w:rPr>
          <w:sz w:val="15"/>
        </w:rPr>
      </w:pPr>
    </w:p>
    <w:p>
      <w:pPr>
        <w:pStyle w:val="BodyText"/>
        <w:spacing w:line="417" w:lineRule="auto"/>
        <w:ind w:left="960" w:right="133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025-84733928</w:t>
      </w:r>
    </w:p>
    <w:p>
      <w:pPr>
        <w:pStyle w:val="BodyText"/>
        <w:spacing w:before="4"/>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杭州分公司</w:t>
      </w:r>
    </w:p>
    <w:p>
      <w:pPr>
        <w:pStyle w:val="BodyText"/>
        <w:spacing w:before="7"/>
        <w:rPr>
          <w:sz w:val="15"/>
        </w:rPr>
      </w:pPr>
    </w:p>
    <w:p>
      <w:pPr>
        <w:pStyle w:val="BodyText"/>
        <w:spacing w:line="417" w:lineRule="auto"/>
        <w:ind w:left="960" w:right="31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ind w:left="960"/>
        <w:rPr>
          <w:rFonts w:ascii="Times New Roman" w:eastAsia="Times New Roman"/>
        </w:rPr>
      </w:pPr>
      <w:r>
        <w:rPr>
          <w:spacing w:val="-2"/>
        </w:rPr>
        <w:t>传真：</w:t>
      </w:r>
      <w:r>
        <w:rPr>
          <w:rFonts w:ascii="Times New Roman" w:eastAsia="Times New Roman"/>
          <w:spacing w:val="-2"/>
        </w:rPr>
        <w:t>0571-89716611</w:t>
      </w:r>
    </w:p>
    <w:p>
      <w:pPr>
        <w:pStyle w:val="BodyText"/>
        <w:spacing w:before="4"/>
        <w:rPr>
          <w:rFonts w:ascii="Times New Roman"/>
          <w:sz w:val="17"/>
        </w:rPr>
      </w:pPr>
    </w:p>
    <w:p>
      <w:pPr>
        <w:pStyle w:val="ListParagraph"/>
        <w:numPr>
          <w:ilvl w:val="0"/>
          <w:numId w:val="11"/>
        </w:numPr>
        <w:tabs>
          <w:tab w:pos="1595" w:val="left" w:leader="none"/>
        </w:tabs>
        <w:spacing w:line="240" w:lineRule="auto" w:before="0" w:after="0"/>
        <w:ind w:left="1595" w:right="0" w:hanging="635"/>
        <w:jc w:val="left"/>
        <w:rPr>
          <w:sz w:val="21"/>
        </w:rPr>
      </w:pPr>
      <w:r>
        <w:rPr>
          <w:spacing w:val="-3"/>
          <w:sz w:val="21"/>
        </w:rPr>
        <w:t>广州分公司</w:t>
      </w:r>
    </w:p>
    <w:p>
      <w:pPr>
        <w:pStyle w:val="BodyText"/>
        <w:spacing w:before="6"/>
        <w:rPr>
          <w:sz w:val="15"/>
        </w:rPr>
      </w:pPr>
    </w:p>
    <w:p>
      <w:pPr>
        <w:pStyle w:val="BodyText"/>
        <w:spacing w:line="417" w:lineRule="auto"/>
        <w:ind w:left="960" w:right="53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020-38067182</w:t>
      </w:r>
    </w:p>
    <w:p>
      <w:pPr>
        <w:pStyle w:val="BodyText"/>
        <w:spacing w:before="4"/>
        <w:rPr>
          <w:rFonts w:ascii="Times New Roman"/>
          <w:sz w:val="17"/>
        </w:rPr>
      </w:pPr>
    </w:p>
    <w:p>
      <w:pPr>
        <w:pStyle w:val="ListParagraph"/>
        <w:numPr>
          <w:ilvl w:val="0"/>
          <w:numId w:val="11"/>
        </w:numPr>
        <w:tabs>
          <w:tab w:pos="1586" w:val="left" w:leader="none"/>
        </w:tabs>
        <w:spacing w:line="240" w:lineRule="auto" w:before="0" w:after="0"/>
        <w:ind w:left="1585" w:right="0" w:hanging="626"/>
        <w:jc w:val="left"/>
        <w:rPr>
          <w:sz w:val="21"/>
        </w:rPr>
      </w:pPr>
      <w:r>
        <w:rPr>
          <w:spacing w:val="-3"/>
          <w:sz w:val="21"/>
        </w:rPr>
        <w:t>广州天河投资理财中心</w:t>
      </w:r>
    </w:p>
    <w:p>
      <w:pPr>
        <w:pStyle w:val="BodyText"/>
        <w:spacing w:before="7"/>
        <w:rPr>
          <w:sz w:val="15"/>
        </w:rPr>
      </w:pPr>
    </w:p>
    <w:p>
      <w:pPr>
        <w:pStyle w:val="BodyText"/>
        <w:spacing w:line="417" w:lineRule="auto"/>
        <w:ind w:left="960" w:right="326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11"/>
        </w:numPr>
        <w:tabs>
          <w:tab w:pos="1595" w:val="left" w:leader="none"/>
        </w:tabs>
        <w:spacing w:line="240" w:lineRule="auto" w:before="1" w:after="0"/>
        <w:ind w:left="1595" w:right="0" w:hanging="635"/>
        <w:jc w:val="left"/>
        <w:rPr>
          <w:sz w:val="21"/>
        </w:rPr>
      </w:pPr>
      <w:r>
        <w:rPr>
          <w:spacing w:val="-3"/>
          <w:sz w:val="21"/>
        </w:rPr>
        <w:t>成都分公司</w:t>
      </w:r>
    </w:p>
    <w:p>
      <w:pPr>
        <w:pStyle w:val="BodyText"/>
        <w:spacing w:before="6"/>
        <w:rPr>
          <w:sz w:val="15"/>
        </w:rPr>
      </w:pPr>
    </w:p>
    <w:p>
      <w:pPr>
        <w:pStyle w:val="BodyText"/>
        <w:ind w:left="96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7"/>
        <w:rPr>
          <w:sz w:val="15"/>
        </w:rPr>
      </w:pPr>
    </w:p>
    <w:p>
      <w:pPr>
        <w:pStyle w:val="BodyText"/>
        <w:ind w:left="540"/>
      </w:pPr>
      <w:r>
        <w:rPr/>
        <w:t>（</w:t>
      </w:r>
      <w:r>
        <w:rPr>
          <w:rFonts w:ascii="Times New Roman" w:eastAsia="Times New Roman"/>
        </w:rPr>
        <w:t>610000</w:t>
      </w:r>
      <w:r>
        <w:rPr/>
        <w:t>）</w:t>
      </w:r>
    </w:p>
    <w:p>
      <w:pPr>
        <w:pStyle w:val="BodyText"/>
        <w:spacing w:before="7"/>
        <w:rPr>
          <w:sz w:val="15"/>
        </w:rPr>
      </w:pPr>
    </w:p>
    <w:p>
      <w:pPr>
        <w:pStyle w:val="BodyText"/>
        <w:spacing w:line="417" w:lineRule="auto"/>
        <w:ind w:left="960" w:right="634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11"/>
        </w:numPr>
        <w:tabs>
          <w:tab w:pos="1595" w:val="left" w:leader="none"/>
        </w:tabs>
        <w:spacing w:line="269" w:lineRule="exact" w:before="0" w:after="0"/>
        <w:ind w:left="1595" w:right="0" w:hanging="635"/>
        <w:jc w:val="left"/>
        <w:rPr>
          <w:sz w:val="21"/>
        </w:rPr>
      </w:pPr>
      <w:r>
        <w:rPr>
          <w:spacing w:val="-2"/>
          <w:sz w:val="21"/>
        </w:rPr>
        <w:t>电子交易</w:t>
      </w:r>
    </w:p>
    <w:p>
      <w:pPr>
        <w:pStyle w:val="BodyText"/>
        <w:spacing w:before="7"/>
        <w:rPr>
          <w:sz w:val="15"/>
        </w:rPr>
      </w:pPr>
    </w:p>
    <w:p>
      <w:pPr>
        <w:pStyle w:val="BodyText"/>
        <w:spacing w:line="417" w:lineRule="auto"/>
        <w:ind w:left="540" w:right="31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84">
        <w:r>
          <w:rPr>
            <w:rFonts w:ascii="Times New Roman" w:eastAsia="Times New Roman"/>
          </w:rPr>
          <w:t>www.ChinaAMC.com</w:t>
        </w:r>
      </w:hyperlink>
      <w:r>
        <w:rPr/>
        <w:t>。</w:t>
      </w:r>
    </w:p>
    <w:p>
      <w:pPr>
        <w:pStyle w:val="BodyText"/>
        <w:spacing w:line="269" w:lineRule="exact"/>
        <w:ind w:left="960"/>
      </w:pPr>
      <w:r>
        <w:rPr>
          <w:rFonts w:ascii="Times New Roman" w:eastAsia="Times New Roman"/>
        </w:rPr>
        <w:t>2</w:t>
      </w:r>
      <w:r>
        <w:rPr/>
        <w:t>、代销机构</w:t>
      </w:r>
    </w:p>
    <w:p>
      <w:pPr>
        <w:pStyle w:val="BodyText"/>
        <w:spacing w:before="7"/>
        <w:rPr>
          <w:sz w:val="15"/>
        </w:rPr>
      </w:pPr>
    </w:p>
    <w:p>
      <w:pPr>
        <w:pStyle w:val="BodyText"/>
        <w:spacing w:line="417" w:lineRule="auto"/>
        <w:ind w:left="540" w:right="311" w:firstLine="419"/>
      </w:pPr>
      <w:r>
        <w:rPr>
          <w:spacing w:val="-24"/>
          <w:w w:val="100"/>
        </w:rPr>
        <w:t>本基金代销机构的名称、住所等信息请详见本招募说明书“五、相关服务机构”中“</w:t>
      </w:r>
      <w:r>
        <w:rPr>
          <w:spacing w:val="-3"/>
          <w:w w:val="100"/>
        </w:rPr>
        <w:t>（</w:t>
      </w:r>
      <w:r>
        <w:rPr>
          <w:w w:val="100"/>
        </w:rPr>
        <w:t>一）</w:t>
      </w:r>
      <w:r>
        <w:rPr>
          <w:spacing w:val="-3"/>
        </w:rPr>
        <w:t>销售机构”的相关描述。</w:t>
      </w:r>
    </w:p>
    <w:p>
      <w:pPr>
        <w:spacing w:after="0" w:line="417" w:lineRule="auto"/>
        <w:sectPr>
          <w:pgSz w:w="11910" w:h="16840"/>
          <w:pgMar w:header="877" w:footer="0" w:top="1420" w:bottom="280" w:left="1260" w:right="1480"/>
        </w:sectPr>
      </w:pPr>
    </w:p>
    <w:p>
      <w:pPr>
        <w:pStyle w:val="BodyText"/>
        <w:spacing w:line="417" w:lineRule="auto" w:before="110"/>
        <w:ind w:left="540" w:right="311" w:firstLine="419"/>
        <w:jc w:val="both"/>
      </w:pPr>
      <w:r>
        <w:rPr>
          <w:spacing w:val="-7"/>
        </w:rPr>
        <w:t>基金管理人可根据情况变更或增减申购赎回的销售机构，并在基金管理人网站公示。销</w:t>
      </w:r>
      <w:r>
        <w:rPr>
          <w:spacing w:val="-10"/>
        </w:rPr>
        <w:t>售机构可以根据情况增加或者减少其销售城市、网点。基金投资者应当在销售机构办理基金</w:t>
      </w:r>
      <w:r>
        <w:rPr>
          <w:spacing w:val="-5"/>
        </w:rPr>
        <w:t>销售业务的营业场所或按销售机构提供的其他方式办理基金份额的申购与赎回。</w:t>
      </w:r>
    </w:p>
    <w:p>
      <w:pPr>
        <w:pStyle w:val="BodyText"/>
        <w:spacing w:line="269" w:lineRule="exact"/>
        <w:ind w:left="960"/>
      </w:pPr>
      <w:r>
        <w:rPr/>
        <w:t>（二）申购和赎回的开放日及时间</w:t>
      </w:r>
    </w:p>
    <w:p>
      <w:pPr>
        <w:pStyle w:val="BodyText"/>
        <w:spacing w:before="6"/>
        <w:rPr>
          <w:sz w:val="15"/>
        </w:rPr>
      </w:pPr>
    </w:p>
    <w:p>
      <w:pPr>
        <w:pStyle w:val="BodyText"/>
        <w:ind w:left="960"/>
      </w:pPr>
      <w:r>
        <w:rPr>
          <w:rFonts w:ascii="Times New Roman" w:eastAsia="Times New Roman"/>
        </w:rPr>
        <w:t>1</w:t>
      </w:r>
      <w:r>
        <w:rPr/>
        <w:t>、开放日及开放时间</w:t>
      </w:r>
    </w:p>
    <w:p>
      <w:pPr>
        <w:pStyle w:val="BodyText"/>
        <w:spacing w:before="7"/>
        <w:rPr>
          <w:sz w:val="15"/>
        </w:rPr>
      </w:pPr>
    </w:p>
    <w:p>
      <w:pPr>
        <w:pStyle w:val="BodyText"/>
        <w:spacing w:line="417" w:lineRule="auto"/>
        <w:ind w:left="540" w:right="31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540" w:right="205" w:firstLine="419"/>
      </w:pPr>
      <w:r>
        <w:rPr>
          <w:spacing w:val="-17"/>
        </w:rPr>
        <w:t>基金合同生效后，若出现新的证券交易市场、证券交易所交易时间变更或其他特殊情况， </w:t>
      </w:r>
      <w:r>
        <w:rPr>
          <w:spacing w:val="-11"/>
        </w:rPr>
        <w:t>基金管理人将视情况对前述开放日及开放时间进行相应的调整，但应在实施日前依照《信息</w:t>
      </w:r>
      <w:r>
        <w:rPr>
          <w:spacing w:val="-6"/>
        </w:rPr>
        <w:t>披露办法》的有关规定在指定媒介上公告。</w:t>
      </w:r>
    </w:p>
    <w:p>
      <w:pPr>
        <w:pStyle w:val="BodyText"/>
        <w:spacing w:line="269" w:lineRule="exact"/>
        <w:ind w:left="960"/>
      </w:pPr>
      <w:r>
        <w:rPr>
          <w:rFonts w:ascii="Times New Roman" w:eastAsia="Times New Roman"/>
        </w:rPr>
        <w:t>2</w:t>
      </w:r>
      <w:r>
        <w:rPr/>
        <w:t>、申购、赎回开始日及业务办理时间</w:t>
      </w:r>
    </w:p>
    <w:p>
      <w:pPr>
        <w:pStyle w:val="BodyText"/>
        <w:spacing w:before="7"/>
        <w:rPr>
          <w:sz w:val="15"/>
        </w:rPr>
      </w:pPr>
    </w:p>
    <w:p>
      <w:pPr>
        <w:pStyle w:val="BodyText"/>
        <w:spacing w:line="417" w:lineRule="auto"/>
        <w:ind w:left="540" w:right="313" w:firstLine="419"/>
        <w:jc w:val="both"/>
      </w:pPr>
      <w:r>
        <w:rPr>
          <w:spacing w:val="-10"/>
        </w:rPr>
        <w:t>本基金已于 </w:t>
      </w:r>
      <w:r>
        <w:rPr>
          <w:rFonts w:ascii="Times New Roman" w:eastAsia="Times New Roman"/>
        </w:rPr>
        <w:t>2017 </w:t>
      </w:r>
      <w:r>
        <w:rPr>
          <w:spacing w:val="-25"/>
        </w:rPr>
        <w:t>年 </w:t>
      </w:r>
      <w:r>
        <w:rPr>
          <w:rFonts w:ascii="Times New Roman" w:eastAsia="Times New Roman"/>
        </w:rPr>
        <w:t>6 </w:t>
      </w:r>
      <w:r>
        <w:rPr>
          <w:spacing w:val="-26"/>
        </w:rPr>
        <w:t>月 </w:t>
      </w:r>
      <w:r>
        <w:rPr>
          <w:rFonts w:ascii="Times New Roman" w:eastAsia="Times New Roman"/>
        </w:rPr>
        <w:t>14 </w:t>
      </w:r>
      <w:r>
        <w:rPr>
          <w:spacing w:val="-6"/>
        </w:rPr>
        <w:t>日开放日常申购、赎回业务，已自 </w:t>
      </w:r>
      <w:r>
        <w:rPr>
          <w:rFonts w:ascii="Times New Roman" w:eastAsia="Times New Roman"/>
        </w:rPr>
        <w:t>2018 </w:t>
      </w:r>
      <w:r>
        <w:rPr>
          <w:spacing w:val="-25"/>
        </w:rPr>
        <w:t>年 </w:t>
      </w:r>
      <w:r>
        <w:rPr>
          <w:rFonts w:ascii="Times New Roman" w:eastAsia="Times New Roman"/>
        </w:rPr>
        <w:t>5 </w:t>
      </w:r>
      <w:r>
        <w:rPr>
          <w:spacing w:val="-25"/>
        </w:rPr>
        <w:t>月 </w:t>
      </w:r>
      <w:r>
        <w:rPr>
          <w:rFonts w:ascii="Times New Roman" w:eastAsia="Times New Roman"/>
        </w:rPr>
        <w:t>7 </w:t>
      </w:r>
      <w:r>
        <w:rPr>
          <w:spacing w:val="-1"/>
        </w:rPr>
        <w:t>日起开放</w:t>
      </w:r>
      <w:r>
        <w:rPr>
          <w:spacing w:val="-3"/>
        </w:rPr>
        <w:t>日常转换、定期定额申购业务。</w:t>
      </w:r>
    </w:p>
    <w:p>
      <w:pPr>
        <w:pStyle w:val="BodyText"/>
        <w:spacing w:line="417" w:lineRule="auto"/>
        <w:ind w:left="540" w:right="311" w:firstLine="419"/>
        <w:jc w:val="both"/>
      </w:pPr>
      <w:r>
        <w:rPr>
          <w:spacing w:val="-6"/>
        </w:rPr>
        <w:t>基金管理人不得在基金合同约定之外的日期或者时间办理基金份额的申购、赎回或转换</w:t>
      </w:r>
      <w:r>
        <w:rPr>
          <w:spacing w:val="-11"/>
        </w:rPr>
        <w:t>业务。投资人在基金合同约定之外的日期和时间提出申购、赎回或转换申请且登记机构确认</w:t>
      </w:r>
      <w:r>
        <w:rPr>
          <w:spacing w:val="-6"/>
        </w:rPr>
        <w:t>接受的，其基金份额申购、赎回价格为下一开放日基金份额申购、赎回的价格。</w:t>
      </w:r>
    </w:p>
    <w:p>
      <w:pPr>
        <w:pStyle w:val="BodyText"/>
        <w:spacing w:line="269" w:lineRule="exact"/>
        <w:ind w:left="960"/>
      </w:pPr>
      <w:r>
        <w:rPr/>
        <w:t>（三）申购和赎回的原则</w:t>
      </w:r>
    </w:p>
    <w:p>
      <w:pPr>
        <w:pStyle w:val="BodyText"/>
        <w:spacing w:before="7"/>
        <w:rPr>
          <w:sz w:val="15"/>
        </w:rPr>
      </w:pPr>
    </w:p>
    <w:p>
      <w:pPr>
        <w:pStyle w:val="BodyText"/>
        <w:spacing w:line="417" w:lineRule="auto"/>
        <w:ind w:left="540" w:right="314" w:firstLine="41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spacing w:line="269" w:lineRule="exact"/>
        <w:ind w:left="96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7"/>
        <w:rPr>
          <w:sz w:val="15"/>
        </w:rPr>
      </w:pPr>
    </w:p>
    <w:p>
      <w:pPr>
        <w:pStyle w:val="BodyText"/>
        <w:ind w:left="96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960"/>
      </w:pPr>
      <w:r>
        <w:rPr>
          <w:rFonts w:ascii="Times New Roman" w:hAnsi="Times New Roman" w:eastAsia="Times New Roman"/>
        </w:rPr>
        <w:t>4</w:t>
      </w:r>
      <w:r>
        <w:rPr/>
        <w:t>、赎回遵循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w:t>
      </w:r>
    </w:p>
    <w:p>
      <w:pPr>
        <w:pStyle w:val="BodyText"/>
        <w:spacing w:before="7"/>
        <w:rPr>
          <w:sz w:val="15"/>
        </w:rPr>
      </w:pPr>
    </w:p>
    <w:p>
      <w:pPr>
        <w:pStyle w:val="BodyText"/>
        <w:spacing w:line="417" w:lineRule="auto"/>
        <w:ind w:left="540" w:right="314" w:firstLine="419"/>
      </w:pPr>
      <w:r>
        <w:rPr>
          <w:rFonts w:ascii="Times New Roman" w:eastAsia="Times New Roman"/>
        </w:rPr>
        <w:t>5</w:t>
      </w:r>
      <w:r>
        <w:rPr/>
        <w:t>、本基金份额分为多个类别，适用不同的申购费或销售服务费，投资者在申购时可自行选择基金份额类别。</w:t>
      </w:r>
    </w:p>
    <w:p>
      <w:pPr>
        <w:pStyle w:val="BodyText"/>
        <w:spacing w:line="417" w:lineRule="auto"/>
        <w:ind w:left="540" w:right="314" w:firstLine="419"/>
      </w:pPr>
      <w:r>
        <w:rPr>
          <w:rFonts w:ascii="Times New Roman" w:eastAsia="Times New Roman"/>
        </w:rPr>
        <w:t>6</w:t>
      </w:r>
      <w:r>
        <w:rPr/>
        <w:t>、投资者办理申购、赎回等业务时应提交的文件和办理手续、办理时间、处理规则等在遵守基金合同和招募说明书规定的前提下，以各销售机构的具体规定为准。</w:t>
      </w:r>
    </w:p>
    <w:p>
      <w:pPr>
        <w:pStyle w:val="BodyText"/>
        <w:spacing w:line="417" w:lineRule="auto"/>
        <w:ind w:left="540" w:right="311" w:firstLine="419"/>
      </w:pPr>
      <w:r>
        <w:rPr>
          <w:spacing w:val="-8"/>
        </w:rPr>
        <w:t>基金管理人可在法律法规允许的情况下，对上述原则进行调整。基金管理人必须在新规</w:t>
      </w:r>
      <w:r>
        <w:rPr>
          <w:spacing w:val="-5"/>
        </w:rPr>
        <w:t>则开始实施前依照《信息披露办法》的有关规定在指定媒介上公告。</w:t>
      </w:r>
    </w:p>
    <w:p>
      <w:pPr>
        <w:pStyle w:val="BodyText"/>
        <w:ind w:left="960"/>
      </w:pPr>
      <w:r>
        <w:rPr/>
        <w:t>（四）申购和赎回的数额限制</w:t>
      </w:r>
    </w:p>
    <w:p>
      <w:pPr>
        <w:spacing w:after="0"/>
        <w:sectPr>
          <w:pgSz w:w="11910" w:h="16840"/>
          <w:pgMar w:header="877" w:footer="0" w:top="1420" w:bottom="280" w:left="1260" w:right="1480"/>
        </w:sectPr>
      </w:pPr>
    </w:p>
    <w:p>
      <w:pPr>
        <w:pStyle w:val="BodyText"/>
        <w:spacing w:line="417" w:lineRule="auto" w:before="110"/>
        <w:ind w:left="540" w:right="209" w:firstLine="419"/>
      </w:pPr>
      <w:r>
        <w:rPr>
          <w:rFonts w:ascii="Times New Roman" w:eastAsia="Times New Roman"/>
        </w:rPr>
        <w:t>1</w:t>
      </w:r>
      <w:r>
        <w:rPr>
          <w:spacing w:val="-3"/>
        </w:rPr>
        <w:t>、投资者通过直销机构或华夏财富办理本基金的申购及赎回业务，每次最低申购金额为</w:t>
      </w:r>
      <w:r>
        <w:rPr>
          <w:rFonts w:ascii="Times New Roman" w:eastAsia="Times New Roman"/>
          <w:spacing w:val="-3"/>
        </w:rPr>
        <w:t>1.00</w:t>
      </w:r>
      <w:r>
        <w:rPr>
          <w:spacing w:val="-32"/>
        </w:rPr>
        <w:t>元</w:t>
      </w:r>
      <w:r>
        <w:rPr>
          <w:spacing w:val="-3"/>
        </w:rPr>
        <w:t>（含申购费</w:t>
      </w:r>
      <w:r>
        <w:rPr>
          <w:spacing w:val="-70"/>
        </w:rPr>
        <w:t>）</w:t>
      </w:r>
      <w:r>
        <w:rPr>
          <w:spacing w:val="-10"/>
        </w:rPr>
        <w:t>，每次赎回申请不得低于</w:t>
      </w:r>
      <w:r>
        <w:rPr>
          <w:rFonts w:ascii="Times New Roman" w:eastAsia="Times New Roman"/>
        </w:rPr>
        <w:t>1.00</w:t>
      </w:r>
      <w:r>
        <w:rPr>
          <w:spacing w:val="-7"/>
        </w:rPr>
        <w:t>份基金份额。基金份额持有人赎回时或赎回后在直销机构或华夏财富保留的基金份额余额不足</w:t>
      </w:r>
      <w:r>
        <w:rPr>
          <w:rFonts w:ascii="Times New Roman" w:eastAsia="Times New Roman"/>
        </w:rPr>
        <w:t>1.00</w:t>
      </w:r>
      <w:r>
        <w:rPr>
          <w:spacing w:val="-1"/>
        </w:rPr>
        <w:t>份的，在赎回时需一次全部赎回。</w:t>
      </w:r>
      <w:r>
        <w:rPr>
          <w:spacing w:val="-3"/>
        </w:rPr>
        <w:t>具体业务办理请遵循基金管理人直销机构及华夏财富的相关规定。</w:t>
      </w:r>
    </w:p>
    <w:p>
      <w:pPr>
        <w:pStyle w:val="BodyText"/>
        <w:spacing w:line="417" w:lineRule="auto"/>
        <w:ind w:left="540" w:right="311" w:firstLine="419"/>
        <w:jc w:val="both"/>
      </w:pPr>
      <w:r>
        <w:rPr>
          <w:rFonts w:ascii="Times New Roman" w:eastAsia="Times New Roman"/>
        </w:rPr>
        <w:t>2</w:t>
      </w:r>
      <w:r>
        <w:rPr>
          <w:spacing w:val="-3"/>
        </w:rPr>
        <w:t>、投资者通过其他代销机构办理本基金的申购及赎回业务，每次最低申购金额、每次</w:t>
      </w:r>
      <w:r>
        <w:rPr>
          <w:spacing w:val="-9"/>
        </w:rPr>
        <w:t>最低赎回份额、赎回时或赎回后在该代销机构</w:t>
      </w:r>
      <w:r>
        <w:rPr/>
        <w:t>（</w:t>
      </w:r>
      <w:r>
        <w:rPr>
          <w:spacing w:val="-2"/>
        </w:rPr>
        <w:t>网点</w:t>
      </w:r>
      <w:r>
        <w:rPr>
          <w:spacing w:val="-34"/>
        </w:rPr>
        <w:t>）</w:t>
      </w:r>
      <w:r>
        <w:rPr>
          <w:spacing w:val="-3"/>
        </w:rPr>
        <w:t>保留的最低基金份额余额以各代销机构的规定为准。具体业务办理请遵循各代销机构的相关规定。</w:t>
      </w:r>
    </w:p>
    <w:p>
      <w:pPr>
        <w:pStyle w:val="BodyText"/>
        <w:spacing w:line="417" w:lineRule="auto"/>
        <w:ind w:left="540" w:right="31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540" w:right="314" w:firstLine="419"/>
      </w:pPr>
      <w:r>
        <w:rPr>
          <w:rFonts w:ascii="Times New Roman" w:eastAsia="Times New Roman"/>
        </w:rPr>
        <w:t>4</w:t>
      </w:r>
      <w:r>
        <w:rPr/>
        <w:t>、基金管理人可在法律法规允许的情况下，调整上述规定申购金额和赎回份额的数量限制。基金管理人必须在调整前依照《信息披露办法》的有关规定在指定媒介上公告。</w:t>
      </w:r>
    </w:p>
    <w:p>
      <w:pPr>
        <w:pStyle w:val="BodyText"/>
        <w:spacing w:line="269" w:lineRule="exact"/>
        <w:ind w:left="960"/>
      </w:pPr>
      <w:r>
        <w:rPr/>
        <w:t>（五）申购和赎回的程序</w:t>
      </w:r>
    </w:p>
    <w:p>
      <w:pPr>
        <w:pStyle w:val="BodyText"/>
        <w:spacing w:before="5"/>
        <w:rPr>
          <w:sz w:val="15"/>
        </w:rPr>
      </w:pPr>
    </w:p>
    <w:p>
      <w:pPr>
        <w:pStyle w:val="BodyText"/>
        <w:ind w:left="960"/>
      </w:pPr>
      <w:r>
        <w:rPr>
          <w:rFonts w:ascii="Times New Roman" w:eastAsia="Times New Roman"/>
        </w:rPr>
        <w:t>1</w:t>
      </w:r>
      <w:r>
        <w:rPr/>
        <w:t>、申购和赎回的申请方式</w:t>
      </w:r>
    </w:p>
    <w:p>
      <w:pPr>
        <w:pStyle w:val="BodyText"/>
        <w:spacing w:before="7"/>
        <w:rPr>
          <w:sz w:val="15"/>
        </w:rPr>
      </w:pPr>
    </w:p>
    <w:p>
      <w:pPr>
        <w:pStyle w:val="BodyText"/>
        <w:spacing w:line="417" w:lineRule="auto" w:before="1"/>
        <w:ind w:left="540" w:right="311" w:firstLine="419"/>
      </w:pPr>
      <w:r>
        <w:rPr>
          <w:spacing w:val="-9"/>
        </w:rPr>
        <w:t>投资人必须根据销售机构规定的程序，在开放日的具体业务办理时间内提出申购或赎回</w:t>
      </w:r>
      <w:r>
        <w:rPr>
          <w:spacing w:val="-7"/>
        </w:rPr>
        <w:t>的申请。</w:t>
      </w:r>
    </w:p>
    <w:p>
      <w:pPr>
        <w:pStyle w:val="BodyText"/>
        <w:spacing w:line="269" w:lineRule="exact"/>
        <w:ind w:left="960"/>
      </w:pPr>
      <w:r>
        <w:rPr>
          <w:rFonts w:ascii="Times New Roman" w:eastAsia="Times New Roman"/>
        </w:rPr>
        <w:t>2</w:t>
      </w:r>
      <w:r>
        <w:rPr/>
        <w:t>、申购和赎回的款项支付</w:t>
      </w:r>
    </w:p>
    <w:p>
      <w:pPr>
        <w:pStyle w:val="BodyText"/>
        <w:spacing w:before="6"/>
        <w:rPr>
          <w:sz w:val="15"/>
        </w:rPr>
      </w:pPr>
    </w:p>
    <w:p>
      <w:pPr>
        <w:pStyle w:val="BodyText"/>
        <w:spacing w:line="417" w:lineRule="auto"/>
        <w:ind w:left="540" w:right="31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ind w:left="540" w:right="313" w:firstLine="419"/>
        <w:jc w:val="both"/>
      </w:pPr>
      <w:r>
        <w:rPr>
          <w:spacing w:val="-9"/>
        </w:rPr>
        <w:t>基金份额持有人递交赎回申请，赎回成立，赎回是否生效以基金登记机构确认为准。基</w:t>
      </w:r>
      <w:r>
        <w:rPr>
          <w:spacing w:val="-3"/>
        </w:rPr>
        <w:t>金份额持有人赎回申请成功后，基金管理人将在</w:t>
      </w:r>
      <w:r>
        <w:rPr>
          <w:rFonts w:ascii="Times New Roman" w:eastAsia="Times New Roman"/>
        </w:rPr>
        <w:t>T</w:t>
      </w:r>
      <w:r>
        <w:rPr/>
        <w:t>＋</w:t>
      </w:r>
      <w:r>
        <w:rPr>
          <w:rFonts w:ascii="Times New Roman" w:eastAsia="Times New Roman"/>
        </w:rPr>
        <w:t>7 </w:t>
      </w:r>
      <w:r>
        <w:rPr>
          <w:spacing w:val="-5"/>
        </w:rPr>
        <w:t>日</w:t>
      </w:r>
      <w:r>
        <w:rPr>
          <w:spacing w:val="-3"/>
        </w:rPr>
        <w:t>（包括该日）</w:t>
      </w:r>
      <w:r>
        <w:rPr>
          <w:spacing w:val="-4"/>
        </w:rPr>
        <w:t>内支付赎回款项。在</w:t>
      </w:r>
      <w:r>
        <w:rPr>
          <w:spacing w:val="-3"/>
        </w:rPr>
        <w:t>发生巨额赎回时，款项的支付办法参照基金合同有关条款处理。</w:t>
      </w:r>
    </w:p>
    <w:p>
      <w:pPr>
        <w:pStyle w:val="BodyText"/>
        <w:ind w:left="960"/>
      </w:pPr>
      <w:r>
        <w:rPr>
          <w:rFonts w:ascii="Times New Roman" w:eastAsia="Times New Roman"/>
        </w:rPr>
        <w:t>3</w:t>
      </w:r>
      <w:r>
        <w:rPr/>
        <w:t>、申购和赎回申请的确认</w:t>
      </w:r>
    </w:p>
    <w:p>
      <w:pPr>
        <w:pStyle w:val="BodyText"/>
        <w:spacing w:before="7"/>
        <w:rPr>
          <w:sz w:val="15"/>
        </w:rPr>
      </w:pPr>
    </w:p>
    <w:p>
      <w:pPr>
        <w:pStyle w:val="BodyText"/>
        <w:spacing w:line="417" w:lineRule="auto"/>
        <w:ind w:left="540" w:right="311" w:firstLine="419"/>
        <w:jc w:val="both"/>
      </w:pPr>
      <w:r>
        <w:rPr/>
        <w:t>基金管理人应以交易时间结束前受理有效申购和赎回申请的当天作为申购或赎回申请</w:t>
      </w:r>
      <w:r>
        <w:rPr>
          <w:w w:val="100"/>
        </w:rPr>
        <w:t>日</w:t>
      </w:r>
      <w:r>
        <w:rPr>
          <w:spacing w:val="-1"/>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到销售网点柜台或以销售机构规定的其他方式查询申请的确认情况。若申购不成功，则申购款项退还给投资人。</w:t>
      </w:r>
    </w:p>
    <w:p>
      <w:pPr>
        <w:pStyle w:val="BodyText"/>
        <w:spacing w:line="417" w:lineRule="auto"/>
        <w:ind w:left="540" w:right="311" w:firstLine="419"/>
      </w:pPr>
      <w:r>
        <w:rPr>
          <w:spacing w:val="-10"/>
        </w:rPr>
        <w:t>基金销售机构对申购、赎回申请的受理并不代表申请一定成功，而仅代表销售机构确实</w:t>
      </w:r>
      <w:r>
        <w:rPr>
          <w:spacing w:val="-5"/>
        </w:rPr>
        <w:t>接收到申请。申请的确认以登记机构或基金管理人的确认结果为准。</w:t>
      </w:r>
    </w:p>
    <w:p>
      <w:pPr>
        <w:pStyle w:val="BodyText"/>
        <w:ind w:left="960"/>
      </w:pPr>
      <w:r>
        <w:rPr>
          <w:rFonts w:ascii="Times New Roman" w:eastAsia="Times New Roman"/>
        </w:rPr>
        <w:t>4</w:t>
      </w:r>
      <w:r>
        <w:rPr/>
        <w:t>、基金管理人可以在不违反法律法规的前提下，对上述业务办理时间进行调整，并提</w:t>
      </w:r>
    </w:p>
    <w:p>
      <w:pPr>
        <w:spacing w:after="0"/>
        <w:sectPr>
          <w:pgSz w:w="11910" w:h="16840"/>
          <w:pgMar w:header="877" w:footer="0" w:top="1420" w:bottom="280" w:left="1260" w:right="1480"/>
        </w:sectPr>
      </w:pPr>
    </w:p>
    <w:p>
      <w:pPr>
        <w:pStyle w:val="BodyText"/>
        <w:spacing w:before="110"/>
        <w:ind w:left="540"/>
      </w:pPr>
      <w:r>
        <w:rPr/>
        <w:t>前公告。</w:t>
      </w:r>
    </w:p>
    <w:p>
      <w:pPr>
        <w:pStyle w:val="BodyText"/>
        <w:spacing w:before="6"/>
        <w:rPr>
          <w:sz w:val="15"/>
        </w:rPr>
      </w:pPr>
    </w:p>
    <w:p>
      <w:pPr>
        <w:pStyle w:val="BodyText"/>
        <w:ind w:left="960"/>
      </w:pPr>
      <w:r>
        <w:rPr/>
        <w:t>（六）申购费与赎回费</w:t>
      </w:r>
    </w:p>
    <w:p>
      <w:pPr>
        <w:pStyle w:val="BodyText"/>
        <w:spacing w:before="7"/>
        <w:rPr>
          <w:sz w:val="15"/>
        </w:rPr>
      </w:pPr>
    </w:p>
    <w:p>
      <w:pPr>
        <w:pStyle w:val="BodyText"/>
        <w:ind w:left="960"/>
      </w:pPr>
      <w:r>
        <w:rPr>
          <w:rFonts w:ascii="Times New Roman" w:eastAsia="Times New Roman"/>
        </w:rPr>
        <w:t>1</w:t>
      </w:r>
      <w:r>
        <w:rPr/>
        <w:t>、申购费用</w:t>
      </w:r>
    </w:p>
    <w:p>
      <w:pPr>
        <w:pStyle w:val="BodyText"/>
        <w:spacing w:before="7"/>
        <w:rPr>
          <w:sz w:val="15"/>
        </w:rPr>
      </w:pPr>
    </w:p>
    <w:p>
      <w:pPr>
        <w:pStyle w:val="ListParagraph"/>
        <w:numPr>
          <w:ilvl w:val="0"/>
          <w:numId w:val="12"/>
        </w:numPr>
        <w:tabs>
          <w:tab w:pos="1492" w:val="left" w:leader="none"/>
        </w:tabs>
        <w:spacing w:line="417" w:lineRule="auto" w:before="0" w:after="0"/>
        <w:ind w:left="540" w:right="311" w:firstLine="419"/>
        <w:jc w:val="both"/>
        <w:rPr>
          <w:sz w:val="21"/>
        </w:rPr>
      </w:pPr>
      <w:r>
        <w:rPr/>
        <w:pict>
          <v:group style="position:absolute;margin-left:145.100006pt;margin-top:65.219971pt;width:304.55pt;height:115.25pt;mso-position-horizontal-relative:page;mso-position-vertical-relative:paragraph;z-index:-258958336" coordorigin="2902,1304" coordsize="6091,2305">
            <v:line style="position:absolute" from="2916,1319" to="7084,1319" stroked="true" strokeweight="1.44pt" strokecolor="#000000">
              <v:stroke dashstyle="solid"/>
            </v:line>
            <v:shape style="position:absolute;left:7083;top:1333;width:10;height:3" type="#_x0000_t75" stroked="false">
              <v:imagedata r:id="rId6" o:title=""/>
            </v:shape>
            <v:rect style="position:absolute;left:7083;top:1304;width:29;height:29" filled="true" fillcolor="#000000" stroked="false">
              <v:fill type="solid"/>
            </v:rect>
            <v:line style="position:absolute" from="7113,1319" to="8992,1319" stroked="true" strokeweight="1.44pt" strokecolor="#000000">
              <v:stroke dashstyle="solid"/>
            </v:line>
            <v:shape style="position:absolute;left:7083;top:1335;width:10;height:310" type="#_x0000_t75" stroked="false">
              <v:imagedata r:id="rId85" o:title=""/>
            </v:shape>
            <v:line style="position:absolute" from="2916,1660" to="7084,1660" stroked="true" strokeweight="1.44pt" strokecolor="#000000">
              <v:stroke dashstyle="solid"/>
            </v:line>
            <v:shape style="position:absolute;left:7083;top:1645;width:10;height:32" type="#_x0000_t75" stroked="false">
              <v:imagedata r:id="rId86" o:title=""/>
            </v:shape>
            <v:line style="position:absolute" from="7093,1660" to="8992,1660" stroked="true" strokeweight="1.44pt" strokecolor="#000000">
              <v:stroke dashstyle="solid"/>
            </v:line>
            <v:shape style="position:absolute;left:7083;top:1676;width:10;height:385" coordorigin="7084,1676" coordsize="10,385" path="m7093,2013l7084,2013,7084,2061,7093,2061,7093,2013m7093,1917l7084,1917,7084,1965,7084,2013,7093,2013,7093,1965,7093,1917m7093,1820l7084,1820,7084,1868,7084,1916,7093,1916,7093,1868,7093,1820m7093,1676l7084,1676,7084,1724,7084,1772,7084,1820,7093,1820,7093,1772,7093,1724,7093,1676e" filled="true" fillcolor="#000000" stroked="false">
              <v:path arrowok="t"/>
              <v:fill type="solid"/>
            </v:shape>
            <v:shape style="position:absolute;left:7088;top:1676;width:2;height:469" coordorigin="7089,1676" coordsize="0,469" path="m7089,2145l7089,1676,7089,2145xe" filled="true" fillcolor="#000000" stroked="false">
              <v:path arrowok="t"/>
              <v:fill type="solid"/>
            </v:shape>
            <v:shape style="position:absolute;left:2916;top:2145;width:4168;height:10" type="#_x0000_t75" stroked="false">
              <v:imagedata r:id="rId87" o:title=""/>
            </v:shape>
            <v:rect style="position:absolute;left:7083;top:2145;width:10;height:10" filled="true" fillcolor="#000000" stroked="false">
              <v:fill type="solid"/>
            </v:rect>
            <v:shape style="position:absolute;left:2916;top:2145;width:6076;height:1436" type="#_x0000_t75" stroked="false">
              <v:imagedata r:id="rId88" o:title=""/>
            </v:shape>
            <v:line style="position:absolute" from="2902,3595" to="7084,3595" stroked="true" strokeweight="1.44pt" strokecolor="#000000">
              <v:stroke dashstyle="solid"/>
            </v:line>
            <v:rect style="position:absolute;left:7083;top:3580;width:29;height:29" filled="true" fillcolor="#000000" stroked="false">
              <v:fill type="solid"/>
            </v:rect>
            <v:line style="position:absolute" from="7113,3595" to="8992,3595" stroked="true" strokeweight="1.44pt" strokecolor="#000000">
              <v:stroke dashstyle="solid"/>
            </v:line>
            <v:shape style="position:absolute;left:3949;top:1384;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407;top:1384;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4450;top:1798;width:1125;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z w:val="21"/>
                      </w:rPr>
                      <w:t>万元以下</w:t>
                    </w:r>
                  </w:p>
                </w:txbxContent>
              </v:textbox>
              <w10:wrap type="none"/>
            </v:shape>
            <v:shape style="position:absolute;left:7767;top:1796;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0.80%</w:t>
                    </w:r>
                  </w:p>
                </w:txbxContent>
              </v:textbox>
              <w10:wrap type="none"/>
            </v:shape>
            <v:shape style="position:absolute;left:3127;top:2276;width:377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pacing w:val="-3"/>
                        <w:sz w:val="21"/>
                      </w:rPr>
                      <w:t>万元以上（</w:t>
                    </w:r>
                    <w:r>
                      <w:rPr>
                        <w:spacing w:val="-25"/>
                        <w:sz w:val="21"/>
                      </w:rPr>
                      <w:t>含 </w:t>
                    </w:r>
                    <w:r>
                      <w:rPr>
                        <w:rFonts w:ascii="Times New Roman" w:eastAsia="Times New Roman"/>
                        <w:sz w:val="21"/>
                      </w:rPr>
                      <w:t>50 </w:t>
                    </w:r>
                    <w:r>
                      <w:rPr>
                        <w:spacing w:val="-2"/>
                        <w:sz w:val="21"/>
                      </w:rPr>
                      <w:t>万元</w:t>
                    </w:r>
                    <w:r>
                      <w:rPr>
                        <w:sz w:val="21"/>
                      </w:rPr>
                      <w:t>）</w:t>
                    </w:r>
                    <w:r>
                      <w:rPr>
                        <w:rFonts w:ascii="Times New Roman" w:eastAsia="Times New Roman"/>
                        <w:sz w:val="21"/>
                      </w:rPr>
                      <w:t>-200 </w:t>
                    </w:r>
                    <w:r>
                      <w:rPr>
                        <w:spacing w:val="-2"/>
                        <w:sz w:val="21"/>
                      </w:rPr>
                      <w:t>万元以下</w:t>
                    </w:r>
                  </w:p>
                </w:txbxContent>
              </v:textbox>
              <w10:wrap type="none"/>
            </v:shape>
            <v:shape style="position:absolute;left:7767;top:2273;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0.60%</w:t>
                    </w:r>
                  </w:p>
                </w:txbxContent>
              </v:textbox>
              <w10:wrap type="none"/>
            </v:shape>
            <v:shape style="position:absolute;left:3024;top:2753;width:397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 </w:t>
                    </w:r>
                    <w:r>
                      <w:rPr>
                        <w:spacing w:val="-3"/>
                        <w:sz w:val="21"/>
                      </w:rPr>
                      <w:t>万元以上（</w:t>
                    </w:r>
                    <w:r>
                      <w:rPr>
                        <w:spacing w:val="-25"/>
                        <w:sz w:val="21"/>
                      </w:rPr>
                      <w:t>含 </w:t>
                    </w:r>
                    <w:r>
                      <w:rPr>
                        <w:rFonts w:ascii="Times New Roman" w:eastAsia="Times New Roman"/>
                        <w:sz w:val="21"/>
                      </w:rPr>
                      <w:t>200 </w:t>
                    </w:r>
                    <w:r>
                      <w:rPr>
                        <w:spacing w:val="-2"/>
                        <w:sz w:val="21"/>
                      </w:rPr>
                      <w:t>万元</w:t>
                    </w:r>
                    <w:r>
                      <w:rPr>
                        <w:sz w:val="21"/>
                      </w:rPr>
                      <w:t>）</w:t>
                    </w:r>
                    <w:r>
                      <w:rPr>
                        <w:rFonts w:ascii="Times New Roman" w:eastAsia="Times New Roman"/>
                        <w:sz w:val="21"/>
                      </w:rPr>
                      <w:t>-500 </w:t>
                    </w:r>
                    <w:r>
                      <w:rPr>
                        <w:spacing w:val="-3"/>
                        <w:sz w:val="21"/>
                      </w:rPr>
                      <w:t>万元以下</w:t>
                    </w:r>
                  </w:p>
                </w:txbxContent>
              </v:textbox>
              <w10:wrap type="none"/>
            </v:shape>
            <v:shape style="position:absolute;left:7767;top:2751;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0.40%</w:t>
                    </w:r>
                  </w:p>
                </w:txbxContent>
              </v:textbox>
              <w10:wrap type="none"/>
            </v:shape>
            <v:shape style="position:absolute;left:3662;top:3231;width:2702;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 </w:t>
                    </w:r>
                    <w:r>
                      <w:rPr>
                        <w:spacing w:val="-3"/>
                        <w:sz w:val="21"/>
                      </w:rPr>
                      <w:t>万元以上（</w:t>
                    </w:r>
                    <w:r>
                      <w:rPr>
                        <w:spacing w:val="-25"/>
                        <w:sz w:val="21"/>
                      </w:rPr>
                      <w:t>含 </w:t>
                    </w:r>
                    <w:r>
                      <w:rPr>
                        <w:rFonts w:ascii="Times New Roman" w:eastAsia="Times New Roman"/>
                        <w:sz w:val="21"/>
                      </w:rPr>
                      <w:t>500 </w:t>
                    </w:r>
                    <w:r>
                      <w:rPr>
                        <w:spacing w:val="-2"/>
                        <w:sz w:val="21"/>
                      </w:rPr>
                      <w:t>万元</w:t>
                    </w:r>
                    <w:r>
                      <w:rPr>
                        <w:sz w:val="21"/>
                      </w:rPr>
                      <w:t>）</w:t>
                    </w:r>
                  </w:p>
                </w:txbxContent>
              </v:textbox>
              <w10:wrap type="none"/>
            </v:shape>
            <v:shape style="position:absolute;left:7357;top:3231;width:1388;height:234" type="#_x0000_t202" filled="false" stroked="false">
              <v:textbox inset="0,0,0,0">
                <w:txbxContent>
                  <w:p>
                    <w:pPr>
                      <w:spacing w:line="234" w:lineRule="exact" w:before="0"/>
                      <w:ind w:left="0" w:right="0" w:firstLine="0"/>
                      <w:jc w:val="left"/>
                      <w:rPr>
                        <w:sz w:val="21"/>
                      </w:rPr>
                    </w:pPr>
                    <w:r>
                      <w:rPr>
                        <w:sz w:val="21"/>
                      </w:rPr>
                      <w:t>每笔</w:t>
                    </w:r>
                    <w:r>
                      <w:rPr>
                        <w:rFonts w:ascii="Times New Roman" w:eastAsia="Times New Roman"/>
                        <w:sz w:val="21"/>
                      </w:rPr>
                      <w:t>1,000.00</w:t>
                    </w:r>
                    <w:r>
                      <w:rPr>
                        <w:sz w:val="21"/>
                      </w:rPr>
                      <w:t>元</w:t>
                    </w:r>
                  </w:p>
                </w:txbxContent>
              </v:textbox>
              <w10:wrap type="none"/>
            </v:shape>
            <w10:wrap type="none"/>
          </v:group>
        </w:pict>
      </w:r>
      <w:r>
        <w:rPr>
          <w:sz w:val="21"/>
        </w:rPr>
        <w:t>本基金</w:t>
      </w:r>
      <w:r>
        <w:rPr>
          <w:rFonts w:ascii="Times New Roman" w:eastAsia="Times New Roman"/>
          <w:sz w:val="21"/>
        </w:rPr>
        <w:t>A</w:t>
      </w:r>
      <w:r>
        <w:rPr>
          <w:sz w:val="21"/>
        </w:rPr>
        <w:t>类基金份额申购费由申购人承担，用于市场推广、销售、登记结算等各</w:t>
      </w:r>
      <w:r>
        <w:rPr>
          <w:spacing w:val="-4"/>
          <w:sz w:val="21"/>
        </w:rPr>
        <w:t>项费用。投资者在申购本基金</w:t>
      </w:r>
      <w:r>
        <w:rPr>
          <w:rFonts w:ascii="Times New Roman" w:eastAsia="Times New Roman"/>
          <w:sz w:val="21"/>
        </w:rPr>
        <w:t>A</w:t>
      </w:r>
      <w:r>
        <w:rPr>
          <w:spacing w:val="-5"/>
          <w:sz w:val="21"/>
        </w:rPr>
        <w:t>类基金份额时需交纳前端申购费，费率按申购金额递减，具</w:t>
      </w:r>
      <w:r>
        <w:rPr>
          <w:spacing w:val="-4"/>
          <w:sz w:val="21"/>
        </w:rPr>
        <w:t>体如下：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ListParagraph"/>
        <w:numPr>
          <w:ilvl w:val="0"/>
          <w:numId w:val="12"/>
        </w:numPr>
        <w:tabs>
          <w:tab w:pos="1490" w:val="left" w:leader="none"/>
        </w:tabs>
        <w:spacing w:line="240" w:lineRule="auto" w:before="1" w:after="0"/>
        <w:ind w:left="1489" w:right="0" w:hanging="530"/>
        <w:jc w:val="left"/>
        <w:rPr>
          <w:sz w:val="21"/>
        </w:rPr>
      </w:pPr>
      <w:r>
        <w:rPr>
          <w:spacing w:val="15"/>
          <w:sz w:val="21"/>
        </w:rPr>
        <w:t>本基金</w:t>
      </w:r>
      <w:r>
        <w:rPr>
          <w:rFonts w:ascii="Times New Roman" w:eastAsia="Times New Roman"/>
          <w:sz w:val="21"/>
        </w:rPr>
        <w:t>C</w:t>
      </w:r>
      <w:r>
        <w:rPr>
          <w:rFonts w:ascii="Times New Roman" w:eastAsia="Times New Roman"/>
          <w:spacing w:val="1"/>
          <w:sz w:val="21"/>
        </w:rPr>
        <w:t> </w:t>
      </w:r>
      <w:r>
        <w:rPr>
          <w:spacing w:val="-3"/>
          <w:sz w:val="21"/>
        </w:rPr>
        <w:t>类基金份额不收取申购费。</w:t>
      </w:r>
    </w:p>
    <w:p>
      <w:pPr>
        <w:pStyle w:val="BodyText"/>
        <w:spacing w:before="6"/>
        <w:rPr>
          <w:sz w:val="15"/>
        </w:rPr>
      </w:pPr>
    </w:p>
    <w:p>
      <w:pPr>
        <w:pStyle w:val="BodyText"/>
        <w:ind w:left="960"/>
      </w:pPr>
      <w:r>
        <w:rPr>
          <w:rFonts w:ascii="Times New Roman" w:eastAsia="Times New Roman"/>
        </w:rPr>
        <w:t>2</w:t>
      </w:r>
      <w:r>
        <w:rPr/>
        <w:t>、赎回费用</w:t>
      </w:r>
    </w:p>
    <w:p>
      <w:pPr>
        <w:pStyle w:val="BodyText"/>
        <w:spacing w:before="7"/>
        <w:rPr>
          <w:sz w:val="15"/>
        </w:rPr>
      </w:pPr>
    </w:p>
    <w:p>
      <w:pPr>
        <w:pStyle w:val="BodyText"/>
        <w:spacing w:line="417" w:lineRule="auto"/>
        <w:ind w:left="540" w:right="311" w:firstLine="419"/>
      </w:pPr>
      <w:r>
        <w:rPr/>
        <w:t>本基金 </w:t>
      </w:r>
      <w:r>
        <w:rPr>
          <w:rFonts w:ascii="Times New Roman" w:eastAsia="Times New Roman"/>
        </w:rPr>
        <w:t>A </w:t>
      </w:r>
      <w:r>
        <w:rPr/>
        <w:t>类、</w:t>
      </w:r>
      <w:r>
        <w:rPr>
          <w:rFonts w:ascii="Times New Roman" w:eastAsia="Times New Roman"/>
        </w:rPr>
        <w:t>C </w:t>
      </w:r>
      <w:r>
        <w:rPr/>
        <w:t>类基金份额均收取赎回费，赎回费由赎回人承担，在投资者赎回基金份额时收取，所收取赎回费全部归入基金资产。</w:t>
      </w:r>
    </w:p>
    <w:p>
      <w:pPr>
        <w:pStyle w:val="BodyText"/>
        <w:ind w:left="960"/>
      </w:pPr>
      <w:r>
        <w:rPr/>
        <w:pict>
          <v:group style="position:absolute;margin-left:160.220001pt;margin-top:18.420013pt;width:274.25pt;height:99.15pt;mso-position-horizontal-relative:page;mso-position-vertical-relative:paragraph;z-index:-251644928;mso-wrap-distance-left:0;mso-wrap-distance-right:0" coordorigin="3204,368" coordsize="5485,1983">
            <v:line style="position:absolute" from="3219,383" to="7624,383" stroked="true" strokeweight="1.44pt" strokecolor="#000000">
              <v:stroke dashstyle="solid"/>
            </v:line>
            <v:shape style="position:absolute;left:7623;top:397;width:10;height:3" type="#_x0000_t75" stroked="false">
              <v:imagedata r:id="rId89" o:title=""/>
            </v:shape>
            <v:rect style="position:absolute;left:7623;top:368;width:29;height:29" filled="true" fillcolor="#000000" stroked="false">
              <v:fill type="solid"/>
            </v:rect>
            <v:line style="position:absolute" from="7653,383" to="8689,383" stroked="true" strokeweight="1.44pt" strokecolor="#000000">
              <v:stroke dashstyle="solid"/>
            </v:line>
            <v:rect style="position:absolute;left:7623;top:399;width:10;height:48" filled="true" fillcolor="#000000" stroked="false">
              <v:fill type="solid"/>
            </v:rect>
            <v:rect style="position:absolute;left:7623;top:447;width:10;height:48" filled="true" fillcolor="#000000" stroked="false">
              <v:fill type="solid"/>
            </v:rect>
            <v:rect style="position:absolute;left:7623;top:495;width:10;height:48" filled="true" fillcolor="#000000" stroked="false">
              <v:fill type="solid"/>
            </v:rect>
            <v:rect style="position:absolute;left:7623;top:543;width:10;height:48" filled="true" fillcolor="#000000" stroked="false">
              <v:fill type="solid"/>
            </v:rect>
            <v:rect style="position:absolute;left:7623;top:591;width:10;height:48" filled="true" fillcolor="#000000" stroked="false">
              <v:fill type="solid"/>
            </v:rect>
            <v:rect style="position:absolute;left:7623;top:639;width:10;height:48" filled="true" fillcolor="#000000" stroked="false">
              <v:fill type="solid"/>
            </v:rect>
            <v:rect style="position:absolute;left:7623;top:687;width:10;height:48" filled="true" fillcolor="#000000" stroked="false">
              <v:fill type="solid"/>
            </v:rect>
            <v:rect style="position:absolute;left:7623;top:735;width:10;height:48" filled="true" fillcolor="#000000" stroked="false">
              <v:fill type="solid"/>
            </v:rect>
            <v:shape style="position:absolute;left:7628;top:399;width:2;height:466" coordorigin="7629,400" coordsize="0,466" path="m7629,865l7629,400,7629,865xe" filled="true" fillcolor="#000000" stroked="false">
              <v:path arrowok="t"/>
              <v:fill type="solid"/>
            </v:shape>
            <v:shape style="position:absolute;left:3218;top:865;width:4405;height:10" type="#_x0000_t75" stroked="false">
              <v:imagedata r:id="rId90" o:title=""/>
            </v:shape>
            <v:shape style="position:absolute;left:7623;top:865;width:1066;height:32" type="#_x0000_t75" stroked="false">
              <v:imagedata r:id="rId91" o:title=""/>
            </v:shape>
            <v:rect style="position:absolute;left:7623;top:896;width:10;height:48" filled="true" fillcolor="#000000" stroked="false">
              <v:fill type="solid"/>
            </v:rect>
            <v:rect style="position:absolute;left:7623;top:944;width:10;height:48" filled="true" fillcolor="#000000" stroked="false">
              <v:fill type="solid"/>
            </v:rect>
            <v:rect style="position:absolute;left:7623;top:992;width:10;height:48" filled="true" fillcolor="#000000" stroked="false">
              <v:fill type="solid"/>
            </v:rect>
            <v:rect style="position:absolute;left:7623;top:1040;width:10;height:48" filled="true" fillcolor="#000000" stroked="false">
              <v:fill type="solid"/>
            </v:rect>
            <v:rect style="position:absolute;left:7623;top:1088;width:10;height:48" filled="true" fillcolor="#000000" stroked="false">
              <v:fill type="solid"/>
            </v:rect>
            <v:rect style="position:absolute;left:7623;top:1136;width:10;height:48" filled="true" fillcolor="#000000" stroked="false">
              <v:fill type="solid"/>
            </v:rect>
            <v:rect style="position:absolute;left:7623;top:1184;width:10;height:48" filled="true" fillcolor="#000000" stroked="false">
              <v:fill type="solid"/>
            </v:rect>
            <v:rect style="position:absolute;left:7623;top:1232;width:10;height:48" filled="true" fillcolor="#000000" stroked="false">
              <v:fill type="solid"/>
            </v:rect>
            <v:shape style="position:absolute;left:7628;top:896;width:2;height:468" coordorigin="7629,896" coordsize="0,468" path="m7629,1364l7629,896,7629,1364xe" filled="true" fillcolor="#000000" stroked="false">
              <v:path arrowok="t"/>
              <v:fill type="solid"/>
            </v:shape>
            <v:shape style="position:absolute;left:3218;top:1364;width:4405;height:10" type="#_x0000_t75" stroked="false">
              <v:imagedata r:id="rId90" o:title=""/>
            </v:shape>
            <v:rect style="position:absolute;left:7623;top:1364;width:10;height:10" filled="true" fillcolor="#000000" stroked="false">
              <v:fill type="solid"/>
            </v:rect>
            <v:shape style="position:absolute;left:3218;top:1364;width:5471;height:958" type="#_x0000_t75" stroked="false">
              <v:imagedata r:id="rId92" o:title=""/>
            </v:shape>
            <v:line style="position:absolute" from="3204,2336" to="7624,2336" stroked="true" strokeweight="1.44pt" strokecolor="#000000">
              <v:stroke dashstyle="solid"/>
            </v:line>
            <v:rect style="position:absolute;left:7623;top:2322;width:29;height:29" filled="true" fillcolor="#000000" stroked="false">
              <v:fill type="solid"/>
            </v:rect>
            <v:line style="position:absolute" from="7653,2336" to="8689,2336" stroked="true" strokeweight="1.44pt" strokecolor="#000000">
              <v:stroke dashstyle="solid"/>
            </v:line>
            <v:shape style="position:absolute;left:5002;top:525;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7736;top:525;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5055;top:1017;width:757;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w:t>
                    </w:r>
                    <w:r>
                      <w:rPr>
                        <w:sz w:val="21"/>
                      </w:rPr>
                      <w:t>天以内</w:t>
                    </w:r>
                  </w:p>
                </w:txbxContent>
              </v:textbox>
              <w10:wrap type="none"/>
            </v:shape>
            <v:shape style="position:absolute;left:7940;top:101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4549;top:1495;width:1772;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w:t>
                    </w:r>
                    <w:r>
                      <w:rPr>
                        <w:sz w:val="21"/>
                      </w:rPr>
                      <w:t>天（含</w:t>
                    </w:r>
                    <w:r>
                      <w:rPr>
                        <w:rFonts w:ascii="Times New Roman" w:eastAsia="Times New Roman"/>
                        <w:sz w:val="21"/>
                      </w:rPr>
                      <w:t>7</w:t>
                    </w:r>
                    <w:r>
                      <w:rPr>
                        <w:sz w:val="21"/>
                      </w:rPr>
                      <w:t>天）</w:t>
                    </w:r>
                    <w:r>
                      <w:rPr>
                        <w:rFonts w:ascii="Times New Roman" w:eastAsia="Times New Roman"/>
                        <w:sz w:val="21"/>
                      </w:rPr>
                      <w:t>-30</w:t>
                    </w:r>
                    <w:r>
                      <w:rPr>
                        <w:sz w:val="21"/>
                      </w:rPr>
                      <w:t>天</w:t>
                    </w:r>
                  </w:p>
                </w:txbxContent>
              </v:textbox>
              <w10:wrap type="none"/>
            </v:shape>
            <v:shape style="position:absolute;left:7940;top:1493;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0.1%</w:t>
                    </w:r>
                  </w:p>
                </w:txbxContent>
              </v:textbox>
              <w10:wrap type="none"/>
            </v:shape>
            <v:shape style="position:absolute;left:4477;top:1973;width:191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30</w:t>
                    </w:r>
                    <w:r>
                      <w:rPr>
                        <w:sz w:val="21"/>
                      </w:rPr>
                      <w:t>天以上（含</w:t>
                    </w:r>
                    <w:r>
                      <w:rPr>
                        <w:rFonts w:ascii="Times New Roman" w:eastAsia="Times New Roman"/>
                        <w:sz w:val="21"/>
                      </w:rPr>
                      <w:t>30</w:t>
                    </w:r>
                    <w:r>
                      <w:rPr>
                        <w:sz w:val="21"/>
                      </w:rPr>
                      <w:t>天）</w:t>
                    </w:r>
                  </w:p>
                </w:txbxContent>
              </v:textbox>
              <w10:wrap type="none"/>
            </v:shape>
            <v:shape style="position:absolute;left:8106;top:1970;width:126;height:234" type="#_x0000_t202" filled="false" stroked="false">
              <v:textbox inset="0,0,0,0">
                <w:txbxContent>
                  <w:p>
                    <w:pPr>
                      <w:spacing w:line="234" w:lineRule="exact" w:before="0"/>
                      <w:ind w:left="0" w:right="0" w:firstLine="0"/>
                      <w:jc w:val="left"/>
                      <w:rPr>
                        <w:rFonts w:ascii="Times New Roman"/>
                        <w:sz w:val="21"/>
                      </w:rPr>
                    </w:pPr>
                    <w:r>
                      <w:rPr>
                        <w:rFonts w:ascii="Times New Roman"/>
                        <w:w w:val="100"/>
                        <w:sz w:val="21"/>
                      </w:rPr>
                      <w:t>0</w:t>
                    </w:r>
                  </w:p>
                </w:txbxContent>
              </v:textbox>
              <w10:wrap type="none"/>
            </v:shape>
            <w10:wrap type="topAndBottom"/>
          </v:group>
        </w:pict>
      </w:r>
      <w:r>
        <w:rPr>
          <w:rFonts w:ascii="Times New Roman" w:eastAsia="Times New Roman"/>
        </w:rPr>
        <w:t>A </w:t>
      </w:r>
      <w:r>
        <w:rPr/>
        <w:t>类、</w:t>
      </w:r>
      <w:r>
        <w:rPr>
          <w:rFonts w:ascii="Times New Roman" w:eastAsia="Times New Roman"/>
        </w:rPr>
        <w:t>C </w:t>
      </w:r>
      <w:r>
        <w:rPr/>
        <w:t>类基金份额赎回费率如下：</w:t>
      </w:r>
    </w:p>
    <w:p>
      <w:pPr>
        <w:pStyle w:val="BodyText"/>
        <w:spacing w:line="417" w:lineRule="auto" w:before="70"/>
        <w:ind w:left="540" w:right="314" w:firstLine="419"/>
      </w:pPr>
      <w:r>
        <w:rPr>
          <w:rFonts w:ascii="Times New Roman" w:eastAsia="Times New Roman"/>
        </w:rPr>
        <w:t>3</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540" w:right="311" w:firstLine="419"/>
        <w:jc w:val="both"/>
      </w:pPr>
      <w:r>
        <w:rPr>
          <w:rFonts w:ascii="Times New Roman" w:eastAsia="Times New Roman"/>
        </w:rPr>
        <w:t>4</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资者定期或不定期地开展基金促销活动。在基金促销活动期间，按相关监管部门要求履行必</w:t>
      </w:r>
      <w:r>
        <w:rPr>
          <w:spacing w:val="-5"/>
        </w:rPr>
        <w:t>要手续后，基金管理人可以适当调低基金申购费率。</w:t>
      </w:r>
    </w:p>
    <w:p>
      <w:pPr>
        <w:pStyle w:val="BodyText"/>
        <w:spacing w:line="417" w:lineRule="auto"/>
        <w:ind w:left="540" w:right="210" w:firstLine="419"/>
      </w:pPr>
      <w:r>
        <w:rPr>
          <w:rFonts w:ascii="Times New Roman" w:eastAsia="Times New Roman"/>
        </w:rPr>
        <w:t>5</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ind w:left="960"/>
      </w:pPr>
      <w:r>
        <w:rPr/>
        <w:t>（七）申购份额与赎回金额的计算方式</w:t>
      </w:r>
    </w:p>
    <w:p>
      <w:pPr>
        <w:spacing w:after="0"/>
        <w:sectPr>
          <w:pgSz w:w="11910" w:h="16840"/>
          <w:pgMar w:header="877" w:footer="0" w:top="1420" w:bottom="280" w:left="1260" w:right="1480"/>
        </w:sectPr>
      </w:pPr>
    </w:p>
    <w:p>
      <w:pPr>
        <w:pStyle w:val="BodyText"/>
        <w:spacing w:before="110"/>
        <w:ind w:left="960"/>
      </w:pPr>
      <w:r>
        <w:rPr>
          <w:rFonts w:ascii="Times New Roman" w:eastAsia="Times New Roman"/>
        </w:rPr>
        <w:t>1</w:t>
      </w:r>
      <w:r>
        <w:rPr/>
        <w:t>、申购份额的计算</w:t>
      </w:r>
    </w:p>
    <w:p>
      <w:pPr>
        <w:pStyle w:val="BodyText"/>
        <w:spacing w:before="6"/>
        <w:rPr>
          <w:sz w:val="15"/>
        </w:rPr>
      </w:pPr>
    </w:p>
    <w:p>
      <w:pPr>
        <w:pStyle w:val="ListParagraph"/>
        <w:numPr>
          <w:ilvl w:val="0"/>
          <w:numId w:val="13"/>
        </w:numPr>
        <w:tabs>
          <w:tab w:pos="1490" w:val="left" w:leader="none"/>
        </w:tabs>
        <w:spacing w:line="417" w:lineRule="auto" w:before="0" w:after="0"/>
        <w:ind w:left="960" w:right="1852" w:firstLine="0"/>
        <w:jc w:val="left"/>
        <w:rPr>
          <w:sz w:val="21"/>
        </w:rPr>
      </w:pPr>
      <w:r>
        <w:rPr>
          <w:spacing w:val="-3"/>
          <w:sz w:val="21"/>
        </w:rPr>
        <w:t>当投资者选择申购</w:t>
      </w:r>
      <w:r>
        <w:rPr>
          <w:rFonts w:ascii="Times New Roman" w:eastAsia="Times New Roman"/>
          <w:sz w:val="21"/>
        </w:rPr>
        <w:t>A</w:t>
      </w:r>
      <w:r>
        <w:rPr>
          <w:spacing w:val="-3"/>
          <w:sz w:val="21"/>
        </w:rPr>
        <w:t>类基金份额时，申购份额的计算方法如下： 申购费用适用比例费率时，申购份额的计算方法如下：</w:t>
      </w:r>
    </w:p>
    <w:p>
      <w:pPr>
        <w:pStyle w:val="BodyText"/>
        <w:spacing w:line="417" w:lineRule="auto"/>
        <w:ind w:left="1380" w:right="3626"/>
      </w:pPr>
      <w:r>
        <w:rPr/>
        <w:t>净申购金额＝申购金额</w:t>
      </w:r>
      <w:r>
        <w:rPr>
          <w:rFonts w:ascii="Times New Roman" w:eastAsia="Times New Roman"/>
        </w:rPr>
        <w:t>/</w:t>
      </w:r>
      <w:r>
        <w:rPr/>
        <w:t>（</w:t>
      </w:r>
      <w:r>
        <w:rPr>
          <w:rFonts w:ascii="Times New Roman" w:eastAsia="Times New Roman"/>
        </w:rPr>
        <w:t>1</w:t>
      </w:r>
      <w:r>
        <w:rPr/>
        <w:t>＋前端申购费率） 前端申购费用＝申购金额－净申购金额</w:t>
      </w:r>
    </w:p>
    <w:p>
      <w:pPr>
        <w:pStyle w:val="BodyText"/>
        <w:spacing w:line="417" w:lineRule="auto"/>
        <w:ind w:left="960" w:right="3369" w:firstLine="420"/>
      </w:pPr>
      <w:r>
        <w:rPr>
          <w:spacing w:val="-1"/>
        </w:rPr>
        <w:t>申购份额</w:t>
      </w:r>
      <w:r>
        <w:rPr>
          <w:spacing w:val="-3"/>
        </w:rPr>
        <w:t>＝净申购金额</w:t>
      </w:r>
      <w:r>
        <w:rPr>
          <w:rFonts w:ascii="Times New Roman" w:eastAsia="Times New Roman"/>
        </w:rPr>
        <w:t>/T</w:t>
      </w:r>
      <w:r>
        <w:rPr/>
        <w:t>日</w:t>
      </w:r>
      <w:r>
        <w:rPr>
          <w:rFonts w:ascii="Times New Roman" w:eastAsia="Times New Roman"/>
        </w:rPr>
        <w:t>A</w:t>
      </w:r>
      <w:r>
        <w:rPr>
          <w:spacing w:val="-3"/>
        </w:rPr>
        <w:t>类基金份额净值  </w:t>
      </w:r>
      <w:r>
        <w:rPr>
          <w:spacing w:val="-4"/>
        </w:rPr>
        <w:t>申购费用为固定金额时，申购份额的计算方法如下：</w:t>
      </w:r>
    </w:p>
    <w:p>
      <w:pPr>
        <w:pStyle w:val="BodyText"/>
        <w:ind w:left="1380"/>
      </w:pPr>
      <w:r>
        <w:rPr/>
        <w:t>前端申购费用＝固定金额</w:t>
      </w:r>
    </w:p>
    <w:p>
      <w:pPr>
        <w:pStyle w:val="BodyText"/>
        <w:spacing w:before="7"/>
        <w:rPr>
          <w:sz w:val="15"/>
        </w:rPr>
      </w:pPr>
    </w:p>
    <w:p>
      <w:pPr>
        <w:pStyle w:val="BodyText"/>
        <w:ind w:left="1380"/>
      </w:pPr>
      <w:r>
        <w:rPr/>
        <w:t>净申购金额</w:t>
      </w:r>
      <w:r>
        <w:rPr>
          <w:rFonts w:ascii="Times New Roman" w:eastAsia="Times New Roman"/>
        </w:rPr>
        <w:t>=</w:t>
      </w:r>
      <w:r>
        <w:rPr/>
        <w:t>申购金额－前端申购费用</w:t>
      </w:r>
    </w:p>
    <w:p>
      <w:pPr>
        <w:pStyle w:val="BodyText"/>
        <w:spacing w:before="6"/>
        <w:rPr>
          <w:sz w:val="15"/>
        </w:rPr>
      </w:pPr>
    </w:p>
    <w:p>
      <w:pPr>
        <w:pStyle w:val="BodyText"/>
        <w:spacing w:before="1"/>
        <w:ind w:left="1380"/>
      </w:pPr>
      <w:r>
        <w:rPr/>
        <w:t>申购份额＝净申购金额</w:t>
      </w:r>
      <w:r>
        <w:rPr>
          <w:rFonts w:ascii="Times New Roman" w:eastAsia="Times New Roman"/>
        </w:rPr>
        <w:t>/T</w:t>
      </w:r>
      <w:r>
        <w:rPr/>
        <w:t>日</w:t>
      </w:r>
      <w:r>
        <w:rPr>
          <w:rFonts w:ascii="Times New Roman" w:eastAsia="Times New Roman"/>
        </w:rPr>
        <w:t>A</w:t>
      </w:r>
      <w:r>
        <w:rPr/>
        <w:t>类基金份额净值</w:t>
      </w:r>
    </w:p>
    <w:p>
      <w:pPr>
        <w:pStyle w:val="BodyText"/>
        <w:spacing w:before="6"/>
        <w:rPr>
          <w:sz w:val="15"/>
        </w:rPr>
      </w:pPr>
    </w:p>
    <w:p>
      <w:pPr>
        <w:pStyle w:val="ListParagraph"/>
        <w:numPr>
          <w:ilvl w:val="0"/>
          <w:numId w:val="13"/>
        </w:numPr>
        <w:tabs>
          <w:tab w:pos="1490" w:val="left" w:leader="none"/>
        </w:tabs>
        <w:spacing w:line="417" w:lineRule="auto" w:before="0" w:after="0"/>
        <w:ind w:left="1800" w:right="1864" w:hanging="840"/>
        <w:jc w:val="left"/>
        <w:rPr>
          <w:sz w:val="21"/>
        </w:rPr>
      </w:pPr>
      <w:r>
        <w:rPr>
          <w:spacing w:val="-3"/>
          <w:sz w:val="21"/>
        </w:rPr>
        <w:t>当投资者选择申购</w:t>
      </w:r>
      <w:r>
        <w:rPr>
          <w:rFonts w:ascii="Times New Roman" w:eastAsia="Times New Roman"/>
          <w:sz w:val="21"/>
        </w:rPr>
        <w:t>C</w:t>
      </w:r>
      <w:r>
        <w:rPr>
          <w:spacing w:val="-3"/>
          <w:sz w:val="21"/>
        </w:rPr>
        <w:t>类基金份额时，申购份额的计算方法如下： 申购份额＝</w:t>
      </w:r>
      <w:r>
        <w:rPr>
          <w:spacing w:val="-2"/>
          <w:sz w:val="21"/>
        </w:rPr>
        <w:t>申购金额</w:t>
      </w:r>
      <w:r>
        <w:rPr>
          <w:rFonts w:ascii="Times New Roman" w:eastAsia="Times New Roman"/>
          <w:sz w:val="21"/>
        </w:rPr>
        <w:t>/T</w:t>
      </w:r>
      <w:r>
        <w:rPr>
          <w:spacing w:val="-3"/>
          <w:sz w:val="21"/>
        </w:rPr>
        <w:t>日</w:t>
      </w:r>
      <w:r>
        <w:rPr>
          <w:rFonts w:ascii="Times New Roman" w:eastAsia="Times New Roman"/>
          <w:sz w:val="21"/>
        </w:rPr>
        <w:t>C</w:t>
      </w:r>
      <w:r>
        <w:rPr>
          <w:spacing w:val="-2"/>
          <w:sz w:val="21"/>
        </w:rPr>
        <w:t>类基金份额净值</w:t>
      </w:r>
    </w:p>
    <w:p>
      <w:pPr>
        <w:pStyle w:val="ListParagraph"/>
        <w:numPr>
          <w:ilvl w:val="0"/>
          <w:numId w:val="13"/>
        </w:numPr>
        <w:tabs>
          <w:tab w:pos="1490" w:val="left" w:leader="none"/>
        </w:tabs>
        <w:spacing w:line="417" w:lineRule="auto" w:before="0" w:after="0"/>
        <w:ind w:left="540" w:right="314" w:firstLine="419"/>
        <w:jc w:val="left"/>
        <w:rPr>
          <w:sz w:val="21"/>
        </w:rPr>
      </w:pPr>
      <w:r>
        <w:rPr>
          <w:spacing w:val="-3"/>
          <w:sz w:val="21"/>
        </w:rPr>
        <w:t>基金份额按照四舍五入方法，保留小数点后两位，由此误差产生的损失由基金财产承担，产生的收益归基金财产所有。</w:t>
      </w:r>
    </w:p>
    <w:p>
      <w:pPr>
        <w:pStyle w:val="BodyText"/>
        <w:spacing w:line="417" w:lineRule="auto"/>
        <w:ind w:left="540" w:right="313" w:firstLine="419"/>
      </w:pPr>
      <w:r>
        <w:rPr/>
        <w:pict>
          <v:shape style="position:absolute;margin-left:121.220001pt;margin-top:42.539989pt;width:352.45pt;height:170.8pt;mso-position-horizontal-relative:page;mso-position-vertical-relative:paragraph;z-index:25170329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4"/>
                    <w:gridCol w:w="1294"/>
                    <w:gridCol w:w="1542"/>
                    <w:gridCol w:w="1559"/>
                  </w:tblGrid>
                  <w:tr>
                    <w:trPr>
                      <w:trHeight w:val="466" w:hRule="atLeast"/>
                    </w:trPr>
                    <w:tc>
                      <w:tcPr>
                        <w:tcW w:w="2654" w:type="dxa"/>
                        <w:tcBorders>
                          <w:top w:val="single" w:sz="12" w:space="0" w:color="000000"/>
                          <w:bottom w:val="single" w:sz="12" w:space="0" w:color="000000"/>
                          <w:right w:val="single" w:sz="4" w:space="0" w:color="000000"/>
                        </w:tcBorders>
                      </w:tcPr>
                      <w:p>
                        <w:pPr>
                          <w:pStyle w:val="TableParagraph"/>
                          <w:spacing w:line="20" w:lineRule="exact" w:before="0"/>
                          <w:ind w:left="2652" w:right="-58"/>
                          <w:jc w:val="left"/>
                          <w:rPr>
                            <w:rFonts w:ascii="宋体"/>
                            <w:sz w:val="2"/>
                          </w:rPr>
                        </w:pPr>
                        <w:r>
                          <w:rPr>
                            <w:rFonts w:ascii="宋体"/>
                            <w:sz w:val="2"/>
                          </w:rPr>
                          <w:drawing>
                            <wp:inline distT="0" distB="0" distL="0" distR="0">
                              <wp:extent cx="6094" cy="1524"/>
                              <wp:effectExtent l="0" t="0" r="0" b="0"/>
                              <wp:docPr id="1" name="image14.png"/>
                              <wp:cNvGraphicFramePr>
                                <a:graphicFrameLocks noChangeAspect="1"/>
                              </wp:cNvGraphicFramePr>
                              <a:graphic>
                                <a:graphicData uri="http://schemas.openxmlformats.org/drawingml/2006/picture">
                                  <pic:pic>
                                    <pic:nvPicPr>
                                      <pic:cNvPr id="2" name="image14.png"/>
                                      <pic:cNvPicPr/>
                                    </pic:nvPicPr>
                                    <pic:blipFill>
                                      <a:blip r:embed="rId93" cstate="print"/>
                                      <a:stretch>
                                        <a:fillRect/>
                                      </a:stretch>
                                    </pic:blipFill>
                                    <pic:spPr>
                                      <a:xfrm>
                                        <a:off x="0" y="0"/>
                                        <a:ext cx="6094" cy="1524"/>
                                      </a:xfrm>
                                      <a:prstGeom prst="rect">
                                        <a:avLst/>
                                      </a:prstGeom>
                                    </pic:spPr>
                                  </pic:pic>
                                </a:graphicData>
                              </a:graphic>
                            </wp:inline>
                          </w:drawing>
                        </w:r>
                        <w:r>
                          <w:rPr>
                            <w:rFonts w:ascii="宋体"/>
                            <w:sz w:val="2"/>
                          </w:rPr>
                        </w:r>
                      </w:p>
                    </w:tc>
                    <w:tc>
                      <w:tcPr>
                        <w:tcW w:w="1294" w:type="dxa"/>
                        <w:tcBorders>
                          <w:top w:val="single" w:sz="12" w:space="0" w:color="000000"/>
                          <w:left w:val="single" w:sz="4" w:space="0" w:color="000000"/>
                          <w:bottom w:val="single" w:sz="12" w:space="0" w:color="000000"/>
                          <w:right w:val="single" w:sz="4" w:space="0" w:color="000000"/>
                        </w:tcBorders>
                      </w:tcPr>
                      <w:p>
                        <w:pPr>
                          <w:pStyle w:val="TableParagraph"/>
                          <w:spacing w:line="20" w:lineRule="exact" w:before="0"/>
                          <w:ind w:left="1280" w:right="-58"/>
                          <w:jc w:val="left"/>
                          <w:rPr>
                            <w:rFonts w:ascii="宋体"/>
                            <w:sz w:val="2"/>
                          </w:rPr>
                        </w:pPr>
                        <w:r>
                          <w:rPr>
                            <w:rFonts w:ascii="宋体"/>
                            <w:sz w:val="2"/>
                          </w:rPr>
                          <w:drawing>
                            <wp:inline distT="0" distB="0" distL="0" distR="0">
                              <wp:extent cx="6094" cy="1524"/>
                              <wp:effectExtent l="0" t="0" r="0" b="0"/>
                              <wp:docPr id="3" name="image14.png"/>
                              <wp:cNvGraphicFramePr>
                                <a:graphicFrameLocks noChangeAspect="1"/>
                              </wp:cNvGraphicFramePr>
                              <a:graphic>
                                <a:graphicData uri="http://schemas.openxmlformats.org/drawingml/2006/picture">
                                  <pic:pic>
                                    <pic:nvPicPr>
                                      <pic:cNvPr id="4" name="image14.png"/>
                                      <pic:cNvPicPr/>
                                    </pic:nvPicPr>
                                    <pic:blipFill>
                                      <a:blip r:embed="rId93" cstate="print"/>
                                      <a:stretch>
                                        <a:fillRect/>
                                      </a:stretch>
                                    </pic:blipFill>
                                    <pic:spPr>
                                      <a:xfrm>
                                        <a:off x="0" y="0"/>
                                        <a:ext cx="6094" cy="1524"/>
                                      </a:xfrm>
                                      <a:prstGeom prst="rect">
                                        <a:avLst/>
                                      </a:prstGeom>
                                    </pic:spPr>
                                  </pic:pic>
                                </a:graphicData>
                              </a:graphic>
                            </wp:inline>
                          </w:drawing>
                        </w:r>
                        <w:r>
                          <w:rPr>
                            <w:rFonts w:ascii="宋体"/>
                            <w:sz w:val="2"/>
                          </w:rPr>
                        </w:r>
                      </w:p>
                      <w:p>
                        <w:pPr>
                          <w:pStyle w:val="TableParagraph"/>
                          <w:spacing w:before="79"/>
                          <w:ind w:left="377"/>
                          <w:jc w:val="left"/>
                          <w:rPr>
                            <w:sz w:val="21"/>
                          </w:rPr>
                        </w:pPr>
                        <w:r>
                          <w:rPr>
                            <w:rFonts w:ascii="宋体" w:eastAsia="宋体" w:hint="eastAsia"/>
                            <w:sz w:val="21"/>
                          </w:rPr>
                          <w:t>申购</w:t>
                        </w:r>
                        <w:r>
                          <w:rPr>
                            <w:sz w:val="21"/>
                          </w:rPr>
                          <w:t>1</w:t>
                        </w:r>
                      </w:p>
                    </w:tc>
                    <w:tc>
                      <w:tcPr>
                        <w:tcW w:w="1542" w:type="dxa"/>
                        <w:tcBorders>
                          <w:top w:val="single" w:sz="12" w:space="0" w:color="000000"/>
                          <w:left w:val="single" w:sz="4" w:space="0" w:color="000000"/>
                          <w:bottom w:val="single" w:sz="12" w:space="0" w:color="000000"/>
                          <w:right w:val="single" w:sz="4" w:space="0" w:color="000000"/>
                        </w:tcBorders>
                      </w:tcPr>
                      <w:p>
                        <w:pPr>
                          <w:pStyle w:val="TableParagraph"/>
                          <w:spacing w:line="20" w:lineRule="exact" w:before="0"/>
                          <w:ind w:left="1546" w:right="-72"/>
                          <w:jc w:val="left"/>
                          <w:rPr>
                            <w:rFonts w:ascii="宋体"/>
                            <w:sz w:val="2"/>
                          </w:rPr>
                        </w:pPr>
                        <w:r>
                          <w:rPr>
                            <w:rFonts w:ascii="宋体"/>
                            <w:sz w:val="2"/>
                          </w:rPr>
                          <w:drawing>
                            <wp:inline distT="0" distB="0" distL="0" distR="0">
                              <wp:extent cx="6094" cy="1524"/>
                              <wp:effectExtent l="0" t="0" r="0" b="0"/>
                              <wp:docPr id="5" name="image14.png"/>
                              <wp:cNvGraphicFramePr>
                                <a:graphicFrameLocks noChangeAspect="1"/>
                              </wp:cNvGraphicFramePr>
                              <a:graphic>
                                <a:graphicData uri="http://schemas.openxmlformats.org/drawingml/2006/picture">
                                  <pic:pic>
                                    <pic:nvPicPr>
                                      <pic:cNvPr id="6" name="image14.png"/>
                                      <pic:cNvPicPr/>
                                    </pic:nvPicPr>
                                    <pic:blipFill>
                                      <a:blip r:embed="rId93" cstate="print"/>
                                      <a:stretch>
                                        <a:fillRect/>
                                      </a:stretch>
                                    </pic:blipFill>
                                    <pic:spPr>
                                      <a:xfrm>
                                        <a:off x="0" y="0"/>
                                        <a:ext cx="6094" cy="1524"/>
                                      </a:xfrm>
                                      <a:prstGeom prst="rect">
                                        <a:avLst/>
                                      </a:prstGeom>
                                    </pic:spPr>
                                  </pic:pic>
                                </a:graphicData>
                              </a:graphic>
                            </wp:inline>
                          </w:drawing>
                        </w:r>
                        <w:r>
                          <w:rPr>
                            <w:rFonts w:ascii="宋体"/>
                            <w:sz w:val="2"/>
                          </w:rPr>
                        </w:r>
                      </w:p>
                      <w:p>
                        <w:pPr>
                          <w:pStyle w:val="TableParagraph"/>
                          <w:spacing w:before="79"/>
                          <w:ind w:left="507"/>
                          <w:jc w:val="left"/>
                          <w:rPr>
                            <w:sz w:val="21"/>
                          </w:rPr>
                        </w:pPr>
                        <w:r>
                          <w:rPr>
                            <w:rFonts w:ascii="宋体" w:eastAsia="宋体" w:hint="eastAsia"/>
                            <w:sz w:val="21"/>
                          </w:rPr>
                          <w:t>申购</w:t>
                        </w:r>
                        <w:r>
                          <w:rPr>
                            <w:sz w:val="21"/>
                          </w:rPr>
                          <w:t>2</w:t>
                        </w:r>
                      </w:p>
                    </w:tc>
                    <w:tc>
                      <w:tcPr>
                        <w:tcW w:w="1559" w:type="dxa"/>
                        <w:tcBorders>
                          <w:top w:val="single" w:sz="12" w:space="0" w:color="000000"/>
                          <w:left w:val="single" w:sz="4" w:space="0" w:color="000000"/>
                          <w:bottom w:val="single" w:sz="12" w:space="0" w:color="000000"/>
                        </w:tcBorders>
                      </w:tcPr>
                      <w:p>
                        <w:pPr>
                          <w:pStyle w:val="TableParagraph"/>
                          <w:spacing w:before="99"/>
                          <w:ind w:left="517"/>
                          <w:jc w:val="left"/>
                          <w:rPr>
                            <w:sz w:val="21"/>
                          </w:rPr>
                        </w:pPr>
                        <w:r>
                          <w:rPr>
                            <w:rFonts w:ascii="宋体" w:eastAsia="宋体" w:hint="eastAsia"/>
                            <w:sz w:val="21"/>
                          </w:rPr>
                          <w:t>申购</w:t>
                        </w:r>
                        <w:r>
                          <w:rPr>
                            <w:sz w:val="21"/>
                          </w:rPr>
                          <w:t>3</w:t>
                        </w:r>
                      </w:p>
                    </w:tc>
                  </w:tr>
                  <w:tr>
                    <w:trPr>
                      <w:trHeight w:val="469" w:hRule="atLeast"/>
                    </w:trPr>
                    <w:tc>
                      <w:tcPr>
                        <w:tcW w:w="2654" w:type="dxa"/>
                        <w:tcBorders>
                          <w:top w:val="single" w:sz="12" w:space="0" w:color="000000"/>
                        </w:tcBorders>
                      </w:tcPr>
                      <w:p>
                        <w:pPr>
                          <w:pStyle w:val="TableParagraph"/>
                          <w:spacing w:before="101"/>
                          <w:ind w:left="213" w:right="203"/>
                          <w:jc w:val="center"/>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94" w:type="dxa"/>
                        <w:tcBorders>
                          <w:top w:val="single" w:sz="12" w:space="0" w:color="000000"/>
                          <w:bottom w:val="single" w:sz="4" w:space="0" w:color="000000"/>
                        </w:tcBorders>
                      </w:tcPr>
                      <w:p>
                        <w:pPr>
                          <w:pStyle w:val="TableParagraph"/>
                          <w:spacing w:before="113"/>
                          <w:ind w:right="107"/>
                          <w:rPr>
                            <w:sz w:val="21"/>
                          </w:rPr>
                        </w:pPr>
                        <w:r>
                          <w:rPr>
                            <w:sz w:val="21"/>
                          </w:rPr>
                          <w:t>1,000.00</w:t>
                        </w:r>
                      </w:p>
                    </w:tc>
                    <w:tc>
                      <w:tcPr>
                        <w:tcW w:w="1542" w:type="dxa"/>
                        <w:tcBorders>
                          <w:top w:val="single" w:sz="12" w:space="0" w:color="000000"/>
                        </w:tcBorders>
                      </w:tcPr>
                      <w:p>
                        <w:pPr>
                          <w:pStyle w:val="TableParagraph"/>
                          <w:spacing w:before="113"/>
                          <w:ind w:right="89"/>
                          <w:rPr>
                            <w:sz w:val="21"/>
                          </w:rPr>
                        </w:pPr>
                        <w:r>
                          <w:rPr>
                            <w:sz w:val="21"/>
                          </w:rPr>
                          <w:t>500,000.00</w:t>
                        </w:r>
                      </w:p>
                    </w:tc>
                    <w:tc>
                      <w:tcPr>
                        <w:tcW w:w="1559" w:type="dxa"/>
                        <w:tcBorders>
                          <w:top w:val="single" w:sz="12" w:space="0" w:color="000000"/>
                          <w:bottom w:val="single" w:sz="4" w:space="0" w:color="000000"/>
                        </w:tcBorders>
                      </w:tcPr>
                      <w:p>
                        <w:pPr>
                          <w:pStyle w:val="TableParagraph"/>
                          <w:spacing w:before="113"/>
                          <w:ind w:right="102"/>
                          <w:rPr>
                            <w:sz w:val="21"/>
                          </w:rPr>
                        </w:pPr>
                        <w:r>
                          <w:rPr>
                            <w:sz w:val="21"/>
                          </w:rPr>
                          <w:t>2,000,000.00</w:t>
                        </w:r>
                      </w:p>
                    </w:tc>
                  </w:tr>
                  <w:tr>
                    <w:trPr>
                      <w:trHeight w:val="467" w:hRule="atLeast"/>
                    </w:trPr>
                    <w:tc>
                      <w:tcPr>
                        <w:tcW w:w="2654" w:type="dxa"/>
                        <w:tcBorders>
                          <w:right w:val="single" w:sz="4" w:space="0" w:color="000000"/>
                        </w:tcBorders>
                      </w:tcPr>
                      <w:p>
                        <w:pPr>
                          <w:pStyle w:val="TableParagraph"/>
                          <w:spacing w:before="99"/>
                          <w:ind w:left="101" w:right="86"/>
                          <w:jc w:val="center"/>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spacing w:before="111"/>
                          <w:ind w:right="102"/>
                          <w:rPr>
                            <w:sz w:val="21"/>
                          </w:rPr>
                        </w:pPr>
                        <w:r>
                          <w:rPr>
                            <w:sz w:val="21"/>
                          </w:rPr>
                          <w:t>0.80%</w:t>
                        </w:r>
                      </w:p>
                    </w:tc>
                    <w:tc>
                      <w:tcPr>
                        <w:tcW w:w="1542" w:type="dxa"/>
                        <w:tcBorders>
                          <w:left w:val="single" w:sz="4" w:space="0" w:color="000000"/>
                          <w:right w:val="single" w:sz="4" w:space="0" w:color="000000"/>
                        </w:tcBorders>
                      </w:tcPr>
                      <w:p>
                        <w:pPr>
                          <w:pStyle w:val="TableParagraph"/>
                          <w:spacing w:before="111"/>
                          <w:ind w:right="83"/>
                          <w:rPr>
                            <w:sz w:val="21"/>
                          </w:rPr>
                        </w:pPr>
                        <w:r>
                          <w:rPr>
                            <w:sz w:val="21"/>
                          </w:rPr>
                          <w:t>0.60%</w:t>
                        </w:r>
                      </w:p>
                    </w:tc>
                    <w:tc>
                      <w:tcPr>
                        <w:tcW w:w="1559" w:type="dxa"/>
                        <w:tcBorders>
                          <w:top w:val="single" w:sz="4" w:space="0" w:color="000000"/>
                          <w:left w:val="single" w:sz="4" w:space="0" w:color="000000"/>
                          <w:bottom w:val="single" w:sz="4" w:space="0" w:color="000000"/>
                        </w:tcBorders>
                      </w:tcPr>
                      <w:p>
                        <w:pPr>
                          <w:pStyle w:val="TableParagraph"/>
                          <w:spacing w:before="111"/>
                          <w:ind w:right="101"/>
                          <w:rPr>
                            <w:sz w:val="21"/>
                          </w:rPr>
                        </w:pPr>
                        <w:r>
                          <w:rPr>
                            <w:sz w:val="21"/>
                          </w:rPr>
                          <w:t>0.40%</w:t>
                        </w:r>
                      </w:p>
                    </w:tc>
                  </w:tr>
                  <w:tr>
                    <w:trPr>
                      <w:trHeight w:val="467" w:hRule="atLeast"/>
                    </w:trPr>
                    <w:tc>
                      <w:tcPr>
                        <w:tcW w:w="2654" w:type="dxa"/>
                        <w:tcBorders>
                          <w:right w:val="single" w:sz="4" w:space="0" w:color="000000"/>
                        </w:tcBorders>
                      </w:tcPr>
                      <w:p>
                        <w:pPr>
                          <w:pStyle w:val="TableParagraph"/>
                          <w:spacing w:before="99"/>
                          <w:ind w:left="101" w:right="145"/>
                          <w:jc w:val="center"/>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spacing w:before="111"/>
                          <w:ind w:right="102"/>
                          <w:rPr>
                            <w:sz w:val="21"/>
                          </w:rPr>
                        </w:pPr>
                        <w:r>
                          <w:rPr>
                            <w:sz w:val="21"/>
                          </w:rPr>
                          <w:t>992.06</w:t>
                        </w:r>
                      </w:p>
                    </w:tc>
                    <w:tc>
                      <w:tcPr>
                        <w:tcW w:w="1542" w:type="dxa"/>
                        <w:tcBorders>
                          <w:left w:val="single" w:sz="4" w:space="0" w:color="000000"/>
                          <w:right w:val="single" w:sz="4" w:space="0" w:color="000000"/>
                        </w:tcBorders>
                      </w:tcPr>
                      <w:p>
                        <w:pPr>
                          <w:pStyle w:val="TableParagraph"/>
                          <w:spacing w:before="111"/>
                          <w:ind w:right="84"/>
                          <w:rPr>
                            <w:sz w:val="21"/>
                          </w:rPr>
                        </w:pPr>
                        <w:r>
                          <w:rPr>
                            <w:sz w:val="21"/>
                          </w:rPr>
                          <w:t>497,017.89</w:t>
                        </w:r>
                      </w:p>
                    </w:tc>
                    <w:tc>
                      <w:tcPr>
                        <w:tcW w:w="1559" w:type="dxa"/>
                        <w:tcBorders>
                          <w:top w:val="single" w:sz="4" w:space="0" w:color="000000"/>
                          <w:left w:val="single" w:sz="4" w:space="0" w:color="000000"/>
                          <w:bottom w:val="single" w:sz="4" w:space="0" w:color="000000"/>
                        </w:tcBorders>
                      </w:tcPr>
                      <w:p>
                        <w:pPr>
                          <w:pStyle w:val="TableParagraph"/>
                          <w:spacing w:before="111"/>
                          <w:ind w:right="102"/>
                          <w:rPr>
                            <w:sz w:val="21"/>
                          </w:rPr>
                        </w:pPr>
                        <w:r>
                          <w:rPr>
                            <w:sz w:val="21"/>
                          </w:rPr>
                          <w:t>1,992,031.87</w:t>
                        </w:r>
                      </w:p>
                      <w:p>
                        <w:pPr>
                          <w:pStyle w:val="TableParagraph"/>
                          <w:spacing w:before="0"/>
                          <w:jc w:val="left"/>
                          <w:rPr>
                            <w:rFonts w:ascii="宋体"/>
                            <w:sz w:val="9"/>
                          </w:rPr>
                        </w:pPr>
                      </w:p>
                      <w:p>
                        <w:pPr>
                          <w:pStyle w:val="TableParagraph"/>
                          <w:spacing w:line="20" w:lineRule="exact" w:before="0"/>
                          <w:ind w:left="1550" w:right="-44"/>
                          <w:jc w:val="left"/>
                          <w:rPr>
                            <w:rFonts w:ascii="宋体"/>
                            <w:sz w:val="2"/>
                          </w:rPr>
                        </w:pPr>
                        <w:r>
                          <w:rPr>
                            <w:rFonts w:ascii="宋体"/>
                            <w:sz w:val="2"/>
                          </w:rPr>
                          <w:drawing>
                            <wp:inline distT="0" distB="0" distL="0" distR="0">
                              <wp:extent cx="3047" cy="6096"/>
                              <wp:effectExtent l="0" t="0" r="0" b="0"/>
                              <wp:docPr id="7" name="image14.png"/>
                              <wp:cNvGraphicFramePr>
                                <a:graphicFrameLocks noChangeAspect="1"/>
                              </wp:cNvGraphicFramePr>
                              <a:graphic>
                                <a:graphicData uri="http://schemas.openxmlformats.org/drawingml/2006/picture">
                                  <pic:pic>
                                    <pic:nvPicPr>
                                      <pic:cNvPr id="8" name="image14.png"/>
                                      <pic:cNvPicPr/>
                                    </pic:nvPicPr>
                                    <pic:blipFill>
                                      <a:blip r:embed="rId93"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2654" w:type="dxa"/>
                      </w:tcPr>
                      <w:p>
                        <w:pPr>
                          <w:pStyle w:val="TableParagraph"/>
                          <w:spacing w:before="79"/>
                          <w:ind w:left="216" w:right="203"/>
                          <w:jc w:val="center"/>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294" w:type="dxa"/>
                        <w:tcBorders>
                          <w:top w:val="single" w:sz="4" w:space="0" w:color="000000"/>
                          <w:bottom w:val="single" w:sz="4" w:space="0" w:color="000000"/>
                        </w:tcBorders>
                      </w:tcPr>
                      <w:p>
                        <w:pPr>
                          <w:pStyle w:val="TableParagraph"/>
                          <w:spacing w:before="90"/>
                          <w:ind w:right="107"/>
                          <w:rPr>
                            <w:sz w:val="21"/>
                          </w:rPr>
                        </w:pPr>
                        <w:r>
                          <w:rPr>
                            <w:sz w:val="21"/>
                          </w:rPr>
                          <w:t>7.94</w:t>
                        </w:r>
                      </w:p>
                    </w:tc>
                    <w:tc>
                      <w:tcPr>
                        <w:tcW w:w="1542" w:type="dxa"/>
                      </w:tcPr>
                      <w:p>
                        <w:pPr>
                          <w:pStyle w:val="TableParagraph"/>
                          <w:spacing w:before="90"/>
                          <w:ind w:right="89"/>
                          <w:rPr>
                            <w:sz w:val="21"/>
                          </w:rPr>
                        </w:pPr>
                        <w:r>
                          <w:rPr>
                            <w:sz w:val="21"/>
                          </w:rPr>
                          <w:t>2,982.11</w:t>
                        </w:r>
                      </w:p>
                    </w:tc>
                    <w:tc>
                      <w:tcPr>
                        <w:tcW w:w="1559" w:type="dxa"/>
                        <w:tcBorders>
                          <w:top w:val="single" w:sz="4" w:space="0" w:color="000000"/>
                          <w:bottom w:val="single" w:sz="4" w:space="0" w:color="000000"/>
                        </w:tcBorders>
                      </w:tcPr>
                      <w:p>
                        <w:pPr>
                          <w:pStyle w:val="TableParagraph"/>
                          <w:spacing w:before="90"/>
                          <w:ind w:right="102"/>
                          <w:rPr>
                            <w:sz w:val="21"/>
                          </w:rPr>
                        </w:pPr>
                        <w:r>
                          <w:rPr>
                            <w:sz w:val="21"/>
                          </w:rPr>
                          <w:t>7,968.13</w:t>
                        </w:r>
                      </w:p>
                      <w:p>
                        <w:pPr>
                          <w:pStyle w:val="TableParagraph"/>
                          <w:spacing w:before="0" w:after="1"/>
                          <w:jc w:val="left"/>
                          <w:rPr>
                            <w:rFonts w:ascii="宋体"/>
                            <w:sz w:val="9"/>
                          </w:rPr>
                        </w:pPr>
                      </w:p>
                      <w:p>
                        <w:pPr>
                          <w:pStyle w:val="TableParagraph"/>
                          <w:spacing w:line="20" w:lineRule="exact" w:before="0"/>
                          <w:ind w:left="1555" w:right="-44"/>
                          <w:jc w:val="left"/>
                          <w:rPr>
                            <w:rFonts w:ascii="宋体"/>
                            <w:sz w:val="2"/>
                          </w:rPr>
                        </w:pPr>
                        <w:r>
                          <w:rPr>
                            <w:rFonts w:ascii="宋体"/>
                            <w:sz w:val="2"/>
                          </w:rPr>
                          <w:drawing>
                            <wp:inline distT="0" distB="0" distL="0" distR="0">
                              <wp:extent cx="3047" cy="6096"/>
                              <wp:effectExtent l="0" t="0" r="0" b="0"/>
                              <wp:docPr id="9" name="image14.png"/>
                              <wp:cNvGraphicFramePr>
                                <a:graphicFrameLocks noChangeAspect="1"/>
                              </wp:cNvGraphicFramePr>
                              <a:graphic>
                                <a:graphicData uri="http://schemas.openxmlformats.org/drawingml/2006/picture">
                                  <pic:pic>
                                    <pic:nvPicPr>
                                      <pic:cNvPr id="10" name="image14.png"/>
                                      <pic:cNvPicPr/>
                                    </pic:nvPicPr>
                                    <pic:blipFill>
                                      <a:blip r:embed="rId93"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50" w:hRule="atLeast"/>
                    </w:trPr>
                    <w:tc>
                      <w:tcPr>
                        <w:tcW w:w="2654" w:type="dxa"/>
                      </w:tcPr>
                      <w:p>
                        <w:pPr>
                          <w:pStyle w:val="TableParagraph"/>
                          <w:spacing w:before="82"/>
                          <w:ind w:left="216" w:right="203"/>
                          <w:jc w:val="center"/>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tc>
                    <w:tc>
                      <w:tcPr>
                        <w:tcW w:w="1294" w:type="dxa"/>
                        <w:tcBorders>
                          <w:top w:val="single" w:sz="4" w:space="0" w:color="000000"/>
                          <w:bottom w:val="single" w:sz="4" w:space="0" w:color="000000"/>
                        </w:tcBorders>
                      </w:tcPr>
                      <w:p>
                        <w:pPr>
                          <w:pStyle w:val="TableParagraph"/>
                          <w:spacing w:before="93"/>
                          <w:ind w:right="107"/>
                          <w:rPr>
                            <w:sz w:val="21"/>
                          </w:rPr>
                        </w:pPr>
                        <w:r>
                          <w:rPr>
                            <w:sz w:val="21"/>
                          </w:rPr>
                          <w:t>1.2300</w:t>
                        </w:r>
                      </w:p>
                    </w:tc>
                    <w:tc>
                      <w:tcPr>
                        <w:tcW w:w="1542" w:type="dxa"/>
                      </w:tcPr>
                      <w:p>
                        <w:pPr>
                          <w:pStyle w:val="TableParagraph"/>
                          <w:spacing w:before="93"/>
                          <w:ind w:right="89"/>
                          <w:rPr>
                            <w:sz w:val="21"/>
                          </w:rPr>
                        </w:pPr>
                        <w:r>
                          <w:rPr>
                            <w:sz w:val="21"/>
                          </w:rPr>
                          <w:t>1.2300</w:t>
                        </w:r>
                      </w:p>
                    </w:tc>
                    <w:tc>
                      <w:tcPr>
                        <w:tcW w:w="1559" w:type="dxa"/>
                        <w:tcBorders>
                          <w:top w:val="single" w:sz="4" w:space="0" w:color="000000"/>
                          <w:bottom w:val="single" w:sz="4" w:space="0" w:color="000000"/>
                        </w:tcBorders>
                      </w:tcPr>
                      <w:p>
                        <w:pPr>
                          <w:pStyle w:val="TableParagraph"/>
                          <w:spacing w:before="93"/>
                          <w:ind w:right="102"/>
                          <w:rPr>
                            <w:sz w:val="21"/>
                          </w:rPr>
                        </w:pPr>
                        <w:r>
                          <w:rPr>
                            <w:sz w:val="21"/>
                          </w:rPr>
                          <w:t>1.2300</w:t>
                        </w:r>
                      </w:p>
                      <w:p>
                        <w:pPr>
                          <w:pStyle w:val="TableParagraph"/>
                          <w:spacing w:before="0" w:after="1"/>
                          <w:jc w:val="left"/>
                          <w:rPr>
                            <w:rFonts w:ascii="宋体"/>
                            <w:sz w:val="9"/>
                          </w:rPr>
                        </w:pPr>
                      </w:p>
                      <w:p>
                        <w:pPr>
                          <w:pStyle w:val="TableParagraph"/>
                          <w:spacing w:line="20" w:lineRule="exact" w:before="0"/>
                          <w:ind w:left="1555" w:right="-44"/>
                          <w:jc w:val="left"/>
                          <w:rPr>
                            <w:rFonts w:ascii="宋体"/>
                            <w:sz w:val="2"/>
                          </w:rPr>
                        </w:pPr>
                        <w:r>
                          <w:rPr>
                            <w:rFonts w:ascii="宋体"/>
                            <w:sz w:val="2"/>
                          </w:rPr>
                          <w:drawing>
                            <wp:inline distT="0" distB="0" distL="0" distR="0">
                              <wp:extent cx="2999" cy="6000"/>
                              <wp:effectExtent l="0" t="0" r="0" b="0"/>
                              <wp:docPr id="11" name="image14.png"/>
                              <wp:cNvGraphicFramePr>
                                <a:graphicFrameLocks noChangeAspect="1"/>
                              </wp:cNvGraphicFramePr>
                              <a:graphic>
                                <a:graphicData uri="http://schemas.openxmlformats.org/drawingml/2006/picture">
                                  <pic:pic>
                                    <pic:nvPicPr>
                                      <pic:cNvPr id="12" name="image14.png"/>
                                      <pic:cNvPicPr/>
                                    </pic:nvPicPr>
                                    <pic:blipFill>
                                      <a:blip r:embed="rId93" cstate="print"/>
                                      <a:stretch>
                                        <a:fillRect/>
                                      </a:stretch>
                                    </pic:blipFill>
                                    <pic:spPr>
                                      <a:xfrm>
                                        <a:off x="0" y="0"/>
                                        <a:ext cx="2999" cy="6000"/>
                                      </a:xfrm>
                                      <a:prstGeom prst="rect">
                                        <a:avLst/>
                                      </a:prstGeom>
                                    </pic:spPr>
                                  </pic:pic>
                                </a:graphicData>
                              </a:graphic>
                            </wp:inline>
                          </w:drawing>
                        </w:r>
                        <w:r>
                          <w:rPr>
                            <w:rFonts w:ascii="宋体"/>
                            <w:sz w:val="2"/>
                          </w:rPr>
                        </w:r>
                      </w:p>
                    </w:tc>
                  </w:tr>
                  <w:tr>
                    <w:trPr>
                      <w:trHeight w:val="447" w:hRule="atLeast"/>
                    </w:trPr>
                    <w:tc>
                      <w:tcPr>
                        <w:tcW w:w="2654" w:type="dxa"/>
                        <w:tcBorders>
                          <w:bottom w:val="single" w:sz="12" w:space="0" w:color="000000"/>
                        </w:tcBorders>
                      </w:tcPr>
                      <w:p>
                        <w:pPr>
                          <w:pStyle w:val="TableParagraph"/>
                          <w:spacing w:before="79"/>
                          <w:ind w:left="216" w:right="203"/>
                          <w:jc w:val="center"/>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tc>
                    <w:tc>
                      <w:tcPr>
                        <w:tcW w:w="1294" w:type="dxa"/>
                        <w:tcBorders>
                          <w:top w:val="single" w:sz="4" w:space="0" w:color="000000"/>
                          <w:bottom w:val="single" w:sz="12" w:space="0" w:color="000000"/>
                        </w:tcBorders>
                      </w:tcPr>
                      <w:p>
                        <w:pPr>
                          <w:pStyle w:val="TableParagraph"/>
                          <w:spacing w:before="90"/>
                          <w:ind w:right="107"/>
                          <w:rPr>
                            <w:sz w:val="21"/>
                          </w:rPr>
                        </w:pPr>
                        <w:r>
                          <w:rPr>
                            <w:sz w:val="21"/>
                          </w:rPr>
                          <w:t>806.55</w:t>
                        </w:r>
                      </w:p>
                    </w:tc>
                    <w:tc>
                      <w:tcPr>
                        <w:tcW w:w="1542" w:type="dxa"/>
                        <w:tcBorders>
                          <w:bottom w:val="single" w:sz="12" w:space="0" w:color="000000"/>
                        </w:tcBorders>
                      </w:tcPr>
                      <w:p>
                        <w:pPr>
                          <w:pStyle w:val="TableParagraph"/>
                          <w:spacing w:before="90"/>
                          <w:ind w:right="89"/>
                          <w:rPr>
                            <w:sz w:val="21"/>
                          </w:rPr>
                        </w:pPr>
                        <w:r>
                          <w:rPr>
                            <w:sz w:val="21"/>
                          </w:rPr>
                          <w:t>404,079.59</w:t>
                        </w:r>
                      </w:p>
                    </w:tc>
                    <w:tc>
                      <w:tcPr>
                        <w:tcW w:w="1559" w:type="dxa"/>
                        <w:tcBorders>
                          <w:top w:val="single" w:sz="4" w:space="0" w:color="000000"/>
                          <w:bottom w:val="single" w:sz="12" w:space="0" w:color="000000"/>
                        </w:tcBorders>
                      </w:tcPr>
                      <w:p>
                        <w:pPr>
                          <w:pStyle w:val="TableParagraph"/>
                          <w:spacing w:before="90"/>
                          <w:ind w:right="102"/>
                          <w:rPr>
                            <w:sz w:val="21"/>
                          </w:rPr>
                        </w:pPr>
                        <w:r>
                          <w:rPr>
                            <w:sz w:val="21"/>
                          </w:rPr>
                          <w:t>1,619,538.11</w:t>
                        </w:r>
                      </w:p>
                    </w:tc>
                  </w:tr>
                </w:tbl>
                <w:p>
                  <w:pPr>
                    <w:pStyle w:val="BodyText"/>
                  </w:pPr>
                </w:p>
              </w:txbxContent>
            </v:textbox>
            <w10:wrap type="none"/>
          </v:shape>
        </w:pict>
      </w:r>
      <w:r>
        <w:rPr/>
        <w:t>例一：假定</w:t>
      </w:r>
      <w:r>
        <w:rPr>
          <w:rFonts w:ascii="Times New Roman" w:eastAsia="Times New Roman"/>
        </w:rPr>
        <w:t>T</w:t>
      </w:r>
      <w:r>
        <w:rPr/>
        <w:t>日的</w:t>
      </w:r>
      <w:r>
        <w:rPr>
          <w:rFonts w:ascii="Times New Roman" w:eastAsia="Times New Roman"/>
        </w:rPr>
        <w:t>A</w:t>
      </w:r>
      <w:r>
        <w:rPr/>
        <w:t>类基金份额净值为</w:t>
      </w:r>
      <w:r>
        <w:rPr>
          <w:rFonts w:ascii="Times New Roman" w:eastAsia="Times New Roman"/>
        </w:rPr>
        <w:t>1.2300</w:t>
      </w:r>
      <w:r>
        <w:rPr/>
        <w:t>元，四笔申购金额分别为</w:t>
      </w:r>
      <w:r>
        <w:rPr>
          <w:rFonts w:ascii="Times New Roman" w:eastAsia="Times New Roman"/>
        </w:rPr>
        <w:t>1,000.00</w:t>
      </w:r>
      <w:r>
        <w:rPr/>
        <w:t>元、</w:t>
      </w:r>
      <w:r>
        <w:rPr>
          <w:rFonts w:ascii="Times New Roman" w:eastAsia="Times New Roman"/>
        </w:rPr>
        <w:t>50</w:t>
      </w:r>
      <w:r>
        <w:rPr/>
        <w:t>万元、</w:t>
      </w:r>
      <w:r>
        <w:rPr>
          <w:rFonts w:ascii="Times New Roman" w:eastAsia="Times New Roman"/>
        </w:rPr>
        <w:t>200</w:t>
      </w:r>
      <w:r>
        <w:rPr/>
        <w:t>万元和</w:t>
      </w:r>
      <w:r>
        <w:rPr>
          <w:rFonts w:ascii="Times New Roman" w:eastAsia="Times New Roman"/>
        </w:rPr>
        <w:t>500</w:t>
      </w:r>
      <w:r>
        <w:rPr/>
        <w:t>万元，则各笔申购负担的前端申购费用和获得的基金份额计算如下：</w:t>
      </w:r>
    </w:p>
    <w:p>
      <w:pPr>
        <w:pStyle w:val="BodyText"/>
        <w:spacing w:before="12"/>
        <w:rPr>
          <w:sz w:val="27"/>
        </w:rPr>
      </w:pPr>
      <w:r>
        <w:rPr/>
        <w:pict>
          <v:group style="position:absolute;margin-left:121.580002pt;margin-top:19.858749pt;width:132.75pt;height:25.45pt;mso-position-horizontal-relative:page;mso-position-vertical-relative:paragraph;z-index:-251632640;mso-wrap-distance-left:0;mso-wrap-distance-right:0" coordorigin="2432,397" coordsize="2655,509">
            <v:shape style="position:absolute;left:5077;top:397;width:10;height:464" type="#_x0000_t75" stroked="false">
              <v:imagedata r:id="rId94" o:title=""/>
            </v:shape>
            <v:shape style="position:absolute;left:2431;top:860;width:2655;height:46" type="#_x0000_t75" stroked="false">
              <v:imagedata r:id="rId95" o:title=""/>
            </v:shape>
            <w10:wrap type="topAndBottom"/>
          </v:group>
        </w:pict>
      </w:r>
      <w:r>
        <w:rPr/>
        <w:pict>
          <v:group style="position:absolute;margin-left:318.190002pt;margin-top:19.858749pt;width:78.5pt;height:25.45pt;mso-position-horizontal-relative:page;mso-position-vertical-relative:paragraph;z-index:-251631616;mso-wrap-distance-left:0;mso-wrap-distance-right:0" coordorigin="6364,397" coordsize="1570,509">
            <v:shape style="position:absolute;left:6363;top:397;width:10;height:32" type="#_x0000_t75" stroked="false">
              <v:imagedata r:id="rId86" o:title=""/>
            </v:shape>
            <v:shape style="position:absolute;left:6363;top:428;width:10;height:432" type="#_x0000_t75" stroked="false">
              <v:imagedata r:id="rId96" o:title=""/>
            </v:shape>
            <v:shape style="position:absolute;left:7923;top:397;width:10;height:32" type="#_x0000_t75" stroked="false">
              <v:imagedata r:id="rId86" o:title=""/>
            </v:shape>
            <v:shape style="position:absolute;left:7923;top:428;width:10;height:432" type="#_x0000_t75" stroked="false">
              <v:imagedata r:id="rId96" o:title=""/>
            </v:shape>
            <v:shape style="position:absolute;left:6373;top:896;width:1536;height:10" type="#_x0000_t75" stroked="false">
              <v:imagedata r:id="rId97" o:title=""/>
            </v:shape>
            <w10:wrap type="topAndBottom"/>
          </v:group>
        </w:pict>
      </w:r>
      <w:r>
        <w:rPr/>
        <w:drawing>
          <wp:anchor distT="0" distB="0" distL="0" distR="0" allowOverlap="1" layoutInCell="1" locked="0" behindDoc="0" simplePos="0" relativeHeight="27">
            <wp:simplePos x="0" y="0"/>
            <wp:positionH relativeFrom="page">
              <wp:posOffset>6013450</wp:posOffset>
            </wp:positionH>
            <wp:positionV relativeFrom="paragraph">
              <wp:posOffset>569198</wp:posOffset>
            </wp:positionV>
            <wp:extent cx="3047" cy="6096"/>
            <wp:effectExtent l="0" t="0" r="0" b="0"/>
            <wp:wrapTopAndBottom/>
            <wp:docPr id="13" name="image14.png"/>
            <wp:cNvGraphicFramePr>
              <a:graphicFrameLocks noChangeAspect="1"/>
            </wp:cNvGraphicFramePr>
            <a:graphic>
              <a:graphicData uri="http://schemas.openxmlformats.org/drawingml/2006/picture">
                <pic:pic>
                  <pic:nvPicPr>
                    <pic:cNvPr id="14" name="image14.png"/>
                    <pic:cNvPicPr/>
                  </pic:nvPicPr>
                  <pic:blipFill>
                    <a:blip r:embed="rId93" cstate="print"/>
                    <a:stretch>
                      <a:fillRect/>
                    </a:stretch>
                  </pic:blipFill>
                  <pic:spPr>
                    <a:xfrm>
                      <a:off x="0" y="0"/>
                      <a:ext cx="3047" cy="6096"/>
                    </a:xfrm>
                    <a:prstGeom prst="rect">
                      <a:avLst/>
                    </a:prstGeom>
                  </pic:spPr>
                </pic:pic>
              </a:graphicData>
            </a:graphic>
          </wp:anchor>
        </w:drawing>
      </w:r>
    </w:p>
    <w:p>
      <w:pPr>
        <w:pStyle w:val="BodyText"/>
        <w:rPr>
          <w:sz w:val="20"/>
        </w:rPr>
      </w:pPr>
    </w:p>
    <w:p>
      <w:pPr>
        <w:pStyle w:val="BodyText"/>
        <w:spacing w:before="2"/>
        <w:rPr>
          <w:sz w:val="11"/>
        </w:rPr>
      </w:pPr>
      <w:r>
        <w:rPr/>
        <w:drawing>
          <wp:anchor distT="0" distB="0" distL="0" distR="0" allowOverlap="1" layoutInCell="1" locked="0" behindDoc="0" simplePos="0" relativeHeight="28">
            <wp:simplePos x="0" y="0"/>
            <wp:positionH relativeFrom="page">
              <wp:posOffset>1544066</wp:posOffset>
            </wp:positionH>
            <wp:positionV relativeFrom="paragraph">
              <wp:posOffset>116045</wp:posOffset>
            </wp:positionV>
            <wp:extent cx="1679689" cy="6096"/>
            <wp:effectExtent l="0" t="0" r="0" b="0"/>
            <wp:wrapTopAndBottom/>
            <wp:docPr id="15" name="image19.png"/>
            <wp:cNvGraphicFramePr>
              <a:graphicFrameLocks noChangeAspect="1"/>
            </wp:cNvGraphicFramePr>
            <a:graphic>
              <a:graphicData uri="http://schemas.openxmlformats.org/drawingml/2006/picture">
                <pic:pic>
                  <pic:nvPicPr>
                    <pic:cNvPr id="16" name="image19.png"/>
                    <pic:cNvPicPr/>
                  </pic:nvPicPr>
                  <pic:blipFill>
                    <a:blip r:embed="rId98" cstate="print"/>
                    <a:stretch>
                      <a:fillRect/>
                    </a:stretch>
                  </pic:blipFill>
                  <pic:spPr>
                    <a:xfrm>
                      <a:off x="0" y="0"/>
                      <a:ext cx="1679689" cy="6096"/>
                    </a:xfrm>
                    <a:prstGeom prst="rect">
                      <a:avLst/>
                    </a:prstGeom>
                  </pic:spPr>
                </pic:pic>
              </a:graphicData>
            </a:graphic>
          </wp:anchor>
        </w:drawing>
      </w:r>
      <w:r>
        <w:rPr/>
        <w:drawing>
          <wp:anchor distT="0" distB="0" distL="0" distR="0" allowOverlap="1" layoutInCell="1" locked="0" behindDoc="0" simplePos="0" relativeHeight="29">
            <wp:simplePos x="0" y="0"/>
            <wp:positionH relativeFrom="page">
              <wp:posOffset>4047109</wp:posOffset>
            </wp:positionH>
            <wp:positionV relativeFrom="paragraph">
              <wp:posOffset>116045</wp:posOffset>
            </wp:positionV>
            <wp:extent cx="975278" cy="6096"/>
            <wp:effectExtent l="0" t="0" r="0" b="0"/>
            <wp:wrapTopAndBottom/>
            <wp:docPr id="17" name="image18.png"/>
            <wp:cNvGraphicFramePr>
              <a:graphicFrameLocks noChangeAspect="1"/>
            </wp:cNvGraphicFramePr>
            <a:graphic>
              <a:graphicData uri="http://schemas.openxmlformats.org/drawingml/2006/picture">
                <pic:pic>
                  <pic:nvPicPr>
                    <pic:cNvPr id="18" name="image18.png"/>
                    <pic:cNvPicPr/>
                  </pic:nvPicPr>
                  <pic:blipFill>
                    <a:blip r:embed="rId97" cstate="print"/>
                    <a:stretch>
                      <a:fillRect/>
                    </a:stretch>
                  </pic:blipFill>
                  <pic:spPr>
                    <a:xfrm>
                      <a:off x="0" y="0"/>
                      <a:ext cx="975278" cy="6096"/>
                    </a:xfrm>
                    <a:prstGeom prst="rect">
                      <a:avLst/>
                    </a:prstGeom>
                  </pic:spPr>
                </pic:pic>
              </a:graphicData>
            </a:graphic>
          </wp:anchor>
        </w:drawing>
      </w:r>
      <w:r>
        <w:rPr/>
        <w:drawing>
          <wp:anchor distT="0" distB="0" distL="0" distR="0" allowOverlap="1" layoutInCell="1" locked="0" behindDoc="0" simplePos="0" relativeHeight="30">
            <wp:simplePos x="0" y="0"/>
            <wp:positionH relativeFrom="page">
              <wp:posOffset>6013450</wp:posOffset>
            </wp:positionH>
            <wp:positionV relativeFrom="paragraph">
              <wp:posOffset>116045</wp:posOffset>
            </wp:positionV>
            <wp:extent cx="3047" cy="6096"/>
            <wp:effectExtent l="0" t="0" r="0" b="0"/>
            <wp:wrapTopAndBottom/>
            <wp:docPr id="19" name="image14.png"/>
            <wp:cNvGraphicFramePr>
              <a:graphicFrameLocks noChangeAspect="1"/>
            </wp:cNvGraphicFramePr>
            <a:graphic>
              <a:graphicData uri="http://schemas.openxmlformats.org/drawingml/2006/picture">
                <pic:pic>
                  <pic:nvPicPr>
                    <pic:cNvPr id="20" name="image14.png"/>
                    <pic:cNvPicPr/>
                  </pic:nvPicPr>
                  <pic:blipFill>
                    <a:blip r:embed="rId93" cstate="print"/>
                    <a:stretch>
                      <a:fillRect/>
                    </a:stretch>
                  </pic:blipFill>
                  <pic:spPr>
                    <a:xfrm>
                      <a:off x="0" y="0"/>
                      <a:ext cx="3047" cy="6096"/>
                    </a:xfrm>
                    <a:prstGeom prst="rect">
                      <a:avLst/>
                    </a:prstGeom>
                  </pic:spPr>
                </pic:pic>
              </a:graphicData>
            </a:graphic>
          </wp:anchor>
        </w:drawing>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4"/>
        </w:rPr>
      </w:pPr>
    </w:p>
    <w:p>
      <w:pPr>
        <w:pStyle w:val="BodyText"/>
        <w:spacing w:line="417" w:lineRule="auto"/>
        <w:ind w:left="540" w:right="313" w:firstLine="419"/>
      </w:pPr>
      <w:r>
        <w:rPr/>
        <w:pict>
          <v:group style="position:absolute;margin-left:121.580002pt;margin-top:-78.210045pt;width:132.75pt;height:71.8pt;mso-position-horizontal-relative:page;mso-position-vertical-relative:paragraph;z-index:251689984" coordorigin="2432,-1564" coordsize="2655,1436">
            <v:shape style="position:absolute;left:2431;top:-1565;width:2646;height:10" type="#_x0000_t75" stroked="false">
              <v:imagedata r:id="rId98" o:title=""/>
            </v:shape>
            <v:shape style="position:absolute;left:2431;top:-1555;width:2655;height:478" type="#_x0000_t75" stroked="false">
              <v:imagedata r:id="rId99" o:title=""/>
            </v:shape>
            <v:shape style="position:absolute;left:2431;top:-1077;width:2655;height:481" type="#_x0000_t75" stroked="false">
              <v:imagedata r:id="rId100" o:title=""/>
            </v:shape>
            <v:shape style="position:absolute;left:5077;top:-597;width:10;height:468" type="#_x0000_t75" stroked="false">
              <v:imagedata r:id="rId101" o:title=""/>
            </v:shape>
            <w10:wrap type="none"/>
          </v:group>
        </w:pict>
      </w:r>
      <w:r>
        <w:rPr/>
        <w:pict>
          <v:group style="position:absolute;margin-left:318.190002pt;margin-top:-78.210045pt;width:78.5pt;height:71.8pt;mso-position-horizontal-relative:page;mso-position-vertical-relative:paragraph;z-index:251691008" coordorigin="6364,-1564" coordsize="1570,1436">
            <v:shape style="position:absolute;left:6363;top:-1565;width:1570;height:478" type="#_x0000_t75" stroked="false">
              <v:imagedata r:id="rId102" o:title=""/>
            </v:shape>
            <v:shape style="position:absolute;left:6363;top:-1087;width:1570;height:481" type="#_x0000_t75" stroked="false">
              <v:imagedata r:id="rId103" o:title=""/>
            </v:shape>
            <v:shape style="position:absolute;left:6363;top:-606;width:1546;height:478" type="#_x0000_t75" stroked="false">
              <v:imagedata r:id="rId104" o:title=""/>
            </v:shape>
            <v:shape style="position:absolute;left:7923;top:-597;width:10;height:468" type="#_x0000_t75" stroked="false">
              <v:imagedata r:id="rId101" o:title=""/>
            </v:shape>
            <w10:wrap type="none"/>
          </v:group>
        </w:pict>
      </w:r>
      <w:r>
        <w:rPr/>
        <w:drawing>
          <wp:anchor distT="0" distB="0" distL="0" distR="0" allowOverlap="1" layoutInCell="1" locked="0" behindDoc="0" simplePos="0" relativeHeight="251692032">
            <wp:simplePos x="0" y="0"/>
            <wp:positionH relativeFrom="page">
              <wp:posOffset>6013450</wp:posOffset>
            </wp:positionH>
            <wp:positionV relativeFrom="paragraph">
              <wp:posOffset>-993267</wp:posOffset>
            </wp:positionV>
            <wp:extent cx="3047" cy="6096"/>
            <wp:effectExtent l="0" t="0" r="0" b="0"/>
            <wp:wrapNone/>
            <wp:docPr id="21" name="image14.png"/>
            <wp:cNvGraphicFramePr>
              <a:graphicFrameLocks noChangeAspect="1"/>
            </wp:cNvGraphicFramePr>
            <a:graphic>
              <a:graphicData uri="http://schemas.openxmlformats.org/drawingml/2006/picture">
                <pic:pic>
                  <pic:nvPicPr>
                    <pic:cNvPr id="22" name="image14.png"/>
                    <pic:cNvPicPr/>
                  </pic:nvPicPr>
                  <pic:blipFill>
                    <a:blip r:embed="rId93" cstate="print"/>
                    <a:stretch>
                      <a:fillRect/>
                    </a:stretch>
                  </pic:blipFill>
                  <pic:spPr>
                    <a:xfrm>
                      <a:off x="0" y="0"/>
                      <a:ext cx="3047" cy="6096"/>
                    </a:xfrm>
                    <a:prstGeom prst="rect">
                      <a:avLst/>
                    </a:prstGeom>
                  </pic:spPr>
                </pic:pic>
              </a:graphicData>
            </a:graphic>
          </wp:anchor>
        </w:drawing>
      </w:r>
      <w:r>
        <w:rPr/>
        <w:drawing>
          <wp:anchor distT="0" distB="0" distL="0" distR="0" allowOverlap="1" layoutInCell="1" locked="0" behindDoc="0" simplePos="0" relativeHeight="251693056">
            <wp:simplePos x="0" y="0"/>
            <wp:positionH relativeFrom="page">
              <wp:posOffset>6013450</wp:posOffset>
            </wp:positionH>
            <wp:positionV relativeFrom="paragraph">
              <wp:posOffset>-689991</wp:posOffset>
            </wp:positionV>
            <wp:extent cx="3047" cy="6096"/>
            <wp:effectExtent l="0" t="0" r="0" b="0"/>
            <wp:wrapNone/>
            <wp:docPr id="23" name="image14.png"/>
            <wp:cNvGraphicFramePr>
              <a:graphicFrameLocks noChangeAspect="1"/>
            </wp:cNvGraphicFramePr>
            <a:graphic>
              <a:graphicData uri="http://schemas.openxmlformats.org/drawingml/2006/picture">
                <pic:pic>
                  <pic:nvPicPr>
                    <pic:cNvPr id="24" name="image14.png"/>
                    <pic:cNvPicPr/>
                  </pic:nvPicPr>
                  <pic:blipFill>
                    <a:blip r:embed="rId93" cstate="print"/>
                    <a:stretch>
                      <a:fillRect/>
                    </a:stretch>
                  </pic:blipFill>
                  <pic:spPr>
                    <a:xfrm>
                      <a:off x="0" y="0"/>
                      <a:ext cx="3047" cy="6096"/>
                    </a:xfrm>
                    <a:prstGeom prst="rect">
                      <a:avLst/>
                    </a:prstGeom>
                  </pic:spPr>
                </pic:pic>
              </a:graphicData>
            </a:graphic>
          </wp:anchor>
        </w:drawing>
      </w:r>
      <w:r>
        <w:rPr/>
        <w:drawing>
          <wp:anchor distT="0" distB="0" distL="0" distR="0" allowOverlap="1" layoutInCell="1" locked="0" behindDoc="0" simplePos="0" relativeHeight="251694080">
            <wp:simplePos x="0" y="0"/>
            <wp:positionH relativeFrom="page">
              <wp:posOffset>6013450</wp:posOffset>
            </wp:positionH>
            <wp:positionV relativeFrom="paragraph">
              <wp:posOffset>-384810</wp:posOffset>
            </wp:positionV>
            <wp:extent cx="3047" cy="6095"/>
            <wp:effectExtent l="0" t="0" r="0" b="0"/>
            <wp:wrapNone/>
            <wp:docPr id="25" name="image14.png"/>
            <wp:cNvGraphicFramePr>
              <a:graphicFrameLocks noChangeAspect="1"/>
            </wp:cNvGraphicFramePr>
            <a:graphic>
              <a:graphicData uri="http://schemas.openxmlformats.org/drawingml/2006/picture">
                <pic:pic>
                  <pic:nvPicPr>
                    <pic:cNvPr id="26" name="image14.png"/>
                    <pic:cNvPicPr/>
                  </pic:nvPicPr>
                  <pic:blipFill>
                    <a:blip r:embed="rId93" cstate="print"/>
                    <a:stretch>
                      <a:fillRect/>
                    </a:stretch>
                  </pic:blipFill>
                  <pic:spPr>
                    <a:xfrm>
                      <a:off x="0" y="0"/>
                      <a:ext cx="3047" cy="6095"/>
                    </a:xfrm>
                    <a:prstGeom prst="rect">
                      <a:avLst/>
                    </a:prstGeom>
                  </pic:spPr>
                </pic:pic>
              </a:graphicData>
            </a:graphic>
          </wp:anchor>
        </w:drawing>
      </w:r>
      <w:r>
        <w:rPr/>
        <w:pict>
          <v:group style="position:absolute;margin-left:203.210007pt;margin-top:41.819992pt;width:188.35pt;height:99.15pt;mso-position-horizontal-relative:page;mso-position-vertical-relative:paragraph;z-index:-258938880" coordorigin="4064,836" coordsize="3767,1983">
            <v:line style="position:absolute" from="4079,851" to="6147,851" stroked="true" strokeweight="1.44pt" strokecolor="#000000">
              <v:stroke dashstyle="solid"/>
            </v:line>
            <v:shape style="position:absolute;left:6147;top:865;width:10;height:3" type="#_x0000_t75" stroked="false">
              <v:imagedata r:id="rId93" o:title=""/>
            </v:shape>
            <v:rect style="position:absolute;left:6147;top:836;width:29;height:29" filled="true" fillcolor="#000000" stroked="false">
              <v:fill type="solid"/>
            </v:rect>
            <v:line style="position:absolute" from="6176,851" to="7830,851" stroked="true" strokeweight="1.44pt" strokecolor="#000000">
              <v:stroke dashstyle="solid"/>
            </v:line>
            <v:shape style="position:absolute;left:6147;top:867;width:10;height:432" coordorigin="6147,868" coordsize="10,432" path="m6157,868l6147,868,6147,916,6147,964,6147,1300,6157,1300,6157,916,6157,868e" filled="true" fillcolor="#000000" stroked="false">
              <v:path arrowok="t"/>
              <v:fill type="solid"/>
            </v:shape>
            <v:shape style="position:absolute;left:6147;top:1299;width:10;height:36" type="#_x0000_t75" stroked="false">
              <v:imagedata r:id="rId105" o:title=""/>
            </v:shape>
            <v:line style="position:absolute" from="4079,1350" to="6147,1350" stroked="true" strokeweight="1.44pt" strokecolor="#000000">
              <v:stroke dashstyle="solid"/>
            </v:line>
            <v:line style="position:absolute" from="6157,1350" to="7830,1350" stroked="true" strokeweight="1.44pt" strokecolor="#000000">
              <v:stroke dashstyle="solid"/>
            </v:line>
            <v:shape style="position:absolute;left:6147;top:1335;width:10;height:497" type="#_x0000_t75" stroked="false">
              <v:imagedata r:id="rId106" o:title=""/>
            </v:shape>
            <v:shape style="position:absolute;left:4078;top:1832;width:3752;height:394" coordorigin="4079,1832" coordsize="3752,394" path="m5279,1832l5231,1832,5183,1832,5135,1832,5087,1832,5039,1832,4991,1832,4943,1832,4895,1832,4847,1832,4799,1832,4751,1832,4703,1832,4655,1832,4607,1832,4559,1832,4511,1832,4463,1832,4415,1832,4367,1832,4319,1832,4271,1832,4223,1832,4175,1832,4127,1832,4079,1832,4079,1842,4127,1842,4175,1842,4223,1842,4271,1842,4319,1842,4367,1842,4415,1842,4463,1842,4511,1842,4559,1842,4607,1842,4655,1842,4703,1842,4751,1842,4799,1842,4847,1842,4895,1842,4943,1842,4991,1842,5039,1842,5087,1842,5135,1842,5183,1842,5231,1842,5279,1842,5279,1832m5375,1832l5327,1832,5279,1832,5279,1842,5327,1842,5375,1842,5375,1832m5519,1832l5471,1832,5423,1832,5375,1832,5375,1842,5423,1842,5471,1842,5519,1842,5519,1832m5615,1832l5567,1832,5519,1832,5519,1842,5567,1842,5615,1842,5615,1832m5759,1832l5711,1832,5663,1832,5615,1832,5615,1842,5663,1842,5711,1842,5759,1842,5759,1832m5855,1832l5807,1832,5759,1832,5759,1842,5807,1842,5855,1842,5855,1832m5999,1832l5951,1832,5903,1832,5855,1832,5855,1842,5903,1842,5951,1842,5999,1842,5999,1832m6095,1832l6047,1832,5999,1832,5999,1842,6047,1842,6095,1842,6095,1832m6157,1832l6147,1832,6143,1832,6095,1832,6095,1842,6143,1842,6147,1842,6147,1890,6147,1938,6147,1986,6147,2034,6147,2082,6147,2130,6147,2178,6147,2226,6157,2226,6157,2178,6157,2130,6157,2082,6157,2034,6157,1986,6157,1938,6157,1890,6157,1842,6157,1832m6301,1832l6253,1832,6205,1832,6157,1832,6157,1842,6205,1842,6253,1842,6301,1842,6301,1832m6493,1832l6445,1832,6397,1832,6349,1832,6349,1832,6301,1832,6301,1842,6349,1842,6349,1842,6397,1842,6445,1842,6493,1842,6493,1832m6589,1832l6541,1832,6493,1832,6493,1842,6541,1842,6589,1842,6589,1832m6733,1832l6685,1832,6637,1832,6589,1832,6589,1842,6637,1842,6685,1842,6733,1842,6733,1832m6829,1832l6781,1832,6733,1832,6733,1842,6781,1842,6829,1842,6829,1832m6973,1832l6925,1832,6877,1832,6829,1832,6829,1842,6877,1842,6925,1842,6973,1842,6973,1832m7069,1832l7021,1832,6973,1832,6973,1842,7021,1842,7069,1842,7069,1832m7213,1832l7165,1832,7117,1832,7069,1832,7069,1842,7117,1842,7165,1842,7213,1842,7213,1832m7309,1832l7261,1832,7213,1832,7213,1842,7261,1842,7309,1842,7309,1832m7453,1832l7405,1832,7357,1832,7309,1832,7309,1842,7357,1842,7405,1842,7453,1842,7453,1832m7549,1832l7501,1832,7453,1832,7453,1842,7501,1842,7549,1842,7549,1832m7693,1832l7645,1832,7597,1832,7549,1832,7549,1842,7597,1842,7645,1842,7693,1842,7693,1832m7789,1832l7741,1832,7693,1832,7693,1842,7741,1842,7789,1842,7789,1832m7830,1832l7789,1832,7789,1842,7830,1842,7830,1832e" filled="true" fillcolor="#000000" stroked="false">
              <v:path arrowok="t"/>
              <v:fill type="solid"/>
            </v:shape>
            <v:shape style="position:absolute;left:6152;top:1842;width:2;height:469" coordorigin="6152,1842" coordsize="0,469" path="m6152,2310l6152,1842,6152,2310xe" filled="true" fillcolor="#000000" stroked="false">
              <v:path arrowok="t"/>
              <v:fill type="solid"/>
            </v:shape>
            <v:shape style="position:absolute;left:4078;top:2310;width:3752;height:10" coordorigin="4079,2310" coordsize="3752,10" path="m5279,2310l5231,2310,5183,2310,5135,2310,5087,2310,5039,2310,4991,2310,4943,2310,4895,2310,4847,2310,4799,2310,4751,2310,4703,2310,4655,2310,4607,2310,4559,2310,4511,2310,4463,2310,4415,2310,4367,2310,4319,2310,4271,2310,4223,2310,4175,2310,4127,2310,4079,2310,4079,2320,4127,2320,4175,2320,4223,2320,4271,2320,4319,2320,4367,2320,4415,2320,4463,2320,4511,2320,4559,2320,4607,2320,4655,2320,4703,2320,4751,2320,4799,2320,4847,2320,4895,2320,4943,2320,4991,2320,5039,2320,5087,2320,5135,2320,5183,2320,5231,2320,5279,2320,5279,2310m5375,2310l5327,2310,5279,2310,5279,2320,5327,2320,5375,2320,5375,2310m5519,2310l5471,2310,5423,2310,5375,2310,5375,2320,5423,2320,5471,2320,5519,2320,5519,2310m5615,2310l5567,2310,5519,2310,5519,2320,5567,2320,5615,2320,5615,2310m5759,2310l5711,2310,5663,2310,5615,2310,5615,2320,5663,2320,5711,2320,5759,2320,5759,2310m5855,2310l5807,2310,5759,2310,5759,2320,5807,2320,5855,2320,5855,2310m5999,2310l5951,2310,5903,2310,5855,2310,5855,2320,5903,2320,5951,2320,5999,2320,5999,2310m6095,2310l6047,2310,5999,2310,5999,2320,6047,2320,6095,2320,6095,2310m6157,2310l6147,2310,6143,2310,6095,2310,6095,2320,6143,2320,6147,2320,6157,2320,6157,2310m6301,2310l6253,2310,6205,2310,6157,2310,6157,2320,6205,2320,6253,2320,6301,2320,6301,2310m6493,2310l6445,2310,6397,2310,6349,2310,6349,2310,6301,2310,6301,2320,6349,2320,6349,2320,6397,2320,6445,2320,6493,2320,6493,2310m6589,2310l6541,2310,6493,2310,6493,2320,6541,2320,6589,2320,6589,2310m6733,2310l6685,2310,6637,2310,6589,2310,6589,2320,6637,2320,6685,2320,6733,2320,6733,2310m6829,2310l6781,2310,6733,2310,6733,2320,6781,2320,6829,2320,6829,2310m6973,2310l6925,2310,6877,2310,6829,2310,6829,2320,6877,2320,6925,2320,6973,2320,6973,2310m7069,2310l7021,2310,6973,2310,6973,2320,7021,2320,7069,2320,7069,2310m7213,2310l7165,2310,7117,2310,7069,2310,7069,2320,7117,2320,7165,2320,7213,2320,7213,2310m7309,2310l7261,2310,7213,2310,7213,2320,7261,2320,7309,2320,7309,2310m7453,2310l7405,2310,7357,2310,7309,2310,7309,2320,7357,2320,7405,2320,7453,2320,7453,2310m7549,2310l7501,2310,7453,2310,7453,2320,7501,2320,7549,2320,7549,2310m7693,2310l7645,2310,7597,2310,7549,2310,7549,2320,7597,2320,7645,2320,7693,2320,7693,2310m7789,2310l7741,2310,7693,2310,7693,2320,7741,2320,7789,2320,7789,2310m7830,2310l7789,2310,7789,2320,7830,2320,7830,2310e" filled="true" fillcolor="#000000" stroked="false">
              <v:path arrowok="t"/>
              <v:fill type="solid"/>
            </v:shape>
            <v:line style="position:absolute" from="4064,2805" to="6147,2805" stroked="true" strokeweight="1.44pt" strokecolor="#000000">
              <v:stroke dashstyle="solid"/>
            </v:line>
            <v:shape style="position:absolute;left:6147;top:2320;width:10;height:471" type="#_x0000_t75" stroked="false">
              <v:imagedata r:id="rId107" o:title=""/>
            </v:shape>
            <v:rect style="position:absolute;left:6147;top:2790;width:29;height:29" filled="true" fillcolor="#000000" stroked="false">
              <v:fill type="solid"/>
            </v:rect>
            <v:line style="position:absolute" from="6176,2805" to="7830,2805" stroked="true" strokeweight="1.44pt" strokecolor="#000000">
              <v:stroke dashstyle="solid"/>
            </v:line>
            <v:shape style="position:absolute;left:6726;top:989;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4</w:t>
                    </w:r>
                  </w:p>
                </w:txbxContent>
              </v:textbox>
              <w10:wrap type="none"/>
            </v:shape>
            <v:shape style="position:absolute;left:4109;top:1485;width:1796;height:234" type="#_x0000_t202" filled="false" stroked="false">
              <v:textbox inset="0,0,0,0">
                <w:txbxContent>
                  <w:p>
                    <w:pPr>
                      <w:spacing w:line="234" w:lineRule="exact" w:before="0"/>
                      <w:ind w:left="0" w:right="0" w:firstLine="0"/>
                      <w:jc w:val="left"/>
                      <w:rPr>
                        <w:sz w:val="21"/>
                      </w:rPr>
                    </w:pPr>
                    <w:r>
                      <w:rPr>
                        <w:sz w:val="21"/>
                      </w:rPr>
                      <w:t>申购金额（元，</w:t>
                    </w:r>
                    <w:r>
                      <w:rPr>
                        <w:rFonts w:ascii="Times New Roman" w:eastAsia="Times New Roman"/>
                        <w:sz w:val="21"/>
                      </w:rPr>
                      <w:t>a</w:t>
                    </w:r>
                    <w:r>
                      <w:rPr>
                        <w:sz w:val="21"/>
                      </w:rPr>
                      <w:t>）</w:t>
                    </w:r>
                  </w:p>
                </w:txbxContent>
              </v:textbox>
              <w10:wrap type="none"/>
            </v:shape>
            <v:shape style="position:absolute;left:6697;top:1483;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5,000,000.00</w:t>
                    </w:r>
                  </w:p>
                </w:txbxContent>
              </v:textbox>
              <w10:wrap type="none"/>
            </v:shape>
            <v:shape style="position:absolute;left:4109;top:1963;width:1597;height:234" type="#_x0000_t202" filled="false" stroked="false">
              <v:textbox inset="0,0,0,0">
                <w:txbxContent>
                  <w:p>
                    <w:pPr>
                      <w:spacing w:line="234" w:lineRule="exact" w:before="0"/>
                      <w:ind w:left="0" w:right="0" w:firstLine="0"/>
                      <w:jc w:val="left"/>
                      <w:rPr>
                        <w:sz w:val="21"/>
                      </w:rPr>
                    </w:pPr>
                    <w:r>
                      <w:rPr>
                        <w:sz w:val="21"/>
                      </w:rPr>
                      <w:t>前端申购费（</w:t>
                    </w:r>
                    <w:r>
                      <w:rPr>
                        <w:rFonts w:ascii="Times New Roman" w:eastAsia="Times New Roman"/>
                        <w:sz w:val="21"/>
                      </w:rPr>
                      <w:t>b</w:t>
                    </w:r>
                    <w:r>
                      <w:rPr>
                        <w:sz w:val="21"/>
                      </w:rPr>
                      <w:t>）</w:t>
                    </w:r>
                  </w:p>
                </w:txbxContent>
              </v:textbox>
              <w10:wrap type="none"/>
            </v:shape>
            <v:shape style="position:absolute;left:7064;top:1961;width:757;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1,000.00</w:t>
                    </w:r>
                  </w:p>
                </w:txbxContent>
              </v:textbox>
              <w10:wrap type="none"/>
            </v:shape>
            <v:shape style="position:absolute;left:4109;top:2443;width:1972;height:234" type="#_x0000_t202" filled="false" stroked="false">
              <v:textbox inset="0,0,0,0">
                <w:txbxContent>
                  <w:p>
                    <w:pPr>
                      <w:spacing w:line="234" w:lineRule="exact" w:before="0"/>
                      <w:ind w:left="0" w:right="0" w:firstLine="0"/>
                      <w:jc w:val="left"/>
                      <w:rPr>
                        <w:sz w:val="21"/>
                      </w:rPr>
                    </w:pPr>
                    <w:r>
                      <w:rPr>
                        <w:sz w:val="21"/>
                      </w:rPr>
                      <w:t>净申购金额（</w:t>
                    </w:r>
                    <w:r>
                      <w:rPr>
                        <w:rFonts w:ascii="Times New Roman" w:eastAsia="Times New Roman"/>
                        <w:sz w:val="21"/>
                      </w:rPr>
                      <w:t>c=a-b</w:t>
                    </w:r>
                    <w:r>
                      <w:rPr>
                        <w:sz w:val="21"/>
                      </w:rPr>
                      <w:t>）</w:t>
                    </w:r>
                  </w:p>
                </w:txbxContent>
              </v:textbox>
              <w10:wrap type="none"/>
            </v:shape>
            <v:shape style="position:absolute;left:6695;top:2441;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4,999,000.00</w:t>
                    </w:r>
                  </w:p>
                </w:txbxContent>
              </v:textbox>
              <w10:wrap type="none"/>
            </v:shape>
            <w10:wrap type="none"/>
          </v:group>
        </w:pict>
      </w:r>
      <w:r>
        <w:rPr/>
        <w:t>若该投资者申购金额为</w:t>
      </w:r>
      <w:r>
        <w:rPr>
          <w:rFonts w:ascii="Times New Roman" w:eastAsia="Times New Roman"/>
        </w:rPr>
        <w:t>500</w:t>
      </w:r>
      <w:r>
        <w:rPr/>
        <w:t>万元，则申购负担的前端申购费用和获得的基金份额计算如下：</w:t>
      </w:r>
    </w:p>
    <w:p>
      <w:pPr>
        <w:spacing w:after="0" w:line="417" w:lineRule="auto"/>
        <w:sectPr>
          <w:pgSz w:w="11910" w:h="16840"/>
          <w:pgMar w:header="877" w:footer="0" w:top="1420" w:bottom="280" w:left="1260" w:right="1480"/>
        </w:sectPr>
      </w:pPr>
    </w:p>
    <w:p>
      <w:pPr>
        <w:pStyle w:val="BodyText"/>
        <w:ind w:left="2789"/>
        <w:rPr>
          <w:sz w:val="20"/>
        </w:rPr>
      </w:pPr>
      <w:r>
        <w:rPr>
          <w:sz w:val="20"/>
        </w:rPr>
        <w:pict>
          <v:group style="width:188.35pt;height:50.3pt;mso-position-horizontal-relative:char;mso-position-vertical-relative:line" coordorigin="0,0" coordsize="3767,1006">
            <v:line style="position:absolute" from="14,14" to="2083,14" stroked="true" strokeweight="1.44pt" strokecolor="#000000">
              <v:stroke dashstyle="solid"/>
            </v:line>
            <v:shape style="position:absolute;left:2083;top:28;width:10;height:3" type="#_x0000_t75" stroked="false">
              <v:imagedata r:id="rId93" o:title=""/>
            </v:shape>
            <v:rect style="position:absolute;left:2083;top:0;width:29;height:29" filled="true" fillcolor="#000000" stroked="false">
              <v:fill type="solid"/>
            </v:rect>
            <v:line style="position:absolute" from="2112,14" to="3766,14" stroked="true" strokeweight="1.44pt" strokecolor="#000000">
              <v:stroke dashstyle="solid"/>
            </v:line>
            <v:rect style="position:absolute;left:2083;top:31;width:10;height:48" filled="true" fillcolor="#000000" stroked="false">
              <v:fill type="solid"/>
            </v:rect>
            <v:rect style="position:absolute;left:2083;top:79;width:10;height:48" filled="true" fillcolor="#000000" stroked="false">
              <v:fill type="solid"/>
            </v:rect>
            <v:rect style="position:absolute;left:2083;top:127;width:10;height:48" filled="true" fillcolor="#000000" stroked="false">
              <v:fill type="solid"/>
            </v:rect>
            <v:rect style="position:absolute;left:2083;top:175;width:10;height:49" filled="true" fillcolor="#000000" stroked="false">
              <v:fill type="solid"/>
            </v:rect>
            <v:rect style="position:absolute;left:2083;top:223;width:10;height:48" filled="true" fillcolor="#000000" stroked="false">
              <v:fill type="solid"/>
            </v:rect>
            <v:rect style="position:absolute;left:2083;top:271;width:10;height:48" filled="true" fillcolor="#000000" stroked="false">
              <v:fill type="solid"/>
            </v:rect>
            <v:rect style="position:absolute;left:2083;top:319;width:10;height:48" filled="true" fillcolor="#000000" stroked="false">
              <v:fill type="solid"/>
            </v:rect>
            <v:rect style="position:absolute;left:2083;top:367;width:10;height:48" filled="true" fillcolor="#000000" stroked="false">
              <v:fill type="solid"/>
            </v:rect>
            <v:rect style="position:absolute;left:2083;top:415;width:10;height:48" filled="true" fillcolor="#000000" stroked="false">
              <v:fill type="solid"/>
            </v:rect>
            <v:rect style="position:absolute;left:2083;top:463;width:10;height:34" filled="true" fillcolor="#000000" stroked="false">
              <v:fill type="solid"/>
            </v:rect>
            <v:rect style="position:absolute;left:14;top:497;width:48;height:10" filled="true" fillcolor="#000000" stroked="false">
              <v:fill type="solid"/>
            </v:rect>
            <v:rect style="position:absolute;left:62;top:497;width:48;height:10" filled="true" fillcolor="#000000" stroked="false">
              <v:fill type="solid"/>
            </v:rect>
            <v:rect style="position:absolute;left:110;top:497;width:48;height:10" filled="true" fillcolor="#000000" stroked="false">
              <v:fill type="solid"/>
            </v:rect>
            <v:rect style="position:absolute;left:158;top:497;width:48;height:10" filled="true" fillcolor="#000000" stroked="false">
              <v:fill type="solid"/>
            </v:rect>
            <v:rect style="position:absolute;left:206;top:497;width:48;height:10" filled="true" fillcolor="#000000" stroked="false">
              <v:fill type="solid"/>
            </v:rect>
            <v:rect style="position:absolute;left:254;top:497;width:48;height:10" filled="true" fillcolor="#000000" stroked="false">
              <v:fill type="solid"/>
            </v:rect>
            <v:rect style="position:absolute;left:302;top:497;width:48;height:10" filled="true" fillcolor="#000000" stroked="false">
              <v:fill type="solid"/>
            </v:rect>
            <v:rect style="position:absolute;left:350;top:497;width:48;height:10" filled="true" fillcolor="#000000" stroked="false">
              <v:fill type="solid"/>
            </v:rect>
            <v:rect style="position:absolute;left:398;top:497;width:48;height:10" filled="true" fillcolor="#000000" stroked="false">
              <v:fill type="solid"/>
            </v:rect>
            <v:rect style="position:absolute;left:446;top:497;width:48;height:10" filled="true" fillcolor="#000000" stroked="false">
              <v:fill type="solid"/>
            </v:rect>
            <v:rect style="position:absolute;left:494;top:497;width:48;height:10" filled="true" fillcolor="#000000" stroked="false">
              <v:fill type="solid"/>
            </v:rect>
            <v:rect style="position:absolute;left:542;top:497;width:48;height:10" filled="true" fillcolor="#000000" stroked="false">
              <v:fill type="solid"/>
            </v:rect>
            <v:rect style="position:absolute;left:590;top:497;width:48;height:10" filled="true" fillcolor="#000000" stroked="false">
              <v:fill type="solid"/>
            </v:rect>
            <v:rect style="position:absolute;left:638;top:497;width:48;height:10" filled="true" fillcolor="#000000" stroked="false">
              <v:fill type="solid"/>
            </v:rect>
            <v:rect style="position:absolute;left:686;top:497;width:48;height:10" filled="true" fillcolor="#000000" stroked="false">
              <v:fill type="solid"/>
            </v:rect>
            <v:rect style="position:absolute;left:734;top:497;width:48;height:10" filled="true" fillcolor="#000000" stroked="false">
              <v:fill type="solid"/>
            </v:rect>
            <v:rect style="position:absolute;left:782;top:497;width:48;height:10" filled="true" fillcolor="#000000" stroked="false">
              <v:fill type="solid"/>
            </v:rect>
            <v:rect style="position:absolute;left:830;top:497;width:48;height:10" filled="true" fillcolor="#000000" stroked="false">
              <v:fill type="solid"/>
            </v:rect>
            <v:rect style="position:absolute;left:878;top:497;width:48;height:10" filled="true" fillcolor="#000000" stroked="false">
              <v:fill type="solid"/>
            </v:rect>
            <v:rect style="position:absolute;left:926;top:497;width:48;height:10" filled="true" fillcolor="#000000" stroked="false">
              <v:fill type="solid"/>
            </v:rect>
            <v:rect style="position:absolute;left:974;top:497;width:48;height:10" filled="true" fillcolor="#000000" stroked="false">
              <v:fill type="solid"/>
            </v:rect>
            <v:rect style="position:absolute;left:1022;top:497;width:48;height:10" filled="true" fillcolor="#000000" stroked="false">
              <v:fill type="solid"/>
            </v:rect>
            <v:rect style="position:absolute;left:1070;top:497;width:48;height:10" filled="true" fillcolor="#000000" stroked="false">
              <v:fill type="solid"/>
            </v:rect>
            <v:rect style="position:absolute;left:1118;top:497;width:48;height:10" filled="true" fillcolor="#000000" stroked="false">
              <v:fill type="solid"/>
            </v:rect>
            <v:rect style="position:absolute;left:1166;top:497;width:48;height:10" filled="true" fillcolor="#000000" stroked="false">
              <v:fill type="solid"/>
            </v:rect>
            <v:rect style="position:absolute;left:1214;top:497;width:48;height:10" filled="true" fillcolor="#000000" stroked="false">
              <v:fill type="solid"/>
            </v:rect>
            <v:rect style="position:absolute;left:1262;top:497;width:48;height:10" filled="true" fillcolor="#000000" stroked="false">
              <v:fill type="solid"/>
            </v:rect>
            <v:rect style="position:absolute;left:1310;top:497;width:48;height:10" filled="true" fillcolor="#000000" stroked="false">
              <v:fill type="solid"/>
            </v:rect>
            <v:rect style="position:absolute;left:1358;top:497;width:48;height:10" filled="true" fillcolor="#000000" stroked="false">
              <v:fill type="solid"/>
            </v:rect>
            <v:rect style="position:absolute;left:1406;top:497;width:48;height:10" filled="true" fillcolor="#000000" stroked="false">
              <v:fill type="solid"/>
            </v:rect>
            <v:rect style="position:absolute;left:1454;top:497;width:48;height:10" filled="true" fillcolor="#000000" stroked="false">
              <v:fill type="solid"/>
            </v:rect>
            <v:rect style="position:absolute;left:1502;top:497;width:48;height:10" filled="true" fillcolor="#000000" stroked="false">
              <v:fill type="solid"/>
            </v:rect>
            <v:rect style="position:absolute;left:1550;top:497;width:48;height:10" filled="true" fillcolor="#000000" stroked="false">
              <v:fill type="solid"/>
            </v:rect>
            <v:rect style="position:absolute;left:1598;top:497;width:48;height:10" filled="true" fillcolor="#000000" stroked="false">
              <v:fill type="solid"/>
            </v:rect>
            <v:rect style="position:absolute;left:1646;top:497;width:48;height:10" filled="true" fillcolor="#000000" stroked="false">
              <v:fill type="solid"/>
            </v:rect>
            <v:rect style="position:absolute;left:1694;top:497;width:48;height:10" filled="true" fillcolor="#000000" stroked="false">
              <v:fill type="solid"/>
            </v:rect>
            <v:rect style="position:absolute;left:1742;top:497;width:48;height:10" filled="true" fillcolor="#000000" stroked="false">
              <v:fill type="solid"/>
            </v:rect>
            <v:rect style="position:absolute;left:1790;top:497;width:48;height:10" filled="true" fillcolor="#000000" stroked="false">
              <v:fill type="solid"/>
            </v:rect>
            <v:rect style="position:absolute;left:1838;top:497;width:48;height:10" filled="true" fillcolor="#000000" stroked="false">
              <v:fill type="solid"/>
            </v:rect>
            <v:rect style="position:absolute;left:1886;top:497;width:48;height:10" filled="true" fillcolor="#000000" stroked="false">
              <v:fill type="solid"/>
            </v:rect>
            <v:rect style="position:absolute;left:1934;top:497;width:48;height:10" filled="true" fillcolor="#000000" stroked="false">
              <v:fill type="solid"/>
            </v:rect>
            <v:rect style="position:absolute;left:1982;top:497;width:48;height:10" filled="true" fillcolor="#000000" stroked="false">
              <v:fill type="solid"/>
            </v:rect>
            <v:rect style="position:absolute;left:2030;top:497;width:48;height:10" filled="true" fillcolor="#000000" stroked="false">
              <v:fill type="solid"/>
            </v:rect>
            <v:rect style="position:absolute;left:2078;top:497;width:5;height:10" filled="true" fillcolor="#000000" stroked="false">
              <v:fill type="solid"/>
            </v:rect>
            <v:rect style="position:absolute;left:2083;top:497;width:10;height:10" filled="true" fillcolor="#000000" stroked="false">
              <v:fill type="solid"/>
            </v:rect>
            <v:rect style="position:absolute;left:2092;top:497;width:48;height:10" filled="true" fillcolor="#000000" stroked="false">
              <v:fill type="solid"/>
            </v:rect>
            <v:rect style="position:absolute;left:2140;top:497;width:48;height:10" filled="true" fillcolor="#000000" stroked="false">
              <v:fill type="solid"/>
            </v:rect>
            <v:rect style="position:absolute;left:2188;top:497;width:48;height:10" filled="true" fillcolor="#000000" stroked="false">
              <v:fill type="solid"/>
            </v:rect>
            <v:rect style="position:absolute;left:2236;top:497;width:49;height:10" filled="true" fillcolor="#000000" stroked="false">
              <v:fill type="solid"/>
            </v:rect>
            <v:rect style="position:absolute;left:2285;top:497;width:48;height:10" filled="true" fillcolor="#000000" stroked="false">
              <v:fill type="solid"/>
            </v:rect>
            <v:rect style="position:absolute;left:2333;top:497;width:48;height:10" filled="true" fillcolor="#000000" stroked="false">
              <v:fill type="solid"/>
            </v:rect>
            <v:rect style="position:absolute;left:2381;top:497;width:48;height:10" filled="true" fillcolor="#000000" stroked="false">
              <v:fill type="solid"/>
            </v:rect>
            <v:rect style="position:absolute;left:2429;top:497;width:48;height:10" filled="true" fillcolor="#000000" stroked="false">
              <v:fill type="solid"/>
            </v:rect>
            <v:rect style="position:absolute;left:2477;top:497;width:48;height:10" filled="true" fillcolor="#000000" stroked="false">
              <v:fill type="solid"/>
            </v:rect>
            <v:rect style="position:absolute;left:2525;top:497;width:48;height:10" filled="true" fillcolor="#000000" stroked="false">
              <v:fill type="solid"/>
            </v:rect>
            <v:rect style="position:absolute;left:2573;top:497;width:48;height:10" filled="true" fillcolor="#000000" stroked="false">
              <v:fill type="solid"/>
            </v:rect>
            <v:rect style="position:absolute;left:2621;top:497;width:48;height:10" filled="true" fillcolor="#000000" stroked="false">
              <v:fill type="solid"/>
            </v:rect>
            <v:rect style="position:absolute;left:2669;top:497;width:48;height:10" filled="true" fillcolor="#000000" stroked="false">
              <v:fill type="solid"/>
            </v:rect>
            <v:rect style="position:absolute;left:2717;top:497;width:48;height:10" filled="true" fillcolor="#000000" stroked="false">
              <v:fill type="solid"/>
            </v:rect>
            <v:rect style="position:absolute;left:2765;top:497;width:48;height:10" filled="true" fillcolor="#000000" stroked="false">
              <v:fill type="solid"/>
            </v:rect>
            <v:rect style="position:absolute;left:2813;top:497;width:48;height:10" filled="true" fillcolor="#000000" stroked="false">
              <v:fill type="solid"/>
            </v:rect>
            <v:rect style="position:absolute;left:2861;top:497;width:48;height:10" filled="true" fillcolor="#000000" stroked="false">
              <v:fill type="solid"/>
            </v:rect>
            <v:rect style="position:absolute;left:2909;top:497;width:48;height:10" filled="true" fillcolor="#000000" stroked="false">
              <v:fill type="solid"/>
            </v:rect>
            <v:rect style="position:absolute;left:2957;top:497;width:48;height:10" filled="true" fillcolor="#000000" stroked="false">
              <v:fill type="solid"/>
            </v:rect>
            <v:rect style="position:absolute;left:3005;top:497;width:48;height:10" filled="true" fillcolor="#000000" stroked="false">
              <v:fill type="solid"/>
            </v:rect>
            <v:rect style="position:absolute;left:3053;top:497;width:48;height:10" filled="true" fillcolor="#000000" stroked="false">
              <v:fill type="solid"/>
            </v:rect>
            <v:rect style="position:absolute;left:3101;top:497;width:48;height:10" filled="true" fillcolor="#000000" stroked="false">
              <v:fill type="solid"/>
            </v:rect>
            <v:rect style="position:absolute;left:3149;top:497;width:48;height:10" filled="true" fillcolor="#000000" stroked="false">
              <v:fill type="solid"/>
            </v:rect>
            <v:rect style="position:absolute;left:3197;top:497;width:48;height:10" filled="true" fillcolor="#000000" stroked="false">
              <v:fill type="solid"/>
            </v:rect>
            <v:rect style="position:absolute;left:3245;top:497;width:48;height:10" filled="true" fillcolor="#000000" stroked="false">
              <v:fill type="solid"/>
            </v:rect>
            <v:rect style="position:absolute;left:3293;top:497;width:48;height:10" filled="true" fillcolor="#000000" stroked="false">
              <v:fill type="solid"/>
            </v:rect>
            <v:rect style="position:absolute;left:3341;top:497;width:48;height:10" filled="true" fillcolor="#000000" stroked="false">
              <v:fill type="solid"/>
            </v:rect>
            <v:rect style="position:absolute;left:3389;top:497;width:48;height:10" filled="true" fillcolor="#000000" stroked="false">
              <v:fill type="solid"/>
            </v:rect>
            <v:rect style="position:absolute;left:3437;top:497;width:48;height:10" filled="true" fillcolor="#000000" stroked="false">
              <v:fill type="solid"/>
            </v:rect>
            <v:rect style="position:absolute;left:3485;top:497;width:48;height:10" filled="true" fillcolor="#000000" stroked="false">
              <v:fill type="solid"/>
            </v:rect>
            <v:rect style="position:absolute;left:3533;top:497;width:48;height:10" filled="true" fillcolor="#000000" stroked="false">
              <v:fill type="solid"/>
            </v:rect>
            <v:rect style="position:absolute;left:3581;top:497;width:48;height:10" filled="true" fillcolor="#000000" stroked="false">
              <v:fill type="solid"/>
            </v:rect>
            <v:rect style="position:absolute;left:3629;top:497;width:48;height:10" filled="true" fillcolor="#000000" stroked="false">
              <v:fill type="solid"/>
            </v:rect>
            <v:rect style="position:absolute;left:3677;top:497;width:48;height:10" filled="true" fillcolor="#000000" stroked="false">
              <v:fill type="solid"/>
            </v:rect>
            <v:rect style="position:absolute;left:3725;top:497;width:41;height:10" filled="true" fillcolor="#000000" stroked="false">
              <v:fill type="solid"/>
            </v:rect>
            <v:line style="position:absolute" from="0,992" to="2083,992" stroked="true" strokeweight="1.44pt" strokecolor="#000000">
              <v:stroke dashstyle="solid"/>
            </v:line>
            <v:shape style="position:absolute;left:2083;top:506;width:10;height:471" type="#_x0000_t75" stroked="false">
              <v:imagedata r:id="rId107" o:title=""/>
            </v:shape>
            <v:rect style="position:absolute;left:2083;top:977;width:29;height:29" filled="true" fillcolor="#000000" stroked="false">
              <v:fill type="solid"/>
            </v:rect>
            <v:line style="position:absolute" from="2112,992" to="3766,992" stroked="true" strokeweight="1.44pt" strokecolor="#000000">
              <v:stroke dashstyle="solid"/>
            </v:line>
            <v:shape style="position:absolute;left:45;top:153;width:2140;height:234" type="#_x0000_t202" filled="false" stroked="false">
              <v:textbox inset="0,0,0,0">
                <w:txbxContent>
                  <w:p>
                    <w:pPr>
                      <w:spacing w:line="234" w:lineRule="exact" w:before="0"/>
                      <w:ind w:left="0" w:right="0" w:firstLine="0"/>
                      <w:jc w:val="left"/>
                      <w:rPr>
                        <w:sz w:val="21"/>
                      </w:rPr>
                    </w:pPr>
                    <w:r>
                      <w:rPr>
                        <w:spacing w:val="-14"/>
                        <w:sz w:val="21"/>
                      </w:rPr>
                      <w:t>该类基金份额净值</w:t>
                    </w:r>
                    <w:r>
                      <w:rPr>
                        <w:sz w:val="21"/>
                      </w:rPr>
                      <w:t>（</w:t>
                    </w:r>
                    <w:r>
                      <w:rPr>
                        <w:rFonts w:ascii="Times New Roman" w:eastAsia="Times New Roman"/>
                        <w:sz w:val="21"/>
                      </w:rPr>
                      <w:t>d</w:t>
                    </w:r>
                    <w:r>
                      <w:rPr>
                        <w:sz w:val="21"/>
                      </w:rPr>
                      <w:t>）</w:t>
                    </w:r>
                  </w:p>
                </w:txbxContent>
              </v:textbox>
              <w10:wrap type="none"/>
            </v:shape>
            <v:shape style="position:absolute;left:3156;top:150;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45;top:630;width:1751;height:234" type="#_x0000_t202" filled="false" stroked="false">
              <v:textbox inset="0,0,0,0">
                <w:txbxContent>
                  <w:p>
                    <w:pPr>
                      <w:spacing w:line="234" w:lineRule="exact" w:before="0"/>
                      <w:ind w:left="0" w:right="0" w:firstLine="0"/>
                      <w:jc w:val="left"/>
                      <w:rPr>
                        <w:sz w:val="21"/>
                      </w:rPr>
                    </w:pPr>
                    <w:r>
                      <w:rPr>
                        <w:sz w:val="21"/>
                      </w:rPr>
                      <w:t>申购份额（</w:t>
                    </w:r>
                    <w:r>
                      <w:rPr>
                        <w:rFonts w:ascii="Times New Roman" w:eastAsia="Times New Roman"/>
                        <w:sz w:val="21"/>
                      </w:rPr>
                      <w:t>e=c/d</w:t>
                    </w:r>
                    <w:r>
                      <w:rPr>
                        <w:sz w:val="21"/>
                      </w:rPr>
                      <w:t>）</w:t>
                    </w:r>
                  </w:p>
                </w:txbxContent>
              </v:textbox>
              <w10:wrap type="none"/>
            </v:shape>
            <v:shape style="position:absolute;left:2633;top:628;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4,064,227.64</w:t>
                    </w:r>
                  </w:p>
                </w:txbxContent>
              </v:textbox>
              <w10:wrap type="none"/>
            </v:shape>
          </v:group>
        </w:pict>
      </w:r>
      <w:r>
        <w:rPr>
          <w:sz w:val="20"/>
        </w:rPr>
      </w:r>
    </w:p>
    <w:p>
      <w:pPr>
        <w:pStyle w:val="BodyText"/>
        <w:spacing w:line="417" w:lineRule="auto" w:before="80"/>
        <w:ind w:left="540" w:right="313" w:firstLine="419"/>
      </w:pPr>
      <w:r>
        <w:rPr>
          <w:spacing w:val="-9"/>
        </w:rPr>
        <w:t>例二：假定</w:t>
      </w:r>
      <w:r>
        <w:rPr>
          <w:rFonts w:ascii="Times New Roman" w:eastAsia="Times New Roman"/>
        </w:rPr>
        <w:t>T</w:t>
      </w:r>
      <w:r>
        <w:rPr>
          <w:spacing w:val="-3"/>
        </w:rPr>
        <w:t>日的</w:t>
      </w:r>
      <w:r>
        <w:rPr>
          <w:rFonts w:ascii="Times New Roman" w:eastAsia="Times New Roman"/>
        </w:rPr>
        <w:t>C</w:t>
      </w:r>
      <w:r>
        <w:rPr>
          <w:spacing w:val="-3"/>
        </w:rPr>
        <w:t>类基金份额净值为</w:t>
      </w:r>
      <w:r>
        <w:rPr>
          <w:rFonts w:ascii="Times New Roman" w:eastAsia="Times New Roman"/>
        </w:rPr>
        <w:t>1.2000</w:t>
      </w:r>
      <w:r>
        <w:rPr>
          <w:spacing w:val="-8"/>
        </w:rPr>
        <w:t>元，某投资者申购金额为</w:t>
      </w:r>
      <w:r>
        <w:rPr>
          <w:rFonts w:ascii="Times New Roman" w:eastAsia="Times New Roman"/>
        </w:rPr>
        <w:t>10</w:t>
      </w:r>
      <w:r>
        <w:rPr>
          <w:spacing w:val="-7"/>
        </w:rPr>
        <w:t>万元，则申购获</w:t>
      </w:r>
      <w:r>
        <w:rPr>
          <w:spacing w:val="-5"/>
        </w:rPr>
        <w:t>得的基金份额计算如下：</w:t>
      </w:r>
    </w:p>
    <w:p>
      <w:pPr>
        <w:pStyle w:val="BodyText"/>
        <w:spacing w:line="269" w:lineRule="exact"/>
        <w:ind w:left="1800"/>
      </w:pPr>
      <w:r>
        <w:rPr/>
        <w:t>申购份额＝</w:t>
      </w:r>
      <w:r>
        <w:rPr>
          <w:rFonts w:ascii="Times New Roman" w:eastAsia="Times New Roman"/>
        </w:rPr>
        <w:t>100,000.00/1.2000=83,333.33</w:t>
      </w:r>
      <w:r>
        <w:rPr/>
        <w:t>份</w:t>
      </w:r>
    </w:p>
    <w:p>
      <w:pPr>
        <w:pStyle w:val="BodyText"/>
        <w:spacing w:before="7"/>
        <w:rPr>
          <w:sz w:val="15"/>
        </w:rPr>
      </w:pPr>
    </w:p>
    <w:p>
      <w:pPr>
        <w:pStyle w:val="BodyText"/>
        <w:ind w:left="960"/>
      </w:pPr>
      <w:r>
        <w:rPr>
          <w:rFonts w:ascii="Times New Roman" w:eastAsia="Times New Roman"/>
        </w:rPr>
        <w:t>2</w:t>
      </w:r>
      <w:r>
        <w:rPr/>
        <w:t>、赎回金额的计算</w:t>
      </w:r>
    </w:p>
    <w:p>
      <w:pPr>
        <w:pStyle w:val="BodyText"/>
        <w:spacing w:before="7"/>
        <w:rPr>
          <w:sz w:val="15"/>
        </w:rPr>
      </w:pPr>
    </w:p>
    <w:p>
      <w:pPr>
        <w:pStyle w:val="BodyText"/>
        <w:ind w:left="960"/>
      </w:pPr>
      <w:r>
        <w:rPr/>
        <w:t>赎回金额的计算方法如下：</w:t>
      </w:r>
    </w:p>
    <w:p>
      <w:pPr>
        <w:pStyle w:val="BodyText"/>
        <w:spacing w:before="7"/>
        <w:rPr>
          <w:sz w:val="15"/>
        </w:rPr>
      </w:pPr>
    </w:p>
    <w:p>
      <w:pPr>
        <w:pStyle w:val="BodyText"/>
        <w:spacing w:line="417" w:lineRule="auto"/>
        <w:ind w:left="1800" w:right="3691"/>
      </w:pPr>
      <w:r>
        <w:rPr/>
        <w:t>赎回金额＝赎回份额</w:t>
      </w:r>
      <w:r>
        <w:rPr>
          <w:rFonts w:ascii="Times New Roman" w:hAnsi="Times New Roman" w:eastAsia="Times New Roman"/>
        </w:rPr>
        <w:t>×T </w:t>
      </w:r>
      <w:r>
        <w:rPr/>
        <w:t>日基金份额净值赎回费用＝赎回金额</w:t>
      </w:r>
      <w:r>
        <w:rPr>
          <w:rFonts w:ascii="Times New Roman" w:hAnsi="Times New Roman" w:eastAsia="Times New Roman"/>
        </w:rPr>
        <w:t>×</w:t>
      </w:r>
      <w:r>
        <w:rPr/>
        <w:t>赎回费率</w:t>
      </w:r>
    </w:p>
    <w:p>
      <w:pPr>
        <w:pStyle w:val="BodyText"/>
        <w:spacing w:line="269" w:lineRule="exact"/>
        <w:ind w:left="1800"/>
      </w:pPr>
      <w:r>
        <w:rPr/>
        <w:t>净赎回金额＝赎回金额</w:t>
      </w:r>
      <w:r>
        <w:rPr>
          <w:rFonts w:ascii="Times New Roman" w:eastAsia="Times New Roman"/>
        </w:rPr>
        <w:t>-</w:t>
      </w:r>
      <w:r>
        <w:rPr/>
        <w:t>赎回费用</w:t>
      </w:r>
    </w:p>
    <w:p>
      <w:pPr>
        <w:pStyle w:val="BodyText"/>
        <w:spacing w:before="7"/>
        <w:rPr>
          <w:sz w:val="15"/>
        </w:rPr>
      </w:pPr>
    </w:p>
    <w:p>
      <w:pPr>
        <w:pStyle w:val="BodyText"/>
        <w:spacing w:line="417" w:lineRule="auto"/>
        <w:ind w:left="540" w:right="313" w:firstLine="419"/>
      </w:pPr>
      <w:r>
        <w:rPr>
          <w:spacing w:val="-7"/>
        </w:rPr>
        <w:t>例三：假定某投资者在 </w:t>
      </w:r>
      <w:r>
        <w:rPr>
          <w:rFonts w:ascii="Times New Roman" w:eastAsia="Times New Roman"/>
        </w:rPr>
        <w:t>T </w:t>
      </w:r>
      <w:r>
        <w:rPr>
          <w:spacing w:val="-11"/>
        </w:rPr>
        <w:t>日赎回 </w:t>
      </w:r>
      <w:r>
        <w:rPr>
          <w:rFonts w:ascii="Times New Roman" w:eastAsia="Times New Roman"/>
        </w:rPr>
        <w:t>10,000.00 </w:t>
      </w:r>
      <w:r>
        <w:rPr>
          <w:spacing w:val="-23"/>
        </w:rPr>
        <w:t>份 </w:t>
      </w:r>
      <w:r>
        <w:rPr>
          <w:rFonts w:ascii="Times New Roman" w:eastAsia="Times New Roman"/>
        </w:rPr>
        <w:t>A </w:t>
      </w:r>
      <w:r>
        <w:rPr>
          <w:spacing w:val="-7"/>
        </w:rPr>
        <w:t>类基金份额，持有期限 </w:t>
      </w:r>
      <w:r>
        <w:rPr>
          <w:rFonts w:ascii="Times New Roman" w:eastAsia="Times New Roman"/>
        </w:rPr>
        <w:t>20 </w:t>
      </w:r>
      <w:r>
        <w:rPr>
          <w:spacing w:val="-3"/>
        </w:rPr>
        <w:t>天，该日基</w:t>
      </w:r>
      <w:r>
        <w:rPr>
          <w:spacing w:val="-11"/>
        </w:rPr>
        <w:t>金份额净值为 </w:t>
      </w:r>
      <w:r>
        <w:rPr>
          <w:rFonts w:ascii="Times New Roman" w:eastAsia="Times New Roman"/>
        </w:rPr>
        <w:t>1.2500 </w:t>
      </w:r>
      <w:r>
        <w:rPr>
          <w:spacing w:val="-3"/>
        </w:rPr>
        <w:t>元，则其获得的赎回金额计算如下：</w:t>
      </w:r>
    </w:p>
    <w:p>
      <w:pPr>
        <w:pStyle w:val="BodyText"/>
        <w:spacing w:line="417" w:lineRule="auto"/>
        <w:ind w:left="1800" w:right="3634"/>
      </w:pPr>
      <w:r>
        <w:rPr/>
        <w:t>赎回金额</w:t>
      </w:r>
      <w:r>
        <w:rPr>
          <w:rFonts w:ascii="Times New Roman" w:hAnsi="Times New Roman" w:eastAsia="Times New Roman"/>
        </w:rPr>
        <w:t>=10,000.00×1.2500 =12,500.00</w:t>
      </w:r>
      <w:r>
        <w:rPr/>
        <w:t>元赎回费用</w:t>
      </w:r>
      <w:r>
        <w:rPr>
          <w:rFonts w:ascii="Times New Roman" w:hAnsi="Times New Roman" w:eastAsia="Times New Roman"/>
        </w:rPr>
        <w:t>=12,500.00×0 .1% =12.50</w:t>
      </w:r>
      <w:r>
        <w:rPr/>
        <w:t>元</w:t>
      </w:r>
    </w:p>
    <w:p>
      <w:pPr>
        <w:pStyle w:val="BodyText"/>
        <w:ind w:left="1800"/>
      </w:pPr>
      <w:r>
        <w:rPr/>
        <w:t>净赎回金额</w:t>
      </w:r>
      <w:r>
        <w:rPr>
          <w:rFonts w:ascii="Times New Roman" w:eastAsia="Times New Roman"/>
        </w:rPr>
        <w:t>=12,500.00-12.50=12,487.50</w:t>
      </w:r>
      <w:r>
        <w:rPr/>
        <w:t>元</w:t>
      </w:r>
    </w:p>
    <w:p>
      <w:pPr>
        <w:pStyle w:val="BodyText"/>
        <w:spacing w:before="6"/>
        <w:rPr>
          <w:sz w:val="15"/>
        </w:rPr>
      </w:pPr>
    </w:p>
    <w:p>
      <w:pPr>
        <w:pStyle w:val="BodyText"/>
        <w:spacing w:line="417" w:lineRule="auto"/>
        <w:ind w:left="540" w:right="311" w:firstLine="419"/>
      </w:pPr>
      <w:r>
        <w:rPr>
          <w:spacing w:val="-7"/>
        </w:rPr>
        <w:t>例四：假定某投资者在</w:t>
      </w:r>
      <w:r>
        <w:rPr>
          <w:rFonts w:ascii="Times New Roman" w:eastAsia="Times New Roman"/>
        </w:rPr>
        <w:t>T</w:t>
      </w:r>
      <w:r>
        <w:rPr>
          <w:spacing w:val="-2"/>
        </w:rPr>
        <w:t>日赎回</w:t>
      </w:r>
      <w:r>
        <w:rPr>
          <w:rFonts w:ascii="Times New Roman" w:eastAsia="Times New Roman"/>
        </w:rPr>
        <w:t>10,000.00</w:t>
      </w:r>
      <w:r>
        <w:rPr>
          <w:spacing w:val="-3"/>
        </w:rPr>
        <w:t>份</w:t>
      </w:r>
      <w:r>
        <w:rPr>
          <w:rFonts w:ascii="Times New Roman" w:eastAsia="Times New Roman"/>
        </w:rPr>
        <w:t>C</w:t>
      </w:r>
      <w:r>
        <w:rPr>
          <w:spacing w:val="-9"/>
        </w:rPr>
        <w:t>类基金份额，持有期限半年，该日</w:t>
      </w:r>
      <w:r>
        <w:rPr>
          <w:rFonts w:ascii="Times New Roman" w:eastAsia="Times New Roman"/>
        </w:rPr>
        <w:t>C</w:t>
      </w:r>
      <w:r>
        <w:rPr/>
        <w:t>类基金</w:t>
      </w:r>
      <w:r>
        <w:rPr>
          <w:spacing w:val="-2"/>
        </w:rPr>
        <w:t>份额净值为</w:t>
      </w:r>
      <w:r>
        <w:rPr>
          <w:rFonts w:ascii="Times New Roman" w:eastAsia="Times New Roman"/>
        </w:rPr>
        <w:t>1.2500</w:t>
      </w:r>
      <w:r>
        <w:rPr>
          <w:spacing w:val="-3"/>
        </w:rPr>
        <w:t>元，则其获得的净赎回金额计算如下：</w:t>
      </w:r>
    </w:p>
    <w:p>
      <w:pPr>
        <w:pStyle w:val="BodyText"/>
        <w:spacing w:line="269" w:lineRule="exact"/>
        <w:ind w:left="1380"/>
      </w:pPr>
      <w:r>
        <w:rPr/>
        <w:t>赎回金额</w:t>
      </w:r>
      <w:r>
        <w:rPr>
          <w:rFonts w:ascii="Times New Roman" w:hAnsi="Times New Roman" w:eastAsia="Times New Roman"/>
        </w:rPr>
        <w:t>=10,000.00×1.250 0=12,500.00</w:t>
      </w:r>
      <w:r>
        <w:rPr/>
        <w:t>元</w:t>
      </w:r>
    </w:p>
    <w:p>
      <w:pPr>
        <w:pStyle w:val="BodyText"/>
        <w:spacing w:before="7"/>
        <w:rPr>
          <w:sz w:val="15"/>
        </w:rPr>
      </w:pPr>
    </w:p>
    <w:p>
      <w:pPr>
        <w:pStyle w:val="BodyText"/>
        <w:spacing w:line="417" w:lineRule="auto"/>
        <w:ind w:left="540" w:right="211" w:firstLine="419"/>
        <w:jc w:val="both"/>
      </w:pPr>
      <w:r>
        <w:rPr>
          <w:rFonts w:ascii="Times New Roman" w:eastAsia="Times New Roman"/>
        </w:rPr>
        <w:t>3</w:t>
      </w:r>
      <w:r>
        <w:rPr>
          <w:spacing w:val="-17"/>
        </w:rPr>
        <w:t>、</w:t>
      </w:r>
      <w:r>
        <w:rPr>
          <w:rFonts w:ascii="Times New Roman" w:eastAsia="Times New Roman"/>
        </w:rPr>
        <w:t>T</w:t>
      </w:r>
      <w:r>
        <w:rPr>
          <w:spacing w:val="-4"/>
        </w:rPr>
        <w:t>日的基金份额净值在当日收市后计算，并在</w:t>
      </w:r>
      <w:r>
        <w:rPr>
          <w:rFonts w:ascii="Times New Roman" w:eastAsia="Times New Roman"/>
        </w:rPr>
        <w:t>T+1</w:t>
      </w:r>
      <w:r>
        <w:rPr>
          <w:spacing w:val="-5"/>
        </w:rPr>
        <w:t>日公告。各个基金份额类别单独计</w:t>
      </w:r>
      <w:r>
        <w:rPr>
          <w:spacing w:val="-12"/>
        </w:rPr>
        <w:t>算基金份额净值，计算公式为计算日该类别基金资产净值除以计算日发售在外的该类别基金份额总数。遇特殊情况，经中国证监会同意，可以适当延迟计算或公告。本基金基金份额净</w:t>
      </w:r>
      <w:r>
        <w:rPr>
          <w:spacing w:val="-6"/>
        </w:rPr>
        <w:t>值的计算，保留到小数点后</w:t>
      </w:r>
      <w:r>
        <w:rPr>
          <w:rFonts w:ascii="Times New Roman" w:eastAsia="Times New Roman"/>
        </w:rPr>
        <w:t>4</w:t>
      </w:r>
      <w:r>
        <w:rPr>
          <w:spacing w:val="-3"/>
        </w:rPr>
        <w:t>位，小数点后第</w:t>
      </w:r>
      <w:r>
        <w:rPr>
          <w:rFonts w:ascii="Times New Roman" w:eastAsia="Times New Roman"/>
          <w:spacing w:val="-3"/>
        </w:rPr>
        <w:t>5</w:t>
      </w:r>
      <w:r>
        <w:rPr>
          <w:spacing w:val="-3"/>
        </w:rPr>
        <w:t>位四舍五入，由此产生的误差计入基金财产。</w:t>
      </w:r>
    </w:p>
    <w:p>
      <w:pPr>
        <w:pStyle w:val="BodyText"/>
        <w:ind w:left="960"/>
      </w:pPr>
      <w:r>
        <w:rPr/>
        <w:t>（八）拒绝或暂停申购的情形</w:t>
      </w:r>
    </w:p>
    <w:p>
      <w:pPr>
        <w:pStyle w:val="BodyText"/>
        <w:spacing w:before="7"/>
        <w:rPr>
          <w:sz w:val="15"/>
        </w:rPr>
      </w:pPr>
    </w:p>
    <w:p>
      <w:pPr>
        <w:pStyle w:val="BodyText"/>
        <w:ind w:left="960"/>
      </w:pPr>
      <w:r>
        <w:rPr/>
        <w:t>发生下列情况时，基金管理人可拒绝或暂停接受投资人的申购申请：</w:t>
      </w:r>
    </w:p>
    <w:p>
      <w:pPr>
        <w:pStyle w:val="BodyText"/>
        <w:spacing w:before="6"/>
        <w:rPr>
          <w:sz w:val="15"/>
        </w:rPr>
      </w:pPr>
    </w:p>
    <w:p>
      <w:pPr>
        <w:pStyle w:val="BodyText"/>
        <w:spacing w:before="1"/>
        <w:ind w:left="960"/>
      </w:pPr>
      <w:r>
        <w:rPr>
          <w:rFonts w:ascii="Times New Roman" w:eastAsia="Times New Roman"/>
        </w:rPr>
        <w:t>1</w:t>
      </w:r>
      <w:r>
        <w:rPr/>
        <w:t>、因不可抗力导致基金无法正常运作。</w:t>
      </w:r>
    </w:p>
    <w:p>
      <w:pPr>
        <w:pStyle w:val="BodyText"/>
        <w:spacing w:before="6"/>
        <w:rPr>
          <w:sz w:val="15"/>
        </w:rPr>
      </w:pPr>
    </w:p>
    <w:p>
      <w:pPr>
        <w:pStyle w:val="BodyText"/>
        <w:spacing w:line="417" w:lineRule="auto"/>
        <w:ind w:left="540" w:right="311" w:firstLine="419"/>
        <w:jc w:val="both"/>
      </w:pPr>
      <w:r>
        <w:rPr>
          <w:rFonts w:ascii="Times New Roman" w:eastAsia="Times New Roman"/>
        </w:rPr>
        <w:t>2</w:t>
      </w:r>
      <w:r>
        <w:rPr>
          <w:spacing w:val="-3"/>
        </w:rPr>
        <w:t>、发生基金合同规定的暂停基金资产估值情况时，基金管理人可暂停接收投资人的申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估值技术仍导致公允价值存在重大不确定性时，经与基金托管人协商确认后，基金管理人应</w:t>
      </w:r>
      <w:r>
        <w:rPr>
          <w:spacing w:val="-5"/>
        </w:rPr>
        <w:t>当暂停接受基金申购申请。</w:t>
      </w:r>
    </w:p>
    <w:p>
      <w:pPr>
        <w:spacing w:after="0" w:line="417" w:lineRule="auto"/>
        <w:jc w:val="both"/>
        <w:sectPr>
          <w:pgSz w:w="11910" w:h="16840"/>
          <w:pgMar w:header="877" w:footer="0" w:top="1420" w:bottom="280" w:left="1260" w:right="1480"/>
        </w:sectPr>
      </w:pPr>
    </w:p>
    <w:p>
      <w:pPr>
        <w:pStyle w:val="BodyText"/>
        <w:spacing w:before="110"/>
        <w:ind w:left="960"/>
      </w:pPr>
      <w:r>
        <w:rPr>
          <w:rFonts w:ascii="Times New Roman" w:eastAsia="Times New Roman"/>
        </w:rPr>
        <w:t>3</w:t>
      </w:r>
      <w:r>
        <w:rPr/>
        <w:t>、证券交易所交易时间非正常停市，导致基金管理人无法计算当日基金资产净值。</w:t>
      </w:r>
    </w:p>
    <w:p>
      <w:pPr>
        <w:pStyle w:val="BodyText"/>
        <w:spacing w:before="6"/>
        <w:rPr>
          <w:sz w:val="15"/>
        </w:rPr>
      </w:pPr>
    </w:p>
    <w:p>
      <w:pPr>
        <w:pStyle w:val="BodyText"/>
        <w:ind w:left="960"/>
      </w:pPr>
      <w:r>
        <w:rPr>
          <w:rFonts w:ascii="Times New Roman" w:eastAsia="Times New Roman"/>
        </w:rPr>
        <w:t>4</w:t>
      </w:r>
      <w:r>
        <w:rPr/>
        <w:t>、接受某笔或某些申购申请可能会影响或损害现有基金份额持有人利益时。</w:t>
      </w:r>
    </w:p>
    <w:p>
      <w:pPr>
        <w:pStyle w:val="BodyText"/>
        <w:spacing w:before="7"/>
        <w:rPr>
          <w:sz w:val="15"/>
        </w:rPr>
      </w:pPr>
    </w:p>
    <w:p>
      <w:pPr>
        <w:pStyle w:val="BodyText"/>
        <w:spacing w:line="417" w:lineRule="auto"/>
        <w:ind w:left="540" w:right="314" w:firstLine="41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spacing w:line="417" w:lineRule="auto"/>
        <w:ind w:left="540" w:right="314" w:firstLine="419"/>
      </w:pPr>
      <w:r>
        <w:rPr>
          <w:rFonts w:ascii="Times New Roman" w:eastAsia="Times New Roman"/>
        </w:rPr>
        <w:t>6</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269" w:lineRule="exact"/>
        <w:ind w:left="960"/>
      </w:pPr>
      <w:r>
        <w:rPr>
          <w:rFonts w:ascii="Times New Roman" w:eastAsia="Times New Roman"/>
        </w:rPr>
        <w:t>7</w:t>
      </w:r>
      <w:r>
        <w:rPr/>
        <w:t>、法律法规规定或中国证监会认定的其他情形。</w:t>
      </w:r>
    </w:p>
    <w:p>
      <w:pPr>
        <w:pStyle w:val="BodyText"/>
        <w:spacing w:before="7"/>
        <w:rPr>
          <w:sz w:val="15"/>
        </w:rPr>
      </w:pPr>
    </w:p>
    <w:p>
      <w:pPr>
        <w:pStyle w:val="BodyText"/>
        <w:spacing w:line="417" w:lineRule="auto"/>
        <w:ind w:left="540" w:right="205" w:firstLine="419"/>
      </w:pPr>
      <w:r>
        <w:rPr>
          <w:spacing w:val="-9"/>
        </w:rPr>
        <w:t>发生上述第 </w:t>
      </w:r>
      <w:r>
        <w:rPr>
          <w:rFonts w:ascii="Times New Roman" w:eastAsia="Times New Roman"/>
        </w:rPr>
        <w:t>1</w:t>
      </w:r>
      <w:r>
        <w:rPr>
          <w:spacing w:val="-20"/>
        </w:rPr>
        <w:t>、</w:t>
      </w:r>
      <w:r>
        <w:rPr>
          <w:rFonts w:ascii="Times New Roman" w:eastAsia="Times New Roman"/>
          <w:spacing w:val="-3"/>
        </w:rPr>
        <w:t>2</w:t>
      </w:r>
      <w:r>
        <w:rPr>
          <w:spacing w:val="-19"/>
        </w:rPr>
        <w:t>、</w:t>
      </w:r>
      <w:r>
        <w:rPr>
          <w:rFonts w:ascii="Times New Roman" w:eastAsia="Times New Roman"/>
        </w:rPr>
        <w:t>3</w:t>
      </w:r>
      <w:r>
        <w:rPr>
          <w:spacing w:val="-22"/>
        </w:rPr>
        <w:t>、</w:t>
      </w:r>
      <w:r>
        <w:rPr>
          <w:rFonts w:ascii="Times New Roman" w:eastAsia="Times New Roman"/>
        </w:rPr>
        <w:t>5</w:t>
      </w:r>
      <w:r>
        <w:rPr>
          <w:spacing w:val="-20"/>
        </w:rPr>
        <w:t>、</w:t>
      </w:r>
      <w:r>
        <w:rPr>
          <w:rFonts w:ascii="Times New Roman" w:eastAsia="Times New Roman"/>
        </w:rPr>
        <w:t>7 </w:t>
      </w:r>
      <w:r>
        <w:rPr>
          <w:spacing w:val="-6"/>
        </w:rPr>
        <w:t>项暂停申购情形时，基金管理人应当根据有关规定在指定媒</w:t>
      </w:r>
      <w:r>
        <w:rPr>
          <w:spacing w:val="-16"/>
        </w:rPr>
        <w:t>介上刊登暂停申购公告。如果投资人的申购申请被拒绝，被拒绝的申购款项将退还给投资人。</w:t>
      </w:r>
      <w:r>
        <w:rPr>
          <w:spacing w:val="-7"/>
        </w:rPr>
        <w:t>在暂停申购的情况消除时，基金管理人应及时恢复申购业务的办理。</w:t>
      </w:r>
    </w:p>
    <w:p>
      <w:pPr>
        <w:pStyle w:val="BodyText"/>
        <w:spacing w:line="269" w:lineRule="exact"/>
        <w:ind w:left="960"/>
      </w:pPr>
      <w:r>
        <w:rPr/>
        <w:t>（九）暂停赎回或延缓支付赎回款项的情形</w:t>
      </w:r>
    </w:p>
    <w:p>
      <w:pPr>
        <w:pStyle w:val="BodyText"/>
        <w:spacing w:before="7"/>
        <w:rPr>
          <w:sz w:val="15"/>
        </w:rPr>
      </w:pPr>
    </w:p>
    <w:p>
      <w:pPr>
        <w:pStyle w:val="BodyText"/>
        <w:ind w:left="960"/>
      </w:pPr>
      <w:r>
        <w:rPr/>
        <w:t>发生下列情形时，基金管理人可暂停接受投资人的赎回申请或延缓支付赎回款项：</w:t>
      </w:r>
    </w:p>
    <w:p>
      <w:pPr>
        <w:pStyle w:val="BodyText"/>
        <w:spacing w:before="7"/>
        <w:rPr>
          <w:sz w:val="15"/>
        </w:rPr>
      </w:pPr>
    </w:p>
    <w:p>
      <w:pPr>
        <w:pStyle w:val="BodyText"/>
        <w:ind w:left="960"/>
      </w:pPr>
      <w:r>
        <w:rPr>
          <w:rFonts w:ascii="Times New Roman" w:eastAsia="Times New Roman"/>
        </w:rPr>
        <w:t>1</w:t>
      </w:r>
      <w:r>
        <w:rPr/>
        <w:t>、因不可抗力导致基金管理人不能支付赎回款项。</w:t>
      </w:r>
    </w:p>
    <w:p>
      <w:pPr>
        <w:pStyle w:val="BodyText"/>
        <w:spacing w:before="6"/>
        <w:rPr>
          <w:sz w:val="15"/>
        </w:rPr>
      </w:pPr>
    </w:p>
    <w:p>
      <w:pPr>
        <w:pStyle w:val="BodyText"/>
        <w:spacing w:line="417" w:lineRule="auto"/>
        <w:ind w:left="540" w:right="311" w:firstLine="419"/>
        <w:jc w:val="both"/>
      </w:pPr>
      <w:r>
        <w:rPr>
          <w:rFonts w:ascii="Times New Roman" w:eastAsia="Times New Roman"/>
        </w:rPr>
        <w:t>2</w:t>
      </w:r>
      <w:r>
        <w:rPr>
          <w:spacing w:val="-3"/>
        </w:rPr>
        <w:t>、发生基金合同规定的暂停基金资产估值情况时，基金管理人可暂停接收投资人的赎</w:t>
      </w:r>
      <w:r>
        <w:rPr>
          <w:spacing w:val="-2"/>
        </w:rPr>
        <w:t>回申请或延缓支付赎回款项。当前一估值日基金资产净值 </w:t>
      </w:r>
      <w:r>
        <w:rPr>
          <w:rFonts w:ascii="Times New Roman" w:eastAsia="Times New Roman"/>
        </w:rPr>
        <w:t>50%</w:t>
      </w:r>
      <w:r>
        <w:rPr>
          <w:spacing w:val="-2"/>
        </w:rPr>
        <w:t>以上的资产出现无可参考的</w:t>
      </w:r>
      <w:r>
        <w:rPr>
          <w:spacing w:val="-7"/>
        </w:rPr>
        <w:t>活跃市场价格且采用估值技术仍导致公允价值存在重大不确定性时，经与基金托管人协商确</w:t>
      </w:r>
      <w:r>
        <w:rPr>
          <w:spacing w:val="-5"/>
        </w:rPr>
        <w:t>认后，基金管理人应当暂停接受基金赎回申请或延缓支付赎回款项。</w:t>
      </w:r>
    </w:p>
    <w:p>
      <w:pPr>
        <w:pStyle w:val="BodyText"/>
        <w:spacing w:line="269" w:lineRule="exact"/>
        <w:ind w:left="960"/>
      </w:pPr>
      <w:r>
        <w:rPr>
          <w:rFonts w:ascii="Times New Roman" w:eastAsia="Times New Roman"/>
        </w:rPr>
        <w:t>3</w:t>
      </w:r>
      <w:r>
        <w:rPr/>
        <w:t>、证券交易所交易时间非正常停市，导致基金管理人无法计算当日基金资产净值。</w:t>
      </w:r>
    </w:p>
    <w:p>
      <w:pPr>
        <w:pStyle w:val="BodyText"/>
        <w:spacing w:before="7"/>
        <w:rPr>
          <w:sz w:val="15"/>
        </w:rPr>
      </w:pPr>
    </w:p>
    <w:p>
      <w:pPr>
        <w:pStyle w:val="BodyText"/>
        <w:ind w:left="960"/>
      </w:pPr>
      <w:r>
        <w:rPr>
          <w:rFonts w:ascii="Times New Roman" w:eastAsia="Times New Roman"/>
        </w:rPr>
        <w:t>4</w:t>
      </w:r>
      <w:r>
        <w:rPr/>
        <w:t>、连续两个或两个以上开放日发生巨额赎回。</w:t>
      </w:r>
    </w:p>
    <w:p>
      <w:pPr>
        <w:pStyle w:val="BodyText"/>
        <w:spacing w:before="7"/>
        <w:rPr>
          <w:sz w:val="15"/>
        </w:rPr>
      </w:pPr>
    </w:p>
    <w:p>
      <w:pPr>
        <w:pStyle w:val="BodyText"/>
        <w:ind w:left="960"/>
      </w:pPr>
      <w:r>
        <w:rPr>
          <w:rFonts w:ascii="Times New Roman" w:eastAsia="Times New Roman"/>
        </w:rPr>
        <w:t>5</w:t>
      </w:r>
      <w:r>
        <w:rPr/>
        <w:t>、继续接受赎回申请可能会影响或损害现有基金份额持有人利益时。</w:t>
      </w:r>
    </w:p>
    <w:p>
      <w:pPr>
        <w:pStyle w:val="BodyText"/>
        <w:spacing w:before="7"/>
        <w:rPr>
          <w:sz w:val="15"/>
        </w:rPr>
      </w:pPr>
    </w:p>
    <w:p>
      <w:pPr>
        <w:pStyle w:val="BodyText"/>
        <w:ind w:left="960"/>
      </w:pPr>
      <w:r>
        <w:rPr>
          <w:rFonts w:ascii="Times New Roman" w:eastAsia="Times New Roman"/>
        </w:rPr>
        <w:t>6</w:t>
      </w:r>
      <w:r>
        <w:rPr/>
        <w:t>、法律法规规定或中国证监会认定的其他情形。</w:t>
      </w:r>
    </w:p>
    <w:p>
      <w:pPr>
        <w:pStyle w:val="BodyText"/>
        <w:spacing w:before="7"/>
        <w:rPr>
          <w:sz w:val="15"/>
        </w:rPr>
      </w:pPr>
    </w:p>
    <w:p>
      <w:pPr>
        <w:pStyle w:val="BodyText"/>
        <w:spacing w:line="417" w:lineRule="auto"/>
        <w:ind w:left="540" w:right="311" w:firstLine="419"/>
        <w:jc w:val="both"/>
      </w:pPr>
      <w:r>
        <w:rPr>
          <w:spacing w:val="-10"/>
        </w:rPr>
        <w:t>发生上述情形时，基金管理人应在当日报中国证监会备案，已确认的赎回申请，基金管</w:t>
      </w:r>
      <w:r>
        <w:rPr>
          <w:spacing w:val="-13"/>
        </w:rPr>
        <w:t>理人应足额支付；如暂时不能足额支付，应将可支付部分按单个账户申请量占申请总量的比例分配给赎回申请人，未支付部分可延期支付，并以后续开放日的基金份额净值为依据计算赎回金额。若出现上述第 </w:t>
      </w:r>
      <w:r>
        <w:rPr>
          <w:rFonts w:ascii="Times New Roman" w:eastAsia="Times New Roman"/>
        </w:rPr>
        <w:t>4 </w:t>
      </w:r>
      <w:r>
        <w:rPr>
          <w:spacing w:val="-10"/>
        </w:rPr>
        <w:t>项所述情形，按基金合同的相关条款处理。基金份额持有人在申</w:t>
      </w:r>
      <w:r>
        <w:rPr>
          <w:spacing w:val="-9"/>
        </w:rPr>
        <w:t>请赎回时可事先选择将当日可能未获受理部分予以撤销。在暂停赎回的情况消除时，基金管</w:t>
      </w:r>
      <w:r>
        <w:rPr>
          <w:spacing w:val="-5"/>
        </w:rPr>
        <w:t>理人应及时恢复赎回业务的办理并公告。</w:t>
      </w:r>
    </w:p>
    <w:p>
      <w:pPr>
        <w:pStyle w:val="BodyText"/>
        <w:spacing w:line="268" w:lineRule="exact"/>
        <w:ind w:left="960"/>
      </w:pPr>
      <w:r>
        <w:rPr/>
        <w:t>（十）巨额赎回的情形及处理方式</w:t>
      </w:r>
    </w:p>
    <w:p>
      <w:pPr>
        <w:pStyle w:val="BodyText"/>
        <w:spacing w:before="7"/>
        <w:rPr>
          <w:sz w:val="15"/>
        </w:rPr>
      </w:pPr>
    </w:p>
    <w:p>
      <w:pPr>
        <w:pStyle w:val="BodyText"/>
        <w:ind w:left="960"/>
      </w:pPr>
      <w:r>
        <w:rPr>
          <w:rFonts w:ascii="Times New Roman" w:eastAsia="Times New Roman"/>
        </w:rPr>
        <w:t>1</w:t>
      </w:r>
      <w:r>
        <w:rPr/>
        <w:t>、巨额赎回的认定</w:t>
      </w:r>
    </w:p>
    <w:p>
      <w:pPr>
        <w:pStyle w:val="BodyText"/>
        <w:spacing w:before="7"/>
        <w:rPr>
          <w:sz w:val="15"/>
        </w:rPr>
      </w:pPr>
    </w:p>
    <w:p>
      <w:pPr>
        <w:pStyle w:val="BodyText"/>
        <w:ind w:left="960"/>
      </w:pPr>
      <w:r>
        <w:rPr/>
        <w:t>若本基金单个开放日内的基金份额净赎回申请（赎回申请份额总数加上基金转换中转出</w:t>
      </w:r>
    </w:p>
    <w:p>
      <w:pPr>
        <w:spacing w:after="0"/>
        <w:sectPr>
          <w:pgSz w:w="11910" w:h="16840"/>
          <w:pgMar w:header="877" w:footer="0" w:top="1420" w:bottom="280" w:left="1260" w:right="1480"/>
        </w:sectPr>
      </w:pPr>
    </w:p>
    <w:p>
      <w:pPr>
        <w:pStyle w:val="BodyText"/>
        <w:spacing w:line="417" w:lineRule="auto" w:before="110"/>
        <w:ind w:left="540" w:right="311"/>
      </w:pPr>
      <w:r>
        <w:rPr>
          <w:spacing w:val="-3"/>
        </w:rPr>
        <w:t>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Times New Roman" w:eastAsia="Times New Roman"/>
        </w:rPr>
        <w:t>10%</w:t>
      </w:r>
      <w:r>
        <w:rPr>
          <w:spacing w:val="-3"/>
        </w:rPr>
        <w:t>，即认为是发生了巨额赎回。</w:t>
      </w:r>
    </w:p>
    <w:p>
      <w:pPr>
        <w:pStyle w:val="BodyText"/>
        <w:spacing w:line="269" w:lineRule="exact"/>
        <w:ind w:left="960"/>
      </w:pPr>
      <w:r>
        <w:rPr>
          <w:rFonts w:ascii="Times New Roman" w:eastAsia="Times New Roman"/>
        </w:rPr>
        <w:t>2</w:t>
      </w:r>
      <w:r>
        <w:rPr/>
        <w:t>、巨额赎回的处理方式</w:t>
      </w:r>
    </w:p>
    <w:p>
      <w:pPr>
        <w:pStyle w:val="BodyText"/>
        <w:spacing w:before="6"/>
        <w:rPr>
          <w:sz w:val="15"/>
        </w:rPr>
      </w:pPr>
    </w:p>
    <w:p>
      <w:pPr>
        <w:pStyle w:val="BodyText"/>
        <w:spacing w:line="417" w:lineRule="auto"/>
        <w:ind w:left="540" w:right="31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14"/>
        </w:numPr>
        <w:tabs>
          <w:tab w:pos="1490" w:val="left" w:leader="none"/>
        </w:tabs>
        <w:spacing w:line="417" w:lineRule="auto" w:before="0" w:after="0"/>
        <w:ind w:left="540" w:right="314" w:firstLine="419"/>
        <w:jc w:val="left"/>
        <w:rPr>
          <w:sz w:val="21"/>
        </w:rPr>
      </w:pPr>
      <w:r>
        <w:rPr>
          <w:spacing w:val="-3"/>
          <w:sz w:val="21"/>
        </w:rPr>
        <w:t>全额赎回：当基金管理人认为有能力支付投资人的全部赎回申请时，按正常赎回程序执行。</w:t>
      </w:r>
    </w:p>
    <w:p>
      <w:pPr>
        <w:pStyle w:val="ListParagraph"/>
        <w:numPr>
          <w:ilvl w:val="0"/>
          <w:numId w:val="14"/>
        </w:numPr>
        <w:tabs>
          <w:tab w:pos="1490" w:val="left" w:leader="none"/>
        </w:tabs>
        <w:spacing w:line="417" w:lineRule="auto" w:before="0" w:after="0"/>
        <w:ind w:left="540" w:right="205"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 </w:t>
      </w:r>
      <w:r>
        <w:rPr>
          <w:spacing w:val="-7"/>
          <w:sz w:val="21"/>
        </w:rPr>
        <w:t>当日未获受理的部分赎回申请将被撤销。延期的赎回申请与下一开放日赎回申请一并处理， </w:t>
      </w:r>
      <w:r>
        <w:rPr>
          <w:spacing w:val="-9"/>
          <w:sz w:val="21"/>
        </w:rPr>
        <w:t>无优先权并以下一开放日的基金份额净值为基础计算赎回金额，以此类推，直到全部赎回为</w:t>
      </w:r>
      <w:r>
        <w:rPr>
          <w:spacing w:val="-5"/>
          <w:sz w:val="21"/>
        </w:rPr>
        <w:t>止。如投资人在提交赎回申请时未作明确选择，投资人未能赎回部分作自动延期赎回处理。</w:t>
      </w:r>
    </w:p>
    <w:p>
      <w:pPr>
        <w:pStyle w:val="ListParagraph"/>
        <w:numPr>
          <w:ilvl w:val="0"/>
          <w:numId w:val="14"/>
        </w:numPr>
        <w:tabs>
          <w:tab w:pos="1490" w:val="left" w:leader="none"/>
        </w:tabs>
        <w:spacing w:line="417" w:lineRule="auto" w:before="0" w:after="0"/>
        <w:ind w:left="540" w:right="311" w:firstLine="419"/>
        <w:jc w:val="both"/>
        <w:rPr>
          <w:sz w:val="21"/>
        </w:rPr>
      </w:pPr>
      <w:r>
        <w:rPr>
          <w:spacing w:val="-7"/>
          <w:sz w:val="21"/>
        </w:rPr>
        <w:t>暂停赎回：连续 </w:t>
      </w:r>
      <w:r>
        <w:rPr>
          <w:rFonts w:ascii="Times New Roman" w:eastAsia="Times New Roman"/>
          <w:sz w:val="21"/>
        </w:rPr>
        <w:t>2</w:t>
      </w:r>
      <w:r>
        <w:rPr>
          <w:rFonts w:ascii="Times New Roman" w:eastAsia="Times New Roman"/>
          <w:spacing w:val="23"/>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Times New Roman" w:eastAsia="Times New Roman"/>
          <w:sz w:val="21"/>
        </w:rPr>
        <w:t>20</w:t>
      </w:r>
      <w:r>
        <w:rPr>
          <w:rFonts w:ascii="Times New Roman" w:eastAsia="Times New Roman"/>
          <w:spacing w:val="-3"/>
          <w:sz w:val="21"/>
        </w:rPr>
        <w:t> </w:t>
      </w:r>
      <w:r>
        <w:rPr>
          <w:spacing w:val="-3"/>
          <w:sz w:val="21"/>
        </w:rPr>
        <w:t>个工作日，并应当在指定媒介上进行公告。</w:t>
      </w:r>
    </w:p>
    <w:p>
      <w:pPr>
        <w:pStyle w:val="ListParagraph"/>
        <w:numPr>
          <w:ilvl w:val="0"/>
          <w:numId w:val="14"/>
        </w:numPr>
        <w:tabs>
          <w:tab w:pos="1487" w:val="left" w:leader="none"/>
        </w:tabs>
        <w:spacing w:line="417" w:lineRule="auto" w:before="0" w:after="0"/>
        <w:ind w:left="540" w:right="311" w:firstLine="419"/>
        <w:jc w:val="both"/>
        <w:rPr>
          <w:sz w:val="21"/>
        </w:rPr>
      </w:pPr>
      <w:r>
        <w:rPr>
          <w:spacing w:val="-5"/>
          <w:sz w:val="21"/>
        </w:rPr>
        <w:t>如果基金发生巨额赎回，在单个基金份额持有人超过基金总份额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540" w:right="31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spacing w:after="0" w:line="417" w:lineRule="auto"/>
        <w:jc w:val="both"/>
        <w:sectPr>
          <w:pgSz w:w="11910" w:h="16840"/>
          <w:pgMar w:header="877" w:footer="0" w:top="1420" w:bottom="280" w:left="1260" w:right="1480"/>
        </w:sectPr>
      </w:pPr>
    </w:p>
    <w:p>
      <w:pPr>
        <w:pStyle w:val="BodyText"/>
        <w:spacing w:line="417" w:lineRule="auto" w:before="110"/>
        <w:ind w:left="540" w:right="311" w:firstLine="419"/>
        <w:jc w:val="both"/>
      </w:pPr>
      <w:r>
        <w:rPr>
          <w:spacing w:val="-7"/>
        </w:rPr>
        <w:t>②如果基金管理人认为仅支付其他投资人的赎回申请也有困难时，则所有投资人的赎回</w:t>
      </w:r>
      <w:r>
        <w:rPr>
          <w:spacing w:val="-57"/>
        </w:rPr>
        <w:t>申请</w:t>
      </w:r>
      <w:r>
        <w:rPr>
          <w:spacing w:val="-3"/>
        </w:rPr>
        <w:t>（</w:t>
      </w:r>
      <w:r>
        <w:rPr>
          <w:spacing w:val="-5"/>
        </w:rPr>
        <w:t>包括单个投资人超过基金总份额 </w:t>
      </w:r>
      <w:r>
        <w:rPr>
          <w:rFonts w:ascii="Times New Roman" w:hAnsi="Times New Roman" w:eastAsia="Times New Roman"/>
        </w:rPr>
        <w:t>20%</w:t>
      </w:r>
      <w:r>
        <w:rPr>
          <w:spacing w:val="-3"/>
        </w:rPr>
        <w:t>以上的大额赎回申请和其他投资人的赎回申请</w:t>
      </w:r>
      <w:r>
        <w:rPr/>
        <w:t>） </w:t>
      </w: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BodyText"/>
        <w:spacing w:line="269" w:lineRule="exact"/>
        <w:ind w:left="960"/>
      </w:pPr>
      <w:r>
        <w:rPr>
          <w:rFonts w:ascii="Times New Roman" w:eastAsia="Times New Roman"/>
        </w:rPr>
        <w:t>3</w:t>
      </w:r>
      <w:r>
        <w:rPr/>
        <w:t>、巨额赎回的公告</w:t>
      </w:r>
    </w:p>
    <w:p>
      <w:pPr>
        <w:pStyle w:val="BodyText"/>
        <w:spacing w:before="6"/>
        <w:rPr>
          <w:sz w:val="15"/>
        </w:rPr>
      </w:pPr>
    </w:p>
    <w:p>
      <w:pPr>
        <w:pStyle w:val="BodyText"/>
        <w:spacing w:line="417" w:lineRule="auto"/>
        <w:ind w:left="540" w:right="311" w:firstLine="419"/>
        <w:jc w:val="both"/>
      </w:pPr>
      <w:r>
        <w:rPr>
          <w:spacing w:val="-8"/>
        </w:rPr>
        <w:t>当发生上述延期赎回并延期办理时，基金管理人应当通过邮寄、传真或者招募说明书规</w:t>
      </w:r>
      <w:r>
        <w:rPr>
          <w:spacing w:val="-10"/>
        </w:rPr>
        <w:t>定的其他方式在 </w:t>
      </w:r>
      <w:r>
        <w:rPr>
          <w:rFonts w:ascii="Times New Roman" w:eastAsia="Times New Roman"/>
        </w:rPr>
        <w:t>3 </w:t>
      </w:r>
      <w:r>
        <w:rPr>
          <w:spacing w:val="-8"/>
        </w:rPr>
        <w:t>个交易日内通知基金份额持有人，说明有关处理方法，同时在指定媒介上</w:t>
      </w:r>
      <w:r>
        <w:rPr>
          <w:spacing w:val="-5"/>
        </w:rPr>
        <w:t>刊登公告。</w:t>
      </w:r>
    </w:p>
    <w:p>
      <w:pPr>
        <w:pStyle w:val="BodyText"/>
        <w:spacing w:before="1"/>
        <w:ind w:left="960"/>
      </w:pPr>
      <w:r>
        <w:rPr/>
        <w:t>（十一）暂停申购或赎回的公告和重新开放申购或赎回的公告</w:t>
      </w:r>
    </w:p>
    <w:p>
      <w:pPr>
        <w:pStyle w:val="BodyText"/>
        <w:spacing w:before="6"/>
        <w:rPr>
          <w:sz w:val="15"/>
        </w:rPr>
      </w:pPr>
    </w:p>
    <w:p>
      <w:pPr>
        <w:pStyle w:val="BodyText"/>
        <w:spacing w:line="417" w:lineRule="auto"/>
        <w:ind w:left="540" w:right="314"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540" w:right="25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540" w:right="31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ind w:left="960"/>
      </w:pPr>
      <w:r>
        <w:rPr/>
        <w:t>（十二）基金转换</w:t>
      </w:r>
    </w:p>
    <w:p>
      <w:pPr>
        <w:pStyle w:val="BodyText"/>
        <w:spacing w:before="6"/>
        <w:rPr>
          <w:sz w:val="15"/>
        </w:rPr>
      </w:pPr>
    </w:p>
    <w:p>
      <w:pPr>
        <w:pStyle w:val="BodyText"/>
        <w:ind w:left="974"/>
      </w:pPr>
      <w:r>
        <w:rPr>
          <w:rFonts w:ascii="Times New Roman" w:eastAsia="Times New Roman"/>
        </w:rPr>
        <w:t>1</w:t>
      </w:r>
      <w:r>
        <w:rPr/>
        <w:t>、基金转换的原则</w:t>
      </w:r>
    </w:p>
    <w:p>
      <w:pPr>
        <w:pStyle w:val="BodyText"/>
        <w:spacing w:before="7"/>
        <w:rPr>
          <w:sz w:val="15"/>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基金转换以份额为单位进行申请。</w:t>
      </w:r>
    </w:p>
    <w:p>
      <w:pPr>
        <w:pStyle w:val="BodyText"/>
        <w:spacing w:before="6"/>
        <w:rPr>
          <w:sz w:val="15"/>
        </w:rPr>
      </w:pPr>
    </w:p>
    <w:p>
      <w:pPr>
        <w:pStyle w:val="ListParagraph"/>
        <w:numPr>
          <w:ilvl w:val="0"/>
          <w:numId w:val="15"/>
        </w:numPr>
        <w:tabs>
          <w:tab w:pos="1490" w:val="left" w:leader="none"/>
        </w:tabs>
        <w:spacing w:line="417" w:lineRule="auto" w:before="1" w:after="0"/>
        <w:ind w:left="540" w:right="313"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投资者Ｔ日申请基金转换后，</w:t>
      </w:r>
      <w:r>
        <w:rPr>
          <w:rFonts w:ascii="Times New Roman" w:eastAsia="Times New Roman"/>
          <w:sz w:val="21"/>
        </w:rPr>
        <w:t>T+1 </w:t>
      </w:r>
      <w:r>
        <w:rPr>
          <w:spacing w:val="-3"/>
          <w:sz w:val="21"/>
        </w:rPr>
        <w:t>日可获得确认。</w:t>
      </w:r>
    </w:p>
    <w:p>
      <w:pPr>
        <w:pStyle w:val="BodyText"/>
        <w:spacing w:before="6"/>
        <w:rPr>
          <w:sz w:val="15"/>
        </w:rPr>
      </w:pPr>
    </w:p>
    <w:p>
      <w:pPr>
        <w:pStyle w:val="ListParagraph"/>
        <w:numPr>
          <w:ilvl w:val="0"/>
          <w:numId w:val="15"/>
        </w:numPr>
        <w:tabs>
          <w:tab w:pos="1487" w:val="left" w:leader="none"/>
        </w:tabs>
        <w:spacing w:line="417" w:lineRule="auto" w:before="1" w:after="0"/>
        <w:ind w:left="540" w:right="31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5"/>
        </w:numPr>
        <w:tabs>
          <w:tab w:pos="1490" w:val="left" w:leader="none"/>
        </w:tabs>
        <w:spacing w:line="417" w:lineRule="auto" w:before="0" w:after="0"/>
        <w:ind w:left="540" w:right="31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5"/>
        </w:numPr>
        <w:tabs>
          <w:tab w:pos="1490" w:val="left" w:leader="none"/>
        </w:tabs>
        <w:spacing w:line="417" w:lineRule="auto" w:before="0" w:after="0"/>
        <w:ind w:left="540" w:right="314" w:firstLine="419"/>
        <w:jc w:val="left"/>
        <w:rPr>
          <w:sz w:val="21"/>
        </w:rPr>
      </w:pPr>
      <w:r>
        <w:rPr>
          <w:spacing w:val="-3"/>
          <w:sz w:val="21"/>
        </w:rPr>
        <w:t>投资者办理基金转换业务时，转出基金必须处于可赎回状态，转入基金必须处于可申购状态。</w:t>
      </w:r>
    </w:p>
    <w:p>
      <w:pPr>
        <w:spacing w:after="0" w:line="417" w:lineRule="auto"/>
        <w:jc w:val="left"/>
        <w:rPr>
          <w:sz w:val="21"/>
        </w:rPr>
        <w:sectPr>
          <w:pgSz w:w="11910" w:h="16840"/>
          <w:pgMar w:header="877" w:footer="0" w:top="1420" w:bottom="280" w:left="1260" w:right="1480"/>
        </w:sectPr>
      </w:pPr>
    </w:p>
    <w:p>
      <w:pPr>
        <w:pStyle w:val="BodyText"/>
        <w:spacing w:line="417" w:lineRule="auto" w:before="110"/>
        <w:ind w:left="540" w:right="31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269" w:lineRule="exact"/>
        <w:ind w:left="960"/>
        <w:rPr>
          <w:rFonts w:ascii="Times New Roman" w:eastAsia="Times New Roman"/>
        </w:rPr>
      </w:pPr>
      <w:r>
        <w:rPr/>
        <w:t>基金管理人有权根据市场情况调整转换的程序及有关限制，但应最迟在调整生效前 </w:t>
      </w:r>
      <w:r>
        <w:rPr>
          <w:rFonts w:ascii="Times New Roman" w:eastAsia="Times New Roman"/>
        </w:rPr>
        <w:t>2</w:t>
      </w:r>
    </w:p>
    <w:p>
      <w:pPr>
        <w:pStyle w:val="BodyText"/>
        <w:spacing w:before="3"/>
        <w:rPr>
          <w:rFonts w:ascii="Times New Roman"/>
          <w:sz w:val="17"/>
        </w:rPr>
      </w:pPr>
    </w:p>
    <w:p>
      <w:pPr>
        <w:pStyle w:val="BodyText"/>
        <w:ind w:left="540"/>
      </w:pPr>
      <w:r>
        <w:rPr/>
        <w:t>个工作日在至少一种中国证监会指定的信息披露媒介公告。</w:t>
      </w:r>
    </w:p>
    <w:p>
      <w:pPr>
        <w:pStyle w:val="BodyText"/>
        <w:spacing w:before="7"/>
        <w:rPr>
          <w:sz w:val="15"/>
        </w:rPr>
      </w:pPr>
    </w:p>
    <w:p>
      <w:pPr>
        <w:pStyle w:val="BodyText"/>
        <w:ind w:left="974"/>
      </w:pPr>
      <w:r>
        <w:rPr>
          <w:rFonts w:ascii="Times New Roman" w:eastAsia="Times New Roman"/>
        </w:rPr>
        <w:t>2</w:t>
      </w:r>
      <w:r>
        <w:rPr/>
        <w:t>、暂停基金转换的情形及处理</w:t>
      </w:r>
    </w:p>
    <w:p>
      <w:pPr>
        <w:pStyle w:val="BodyText"/>
        <w:spacing w:before="6"/>
        <w:rPr>
          <w:sz w:val="15"/>
        </w:rPr>
      </w:pPr>
    </w:p>
    <w:p>
      <w:pPr>
        <w:pStyle w:val="BodyText"/>
        <w:spacing w:before="1"/>
        <w:ind w:left="960"/>
      </w:pPr>
      <w:r>
        <w:rPr/>
        <w:t>出现下列情况之一时，基金管理人可以暂停基金转换业务：</w:t>
      </w:r>
    </w:p>
    <w:p>
      <w:pPr>
        <w:pStyle w:val="BodyText"/>
        <w:spacing w:before="6"/>
        <w:rPr>
          <w:sz w:val="15"/>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不可抗力的原因导致基金无法正常运作。</w:t>
      </w:r>
    </w:p>
    <w:p>
      <w:pPr>
        <w:pStyle w:val="BodyText"/>
        <w:spacing w:before="8"/>
        <w:rPr>
          <w:sz w:val="15"/>
        </w:rPr>
      </w:pPr>
    </w:p>
    <w:p>
      <w:pPr>
        <w:pStyle w:val="ListParagraph"/>
        <w:numPr>
          <w:ilvl w:val="0"/>
          <w:numId w:val="16"/>
        </w:numPr>
        <w:tabs>
          <w:tab w:pos="1490" w:val="left" w:leader="none"/>
        </w:tabs>
        <w:spacing w:line="417" w:lineRule="auto" w:before="0" w:after="0"/>
        <w:ind w:left="540" w:right="314" w:firstLine="419"/>
        <w:jc w:val="left"/>
        <w:rPr>
          <w:sz w:val="21"/>
        </w:rPr>
      </w:pPr>
      <w:r>
        <w:rPr>
          <w:spacing w:val="-3"/>
          <w:sz w:val="21"/>
        </w:rPr>
        <w:t>证券交易场所在交易时间非正常停市，导致基金管理人无法计算当日基金资产净值。</w:t>
      </w:r>
    </w:p>
    <w:p>
      <w:pPr>
        <w:pStyle w:val="ListParagraph"/>
        <w:numPr>
          <w:ilvl w:val="0"/>
          <w:numId w:val="16"/>
        </w:numPr>
        <w:tabs>
          <w:tab w:pos="1490" w:val="left" w:leader="none"/>
        </w:tabs>
        <w:spacing w:line="417" w:lineRule="auto" w:before="0" w:after="0"/>
        <w:ind w:left="540" w:right="31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6"/>
        </w:numPr>
        <w:tabs>
          <w:tab w:pos="1490" w:val="left" w:leader="none"/>
        </w:tabs>
        <w:spacing w:line="269" w:lineRule="exact" w:before="0" w:after="0"/>
        <w:ind w:left="1489" w:right="0" w:hanging="530"/>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基金管理人有正当理由认为需要拒绝或暂停接受基金转换申请的。</w:t>
      </w:r>
    </w:p>
    <w:p>
      <w:pPr>
        <w:pStyle w:val="BodyText"/>
        <w:spacing w:before="7"/>
        <w:rPr>
          <w:sz w:val="15"/>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540" w:right="311" w:firstLine="419"/>
        <w:jc w:val="both"/>
      </w:pPr>
      <w:r>
        <w:rPr>
          <w:spacing w:val="-12"/>
        </w:rPr>
        <w:t>发生上述情形之一的，基金管理人应于规定期限内在至少一种中国证监会指定媒介上刊</w:t>
      </w:r>
      <w:r>
        <w:rPr>
          <w:spacing w:val="-11"/>
        </w:rPr>
        <w:t>登暂停公告。重新开放基金转换时，基金管理人应及时在至少一种中国证监会指定媒介上刊</w:t>
      </w:r>
      <w:r>
        <w:rPr>
          <w:spacing w:val="-6"/>
        </w:rPr>
        <w:t>登重新开放基金转换的公告。</w:t>
      </w:r>
    </w:p>
    <w:p>
      <w:pPr>
        <w:pStyle w:val="BodyText"/>
        <w:spacing w:line="269" w:lineRule="exact"/>
        <w:ind w:left="974"/>
      </w:pPr>
      <w:r>
        <w:rPr>
          <w:rFonts w:ascii="Times New Roman" w:eastAsia="Times New Roman"/>
        </w:rPr>
        <w:t>3</w:t>
      </w:r>
      <w:r>
        <w:rPr/>
        <w:t>、基金转换费用</w:t>
      </w:r>
    </w:p>
    <w:p>
      <w:pPr>
        <w:pStyle w:val="BodyText"/>
        <w:spacing w:before="6"/>
        <w:rPr>
          <w:sz w:val="15"/>
        </w:rPr>
      </w:pPr>
    </w:p>
    <w:p>
      <w:pPr>
        <w:pStyle w:val="ListParagraph"/>
        <w:numPr>
          <w:ilvl w:val="0"/>
          <w:numId w:val="17"/>
        </w:numPr>
        <w:tabs>
          <w:tab w:pos="1490" w:val="left" w:leader="none"/>
        </w:tabs>
        <w:spacing w:line="240" w:lineRule="auto" w:before="1" w:after="0"/>
        <w:ind w:left="1489" w:right="0" w:hanging="530"/>
        <w:jc w:val="left"/>
        <w:rPr>
          <w:sz w:val="21"/>
        </w:rPr>
      </w:pPr>
      <w:r>
        <w:rPr>
          <w:spacing w:val="-3"/>
          <w:sz w:val="21"/>
        </w:rPr>
        <w:t>基金转换费：无。</w:t>
      </w:r>
    </w:p>
    <w:p>
      <w:pPr>
        <w:pStyle w:val="BodyText"/>
        <w:spacing w:before="6"/>
        <w:rPr>
          <w:sz w:val="15"/>
        </w:rPr>
      </w:pPr>
    </w:p>
    <w:p>
      <w:pPr>
        <w:pStyle w:val="ListParagraph"/>
        <w:numPr>
          <w:ilvl w:val="0"/>
          <w:numId w:val="17"/>
        </w:numPr>
        <w:tabs>
          <w:tab w:pos="1490" w:val="left" w:leader="none"/>
        </w:tabs>
        <w:spacing w:line="417" w:lineRule="auto" w:before="0" w:after="0"/>
        <w:ind w:left="540" w:right="31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7"/>
        </w:numPr>
        <w:tabs>
          <w:tab w:pos="1490" w:val="left" w:leader="none"/>
        </w:tabs>
        <w:spacing w:line="240" w:lineRule="auto" w:before="0" w:after="0"/>
        <w:ind w:left="1489" w:right="0" w:hanging="530"/>
        <w:jc w:val="left"/>
        <w:rPr>
          <w:sz w:val="21"/>
        </w:rPr>
      </w:pPr>
      <w:r>
        <w:rPr>
          <w:spacing w:val="-3"/>
          <w:sz w:val="21"/>
        </w:rPr>
        <w:t>转入基金费用：转入基金申购费用根据适用的转换情形收取，详细如下：</w:t>
      </w:r>
    </w:p>
    <w:p>
      <w:pPr>
        <w:pStyle w:val="BodyText"/>
        <w:spacing w:before="7"/>
        <w:rPr>
          <w:sz w:val="15"/>
        </w:rPr>
      </w:pPr>
    </w:p>
    <w:p>
      <w:pPr>
        <w:pStyle w:val="BodyText"/>
        <w:ind w:left="960"/>
      </w:pPr>
      <w:r>
        <w:rPr/>
        <w:t>①从前端（比例费率）收费基金转出，转入其他前端（比例费率）收费基金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960"/>
      </w:pPr>
      <w:r>
        <w:rPr/>
        <w:t>业务举例：详见“</w:t>
      </w:r>
      <w:r>
        <w:rPr>
          <w:rFonts w:ascii="Times New Roman" w:hAnsi="Times New Roman" w:eastAsia="Times New Roman"/>
        </w:rPr>
        <w:t>4</w:t>
      </w:r>
      <w:r>
        <w:rPr/>
        <w:t>、业务举例”中例一。</w:t>
      </w:r>
    </w:p>
    <w:p>
      <w:pPr>
        <w:spacing w:after="0"/>
        <w:sectPr>
          <w:pgSz w:w="11910" w:h="16840"/>
          <w:pgMar w:header="877" w:footer="0" w:top="1420" w:bottom="280" w:left="1260" w:right="1480"/>
        </w:sectPr>
      </w:pPr>
    </w:p>
    <w:p>
      <w:pPr>
        <w:pStyle w:val="BodyText"/>
        <w:spacing w:before="110"/>
        <w:ind w:left="960"/>
      </w:pPr>
      <w:r>
        <w:rPr/>
        <w:t>②从前端（比例费率）收费基金转出，转入其他前端（固定费用）收费基金</w:t>
      </w:r>
    </w:p>
    <w:p>
      <w:pPr>
        <w:pStyle w:val="BodyText"/>
        <w:spacing w:before="6"/>
        <w:rPr>
          <w:sz w:val="15"/>
        </w:rPr>
      </w:pPr>
    </w:p>
    <w:p>
      <w:pPr>
        <w:pStyle w:val="BodyText"/>
        <w:spacing w:line="417" w:lineRule="auto"/>
        <w:ind w:left="540" w:right="20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540" w:right="3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960"/>
      </w:pPr>
      <w:r>
        <w:rPr/>
        <w:t>业务举例：详见“</w:t>
      </w:r>
      <w:r>
        <w:rPr>
          <w:rFonts w:ascii="Times New Roman" w:hAnsi="Times New Roman" w:eastAsia="Times New Roman"/>
        </w:rPr>
        <w:t>4</w:t>
      </w:r>
      <w:r>
        <w:rPr/>
        <w:t>、业务举例”中例二。</w:t>
      </w:r>
    </w:p>
    <w:p>
      <w:pPr>
        <w:pStyle w:val="BodyText"/>
        <w:spacing w:before="7"/>
        <w:rPr>
          <w:sz w:val="15"/>
        </w:rPr>
      </w:pPr>
    </w:p>
    <w:p>
      <w:pPr>
        <w:pStyle w:val="BodyText"/>
        <w:ind w:left="960"/>
      </w:pPr>
      <w:r>
        <w:rPr/>
        <w:t>③从前端（比例费率）收费基金转出，转入其他后端收费基金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540" w:right="3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、业务举例”中例三。</w:t>
      </w:r>
    </w:p>
    <w:p>
      <w:pPr>
        <w:pStyle w:val="BodyText"/>
        <w:spacing w:before="6"/>
        <w:rPr>
          <w:sz w:val="15"/>
        </w:rPr>
      </w:pPr>
    </w:p>
    <w:p>
      <w:pPr>
        <w:pStyle w:val="BodyText"/>
        <w:spacing w:before="1"/>
        <w:ind w:left="960"/>
      </w:pPr>
      <w:r>
        <w:rPr/>
        <w:t>④从前端（比例费率）收费基金转出，转入其他不收取申购费用的基金</w:t>
      </w:r>
    </w:p>
    <w:p>
      <w:pPr>
        <w:pStyle w:val="BodyText"/>
        <w:spacing w:before="6"/>
        <w:rPr>
          <w:sz w:val="15"/>
        </w:rPr>
      </w:pPr>
    </w:p>
    <w:p>
      <w:pPr>
        <w:pStyle w:val="BodyText"/>
        <w:spacing w:line="417" w:lineRule="auto"/>
        <w:ind w:left="540" w:right="31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ind w:left="960"/>
      </w:pPr>
      <w:r>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、业务举例”中例四。</w:t>
      </w:r>
    </w:p>
    <w:p>
      <w:pPr>
        <w:pStyle w:val="BodyText"/>
        <w:spacing w:before="7"/>
        <w:rPr>
          <w:sz w:val="15"/>
        </w:rPr>
      </w:pPr>
    </w:p>
    <w:p>
      <w:pPr>
        <w:pStyle w:val="BodyText"/>
        <w:ind w:left="960"/>
      </w:pPr>
      <w:r>
        <w:rPr/>
        <w:t>⑤从前端（固定费用）收费基金转出，转入其他前端（比例费率）收费基金</w:t>
      </w:r>
    </w:p>
    <w:p>
      <w:pPr>
        <w:pStyle w:val="BodyText"/>
        <w:spacing w:before="6"/>
        <w:rPr>
          <w:sz w:val="15"/>
        </w:rPr>
      </w:pPr>
    </w:p>
    <w:p>
      <w:pPr>
        <w:pStyle w:val="BodyText"/>
        <w:spacing w:line="417" w:lineRule="auto" w:before="1"/>
        <w:ind w:left="540" w:right="20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960"/>
      </w:pPr>
      <w:r>
        <w:rPr/>
        <w:t>业务举例：详见“</w:t>
      </w:r>
      <w:r>
        <w:rPr>
          <w:rFonts w:ascii="Times New Roman" w:hAnsi="Times New Roman" w:eastAsia="Times New Roman"/>
        </w:rPr>
        <w:t>4</w:t>
      </w:r>
      <w:r>
        <w:rPr/>
        <w:t>、业务举例”中例五。</w:t>
      </w:r>
    </w:p>
    <w:p>
      <w:pPr>
        <w:pStyle w:val="BodyText"/>
        <w:spacing w:before="6"/>
        <w:rPr>
          <w:sz w:val="15"/>
        </w:rPr>
      </w:pPr>
    </w:p>
    <w:p>
      <w:pPr>
        <w:pStyle w:val="BodyText"/>
        <w:ind w:left="960"/>
      </w:pPr>
      <w:r>
        <w:rPr/>
        <w:t>⑥从前端（固定费用）收费基金转出，转入其他前端（固定费用）收费基金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960" w:right="210"/>
      </w:pPr>
      <w:r>
        <w:rPr/>
        <w:t>费用收取方式：收取的申购费用＝转入基金申购费用－转出基金申购费用，最低为 </w:t>
      </w:r>
      <w:r>
        <w:rPr>
          <w:rFonts w:ascii="Times New Roman" w:hAnsi="Times New Roman" w:eastAsia="Times New Roman"/>
        </w:rPr>
        <w:t>0</w:t>
      </w:r>
      <w:r>
        <w:rPr/>
        <w:t>。业务举例：详见“</w:t>
      </w:r>
      <w:r>
        <w:rPr>
          <w:rFonts w:ascii="Times New Roman" w:hAnsi="Times New Roman" w:eastAsia="Times New Roman"/>
        </w:rPr>
        <w:t>4</w:t>
      </w:r>
      <w:r>
        <w:rPr/>
        <w:t>、业务举例”中例六。</w:t>
      </w:r>
    </w:p>
    <w:p>
      <w:pPr>
        <w:pStyle w:val="BodyText"/>
        <w:ind w:left="960"/>
      </w:pPr>
      <w:r>
        <w:rPr/>
        <w:t>⑦从前端（固定费用）收费基金转出，转入其他后端收费基金</w:t>
      </w:r>
    </w:p>
    <w:p>
      <w:pPr>
        <w:pStyle w:val="BodyText"/>
        <w:spacing w:before="6"/>
        <w:rPr>
          <w:sz w:val="15"/>
        </w:rPr>
      </w:pPr>
    </w:p>
    <w:p>
      <w:pPr>
        <w:pStyle w:val="BodyText"/>
        <w:spacing w:before="1"/>
        <w:ind w:left="960"/>
      </w:pPr>
      <w:r>
        <w:rPr/>
        <w:t>情形描述：投资者将其持有的某一前端收费基金的基金份额转换为本公司管理的其他后</w:t>
      </w:r>
    </w:p>
    <w:p>
      <w:pPr>
        <w:spacing w:after="0"/>
        <w:sectPr>
          <w:pgSz w:w="11910" w:h="16840"/>
          <w:pgMar w:header="877" w:footer="0" w:top="1420" w:bottom="280" w:left="1260" w:right="1480"/>
        </w:sectPr>
      </w:pPr>
    </w:p>
    <w:p>
      <w:pPr>
        <w:pStyle w:val="BodyText"/>
        <w:spacing w:before="110"/>
        <w:ind w:left="540"/>
      </w:pPr>
      <w:r>
        <w:rPr/>
        <w:t>端收费基金基金份额，且转出基金申购费率适用固定费用。</w:t>
      </w:r>
    </w:p>
    <w:p>
      <w:pPr>
        <w:pStyle w:val="BodyText"/>
        <w:spacing w:before="6"/>
        <w:rPr>
          <w:sz w:val="15"/>
        </w:rPr>
      </w:pPr>
    </w:p>
    <w:p>
      <w:pPr>
        <w:pStyle w:val="BodyText"/>
        <w:spacing w:line="417" w:lineRule="auto"/>
        <w:ind w:left="540" w:right="3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、业务举例”中例七。</w:t>
      </w:r>
    </w:p>
    <w:p>
      <w:pPr>
        <w:pStyle w:val="BodyText"/>
        <w:spacing w:before="7"/>
        <w:rPr>
          <w:sz w:val="15"/>
        </w:rPr>
      </w:pPr>
    </w:p>
    <w:p>
      <w:pPr>
        <w:pStyle w:val="BodyText"/>
        <w:ind w:left="960"/>
      </w:pPr>
      <w:r>
        <w:rPr/>
        <w:t>⑧从前端（固定费用）收费基金转出，转入其他不收取申购费用的基金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ind w:left="960"/>
      </w:pPr>
      <w:r>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、业务举例”中例八。</w:t>
      </w:r>
    </w:p>
    <w:p>
      <w:pPr>
        <w:pStyle w:val="BodyText"/>
        <w:spacing w:before="7"/>
        <w:rPr>
          <w:sz w:val="15"/>
        </w:rPr>
      </w:pPr>
    </w:p>
    <w:p>
      <w:pPr>
        <w:pStyle w:val="BodyText"/>
        <w:ind w:left="960"/>
      </w:pPr>
      <w:r>
        <w:rPr/>
        <w:t>⑨从后端收费基金转出，转入其他前端（比例费率）收费基金</w:t>
      </w:r>
    </w:p>
    <w:p>
      <w:pPr>
        <w:pStyle w:val="BodyText"/>
        <w:spacing w:before="6"/>
        <w:rPr>
          <w:sz w:val="15"/>
        </w:rPr>
      </w:pPr>
    </w:p>
    <w:p>
      <w:pPr>
        <w:pStyle w:val="BodyText"/>
        <w:spacing w:line="417" w:lineRule="auto"/>
        <w:ind w:left="540" w:right="31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960"/>
      </w:pPr>
      <w:r>
        <w:rPr/>
        <w:t>业务举例：详见“</w:t>
      </w:r>
      <w:r>
        <w:rPr>
          <w:rFonts w:ascii="Times New Roman" w:hAnsi="Times New Roman" w:eastAsia="Times New Roman"/>
        </w:rPr>
        <w:t>4</w:t>
      </w:r>
      <w:r>
        <w:rPr/>
        <w:t>、业务举例”中例九。</w:t>
      </w:r>
    </w:p>
    <w:p>
      <w:pPr>
        <w:pStyle w:val="BodyText"/>
        <w:spacing w:before="7"/>
        <w:rPr>
          <w:sz w:val="15"/>
        </w:rPr>
      </w:pPr>
    </w:p>
    <w:p>
      <w:pPr>
        <w:pStyle w:val="BodyText"/>
        <w:ind w:left="960"/>
      </w:pPr>
      <w:r>
        <w:rPr/>
        <w:t>⑩从后端收费基金转出，转入其他前端（固定费用）收费基金</w:t>
      </w:r>
    </w:p>
    <w:p>
      <w:pPr>
        <w:pStyle w:val="BodyText"/>
        <w:spacing w:before="6"/>
        <w:rPr>
          <w:sz w:val="15"/>
        </w:rPr>
      </w:pPr>
    </w:p>
    <w:p>
      <w:pPr>
        <w:pStyle w:val="BodyText"/>
        <w:spacing w:line="417" w:lineRule="auto" w:before="1"/>
        <w:ind w:left="540" w:right="31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540" w:right="3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960"/>
      </w:pPr>
      <w:r>
        <w:rPr/>
        <w:t>业务举例：详见“</w:t>
      </w:r>
      <w:r>
        <w:rPr>
          <w:rFonts w:ascii="Times New Roman" w:hAnsi="Times New Roman" w:eastAsia="Times New Roman"/>
        </w:rPr>
        <w:t>4</w:t>
      </w:r>
      <w:r>
        <w:rPr/>
        <w:t>、业务举例”中例十。</w:t>
      </w:r>
    </w:p>
    <w:p>
      <w:pPr>
        <w:pStyle w:val="BodyText"/>
        <w:spacing w:before="7"/>
        <w:rPr>
          <w:sz w:val="15"/>
        </w:rPr>
      </w:pPr>
    </w:p>
    <w:p>
      <w:pPr>
        <w:pStyle w:val="BodyText"/>
        <w:ind w:left="960"/>
      </w:pPr>
      <w:r>
        <w:rPr>
          <w:rFonts w:ascii="MS Mincho" w:hAnsi="MS Mincho" w:eastAsia="MS Mincho" w:hint="eastAsia"/>
        </w:rPr>
        <w:t>⑪</w:t>
      </w:r>
      <w:r>
        <w:rPr/>
        <w:t>从后端收费基金转出，转入其他后端收费基金</w:t>
      </w:r>
    </w:p>
    <w:p>
      <w:pPr>
        <w:pStyle w:val="BodyText"/>
        <w:spacing w:before="6"/>
        <w:rPr>
          <w:sz w:val="15"/>
        </w:rPr>
      </w:pPr>
    </w:p>
    <w:p>
      <w:pPr>
        <w:pStyle w:val="BodyText"/>
        <w:spacing w:line="417" w:lineRule="auto"/>
        <w:ind w:left="540" w:right="31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540" w:right="31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、业务举例”中例十一。</w:t>
      </w:r>
    </w:p>
    <w:p>
      <w:pPr>
        <w:pStyle w:val="BodyText"/>
        <w:spacing w:before="7"/>
        <w:rPr>
          <w:sz w:val="15"/>
        </w:rPr>
      </w:pPr>
    </w:p>
    <w:p>
      <w:pPr>
        <w:pStyle w:val="BodyText"/>
        <w:ind w:left="974"/>
      </w:pPr>
      <w:r>
        <w:rPr>
          <w:rFonts w:ascii="Cambria Math" w:hAnsi="Cambria Math" w:eastAsia="Cambria Math"/>
        </w:rPr>
        <w:t>⑫</w:t>
      </w:r>
      <w:r>
        <w:rPr/>
        <w:t>从后端收费基金转出，转入其他不收取申购费用的基金</w:t>
      </w:r>
    </w:p>
    <w:p>
      <w:pPr>
        <w:pStyle w:val="BodyText"/>
        <w:spacing w:line="417" w:lineRule="auto" w:before="199"/>
        <w:ind w:left="540" w:right="311" w:firstLine="419"/>
      </w:pPr>
      <w:r>
        <w:rPr>
          <w:spacing w:val="-12"/>
        </w:rPr>
        <w:t>情形描述：投资者将其持有的某一后端收费基金的基金份额转换为本公司管理的其他不</w:t>
      </w:r>
      <w:r>
        <w:rPr>
          <w:spacing w:val="-6"/>
        </w:rPr>
        <w:t>收取申购费用的基金基金份额。</w:t>
      </w:r>
    </w:p>
    <w:p>
      <w:pPr>
        <w:spacing w:after="0" w:line="417" w:lineRule="auto"/>
        <w:sectPr>
          <w:pgSz w:w="11910" w:h="16840"/>
          <w:pgMar w:header="877" w:footer="0" w:top="1420" w:bottom="280" w:left="1260" w:right="1480"/>
        </w:sectPr>
      </w:pPr>
    </w:p>
    <w:p>
      <w:pPr>
        <w:pStyle w:val="BodyText"/>
        <w:spacing w:before="110"/>
        <w:ind w:left="960"/>
      </w:pPr>
      <w:r>
        <w:rPr/>
        <w:t>费用收取方式：不收取申购费用。</w:t>
      </w:r>
    </w:p>
    <w:p>
      <w:pPr>
        <w:pStyle w:val="BodyText"/>
        <w:spacing w:before="6"/>
        <w:rPr>
          <w:sz w:val="15"/>
        </w:rPr>
      </w:pPr>
    </w:p>
    <w:p>
      <w:pPr>
        <w:pStyle w:val="BodyText"/>
        <w:ind w:left="960"/>
      </w:pPr>
      <w:r>
        <w:rPr/>
        <w:t>业务举例：详见“</w:t>
      </w:r>
      <w:r>
        <w:rPr>
          <w:rFonts w:ascii="Times New Roman" w:hAnsi="Times New Roman" w:eastAsia="Times New Roman"/>
        </w:rPr>
        <w:t>4</w:t>
      </w:r>
      <w:r>
        <w:rPr/>
        <w:t>、业务举例”中例十二。</w:t>
      </w:r>
    </w:p>
    <w:p>
      <w:pPr>
        <w:pStyle w:val="BodyText"/>
        <w:spacing w:before="7"/>
        <w:rPr>
          <w:sz w:val="15"/>
        </w:rPr>
      </w:pPr>
    </w:p>
    <w:p>
      <w:pPr>
        <w:pStyle w:val="BodyText"/>
        <w:ind w:left="974"/>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540" w:right="311" w:firstLine="419"/>
      </w:pPr>
      <w:r>
        <w:rPr>
          <w:spacing w:val="-3"/>
        </w:rPr>
        <w:t>费用收取方式：收取的申购费率</w:t>
      </w:r>
      <w:r>
        <w:rPr>
          <w:rFonts w:ascii="Times New Roman" w:hAnsi="Times New Roman" w:eastAsia="Times New Roman"/>
        </w:rPr>
        <w:t>=</w:t>
      </w:r>
      <w:r>
        <w:rPr>
          <w:spacing w:val="-3"/>
        </w:rPr>
        <w:t>转入基金的申购费率－转出基金的销售服务费率×转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ind w:left="960"/>
      </w:pPr>
      <w:r>
        <w:rPr/>
        <w:t>业务举例：详见“</w:t>
      </w:r>
      <w:r>
        <w:rPr>
          <w:rFonts w:ascii="Times New Roman" w:hAnsi="Times New Roman" w:eastAsia="Times New Roman"/>
        </w:rPr>
        <w:t>4</w:t>
      </w:r>
      <w:r>
        <w:rPr/>
        <w:t>、业务举例”中例十三。</w:t>
      </w:r>
    </w:p>
    <w:p>
      <w:pPr>
        <w:pStyle w:val="BodyText"/>
        <w:spacing w:before="7"/>
        <w:rPr>
          <w:sz w:val="15"/>
        </w:rPr>
      </w:pPr>
    </w:p>
    <w:p>
      <w:pPr>
        <w:pStyle w:val="BodyText"/>
        <w:ind w:left="974"/>
      </w:pPr>
      <w:r>
        <w:rPr>
          <w:rFonts w:ascii="Cambria Math" w:hAnsi="Cambria Math" w:eastAsia="Cambria Math"/>
        </w:rPr>
        <w:t>⑭</w:t>
      </w:r>
      <w:r>
        <w:rPr/>
        <w:t>从不收取申购费用基金转出，转入其他前端（固定费用）收费基金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540" w:right="311" w:firstLine="419"/>
      </w:pPr>
      <w:r>
        <w:rPr>
          <w:spacing w:val="-3"/>
        </w:rPr>
        <w:t>费用收取方式：收取的申购费用</w:t>
      </w:r>
      <w:r>
        <w:rPr>
          <w:rFonts w:ascii="Times New Roman" w:hAnsi="Times New Roman" w:eastAsia="Times New Roman"/>
        </w:rPr>
        <w:t>=</w:t>
      </w:r>
      <w:r>
        <w:rPr>
          <w:spacing w:val="-3"/>
        </w:rPr>
        <w:t>固定费用－转换金额×转出基金的销售服务费率×转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spacing w:line="269" w:lineRule="exact"/>
        <w:ind w:left="960"/>
      </w:pPr>
      <w:r>
        <w:rPr/>
        <w:t>业务举例：详见“</w:t>
      </w:r>
      <w:r>
        <w:rPr>
          <w:rFonts w:ascii="Times New Roman" w:hAnsi="Times New Roman" w:eastAsia="Times New Roman"/>
        </w:rPr>
        <w:t>4</w:t>
      </w:r>
      <w:r>
        <w:rPr/>
        <w:t>、业务举例”中例十四。</w:t>
      </w:r>
    </w:p>
    <w:p>
      <w:pPr>
        <w:pStyle w:val="BodyText"/>
        <w:spacing w:before="6"/>
        <w:rPr>
          <w:sz w:val="15"/>
        </w:rPr>
      </w:pPr>
    </w:p>
    <w:p>
      <w:pPr>
        <w:pStyle w:val="BodyText"/>
        <w:spacing w:before="1"/>
        <w:ind w:left="974"/>
      </w:pPr>
      <w:r>
        <w:rPr>
          <w:rFonts w:ascii="Cambria Math" w:hAnsi="Cambria Math" w:eastAsia="Cambria Math"/>
        </w:rPr>
        <w:t>⑮</w:t>
      </w:r>
      <w:r>
        <w:rPr/>
        <w:t>从不收取申购费用的基金转出，转入其他后端收费基金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540" w:right="31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、业务举例”中例十五。</w:t>
      </w:r>
    </w:p>
    <w:p>
      <w:pPr>
        <w:pStyle w:val="BodyText"/>
        <w:spacing w:before="6"/>
        <w:rPr>
          <w:sz w:val="15"/>
        </w:rPr>
      </w:pPr>
    </w:p>
    <w:p>
      <w:pPr>
        <w:pStyle w:val="BodyText"/>
        <w:ind w:left="974"/>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spacing w:line="269" w:lineRule="exact"/>
        <w:ind w:left="960"/>
      </w:pPr>
      <w:r>
        <w:rPr>
          <w:spacing w:val="-3"/>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、业务举例”中例十六。</w:t>
      </w:r>
    </w:p>
    <w:p>
      <w:pPr>
        <w:pStyle w:val="BodyText"/>
        <w:spacing w:before="7"/>
        <w:rPr>
          <w:sz w:val="15"/>
        </w:rPr>
      </w:pPr>
    </w:p>
    <w:p>
      <w:pPr>
        <w:pStyle w:val="BodyText"/>
        <w:ind w:left="960"/>
      </w:pPr>
      <w:r>
        <w:rPr>
          <w:rFonts w:ascii="Cambria Math" w:hAnsi="Cambria Math" w:eastAsia="Cambria Math"/>
        </w:rPr>
        <w:t>⑰</w:t>
      </w:r>
      <w:r>
        <w:rPr/>
        <w:t>对于货币基金的基金份额转出情况的补充说明</w:t>
      </w:r>
    </w:p>
    <w:p>
      <w:pPr>
        <w:pStyle w:val="BodyText"/>
        <w:spacing w:line="417" w:lineRule="auto" w:before="199"/>
        <w:ind w:left="974" w:right="1057" w:hanging="15"/>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7"/>
        </w:numPr>
        <w:tabs>
          <w:tab w:pos="1490" w:val="left" w:leader="none"/>
        </w:tabs>
        <w:spacing w:line="240" w:lineRule="auto" w:before="0" w:after="0"/>
        <w:ind w:left="1489" w:right="0" w:hanging="530"/>
        <w:jc w:val="left"/>
        <w:rPr>
          <w:sz w:val="21"/>
        </w:rPr>
      </w:pPr>
      <w:r>
        <w:rPr>
          <w:spacing w:val="-3"/>
          <w:sz w:val="21"/>
        </w:rPr>
        <w:t>上述费用另有优惠的，从其规定。</w:t>
      </w:r>
    </w:p>
    <w:p>
      <w:pPr>
        <w:pStyle w:val="BodyText"/>
        <w:spacing w:before="7"/>
        <w:rPr>
          <w:sz w:val="15"/>
        </w:rPr>
      </w:pPr>
    </w:p>
    <w:p>
      <w:pPr>
        <w:pStyle w:val="BodyText"/>
        <w:ind w:left="960"/>
      </w:pPr>
      <w:r>
        <w:rPr/>
        <w:t>基金管理人可以在法律法规和基金合同规定范围内调整基金转换的有关业务规则。</w:t>
      </w:r>
    </w:p>
    <w:p>
      <w:pPr>
        <w:spacing w:after="0"/>
        <w:sectPr>
          <w:pgSz w:w="11910" w:h="16840"/>
          <w:pgMar w:header="877" w:footer="0" w:top="1420" w:bottom="280" w:left="1260" w:right="1480"/>
        </w:sectPr>
      </w:pPr>
    </w:p>
    <w:p>
      <w:pPr>
        <w:pStyle w:val="BodyText"/>
        <w:spacing w:before="110"/>
        <w:ind w:left="974"/>
      </w:pPr>
      <w:r>
        <w:rPr>
          <w:rFonts w:ascii="Times New Roman" w:eastAsia="Times New Roman"/>
        </w:rPr>
        <w:t>4</w:t>
      </w:r>
      <w:r>
        <w:rPr/>
        <w:t>、业务举例</w:t>
      </w:r>
    </w:p>
    <w:p>
      <w:pPr>
        <w:pStyle w:val="BodyText"/>
        <w:spacing w:before="6"/>
        <w:rPr>
          <w:sz w:val="15"/>
        </w:rPr>
      </w:pPr>
    </w:p>
    <w:p>
      <w:pPr>
        <w:pStyle w:val="BodyText"/>
        <w:spacing w:line="417" w:lineRule="auto"/>
        <w:ind w:left="540" w:right="313" w:firstLine="419"/>
      </w:pPr>
      <w:r>
        <w:rPr>
          <w:spacing w:val="-3"/>
          <w:w w:val="100"/>
        </w:rPr>
        <w:t>例一：假定投资者在</w:t>
      </w:r>
      <w:r>
        <w:rPr>
          <w:spacing w:val="-3"/>
        </w:rPr>
        <w:t> </w:t>
      </w:r>
      <w:r>
        <w:rPr>
          <w:rFonts w:ascii="Times New Roman" w:eastAsia="Times New Roman"/>
          <w:w w:val="100"/>
        </w:rPr>
        <w:t>T</w:t>
      </w:r>
      <w:r>
        <w:rPr>
          <w:rFonts w:ascii="Times New Roman" w:eastAsia="Times New Roman"/>
        </w:rPr>
        <w:t> </w:t>
      </w:r>
      <w:r>
        <w:rPr>
          <w:spacing w:val="-2"/>
          <w:w w:val="100"/>
        </w:rPr>
        <w:t>日转出</w:t>
      </w:r>
      <w:r>
        <w:rPr>
          <w:spacing w:val="-2"/>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6"/>
          <w:w w:val="100"/>
        </w:rPr>
        <w:t>）</w:t>
      </w:r>
      <w:r>
        <w:rPr>
          <w:spacing w:val="-3"/>
          <w:w w:val="100"/>
        </w:rPr>
        <w:t>，该日甲基金</w:t>
      </w:r>
      <w:r>
        <w:rPr>
          <w:spacing w:val="-9"/>
        </w:rPr>
        <w:t>基金份额净值为 </w:t>
      </w:r>
      <w:r>
        <w:rPr>
          <w:rFonts w:ascii="Times New Roman" w:eastAsia="Times New Roman"/>
        </w:rPr>
        <w:t>1.200 </w:t>
      </w:r>
      <w:r>
        <w:rPr>
          <w:spacing w:val="-6"/>
        </w:rPr>
        <w:t>元。甲基金前端申购费率最高档为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8"/>
        </w:numPr>
        <w:tabs>
          <w:tab w:pos="1490" w:val="left" w:leader="none"/>
        </w:tabs>
        <w:spacing w:line="417" w:lineRule="auto" w:before="0" w:after="0"/>
        <w:ind w:left="540" w:right="208" w:firstLine="419"/>
        <w:jc w:val="left"/>
        <w:rPr>
          <w:sz w:val="21"/>
        </w:rPr>
      </w:pPr>
      <w:r>
        <w:rPr/>
        <w:pict>
          <v:shape style="position:absolute;margin-left:110.300003pt;margin-top:41.819969pt;width:375.1pt;height:193.75pt;mso-position-horizontal-relative:page;mso-position-vertical-relative:paragraph;z-index:2517094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spacing w:before="34"/>
                          <w:ind w:right="94"/>
                          <w:rPr>
                            <w:sz w:val="21"/>
                          </w:rPr>
                        </w:pPr>
                        <w:r>
                          <w:rPr>
                            <w:sz w:val="21"/>
                          </w:rPr>
                          <w:t>1,000.00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spacing w:before="34"/>
                          <w:ind w:right="93"/>
                          <w:rPr>
                            <w:sz w:val="21"/>
                          </w:rPr>
                        </w:pPr>
                        <w:r>
                          <w:rPr>
                            <w:sz w:val="21"/>
                          </w:rPr>
                          <w:t>1.200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7"/>
                          <w:ind w:right="94"/>
                          <w:rPr>
                            <w:sz w:val="21"/>
                          </w:rPr>
                        </w:pPr>
                        <w:r>
                          <w:rPr>
                            <w:sz w:val="21"/>
                          </w:rPr>
                          <w:t>1,200.00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spacing w:before="34"/>
                          <w:ind w:right="92"/>
                          <w:rPr>
                            <w:sz w:val="21"/>
                          </w:rPr>
                        </w:pPr>
                        <w:r>
                          <w:rPr>
                            <w:sz w:val="21"/>
                          </w:rPr>
                          <w:t>0.5%</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spacing w:before="34"/>
                          <w:ind w:right="93"/>
                          <w:rPr>
                            <w:sz w:val="21"/>
                          </w:rPr>
                        </w:pPr>
                        <w:r>
                          <w:rPr>
                            <w:sz w:val="21"/>
                          </w:rPr>
                          <w:t>6.00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spacing w:before="34"/>
                          <w:ind w:right="94"/>
                          <w:rPr>
                            <w:sz w:val="21"/>
                          </w:rPr>
                        </w:pPr>
                        <w:r>
                          <w:rPr>
                            <w:sz w:val="21"/>
                          </w:rPr>
                          <w:t>1,194.00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spacing w:before="34"/>
                          <w:ind w:right="93"/>
                          <w:rPr>
                            <w:sz w:val="21"/>
                          </w:rPr>
                        </w:pPr>
                        <w:r>
                          <w:rPr>
                            <w:sz w:val="21"/>
                          </w:rPr>
                          <w:t>2.0%-1.5%=0.5%</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6" w:type="dxa"/>
                      </w:tcPr>
                      <w:p>
                        <w:pPr>
                          <w:pStyle w:val="TableParagraph"/>
                          <w:spacing w:before="34"/>
                          <w:ind w:right="94"/>
                          <w:rPr>
                            <w:sz w:val="21"/>
                          </w:rPr>
                        </w:pPr>
                        <w:r>
                          <w:rPr>
                            <w:sz w:val="21"/>
                          </w:rPr>
                          <w:t>1,188.06</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6"/>
                          <w:ind w:right="93"/>
                          <w:rPr>
                            <w:sz w:val="21"/>
                          </w:rPr>
                        </w:pPr>
                        <w:r>
                          <w:rPr>
                            <w:sz w:val="21"/>
                          </w:rPr>
                          <w:t>5.94</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spacing w:before="34"/>
                          <w:ind w:right="93"/>
                          <w:rPr>
                            <w:sz w:val="21"/>
                          </w:rPr>
                        </w:pPr>
                        <w:r>
                          <w:rPr>
                            <w:sz w:val="21"/>
                          </w:rPr>
                          <w:t>1.300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spacing w:before="34"/>
                          <w:ind w:right="93"/>
                          <w:rPr>
                            <w:sz w:val="21"/>
                          </w:rPr>
                        </w:pPr>
                        <w:r>
                          <w:rPr>
                            <w:sz w:val="21"/>
                          </w:rPr>
                          <w:t>913.89</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ListParagraph"/>
        <w:numPr>
          <w:ilvl w:val="0"/>
          <w:numId w:val="18"/>
        </w:numPr>
        <w:tabs>
          <w:tab w:pos="1490" w:val="left" w:leader="none"/>
        </w:tabs>
        <w:spacing w:line="417" w:lineRule="auto" w:before="1" w:after="0"/>
        <w:ind w:left="540" w:right="208" w:firstLine="419"/>
        <w:jc w:val="left"/>
        <w:rPr>
          <w:sz w:val="21"/>
        </w:rPr>
      </w:pPr>
      <w:r>
        <w:rPr/>
        <w:pict>
          <v:shape style="position:absolute;margin-left:110.779999pt;margin-top:41.88998pt;width:374.15pt;height:193.75pt;mso-position-horizontal-relative:page;mso-position-vertical-relative:paragraph;z-index:2517104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项目</w:t>
                        </w:r>
                      </w:p>
                    </w:tc>
                    <w:tc>
                      <w:tcPr>
                        <w:tcW w:w="3207" w:type="dxa"/>
                      </w:tcPr>
                      <w:p>
                        <w:pPr>
                          <w:pStyle w:val="TableParagraph"/>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34"/>
                          <w:ind w:right="94"/>
                          <w:rPr>
                            <w:sz w:val="21"/>
                          </w:rPr>
                        </w:pPr>
                        <w:r>
                          <w:rPr>
                            <w:sz w:val="21"/>
                          </w:rPr>
                          <w:t>1,000.00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3"/>
                          <w:rPr>
                            <w:sz w:val="21"/>
                          </w:rPr>
                        </w:pPr>
                        <w:r>
                          <w:rPr>
                            <w:sz w:val="21"/>
                          </w:rPr>
                          <w:t>1.200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4"/>
                          <w:ind w:right="94"/>
                          <w:rPr>
                            <w:sz w:val="21"/>
                          </w:rPr>
                        </w:pPr>
                        <w:r>
                          <w:rPr>
                            <w:sz w:val="21"/>
                          </w:rPr>
                          <w:t>1,200.00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34"/>
                          <w:ind w:right="93"/>
                          <w:rPr>
                            <w:sz w:val="21"/>
                          </w:rPr>
                        </w:pPr>
                        <w:r>
                          <w:rPr>
                            <w:sz w:val="21"/>
                          </w:rPr>
                          <w:t>0.5%</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spacing w:before="34"/>
                          <w:ind w:right="93"/>
                          <w:rPr>
                            <w:sz w:val="21"/>
                          </w:rPr>
                        </w:pPr>
                        <w:r>
                          <w:rPr>
                            <w:sz w:val="21"/>
                          </w:rPr>
                          <w:t>6.00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spacing w:before="34"/>
                          <w:ind w:right="94"/>
                          <w:rPr>
                            <w:sz w:val="21"/>
                          </w:rPr>
                        </w:pPr>
                        <w:r>
                          <w:rPr>
                            <w:sz w:val="21"/>
                          </w:rPr>
                          <w:t>1,194.00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spacing w:before="34"/>
                          <w:ind w:right="93"/>
                          <w:rPr>
                            <w:sz w:val="21"/>
                          </w:rPr>
                        </w:pPr>
                        <w:r>
                          <w:rPr>
                            <w:sz w:val="21"/>
                          </w:rPr>
                          <w:t>0.00%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07" w:type="dxa"/>
                      </w:tcPr>
                      <w:p>
                        <w:pPr>
                          <w:pStyle w:val="TableParagraph"/>
                          <w:spacing w:before="36"/>
                          <w:ind w:right="94"/>
                          <w:rPr>
                            <w:sz w:val="21"/>
                          </w:rPr>
                        </w:pPr>
                        <w:r>
                          <w:rPr>
                            <w:sz w:val="21"/>
                          </w:rPr>
                          <w:t>1,194.00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spacing w:before="34"/>
                          <w:ind w:right="93"/>
                          <w:rPr>
                            <w:sz w:val="21"/>
                          </w:rPr>
                        </w:pPr>
                        <w:r>
                          <w:rPr>
                            <w:sz w:val="21"/>
                          </w:rPr>
                          <w:t>0.00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spacing w:before="34"/>
                          <w:ind w:right="93"/>
                          <w:rPr>
                            <w:sz w:val="21"/>
                          </w:rPr>
                        </w:pPr>
                        <w:r>
                          <w:rPr>
                            <w:sz w:val="21"/>
                          </w:rPr>
                          <w:t>1.300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spacing w:before="34"/>
                          <w:ind w:right="93"/>
                          <w:rPr>
                            <w:sz w:val="21"/>
                          </w:rPr>
                        </w:pPr>
                        <w:r>
                          <w:rPr>
                            <w:sz w:val="21"/>
                          </w:rPr>
                          <w:t>918.46</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BodyText"/>
        <w:spacing w:line="417" w:lineRule="auto"/>
        <w:ind w:left="540" w:right="31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9"/>
        </w:numPr>
        <w:tabs>
          <w:tab w:pos="1490" w:val="left" w:leader="none"/>
        </w:tabs>
        <w:spacing w:line="417" w:lineRule="auto" w:before="0" w:after="0"/>
        <w:ind w:left="540" w:right="311" w:firstLine="419"/>
        <w:jc w:val="both"/>
        <w:rPr>
          <w:sz w:val="21"/>
        </w:rPr>
      </w:pP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0" w:top="1420" w:bottom="280" w:left="1260" w:right="1480"/>
        </w:sectPr>
      </w:pPr>
    </w:p>
    <w:tbl>
      <w:tblPr>
        <w:tblW w:w="0" w:type="auto"/>
        <w:jc w:val="left"/>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2" w:hRule="atLeast"/>
        </w:trPr>
        <w:tc>
          <w:tcPr>
            <w:tcW w:w="4230" w:type="dxa"/>
          </w:tcPr>
          <w:p>
            <w:pPr>
              <w:pStyle w:val="TableParagraph"/>
              <w:spacing w:before="23"/>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spacing w:before="23"/>
              <w:ind w:left="1164" w:right="1156"/>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spacing w:before="34"/>
              <w:ind w:right="95"/>
              <w:rPr>
                <w:sz w:val="21"/>
              </w:rPr>
            </w:pPr>
            <w:r>
              <w:rPr>
                <w:sz w:val="21"/>
              </w:rPr>
              <w:t>10,000,000.00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spacing w:before="34"/>
              <w:ind w:right="94"/>
              <w:rPr>
                <w:sz w:val="21"/>
              </w:rPr>
            </w:pPr>
            <w:r>
              <w:rPr>
                <w:sz w:val="21"/>
              </w:rPr>
              <w:t>1.200</w:t>
            </w:r>
          </w:p>
        </w:tc>
      </w:tr>
      <w:tr>
        <w:trPr>
          <w:trHeight w:val="313"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spacing w:before="36"/>
              <w:ind w:right="95"/>
              <w:rPr>
                <w:sz w:val="21"/>
              </w:rPr>
            </w:pPr>
            <w:r>
              <w:rPr>
                <w:sz w:val="21"/>
              </w:rPr>
              <w:t>12,000,000.00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spacing w:before="34"/>
              <w:ind w:right="93"/>
              <w:rPr>
                <w:sz w:val="21"/>
              </w:rPr>
            </w:pPr>
            <w:r>
              <w:rPr>
                <w:sz w:val="21"/>
              </w:rPr>
              <w:t>0.5%</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spacing w:before="34"/>
              <w:ind w:right="95"/>
              <w:rPr>
                <w:sz w:val="21"/>
              </w:rPr>
            </w:pPr>
            <w:r>
              <w:rPr>
                <w:sz w:val="21"/>
              </w:rPr>
              <w:t>60,000.00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spacing w:before="34"/>
              <w:ind w:right="95"/>
              <w:rPr>
                <w:sz w:val="21"/>
              </w:rPr>
            </w:pPr>
            <w:r>
              <w:rPr>
                <w:sz w:val="21"/>
              </w:rPr>
              <w:t>11,940,000.00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spacing w:before="34"/>
              <w:ind w:right="95"/>
              <w:rPr>
                <w:sz w:val="21"/>
              </w:rPr>
            </w:pPr>
            <w:r>
              <w:rPr>
                <w:sz w:val="21"/>
              </w:rPr>
              <w:t>1,000.00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spacing w:before="34"/>
              <w:ind w:right="95"/>
              <w:rPr>
                <w:sz w:val="21"/>
              </w:rPr>
            </w:pPr>
            <w:r>
              <w:rPr>
                <w:sz w:val="21"/>
              </w:rPr>
              <w:t>11,939,000.00</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spacing w:before="36"/>
              <w:ind w:right="94"/>
              <w:rPr>
                <w:sz w:val="21"/>
              </w:rPr>
            </w:pPr>
            <w:r>
              <w:rPr>
                <w:sz w:val="21"/>
              </w:rPr>
              <w:t>1.300</w:t>
            </w:r>
          </w:p>
        </w:tc>
      </w:tr>
      <w:tr>
        <w:trPr>
          <w:trHeight w:val="312"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spacing w:before="34"/>
              <w:ind w:right="95"/>
              <w:rPr>
                <w:sz w:val="21"/>
              </w:rPr>
            </w:pPr>
            <w:r>
              <w:rPr>
                <w:sz w:val="21"/>
              </w:rPr>
              <w:t>9,183,846.15</w:t>
            </w:r>
          </w:p>
        </w:tc>
      </w:tr>
    </w:tbl>
    <w:p>
      <w:pPr>
        <w:pStyle w:val="ListParagraph"/>
        <w:numPr>
          <w:ilvl w:val="0"/>
          <w:numId w:val="19"/>
        </w:numPr>
        <w:tabs>
          <w:tab w:pos="1490" w:val="left" w:leader="none"/>
        </w:tabs>
        <w:spacing w:line="417" w:lineRule="auto" w:before="109" w:after="0"/>
        <w:ind w:left="540" w:right="311" w:firstLine="419"/>
        <w:jc w:val="both"/>
        <w:rPr>
          <w:sz w:val="21"/>
        </w:rPr>
      </w:pPr>
      <w:r>
        <w:rPr/>
        <w:pict>
          <v:shape style="position:absolute;margin-left:111.139999pt;margin-top:70.669968pt;width:373.4pt;height:177.65pt;mso-position-horizontal-relative:page;mso-position-vertical-relative:paragraph;z-index:2517114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rPr>
                            <w:sz w:val="21"/>
                          </w:rPr>
                        </w:pPr>
                        <w:r>
                          <w:rPr>
                            <w:sz w:val="21"/>
                          </w:rPr>
                          <w:t>10,000,000.00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rPr>
                            <w:sz w:val="21"/>
                          </w:rPr>
                        </w:pPr>
                        <w:r>
                          <w:rPr>
                            <w:sz w:val="21"/>
                          </w:rPr>
                          <w:t>1.200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12,000,000.00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rPr>
                            <w:sz w:val="21"/>
                          </w:rPr>
                        </w:pPr>
                        <w:r>
                          <w:rPr>
                            <w:sz w:val="21"/>
                          </w:rPr>
                          <w:t>0.5%</w:t>
                        </w:r>
                      </w:p>
                    </w:tc>
                  </w:tr>
                  <w:tr>
                    <w:trPr>
                      <w:trHeight w:val="311"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spacing w:before="34"/>
                          <w:ind w:right="94"/>
                          <w:rPr>
                            <w:sz w:val="21"/>
                          </w:rPr>
                        </w:pPr>
                        <w:r>
                          <w:rPr>
                            <w:sz w:val="21"/>
                          </w:rPr>
                          <w:t>60,000.00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before="34"/>
                          <w:ind w:right="94"/>
                          <w:rPr>
                            <w:sz w:val="21"/>
                          </w:rPr>
                        </w:pPr>
                        <w:r>
                          <w:rPr>
                            <w:sz w:val="21"/>
                          </w:rPr>
                          <w:t>11,940,000.00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spacing w:before="34"/>
                          <w:ind w:right="94"/>
                          <w:rPr>
                            <w:sz w:val="21"/>
                          </w:rPr>
                        </w:pPr>
                        <w:r>
                          <w:rPr>
                            <w:sz w:val="21"/>
                          </w:rPr>
                          <w:t>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spacing w:before="34"/>
                          <w:ind w:right="94"/>
                          <w:rPr>
                            <w:sz w:val="21"/>
                          </w:rPr>
                        </w:pPr>
                        <w:r>
                          <w:rPr>
                            <w:sz w:val="21"/>
                          </w:rPr>
                          <w:t>11,940,000.00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spacing w:before="36"/>
                          <w:ind w:right="94"/>
                          <w:rPr>
                            <w:sz w:val="21"/>
                          </w:rPr>
                        </w:pPr>
                        <w:r>
                          <w:rPr>
                            <w:sz w:val="21"/>
                          </w:rPr>
                          <w:t>1.300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spacing w:before="34"/>
                          <w:ind w:right="94"/>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40" w:right="311" w:firstLine="419"/>
        <w:jc w:val="both"/>
      </w:pPr>
      <w:r>
        <w:rPr/>
        <w:pict>
          <v:shape style="position:absolute;margin-left:111.260002pt;margin-top:88.650024pt;width:373.2pt;height:177.65pt;mso-position-horizontal-relative:page;mso-position-vertical-relative:paragraph;z-index:2517125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before="34"/>
                          <w:ind w:right="93"/>
                          <w:rPr>
                            <w:sz w:val="21"/>
                          </w:rPr>
                        </w:pPr>
                        <w:r>
                          <w:rPr>
                            <w:sz w:val="21"/>
                          </w:rPr>
                          <w:t>1,000.00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before="34"/>
                          <w:ind w:right="92"/>
                          <w:rPr>
                            <w:sz w:val="21"/>
                          </w:rPr>
                        </w:pPr>
                        <w:r>
                          <w:rPr>
                            <w:sz w:val="21"/>
                          </w:rPr>
                          <w:t>1.200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36"/>
                          <w:ind w:right="93"/>
                          <w:rPr>
                            <w:sz w:val="21"/>
                          </w:rPr>
                        </w:pPr>
                        <w:r>
                          <w:rPr>
                            <w:sz w:val="21"/>
                          </w:rPr>
                          <w:t>1,200.00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34"/>
                          <w:ind w:right="91"/>
                          <w:rPr>
                            <w:sz w:val="21"/>
                          </w:rPr>
                        </w:pPr>
                        <w:r>
                          <w:rPr>
                            <w:sz w:val="21"/>
                          </w:rPr>
                          <w:t>0.5%</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before="34"/>
                          <w:ind w:right="92"/>
                          <w:rPr>
                            <w:sz w:val="21"/>
                          </w:rPr>
                        </w:pPr>
                        <w:r>
                          <w:rPr>
                            <w:sz w:val="21"/>
                          </w:rPr>
                          <w:t>6.00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4"/>
                          <w:ind w:right="93"/>
                          <w:rPr>
                            <w:sz w:val="21"/>
                          </w:rPr>
                        </w:pPr>
                        <w:r>
                          <w:rPr>
                            <w:sz w:val="21"/>
                          </w:rPr>
                          <w:t>1,194.00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before="34"/>
                          <w:ind w:right="92"/>
                          <w:rPr>
                            <w:sz w:val="21"/>
                          </w:rPr>
                        </w:pPr>
                        <w:r>
                          <w:rPr>
                            <w:sz w:val="21"/>
                          </w:rPr>
                          <w:t>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before="34"/>
                          <w:ind w:right="93"/>
                          <w:rPr>
                            <w:sz w:val="21"/>
                          </w:rPr>
                        </w:pPr>
                        <w:r>
                          <w:rPr>
                            <w:sz w:val="21"/>
                          </w:rPr>
                          <w:t>1,194.00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36"/>
                          <w:ind w:right="92"/>
                          <w:rPr>
                            <w:sz w:val="21"/>
                          </w:rPr>
                        </w:pPr>
                        <w:r>
                          <w:rPr>
                            <w:sz w:val="21"/>
                          </w:rPr>
                          <w:t>1.500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34"/>
                          <w:ind w:right="92"/>
                          <w:rPr>
                            <w:sz w:val="21"/>
                          </w:rPr>
                        </w:pPr>
                        <w:r>
                          <w:rPr>
                            <w:sz w:val="21"/>
                          </w:rPr>
                          <w:t>796.00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spacing w:after="0" w:line="417" w:lineRule="auto"/>
        <w:jc w:val="both"/>
        <w:sectPr>
          <w:pgSz w:w="11910" w:h="16840"/>
          <w:pgMar w:header="877" w:footer="0" w:top="1420" w:bottom="280" w:left="1260" w:right="1480"/>
        </w:sectPr>
      </w:pPr>
    </w:p>
    <w:p>
      <w:pPr>
        <w:pStyle w:val="BodyText"/>
        <w:spacing w:line="417" w:lineRule="auto" w:before="110"/>
        <w:ind w:left="540" w:right="311" w:firstLine="419"/>
        <w:jc w:val="both"/>
      </w:pPr>
      <w:r>
        <w:rPr/>
        <w:pict>
          <v:shape style="position:absolute;margin-left:111.379997pt;margin-top:70.719986pt;width:372.95pt;height:129.3pt;mso-position-horizontal-relative:page;mso-position-vertical-relative:paragraph;z-index:2517135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before="34"/>
                          <w:ind w:right="93"/>
                          <w:rPr>
                            <w:sz w:val="21"/>
                          </w:rPr>
                        </w:pPr>
                        <w:r>
                          <w:rPr>
                            <w:sz w:val="21"/>
                          </w:rPr>
                          <w:t>796.00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before="34"/>
                          <w:ind w:right="93"/>
                          <w:rPr>
                            <w:sz w:val="21"/>
                          </w:rPr>
                        </w:pPr>
                        <w:r>
                          <w:rPr>
                            <w:sz w:val="21"/>
                          </w:rPr>
                          <w:t>1.300</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rPr>
                            <w:sz w:val="21"/>
                          </w:rPr>
                        </w:pPr>
                        <w:r>
                          <w:rPr>
                            <w:sz w:val="21"/>
                          </w:rPr>
                          <w:t>1,034.80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34"/>
                          <w:ind w:right="93"/>
                          <w:rPr>
                            <w:sz w:val="21"/>
                          </w:rPr>
                        </w:pPr>
                        <w:r>
                          <w:rPr>
                            <w:sz w:val="21"/>
                          </w:rPr>
                          <w:t>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before="34"/>
                          <w:ind w:right="93"/>
                          <w:rPr>
                            <w:sz w:val="21"/>
                          </w:rPr>
                        </w:pPr>
                        <w:r>
                          <w:rPr>
                            <w:sz w:val="21"/>
                          </w:rPr>
                          <w:t>1.2%</w:t>
                        </w:r>
                      </w:p>
                    </w:tc>
                  </w:tr>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spacing w:before="34"/>
                          <w:ind w:right="93"/>
                          <w:rPr>
                            <w:sz w:val="21"/>
                          </w:rPr>
                        </w:pPr>
                        <w:r>
                          <w:rPr>
                            <w:sz w:val="21"/>
                          </w:rPr>
                          <w:t>14.16</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before="34"/>
                          <w:ind w:right="94"/>
                          <w:rPr>
                            <w:sz w:val="21"/>
                          </w:rPr>
                        </w:pPr>
                        <w:r>
                          <w:rPr>
                            <w:sz w:val="21"/>
                          </w:rPr>
                          <w:t>1,020.64</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17" w:lineRule="auto"/>
        <w:ind w:left="540" w:right="205" w:firstLine="419"/>
      </w:pPr>
      <w:r>
        <w:rPr/>
        <w:pict>
          <v:shape style="position:absolute;margin-left:110.779999pt;margin-top:65.220001pt;width:374.15pt;height:177.65pt;mso-position-horizontal-relative:page;mso-position-vertical-relative:paragraph;z-index:2517145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3" w:hRule="atLeast"/>
                    </w:trPr>
                    <w:tc>
                      <w:tcPr>
                        <w:tcW w:w="4244" w:type="dxa"/>
                      </w:tcPr>
                      <w:p>
                        <w:pPr>
                          <w:pStyle w:val="TableParagraph"/>
                          <w:spacing w:before="25"/>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4"/>
                          <w:rPr>
                            <w:sz w:val="21"/>
                          </w:rPr>
                        </w:pPr>
                        <w:r>
                          <w:rPr>
                            <w:sz w:val="21"/>
                          </w:rPr>
                          <w:t>1,000.00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4"/>
                          <w:ind w:right="93"/>
                          <w:rPr>
                            <w:sz w:val="21"/>
                          </w:rPr>
                        </w:pPr>
                        <w:r>
                          <w:rPr>
                            <w:sz w:val="21"/>
                          </w:rPr>
                          <w:t>1.300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4"/>
                          <w:ind w:right="94"/>
                          <w:rPr>
                            <w:sz w:val="21"/>
                          </w:rPr>
                        </w:pPr>
                        <w:r>
                          <w:rPr>
                            <w:sz w:val="21"/>
                          </w:rPr>
                          <w:t>1,300.00</w:t>
                        </w:r>
                      </w:p>
                    </w:tc>
                  </w:tr>
                  <w:tr>
                    <w:trPr>
                      <w:trHeight w:val="312" w:hRule="atLeast"/>
                    </w:trPr>
                    <w:tc>
                      <w:tcPr>
                        <w:tcW w:w="4244" w:type="dxa"/>
                      </w:tcPr>
                      <w:p>
                        <w:pPr>
                          <w:pStyle w:val="TableParagraph"/>
                          <w:spacing w:before="23"/>
                          <w:ind w:left="148"/>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4"/>
                          <w:ind w:right="93"/>
                          <w:rPr>
                            <w:sz w:val="21"/>
                          </w:rPr>
                        </w:pPr>
                        <w:r>
                          <w:rPr>
                            <w:sz w:val="21"/>
                          </w:rPr>
                          <w:t>0.5%</w:t>
                        </w:r>
                      </w:p>
                    </w:tc>
                  </w:tr>
                  <w:tr>
                    <w:trPr>
                      <w:trHeight w:val="311" w:hRule="atLeast"/>
                    </w:trPr>
                    <w:tc>
                      <w:tcPr>
                        <w:tcW w:w="4244" w:type="dxa"/>
                      </w:tcPr>
                      <w:p>
                        <w:pPr>
                          <w:pStyle w:val="TableParagraph"/>
                          <w:ind w:left="148"/>
                          <w:jc w:val="left"/>
                          <w:rPr>
                            <w:sz w:val="21"/>
                          </w:rPr>
                        </w:pPr>
                        <w:r>
                          <w:rPr>
                            <w:rFonts w:ascii="宋体" w:eastAsia="宋体" w:hint="eastAsia"/>
                            <w:sz w:val="21"/>
                          </w:rPr>
                          <w:t>转出基金费用</w:t>
                        </w:r>
                        <w:r>
                          <w:rPr>
                            <w:sz w:val="21"/>
                          </w:rPr>
                          <w:t>(E=C*D)</w:t>
                        </w:r>
                      </w:p>
                    </w:tc>
                    <w:tc>
                      <w:tcPr>
                        <w:tcW w:w="3224" w:type="dxa"/>
                      </w:tcPr>
                      <w:p>
                        <w:pPr>
                          <w:pStyle w:val="TableParagraph"/>
                          <w:spacing w:before="34"/>
                          <w:ind w:right="93"/>
                          <w:rPr>
                            <w:sz w:val="21"/>
                          </w:rPr>
                        </w:pPr>
                        <w:r>
                          <w:rPr>
                            <w:sz w:val="21"/>
                          </w:rPr>
                          <w:t>6.50</w:t>
                        </w:r>
                      </w:p>
                    </w:tc>
                  </w:tr>
                  <w:tr>
                    <w:trPr>
                      <w:trHeight w:val="313"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6"/>
                          <w:ind w:right="94"/>
                          <w:rPr>
                            <w:sz w:val="21"/>
                          </w:rPr>
                        </w:pPr>
                        <w:r>
                          <w:rPr>
                            <w:sz w:val="21"/>
                          </w:rPr>
                          <w:t>1,293.50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34"/>
                          <w:ind w:right="93"/>
                          <w:rPr>
                            <w:sz w:val="21"/>
                          </w:rPr>
                        </w:pPr>
                        <w:r>
                          <w:rPr>
                            <w:sz w:val="21"/>
                          </w:rPr>
                          <w:t>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34"/>
                          <w:ind w:right="94"/>
                          <w:rPr>
                            <w:sz w:val="21"/>
                          </w:rPr>
                        </w:pPr>
                        <w:r>
                          <w:rPr>
                            <w:sz w:val="21"/>
                          </w:rPr>
                          <w:t>1,293.50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4"/>
                          <w:ind w:right="93"/>
                          <w:rPr>
                            <w:sz w:val="21"/>
                          </w:rPr>
                        </w:pPr>
                        <w:r>
                          <w:rPr>
                            <w:sz w:val="21"/>
                          </w:rPr>
                          <w:t>1.500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34"/>
                          <w:ind w:right="93"/>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40" w:right="31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20"/>
        </w:numPr>
        <w:tabs>
          <w:tab w:pos="1490" w:val="left" w:leader="none"/>
        </w:tabs>
        <w:spacing w:line="417" w:lineRule="auto" w:before="0" w:after="0"/>
        <w:ind w:left="540" w:right="313" w:firstLine="419"/>
        <w:jc w:val="both"/>
        <w:rPr>
          <w:sz w:val="21"/>
        </w:rPr>
      </w:pPr>
      <w:r>
        <w:rPr/>
        <w:pict>
          <v:shape style="position:absolute;margin-left:110.540001pt;margin-top:65.220016pt;width:374.6pt;height:97.25pt;mso-position-horizontal-relative:page;mso-position-vertical-relative:paragraph;z-index:2517155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3" w:hRule="atLeast"/>
                    </w:trPr>
                    <w:tc>
                      <w:tcPr>
                        <w:tcW w:w="4266" w:type="dxa"/>
                      </w:tcPr>
                      <w:p>
                        <w:pPr>
                          <w:pStyle w:val="TableParagraph"/>
                          <w:spacing w:before="25"/>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before="25"/>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4"/>
                          <w:ind w:right="94"/>
                          <w:rPr>
                            <w:sz w:val="21"/>
                          </w:rPr>
                        </w:pPr>
                        <w:r>
                          <w:rPr>
                            <w:sz w:val="21"/>
                          </w:rPr>
                          <w:t>10,000,000.00</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4"/>
                          <w:ind w:right="94"/>
                          <w:rPr>
                            <w:sz w:val="21"/>
                          </w:rPr>
                        </w:pPr>
                        <w:r>
                          <w:rPr>
                            <w:sz w:val="21"/>
                          </w:rPr>
                          <w:t>1.200</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4"/>
                          <w:ind w:right="94"/>
                          <w:rPr>
                            <w:sz w:val="21"/>
                          </w:rPr>
                        </w:pPr>
                        <w:r>
                          <w:rPr>
                            <w:sz w:val="21"/>
                          </w:rPr>
                          <w:t>12,000,000.00</w:t>
                        </w:r>
                      </w:p>
                    </w:tc>
                  </w:tr>
                  <w:tr>
                    <w:trPr>
                      <w:trHeight w:val="311" w:hRule="atLeast"/>
                    </w:trPr>
                    <w:tc>
                      <w:tcPr>
                        <w:tcW w:w="4266" w:type="dxa"/>
                      </w:tcPr>
                      <w:p>
                        <w:pPr>
                          <w:pStyle w:val="TableParagraph"/>
                          <w:spacing w:before="23"/>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spacing w:before="34"/>
                          <w:ind w:right="93"/>
                          <w:rPr>
                            <w:sz w:val="21"/>
                          </w:rPr>
                        </w:pPr>
                        <w:r>
                          <w:rPr>
                            <w:sz w:val="21"/>
                          </w:rPr>
                          <w:t>0.5%</w:t>
                        </w:r>
                      </w:p>
                    </w:tc>
                  </w:tr>
                  <w:tr>
                    <w:trPr>
                      <w:trHeight w:val="313" w:hRule="atLeast"/>
                    </w:trPr>
                    <w:tc>
                      <w:tcPr>
                        <w:tcW w:w="4266" w:type="dxa"/>
                      </w:tcPr>
                      <w:p>
                        <w:pPr>
                          <w:pStyle w:val="TableParagraph"/>
                          <w:ind w:left="105"/>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spacing w:before="34"/>
                          <w:ind w:right="94"/>
                          <w:rPr>
                            <w:sz w:val="21"/>
                          </w:rPr>
                        </w:pPr>
                        <w:r>
                          <w:rPr>
                            <w:sz w:val="21"/>
                          </w:rPr>
                          <w:t>60,000.00</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spacing w:after="0" w:line="417" w:lineRule="auto"/>
        <w:jc w:val="both"/>
        <w:rPr>
          <w:sz w:val="21"/>
        </w:rPr>
        <w:sectPr>
          <w:pgSz w:w="11910" w:h="16840"/>
          <w:pgMar w:header="877" w:footer="0" w:top="1420" w:bottom="280" w:left="1260" w:right="1480"/>
        </w:sect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2" w:hRule="atLeast"/>
        </w:trPr>
        <w:tc>
          <w:tcPr>
            <w:tcW w:w="4266" w:type="dxa"/>
          </w:tcPr>
          <w:p>
            <w:pPr>
              <w:pStyle w:val="TableParagraph"/>
              <w:spacing w:before="23"/>
              <w:ind w:left="105"/>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spacing w:before="34"/>
              <w:ind w:right="94"/>
              <w:rPr>
                <w:sz w:val="21"/>
              </w:rPr>
            </w:pPr>
            <w:r>
              <w:rPr>
                <w:sz w:val="21"/>
              </w:rPr>
              <w:t>11,940,000.00</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spacing w:before="34"/>
              <w:ind w:right="94"/>
              <w:rPr>
                <w:sz w:val="21"/>
              </w:rPr>
            </w:pPr>
            <w:r>
              <w:rPr>
                <w:sz w:val="21"/>
              </w:rPr>
              <w:t>1.5%-1.2%=0.3%</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12" w:type="dxa"/>
          </w:tcPr>
          <w:p>
            <w:pPr>
              <w:pStyle w:val="TableParagraph"/>
              <w:spacing w:before="34"/>
              <w:ind w:right="94"/>
              <w:rPr>
                <w:sz w:val="21"/>
              </w:rPr>
            </w:pPr>
            <w:r>
              <w:rPr>
                <w:sz w:val="21"/>
              </w:rPr>
              <w:t>11,904,287.14</w:t>
            </w:r>
          </w:p>
        </w:tc>
      </w:tr>
      <w:tr>
        <w:trPr>
          <w:trHeight w:val="313"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spacing w:before="36"/>
              <w:ind w:right="94"/>
              <w:rPr>
                <w:sz w:val="21"/>
              </w:rPr>
            </w:pPr>
            <w:r>
              <w:rPr>
                <w:sz w:val="21"/>
              </w:rPr>
              <w:t>35,712.86</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34"/>
              <w:ind w:right="94"/>
              <w:rPr>
                <w:sz w:val="21"/>
              </w:rPr>
            </w:pPr>
            <w:r>
              <w:rPr>
                <w:sz w:val="21"/>
              </w:rPr>
              <w:t>1.300</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spacing w:before="34"/>
              <w:ind w:right="94"/>
              <w:rPr>
                <w:sz w:val="21"/>
              </w:rPr>
            </w:pPr>
            <w:r>
              <w:rPr>
                <w:sz w:val="21"/>
              </w:rPr>
              <w:t>9,157,143.95</w:t>
            </w:r>
          </w:p>
        </w:tc>
      </w:tr>
    </w:tbl>
    <w:p>
      <w:pPr>
        <w:pStyle w:val="ListParagraph"/>
        <w:numPr>
          <w:ilvl w:val="0"/>
          <w:numId w:val="20"/>
        </w:numPr>
        <w:tabs>
          <w:tab w:pos="1490" w:val="left" w:leader="none"/>
        </w:tabs>
        <w:spacing w:line="417" w:lineRule="auto" w:before="109" w:after="0"/>
        <w:ind w:left="540" w:right="313" w:firstLine="419"/>
        <w:jc w:val="both"/>
        <w:rPr>
          <w:sz w:val="21"/>
        </w:rPr>
      </w:pPr>
      <w:r>
        <w:rPr/>
        <w:pict>
          <v:shape style="position:absolute;margin-left:110.779999pt;margin-top:70.670029pt;width:374.15pt;height:193.75pt;mso-position-horizontal-relative:page;mso-position-vertical-relative:paragraph;z-index:2517166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570" w:right="560"/>
                          <w:jc w:val="center"/>
                          <w:rPr>
                            <w:rFonts w:ascii="宋体" w:eastAsia="宋体" w:hint="eastAsia"/>
                            <w:sz w:val="21"/>
                          </w:rPr>
                        </w:pPr>
                        <w:r>
                          <w:rPr>
                            <w:rFonts w:ascii="宋体" w:eastAsia="宋体" w:hint="eastAsia"/>
                            <w:sz w:val="21"/>
                          </w:rPr>
                          <w:t>项目</w:t>
                        </w:r>
                      </w:p>
                    </w:tc>
                    <w:tc>
                      <w:tcPr>
                        <w:tcW w:w="3224" w:type="dxa"/>
                      </w:tcPr>
                      <w:p>
                        <w:pPr>
                          <w:pStyle w:val="TableParagraph"/>
                          <w:spacing w:before="23"/>
                          <w:ind w:left="1171" w:right="1157"/>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1"/>
                          <w:rPr>
                            <w:sz w:val="21"/>
                          </w:rPr>
                        </w:pPr>
                        <w:r>
                          <w:rPr>
                            <w:sz w:val="21"/>
                          </w:rPr>
                          <w:t>10,000,000.00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6"/>
                          <w:ind w:right="91"/>
                          <w:rPr>
                            <w:sz w:val="21"/>
                          </w:rPr>
                        </w:pPr>
                        <w:r>
                          <w:rPr>
                            <w:sz w:val="21"/>
                          </w:rPr>
                          <w:t>1.200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4"/>
                          <w:ind w:right="91"/>
                          <w:rPr>
                            <w:sz w:val="21"/>
                          </w:rPr>
                        </w:pPr>
                        <w:r>
                          <w:rPr>
                            <w:sz w:val="21"/>
                          </w:rPr>
                          <w:t>12,000,000.00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4"/>
                          <w:ind w:right="90"/>
                          <w:rPr>
                            <w:sz w:val="21"/>
                          </w:rPr>
                        </w:pPr>
                        <w:r>
                          <w:rPr>
                            <w:sz w:val="21"/>
                          </w:rPr>
                          <w:t>0.5%</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before="34"/>
                          <w:ind w:right="91"/>
                          <w:rPr>
                            <w:sz w:val="21"/>
                          </w:rPr>
                        </w:pPr>
                        <w:r>
                          <w:rPr>
                            <w:sz w:val="21"/>
                          </w:rPr>
                          <w:t>60,000.00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4"/>
                          <w:ind w:right="91"/>
                          <w:rPr>
                            <w:sz w:val="21"/>
                          </w:rPr>
                        </w:pPr>
                        <w:r>
                          <w:rPr>
                            <w:sz w:val="21"/>
                          </w:rPr>
                          <w:t>11,940,000.00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spacing w:before="34"/>
                          <w:ind w:right="90"/>
                          <w:rPr>
                            <w:sz w:val="21"/>
                          </w:rPr>
                        </w:pPr>
                        <w:r>
                          <w:rPr>
                            <w:sz w:val="21"/>
                          </w:rPr>
                          <w:t>0.00%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4" w:type="dxa"/>
                      </w:tcPr>
                      <w:p>
                        <w:pPr>
                          <w:pStyle w:val="TableParagraph"/>
                          <w:spacing w:before="36"/>
                          <w:ind w:right="91"/>
                          <w:rPr>
                            <w:sz w:val="21"/>
                          </w:rPr>
                        </w:pPr>
                        <w:r>
                          <w:rPr>
                            <w:sz w:val="21"/>
                          </w:rPr>
                          <w:t>11,940,000.00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spacing w:before="34"/>
                          <w:ind w:right="91"/>
                          <w:rPr>
                            <w:sz w:val="21"/>
                          </w:rPr>
                        </w:pPr>
                        <w:r>
                          <w:rPr>
                            <w:sz w:val="21"/>
                          </w:rPr>
                          <w:t>0.00</w:t>
                        </w:r>
                      </w:p>
                    </w:tc>
                  </w:tr>
                  <w:tr>
                    <w:trPr>
                      <w:trHeight w:val="311"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spacing w:before="34"/>
                          <w:ind w:right="91"/>
                          <w:rPr>
                            <w:sz w:val="21"/>
                          </w:rPr>
                        </w:pPr>
                        <w:r>
                          <w:rPr>
                            <w:sz w:val="21"/>
                          </w:rPr>
                          <w:t>1.300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spacing w:before="34"/>
                          <w:ind w:right="91"/>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spacing w:line="417" w:lineRule="auto"/>
        <w:ind w:left="540" w:right="31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21"/>
        </w:numPr>
        <w:tabs>
          <w:tab w:pos="1490" w:val="left" w:leader="none"/>
        </w:tabs>
        <w:spacing w:line="417" w:lineRule="auto" w:before="0" w:after="0"/>
        <w:ind w:left="540" w:right="311" w:firstLine="419"/>
        <w:jc w:val="both"/>
        <w:rPr>
          <w:sz w:val="21"/>
        </w:rPr>
      </w:pPr>
      <w:r>
        <w:rPr/>
        <w:pict>
          <v:shape style="position:absolute;margin-left:111.019997pt;margin-top:65.219948pt;width:373.65pt;height:177.65pt;mso-position-horizontal-relative:page;mso-position-vertical-relative:paragraph;z-index:2517176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1" w:hRule="atLeast"/>
                    </w:trPr>
                    <w:tc>
                      <w:tcPr>
                        <w:tcW w:w="4239" w:type="dxa"/>
                      </w:tcPr>
                      <w:p>
                        <w:pPr>
                          <w:pStyle w:val="TableParagraph"/>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ind w:left="1169" w:right="1160"/>
                          <w:jc w:val="center"/>
                          <w:rPr>
                            <w:rFonts w:ascii="宋体" w:eastAsia="宋体" w:hint="eastAsia"/>
                            <w:sz w:val="21"/>
                          </w:rPr>
                        </w:pPr>
                        <w:r>
                          <w:rPr>
                            <w:rFonts w:ascii="宋体" w:eastAsia="宋体" w:hint="eastAsia"/>
                            <w:sz w:val="21"/>
                          </w:rPr>
                          <w:t>费用计算</w:t>
                        </w:r>
                      </w:p>
                    </w:tc>
                  </w:tr>
                  <w:tr>
                    <w:trPr>
                      <w:trHeight w:val="314"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spacing w:before="37"/>
                          <w:ind w:right="93"/>
                          <w:rPr>
                            <w:sz w:val="21"/>
                          </w:rPr>
                        </w:pPr>
                        <w:r>
                          <w:rPr>
                            <w:sz w:val="21"/>
                          </w:rPr>
                          <w:t>10,000,000.00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spacing w:before="34"/>
                          <w:ind w:right="93"/>
                          <w:rPr>
                            <w:sz w:val="21"/>
                          </w:rPr>
                        </w:pPr>
                        <w:r>
                          <w:rPr>
                            <w:sz w:val="21"/>
                          </w:rPr>
                          <w:t>1.200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spacing w:before="34"/>
                          <w:ind w:right="93"/>
                          <w:rPr>
                            <w:sz w:val="21"/>
                          </w:rPr>
                        </w:pPr>
                        <w:r>
                          <w:rPr>
                            <w:sz w:val="21"/>
                          </w:rPr>
                          <w:t>12,000,000.00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spacing w:before="34"/>
                          <w:ind w:right="92"/>
                          <w:rPr>
                            <w:sz w:val="21"/>
                          </w:rPr>
                        </w:pPr>
                        <w:r>
                          <w:rPr>
                            <w:sz w:val="21"/>
                          </w:rPr>
                          <w:t>0.5%</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spacing w:before="34"/>
                          <w:ind w:right="93"/>
                          <w:rPr>
                            <w:sz w:val="21"/>
                          </w:rPr>
                        </w:pPr>
                        <w:r>
                          <w:rPr>
                            <w:sz w:val="21"/>
                          </w:rPr>
                          <w:t>60,000.00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spacing w:before="34"/>
                          <w:ind w:right="93"/>
                          <w:rPr>
                            <w:sz w:val="21"/>
                          </w:rPr>
                        </w:pPr>
                        <w:r>
                          <w:rPr>
                            <w:sz w:val="21"/>
                          </w:rPr>
                          <w:t>11,940,000.00</w:t>
                        </w:r>
                      </w:p>
                    </w:tc>
                  </w:tr>
                  <w:tr>
                    <w:trPr>
                      <w:trHeight w:val="313"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spacing w:before="36"/>
                          <w:ind w:right="93"/>
                          <w:rPr>
                            <w:sz w:val="21"/>
                          </w:rPr>
                        </w:pPr>
                        <w:r>
                          <w:rPr>
                            <w:sz w:val="21"/>
                          </w:rPr>
                          <w:t>1,000-500=500.00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spacing w:before="34"/>
                          <w:ind w:right="93"/>
                          <w:rPr>
                            <w:sz w:val="21"/>
                          </w:rPr>
                        </w:pPr>
                        <w:r>
                          <w:rPr>
                            <w:sz w:val="21"/>
                          </w:rPr>
                          <w:t>11,939,500.00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spacing w:before="34"/>
                          <w:ind w:right="93"/>
                          <w:rPr>
                            <w:sz w:val="21"/>
                          </w:rPr>
                        </w:pPr>
                        <w:r>
                          <w:rPr>
                            <w:sz w:val="21"/>
                          </w:rPr>
                          <w:t>1.300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spacing w:before="34"/>
                          <w:ind w:right="93"/>
                          <w:rPr>
                            <w:sz w:val="21"/>
                          </w:rPr>
                        </w:pPr>
                        <w:r>
                          <w:rPr>
                            <w:sz w:val="21"/>
                          </w:rPr>
                          <w:t>9,184,230.77</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21"/>
        </w:numPr>
        <w:tabs>
          <w:tab w:pos="1490" w:val="left" w:leader="none"/>
        </w:tabs>
        <w:spacing w:line="417" w:lineRule="auto" w:before="0" w:after="0"/>
        <w:ind w:left="540" w:right="311" w:firstLine="419"/>
        <w:jc w:val="both"/>
        <w:rPr>
          <w:sz w:val="21"/>
        </w:rPr>
      </w:pP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z w:val="21"/>
        </w:rPr>
        <w:t>基</w:t>
      </w:r>
    </w:p>
    <w:p>
      <w:pPr>
        <w:spacing w:after="0" w:line="417" w:lineRule="auto"/>
        <w:jc w:val="both"/>
        <w:rPr>
          <w:sz w:val="21"/>
        </w:rPr>
        <w:sectPr>
          <w:pgSz w:w="11910" w:h="16840"/>
          <w:pgMar w:header="877" w:footer="0" w:top="1420" w:bottom="280" w:left="1260" w:right="1480"/>
        </w:sectPr>
      </w:pPr>
    </w:p>
    <w:p>
      <w:pPr>
        <w:pStyle w:val="BodyText"/>
        <w:spacing w:before="110"/>
        <w:ind w:left="540"/>
      </w:pPr>
      <w:r>
        <w:rPr/>
        <w:t>金费用及份额计算如下：</w:t>
      </w:r>
    </w:p>
    <w:p>
      <w:pPr>
        <w:pStyle w:val="BodyText"/>
        <w:spacing w:before="9"/>
        <w:rPr>
          <w:sz w:val="7"/>
        </w:rPr>
      </w:pPr>
    </w:p>
    <w:tbl>
      <w:tblPr>
        <w:tblW w:w="0" w:type="auto"/>
        <w:jc w:val="left"/>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1" w:hRule="atLeast"/>
        </w:trPr>
        <w:tc>
          <w:tcPr>
            <w:tcW w:w="4232" w:type="dxa"/>
          </w:tcPr>
          <w:p>
            <w:pPr>
              <w:pStyle w:val="TableParagraph"/>
              <w:ind w:left="1882" w:right="1875"/>
              <w:jc w:val="center"/>
              <w:rPr>
                <w:rFonts w:ascii="宋体" w:eastAsia="宋体" w:hint="eastAsia"/>
                <w:sz w:val="21"/>
              </w:rPr>
            </w:pPr>
            <w:r>
              <w:rPr>
                <w:rFonts w:ascii="宋体" w:eastAsia="宋体" w:hint="eastAsia"/>
                <w:sz w:val="21"/>
              </w:rPr>
              <w:t>项目</w:t>
            </w:r>
          </w:p>
        </w:tc>
        <w:tc>
          <w:tcPr>
            <w:tcW w:w="3209" w:type="dxa"/>
          </w:tcPr>
          <w:p>
            <w:pPr>
              <w:pStyle w:val="TableParagraph"/>
              <w:ind w:left="1166" w:right="1152"/>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spacing w:before="34"/>
              <w:ind w:right="91"/>
              <w:rPr>
                <w:sz w:val="21"/>
              </w:rPr>
            </w:pPr>
            <w:r>
              <w:rPr>
                <w:sz w:val="21"/>
              </w:rPr>
              <w:t>10,000,000.00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spacing w:before="34"/>
              <w:ind w:right="90"/>
              <w:rPr>
                <w:sz w:val="21"/>
              </w:rPr>
            </w:pPr>
            <w:r>
              <w:rPr>
                <w:sz w:val="21"/>
              </w:rPr>
              <w:t>1.200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spacing w:before="36"/>
              <w:ind w:right="91"/>
              <w:rPr>
                <w:sz w:val="21"/>
              </w:rPr>
            </w:pPr>
            <w:r>
              <w:rPr>
                <w:sz w:val="21"/>
              </w:rPr>
              <w:t>12,000,000.00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spacing w:before="34"/>
              <w:ind w:right="90"/>
              <w:rPr>
                <w:sz w:val="21"/>
              </w:rPr>
            </w:pPr>
            <w:r>
              <w:rPr>
                <w:sz w:val="21"/>
              </w:rPr>
              <w:t>0.5%</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spacing w:before="34"/>
              <w:ind w:right="91"/>
              <w:rPr>
                <w:sz w:val="21"/>
              </w:rPr>
            </w:pPr>
            <w:r>
              <w:rPr>
                <w:sz w:val="21"/>
              </w:rPr>
              <w:t>60,000.00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spacing w:before="34"/>
              <w:ind w:right="91"/>
              <w:rPr>
                <w:sz w:val="21"/>
              </w:rPr>
            </w:pPr>
            <w:r>
              <w:rPr>
                <w:sz w:val="21"/>
              </w:rPr>
              <w:t>11,940,000.00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spacing w:before="34"/>
              <w:ind w:right="90"/>
              <w:rPr>
                <w:sz w:val="21"/>
              </w:rPr>
            </w:pPr>
            <w:r>
              <w:rPr>
                <w:sz w:val="21"/>
              </w:rPr>
              <w:t>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spacing w:before="34"/>
              <w:ind w:right="91"/>
              <w:rPr>
                <w:sz w:val="21"/>
              </w:rPr>
            </w:pPr>
            <w:r>
              <w:rPr>
                <w:sz w:val="21"/>
              </w:rPr>
              <w:t>11,940,000.00</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spacing w:before="37"/>
              <w:ind w:right="90"/>
              <w:rPr>
                <w:sz w:val="21"/>
              </w:rPr>
            </w:pPr>
            <w:r>
              <w:rPr>
                <w:sz w:val="21"/>
              </w:rPr>
              <w:t>1.300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spacing w:before="34"/>
              <w:ind w:right="91"/>
              <w:rPr>
                <w:sz w:val="21"/>
              </w:rPr>
            </w:pPr>
            <w:r>
              <w:rPr>
                <w:sz w:val="21"/>
              </w:rPr>
              <w:t>9,184,615.38</w:t>
            </w:r>
          </w:p>
        </w:tc>
      </w:tr>
    </w:tbl>
    <w:p>
      <w:pPr>
        <w:pStyle w:val="BodyText"/>
        <w:spacing w:before="100"/>
        <w:ind w:left="96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7"/>
        <w:rPr>
          <w:sz w:val="15"/>
        </w:rPr>
      </w:pPr>
    </w:p>
    <w:p>
      <w:pPr>
        <w:pStyle w:val="BodyText"/>
        <w:spacing w:line="417" w:lineRule="auto"/>
        <w:ind w:left="540" w:right="312"/>
        <w:jc w:val="both"/>
      </w:pPr>
      <w:r>
        <w:rPr/>
        <w:pict>
          <v:shape style="position:absolute;margin-left:111.260002pt;margin-top:65.220009pt;width:373.2pt;height:177.65pt;mso-position-horizontal-relative:page;mso-position-vertical-relative:paragraph;z-index:2517186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before="34"/>
                          <w:ind w:right="93"/>
                          <w:rPr>
                            <w:sz w:val="21"/>
                          </w:rPr>
                        </w:pPr>
                        <w:r>
                          <w:rPr>
                            <w:sz w:val="21"/>
                          </w:rPr>
                          <w:t>10,000,000.00</w:t>
                        </w:r>
                      </w:p>
                    </w:tc>
                  </w:tr>
                  <w:tr>
                    <w:trPr>
                      <w:trHeight w:val="312" w:hRule="atLeast"/>
                    </w:trPr>
                    <w:tc>
                      <w:tcPr>
                        <w:tcW w:w="4235" w:type="dxa"/>
                      </w:tcPr>
                      <w:p>
                        <w:pPr>
                          <w:pStyle w:val="TableParagraph"/>
                          <w:spacing w:before="23"/>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before="34"/>
                          <w:ind w:right="92"/>
                          <w:rPr>
                            <w:sz w:val="21"/>
                          </w:rPr>
                        </w:pPr>
                        <w:r>
                          <w:rPr>
                            <w:sz w:val="21"/>
                          </w:rPr>
                          <w:t>1.200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36"/>
                          <w:ind w:right="93"/>
                          <w:rPr>
                            <w:sz w:val="21"/>
                          </w:rPr>
                        </w:pPr>
                        <w:r>
                          <w:rPr>
                            <w:sz w:val="21"/>
                          </w:rPr>
                          <w:t>12,000,000.00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34"/>
                          <w:ind w:right="91"/>
                          <w:rPr>
                            <w:sz w:val="21"/>
                          </w:rPr>
                        </w:pPr>
                        <w:r>
                          <w:rPr>
                            <w:sz w:val="21"/>
                          </w:rPr>
                          <w:t>0.5%</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before="34"/>
                          <w:ind w:right="93"/>
                          <w:rPr>
                            <w:sz w:val="21"/>
                          </w:rPr>
                        </w:pPr>
                        <w:r>
                          <w:rPr>
                            <w:sz w:val="21"/>
                          </w:rPr>
                          <w:t>60,000.00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4"/>
                          <w:ind w:right="93"/>
                          <w:rPr>
                            <w:sz w:val="21"/>
                          </w:rPr>
                        </w:pPr>
                        <w:r>
                          <w:rPr>
                            <w:sz w:val="21"/>
                          </w:rPr>
                          <w:t>11,940,000.00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before="34"/>
                          <w:ind w:right="92"/>
                          <w:rPr>
                            <w:sz w:val="21"/>
                          </w:rPr>
                        </w:pPr>
                        <w:r>
                          <w:rPr>
                            <w:sz w:val="21"/>
                          </w:rPr>
                          <w:t>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before="34"/>
                          <w:ind w:right="93"/>
                          <w:rPr>
                            <w:sz w:val="21"/>
                          </w:rPr>
                        </w:pPr>
                        <w:r>
                          <w:rPr>
                            <w:sz w:val="21"/>
                          </w:rPr>
                          <w:t>11,940,000.00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36"/>
                          <w:ind w:right="92"/>
                          <w:rPr>
                            <w:sz w:val="21"/>
                          </w:rPr>
                        </w:pPr>
                        <w:r>
                          <w:rPr>
                            <w:sz w:val="21"/>
                          </w:rPr>
                          <w:t>1.500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34"/>
                          <w:ind w:right="93"/>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69"/>
        <w:ind w:left="540" w:right="311" w:firstLine="419"/>
        <w:jc w:val="both"/>
      </w:pPr>
      <w:r>
        <w:rPr/>
        <w:pict>
          <v:shape style="position:absolute;margin-left:111.379997pt;margin-top:73.700035pt;width:372.95pt;height:68.650pt;mso-position-horizontal-relative:page;mso-position-vertical-relative:paragraph;z-index:2517196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before="34"/>
                          <w:ind w:right="94"/>
                          <w:rPr>
                            <w:sz w:val="21"/>
                          </w:rPr>
                        </w:pPr>
                        <w:r>
                          <w:rPr>
                            <w:sz w:val="21"/>
                          </w:rPr>
                          <w:t>7,960,000.00</w:t>
                        </w:r>
                      </w:p>
                    </w:tc>
                  </w:tr>
                  <w:tr>
                    <w:trPr>
                      <w:trHeight w:val="710"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before="0"/>
                          <w:jc w:val="left"/>
                          <w:rPr>
                            <w:rFonts w:ascii="宋体"/>
                            <w:sz w:val="18"/>
                          </w:rPr>
                        </w:pPr>
                      </w:p>
                      <w:p>
                        <w:pPr>
                          <w:pStyle w:val="TableParagraph"/>
                          <w:spacing w:before="0"/>
                          <w:ind w:right="93"/>
                          <w:rPr>
                            <w:sz w:val="21"/>
                          </w:rPr>
                        </w:pPr>
                        <w:r>
                          <w:rPr>
                            <w:sz w:val="21"/>
                          </w:rPr>
                          <w:t>1.300</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5"/>
        </w:rPr>
        <w:t>端申购费率为 </w:t>
      </w:r>
      <w:r>
        <w:rPr>
          <w:rFonts w:ascii="Times New Roman" w:eastAsia="Times New Roman"/>
        </w:rPr>
        <w:t>1.2%</w:t>
      </w:r>
      <w:r>
        <w:rPr>
          <w:spacing w:val="-4"/>
        </w:rPr>
        <w:t>，且乙基金不收取赎回费，该日乙基金基金份额净值为 </w:t>
      </w:r>
      <w:r>
        <w:rPr>
          <w:rFonts w:ascii="Times New Roman" w:eastAsia="Times New Roman"/>
        </w:rPr>
        <w:t>1.300 </w:t>
      </w:r>
      <w:r>
        <w:rPr>
          <w:spacing w:val="-3"/>
        </w:rPr>
        <w:t>元。则赎回金额计算如下：</w:t>
      </w:r>
    </w:p>
    <w:p>
      <w:pPr>
        <w:spacing w:after="0" w:line="417" w:lineRule="auto"/>
        <w:jc w:val="both"/>
        <w:sectPr>
          <w:pgSz w:w="11910" w:h="16840"/>
          <w:pgMar w:header="877" w:footer="0" w:top="1420" w:bottom="280" w:left="1260" w:right="1480"/>
        </w:sectPr>
      </w:pPr>
    </w:p>
    <w:tbl>
      <w:tblPr>
        <w:tblW w:w="0" w:type="auto"/>
        <w:jc w:val="left"/>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708" w:hRule="atLeast"/>
        </w:trPr>
        <w:tc>
          <w:tcPr>
            <w:tcW w:w="4232" w:type="dxa"/>
          </w:tcPr>
          <w:p>
            <w:pPr>
              <w:pStyle w:val="TableParagraph"/>
              <w:spacing w:before="1"/>
              <w:jc w:val="left"/>
              <w:rPr>
                <w:rFonts w:ascii="宋体"/>
                <w:sz w:val="17"/>
              </w:rPr>
            </w:pPr>
          </w:p>
          <w:p>
            <w:pPr>
              <w:pStyle w:val="TableParagraph"/>
              <w:spacing w:before="1"/>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0"/>
              <w:jc w:val="left"/>
              <w:rPr>
                <w:rFonts w:ascii="宋体"/>
                <w:sz w:val="18"/>
              </w:rPr>
            </w:pPr>
          </w:p>
          <w:p>
            <w:pPr>
              <w:pStyle w:val="TableParagraph"/>
              <w:spacing w:before="0"/>
              <w:ind w:right="94"/>
              <w:rPr>
                <w:sz w:val="21"/>
              </w:rPr>
            </w:pPr>
            <w:r>
              <w:rPr>
                <w:sz w:val="21"/>
              </w:rPr>
              <w:t>10,348,000.00</w:t>
            </w:r>
          </w:p>
        </w:tc>
      </w:tr>
      <w:tr>
        <w:trPr>
          <w:trHeight w:val="707" w:hRule="atLeast"/>
        </w:trPr>
        <w:tc>
          <w:tcPr>
            <w:tcW w:w="4232" w:type="dxa"/>
          </w:tcPr>
          <w:p>
            <w:pPr>
              <w:pStyle w:val="TableParagraph"/>
              <w:spacing w:before="1"/>
              <w:jc w:val="left"/>
              <w:rPr>
                <w:rFonts w:ascii="宋体"/>
                <w:sz w:val="17"/>
              </w:rPr>
            </w:pPr>
          </w:p>
          <w:p>
            <w:pPr>
              <w:pStyle w:val="TableParagraph"/>
              <w:spacing w:before="0"/>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0"/>
              <w:jc w:val="left"/>
              <w:rPr>
                <w:rFonts w:ascii="宋体"/>
                <w:sz w:val="18"/>
              </w:rPr>
            </w:pPr>
          </w:p>
          <w:p>
            <w:pPr>
              <w:pStyle w:val="TableParagraph"/>
              <w:spacing w:before="0"/>
              <w:ind w:right="93"/>
              <w:rPr>
                <w:sz w:val="21"/>
              </w:rPr>
            </w:pPr>
            <w:r>
              <w:rPr>
                <w:sz w:val="21"/>
              </w:rPr>
              <w:t>0.00</w:t>
            </w:r>
          </w:p>
        </w:tc>
      </w:tr>
      <w:tr>
        <w:trPr>
          <w:trHeight w:val="707" w:hRule="atLeast"/>
        </w:trPr>
        <w:tc>
          <w:tcPr>
            <w:tcW w:w="4232" w:type="dxa"/>
          </w:tcPr>
          <w:p>
            <w:pPr>
              <w:pStyle w:val="TableParagraph"/>
              <w:spacing w:before="1"/>
              <w:jc w:val="left"/>
              <w:rPr>
                <w:rFonts w:ascii="宋体"/>
                <w:sz w:val="17"/>
              </w:rPr>
            </w:pPr>
          </w:p>
          <w:p>
            <w:pPr>
              <w:pStyle w:val="TableParagraph"/>
              <w:spacing w:before="0"/>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before="0"/>
              <w:jc w:val="left"/>
              <w:rPr>
                <w:rFonts w:ascii="宋体"/>
                <w:sz w:val="18"/>
              </w:rPr>
            </w:pPr>
          </w:p>
          <w:p>
            <w:pPr>
              <w:pStyle w:val="TableParagraph"/>
              <w:spacing w:before="0"/>
              <w:ind w:right="93"/>
              <w:rPr>
                <w:sz w:val="21"/>
              </w:rPr>
            </w:pPr>
            <w:r>
              <w:rPr>
                <w:sz w:val="21"/>
              </w:rPr>
              <w:t>1.2%</w:t>
            </w:r>
          </w:p>
        </w:tc>
      </w:tr>
      <w:tr>
        <w:trPr>
          <w:trHeight w:val="710" w:hRule="atLeast"/>
        </w:trPr>
        <w:tc>
          <w:tcPr>
            <w:tcW w:w="4232" w:type="dxa"/>
          </w:tcPr>
          <w:p>
            <w:pPr>
              <w:pStyle w:val="TableParagraph"/>
              <w:spacing w:before="3"/>
              <w:jc w:val="left"/>
              <w:rPr>
                <w:rFonts w:ascii="宋体"/>
                <w:sz w:val="17"/>
              </w:rPr>
            </w:pPr>
          </w:p>
          <w:p>
            <w:pPr>
              <w:pStyle w:val="TableParagraph"/>
              <w:spacing w:before="1"/>
              <w:ind w:left="107"/>
              <w:jc w:val="left"/>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spacing w:before="2"/>
              <w:jc w:val="left"/>
              <w:rPr>
                <w:rFonts w:ascii="宋体"/>
                <w:sz w:val="18"/>
              </w:rPr>
            </w:pPr>
          </w:p>
          <w:p>
            <w:pPr>
              <w:pStyle w:val="TableParagraph"/>
              <w:spacing w:before="0"/>
              <w:ind w:right="94"/>
              <w:rPr>
                <w:sz w:val="21"/>
              </w:rPr>
            </w:pPr>
            <w:r>
              <w:rPr>
                <w:sz w:val="21"/>
              </w:rPr>
              <w:t>141,581.03</w:t>
            </w:r>
          </w:p>
        </w:tc>
      </w:tr>
      <w:tr>
        <w:trPr>
          <w:trHeight w:val="708" w:hRule="atLeast"/>
        </w:trPr>
        <w:tc>
          <w:tcPr>
            <w:tcW w:w="4232" w:type="dxa"/>
          </w:tcPr>
          <w:p>
            <w:pPr>
              <w:pStyle w:val="TableParagraph"/>
              <w:spacing w:before="1"/>
              <w:jc w:val="left"/>
              <w:rPr>
                <w:rFonts w:ascii="宋体"/>
                <w:sz w:val="17"/>
              </w:rPr>
            </w:pPr>
          </w:p>
          <w:p>
            <w:pPr>
              <w:pStyle w:val="TableParagraph"/>
              <w:spacing w:before="0"/>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before="0"/>
              <w:jc w:val="left"/>
              <w:rPr>
                <w:rFonts w:ascii="宋体"/>
                <w:sz w:val="18"/>
              </w:rPr>
            </w:pPr>
          </w:p>
          <w:p>
            <w:pPr>
              <w:pStyle w:val="TableParagraph"/>
              <w:spacing w:before="0"/>
              <w:ind w:right="94"/>
              <w:rPr>
                <w:sz w:val="21"/>
              </w:rPr>
            </w:pPr>
            <w:r>
              <w:rPr>
                <w:sz w:val="21"/>
              </w:rPr>
              <w:t>10,206,418.97</w:t>
            </w:r>
          </w:p>
        </w:tc>
      </w:tr>
    </w:tbl>
    <w:p>
      <w:pPr>
        <w:pStyle w:val="BodyText"/>
        <w:spacing w:line="417" w:lineRule="auto" w:before="109"/>
        <w:ind w:left="540" w:right="311" w:firstLine="419"/>
        <w:jc w:val="both"/>
      </w:pPr>
      <w:r>
        <w:rPr/>
        <w:pict>
          <v:shape style="position:absolute;margin-left:110.779999pt;margin-top:70.670036pt;width:374.15pt;height:177.65pt;mso-position-horizontal-relative:page;mso-position-vertical-relative:paragraph;z-index:2517207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4"/>
                          <w:rPr>
                            <w:sz w:val="21"/>
                          </w:rPr>
                        </w:pPr>
                        <w:r>
                          <w:rPr>
                            <w:sz w:val="21"/>
                          </w:rPr>
                          <w:t>10,000,000.00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4"/>
                          <w:ind w:right="93"/>
                          <w:rPr>
                            <w:sz w:val="21"/>
                          </w:rPr>
                        </w:pPr>
                        <w:r>
                          <w:rPr>
                            <w:sz w:val="21"/>
                          </w:rPr>
                          <w:t>1.300</w:t>
                        </w:r>
                      </w:p>
                    </w:tc>
                  </w:tr>
                  <w:tr>
                    <w:trPr>
                      <w:trHeight w:val="313"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6"/>
                          <w:ind w:right="94"/>
                          <w:rPr>
                            <w:sz w:val="21"/>
                          </w:rPr>
                        </w:pPr>
                        <w:r>
                          <w:rPr>
                            <w:sz w:val="21"/>
                          </w:rPr>
                          <w:t>13,000,000.00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4"/>
                          <w:ind w:right="93"/>
                          <w:rPr>
                            <w:sz w:val="21"/>
                          </w:rPr>
                        </w:pPr>
                        <w:r>
                          <w:rPr>
                            <w:sz w:val="21"/>
                          </w:rPr>
                          <w:t>0.5%</w:t>
                        </w:r>
                      </w:p>
                    </w:tc>
                  </w:tr>
                  <w:tr>
                    <w:trPr>
                      <w:trHeight w:val="312" w:hRule="atLeast"/>
                    </w:trPr>
                    <w:tc>
                      <w:tcPr>
                        <w:tcW w:w="4244" w:type="dxa"/>
                      </w:tcPr>
                      <w:p>
                        <w:pPr>
                          <w:pStyle w:val="TableParagraph"/>
                          <w:spacing w:before="23"/>
                          <w:ind w:left="148"/>
                          <w:jc w:val="left"/>
                          <w:rPr>
                            <w:sz w:val="21"/>
                          </w:rPr>
                        </w:pPr>
                        <w:r>
                          <w:rPr>
                            <w:rFonts w:ascii="宋体" w:eastAsia="宋体" w:hint="eastAsia"/>
                            <w:sz w:val="21"/>
                          </w:rPr>
                          <w:t>转出基金费用</w:t>
                        </w:r>
                        <w:r>
                          <w:rPr>
                            <w:sz w:val="21"/>
                          </w:rPr>
                          <w:t>(E=C*D)</w:t>
                        </w:r>
                      </w:p>
                    </w:tc>
                    <w:tc>
                      <w:tcPr>
                        <w:tcW w:w="3224" w:type="dxa"/>
                      </w:tcPr>
                      <w:p>
                        <w:pPr>
                          <w:pStyle w:val="TableParagraph"/>
                          <w:spacing w:before="34"/>
                          <w:ind w:right="94"/>
                          <w:rPr>
                            <w:sz w:val="21"/>
                          </w:rPr>
                        </w:pPr>
                        <w:r>
                          <w:rPr>
                            <w:sz w:val="21"/>
                          </w:rPr>
                          <w:t>65,000.00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4"/>
                          <w:ind w:right="94"/>
                          <w:rPr>
                            <w:sz w:val="21"/>
                          </w:rPr>
                        </w:pPr>
                        <w:r>
                          <w:rPr>
                            <w:sz w:val="21"/>
                          </w:rPr>
                          <w:t>12,935,000.00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34"/>
                          <w:ind w:right="93"/>
                          <w:rPr>
                            <w:sz w:val="21"/>
                          </w:rPr>
                        </w:pPr>
                        <w:r>
                          <w:rPr>
                            <w:sz w:val="21"/>
                          </w:rPr>
                          <w:t>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34"/>
                          <w:ind w:right="94"/>
                          <w:rPr>
                            <w:sz w:val="21"/>
                          </w:rPr>
                        </w:pPr>
                        <w:r>
                          <w:rPr>
                            <w:sz w:val="21"/>
                          </w:rPr>
                          <w:t>12,935,000.00</w:t>
                        </w:r>
                      </w:p>
                    </w:tc>
                  </w:tr>
                  <w:tr>
                    <w:trPr>
                      <w:trHeight w:val="314"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6"/>
                          <w:ind w:right="93"/>
                          <w:rPr>
                            <w:sz w:val="21"/>
                          </w:rPr>
                        </w:pPr>
                        <w:r>
                          <w:rPr>
                            <w:sz w:val="21"/>
                          </w:rPr>
                          <w:t>1.500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34"/>
                          <w:ind w:right="94"/>
                          <w:rPr>
                            <w:sz w:val="21"/>
                          </w:rPr>
                        </w:pPr>
                        <w:r>
                          <w:rPr>
                            <w:sz w:val="21"/>
                          </w:rPr>
                          <w:t>8,623,333.33</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0"/>
        <w:ind w:left="540" w:right="20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22"/>
        </w:numPr>
        <w:tabs>
          <w:tab w:pos="1490" w:val="left" w:leader="none"/>
        </w:tabs>
        <w:spacing w:line="417" w:lineRule="auto" w:before="0" w:after="0"/>
        <w:ind w:left="540" w:right="208" w:firstLine="419"/>
        <w:jc w:val="left"/>
        <w:rPr>
          <w:sz w:val="21"/>
        </w:rPr>
      </w:pPr>
      <w:r>
        <w:rPr/>
        <w:pict>
          <v:shape style="position:absolute;margin-left:111.139999pt;margin-top:41.820015pt;width:373.4pt;height:145.5pt;mso-position-horizontal-relative:page;mso-position-vertical-relative:paragraph;z-index:2517217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7" w:right="1875"/>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rPr>
                            <w:sz w:val="21"/>
                          </w:rPr>
                        </w:pPr>
                        <w:r>
                          <w:rPr>
                            <w:sz w:val="21"/>
                          </w:rPr>
                          <w:t>1,000.00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rPr>
                            <w:sz w:val="21"/>
                          </w:rPr>
                        </w:pPr>
                        <w:r>
                          <w:rPr>
                            <w:sz w:val="21"/>
                          </w:rPr>
                          <w:t>1.200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1,200.00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rPr>
                            <w:sz w:val="21"/>
                          </w:rPr>
                        </w:pPr>
                        <w:r>
                          <w:rPr>
                            <w:sz w:val="21"/>
                          </w:rPr>
                          <w:t>0.5%</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4"/>
                          <w:ind w:right="94"/>
                          <w:rPr>
                            <w:sz w:val="21"/>
                          </w:rPr>
                        </w:pPr>
                        <w:r>
                          <w:rPr>
                            <w:sz w:val="21"/>
                          </w:rPr>
                          <w:t>6.00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4"/>
                          <w:ind w:right="94"/>
                          <w:rPr>
                            <w:sz w:val="21"/>
                          </w:rPr>
                        </w:pPr>
                        <w:r>
                          <w:rPr>
                            <w:sz w:val="21"/>
                          </w:rPr>
                          <w:t>1.100</w:t>
                        </w:r>
                      </w:p>
                    </w:tc>
                  </w:tr>
                  <w:tr>
                    <w:trPr>
                      <w:trHeight w:val="311"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4"/>
                          <w:ind w:right="93"/>
                          <w:rPr>
                            <w:sz w:val="21"/>
                          </w:rPr>
                        </w:pPr>
                        <w:r>
                          <w:rPr>
                            <w:sz w:val="21"/>
                          </w:rPr>
                          <w:t>1.8%</w:t>
                        </w:r>
                      </w:p>
                    </w:tc>
                  </w:tr>
                  <w:tr>
                    <w:trPr>
                      <w:trHeight w:val="314" w:hRule="atLeast"/>
                    </w:trPr>
                    <w:tc>
                      <w:tcPr>
                        <w:tcW w:w="4237" w:type="dxa"/>
                      </w:tcPr>
                      <w:p>
                        <w:pPr>
                          <w:pStyle w:val="TableParagraph"/>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4"/>
                          <w:ind w:right="94"/>
                          <w:rPr>
                            <w:sz w:val="21"/>
                          </w:rPr>
                        </w:pPr>
                        <w:r>
                          <w:rPr>
                            <w:sz w:val="21"/>
                          </w:rPr>
                          <w:t>19.45</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0" w:top="1420" w:bottom="280" w:left="1260" w:right="1480"/>
        </w:sect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4"/>
              <w:ind w:right="94"/>
              <w:rPr>
                <w:sz w:val="21"/>
              </w:rPr>
            </w:pPr>
            <w:r>
              <w:rPr>
                <w:sz w:val="21"/>
              </w:rPr>
              <w:t>25.45</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4"/>
              <w:ind w:right="94"/>
              <w:rPr>
                <w:sz w:val="21"/>
              </w:rPr>
            </w:pPr>
            <w:r>
              <w:rPr>
                <w:sz w:val="21"/>
              </w:rPr>
              <w:t>1,174.55</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spacing w:before="34"/>
              <w:ind w:right="94"/>
              <w:rPr>
                <w:sz w:val="21"/>
              </w:rPr>
            </w:pPr>
            <w:r>
              <w:rPr>
                <w:sz w:val="21"/>
              </w:rPr>
              <w:t>2.0%-1.5%=0.5%</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17" w:type="dxa"/>
          </w:tcPr>
          <w:p>
            <w:pPr>
              <w:pStyle w:val="TableParagraph"/>
              <w:spacing w:before="36"/>
              <w:ind w:right="94"/>
              <w:rPr>
                <w:sz w:val="21"/>
              </w:rPr>
            </w:pPr>
            <w:r>
              <w:rPr>
                <w:sz w:val="21"/>
              </w:rPr>
              <w:t>1,168.71</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spacing w:before="34"/>
              <w:ind w:right="94"/>
              <w:rPr>
                <w:sz w:val="21"/>
              </w:rPr>
            </w:pPr>
            <w:r>
              <w:rPr>
                <w:sz w:val="21"/>
              </w:rPr>
              <w:t>5.84</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spacing w:before="34"/>
              <w:ind w:right="94"/>
              <w:rPr>
                <w:sz w:val="21"/>
              </w:rPr>
            </w:pPr>
            <w:r>
              <w:rPr>
                <w:sz w:val="21"/>
              </w:rPr>
              <w:t>1.300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spacing w:before="34"/>
              <w:ind w:right="94"/>
              <w:rPr>
                <w:sz w:val="21"/>
              </w:rPr>
            </w:pPr>
            <w:r>
              <w:rPr>
                <w:sz w:val="21"/>
              </w:rPr>
              <w:t>899.01</w:t>
            </w:r>
          </w:p>
        </w:tc>
      </w:tr>
    </w:tbl>
    <w:p>
      <w:pPr>
        <w:pStyle w:val="ListParagraph"/>
        <w:numPr>
          <w:ilvl w:val="0"/>
          <w:numId w:val="22"/>
        </w:numPr>
        <w:tabs>
          <w:tab w:pos="1490" w:val="left" w:leader="none"/>
        </w:tabs>
        <w:spacing w:line="417" w:lineRule="auto" w:before="109" w:after="0"/>
        <w:ind w:left="540" w:right="208" w:firstLine="419"/>
        <w:jc w:val="left"/>
        <w:rPr>
          <w:sz w:val="21"/>
        </w:rPr>
      </w:pPr>
      <w:r>
        <w:rPr/>
        <w:pict>
          <v:shape style="position:absolute;margin-left:111.739998pt;margin-top:47.270008pt;width:372.2pt;height:258.2pt;mso-position-horizontal-relative:page;mso-position-vertical-relative:paragraph;z-index:2517227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2" w:hRule="atLeast"/>
                    </w:trPr>
                    <w:tc>
                      <w:tcPr>
                        <w:tcW w:w="4225" w:type="dxa"/>
                      </w:tcPr>
                      <w:p>
                        <w:pPr>
                          <w:pStyle w:val="TableParagraph"/>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ind w:left="1164" w:right="1151"/>
                          <w:jc w:val="center"/>
                          <w:rPr>
                            <w:rFonts w:ascii="宋体" w:eastAsia="宋体" w:hint="eastAsia"/>
                            <w:sz w:val="21"/>
                          </w:rPr>
                        </w:pPr>
                        <w:r>
                          <w:rPr>
                            <w:rFonts w:ascii="宋体" w:eastAsia="宋体" w:hint="eastAsia"/>
                            <w:sz w:val="21"/>
                          </w:rPr>
                          <w:t>费用计算</w:t>
                        </w:r>
                      </w:p>
                    </w:tc>
                  </w:tr>
                  <w:tr>
                    <w:trPr>
                      <w:trHeight w:val="314"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spacing w:before="36"/>
                          <w:ind w:right="92"/>
                          <w:rPr>
                            <w:sz w:val="21"/>
                          </w:rPr>
                        </w:pPr>
                        <w:r>
                          <w:rPr>
                            <w:sz w:val="21"/>
                          </w:rPr>
                          <w:t>1,000.00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spacing w:before="34"/>
                          <w:ind w:right="91"/>
                          <w:rPr>
                            <w:sz w:val="21"/>
                          </w:rPr>
                        </w:pPr>
                        <w:r>
                          <w:rPr>
                            <w:sz w:val="21"/>
                          </w:rPr>
                          <w:t>1.200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spacing w:before="34"/>
                          <w:ind w:right="92"/>
                          <w:rPr>
                            <w:sz w:val="21"/>
                          </w:rPr>
                        </w:pPr>
                        <w:r>
                          <w:rPr>
                            <w:sz w:val="21"/>
                          </w:rPr>
                          <w:t>1,200.00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spacing w:before="34"/>
                          <w:ind w:right="91"/>
                          <w:rPr>
                            <w:sz w:val="21"/>
                          </w:rPr>
                        </w:pPr>
                        <w:r>
                          <w:rPr>
                            <w:sz w:val="21"/>
                          </w:rPr>
                          <w:t>0.5%</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spacing w:before="34"/>
                          <w:ind w:right="91"/>
                          <w:rPr>
                            <w:sz w:val="21"/>
                          </w:rPr>
                        </w:pPr>
                        <w:r>
                          <w:rPr>
                            <w:sz w:val="21"/>
                          </w:rPr>
                          <w:t>6.00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spacing w:before="34"/>
                          <w:ind w:right="91"/>
                          <w:rPr>
                            <w:sz w:val="21"/>
                          </w:rPr>
                        </w:pPr>
                        <w:r>
                          <w:rPr>
                            <w:sz w:val="21"/>
                          </w:rPr>
                          <w:t>1.100</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spacing w:before="36"/>
                          <w:ind w:right="91"/>
                          <w:rPr>
                            <w:sz w:val="21"/>
                          </w:rPr>
                        </w:pPr>
                        <w:r>
                          <w:rPr>
                            <w:sz w:val="21"/>
                          </w:rPr>
                          <w:t>1.8%</w:t>
                        </w:r>
                      </w:p>
                    </w:tc>
                  </w:tr>
                  <w:tr>
                    <w:trPr>
                      <w:trHeight w:val="311" w:hRule="atLeast"/>
                    </w:trPr>
                    <w:tc>
                      <w:tcPr>
                        <w:tcW w:w="4225" w:type="dxa"/>
                      </w:tcPr>
                      <w:p>
                        <w:pPr>
                          <w:pStyle w:val="TableParagraph"/>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spacing w:before="34"/>
                          <w:ind w:right="91"/>
                          <w:rPr>
                            <w:sz w:val="21"/>
                          </w:rPr>
                        </w:pPr>
                        <w:r>
                          <w:rPr>
                            <w:sz w:val="21"/>
                          </w:rPr>
                          <w:t>19.45</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spacing w:before="34"/>
                          <w:ind w:right="91"/>
                          <w:rPr>
                            <w:sz w:val="21"/>
                          </w:rPr>
                        </w:pPr>
                        <w:r>
                          <w:rPr>
                            <w:sz w:val="21"/>
                          </w:rPr>
                          <w:t>25.45</w:t>
                        </w:r>
                      </w:p>
                    </w:tc>
                  </w:tr>
                  <w:tr>
                    <w:trPr>
                      <w:trHeight w:val="312" w:hRule="atLeast"/>
                    </w:trPr>
                    <w:tc>
                      <w:tcPr>
                        <w:tcW w:w="4225" w:type="dxa"/>
                      </w:tcPr>
                      <w:p>
                        <w:pPr>
                          <w:pStyle w:val="TableParagraph"/>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spacing w:before="34"/>
                          <w:ind w:right="92"/>
                          <w:rPr>
                            <w:sz w:val="21"/>
                          </w:rPr>
                        </w:pPr>
                        <w:r>
                          <w:rPr>
                            <w:sz w:val="21"/>
                          </w:rPr>
                          <w:t>1,174.55</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spacing w:before="34"/>
                          <w:ind w:right="91"/>
                          <w:rPr>
                            <w:sz w:val="21"/>
                          </w:rPr>
                        </w:pPr>
                        <w:r>
                          <w:rPr>
                            <w:sz w:val="21"/>
                          </w:rPr>
                          <w:t>0.00%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05" w:type="dxa"/>
                      </w:tcPr>
                      <w:p>
                        <w:pPr>
                          <w:pStyle w:val="TableParagraph"/>
                          <w:spacing w:before="34"/>
                          <w:ind w:right="92"/>
                          <w:rPr>
                            <w:sz w:val="21"/>
                          </w:rPr>
                        </w:pPr>
                        <w:r>
                          <w:rPr>
                            <w:sz w:val="21"/>
                          </w:rPr>
                          <w:t>1,174.55</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spacing w:before="36"/>
                          <w:ind w:right="91"/>
                          <w:rPr>
                            <w:sz w:val="21"/>
                          </w:rPr>
                        </w:pPr>
                        <w:r>
                          <w:rPr>
                            <w:sz w:val="21"/>
                          </w:rPr>
                          <w:t>0.00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spacing w:before="34"/>
                          <w:ind w:right="91"/>
                          <w:rPr>
                            <w:sz w:val="21"/>
                          </w:rPr>
                        </w:pPr>
                        <w:r>
                          <w:rPr>
                            <w:sz w:val="21"/>
                          </w:rPr>
                          <w:t>1.300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spacing w:before="34"/>
                          <w:ind w:right="91"/>
                          <w:rPr>
                            <w:sz w:val="21"/>
                          </w:rPr>
                        </w:pPr>
                        <w:r>
                          <w:rPr>
                            <w:sz w:val="21"/>
                          </w:rPr>
                          <w:t>903.50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pStyle w:val="BodyText"/>
        <w:spacing w:line="417" w:lineRule="auto"/>
        <w:ind w:left="540" w:right="20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3"/>
        </w:numPr>
        <w:tabs>
          <w:tab w:pos="1490" w:val="left" w:leader="none"/>
        </w:tabs>
        <w:spacing w:line="417" w:lineRule="auto" w:before="0" w:after="0"/>
        <w:ind w:left="540" w:right="311" w:firstLine="419"/>
        <w:jc w:val="both"/>
        <w:rPr>
          <w:sz w:val="21"/>
        </w:rPr>
      </w:pPr>
      <w:r>
        <w:rPr/>
        <w:pict>
          <v:shape style="position:absolute;margin-left:111.5pt;margin-top:65.220024pt;width:372.6pt;height:113.2pt;mso-position-horizontal-relative:page;mso-position-vertical-relative:paragraph;z-index:2517237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34"/>
                          <w:ind w:right="92"/>
                          <w:rPr>
                            <w:sz w:val="21"/>
                          </w:rPr>
                        </w:pPr>
                        <w:r>
                          <w:rPr>
                            <w:sz w:val="21"/>
                          </w:rPr>
                          <w:t>10,000,000.00</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1"/>
                          <w:rPr>
                            <w:sz w:val="21"/>
                          </w:rPr>
                        </w:pPr>
                        <w:r>
                          <w:rPr>
                            <w:sz w:val="21"/>
                          </w:rPr>
                          <w:t>1.200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4"/>
                          <w:ind w:right="92"/>
                          <w:rPr>
                            <w:sz w:val="21"/>
                          </w:rPr>
                        </w:pPr>
                        <w:r>
                          <w:rPr>
                            <w:sz w:val="21"/>
                          </w:rPr>
                          <w:t>12,000,000.00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34"/>
                          <w:ind w:right="90"/>
                          <w:rPr>
                            <w:sz w:val="21"/>
                          </w:rPr>
                        </w:pPr>
                        <w:r>
                          <w:rPr>
                            <w:sz w:val="21"/>
                          </w:rPr>
                          <w:t>0.5%</w:t>
                        </w:r>
                      </w:p>
                    </w:tc>
                  </w:tr>
                  <w:tr>
                    <w:trPr>
                      <w:trHeight w:val="311"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spacing w:before="34"/>
                          <w:ind w:right="92"/>
                          <w:rPr>
                            <w:sz w:val="21"/>
                          </w:rPr>
                        </w:pPr>
                        <w:r>
                          <w:rPr>
                            <w:sz w:val="21"/>
                          </w:rPr>
                          <w:t>60,000.00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spacing w:before="34"/>
                          <w:ind w:right="91"/>
                          <w:rPr>
                            <w:sz w:val="21"/>
                          </w:rPr>
                        </w:pPr>
                        <w:r>
                          <w:rPr>
                            <w:sz w:val="21"/>
                          </w:rPr>
                          <w:t>1.100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0" w:top="1420" w:bottom="280" w:left="1260" w:right="1480"/>
        </w:sectPr>
      </w:pPr>
    </w:p>
    <w:tbl>
      <w:tblPr>
        <w:tblW w:w="0" w:type="auto"/>
        <w:jc w:val="left"/>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2"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spacing w:before="34"/>
              <w:ind w:right="90"/>
              <w:rPr>
                <w:sz w:val="21"/>
              </w:rPr>
            </w:pPr>
            <w:r>
              <w:rPr>
                <w:sz w:val="21"/>
              </w:rPr>
              <w:t>1.8%</w:t>
            </w:r>
          </w:p>
        </w:tc>
      </w:tr>
      <w:tr>
        <w:trPr>
          <w:trHeight w:val="311" w:hRule="atLeast"/>
        </w:trPr>
        <w:tc>
          <w:tcPr>
            <w:tcW w:w="4230" w:type="dxa"/>
          </w:tcPr>
          <w:p>
            <w:pPr>
              <w:pStyle w:val="TableParagraph"/>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spacing w:before="34"/>
              <w:ind w:right="92"/>
              <w:rPr>
                <w:sz w:val="21"/>
              </w:rPr>
            </w:pPr>
            <w:r>
              <w:rPr>
                <w:sz w:val="21"/>
              </w:rPr>
              <w:t>194,499.02</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before="34"/>
              <w:ind w:right="92"/>
              <w:rPr>
                <w:sz w:val="21"/>
              </w:rPr>
            </w:pPr>
            <w:r>
              <w:rPr>
                <w:sz w:val="21"/>
              </w:rPr>
              <w:t>254,499.02</w:t>
            </w:r>
          </w:p>
        </w:tc>
      </w:tr>
      <w:tr>
        <w:trPr>
          <w:trHeight w:val="313"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spacing w:before="36"/>
              <w:ind w:right="92"/>
              <w:rPr>
                <w:sz w:val="21"/>
              </w:rPr>
            </w:pPr>
            <w:r>
              <w:rPr>
                <w:sz w:val="21"/>
              </w:rPr>
              <w:t>11,745,500.98</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spacing w:before="34"/>
              <w:ind w:right="92"/>
              <w:rPr>
                <w:sz w:val="21"/>
              </w:rPr>
            </w:pPr>
            <w:r>
              <w:rPr>
                <w:sz w:val="21"/>
              </w:rPr>
              <w:t>1,000.00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spacing w:before="34"/>
              <w:ind w:right="92"/>
              <w:rPr>
                <w:sz w:val="21"/>
              </w:rPr>
            </w:pPr>
            <w:r>
              <w:rPr>
                <w:sz w:val="21"/>
              </w:rPr>
              <w:t>11,744,500.98</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spacing w:before="34"/>
              <w:ind w:right="91"/>
              <w:rPr>
                <w:sz w:val="21"/>
              </w:rPr>
            </w:pPr>
            <w:r>
              <w:rPr>
                <w:sz w:val="21"/>
              </w:rPr>
              <w:t>1.300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spacing w:before="34"/>
              <w:ind w:right="92"/>
              <w:rPr>
                <w:sz w:val="21"/>
              </w:rPr>
            </w:pPr>
            <w:r>
              <w:rPr>
                <w:sz w:val="21"/>
              </w:rPr>
              <w:t>9,034,231.52</w:t>
            </w:r>
          </w:p>
        </w:tc>
      </w:tr>
    </w:tbl>
    <w:p>
      <w:pPr>
        <w:pStyle w:val="ListParagraph"/>
        <w:numPr>
          <w:ilvl w:val="0"/>
          <w:numId w:val="23"/>
        </w:numPr>
        <w:tabs>
          <w:tab w:pos="1490" w:val="left" w:leader="none"/>
        </w:tabs>
        <w:spacing w:line="417" w:lineRule="auto" w:before="109" w:after="0"/>
        <w:ind w:left="540" w:right="311" w:firstLine="419"/>
        <w:jc w:val="both"/>
        <w:rPr>
          <w:sz w:val="21"/>
        </w:rPr>
      </w:pPr>
      <w:r>
        <w:rPr/>
        <w:pict>
          <v:shape style="position:absolute;margin-left:111.139999pt;margin-top:70.699982pt;width:373.4pt;height:242.1pt;mso-position-horizontal-relative:page;mso-position-vertical-relative:paragraph;z-index:2517248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4" w:hRule="atLeast"/>
                    </w:trPr>
                    <w:tc>
                      <w:tcPr>
                        <w:tcW w:w="4237" w:type="dxa"/>
                      </w:tcPr>
                      <w:p>
                        <w:pPr>
                          <w:pStyle w:val="TableParagraph"/>
                          <w:spacing w:before="25"/>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5"/>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rPr>
                            <w:sz w:val="21"/>
                          </w:rPr>
                        </w:pPr>
                        <w:r>
                          <w:rPr>
                            <w:sz w:val="21"/>
                          </w:rPr>
                          <w:t>10,000,000.00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rPr>
                            <w:sz w:val="21"/>
                          </w:rPr>
                        </w:pPr>
                        <w:r>
                          <w:rPr>
                            <w:sz w:val="21"/>
                          </w:rPr>
                          <w:t>1.200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4"/>
                          <w:rPr>
                            <w:sz w:val="21"/>
                          </w:rPr>
                        </w:pPr>
                        <w:r>
                          <w:rPr>
                            <w:sz w:val="21"/>
                          </w:rPr>
                          <w:t>12,000,000.00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rPr>
                            <w:sz w:val="21"/>
                          </w:rPr>
                        </w:pPr>
                        <w:r>
                          <w:rPr>
                            <w:sz w:val="21"/>
                          </w:rPr>
                          <w:t>0.5%</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4"/>
                          <w:ind w:right="94"/>
                          <w:rPr>
                            <w:sz w:val="21"/>
                          </w:rPr>
                        </w:pPr>
                        <w:r>
                          <w:rPr>
                            <w:sz w:val="21"/>
                          </w:rPr>
                          <w:t>60,000.00</w:t>
                        </w:r>
                      </w:p>
                    </w:tc>
                  </w:tr>
                  <w:tr>
                    <w:trPr>
                      <w:trHeight w:val="313"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6"/>
                          <w:ind w:right="94"/>
                          <w:rPr>
                            <w:sz w:val="21"/>
                          </w:rPr>
                        </w:pPr>
                        <w:r>
                          <w:rPr>
                            <w:sz w:val="21"/>
                          </w:rPr>
                          <w:t>1.100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4"/>
                          <w:ind w:right="93"/>
                          <w:rPr>
                            <w:sz w:val="21"/>
                          </w:rPr>
                        </w:pPr>
                        <w:r>
                          <w:rPr>
                            <w:sz w:val="21"/>
                          </w:rPr>
                          <w:t>1.8%</w:t>
                        </w:r>
                      </w:p>
                    </w:tc>
                  </w:tr>
                  <w:tr>
                    <w:trPr>
                      <w:trHeight w:val="311" w:hRule="atLeast"/>
                    </w:trPr>
                    <w:tc>
                      <w:tcPr>
                        <w:tcW w:w="4237" w:type="dxa"/>
                      </w:tcPr>
                      <w:p>
                        <w:pPr>
                          <w:pStyle w:val="TableParagraph"/>
                          <w:spacing w:before="23"/>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4"/>
                          <w:ind w:right="94"/>
                          <w:rPr>
                            <w:sz w:val="21"/>
                          </w:rPr>
                        </w:pPr>
                        <w:r>
                          <w:rPr>
                            <w:sz w:val="21"/>
                          </w:rPr>
                          <w:t>194,499.02</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4"/>
                          <w:ind w:right="94"/>
                          <w:rPr>
                            <w:sz w:val="21"/>
                          </w:rPr>
                        </w:pPr>
                        <w:r>
                          <w:rPr>
                            <w:sz w:val="21"/>
                          </w:rPr>
                          <w:t>254,499.02</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4"/>
                          <w:ind w:right="94"/>
                          <w:rPr>
                            <w:sz w:val="21"/>
                          </w:rPr>
                        </w:pPr>
                        <w:r>
                          <w:rPr>
                            <w:sz w:val="21"/>
                          </w:rPr>
                          <w:t>11,745,500.98</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4"/>
                          <w:ind w:right="94"/>
                          <w:rPr>
                            <w:sz w:val="21"/>
                          </w:rPr>
                        </w:pPr>
                        <w:r>
                          <w:rPr>
                            <w:sz w:val="21"/>
                          </w:rPr>
                          <w:t>0.00</w:t>
                        </w:r>
                      </w:p>
                    </w:tc>
                  </w:tr>
                  <w:tr>
                    <w:trPr>
                      <w:trHeight w:val="314"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36"/>
                          <w:ind w:right="94"/>
                          <w:rPr>
                            <w:sz w:val="21"/>
                          </w:rPr>
                        </w:pPr>
                        <w:r>
                          <w:rPr>
                            <w:sz w:val="21"/>
                          </w:rPr>
                          <w:t>11,745,500.98</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4"/>
                          <w:ind w:right="94"/>
                          <w:rPr>
                            <w:sz w:val="21"/>
                          </w:rPr>
                        </w:pPr>
                        <w:r>
                          <w:rPr>
                            <w:sz w:val="21"/>
                          </w:rPr>
                          <w:t>1.300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before="34"/>
                          <w:ind w:right="94"/>
                          <w:rPr>
                            <w:sz w:val="21"/>
                          </w:rPr>
                        </w:pPr>
                        <w:r>
                          <w:rPr>
                            <w:sz w:val="21"/>
                          </w:rPr>
                          <w:t>9,035,000.75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ind w:left="96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4"/>
        <w:rPr>
          <w:rFonts w:ascii="Times New Roman"/>
          <w:sz w:val="17"/>
        </w:rPr>
      </w:pPr>
    </w:p>
    <w:p>
      <w:pPr>
        <w:pStyle w:val="BodyText"/>
        <w:spacing w:line="417" w:lineRule="auto"/>
        <w:ind w:left="540" w:right="313"/>
        <w:jc w:val="both"/>
      </w:pPr>
      <w:r>
        <w:rPr/>
        <w:pict>
          <v:shape style="position:absolute;margin-left:111.139999pt;margin-top:88.649948pt;width:373.4pt;height:129.4pt;mso-position-horizontal-relative:page;mso-position-vertical-relative:paragraph;z-index:2517258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rPr>
                            <w:sz w:val="21"/>
                          </w:rPr>
                        </w:pPr>
                        <w:r>
                          <w:rPr>
                            <w:sz w:val="21"/>
                          </w:rPr>
                          <w:t>1,000.00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6"/>
                          <w:ind w:right="94"/>
                          <w:rPr>
                            <w:sz w:val="21"/>
                          </w:rPr>
                        </w:pPr>
                        <w:r>
                          <w:rPr>
                            <w:sz w:val="21"/>
                          </w:rPr>
                          <w:t>1.300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4"/>
                          <w:rPr>
                            <w:sz w:val="21"/>
                          </w:rPr>
                        </w:pPr>
                        <w:r>
                          <w:rPr>
                            <w:sz w:val="21"/>
                          </w:rPr>
                          <w:t>1,300.00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rPr>
                            <w:sz w:val="21"/>
                          </w:rPr>
                        </w:pPr>
                        <w:r>
                          <w:rPr>
                            <w:sz w:val="21"/>
                          </w:rPr>
                          <w:t>0.5%</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4"/>
                          <w:ind w:right="94"/>
                          <w:rPr>
                            <w:sz w:val="21"/>
                          </w:rPr>
                        </w:pPr>
                        <w:r>
                          <w:rPr>
                            <w:sz w:val="21"/>
                          </w:rPr>
                          <w:t>6.50</w:t>
                        </w:r>
                      </w:p>
                    </w:tc>
                  </w:tr>
                  <w:tr>
                    <w:trPr>
                      <w:trHeight w:val="311"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4"/>
                          <w:ind w:right="94"/>
                          <w:rPr>
                            <w:sz w:val="21"/>
                          </w:rPr>
                        </w:pPr>
                        <w:r>
                          <w:rPr>
                            <w:sz w:val="21"/>
                          </w:rPr>
                          <w:t>1.100</w:t>
                        </w:r>
                      </w:p>
                    </w:tc>
                  </w:tr>
                  <w:tr>
                    <w:trPr>
                      <w:trHeight w:val="313" w:hRule="atLeast"/>
                    </w:trPr>
                    <w:tc>
                      <w:tcPr>
                        <w:tcW w:w="4237" w:type="dxa"/>
                      </w:tcPr>
                      <w:p>
                        <w:pPr>
                          <w:pStyle w:val="TableParagraph"/>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4"/>
                          <w:ind w:right="93"/>
                          <w:rPr>
                            <w:sz w:val="21"/>
                          </w:rPr>
                        </w:pPr>
                        <w:r>
                          <w:rPr>
                            <w:sz w:val="21"/>
                          </w:rPr>
                          <w:t>1.0%</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0" w:top="1420" w:bottom="280" w:left="1260" w:right="1480"/>
        </w:sect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4"/>
              <w:ind w:right="94"/>
              <w:rPr>
                <w:sz w:val="21"/>
              </w:rPr>
            </w:pPr>
            <w:r>
              <w:rPr>
                <w:sz w:val="21"/>
              </w:rPr>
              <w:t>10.89</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4"/>
              <w:ind w:right="94"/>
              <w:rPr>
                <w:sz w:val="21"/>
              </w:rPr>
            </w:pPr>
            <w:r>
              <w:rPr>
                <w:sz w:val="21"/>
              </w:rPr>
              <w:t>17.39</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4"/>
              <w:ind w:right="94"/>
              <w:rPr>
                <w:sz w:val="21"/>
              </w:rPr>
            </w:pPr>
            <w:r>
              <w:rPr>
                <w:sz w:val="21"/>
              </w:rPr>
              <w:t>1,282.61</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6"/>
              <w:ind w:right="94"/>
              <w:rPr>
                <w:sz w:val="21"/>
              </w:rPr>
            </w:pPr>
            <w:r>
              <w:rPr>
                <w:sz w:val="21"/>
              </w:rPr>
              <w:t>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34"/>
              <w:ind w:right="94"/>
              <w:rPr>
                <w:sz w:val="21"/>
              </w:rPr>
            </w:pPr>
            <w:r>
              <w:rPr>
                <w:sz w:val="21"/>
              </w:rPr>
              <w:t>1,282.61</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4"/>
              <w:ind w:right="94"/>
              <w:rPr>
                <w:sz w:val="21"/>
              </w:rPr>
            </w:pPr>
            <w:r>
              <w:rPr>
                <w:sz w:val="21"/>
              </w:rPr>
              <w:t>1.500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before="34"/>
              <w:ind w:right="94"/>
              <w:rPr>
                <w:sz w:val="21"/>
              </w:rPr>
            </w:pPr>
            <w:r>
              <w:rPr>
                <w:sz w:val="21"/>
              </w:rPr>
              <w:t>855.07</w:t>
            </w:r>
          </w:p>
        </w:tc>
      </w:tr>
    </w:tbl>
    <w:p>
      <w:pPr>
        <w:pStyle w:val="BodyText"/>
        <w:spacing w:line="417" w:lineRule="auto" w:before="109"/>
        <w:ind w:left="540" w:right="311" w:firstLine="419"/>
        <w:jc w:val="both"/>
      </w:pPr>
      <w:r>
        <w:rPr/>
        <w:pict>
          <v:shape style="position:absolute;margin-left:110.540001pt;margin-top:70.700012pt;width:374.6pt;height:145.450pt;mso-position-horizontal-relative:page;mso-position-vertical-relative:paragraph;z-index:2517268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311" w:hRule="atLeast"/>
                    </w:trPr>
                    <w:tc>
                      <w:tcPr>
                        <w:tcW w:w="4249" w:type="dxa"/>
                      </w:tcPr>
                      <w:p>
                        <w:pPr>
                          <w:pStyle w:val="TableParagraph"/>
                          <w:ind w:left="1894" w:right="1885"/>
                          <w:jc w:val="center"/>
                          <w:rPr>
                            <w:rFonts w:ascii="宋体" w:eastAsia="宋体" w:hint="eastAsia"/>
                            <w:sz w:val="21"/>
                          </w:rPr>
                        </w:pPr>
                        <w:r>
                          <w:rPr>
                            <w:rFonts w:ascii="宋体" w:eastAsia="宋体" w:hint="eastAsia"/>
                            <w:sz w:val="21"/>
                          </w:rPr>
                          <w:t>项目</w:t>
                        </w:r>
                      </w:p>
                    </w:tc>
                    <w:tc>
                      <w:tcPr>
                        <w:tcW w:w="3229" w:type="dxa"/>
                      </w:tcPr>
                      <w:p>
                        <w:pPr>
                          <w:pStyle w:val="TableParagraph"/>
                          <w:ind w:left="1173" w:right="1165"/>
                          <w:jc w:val="center"/>
                          <w:rPr>
                            <w:rFonts w:ascii="宋体" w:eastAsia="宋体" w:hint="eastAsia"/>
                            <w:sz w:val="21"/>
                          </w:rPr>
                        </w:pPr>
                        <w:r>
                          <w:rPr>
                            <w:rFonts w:ascii="宋体" w:eastAsia="宋体" w:hint="eastAsia"/>
                            <w:sz w:val="21"/>
                          </w:rPr>
                          <w:t>费用计算</w:t>
                        </w:r>
                      </w:p>
                    </w:tc>
                  </w:tr>
                  <w:tr>
                    <w:trPr>
                      <w:trHeight w:val="314" w:hRule="atLeast"/>
                    </w:trPr>
                    <w:tc>
                      <w:tcPr>
                        <w:tcW w:w="4249" w:type="dxa"/>
                      </w:tcPr>
                      <w:p>
                        <w:pPr>
                          <w:pStyle w:val="TableParagraph"/>
                          <w:spacing w:before="25"/>
                          <w:ind w:left="107"/>
                          <w:jc w:val="left"/>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spacing w:before="36"/>
                          <w:ind w:right="94"/>
                          <w:rPr>
                            <w:sz w:val="21"/>
                          </w:rPr>
                        </w:pPr>
                        <w:r>
                          <w:rPr>
                            <w:sz w:val="21"/>
                          </w:rPr>
                          <w:t>855.07</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spacing w:before="34"/>
                          <w:ind w:right="94"/>
                          <w:rPr>
                            <w:sz w:val="21"/>
                          </w:rPr>
                        </w:pPr>
                        <w:r>
                          <w:rPr>
                            <w:sz w:val="21"/>
                          </w:rPr>
                          <w:t>1.300</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spacing w:before="34"/>
                          <w:ind w:right="94"/>
                          <w:rPr>
                            <w:sz w:val="21"/>
                          </w:rPr>
                        </w:pPr>
                        <w:r>
                          <w:rPr>
                            <w:sz w:val="21"/>
                          </w:rPr>
                          <w:t>1,111.59</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spacing w:before="34"/>
                          <w:ind w:right="93"/>
                          <w:rPr>
                            <w:sz w:val="21"/>
                          </w:rPr>
                        </w:pPr>
                        <w:r>
                          <w:rPr>
                            <w:sz w:val="21"/>
                          </w:rPr>
                          <w:t>0.5%</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spacing w:before="34"/>
                          <w:ind w:right="94"/>
                          <w:rPr>
                            <w:sz w:val="21"/>
                          </w:rPr>
                        </w:pPr>
                        <w:r>
                          <w:rPr>
                            <w:sz w:val="21"/>
                          </w:rPr>
                          <w:t>5.56</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spacing w:before="34"/>
                          <w:ind w:right="93"/>
                          <w:rPr>
                            <w:sz w:val="21"/>
                          </w:rPr>
                        </w:pPr>
                        <w:r>
                          <w:rPr>
                            <w:sz w:val="21"/>
                          </w:rPr>
                          <w:t>1.2%</w:t>
                        </w:r>
                      </w:p>
                    </w:tc>
                  </w:tr>
                  <w:tr>
                    <w:trPr>
                      <w:trHeight w:val="313" w:hRule="atLeast"/>
                    </w:trPr>
                    <w:tc>
                      <w:tcPr>
                        <w:tcW w:w="4249" w:type="dxa"/>
                      </w:tcPr>
                      <w:p>
                        <w:pPr>
                          <w:pStyle w:val="TableParagraph"/>
                          <w:spacing w:before="25"/>
                          <w:ind w:left="107"/>
                          <w:jc w:val="left"/>
                          <w:rPr>
                            <w:rFonts w:ascii="宋体" w:eastAsia="宋体" w:hint="eastAsia"/>
                            <w:sz w:val="21"/>
                          </w:rPr>
                        </w:pPr>
                        <w:r>
                          <w:rPr>
                            <w:rFonts w:ascii="宋体" w:eastAsia="宋体" w:hint="eastAsia"/>
                            <w:sz w:val="21"/>
                          </w:rPr>
                          <w:t>后端申购费（</w:t>
                        </w:r>
                        <w:r>
                          <w:rPr>
                            <w:sz w:val="21"/>
                          </w:rPr>
                          <w:t>U=O*M*T/(1+T)</w:t>
                        </w:r>
                        <w:r>
                          <w:rPr>
                            <w:rFonts w:ascii="宋体" w:eastAsia="宋体" w:hint="eastAsia"/>
                            <w:sz w:val="21"/>
                          </w:rPr>
                          <w:t>）</w:t>
                        </w:r>
                      </w:p>
                    </w:tc>
                    <w:tc>
                      <w:tcPr>
                        <w:tcW w:w="3229" w:type="dxa"/>
                      </w:tcPr>
                      <w:p>
                        <w:pPr>
                          <w:pStyle w:val="TableParagraph"/>
                          <w:spacing w:before="36"/>
                          <w:ind w:right="94"/>
                          <w:rPr>
                            <w:sz w:val="21"/>
                          </w:rPr>
                        </w:pPr>
                        <w:r>
                          <w:rPr>
                            <w:sz w:val="21"/>
                          </w:rPr>
                          <w:t>15.21</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spacing w:before="34"/>
                          <w:ind w:right="94"/>
                          <w:rPr>
                            <w:sz w:val="21"/>
                          </w:rPr>
                        </w:pPr>
                        <w:r>
                          <w:rPr>
                            <w:sz w:val="21"/>
                          </w:rPr>
                          <w:t>1,090.82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6"/>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3"/>
        </w:rPr>
        <w:t>申购费率为 </w:t>
      </w:r>
      <w:r>
        <w:rPr>
          <w:rFonts w:ascii="Times New Roman" w:eastAsia="Times New Roman"/>
        </w:rPr>
        <w:t>1.2%,</w:t>
      </w:r>
      <w:r>
        <w:rPr>
          <w:spacing w:val="-7"/>
        </w:rPr>
        <w:t>且乙基金赎回费率为 </w:t>
      </w:r>
      <w:r>
        <w:rPr>
          <w:rFonts w:ascii="Times New Roman" w:eastAsia="Times New Roman"/>
          <w:spacing w:val="-4"/>
        </w:rPr>
        <w:t>0.5%</w:t>
      </w:r>
      <w:r>
        <w:rPr>
          <w:spacing w:val="-6"/>
        </w:rPr>
        <w:t>，该日乙基金基金份额净值为 </w:t>
      </w:r>
      <w:r>
        <w:rPr>
          <w:rFonts w:ascii="Times New Roman" w:eastAsia="Times New Roman"/>
        </w:rPr>
        <w:t>1.300 </w:t>
      </w:r>
      <w:r>
        <w:rPr>
          <w:spacing w:val="-5"/>
        </w:rPr>
        <w:t>元。则赎回</w:t>
      </w:r>
      <w:r>
        <w:rPr>
          <w:spacing w:val="-4"/>
        </w:rPr>
        <w:t>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line="417" w:lineRule="auto"/>
        <w:ind w:left="540" w:right="311" w:firstLine="419"/>
        <w:jc w:val="both"/>
      </w:pPr>
      <w:r>
        <w:rPr/>
        <w:pict>
          <v:shape style="position:absolute;margin-left:110.779999pt;margin-top:88.620026pt;width:374pt;height:242.1pt;mso-position-horizontal-relative:page;mso-position-vertical-relative:paragraph;z-index:2517278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1" w:hRule="atLeast"/>
                    </w:trPr>
                    <w:tc>
                      <w:tcPr>
                        <w:tcW w:w="4244" w:type="dxa"/>
                      </w:tcPr>
                      <w:p>
                        <w:pPr>
                          <w:pStyle w:val="TableParagraph"/>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ind w:left="1171" w:right="1159"/>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34"/>
                          <w:ind w:right="91"/>
                          <w:rPr>
                            <w:sz w:val="21"/>
                          </w:rPr>
                        </w:pPr>
                        <w:r>
                          <w:rPr>
                            <w:sz w:val="21"/>
                          </w:rPr>
                          <w:t>1,000.00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before="34"/>
                          <w:ind w:right="90"/>
                          <w:rPr>
                            <w:sz w:val="21"/>
                          </w:rPr>
                        </w:pPr>
                        <w:r>
                          <w:rPr>
                            <w:sz w:val="21"/>
                          </w:rPr>
                          <w:t>1.200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before="36"/>
                          <w:ind w:right="91"/>
                          <w:rPr>
                            <w:sz w:val="21"/>
                          </w:rPr>
                        </w:pPr>
                        <w:r>
                          <w:rPr>
                            <w:sz w:val="21"/>
                          </w:rPr>
                          <w:t>1,200.00</w:t>
                        </w:r>
                      </w:p>
                    </w:tc>
                  </w:tr>
                  <w:tr>
                    <w:trPr>
                      <w:trHeight w:val="312"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34"/>
                          <w:ind w:right="90"/>
                          <w:rPr>
                            <w:sz w:val="21"/>
                          </w:rPr>
                        </w:pPr>
                        <w:r>
                          <w:rPr>
                            <w:sz w:val="21"/>
                          </w:rPr>
                          <w:t>0.5%</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spacing w:before="34"/>
                          <w:ind w:right="90"/>
                          <w:rPr>
                            <w:sz w:val="21"/>
                          </w:rPr>
                        </w:pPr>
                        <w:r>
                          <w:rPr>
                            <w:sz w:val="21"/>
                          </w:rPr>
                          <w:t>6.00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spacing w:before="34"/>
                          <w:ind w:right="90"/>
                          <w:rPr>
                            <w:sz w:val="21"/>
                          </w:rPr>
                        </w:pPr>
                        <w:r>
                          <w:rPr>
                            <w:sz w:val="21"/>
                          </w:rPr>
                          <w:t>1.100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spacing w:before="34"/>
                          <w:ind w:right="90"/>
                          <w:rPr>
                            <w:sz w:val="21"/>
                          </w:rPr>
                        </w:pPr>
                        <w:r>
                          <w:rPr>
                            <w:sz w:val="21"/>
                          </w:rPr>
                          <w:t>1.0%</w:t>
                        </w:r>
                      </w:p>
                    </w:tc>
                  </w:tr>
                  <w:tr>
                    <w:trPr>
                      <w:trHeight w:val="311" w:hRule="atLeast"/>
                    </w:trPr>
                    <w:tc>
                      <w:tcPr>
                        <w:tcW w:w="4244" w:type="dxa"/>
                      </w:tcPr>
                      <w:p>
                        <w:pPr>
                          <w:pStyle w:val="TableParagraph"/>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21" w:type="dxa"/>
                      </w:tcPr>
                      <w:p>
                        <w:pPr>
                          <w:pStyle w:val="TableParagraph"/>
                          <w:spacing w:before="34"/>
                          <w:ind w:right="90"/>
                          <w:rPr>
                            <w:sz w:val="21"/>
                          </w:rPr>
                        </w:pPr>
                        <w:r>
                          <w:rPr>
                            <w:sz w:val="21"/>
                          </w:rPr>
                          <w:t>10.89</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spacing w:before="36"/>
                          <w:ind w:right="90"/>
                          <w:rPr>
                            <w:sz w:val="21"/>
                          </w:rPr>
                        </w:pPr>
                        <w:r>
                          <w:rPr>
                            <w:sz w:val="21"/>
                          </w:rPr>
                          <w:t>16.89</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spacing w:before="34"/>
                          <w:ind w:right="91"/>
                          <w:rPr>
                            <w:sz w:val="21"/>
                          </w:rPr>
                        </w:pPr>
                        <w:r>
                          <w:rPr>
                            <w:sz w:val="21"/>
                          </w:rPr>
                          <w:t>1,183.11</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spacing w:before="34"/>
                          <w:ind w:right="90"/>
                          <w:rPr>
                            <w:sz w:val="21"/>
                          </w:rPr>
                        </w:pPr>
                        <w:r>
                          <w:rPr>
                            <w:sz w:val="21"/>
                          </w:rPr>
                          <w:t>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spacing w:before="34"/>
                          <w:ind w:right="91"/>
                          <w:rPr>
                            <w:sz w:val="21"/>
                          </w:rPr>
                        </w:pPr>
                        <w:r>
                          <w:rPr>
                            <w:sz w:val="21"/>
                          </w:rPr>
                          <w:t>1,183.11</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spacing w:before="34"/>
                          <w:ind w:right="90"/>
                          <w:rPr>
                            <w:sz w:val="21"/>
                          </w:rPr>
                        </w:pPr>
                        <w:r>
                          <w:rPr>
                            <w:sz w:val="21"/>
                          </w:rPr>
                          <w:t>1.500</w:t>
                        </w:r>
                      </w:p>
                    </w:tc>
                  </w:tr>
                  <w:tr>
                    <w:trPr>
                      <w:trHeight w:val="314"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spacing w:before="34"/>
                          <w:ind w:right="90"/>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ind w:left="960"/>
      </w:pPr>
      <w:r>
        <w:rPr/>
        <w:t>例十三：假定投资者在 </w:t>
      </w:r>
      <w:r>
        <w:rPr>
          <w:rFonts w:ascii="Times New Roman" w:eastAsia="Times New Roman"/>
        </w:rPr>
        <w:t>T </w:t>
      </w:r>
      <w:r>
        <w:rPr/>
        <w:t>日转出持有期为 </w:t>
      </w:r>
      <w:r>
        <w:rPr>
          <w:rFonts w:ascii="Times New Roman" w:eastAsia="Times New Roman"/>
        </w:rPr>
        <w:t>146 </w:t>
      </w:r>
      <w:r>
        <w:rPr/>
        <w:t>天的不收取申购费用基金甲 </w:t>
      </w:r>
      <w:r>
        <w:rPr>
          <w:rFonts w:ascii="Times New Roman" w:eastAsia="Times New Roman"/>
        </w:rPr>
        <w:t>1,000 </w:t>
      </w:r>
      <w:r>
        <w:rPr/>
        <w:t>份，转</w:t>
      </w:r>
    </w:p>
    <w:p>
      <w:pPr>
        <w:spacing w:after="0"/>
        <w:sectPr>
          <w:pgSz w:w="11910" w:h="16840"/>
          <w:pgMar w:header="877" w:footer="0" w:top="1420" w:bottom="280" w:left="1260" w:right="1480"/>
        </w:sectPr>
      </w:pPr>
    </w:p>
    <w:p>
      <w:pPr>
        <w:pStyle w:val="BodyText"/>
        <w:spacing w:line="417" w:lineRule="auto" w:before="110"/>
        <w:ind w:left="540" w:right="311"/>
        <w:jc w:val="both"/>
      </w:pPr>
      <w:r>
        <w:rPr/>
        <w:pict>
          <v:shape style="position:absolute;margin-left:111.139999pt;margin-top:70.719986pt;width:373.4pt;height:225.4pt;mso-position-horizontal-relative:page;mso-position-vertical-relative:paragraph;z-index:2517288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rPr>
                            <w:sz w:val="21"/>
                          </w:rPr>
                        </w:pPr>
                        <w:r>
                          <w:rPr>
                            <w:sz w:val="21"/>
                          </w:rPr>
                          <w:t>1,000.00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rPr>
                            <w:sz w:val="21"/>
                          </w:rPr>
                        </w:pPr>
                        <w:r>
                          <w:rPr>
                            <w:sz w:val="21"/>
                          </w:rPr>
                          <w:t>1.200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1,200.00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spacing w:before="34"/>
                          <w:ind w:right="94"/>
                          <w:rPr>
                            <w:sz w:val="21"/>
                          </w:rPr>
                        </w:pPr>
                        <w:r>
                          <w:rPr>
                            <w:sz w:val="21"/>
                          </w:rPr>
                          <w:t>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spacing w:before="34"/>
                          <w:ind w:right="94"/>
                          <w:rPr>
                            <w:sz w:val="21"/>
                          </w:rPr>
                        </w:pPr>
                        <w:r>
                          <w:rPr>
                            <w:sz w:val="21"/>
                          </w:rPr>
                          <w:t>1,200.00</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spacing w:before="34"/>
                          <w:ind w:right="93"/>
                          <w:rPr>
                            <w:sz w:val="21"/>
                          </w:rPr>
                        </w:pPr>
                        <w:r>
                          <w:rPr>
                            <w:sz w:val="21"/>
                          </w:rPr>
                          <w:t>0.3%</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spacing w:before="34"/>
                          <w:ind w:right="93"/>
                          <w:rPr>
                            <w:sz w:val="21"/>
                          </w:rPr>
                        </w:pPr>
                        <w:r>
                          <w:rPr>
                            <w:sz w:val="21"/>
                          </w:rPr>
                          <w:t>2.0%</w:t>
                        </w:r>
                      </w:p>
                    </w:tc>
                  </w:tr>
                  <w:tr>
                    <w:trPr>
                      <w:trHeight w:val="623" w:hRule="atLeast"/>
                    </w:trPr>
                    <w:tc>
                      <w:tcPr>
                        <w:tcW w:w="4237" w:type="dxa"/>
                      </w:tcPr>
                      <w:p>
                        <w:pPr>
                          <w:pStyle w:val="TableParagraph"/>
                          <w:ind w:left="107"/>
                          <w:jc w:val="left"/>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rPr>
                            <w:sz w:val="21"/>
                          </w:rPr>
                        </w:pPr>
                        <w:r>
                          <w:rPr>
                            <w:sz w:val="21"/>
                          </w:rPr>
                          <w:t>1.88%</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I=E/(1+H)</w:t>
                        </w:r>
                        <w:r>
                          <w:rPr>
                            <w:rFonts w:ascii="宋体" w:eastAsia="宋体" w:hint="eastAsia"/>
                            <w:sz w:val="21"/>
                          </w:rPr>
                          <w:t>）</w:t>
                        </w:r>
                      </w:p>
                    </w:tc>
                    <w:tc>
                      <w:tcPr>
                        <w:tcW w:w="3217" w:type="dxa"/>
                      </w:tcPr>
                      <w:p>
                        <w:pPr>
                          <w:pStyle w:val="TableParagraph"/>
                          <w:spacing w:before="36"/>
                          <w:ind w:right="94"/>
                          <w:rPr>
                            <w:sz w:val="21"/>
                          </w:rPr>
                        </w:pPr>
                        <w:r>
                          <w:rPr>
                            <w:sz w:val="21"/>
                          </w:rPr>
                          <w:t>1,177.86</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spacing w:before="34"/>
                          <w:ind w:right="94"/>
                          <w:rPr>
                            <w:sz w:val="21"/>
                          </w:rPr>
                        </w:pPr>
                        <w:r>
                          <w:rPr>
                            <w:sz w:val="21"/>
                          </w:rPr>
                          <w:t>22.14</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spacing w:before="34"/>
                          <w:ind w:right="94"/>
                          <w:rPr>
                            <w:sz w:val="21"/>
                          </w:rPr>
                        </w:pPr>
                        <w:r>
                          <w:rPr>
                            <w:sz w:val="21"/>
                          </w:rPr>
                          <w:t>1.300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spacing w:before="34"/>
                          <w:ind w:right="94"/>
                          <w:rPr>
                            <w:sz w:val="21"/>
                          </w:rPr>
                        </w:pPr>
                        <w:r>
                          <w:rPr>
                            <w:sz w:val="21"/>
                          </w:rPr>
                          <w:t>906.05</w:t>
                        </w:r>
                      </w:p>
                    </w:tc>
                  </w:tr>
                </w:tbl>
                <w:p>
                  <w:pPr>
                    <w:pStyle w:val="BodyText"/>
                  </w:pPr>
                </w:p>
              </w:txbxContent>
            </v:textbox>
            <w10:wrap type="none"/>
          </v:shape>
        </w:pict>
      </w:r>
      <w:r>
        <w:rPr>
          <w:spacing w:val="-5"/>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2"/>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1"/>
        <w:ind w:left="540" w:right="311" w:firstLine="419"/>
        <w:jc w:val="both"/>
      </w:pPr>
      <w:r>
        <w:rPr/>
        <w:pict>
          <v:shape style="position:absolute;margin-left:111.379997pt;margin-top:96.18998pt;width:372.95pt;height:209.35pt;mso-position-horizontal-relative:page;mso-position-vertical-relative:paragraph;z-index:2517299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ind w:left="1108" w:right="1097"/>
                          <w:jc w:val="center"/>
                          <w:rPr>
                            <w:rFonts w:ascii="宋体" w:eastAsia="宋体" w:hint="eastAsia"/>
                            <w:sz w:val="21"/>
                          </w:rPr>
                        </w:pPr>
                        <w:r>
                          <w:rPr>
                            <w:rFonts w:ascii="宋体" w:eastAsia="宋体" w:hint="eastAsia"/>
                            <w:sz w:val="21"/>
                          </w:rPr>
                          <w:t>费用计算</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6"/>
                          <w:ind w:right="94"/>
                          <w:rPr>
                            <w:sz w:val="21"/>
                          </w:rPr>
                        </w:pPr>
                        <w:r>
                          <w:rPr>
                            <w:sz w:val="21"/>
                          </w:rPr>
                          <w:t>10,000,000.00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4"/>
                          <w:ind w:right="93"/>
                          <w:rPr>
                            <w:sz w:val="21"/>
                          </w:rPr>
                        </w:pPr>
                        <w:r>
                          <w:rPr>
                            <w:sz w:val="21"/>
                          </w:rPr>
                          <w:t>1.200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4"/>
                          <w:ind w:right="94"/>
                          <w:rPr>
                            <w:sz w:val="21"/>
                          </w:rPr>
                        </w:pPr>
                        <w:r>
                          <w:rPr>
                            <w:sz w:val="21"/>
                          </w:rPr>
                          <w:t>12,000,000.00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spacing w:before="34"/>
                          <w:ind w:right="93"/>
                          <w:rPr>
                            <w:sz w:val="21"/>
                          </w:rPr>
                        </w:pPr>
                        <w:r>
                          <w:rPr>
                            <w:sz w:val="21"/>
                          </w:rPr>
                          <w:t>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spacing w:before="34"/>
                          <w:ind w:right="94"/>
                          <w:rPr>
                            <w:sz w:val="21"/>
                          </w:rPr>
                        </w:pPr>
                        <w:r>
                          <w:rPr>
                            <w:sz w:val="21"/>
                          </w:rPr>
                          <w:t>12,000,000.00</w:t>
                        </w:r>
                      </w:p>
                    </w:tc>
                  </w:tr>
                  <w:tr>
                    <w:trPr>
                      <w:trHeight w:val="312" w:hRule="atLeast"/>
                    </w:trPr>
                    <w:tc>
                      <w:tcPr>
                        <w:tcW w:w="4232" w:type="dxa"/>
                      </w:tcPr>
                      <w:p>
                        <w:pPr>
                          <w:pStyle w:val="TableParagraph"/>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spacing w:before="34"/>
                          <w:ind w:right="93"/>
                          <w:rPr>
                            <w:sz w:val="21"/>
                          </w:rPr>
                        </w:pPr>
                        <w:r>
                          <w:rPr>
                            <w:sz w:val="21"/>
                          </w:rPr>
                          <w:t>0.3%</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spacing w:before="36"/>
                          <w:ind w:right="94"/>
                          <w:rPr>
                            <w:sz w:val="21"/>
                          </w:rPr>
                        </w:pPr>
                        <w:r>
                          <w:rPr>
                            <w:sz w:val="21"/>
                          </w:rPr>
                          <w:t>1,000.00</w:t>
                        </w:r>
                      </w:p>
                    </w:tc>
                  </w:tr>
                  <w:tr>
                    <w:trPr>
                      <w:trHeight w:val="623" w:hRule="atLeast"/>
                    </w:trPr>
                    <w:tc>
                      <w:tcPr>
                        <w:tcW w:w="4232"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0"/>
                          <w:ind w:right="93"/>
                          <w:rPr>
                            <w:sz w:val="21"/>
                          </w:rPr>
                        </w:pPr>
                        <w:r>
                          <w:rPr>
                            <w:sz w:val="21"/>
                          </w:rPr>
                          <w:t>13.70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spacing w:before="34"/>
                          <w:ind w:right="94"/>
                          <w:rPr>
                            <w:sz w:val="21"/>
                          </w:rPr>
                        </w:pPr>
                        <w:r>
                          <w:rPr>
                            <w:sz w:val="21"/>
                          </w:rPr>
                          <w:t>11,999,986.30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34"/>
                          <w:ind w:right="93"/>
                          <w:rPr>
                            <w:sz w:val="21"/>
                          </w:rPr>
                        </w:pPr>
                        <w:r>
                          <w:rPr>
                            <w:sz w:val="21"/>
                          </w:rPr>
                          <w:t>1.300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spacing w:before="34"/>
                          <w:ind w:right="94"/>
                          <w:rPr>
                            <w:sz w:val="21"/>
                          </w:rPr>
                        </w:pPr>
                        <w:r>
                          <w:rPr>
                            <w:sz w:val="21"/>
                          </w:rPr>
                          <w:t>9,230,758.69</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4"/>
        </w:rPr>
        <w:t>，此时转出不收取赎回费。乙基金适用固定申购费 </w:t>
      </w:r>
      <w:r>
        <w:rPr>
          <w:rFonts w:ascii="Times New Roman" w:eastAsia="Times New Roman"/>
        </w:rPr>
        <w:t>1,000.00 </w:t>
      </w:r>
      <w:r>
        <w:rPr>
          <w:spacing w:val="-3"/>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96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6"/>
        <w:rPr>
          <w:sz w:val="15"/>
        </w:rPr>
      </w:pPr>
    </w:p>
    <w:p>
      <w:pPr>
        <w:pStyle w:val="BodyText"/>
        <w:spacing w:line="417" w:lineRule="auto" w:before="1"/>
        <w:ind w:left="540" w:right="208"/>
      </w:pP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spacing w:after="0" w:line="417" w:lineRule="auto"/>
        <w:sectPr>
          <w:pgSz w:w="11910" w:h="16840"/>
          <w:pgMar w:header="877" w:footer="0" w:top="1420" w:bottom="280" w:left="1260" w:right="1480"/>
        </w:sectPr>
      </w:pP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312" w:hRule="atLeast"/>
        </w:trPr>
        <w:tc>
          <w:tcPr>
            <w:tcW w:w="4242" w:type="dxa"/>
          </w:tcPr>
          <w:p>
            <w:pPr>
              <w:pStyle w:val="TableParagraph"/>
              <w:spacing w:before="23"/>
              <w:ind w:right="936"/>
              <w:rPr>
                <w:rFonts w:ascii="宋体" w:eastAsia="宋体" w:hint="eastAsia"/>
                <w:sz w:val="21"/>
              </w:rPr>
            </w:pPr>
            <w:r>
              <w:rPr>
                <w:rFonts w:ascii="宋体" w:eastAsia="宋体" w:hint="eastAsia"/>
                <w:sz w:val="21"/>
              </w:rPr>
              <w:t>项目</w:t>
            </w:r>
          </w:p>
        </w:tc>
        <w:tc>
          <w:tcPr>
            <w:tcW w:w="3222" w:type="dxa"/>
          </w:tcPr>
          <w:p>
            <w:pPr>
              <w:pStyle w:val="TableParagraph"/>
              <w:spacing w:before="23"/>
              <w:ind w:left="1171" w:right="1161"/>
              <w:jc w:val="center"/>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spacing w:before="34"/>
              <w:ind w:right="92"/>
              <w:rPr>
                <w:sz w:val="21"/>
              </w:rPr>
            </w:pPr>
            <w:r>
              <w:rPr>
                <w:sz w:val="21"/>
              </w:rPr>
              <w:t>1,000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spacing w:before="34"/>
              <w:ind w:right="92"/>
              <w:rPr>
                <w:sz w:val="21"/>
              </w:rPr>
            </w:pPr>
            <w:r>
              <w:rPr>
                <w:sz w:val="21"/>
              </w:rPr>
              <w:t>1.200</w:t>
            </w:r>
          </w:p>
        </w:tc>
      </w:tr>
      <w:tr>
        <w:trPr>
          <w:trHeight w:val="313"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spacing w:before="36"/>
              <w:ind w:right="92"/>
              <w:rPr>
                <w:sz w:val="21"/>
              </w:rPr>
            </w:pPr>
            <w:r>
              <w:rPr>
                <w:sz w:val="21"/>
              </w:rPr>
              <w:t>1,200.00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spacing w:before="34"/>
              <w:ind w:right="92"/>
              <w:rPr>
                <w:sz w:val="21"/>
              </w:rPr>
            </w:pPr>
            <w:r>
              <w:rPr>
                <w:sz w:val="21"/>
              </w:rPr>
              <w:t>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spacing w:before="34"/>
              <w:ind w:right="92"/>
              <w:rPr>
                <w:sz w:val="21"/>
              </w:rPr>
            </w:pPr>
            <w:r>
              <w:rPr>
                <w:sz w:val="21"/>
              </w:rPr>
              <w:t>1,200.00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spacing w:before="34"/>
              <w:ind w:right="92"/>
              <w:rPr>
                <w:sz w:val="21"/>
              </w:rPr>
            </w:pPr>
            <w:r>
              <w:rPr>
                <w:sz w:val="21"/>
              </w:rPr>
              <w:t>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spacing w:before="34"/>
              <w:ind w:right="92"/>
              <w:rPr>
                <w:sz w:val="21"/>
              </w:rPr>
            </w:pPr>
            <w:r>
              <w:rPr>
                <w:sz w:val="21"/>
              </w:rPr>
              <w:t>1,200.00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spacing w:before="34"/>
              <w:ind w:right="92"/>
              <w:rPr>
                <w:sz w:val="21"/>
              </w:rPr>
            </w:pPr>
            <w:r>
              <w:rPr>
                <w:sz w:val="21"/>
              </w:rPr>
              <w:t>1.500</w:t>
            </w:r>
          </w:p>
        </w:tc>
      </w:tr>
      <w:tr>
        <w:trPr>
          <w:trHeight w:val="314"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spacing w:before="36"/>
              <w:ind w:right="92"/>
              <w:rPr>
                <w:sz w:val="21"/>
              </w:rPr>
            </w:pPr>
            <w:r>
              <w:rPr>
                <w:sz w:val="21"/>
              </w:rPr>
              <w:t>800.00</w:t>
            </w:r>
          </w:p>
        </w:tc>
      </w:tr>
    </w:tbl>
    <w:p>
      <w:pPr>
        <w:pStyle w:val="BodyText"/>
        <w:spacing w:line="417" w:lineRule="auto" w:before="110"/>
        <w:ind w:left="540" w:right="313" w:firstLine="419"/>
        <w:jc w:val="both"/>
      </w:pPr>
      <w:r>
        <w:rPr/>
        <w:pict>
          <v:shape style="position:absolute;margin-left:110.779999pt;margin-top:70.719986pt;width:374.15pt;height:145.35pt;mso-position-horizontal-relative:page;mso-position-vertical-relative:paragraph;z-index:2517309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ind w:right="938"/>
                          <w:rPr>
                            <w:rFonts w:ascii="宋体" w:eastAsia="宋体" w:hint="eastAsia"/>
                            <w:sz w:val="21"/>
                          </w:rPr>
                        </w:pPr>
                        <w:r>
                          <w:rPr>
                            <w:rFonts w:ascii="宋体" w:eastAsia="宋体" w:hint="eastAsia"/>
                            <w:sz w:val="21"/>
                          </w:rPr>
                          <w:t>项目</w:t>
                        </w:r>
                      </w:p>
                    </w:tc>
                    <w:tc>
                      <w:tcPr>
                        <w:tcW w:w="3224" w:type="dxa"/>
                      </w:tcPr>
                      <w:p>
                        <w:pPr>
                          <w:pStyle w:val="TableParagraph"/>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spacing w:before="34"/>
                          <w:ind w:right="93"/>
                          <w:rPr>
                            <w:sz w:val="21"/>
                          </w:rPr>
                        </w:pPr>
                        <w:r>
                          <w:rPr>
                            <w:sz w:val="21"/>
                          </w:rPr>
                          <w:t>800.00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spacing w:before="34"/>
                          <w:ind w:right="93"/>
                          <w:rPr>
                            <w:sz w:val="21"/>
                          </w:rPr>
                        </w:pPr>
                        <w:r>
                          <w:rPr>
                            <w:sz w:val="21"/>
                          </w:rPr>
                          <w:t>1.300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spacing w:before="34"/>
                          <w:ind w:right="94"/>
                          <w:rPr>
                            <w:sz w:val="21"/>
                          </w:rPr>
                        </w:pPr>
                        <w:r>
                          <w:rPr>
                            <w:sz w:val="21"/>
                          </w:rPr>
                          <w:t>1,040.00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before="36"/>
                          <w:ind w:right="93"/>
                          <w:rPr>
                            <w:sz w:val="21"/>
                          </w:rPr>
                        </w:pPr>
                        <w:r>
                          <w:rPr>
                            <w:sz w:val="21"/>
                          </w:rPr>
                          <w:t>0.5%</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spacing w:before="34"/>
                          <w:ind w:right="93"/>
                          <w:rPr>
                            <w:sz w:val="21"/>
                          </w:rPr>
                        </w:pPr>
                        <w:r>
                          <w:rPr>
                            <w:sz w:val="21"/>
                          </w:rPr>
                          <w:t>5.20</w:t>
                        </w:r>
                      </w:p>
                    </w:tc>
                  </w:tr>
                  <w:tr>
                    <w:trPr>
                      <w:trHeight w:val="311"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spacing w:before="34"/>
                          <w:ind w:right="93"/>
                          <w:rPr>
                            <w:sz w:val="21"/>
                          </w:rPr>
                        </w:pPr>
                        <w:r>
                          <w:rPr>
                            <w:sz w:val="21"/>
                          </w:rPr>
                          <w:t>1.0%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后端申购费（</w:t>
                        </w:r>
                        <w:r>
                          <w:rPr>
                            <w:sz w:val="21"/>
                          </w:rPr>
                          <w:t>P=J*H*O/(1+O)</w:t>
                        </w:r>
                        <w:r>
                          <w:rPr>
                            <w:rFonts w:ascii="宋体" w:eastAsia="宋体" w:hint="eastAsia"/>
                            <w:sz w:val="21"/>
                          </w:rPr>
                          <w:t>）</w:t>
                        </w:r>
                      </w:p>
                    </w:tc>
                    <w:tc>
                      <w:tcPr>
                        <w:tcW w:w="3224" w:type="dxa"/>
                      </w:tcPr>
                      <w:p>
                        <w:pPr>
                          <w:pStyle w:val="TableParagraph"/>
                          <w:spacing w:before="34"/>
                          <w:ind w:right="93"/>
                          <w:rPr>
                            <w:sz w:val="21"/>
                          </w:rPr>
                        </w:pPr>
                        <w:r>
                          <w:rPr>
                            <w:sz w:val="21"/>
                          </w:rPr>
                          <w:t>11.88</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spacing w:before="34"/>
                          <w:ind w:right="94"/>
                          <w:rPr>
                            <w:sz w:val="21"/>
                          </w:rPr>
                        </w:pPr>
                        <w:r>
                          <w:rPr>
                            <w:sz w:val="21"/>
                          </w:rPr>
                          <w:t>1,022.92</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pStyle w:val="BodyText"/>
        <w:spacing w:line="417" w:lineRule="auto" w:before="1"/>
        <w:ind w:left="540" w:right="311" w:firstLine="419"/>
        <w:jc w:val="both"/>
      </w:pPr>
      <w:r>
        <w:rPr/>
        <w:pict>
          <v:shape style="position:absolute;margin-left:110.779999pt;margin-top:65.270004pt;width:374pt;height:177.65pt;mso-position-horizontal-relative:page;mso-position-vertical-relative:paragraph;z-index:2517319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4" w:hRule="atLeast"/>
                    </w:trPr>
                    <w:tc>
                      <w:tcPr>
                        <w:tcW w:w="4244" w:type="dxa"/>
                      </w:tcPr>
                      <w:p>
                        <w:pPr>
                          <w:pStyle w:val="TableParagraph"/>
                          <w:spacing w:before="25"/>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spacing w:before="25"/>
                          <w:ind w:left="1171" w:right="1159"/>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1,000.00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1.300</w:t>
                        </w:r>
                      </w:p>
                    </w:tc>
                  </w:tr>
                  <w:tr>
                    <w:trPr>
                      <w:trHeight w:val="312" w:hRule="atLeast"/>
                    </w:trPr>
                    <w:tc>
                      <w:tcPr>
                        <w:tcW w:w="4244" w:type="dxa"/>
                      </w:tcPr>
                      <w:p>
                        <w:pPr>
                          <w:pStyle w:val="TableParagraph"/>
                          <w:spacing w:before="23"/>
                          <w:ind w:left="569" w:right="560"/>
                          <w:jc w:val="center"/>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1,300.00</w:t>
                        </w:r>
                      </w:p>
                    </w:tc>
                  </w:tr>
                  <w:tr>
                    <w:trPr>
                      <w:trHeight w:val="311"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0.1%</w:t>
                        </w:r>
                      </w:p>
                    </w:tc>
                  </w:tr>
                  <w:tr>
                    <w:trPr>
                      <w:trHeight w:val="311"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1.30</w:t>
                        </w:r>
                      </w:p>
                    </w:tc>
                  </w:tr>
                  <w:tr>
                    <w:trPr>
                      <w:trHeight w:val="313" w:hRule="atLeast"/>
                    </w:trPr>
                    <w:tc>
                      <w:tcPr>
                        <w:tcW w:w="4244" w:type="dxa"/>
                      </w:tcPr>
                      <w:p>
                        <w:pPr>
                          <w:pStyle w:val="TableParagraph"/>
                          <w:spacing w:before="25"/>
                          <w:ind w:left="571" w:right="560"/>
                          <w:jc w:val="center"/>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36"/>
                          <w:ind w:left="1171" w:right="1159"/>
                          <w:jc w:val="center"/>
                          <w:rPr>
                            <w:sz w:val="21"/>
                          </w:rPr>
                        </w:pPr>
                        <w:r>
                          <w:rPr>
                            <w:sz w:val="21"/>
                          </w:rPr>
                          <w:t>1,298.70</w:t>
                        </w:r>
                      </w:p>
                    </w:tc>
                  </w:tr>
                  <w:tr>
                    <w:trPr>
                      <w:trHeight w:val="311" w:hRule="atLeast"/>
                    </w:trPr>
                    <w:tc>
                      <w:tcPr>
                        <w:tcW w:w="4244" w:type="dxa"/>
                      </w:tcPr>
                      <w:p>
                        <w:pPr>
                          <w:pStyle w:val="TableParagraph"/>
                          <w:ind w:left="567" w:right="560"/>
                          <w:jc w:val="center"/>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0.00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1,298.70</w:t>
                        </w:r>
                      </w:p>
                    </w:tc>
                  </w:tr>
                  <w:tr>
                    <w:trPr>
                      <w:trHeight w:val="311"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1.500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spacing w:before="1"/>
        <w:ind w:left="960"/>
      </w:pPr>
      <w:r>
        <w:rPr/>
        <w:t>（十三）基金的非交易过户</w:t>
      </w:r>
    </w:p>
    <w:p>
      <w:pPr>
        <w:pStyle w:val="BodyText"/>
        <w:spacing w:before="7"/>
        <w:rPr>
          <w:sz w:val="15"/>
        </w:rPr>
      </w:pPr>
    </w:p>
    <w:p>
      <w:pPr>
        <w:pStyle w:val="BodyText"/>
        <w:spacing w:line="417" w:lineRule="auto"/>
        <w:ind w:left="540" w:right="311" w:firstLine="419"/>
      </w:pPr>
      <w:r>
        <w:rPr>
          <w:spacing w:val="-8"/>
        </w:rPr>
        <w:t>基金的非交易过户是指基金登记机构受理继承、捐赠和司法强制执行等情形而产生的非</w:t>
      </w:r>
      <w:r>
        <w:rPr>
          <w:spacing w:val="-10"/>
        </w:rPr>
        <w:t>交易过户以及登记机构认可、符合法律法规的其它非交易过户。无论在上述何种情况下，接</w:t>
      </w:r>
    </w:p>
    <w:p>
      <w:pPr>
        <w:spacing w:after="0" w:line="417" w:lineRule="auto"/>
        <w:sectPr>
          <w:pgSz w:w="11910" w:h="16840"/>
          <w:pgMar w:header="877" w:footer="0" w:top="1420" w:bottom="280" w:left="1260" w:right="1480"/>
        </w:sectPr>
      </w:pPr>
    </w:p>
    <w:p>
      <w:pPr>
        <w:pStyle w:val="BodyText"/>
        <w:spacing w:before="110"/>
        <w:ind w:left="540"/>
      </w:pPr>
      <w:r>
        <w:rPr/>
        <w:t>受划转的主体必须是依法可以持有本基金基金份额的投资人。</w:t>
      </w:r>
    </w:p>
    <w:p>
      <w:pPr>
        <w:pStyle w:val="BodyText"/>
        <w:spacing w:before="6"/>
        <w:rPr>
          <w:sz w:val="15"/>
        </w:rPr>
      </w:pPr>
    </w:p>
    <w:p>
      <w:pPr>
        <w:pStyle w:val="BodyText"/>
        <w:spacing w:line="417" w:lineRule="auto"/>
        <w:ind w:left="540" w:right="31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8" w:lineRule="exact"/>
        <w:ind w:left="960"/>
      </w:pPr>
      <w:r>
        <w:rPr/>
        <w:t>（十四）基金的转托管</w:t>
      </w:r>
    </w:p>
    <w:p>
      <w:pPr>
        <w:pStyle w:val="BodyText"/>
        <w:spacing w:before="8"/>
        <w:rPr>
          <w:sz w:val="15"/>
        </w:rPr>
      </w:pPr>
    </w:p>
    <w:p>
      <w:pPr>
        <w:pStyle w:val="BodyText"/>
        <w:spacing w:line="417" w:lineRule="auto"/>
        <w:ind w:left="540" w:right="31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960"/>
      </w:pPr>
      <w:r>
        <w:rPr/>
        <w:t>（十五）定期定额投资计划</w:t>
      </w:r>
    </w:p>
    <w:p>
      <w:pPr>
        <w:pStyle w:val="BodyText"/>
        <w:spacing w:before="6"/>
        <w:rPr>
          <w:sz w:val="15"/>
        </w:rPr>
      </w:pPr>
    </w:p>
    <w:p>
      <w:pPr>
        <w:pStyle w:val="BodyText"/>
        <w:spacing w:line="417" w:lineRule="auto" w:before="1"/>
        <w:ind w:left="540" w:right="31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spacing w:line="269" w:lineRule="exact"/>
        <w:ind w:left="960"/>
      </w:pPr>
      <w:r>
        <w:rPr/>
        <w:t>（十六）基金的冻结和解冻</w:t>
      </w:r>
    </w:p>
    <w:p>
      <w:pPr>
        <w:pStyle w:val="BodyText"/>
        <w:spacing w:before="7"/>
        <w:rPr>
          <w:sz w:val="15"/>
        </w:rPr>
      </w:pPr>
    </w:p>
    <w:p>
      <w:pPr>
        <w:pStyle w:val="BodyText"/>
        <w:spacing w:line="417" w:lineRule="auto"/>
        <w:ind w:left="540" w:right="31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line="269" w:lineRule="exact"/>
        <w:ind w:left="960"/>
      </w:pPr>
      <w:r>
        <w:rPr/>
        <w:t>（十七）基金份额的转让</w:t>
      </w:r>
    </w:p>
    <w:p>
      <w:pPr>
        <w:pStyle w:val="BodyText"/>
        <w:spacing w:before="6"/>
        <w:rPr>
          <w:sz w:val="15"/>
        </w:rPr>
      </w:pPr>
    </w:p>
    <w:p>
      <w:pPr>
        <w:pStyle w:val="BodyText"/>
        <w:spacing w:line="417" w:lineRule="auto"/>
        <w:ind w:left="540" w:right="314" w:firstLine="419"/>
      </w:pPr>
      <w:r>
        <w:rPr/>
        <w:t>基金份额可以按照法律法规规定和基金合同约定在中国证监会认可的交易场所或者通过其他方式进行转让。</w:t>
      </w:r>
    </w:p>
    <w:p>
      <w:pPr>
        <w:pStyle w:val="BodyText"/>
        <w:spacing w:line="417" w:lineRule="auto"/>
        <w:ind w:left="540" w:right="311" w:firstLine="419"/>
      </w:pPr>
      <w:r>
        <w:rP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BodyText"/>
        <w:spacing w:before="8"/>
        <w:rPr>
          <w:sz w:val="26"/>
        </w:rPr>
      </w:pPr>
    </w:p>
    <w:p>
      <w:pPr>
        <w:pStyle w:val="Heading1"/>
        <w:ind w:right="1820"/>
      </w:pPr>
      <w:bookmarkStart w:name="_bookmark8" w:id="9"/>
      <w:bookmarkEnd w:id="9"/>
      <w:r>
        <w:rPr>
          <w:b w:val="0"/>
        </w:rPr>
      </w:r>
      <w:r>
        <w:rPr/>
        <w:t>九、基金的投资</w:t>
      </w:r>
    </w:p>
    <w:p>
      <w:pPr>
        <w:pStyle w:val="BodyText"/>
        <w:rPr>
          <w:b/>
          <w:sz w:val="20"/>
        </w:rPr>
      </w:pPr>
    </w:p>
    <w:p>
      <w:pPr>
        <w:pStyle w:val="BodyText"/>
        <w:spacing w:before="2"/>
        <w:rPr>
          <w:b/>
        </w:rPr>
      </w:pPr>
    </w:p>
    <w:p>
      <w:pPr>
        <w:pStyle w:val="BodyText"/>
        <w:ind w:left="960"/>
      </w:pPr>
      <w:r>
        <w:rPr/>
        <w:t>（一）投资目标</w:t>
      </w:r>
    </w:p>
    <w:p>
      <w:pPr>
        <w:pStyle w:val="BodyText"/>
        <w:spacing w:before="7"/>
        <w:rPr>
          <w:sz w:val="15"/>
        </w:rPr>
      </w:pPr>
    </w:p>
    <w:p>
      <w:pPr>
        <w:pStyle w:val="BodyText"/>
        <w:ind w:left="960"/>
      </w:pPr>
      <w:r>
        <w:rPr/>
        <w:t>在严格控制风险的前提下，追求持续、稳定的收益。</w:t>
      </w:r>
    </w:p>
    <w:p>
      <w:pPr>
        <w:pStyle w:val="BodyText"/>
        <w:spacing w:before="7"/>
        <w:rPr>
          <w:sz w:val="15"/>
        </w:rPr>
      </w:pPr>
    </w:p>
    <w:p>
      <w:pPr>
        <w:pStyle w:val="BodyText"/>
        <w:ind w:left="960"/>
      </w:pPr>
      <w:r>
        <w:rPr/>
        <w:t>（二）投资范围</w:t>
      </w:r>
    </w:p>
    <w:p>
      <w:pPr>
        <w:pStyle w:val="BodyText"/>
        <w:spacing w:before="7"/>
        <w:rPr>
          <w:sz w:val="15"/>
        </w:rPr>
      </w:pPr>
    </w:p>
    <w:p>
      <w:pPr>
        <w:pStyle w:val="BodyText"/>
        <w:spacing w:line="417" w:lineRule="auto"/>
        <w:ind w:left="540" w:right="205" w:firstLine="419"/>
        <w:jc w:val="both"/>
      </w:pPr>
      <w:r>
        <w:rPr>
          <w:spacing w:val="-11"/>
        </w:rPr>
        <w:t>本基金的投资范围为具有良好流动性的金融工具，包括国内依法发行上市的债券</w:t>
      </w:r>
      <w:r>
        <w:rPr>
          <w:spacing w:val="-3"/>
        </w:rPr>
        <w:t>（</w:t>
      </w:r>
      <w:r>
        <w:rPr>
          <w:spacing w:val="-2"/>
        </w:rPr>
        <w:t>国债、</w:t>
      </w:r>
      <w:r>
        <w:rPr>
          <w:spacing w:val="-3"/>
        </w:rPr>
        <w:t>央行票据、金融债、公开发行的次级债、地方政府债、企业债、公司债、中小企业私募债、中期票据、短期融资券、分离交易可转换债券的纯债部分、可交换债券</w:t>
      </w:r>
      <w:r>
        <w:rPr>
          <w:spacing w:val="-106"/>
        </w:rPr>
        <w:t>）</w:t>
      </w:r>
      <w:r>
        <w:rPr>
          <w:spacing w:val="-3"/>
        </w:rPr>
        <w:t>、资产支持证券、</w:t>
      </w:r>
    </w:p>
    <w:p>
      <w:pPr>
        <w:spacing w:after="0" w:line="417" w:lineRule="auto"/>
        <w:jc w:val="both"/>
        <w:sectPr>
          <w:pgSz w:w="11910" w:h="16840"/>
          <w:pgMar w:header="877" w:footer="0" w:top="1420" w:bottom="280" w:left="1260" w:right="1480"/>
        </w:sectPr>
      </w:pPr>
    </w:p>
    <w:p>
      <w:pPr>
        <w:pStyle w:val="BodyText"/>
        <w:spacing w:line="417" w:lineRule="auto" w:before="110"/>
        <w:ind w:left="540" w:right="311"/>
      </w:pPr>
      <w:r>
        <w:rPr>
          <w:spacing w:val="-12"/>
        </w:rPr>
        <w:t>债券回购、银行存款、同业存单、货币市场工具以及法律法规或中国证监会允许基金投资的</w:t>
      </w:r>
      <w:r>
        <w:rPr>
          <w:spacing w:val="-6"/>
        </w:rPr>
        <w:t>其他金融工具</w:t>
      </w:r>
      <w:r>
        <w:rPr>
          <w:spacing w:val="-3"/>
        </w:rPr>
        <w:t>（但须符合中国证监会相关规定</w:t>
      </w:r>
      <w:r>
        <w:rPr>
          <w:spacing w:val="-106"/>
        </w:rPr>
        <w:t>）</w:t>
      </w:r>
      <w:r>
        <w:rPr/>
        <w:t>。</w:t>
      </w:r>
    </w:p>
    <w:p>
      <w:pPr>
        <w:pStyle w:val="BodyText"/>
        <w:spacing w:line="269" w:lineRule="exact"/>
        <w:ind w:left="960"/>
      </w:pPr>
      <w:r>
        <w:rPr/>
        <w:t>本基金不直接买入股票、权证，可转债仅投资可分离交易可转债的纯债部分。</w:t>
      </w:r>
    </w:p>
    <w:p>
      <w:pPr>
        <w:pStyle w:val="BodyText"/>
        <w:spacing w:before="6"/>
        <w:rPr>
          <w:sz w:val="15"/>
        </w:rPr>
      </w:pPr>
    </w:p>
    <w:p>
      <w:pPr>
        <w:pStyle w:val="BodyText"/>
        <w:spacing w:line="417" w:lineRule="auto"/>
        <w:ind w:left="540" w:right="31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540" w:right="312" w:firstLine="419"/>
      </w:pPr>
      <w:r>
        <w:rPr/>
        <w:t>基金的投资组合比例为：本基金投资债券的比例不低于基金资产的 </w:t>
      </w:r>
      <w:r>
        <w:rPr>
          <w:rFonts w:ascii="Times New Roman" w:eastAsia="Times New Roman"/>
        </w:rPr>
        <w:t>80%</w:t>
      </w:r>
      <w:r>
        <w:rPr/>
        <w:t>，每个交易日日终保持不低于基金资产净值 </w:t>
      </w:r>
      <w:r>
        <w:rPr>
          <w:rFonts w:ascii="Times New Roman" w:eastAsia="Times New Roman"/>
        </w:rPr>
        <w:t>5</w:t>
      </w:r>
      <w:r>
        <w:rPr/>
        <w:t>％的现金或者到期日在一年以内的政府债券。</w:t>
      </w:r>
    </w:p>
    <w:p>
      <w:pPr>
        <w:pStyle w:val="BodyText"/>
        <w:ind w:left="960"/>
      </w:pPr>
      <w:r>
        <w:rPr/>
        <w:t>（三）投资策略</w:t>
      </w:r>
    </w:p>
    <w:p>
      <w:pPr>
        <w:pStyle w:val="BodyText"/>
        <w:spacing w:before="7"/>
        <w:rPr>
          <w:sz w:val="15"/>
        </w:rPr>
      </w:pPr>
    </w:p>
    <w:p>
      <w:pPr>
        <w:pStyle w:val="BodyText"/>
        <w:ind w:left="960"/>
      </w:pPr>
      <w:r>
        <w:rPr>
          <w:rFonts w:ascii="Times New Roman" w:eastAsia="Times New Roman"/>
        </w:rPr>
        <w:t>1</w:t>
      </w:r>
      <w:r>
        <w:rPr/>
        <w:t>、债券类属配置策略</w:t>
      </w:r>
    </w:p>
    <w:p>
      <w:pPr>
        <w:pStyle w:val="BodyText"/>
        <w:spacing w:before="7"/>
        <w:rPr>
          <w:sz w:val="15"/>
        </w:rPr>
      </w:pPr>
    </w:p>
    <w:p>
      <w:pPr>
        <w:pStyle w:val="BodyText"/>
        <w:spacing w:line="417" w:lineRule="auto"/>
        <w:ind w:left="540" w:right="311" w:firstLine="419"/>
        <w:jc w:val="both"/>
      </w:pPr>
      <w:r>
        <w:rPr>
          <w:spacing w:val="-9"/>
        </w:rPr>
        <w:t>本基金将根据对政府债券、信用债等不同债券板块之间的相对投资价值分析，确定债券</w:t>
      </w:r>
      <w:r>
        <w:rPr>
          <w:spacing w:val="-12"/>
        </w:rPr>
        <w:t>类属配置策略，并根据市场变化及时进行调整，从而选择既能匹配目标久期、同时又能获得</w:t>
      </w:r>
      <w:r>
        <w:rPr>
          <w:spacing w:val="-6"/>
        </w:rPr>
        <w:t>较高持有期收益的类属债券配置比例。</w:t>
      </w:r>
    </w:p>
    <w:p>
      <w:pPr>
        <w:pStyle w:val="BodyText"/>
        <w:spacing w:line="269" w:lineRule="exact"/>
        <w:ind w:left="960"/>
      </w:pPr>
      <w:r>
        <w:rPr>
          <w:rFonts w:ascii="Times New Roman" w:eastAsia="Times New Roman"/>
        </w:rPr>
        <w:t>2</w:t>
      </w:r>
      <w:r>
        <w:rPr/>
        <w:t>、久期管理策略</w:t>
      </w:r>
    </w:p>
    <w:p>
      <w:pPr>
        <w:pStyle w:val="BodyText"/>
        <w:spacing w:before="6"/>
        <w:rPr>
          <w:sz w:val="15"/>
        </w:rPr>
      </w:pPr>
    </w:p>
    <w:p>
      <w:pPr>
        <w:pStyle w:val="BodyText"/>
        <w:spacing w:line="417" w:lineRule="auto" w:before="1"/>
        <w:ind w:left="540" w:right="210" w:firstLine="419"/>
      </w:pPr>
      <w:r>
        <w:rPr>
          <w:spacing w:val="-9"/>
        </w:rPr>
        <w:t>本基金将根据对利率水平的预期，在预期利率下降时，增加组合久期，以较多地获得债</w:t>
      </w:r>
      <w:r>
        <w:rPr>
          <w:spacing w:val="-5"/>
        </w:rPr>
        <w:t>券价格上升带来的收益，在预期利率上升时，减小组合久期，以规避债券价格下降的风险。</w:t>
      </w:r>
    </w:p>
    <w:p>
      <w:pPr>
        <w:pStyle w:val="BodyText"/>
        <w:ind w:left="960"/>
      </w:pPr>
      <w:r>
        <w:rPr>
          <w:rFonts w:ascii="Times New Roman" w:eastAsia="Times New Roman"/>
        </w:rPr>
        <w:t>3</w:t>
      </w:r>
      <w:r>
        <w:rPr/>
        <w:t>、收益率曲线策略</w:t>
      </w:r>
    </w:p>
    <w:p>
      <w:pPr>
        <w:pStyle w:val="BodyText"/>
        <w:spacing w:before="6"/>
        <w:rPr>
          <w:sz w:val="15"/>
        </w:rPr>
      </w:pPr>
    </w:p>
    <w:p>
      <w:pPr>
        <w:pStyle w:val="BodyText"/>
        <w:spacing w:line="417" w:lineRule="auto"/>
        <w:ind w:left="540" w:right="208" w:firstLine="419"/>
      </w:pPr>
      <w:r>
        <w:rPr>
          <w:spacing w:val="-3"/>
        </w:rPr>
        <w:t>本基金资产组合中的长、中、短期债券主要根据收益率曲线形状的变化进行合理配置。</w:t>
      </w:r>
      <w:r>
        <w:rPr>
          <w:spacing w:val="-7"/>
        </w:rPr>
        <w:t>本基金在确定固定收益资产组合平均久期的基础上，将结合收益率曲线变化的预测，适时采</w:t>
      </w:r>
      <w:r>
        <w:rPr>
          <w:spacing w:val="-4"/>
        </w:rPr>
        <w:t>用跟踪收益率曲线的骑乘策略或者基于收益率曲线变化的子弹、杠铃及梯形策略构造组合， </w:t>
      </w:r>
      <w:r>
        <w:rPr>
          <w:spacing w:val="-3"/>
        </w:rPr>
        <w:t>并进行动态调整。</w:t>
      </w:r>
    </w:p>
    <w:p>
      <w:pPr>
        <w:pStyle w:val="BodyText"/>
        <w:spacing w:line="268" w:lineRule="exact"/>
        <w:ind w:left="960"/>
      </w:pPr>
      <w:r>
        <w:rPr>
          <w:rFonts w:ascii="Times New Roman" w:eastAsia="Times New Roman"/>
        </w:rPr>
        <w:t>4</w:t>
      </w:r>
      <w:r>
        <w:rPr/>
        <w:t>、信用债券投资策略</w:t>
      </w:r>
    </w:p>
    <w:p>
      <w:pPr>
        <w:pStyle w:val="BodyText"/>
        <w:spacing w:before="8"/>
        <w:rPr>
          <w:sz w:val="15"/>
        </w:rPr>
      </w:pPr>
    </w:p>
    <w:p>
      <w:pPr>
        <w:pStyle w:val="BodyText"/>
        <w:spacing w:line="417" w:lineRule="auto"/>
        <w:ind w:left="540" w:right="102" w:firstLine="419"/>
      </w:pPr>
      <w:r>
        <w:rPr>
          <w:spacing w:val="-8"/>
        </w:rPr>
        <w:t>本基金将主要通过买入并持有信用风险可承担、期限与收益率相对合理的信用债券产品， </w:t>
      </w:r>
      <w:r>
        <w:rPr>
          <w:spacing w:val="-12"/>
        </w:rPr>
        <w:t>获取票息收益。此外，本基金还将通过对内外部评级、利差曲线研究和经济周期的判断，主 </w:t>
      </w:r>
      <w:r>
        <w:rPr>
          <w:spacing w:val="-6"/>
        </w:rPr>
        <w:t>动采用信用利差投资策略，获取利差收益。</w:t>
      </w:r>
    </w:p>
    <w:p>
      <w:pPr>
        <w:pStyle w:val="BodyText"/>
        <w:spacing w:line="269" w:lineRule="exact"/>
        <w:ind w:left="960"/>
      </w:pPr>
      <w:r>
        <w:rPr>
          <w:rFonts w:ascii="Times New Roman" w:eastAsia="Times New Roman"/>
        </w:rPr>
        <w:t>5</w:t>
      </w:r>
      <w:r>
        <w:rPr/>
        <w:t>、中小企业私募债券投资策略</w:t>
      </w:r>
    </w:p>
    <w:p>
      <w:pPr>
        <w:pStyle w:val="BodyText"/>
        <w:spacing w:before="6"/>
        <w:rPr>
          <w:sz w:val="15"/>
        </w:rPr>
      </w:pPr>
    </w:p>
    <w:p>
      <w:pPr>
        <w:pStyle w:val="BodyText"/>
        <w:spacing w:line="417" w:lineRule="auto" w:before="1"/>
        <w:ind w:left="540" w:right="311" w:firstLine="419"/>
        <w:jc w:val="both"/>
      </w:pPr>
      <w:r>
        <w:rPr>
          <w:spacing w:val="-7"/>
        </w:rPr>
        <w:t>由于中小企业私募债券采取非公开方式发行和交易，并限制投资者数量上限，整体流动</w:t>
      </w:r>
      <w:r>
        <w:rPr>
          <w:spacing w:val="-12"/>
        </w:rPr>
        <w:t>性相对较差。同时，受到发债主体资产规模较小、经营波动性较高、信用基本面稳定性较差</w:t>
      </w:r>
      <w:r>
        <w:rPr>
          <w:spacing w:val="-13"/>
        </w:rPr>
        <w:t>的影响，整体的信用风险相对较高。中小企业私募债券的这两个特点要求在具体的投资过程</w:t>
      </w:r>
      <w:r>
        <w:rPr>
          <w:spacing w:val="-6"/>
        </w:rPr>
        <w:t>中，应采取更为谨慎的投资策略。</w:t>
      </w:r>
    </w:p>
    <w:p>
      <w:pPr>
        <w:pStyle w:val="BodyText"/>
        <w:spacing w:line="269" w:lineRule="exact"/>
        <w:ind w:left="960"/>
      </w:pPr>
      <w:r>
        <w:rPr/>
        <w:t>本基金将分析和跟踪该类债券发债主体的信用基本面，并综合考虑信用基本面、债券收</w:t>
      </w:r>
    </w:p>
    <w:p>
      <w:pPr>
        <w:spacing w:after="0" w:line="269" w:lineRule="exact"/>
        <w:sectPr>
          <w:pgSz w:w="11910" w:h="16840"/>
          <w:pgMar w:header="877" w:footer="0" w:top="1420" w:bottom="280" w:left="1260" w:right="1480"/>
        </w:sectPr>
      </w:pPr>
    </w:p>
    <w:p>
      <w:pPr>
        <w:pStyle w:val="BodyText"/>
        <w:spacing w:line="417" w:lineRule="auto" w:before="110"/>
        <w:ind w:left="540" w:right="311"/>
        <w:jc w:val="both"/>
      </w:pPr>
      <w:r>
        <w:rPr>
          <w:spacing w:val="-9"/>
        </w:rPr>
        <w:t>益率和流动性等要素，确定最终的投资决策。作为开放式基金，本基金将严格控制该类债券</w:t>
      </w:r>
      <w:r>
        <w:rPr>
          <w:spacing w:val="-10"/>
        </w:rPr>
        <w:t>占基金净资产的比例，对于有一定信用风险隐患的个券，基于流动性风险的考虑，本基金将</w:t>
      </w:r>
      <w:r>
        <w:rPr>
          <w:spacing w:val="-5"/>
        </w:rPr>
        <w:t>及时减仓。</w:t>
      </w:r>
    </w:p>
    <w:p>
      <w:pPr>
        <w:pStyle w:val="BodyText"/>
        <w:spacing w:line="417" w:lineRule="auto"/>
        <w:ind w:left="960" w:right="208"/>
      </w:pPr>
      <w:r>
        <w:rPr>
          <w:spacing w:val="-3"/>
        </w:rPr>
        <w:t>此外，在严格控制风险的前提下，本基金将适度参与回购交易等投资，以增加收益。 未来，随着证券市场投资工具的发展和丰富，本基金可相应调整和更新相关投资策略，</w:t>
      </w:r>
    </w:p>
    <w:p>
      <w:pPr>
        <w:pStyle w:val="BodyText"/>
        <w:spacing w:line="269" w:lineRule="exact"/>
        <w:ind w:left="540"/>
      </w:pPr>
      <w:r>
        <w:rPr/>
        <w:t>并在招募说明书更新中公告。</w:t>
      </w:r>
    </w:p>
    <w:p>
      <w:pPr>
        <w:pStyle w:val="BodyText"/>
        <w:spacing w:before="6"/>
        <w:rPr>
          <w:sz w:val="15"/>
        </w:rPr>
      </w:pPr>
    </w:p>
    <w:p>
      <w:pPr>
        <w:pStyle w:val="BodyText"/>
        <w:ind w:left="960"/>
      </w:pPr>
      <w:r>
        <w:rPr/>
        <w:t>（四）投资限制</w:t>
      </w:r>
    </w:p>
    <w:p>
      <w:pPr>
        <w:pStyle w:val="BodyText"/>
        <w:spacing w:before="7"/>
        <w:rPr>
          <w:sz w:val="15"/>
        </w:rPr>
      </w:pPr>
    </w:p>
    <w:p>
      <w:pPr>
        <w:pStyle w:val="BodyText"/>
        <w:ind w:left="960"/>
      </w:pPr>
      <w:r>
        <w:rPr>
          <w:rFonts w:ascii="Times New Roman" w:eastAsia="Times New Roman"/>
        </w:rPr>
        <w:t>1</w:t>
      </w:r>
      <w:r>
        <w:rPr/>
        <w:t>、组合限制</w:t>
      </w:r>
    </w:p>
    <w:p>
      <w:pPr>
        <w:pStyle w:val="BodyText"/>
        <w:spacing w:before="7"/>
        <w:rPr>
          <w:sz w:val="15"/>
        </w:rPr>
      </w:pPr>
    </w:p>
    <w:p>
      <w:pPr>
        <w:pStyle w:val="BodyText"/>
        <w:ind w:left="960"/>
      </w:pPr>
      <w:r>
        <w:rPr/>
        <w:t>基金的投资组合应遵循以下限制：</w:t>
      </w:r>
    </w:p>
    <w:p>
      <w:pPr>
        <w:pStyle w:val="BodyText"/>
        <w:spacing w:before="7"/>
        <w:rPr>
          <w:sz w:val="15"/>
        </w:rPr>
      </w:pPr>
    </w:p>
    <w:p>
      <w:pPr>
        <w:pStyle w:val="ListParagraph"/>
        <w:numPr>
          <w:ilvl w:val="0"/>
          <w:numId w:val="24"/>
        </w:numPr>
        <w:tabs>
          <w:tab w:pos="1490" w:val="left" w:leader="none"/>
        </w:tabs>
        <w:spacing w:line="240" w:lineRule="auto" w:before="0" w:after="0"/>
        <w:ind w:left="1489" w:right="0" w:hanging="530"/>
        <w:jc w:val="left"/>
        <w:rPr>
          <w:rFonts w:ascii="Times New Roman" w:eastAsia="Times New Roman"/>
          <w:sz w:val="21"/>
        </w:rPr>
      </w:pPr>
      <w:r>
        <w:rPr>
          <w:spacing w:val="-6"/>
          <w:sz w:val="21"/>
        </w:rPr>
        <w:t>本基金投资债券资产的投资比例不低于基金资产的 </w:t>
      </w:r>
      <w:r>
        <w:rPr>
          <w:rFonts w:ascii="Times New Roman" w:eastAsia="Times New Roman"/>
          <w:sz w:val="21"/>
        </w:rPr>
        <w:t>80%;</w:t>
      </w:r>
    </w:p>
    <w:p>
      <w:pPr>
        <w:pStyle w:val="BodyText"/>
        <w:spacing w:before="3"/>
        <w:rPr>
          <w:rFonts w:ascii="Times New Roman"/>
          <w:sz w:val="17"/>
        </w:rPr>
      </w:pPr>
    </w:p>
    <w:p>
      <w:pPr>
        <w:pStyle w:val="ListParagraph"/>
        <w:numPr>
          <w:ilvl w:val="0"/>
          <w:numId w:val="24"/>
        </w:numPr>
        <w:tabs>
          <w:tab w:pos="1490" w:val="left" w:leader="none"/>
        </w:tabs>
        <w:spacing w:line="417" w:lineRule="auto" w:before="0" w:after="0"/>
        <w:ind w:left="540" w:right="313" w:firstLine="419"/>
        <w:jc w:val="left"/>
        <w:rPr>
          <w:sz w:val="21"/>
        </w:rPr>
      </w:pPr>
      <w:r>
        <w:rPr>
          <w:spacing w:val="-2"/>
          <w:sz w:val="21"/>
        </w:rPr>
        <w:t>每个交易日日终保持不低于基金资产净值 </w:t>
      </w:r>
      <w:r>
        <w:rPr>
          <w:rFonts w:ascii="Times New Roman" w:eastAsia="Times New Roman"/>
          <w:sz w:val="21"/>
        </w:rPr>
        <w:t>5</w:t>
      </w:r>
      <w:r>
        <w:rPr>
          <w:spacing w:val="-3"/>
          <w:sz w:val="21"/>
        </w:rPr>
        <w:t>％的现金或者到期日在一年以内的政府债券。其中，现金不包括结算备付金、存出保证金、应收申购款等；</w:t>
      </w:r>
    </w:p>
    <w:p>
      <w:pPr>
        <w:pStyle w:val="ListParagraph"/>
        <w:numPr>
          <w:ilvl w:val="0"/>
          <w:numId w:val="24"/>
        </w:numPr>
        <w:tabs>
          <w:tab w:pos="1490" w:val="left" w:leader="none"/>
        </w:tabs>
        <w:spacing w:line="269" w:lineRule="exact" w:before="0" w:after="0"/>
        <w:ind w:left="1489" w:right="0" w:hanging="530"/>
        <w:jc w:val="left"/>
        <w:rPr>
          <w:sz w:val="21"/>
        </w:rPr>
      </w:pPr>
      <w:r>
        <w:rPr>
          <w:spacing w:val="-5"/>
          <w:sz w:val="21"/>
        </w:rPr>
        <w:t>本基金持有一家公司发行的证券，其市值不超过基金资产净值的 </w:t>
      </w:r>
      <w:r>
        <w:rPr>
          <w:rFonts w:ascii="Times New Roman" w:eastAsia="Times New Roman"/>
          <w:spacing w:val="-3"/>
          <w:sz w:val="21"/>
        </w:rPr>
        <w:t>10</w:t>
      </w:r>
      <w:r>
        <w:rPr>
          <w:spacing w:val="-3"/>
          <w:sz w:val="21"/>
        </w:rPr>
        <w:t>％；</w:t>
      </w:r>
    </w:p>
    <w:p>
      <w:pPr>
        <w:pStyle w:val="BodyText"/>
        <w:spacing w:before="7"/>
        <w:rPr>
          <w:sz w:val="15"/>
        </w:rPr>
      </w:pPr>
    </w:p>
    <w:p>
      <w:pPr>
        <w:pStyle w:val="ListParagraph"/>
        <w:numPr>
          <w:ilvl w:val="0"/>
          <w:numId w:val="24"/>
        </w:numPr>
        <w:tabs>
          <w:tab w:pos="1490" w:val="left" w:leader="none"/>
        </w:tabs>
        <w:spacing w:line="240" w:lineRule="auto" w:before="0" w:after="0"/>
        <w:ind w:left="1489" w:right="0" w:hanging="530"/>
        <w:jc w:val="both"/>
        <w:rPr>
          <w:sz w:val="21"/>
        </w:rPr>
      </w:pPr>
      <w:r>
        <w:rPr>
          <w:spacing w:val="-4"/>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7"/>
        <w:rPr>
          <w:sz w:val="15"/>
        </w:rPr>
      </w:pPr>
    </w:p>
    <w:p>
      <w:pPr>
        <w:pStyle w:val="ListParagraph"/>
        <w:numPr>
          <w:ilvl w:val="0"/>
          <w:numId w:val="24"/>
        </w:numPr>
        <w:tabs>
          <w:tab w:pos="1490" w:val="left" w:leader="none"/>
        </w:tabs>
        <w:spacing w:line="417" w:lineRule="auto" w:before="0" w:after="0"/>
        <w:ind w:left="540" w:right="31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pacing w:val="-3"/>
          <w:sz w:val="21"/>
        </w:rPr>
        <w:t>10</w:t>
      </w:r>
      <w:r>
        <w:rPr>
          <w:spacing w:val="-3"/>
          <w:sz w:val="21"/>
        </w:rPr>
        <w:t>％；</w:t>
      </w:r>
    </w:p>
    <w:p>
      <w:pPr>
        <w:pStyle w:val="ListParagraph"/>
        <w:numPr>
          <w:ilvl w:val="0"/>
          <w:numId w:val="24"/>
        </w:numPr>
        <w:tabs>
          <w:tab w:pos="1490" w:val="left" w:leader="none"/>
        </w:tabs>
        <w:spacing w:line="269" w:lineRule="exact" w:before="0" w:after="0"/>
        <w:ind w:left="1489" w:right="0" w:hanging="530"/>
        <w:jc w:val="both"/>
        <w:rPr>
          <w:sz w:val="21"/>
        </w:rPr>
      </w:pPr>
      <w:r>
        <w:rPr>
          <w:spacing w:val="-5"/>
          <w:sz w:val="21"/>
        </w:rPr>
        <w:t>本基金持有的全部资产支持证券，其市值不得超过基金资产净值的 </w:t>
      </w:r>
      <w:r>
        <w:rPr>
          <w:rFonts w:ascii="Times New Roman" w:eastAsia="Times New Roman"/>
          <w:spacing w:val="-3"/>
          <w:sz w:val="21"/>
        </w:rPr>
        <w:t>20</w:t>
      </w:r>
      <w:r>
        <w:rPr>
          <w:spacing w:val="-3"/>
          <w:sz w:val="21"/>
        </w:rPr>
        <w:t>％；</w:t>
      </w:r>
    </w:p>
    <w:p>
      <w:pPr>
        <w:pStyle w:val="BodyText"/>
        <w:spacing w:before="7"/>
        <w:rPr>
          <w:sz w:val="15"/>
        </w:rPr>
      </w:pPr>
    </w:p>
    <w:p>
      <w:pPr>
        <w:pStyle w:val="ListParagraph"/>
        <w:numPr>
          <w:ilvl w:val="0"/>
          <w:numId w:val="24"/>
        </w:numPr>
        <w:tabs>
          <w:tab w:pos="1493" w:val="left" w:leader="none"/>
        </w:tabs>
        <w:spacing w:line="417" w:lineRule="auto" w:before="0" w:after="0"/>
        <w:ind w:left="540" w:right="316" w:firstLine="419"/>
        <w:jc w:val="both"/>
        <w:rPr>
          <w:sz w:val="21"/>
        </w:rPr>
      </w:pPr>
      <w:r>
        <w:rPr>
          <w:sz w:val="21"/>
        </w:rPr>
        <w:t>本基金持有的同一</w:t>
      </w:r>
      <w:r>
        <w:rPr>
          <w:rFonts w:ascii="Times New Roman" w:eastAsia="Times New Roman"/>
          <w:sz w:val="21"/>
        </w:rPr>
        <w:t>(</w:t>
      </w:r>
      <w:r>
        <w:rPr>
          <w:sz w:val="21"/>
        </w:rPr>
        <w:t>指同一信用级别</w:t>
      </w:r>
      <w:r>
        <w:rPr>
          <w:rFonts w:ascii="Times New Roman" w:eastAsia="Times New Roman"/>
          <w:sz w:val="21"/>
        </w:rPr>
        <w:t>)</w:t>
      </w:r>
      <w:r>
        <w:rPr>
          <w:spacing w:val="-1"/>
          <w:sz w:val="21"/>
        </w:rPr>
        <w:t>资产支持证券的比例，不得超过该资产支持</w:t>
      </w:r>
      <w:r>
        <w:rPr>
          <w:spacing w:val="-11"/>
          <w:sz w:val="21"/>
        </w:rPr>
        <w:t>证券规模的 </w:t>
      </w:r>
      <w:r>
        <w:rPr>
          <w:rFonts w:ascii="Times New Roman" w:eastAsia="Times New Roman"/>
          <w:sz w:val="21"/>
        </w:rPr>
        <w:t>10</w:t>
      </w:r>
      <w:r>
        <w:rPr>
          <w:sz w:val="21"/>
        </w:rPr>
        <w:t>％；</w:t>
      </w:r>
    </w:p>
    <w:p>
      <w:pPr>
        <w:pStyle w:val="ListParagraph"/>
        <w:numPr>
          <w:ilvl w:val="0"/>
          <w:numId w:val="24"/>
        </w:numPr>
        <w:tabs>
          <w:tab w:pos="1490" w:val="left" w:leader="none"/>
        </w:tabs>
        <w:spacing w:line="417" w:lineRule="auto" w:before="0" w:after="0"/>
        <w:ind w:left="540" w:right="31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 </w:t>
      </w:r>
      <w:r>
        <w:rPr>
          <w:rFonts w:ascii="Times New Roman" w:eastAsia="Times New Roman"/>
          <w:sz w:val="21"/>
        </w:rPr>
        <w:t>10</w:t>
      </w:r>
      <w:r>
        <w:rPr>
          <w:sz w:val="21"/>
        </w:rPr>
        <w:t>％；</w:t>
      </w:r>
    </w:p>
    <w:p>
      <w:pPr>
        <w:pStyle w:val="ListParagraph"/>
        <w:numPr>
          <w:ilvl w:val="0"/>
          <w:numId w:val="24"/>
        </w:numPr>
        <w:tabs>
          <w:tab w:pos="1490" w:val="left" w:leader="none"/>
        </w:tabs>
        <w:spacing w:line="417" w:lineRule="auto" w:before="0" w:after="0"/>
        <w:ind w:left="540" w:right="31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6"/>
          <w:sz w:val="21"/>
        </w:rPr>
        <w:t> </w:t>
      </w:r>
      <w:r>
        <w:rPr>
          <w:spacing w:val="-2"/>
          <w:sz w:val="21"/>
        </w:rPr>
        <w:t>以上</w:t>
      </w:r>
      <w:r>
        <w:rPr>
          <w:rFonts w:ascii="Times New Roman" w:eastAsia="Times New Roman"/>
          <w:sz w:val="21"/>
        </w:rPr>
        <w:t>(</w:t>
      </w:r>
      <w:r>
        <w:rPr>
          <w:spacing w:val="-25"/>
          <w:sz w:val="21"/>
        </w:rPr>
        <w:t>含 </w:t>
      </w:r>
      <w:r>
        <w:rPr>
          <w:rFonts w:ascii="Times New Roman" w:eastAsia="Times New Roman"/>
          <w:sz w:val="21"/>
        </w:rPr>
        <w:t>BBB)</w:t>
      </w:r>
      <w:r>
        <w:rPr>
          <w:spacing w:val="-8"/>
          <w:sz w:val="21"/>
        </w:rPr>
        <w:t>的资产支持证券。基金持有资产支持证券期间，如果其信用等级下降、不再符合投资标准，应在评级报告发布之日起  </w:t>
      </w:r>
      <w:r>
        <w:rPr>
          <w:rFonts w:ascii="Times New Roman" w:eastAsia="Times New Roman"/>
          <w:spacing w:val="-14"/>
          <w:sz w:val="21"/>
        </w:rPr>
        <w:t>3</w:t>
      </w:r>
      <w:r>
        <w:rPr>
          <w:spacing w:val="-3"/>
          <w:sz w:val="21"/>
        </w:rPr>
        <w:t>个月内予以全部卖出；</w:t>
      </w:r>
    </w:p>
    <w:p>
      <w:pPr>
        <w:pStyle w:val="ListParagraph"/>
        <w:numPr>
          <w:ilvl w:val="0"/>
          <w:numId w:val="24"/>
        </w:numPr>
        <w:tabs>
          <w:tab w:pos="1593" w:val="left" w:leader="none"/>
        </w:tabs>
        <w:spacing w:line="417" w:lineRule="auto" w:before="0" w:after="0"/>
        <w:ind w:left="540" w:right="311" w:firstLine="419"/>
        <w:jc w:val="both"/>
        <w:rPr>
          <w:sz w:val="21"/>
        </w:rPr>
      </w:pPr>
      <w:r>
        <w:rPr>
          <w:spacing w:val="-3"/>
          <w:sz w:val="21"/>
        </w:rPr>
        <w:t>本基金进入全国银行间同业市场进行债券回购的资金余额不得超过基金资产净</w:t>
      </w:r>
      <w:r>
        <w:rPr>
          <w:spacing w:val="-15"/>
          <w:sz w:val="21"/>
        </w:rPr>
        <w:t>值的 </w:t>
      </w:r>
      <w:r>
        <w:rPr>
          <w:rFonts w:ascii="Times New Roman" w:eastAsia="Times New Roman"/>
          <w:sz w:val="21"/>
        </w:rPr>
        <w:t>40%</w:t>
      </w:r>
      <w:r>
        <w:rPr>
          <w:spacing w:val="-5"/>
          <w:sz w:val="21"/>
        </w:rPr>
        <w:t>；在全国银行间同业市场的债券回购最长期限为 </w:t>
      </w:r>
      <w:r>
        <w:rPr>
          <w:rFonts w:ascii="Times New Roman" w:eastAsia="Times New Roman"/>
          <w:sz w:val="21"/>
        </w:rPr>
        <w:t>1</w:t>
      </w:r>
      <w:r>
        <w:rPr>
          <w:rFonts w:ascii="Times New Roman" w:eastAsia="Times New Roman"/>
          <w:spacing w:val="4"/>
          <w:sz w:val="21"/>
        </w:rPr>
        <w:t> </w:t>
      </w:r>
      <w:r>
        <w:rPr>
          <w:spacing w:val="-3"/>
          <w:sz w:val="21"/>
        </w:rPr>
        <w:t>年，债券回购到期后不得展期</w:t>
      </w:r>
      <w:r>
        <w:rPr>
          <w:sz w:val="21"/>
        </w:rPr>
        <w:t>；</w:t>
      </w:r>
    </w:p>
    <w:p>
      <w:pPr>
        <w:pStyle w:val="ListParagraph"/>
        <w:numPr>
          <w:ilvl w:val="0"/>
          <w:numId w:val="24"/>
        </w:numPr>
        <w:tabs>
          <w:tab w:pos="1586" w:val="left" w:leader="none"/>
        </w:tabs>
        <w:spacing w:line="269" w:lineRule="exact" w:before="0" w:after="0"/>
        <w:ind w:left="1585" w:right="0" w:hanging="626"/>
        <w:jc w:val="both"/>
        <w:rPr>
          <w:sz w:val="21"/>
        </w:rPr>
      </w:pPr>
      <w:r>
        <w:rPr>
          <w:spacing w:val="-6"/>
          <w:sz w:val="21"/>
        </w:rPr>
        <w:t>本基金总资产不得超过基金净资产的 </w:t>
      </w:r>
      <w:r>
        <w:rPr>
          <w:rFonts w:ascii="Times New Roman" w:eastAsia="Times New Roman"/>
          <w:sz w:val="21"/>
        </w:rPr>
        <w:t>140%</w:t>
      </w:r>
      <w:r>
        <w:rPr>
          <w:sz w:val="21"/>
        </w:rPr>
        <w:t>；</w:t>
      </w:r>
    </w:p>
    <w:p>
      <w:pPr>
        <w:pStyle w:val="BodyText"/>
        <w:spacing w:before="6"/>
        <w:rPr>
          <w:sz w:val="15"/>
        </w:rPr>
      </w:pPr>
    </w:p>
    <w:p>
      <w:pPr>
        <w:pStyle w:val="ListParagraph"/>
        <w:numPr>
          <w:ilvl w:val="0"/>
          <w:numId w:val="24"/>
        </w:numPr>
        <w:tabs>
          <w:tab w:pos="1595" w:val="left" w:leader="none"/>
        </w:tabs>
        <w:spacing w:line="240" w:lineRule="auto" w:before="0" w:after="0"/>
        <w:ind w:left="1595" w:right="0" w:hanging="635"/>
        <w:jc w:val="both"/>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24"/>
        </w:numPr>
        <w:tabs>
          <w:tab w:pos="1595" w:val="left" w:leader="none"/>
        </w:tabs>
        <w:spacing w:line="417" w:lineRule="auto" w:before="0" w:after="0"/>
        <w:ind w:left="540" w:right="31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2"/>
          <w:sz w:val="21"/>
        </w:rPr>
        <w:t>。因证券市场波动、基金规模变动等基金管理人之外的因素致使基金不符合前款所规定比例</w:t>
      </w:r>
      <w:r>
        <w:rPr>
          <w:sz w:val="21"/>
        </w:rPr>
        <w:t>限</w:t>
      </w:r>
    </w:p>
    <w:p>
      <w:pPr>
        <w:spacing w:after="0" w:line="417" w:lineRule="auto"/>
        <w:jc w:val="both"/>
        <w:rPr>
          <w:sz w:val="21"/>
        </w:rPr>
        <w:sectPr>
          <w:pgSz w:w="11910" w:h="16840"/>
          <w:pgMar w:header="877" w:footer="0" w:top="1420" w:bottom="280" w:left="1260" w:right="1480"/>
        </w:sectPr>
      </w:pPr>
    </w:p>
    <w:p>
      <w:pPr>
        <w:pStyle w:val="BodyText"/>
        <w:spacing w:before="110"/>
        <w:ind w:left="540"/>
      </w:pPr>
      <w:r>
        <w:rPr/>
        <w:t>制的，基金管理人不得主动新增流动性受限资产的投资；</w:t>
      </w:r>
    </w:p>
    <w:p>
      <w:pPr>
        <w:pStyle w:val="BodyText"/>
        <w:spacing w:before="6"/>
        <w:rPr>
          <w:sz w:val="15"/>
        </w:rPr>
      </w:pPr>
    </w:p>
    <w:p>
      <w:pPr>
        <w:pStyle w:val="ListParagraph"/>
        <w:numPr>
          <w:ilvl w:val="0"/>
          <w:numId w:val="24"/>
        </w:numPr>
        <w:tabs>
          <w:tab w:pos="1593" w:val="left" w:leader="none"/>
        </w:tabs>
        <w:spacing w:line="417" w:lineRule="auto" w:before="0" w:after="0"/>
        <w:ind w:left="540" w:right="3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4"/>
        </w:numPr>
        <w:tabs>
          <w:tab w:pos="1595" w:val="left" w:leader="none"/>
        </w:tabs>
        <w:spacing w:line="269" w:lineRule="exact" w:before="0" w:after="0"/>
        <w:ind w:left="1595" w:right="0" w:hanging="635"/>
        <w:jc w:val="left"/>
        <w:rPr>
          <w:sz w:val="21"/>
        </w:rPr>
      </w:pPr>
      <w:r>
        <w:rPr>
          <w:spacing w:val="-3"/>
          <w:sz w:val="21"/>
        </w:rPr>
        <w:t>法律法规及中国证监会规定的其他投资比例限制。</w:t>
      </w:r>
    </w:p>
    <w:p>
      <w:pPr>
        <w:pStyle w:val="BodyText"/>
        <w:spacing w:before="7"/>
        <w:rPr>
          <w:sz w:val="15"/>
        </w:rPr>
      </w:pPr>
    </w:p>
    <w:p>
      <w:pPr>
        <w:pStyle w:val="BodyText"/>
        <w:spacing w:line="417" w:lineRule="auto"/>
        <w:ind w:left="540" w:right="311" w:firstLine="419"/>
      </w:pPr>
      <w:r>
        <w:rPr>
          <w:spacing w:val="-12"/>
        </w:rPr>
        <w:t>因证券市场波动、上市公司合并、基金规模变动等基金管理人之外的因素致使基金投资</w:t>
      </w:r>
      <w:r>
        <w:rPr>
          <w:spacing w:val="-8"/>
          <w:w w:val="100"/>
        </w:rPr>
        <w:t>比例不符合上述规定投资比例的，基金管理人应当在</w:t>
      </w:r>
      <w:r>
        <w:rPr>
          <w:spacing w:val="-8"/>
        </w:rPr>
        <w:t> </w:t>
      </w:r>
      <w:r>
        <w:rPr>
          <w:rFonts w:ascii="Times New Roman" w:eastAsia="Times New Roman"/>
          <w:w w:val="100"/>
        </w:rPr>
        <w:t>10</w:t>
      </w:r>
      <w:r>
        <w:rPr>
          <w:rFonts w:ascii="Times New Roman" w:eastAsia="Times New Roman"/>
        </w:rPr>
        <w:t> </w:t>
      </w:r>
      <w:r>
        <w:rPr>
          <w:spacing w:val="-9"/>
          <w:w w:val="100"/>
        </w:rPr>
        <w:t>个交易日内进行调整，上述第</w:t>
      </w:r>
      <w:r>
        <w:rPr>
          <w:w w:val="100"/>
        </w:rPr>
        <w:t>（</w:t>
      </w:r>
      <w:r>
        <w:rPr>
          <w:rFonts w:ascii="Times New Roman" w:eastAsia="Times New Roman"/>
          <w:w w:val="100"/>
        </w:rPr>
        <w:t>2</w:t>
      </w:r>
      <w:r>
        <w:rPr>
          <w:spacing w:val="-106"/>
          <w:w w:val="100"/>
        </w:rPr>
        <w:t>）、</w:t>
      </w:r>
    </w:p>
    <w:p>
      <w:pPr>
        <w:pStyle w:val="BodyText"/>
        <w:spacing w:line="269" w:lineRule="exact"/>
        <w:ind w:left="540"/>
      </w:pPr>
      <w:r>
        <w:rPr>
          <w:spacing w:val="-1"/>
          <w:w w:val="100"/>
        </w:rPr>
        <w:t>（</w:t>
      </w:r>
      <w:r>
        <w:rPr>
          <w:rFonts w:ascii="Times New Roman" w:eastAsia="Times New Roman"/>
          <w:w w:val="100"/>
        </w:rPr>
        <w:t>9</w:t>
      </w:r>
      <w:r>
        <w:rPr>
          <w:spacing w:val="-106"/>
          <w:w w:val="100"/>
        </w:rPr>
        <w:t>）</w:t>
      </w:r>
      <w:r>
        <w:rPr>
          <w:spacing w:val="-108"/>
          <w:w w:val="100"/>
        </w:rPr>
        <w:t>、</w:t>
      </w:r>
      <w:r>
        <w:rPr>
          <w:spacing w:val="-1"/>
          <w:w w:val="100"/>
        </w:rPr>
        <w:t>（</w:t>
      </w:r>
      <w:r>
        <w:rPr>
          <w:rFonts w:ascii="Times New Roman" w:eastAsia="Times New Roman"/>
          <w:w w:val="100"/>
        </w:rPr>
        <w:t>13</w:t>
      </w:r>
      <w:r>
        <w:rPr>
          <w:spacing w:val="-108"/>
          <w:w w:val="100"/>
        </w:rPr>
        <w:t>）</w:t>
      </w:r>
      <w:r>
        <w:rPr>
          <w:spacing w:val="-106"/>
          <w:w w:val="100"/>
        </w:rPr>
        <w:t>、</w:t>
      </w:r>
      <w:r>
        <w:rPr>
          <w:spacing w:val="-1"/>
          <w:w w:val="100"/>
        </w:rPr>
        <w:t>（</w:t>
      </w:r>
      <w:r>
        <w:rPr>
          <w:rFonts w:ascii="Times New Roman" w:eastAsia="Times New Roman"/>
          <w:spacing w:val="-3"/>
          <w:w w:val="100"/>
        </w:rPr>
        <w:t>1</w:t>
      </w:r>
      <w:r>
        <w:rPr>
          <w:rFonts w:ascii="Times New Roman" w:eastAsia="Times New Roman"/>
          <w:w w:val="100"/>
        </w:rPr>
        <w:t>4</w:t>
      </w:r>
      <w:r>
        <w:rPr>
          <w:spacing w:val="-3"/>
          <w:w w:val="100"/>
        </w:rPr>
        <w:t>）条除外。</w:t>
      </w:r>
    </w:p>
    <w:p>
      <w:pPr>
        <w:pStyle w:val="BodyText"/>
        <w:spacing w:before="7"/>
        <w:rPr>
          <w:sz w:val="15"/>
        </w:rPr>
      </w:pPr>
    </w:p>
    <w:p>
      <w:pPr>
        <w:pStyle w:val="BodyText"/>
        <w:spacing w:line="417" w:lineRule="auto" w:before="1"/>
        <w:ind w:left="540" w:right="311" w:firstLine="419"/>
        <w:jc w:val="both"/>
      </w:pPr>
      <w:r>
        <w:rPr/>
        <w:t>基金管理人应当自基金合同生效之日起六个月内使基金的投资组合比例符合基金合同</w:t>
      </w:r>
      <w:r>
        <w:rPr>
          <w:spacing w:val="-11"/>
        </w:rPr>
        <w:t>的有关约定。期间，本基金的投资范围、投资策略应当符合本基金合同的约定。基金托管人</w:t>
      </w:r>
      <w:r>
        <w:rPr>
          <w:spacing w:val="-6"/>
        </w:rPr>
        <w:t>对基金的投资的监督与检查自本基金合同生效之日起开始。</w:t>
      </w:r>
    </w:p>
    <w:p>
      <w:pPr>
        <w:pStyle w:val="BodyText"/>
        <w:spacing w:line="417" w:lineRule="auto"/>
        <w:ind w:left="540" w:right="208" w:firstLine="419"/>
      </w:pPr>
      <w:r>
        <w:rPr/>
        <w:t>法律法规或监管部门取消上述限制，如适用于本基金，基金管理人在履行适当程序后， 则本基金投资不再受相关限制。</w:t>
      </w:r>
    </w:p>
    <w:p>
      <w:pPr>
        <w:pStyle w:val="BodyText"/>
        <w:spacing w:line="269" w:lineRule="exact"/>
        <w:ind w:left="960"/>
      </w:pPr>
      <w:r>
        <w:rPr>
          <w:rFonts w:ascii="Times New Roman" w:eastAsia="Times New Roman"/>
        </w:rPr>
        <w:t>2</w:t>
      </w:r>
      <w:r>
        <w:rPr/>
        <w:t>、禁止行为</w:t>
      </w:r>
    </w:p>
    <w:p>
      <w:pPr>
        <w:pStyle w:val="BodyText"/>
        <w:spacing w:before="6"/>
        <w:rPr>
          <w:sz w:val="15"/>
        </w:rPr>
      </w:pPr>
    </w:p>
    <w:p>
      <w:pPr>
        <w:pStyle w:val="BodyText"/>
        <w:ind w:left="960"/>
      </w:pPr>
      <w:r>
        <w:rPr/>
        <w:t>为维护基金份额持有人的合法权益，基金财产不得用于下列投资或者活动：</w:t>
      </w:r>
    </w:p>
    <w:p>
      <w:pPr>
        <w:pStyle w:val="BodyText"/>
        <w:spacing w:before="7"/>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依照法律法规有关规定，由中国证监会规定禁止的其他活动。</w:t>
      </w:r>
    </w:p>
    <w:p>
      <w:pPr>
        <w:pStyle w:val="BodyText"/>
        <w:spacing w:before="6"/>
        <w:rPr>
          <w:sz w:val="15"/>
        </w:rPr>
      </w:pPr>
    </w:p>
    <w:p>
      <w:pPr>
        <w:pStyle w:val="BodyText"/>
        <w:spacing w:line="417" w:lineRule="auto"/>
        <w:ind w:left="540" w:right="10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269" w:lineRule="exact"/>
        <w:ind w:left="960"/>
      </w:pPr>
      <w:r>
        <w:rPr/>
        <w:t>法律法规或监管部门取消上述限制，如适用于本基金，则本基金投资不再受相关限制。</w:t>
      </w:r>
    </w:p>
    <w:p>
      <w:pPr>
        <w:pStyle w:val="BodyText"/>
        <w:spacing w:before="7"/>
        <w:rPr>
          <w:sz w:val="15"/>
        </w:rPr>
      </w:pPr>
    </w:p>
    <w:p>
      <w:pPr>
        <w:pStyle w:val="BodyText"/>
        <w:spacing w:line="417" w:lineRule="auto"/>
        <w:ind w:left="960" w:right="6101"/>
      </w:pPr>
      <w:r>
        <w:rPr/>
        <w:t>（五</w:t>
      </w:r>
      <w:r>
        <w:rPr>
          <w:spacing w:val="-3"/>
        </w:rPr>
        <w:t>）业绩比较基准 </w:t>
      </w:r>
      <w:r>
        <w:rPr>
          <w:spacing w:val="-5"/>
        </w:rPr>
        <w:t>中债综合指数收益率。</w:t>
      </w:r>
    </w:p>
    <w:p>
      <w:pPr>
        <w:pStyle w:val="BodyText"/>
        <w:ind w:left="960"/>
      </w:pPr>
      <w:r>
        <w:rPr/>
        <w:t>中债综合指数由中央国债登记结算有限公司编制，该指数旨在综合反映债券全市场整体</w:t>
      </w:r>
    </w:p>
    <w:p>
      <w:pPr>
        <w:spacing w:after="0"/>
        <w:sectPr>
          <w:pgSz w:w="11910" w:h="16840"/>
          <w:pgMar w:header="877" w:footer="0" w:top="1420" w:bottom="280" w:left="1260" w:right="1480"/>
        </w:sectPr>
      </w:pPr>
    </w:p>
    <w:p>
      <w:pPr>
        <w:pStyle w:val="BodyText"/>
        <w:spacing w:line="417" w:lineRule="auto" w:before="110"/>
        <w:ind w:left="540" w:right="311"/>
      </w:pPr>
      <w:r>
        <w:rPr>
          <w:spacing w:val="-8"/>
        </w:rPr>
        <w:t>价格和投资回报情况。指数涵盖了银行间市场和交易所市场，具有广泛的市场代表性，适合</w:t>
      </w:r>
      <w:r>
        <w:rPr>
          <w:spacing w:val="-5"/>
        </w:rPr>
        <w:t>作为本基金的业绩比较基准。</w:t>
      </w:r>
    </w:p>
    <w:p>
      <w:pPr>
        <w:pStyle w:val="BodyText"/>
        <w:spacing w:line="417" w:lineRule="auto"/>
        <w:ind w:left="540" w:right="311" w:firstLine="419"/>
        <w:jc w:val="both"/>
      </w:pPr>
      <w:r>
        <w:rPr>
          <w:spacing w:val="-7"/>
        </w:rPr>
        <w:t>如果指数编制机构变更或停止中债综合指数的编制及发布，或者中债综合指数由其他指</w:t>
      </w:r>
      <w:r>
        <w:rPr>
          <w:spacing w:val="-13"/>
        </w:rPr>
        <w:t>数替代，或者由于指数编制方法发生重大变更等原因导致中债综合指数不宜继续作为基准指</w:t>
      </w:r>
      <w:r>
        <w:rPr>
          <w:spacing w:val="-12"/>
        </w:rPr>
        <w:t>数，或者有更权威的、更能为市场普遍接受的业绩比较基准推出，或者市场上出现更加适合用于本基金的业绩基准时，经与基金托管人协商一致，本基金可变更业绩比较基准并及时公告。</w:t>
      </w:r>
    </w:p>
    <w:p>
      <w:pPr>
        <w:pStyle w:val="BodyText"/>
        <w:spacing w:line="269" w:lineRule="exact"/>
        <w:ind w:left="960"/>
      </w:pPr>
      <w:r>
        <w:rPr/>
        <w:t>（六）风险收益特征</w:t>
      </w:r>
    </w:p>
    <w:p>
      <w:pPr>
        <w:pStyle w:val="BodyText"/>
        <w:spacing w:before="6"/>
        <w:rPr>
          <w:sz w:val="15"/>
        </w:rPr>
      </w:pPr>
    </w:p>
    <w:p>
      <w:pPr>
        <w:pStyle w:val="BodyText"/>
        <w:spacing w:line="417" w:lineRule="auto"/>
        <w:ind w:left="540" w:right="311" w:firstLine="419"/>
      </w:pPr>
      <w:r>
        <w:rPr>
          <w:spacing w:val="-8"/>
        </w:rPr>
        <w:t>本基金为债券型基金，其长期平均风险和预期收益率低于股票基金、混合基金，高于货</w:t>
      </w:r>
      <w:r>
        <w:rPr>
          <w:spacing w:val="-5"/>
        </w:rPr>
        <w:t>币市场基金。</w:t>
      </w:r>
    </w:p>
    <w:p>
      <w:pPr>
        <w:pStyle w:val="BodyText"/>
        <w:spacing w:line="269" w:lineRule="exact"/>
        <w:ind w:left="960"/>
      </w:pPr>
      <w:r>
        <w:rPr/>
        <w:t>（七）投资组合报告</w:t>
      </w:r>
    </w:p>
    <w:p>
      <w:pPr>
        <w:pStyle w:val="BodyText"/>
        <w:spacing w:before="7"/>
        <w:rPr>
          <w:sz w:val="18"/>
        </w:rPr>
      </w:pPr>
    </w:p>
    <w:p>
      <w:pPr>
        <w:pStyle w:val="BodyText"/>
        <w:ind w:left="958"/>
      </w:pPr>
      <w:bookmarkStart w:name="_bookmark9" w:id="10"/>
      <w:bookmarkEnd w:id="10"/>
      <w:r>
        <w:rPr/>
      </w:r>
      <w:r>
        <w:rPr/>
        <w:t>以下内容摘自本基金 </w:t>
      </w:r>
      <w:r>
        <w:rPr>
          <w:rFonts w:ascii="Arial" w:eastAsia="Arial"/>
        </w:rPr>
        <w:t>2020 </w:t>
      </w:r>
      <w:r>
        <w:rPr/>
        <w:t>年第 </w:t>
      </w:r>
      <w:r>
        <w:rPr>
          <w:rFonts w:ascii="Arial" w:eastAsia="Arial"/>
        </w:rPr>
        <w:t>2 </w:t>
      </w:r>
      <w:r>
        <w:rPr/>
        <w:t>季度报告：</w:t>
      </w:r>
    </w:p>
    <w:p>
      <w:pPr>
        <w:pStyle w:val="BodyText"/>
        <w:spacing w:before="2"/>
      </w:pPr>
    </w:p>
    <w:p>
      <w:pPr>
        <w:pStyle w:val="ListParagraph"/>
        <w:numPr>
          <w:ilvl w:val="1"/>
          <w:numId w:val="26"/>
        </w:numPr>
        <w:tabs>
          <w:tab w:pos="937" w:val="left" w:leader="none"/>
        </w:tabs>
        <w:spacing w:line="240" w:lineRule="auto" w:before="0" w:after="0"/>
        <w:ind w:left="936" w:right="0" w:hanging="397"/>
        <w:jc w:val="left"/>
        <w:rPr>
          <w:rFonts w:ascii="Arial" w:eastAsia="Arial"/>
          <w:sz w:val="21"/>
        </w:rPr>
      </w:pPr>
      <w:r>
        <w:rPr>
          <w:spacing w:val="-3"/>
          <w:sz w:val="21"/>
        </w:rPr>
        <w:t>报告期末基金资产组合情况</w:t>
      </w:r>
    </w:p>
    <w:p>
      <w:pPr>
        <w:pStyle w:val="BodyText"/>
        <w:spacing w:before="7"/>
        <w:rPr>
          <w:sz w:val="10"/>
        </w:rPr>
      </w:pPr>
    </w:p>
    <w:tbl>
      <w:tblPr>
        <w:tblW w:w="0" w:type="auto"/>
        <w:jc w:val="left"/>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964" w:hRule="atLeast"/>
        </w:trPr>
        <w:tc>
          <w:tcPr>
            <w:tcW w:w="814" w:type="dxa"/>
          </w:tcPr>
          <w:p>
            <w:pPr>
              <w:pStyle w:val="TableParagraph"/>
              <w:spacing w:before="5"/>
              <w:jc w:val="left"/>
              <w:rPr>
                <w:rFonts w:ascii="宋体"/>
                <w:sz w:val="28"/>
              </w:rPr>
            </w:pPr>
          </w:p>
          <w:p>
            <w:pPr>
              <w:pStyle w:val="TableParagraph"/>
              <w:spacing w:before="0"/>
              <w:ind w:left="185" w:right="159"/>
              <w:jc w:val="center"/>
              <w:rPr>
                <w:rFonts w:ascii="宋体" w:eastAsia="宋体" w:hint="eastAsia"/>
                <w:sz w:val="21"/>
              </w:rPr>
            </w:pPr>
            <w:r>
              <w:rPr>
                <w:rFonts w:ascii="宋体" w:eastAsia="宋体" w:hint="eastAsia"/>
                <w:sz w:val="21"/>
              </w:rPr>
              <w:t>序号</w:t>
            </w:r>
          </w:p>
        </w:tc>
        <w:tc>
          <w:tcPr>
            <w:tcW w:w="2929" w:type="dxa"/>
          </w:tcPr>
          <w:p>
            <w:pPr>
              <w:pStyle w:val="TableParagraph"/>
              <w:spacing w:before="5"/>
              <w:jc w:val="left"/>
              <w:rPr>
                <w:rFonts w:ascii="宋体"/>
                <w:sz w:val="28"/>
              </w:rPr>
            </w:pPr>
          </w:p>
          <w:p>
            <w:pPr>
              <w:pStyle w:val="TableParagraph"/>
              <w:spacing w:before="0"/>
              <w:ind w:left="1243" w:right="1215"/>
              <w:jc w:val="center"/>
              <w:rPr>
                <w:rFonts w:ascii="宋体" w:eastAsia="宋体" w:hint="eastAsia"/>
                <w:sz w:val="21"/>
              </w:rPr>
            </w:pPr>
            <w:r>
              <w:rPr>
                <w:rFonts w:ascii="宋体" w:eastAsia="宋体" w:hint="eastAsia"/>
                <w:sz w:val="21"/>
              </w:rPr>
              <w:t>项目</w:t>
            </w:r>
          </w:p>
        </w:tc>
        <w:tc>
          <w:tcPr>
            <w:tcW w:w="2482" w:type="dxa"/>
          </w:tcPr>
          <w:p>
            <w:pPr>
              <w:pStyle w:val="TableParagraph"/>
              <w:spacing w:before="5"/>
              <w:jc w:val="left"/>
              <w:rPr>
                <w:rFonts w:ascii="宋体"/>
                <w:sz w:val="28"/>
              </w:rPr>
            </w:pPr>
          </w:p>
          <w:p>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pPr>
              <w:pStyle w:val="TableParagraph"/>
              <w:spacing w:before="130"/>
              <w:ind w:left="198" w:right="174"/>
              <w:jc w:val="center"/>
              <w:rPr>
                <w:rFonts w:ascii="宋体" w:eastAsia="宋体" w:hint="eastAsia"/>
                <w:sz w:val="21"/>
              </w:rPr>
            </w:pPr>
            <w:r>
              <w:rPr>
                <w:rFonts w:ascii="宋体" w:eastAsia="宋体" w:hint="eastAsia"/>
                <w:sz w:val="21"/>
              </w:rPr>
              <w:t>占基金总资产的比</w:t>
            </w:r>
          </w:p>
          <w:p>
            <w:pPr>
              <w:pStyle w:val="TableParagraph"/>
              <w:spacing w:before="5"/>
              <w:jc w:val="left"/>
              <w:rPr>
                <w:rFonts w:ascii="宋体"/>
                <w:sz w:val="15"/>
              </w:rPr>
            </w:pPr>
          </w:p>
          <w:p>
            <w:pPr>
              <w:pStyle w:val="TableParagraph"/>
              <w:spacing w:before="0"/>
              <w:ind w:left="198" w:right="174"/>
              <w:jc w:val="center"/>
              <w:rPr>
                <w:sz w:val="21"/>
              </w:rPr>
            </w:pPr>
            <w:r>
              <w:rPr>
                <w:rFonts w:ascii="宋体" w:eastAsia="宋体" w:hint="eastAsia"/>
                <w:sz w:val="21"/>
              </w:rPr>
              <w:t>例</w:t>
            </w:r>
            <w:r>
              <w:rPr>
                <w:sz w:val="21"/>
              </w:rPr>
              <w:t>(%)</w:t>
            </w:r>
          </w:p>
        </w:tc>
      </w:tr>
      <w:tr>
        <w:trPr>
          <w:trHeight w:val="496" w:hRule="atLeast"/>
        </w:trPr>
        <w:tc>
          <w:tcPr>
            <w:tcW w:w="814" w:type="dxa"/>
          </w:tcPr>
          <w:p>
            <w:pPr>
              <w:pStyle w:val="TableParagraph"/>
              <w:spacing w:before="142"/>
              <w:ind w:left="25"/>
              <w:jc w:val="center"/>
              <w:rPr>
                <w:sz w:val="21"/>
              </w:rPr>
            </w:pPr>
            <w:r>
              <w:rPr>
                <w:w w:val="100"/>
                <w:sz w:val="21"/>
              </w:rPr>
              <w:t>1</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权益投资</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其中：股票</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2</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固定收益投资</w:t>
            </w:r>
          </w:p>
        </w:tc>
        <w:tc>
          <w:tcPr>
            <w:tcW w:w="2482" w:type="dxa"/>
          </w:tcPr>
          <w:p>
            <w:pPr>
              <w:pStyle w:val="TableParagraph"/>
              <w:spacing w:before="144"/>
              <w:ind w:right="94"/>
              <w:rPr>
                <w:sz w:val="21"/>
              </w:rPr>
            </w:pPr>
            <w:r>
              <w:rPr>
                <w:sz w:val="21"/>
              </w:rPr>
              <w:t>13,177,239,501.50</w:t>
            </w:r>
          </w:p>
        </w:tc>
        <w:tc>
          <w:tcPr>
            <w:tcW w:w="2103" w:type="dxa"/>
          </w:tcPr>
          <w:p>
            <w:pPr>
              <w:pStyle w:val="TableParagraph"/>
              <w:spacing w:before="144"/>
              <w:ind w:right="94"/>
              <w:rPr>
                <w:sz w:val="21"/>
              </w:rPr>
            </w:pPr>
            <w:r>
              <w:rPr>
                <w:sz w:val="21"/>
              </w:rPr>
              <w:t>97.05</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其中：债券</w:t>
            </w:r>
          </w:p>
        </w:tc>
        <w:tc>
          <w:tcPr>
            <w:tcW w:w="2482" w:type="dxa"/>
          </w:tcPr>
          <w:p>
            <w:pPr>
              <w:pStyle w:val="TableParagraph"/>
              <w:spacing w:before="142"/>
              <w:ind w:right="94"/>
              <w:rPr>
                <w:sz w:val="21"/>
              </w:rPr>
            </w:pPr>
            <w:r>
              <w:rPr>
                <w:sz w:val="21"/>
              </w:rPr>
              <w:t>13,177,239,501.50</w:t>
            </w:r>
          </w:p>
        </w:tc>
        <w:tc>
          <w:tcPr>
            <w:tcW w:w="2103" w:type="dxa"/>
          </w:tcPr>
          <w:p>
            <w:pPr>
              <w:pStyle w:val="TableParagraph"/>
              <w:spacing w:before="142"/>
              <w:ind w:right="94"/>
              <w:rPr>
                <w:sz w:val="21"/>
              </w:rPr>
            </w:pPr>
            <w:r>
              <w:rPr>
                <w:sz w:val="21"/>
              </w:rPr>
              <w:t>97.05</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57"/>
              <w:ind w:left="733"/>
              <w:jc w:val="left"/>
              <w:rPr>
                <w:rFonts w:ascii="宋体" w:eastAsia="宋体" w:hint="eastAsia"/>
                <w:sz w:val="21"/>
              </w:rPr>
            </w:pPr>
            <w:r>
              <w:rPr>
                <w:rFonts w:ascii="宋体" w:eastAsia="宋体" w:hint="eastAsia"/>
                <w:sz w:val="21"/>
              </w:rPr>
              <w:t>资产支持证券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7" w:hRule="atLeast"/>
        </w:trPr>
        <w:tc>
          <w:tcPr>
            <w:tcW w:w="814" w:type="dxa"/>
          </w:tcPr>
          <w:p>
            <w:pPr>
              <w:pStyle w:val="TableParagraph"/>
              <w:spacing w:before="142"/>
              <w:ind w:left="25"/>
              <w:jc w:val="center"/>
              <w:rPr>
                <w:sz w:val="21"/>
              </w:rPr>
            </w:pPr>
            <w:r>
              <w:rPr>
                <w:w w:val="100"/>
                <w:sz w:val="21"/>
              </w:rPr>
              <w:t>3</w:t>
            </w:r>
          </w:p>
        </w:tc>
        <w:tc>
          <w:tcPr>
            <w:tcW w:w="2929" w:type="dxa"/>
          </w:tcPr>
          <w:p>
            <w:pPr>
              <w:pStyle w:val="TableParagraph"/>
              <w:spacing w:before="131"/>
              <w:ind w:left="124"/>
              <w:jc w:val="left"/>
              <w:rPr>
                <w:rFonts w:ascii="宋体" w:eastAsia="宋体" w:hint="eastAsia"/>
                <w:sz w:val="21"/>
              </w:rPr>
            </w:pPr>
            <w:r>
              <w:rPr>
                <w:rFonts w:ascii="宋体" w:eastAsia="宋体" w:hint="eastAsia"/>
                <w:sz w:val="21"/>
              </w:rPr>
              <w:t>贵金属投资</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4</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金融衍生品投资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5</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买入返售金融资产</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964"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其中：买断式回购的买入返售</w:t>
            </w:r>
          </w:p>
          <w:p>
            <w:pPr>
              <w:pStyle w:val="TableParagraph"/>
              <w:spacing w:before="4"/>
              <w:jc w:val="left"/>
              <w:rPr>
                <w:rFonts w:ascii="宋体"/>
                <w:sz w:val="15"/>
              </w:rPr>
            </w:pPr>
          </w:p>
          <w:p>
            <w:pPr>
              <w:pStyle w:val="TableParagraph"/>
              <w:spacing w:before="1"/>
              <w:ind w:left="124"/>
              <w:jc w:val="left"/>
              <w:rPr>
                <w:rFonts w:ascii="宋体" w:eastAsia="宋体" w:hint="eastAsia"/>
                <w:sz w:val="21"/>
              </w:rPr>
            </w:pPr>
            <w:r>
              <w:rPr>
                <w:rFonts w:ascii="宋体" w:eastAsia="宋体" w:hint="eastAsia"/>
                <w:sz w:val="21"/>
              </w:rPr>
              <w:t>金融资产</w:t>
            </w:r>
          </w:p>
        </w:tc>
        <w:tc>
          <w:tcPr>
            <w:tcW w:w="2482" w:type="dxa"/>
          </w:tcPr>
          <w:p>
            <w:pPr>
              <w:pStyle w:val="TableParagraph"/>
              <w:spacing w:before="5"/>
              <w:jc w:val="left"/>
              <w:rPr>
                <w:rFonts w:ascii="宋体"/>
                <w:sz w:val="29"/>
              </w:rPr>
            </w:pPr>
          </w:p>
          <w:p>
            <w:pPr>
              <w:pStyle w:val="TableParagraph"/>
              <w:spacing w:before="0"/>
              <w:ind w:right="96"/>
              <w:rPr>
                <w:sz w:val="21"/>
              </w:rPr>
            </w:pPr>
            <w:r>
              <w:rPr>
                <w:w w:val="100"/>
                <w:sz w:val="21"/>
              </w:rPr>
              <w:t>-</w:t>
            </w:r>
          </w:p>
        </w:tc>
        <w:tc>
          <w:tcPr>
            <w:tcW w:w="2103" w:type="dxa"/>
          </w:tcPr>
          <w:p>
            <w:pPr>
              <w:pStyle w:val="TableParagraph"/>
              <w:spacing w:before="5"/>
              <w:jc w:val="left"/>
              <w:rPr>
                <w:rFonts w:ascii="宋体"/>
                <w:sz w:val="29"/>
              </w:rPr>
            </w:pPr>
          </w:p>
          <w:p>
            <w:pPr>
              <w:pStyle w:val="TableParagraph"/>
              <w:spacing w:before="0"/>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6</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银行存款和结算备付金合计</w:t>
            </w:r>
          </w:p>
        </w:tc>
        <w:tc>
          <w:tcPr>
            <w:tcW w:w="2482" w:type="dxa"/>
          </w:tcPr>
          <w:p>
            <w:pPr>
              <w:pStyle w:val="TableParagraph"/>
              <w:spacing w:before="142"/>
              <w:ind w:right="94"/>
              <w:rPr>
                <w:sz w:val="21"/>
              </w:rPr>
            </w:pPr>
            <w:r>
              <w:rPr>
                <w:sz w:val="21"/>
              </w:rPr>
              <w:t>73,976,377.63</w:t>
            </w:r>
          </w:p>
        </w:tc>
        <w:tc>
          <w:tcPr>
            <w:tcW w:w="2103" w:type="dxa"/>
          </w:tcPr>
          <w:p>
            <w:pPr>
              <w:pStyle w:val="TableParagraph"/>
              <w:spacing w:before="142"/>
              <w:ind w:right="94"/>
              <w:rPr>
                <w:sz w:val="21"/>
              </w:rPr>
            </w:pPr>
            <w:r>
              <w:rPr>
                <w:sz w:val="21"/>
              </w:rPr>
              <w:t>0.54</w:t>
            </w:r>
          </w:p>
        </w:tc>
      </w:tr>
      <w:tr>
        <w:trPr>
          <w:trHeight w:val="498" w:hRule="atLeast"/>
        </w:trPr>
        <w:tc>
          <w:tcPr>
            <w:tcW w:w="814" w:type="dxa"/>
          </w:tcPr>
          <w:p>
            <w:pPr>
              <w:pStyle w:val="TableParagraph"/>
              <w:spacing w:before="144"/>
              <w:ind w:left="25"/>
              <w:jc w:val="center"/>
              <w:rPr>
                <w:sz w:val="21"/>
              </w:rPr>
            </w:pPr>
            <w:r>
              <w:rPr>
                <w:w w:val="100"/>
                <w:sz w:val="21"/>
              </w:rPr>
              <w:t>7</w:t>
            </w:r>
          </w:p>
        </w:tc>
        <w:tc>
          <w:tcPr>
            <w:tcW w:w="2929" w:type="dxa"/>
          </w:tcPr>
          <w:p>
            <w:pPr>
              <w:pStyle w:val="TableParagraph"/>
              <w:spacing w:before="116"/>
              <w:ind w:left="107"/>
              <w:jc w:val="left"/>
              <w:rPr>
                <w:rFonts w:ascii="宋体" w:eastAsia="宋体" w:hint="eastAsia"/>
                <w:sz w:val="21"/>
              </w:rPr>
            </w:pPr>
            <w:r>
              <w:rPr>
                <w:rFonts w:ascii="宋体" w:eastAsia="宋体" w:hint="eastAsia"/>
                <w:sz w:val="21"/>
              </w:rPr>
              <w:t>其他各项资产</w:t>
            </w:r>
          </w:p>
        </w:tc>
        <w:tc>
          <w:tcPr>
            <w:tcW w:w="2482" w:type="dxa"/>
          </w:tcPr>
          <w:p>
            <w:pPr>
              <w:pStyle w:val="TableParagraph"/>
              <w:spacing w:before="127"/>
              <w:ind w:right="94"/>
              <w:rPr>
                <w:sz w:val="21"/>
              </w:rPr>
            </w:pPr>
            <w:r>
              <w:rPr>
                <w:sz w:val="21"/>
              </w:rPr>
              <w:t>326,138,393.76</w:t>
            </w:r>
          </w:p>
        </w:tc>
        <w:tc>
          <w:tcPr>
            <w:tcW w:w="2103" w:type="dxa"/>
          </w:tcPr>
          <w:p>
            <w:pPr>
              <w:pStyle w:val="TableParagraph"/>
              <w:spacing w:before="127"/>
              <w:ind w:right="94"/>
              <w:rPr>
                <w:sz w:val="21"/>
              </w:rPr>
            </w:pPr>
            <w:r>
              <w:rPr>
                <w:sz w:val="21"/>
              </w:rPr>
              <w:t>2.40</w:t>
            </w:r>
          </w:p>
        </w:tc>
      </w:tr>
      <w:tr>
        <w:trPr>
          <w:trHeight w:val="496" w:hRule="atLeast"/>
        </w:trPr>
        <w:tc>
          <w:tcPr>
            <w:tcW w:w="814" w:type="dxa"/>
          </w:tcPr>
          <w:p>
            <w:pPr>
              <w:pStyle w:val="TableParagraph"/>
              <w:spacing w:before="142"/>
              <w:ind w:left="25"/>
              <w:jc w:val="center"/>
              <w:rPr>
                <w:sz w:val="21"/>
              </w:rPr>
            </w:pPr>
            <w:r>
              <w:rPr>
                <w:w w:val="100"/>
                <w:sz w:val="21"/>
              </w:rPr>
              <w:t>8</w:t>
            </w:r>
          </w:p>
        </w:tc>
        <w:tc>
          <w:tcPr>
            <w:tcW w:w="2929" w:type="dxa"/>
          </w:tcPr>
          <w:p>
            <w:pPr>
              <w:pStyle w:val="TableParagraph"/>
              <w:spacing w:before="114"/>
              <w:ind w:left="107"/>
              <w:jc w:val="left"/>
              <w:rPr>
                <w:rFonts w:ascii="宋体" w:eastAsia="宋体" w:hint="eastAsia"/>
                <w:sz w:val="21"/>
              </w:rPr>
            </w:pPr>
            <w:r>
              <w:rPr>
                <w:rFonts w:ascii="宋体" w:eastAsia="宋体" w:hint="eastAsia"/>
                <w:sz w:val="21"/>
              </w:rPr>
              <w:t>合计</w:t>
            </w:r>
          </w:p>
        </w:tc>
        <w:tc>
          <w:tcPr>
            <w:tcW w:w="2482" w:type="dxa"/>
          </w:tcPr>
          <w:p>
            <w:pPr>
              <w:pStyle w:val="TableParagraph"/>
              <w:spacing w:before="125"/>
              <w:ind w:right="94"/>
              <w:rPr>
                <w:sz w:val="21"/>
              </w:rPr>
            </w:pPr>
            <w:r>
              <w:rPr>
                <w:sz w:val="21"/>
              </w:rPr>
              <w:t>13,577,354,272.89</w:t>
            </w:r>
          </w:p>
        </w:tc>
        <w:tc>
          <w:tcPr>
            <w:tcW w:w="2103" w:type="dxa"/>
          </w:tcPr>
          <w:p>
            <w:pPr>
              <w:pStyle w:val="TableParagraph"/>
              <w:spacing w:before="125"/>
              <w:ind w:right="94"/>
              <w:rPr>
                <w:sz w:val="21"/>
              </w:rPr>
            </w:pPr>
            <w:r>
              <w:rPr>
                <w:sz w:val="21"/>
              </w:rPr>
              <w:t>100.00</w:t>
            </w:r>
          </w:p>
        </w:tc>
      </w:tr>
    </w:tbl>
    <w:p>
      <w:pPr>
        <w:spacing w:after="0"/>
        <w:rPr>
          <w:sz w:val="21"/>
        </w:rPr>
        <w:sectPr>
          <w:pgSz w:w="11910" w:h="16840"/>
          <w:pgMar w:header="877" w:footer="0" w:top="1420" w:bottom="280" w:left="1260" w:right="1480"/>
        </w:sectPr>
      </w:pPr>
    </w:p>
    <w:p>
      <w:pPr>
        <w:pStyle w:val="ListParagraph"/>
        <w:numPr>
          <w:ilvl w:val="1"/>
          <w:numId w:val="26"/>
        </w:numPr>
        <w:tabs>
          <w:tab w:pos="910" w:val="left" w:leader="none"/>
        </w:tabs>
        <w:spacing w:line="240" w:lineRule="auto" w:before="110" w:after="0"/>
        <w:ind w:left="910" w:right="0" w:hanging="370"/>
        <w:jc w:val="left"/>
        <w:rPr>
          <w:rFonts w:ascii="Times New Roman" w:eastAsia="Times New Roman"/>
          <w:sz w:val="21"/>
        </w:rPr>
      </w:pPr>
      <w:r>
        <w:rPr>
          <w:spacing w:val="-3"/>
          <w:sz w:val="21"/>
        </w:rPr>
        <w:t>报告期末按行业分类的股票投资组合</w:t>
      </w:r>
    </w:p>
    <w:p>
      <w:pPr>
        <w:pStyle w:val="BodyText"/>
        <w:spacing w:before="6"/>
        <w:rPr>
          <w:sz w:val="15"/>
        </w:rPr>
      </w:pPr>
    </w:p>
    <w:p>
      <w:pPr>
        <w:pStyle w:val="ListParagraph"/>
        <w:numPr>
          <w:ilvl w:val="2"/>
          <w:numId w:val="26"/>
        </w:numPr>
        <w:tabs>
          <w:tab w:pos="1066" w:val="left" w:leader="none"/>
        </w:tabs>
        <w:spacing w:line="417" w:lineRule="auto" w:before="0" w:after="0"/>
        <w:ind w:left="960" w:right="4315" w:hanging="420"/>
        <w:jc w:val="left"/>
        <w:rPr>
          <w:sz w:val="21"/>
        </w:rPr>
      </w:pPr>
      <w:r>
        <w:rPr>
          <w:spacing w:val="-4"/>
          <w:sz w:val="21"/>
        </w:rPr>
        <w:t>报告期末按行业分类的境内股票投资组合</w:t>
      </w:r>
      <w:r>
        <w:rPr>
          <w:spacing w:val="-3"/>
          <w:sz w:val="21"/>
        </w:rPr>
        <w:t>本基金本报告期末未持有股票。</w:t>
      </w:r>
    </w:p>
    <w:p>
      <w:pPr>
        <w:pStyle w:val="ListParagraph"/>
        <w:numPr>
          <w:ilvl w:val="1"/>
          <w:numId w:val="26"/>
        </w:numPr>
        <w:tabs>
          <w:tab w:pos="910" w:val="left" w:leader="none"/>
        </w:tabs>
        <w:spacing w:line="417" w:lineRule="auto" w:before="0" w:after="0"/>
        <w:ind w:left="960" w:right="1530" w:hanging="420"/>
        <w:jc w:val="left"/>
        <w:rPr>
          <w:rFonts w:ascii="Times New Roman" w:eastAsia="Times New Roman"/>
          <w:sz w:val="21"/>
        </w:rPr>
      </w:pPr>
      <w:r>
        <w:rPr>
          <w:spacing w:val="-3"/>
          <w:sz w:val="21"/>
        </w:rPr>
        <w:t>报告期末按公允价值占基金资产净值比例大小排序的前十名股票投资明细本基金本报告期末未持有股票。</w:t>
      </w:r>
    </w:p>
    <w:p>
      <w:pPr>
        <w:pStyle w:val="ListParagraph"/>
        <w:numPr>
          <w:ilvl w:val="1"/>
          <w:numId w:val="26"/>
        </w:numPr>
        <w:tabs>
          <w:tab w:pos="910" w:val="left" w:leader="none"/>
        </w:tabs>
        <w:spacing w:line="269" w:lineRule="exact" w:before="0" w:after="0"/>
        <w:ind w:left="910" w:right="0" w:hanging="370"/>
        <w:jc w:val="left"/>
        <w:rPr>
          <w:rFonts w:ascii="Times New Roman" w:eastAsia="Times New Roman"/>
          <w:sz w:val="21"/>
        </w:rPr>
      </w:pPr>
      <w:r>
        <w:rPr>
          <w:spacing w:val="-3"/>
          <w:sz w:val="21"/>
        </w:rPr>
        <w:t>报告期末按债券品种分类的债券投资组合</w:t>
      </w:r>
    </w:p>
    <w:p>
      <w:pPr>
        <w:pStyle w:val="BodyText"/>
        <w:spacing w:before="10"/>
        <w:rPr>
          <w:sz w:val="7"/>
        </w:rPr>
      </w:pPr>
    </w:p>
    <w:tbl>
      <w:tblPr>
        <w:tblW w:w="0" w:type="auto"/>
        <w:jc w:val="left"/>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2999"/>
        <w:gridCol w:w="2951"/>
        <w:gridCol w:w="1545"/>
      </w:tblGrid>
      <w:tr>
        <w:trPr>
          <w:trHeight w:val="965" w:hRule="atLeast"/>
        </w:trPr>
        <w:tc>
          <w:tcPr>
            <w:tcW w:w="838" w:type="dxa"/>
          </w:tcPr>
          <w:p>
            <w:pPr>
              <w:pStyle w:val="TableParagraph"/>
              <w:spacing w:before="7"/>
              <w:jc w:val="left"/>
              <w:rPr>
                <w:rFonts w:ascii="宋体"/>
                <w:sz w:val="28"/>
              </w:rPr>
            </w:pPr>
          </w:p>
          <w:p>
            <w:pPr>
              <w:pStyle w:val="TableParagraph"/>
              <w:spacing w:before="0"/>
              <w:ind w:left="196" w:right="171"/>
              <w:jc w:val="center"/>
              <w:rPr>
                <w:rFonts w:ascii="宋体" w:eastAsia="宋体" w:hint="eastAsia"/>
                <w:sz w:val="21"/>
              </w:rPr>
            </w:pPr>
            <w:r>
              <w:rPr>
                <w:rFonts w:ascii="宋体" w:eastAsia="宋体" w:hint="eastAsia"/>
                <w:sz w:val="21"/>
              </w:rPr>
              <w:t>序号</w:t>
            </w:r>
          </w:p>
        </w:tc>
        <w:tc>
          <w:tcPr>
            <w:tcW w:w="2999" w:type="dxa"/>
          </w:tcPr>
          <w:p>
            <w:pPr>
              <w:pStyle w:val="TableParagraph"/>
              <w:spacing w:before="7"/>
              <w:jc w:val="left"/>
              <w:rPr>
                <w:rFonts w:ascii="宋体"/>
                <w:sz w:val="28"/>
              </w:rPr>
            </w:pPr>
          </w:p>
          <w:p>
            <w:pPr>
              <w:pStyle w:val="TableParagraph"/>
              <w:spacing w:before="0"/>
              <w:ind w:left="1067" w:right="1041"/>
              <w:jc w:val="center"/>
              <w:rPr>
                <w:rFonts w:ascii="宋体" w:eastAsia="宋体" w:hint="eastAsia"/>
                <w:sz w:val="21"/>
              </w:rPr>
            </w:pPr>
            <w:r>
              <w:rPr>
                <w:rFonts w:ascii="宋体" w:eastAsia="宋体" w:hint="eastAsia"/>
                <w:sz w:val="21"/>
              </w:rPr>
              <w:t>债券品种</w:t>
            </w:r>
          </w:p>
        </w:tc>
        <w:tc>
          <w:tcPr>
            <w:tcW w:w="2951" w:type="dxa"/>
          </w:tcPr>
          <w:p>
            <w:pPr>
              <w:pStyle w:val="TableParagraph"/>
              <w:spacing w:before="7"/>
              <w:jc w:val="left"/>
              <w:rPr>
                <w:rFonts w:ascii="宋体"/>
                <w:sz w:val="28"/>
              </w:rPr>
            </w:pPr>
          </w:p>
          <w:p>
            <w:pPr>
              <w:pStyle w:val="TableParagraph"/>
              <w:spacing w:before="0"/>
              <w:ind w:left="886"/>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45" w:type="dxa"/>
          </w:tcPr>
          <w:p>
            <w:pPr>
              <w:pStyle w:val="TableParagraph"/>
              <w:spacing w:before="130"/>
              <w:ind w:left="127" w:right="107"/>
              <w:jc w:val="center"/>
              <w:rPr>
                <w:rFonts w:ascii="宋体" w:eastAsia="宋体" w:hint="eastAsia"/>
                <w:sz w:val="21"/>
              </w:rPr>
            </w:pPr>
            <w:r>
              <w:rPr>
                <w:rFonts w:ascii="宋体" w:eastAsia="宋体" w:hint="eastAsia"/>
                <w:sz w:val="21"/>
              </w:rPr>
              <w:t>占基金资产净</w:t>
            </w:r>
          </w:p>
          <w:p>
            <w:pPr>
              <w:pStyle w:val="TableParagraph"/>
              <w:spacing w:before="5"/>
              <w:jc w:val="left"/>
              <w:rPr>
                <w:rFonts w:ascii="宋体"/>
                <w:sz w:val="15"/>
              </w:rPr>
            </w:pPr>
          </w:p>
          <w:p>
            <w:pPr>
              <w:pStyle w:val="TableParagraph"/>
              <w:spacing w:before="0"/>
              <w:ind w:left="127" w:right="10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496" w:hRule="atLeast"/>
        </w:trPr>
        <w:tc>
          <w:tcPr>
            <w:tcW w:w="838" w:type="dxa"/>
          </w:tcPr>
          <w:p>
            <w:pPr>
              <w:pStyle w:val="TableParagraph"/>
              <w:spacing w:before="142"/>
              <w:ind w:left="21"/>
              <w:jc w:val="center"/>
              <w:rPr>
                <w:sz w:val="21"/>
              </w:rPr>
            </w:pPr>
            <w:r>
              <w:rPr>
                <w:w w:val="100"/>
                <w:sz w:val="21"/>
              </w:rPr>
              <w:t>1</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国家债券</w:t>
            </w:r>
          </w:p>
        </w:tc>
        <w:tc>
          <w:tcPr>
            <w:tcW w:w="2951" w:type="dxa"/>
          </w:tcPr>
          <w:p>
            <w:pPr>
              <w:pStyle w:val="TableParagraph"/>
              <w:spacing w:before="142"/>
              <w:ind w:right="95"/>
              <w:rPr>
                <w:sz w:val="21"/>
              </w:rPr>
            </w:pPr>
            <w:r>
              <w:rPr>
                <w:sz w:val="21"/>
              </w:rPr>
              <w:t>945,979,000.00</w:t>
            </w:r>
          </w:p>
        </w:tc>
        <w:tc>
          <w:tcPr>
            <w:tcW w:w="1545" w:type="dxa"/>
          </w:tcPr>
          <w:p>
            <w:pPr>
              <w:pStyle w:val="TableParagraph"/>
              <w:spacing w:before="142"/>
              <w:ind w:right="97"/>
              <w:rPr>
                <w:sz w:val="21"/>
              </w:rPr>
            </w:pPr>
            <w:r>
              <w:rPr>
                <w:sz w:val="21"/>
              </w:rPr>
              <w:t>9.11</w:t>
            </w:r>
          </w:p>
        </w:tc>
      </w:tr>
      <w:tr>
        <w:trPr>
          <w:trHeight w:val="498" w:hRule="atLeast"/>
        </w:trPr>
        <w:tc>
          <w:tcPr>
            <w:tcW w:w="838" w:type="dxa"/>
          </w:tcPr>
          <w:p>
            <w:pPr>
              <w:pStyle w:val="TableParagraph"/>
              <w:spacing w:before="144"/>
              <w:ind w:left="21"/>
              <w:jc w:val="center"/>
              <w:rPr>
                <w:sz w:val="21"/>
              </w:rPr>
            </w:pPr>
            <w:r>
              <w:rPr>
                <w:w w:val="100"/>
                <w:sz w:val="21"/>
              </w:rPr>
              <w:t>2</w:t>
            </w:r>
          </w:p>
        </w:tc>
        <w:tc>
          <w:tcPr>
            <w:tcW w:w="2999" w:type="dxa"/>
          </w:tcPr>
          <w:p>
            <w:pPr>
              <w:pStyle w:val="TableParagraph"/>
              <w:spacing w:before="133"/>
              <w:ind w:left="124"/>
              <w:jc w:val="left"/>
              <w:rPr>
                <w:rFonts w:ascii="宋体" w:eastAsia="宋体" w:hint="eastAsia"/>
                <w:sz w:val="21"/>
              </w:rPr>
            </w:pPr>
            <w:r>
              <w:rPr>
                <w:rFonts w:ascii="宋体" w:eastAsia="宋体" w:hint="eastAsia"/>
                <w:sz w:val="21"/>
              </w:rPr>
              <w:t>央行票据</w:t>
            </w:r>
          </w:p>
        </w:tc>
        <w:tc>
          <w:tcPr>
            <w:tcW w:w="2951" w:type="dxa"/>
          </w:tcPr>
          <w:p>
            <w:pPr>
              <w:pStyle w:val="TableParagraph"/>
              <w:spacing w:before="144"/>
              <w:ind w:right="97"/>
              <w:rPr>
                <w:sz w:val="21"/>
              </w:rPr>
            </w:pPr>
            <w:r>
              <w:rPr>
                <w:w w:val="100"/>
                <w:sz w:val="21"/>
              </w:rPr>
              <w:t>-</w:t>
            </w:r>
          </w:p>
        </w:tc>
        <w:tc>
          <w:tcPr>
            <w:tcW w:w="1545" w:type="dxa"/>
          </w:tcPr>
          <w:p>
            <w:pPr>
              <w:pStyle w:val="TableParagraph"/>
              <w:spacing w:before="144"/>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3</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金融债券</w:t>
            </w:r>
          </w:p>
        </w:tc>
        <w:tc>
          <w:tcPr>
            <w:tcW w:w="2951" w:type="dxa"/>
          </w:tcPr>
          <w:p>
            <w:pPr>
              <w:pStyle w:val="TableParagraph"/>
              <w:spacing w:before="142"/>
              <w:ind w:right="95"/>
              <w:rPr>
                <w:sz w:val="21"/>
              </w:rPr>
            </w:pPr>
            <w:r>
              <w:rPr>
                <w:sz w:val="21"/>
              </w:rPr>
              <w:t>2,137,371,178.90</w:t>
            </w:r>
          </w:p>
        </w:tc>
        <w:tc>
          <w:tcPr>
            <w:tcW w:w="1545" w:type="dxa"/>
          </w:tcPr>
          <w:p>
            <w:pPr>
              <w:pStyle w:val="TableParagraph"/>
              <w:spacing w:before="142"/>
              <w:ind w:right="97"/>
              <w:rPr>
                <w:sz w:val="21"/>
              </w:rPr>
            </w:pPr>
            <w:r>
              <w:rPr>
                <w:sz w:val="21"/>
              </w:rPr>
              <w:t>20.58</w:t>
            </w:r>
          </w:p>
        </w:tc>
      </w:tr>
      <w:tr>
        <w:trPr>
          <w:trHeight w:val="496" w:hRule="atLeast"/>
        </w:trPr>
        <w:tc>
          <w:tcPr>
            <w:tcW w:w="838" w:type="dxa"/>
          </w:tcPr>
          <w:p>
            <w:pPr>
              <w:pStyle w:val="TableParagraph"/>
              <w:spacing w:before="0"/>
              <w:jc w:val="left"/>
              <w:rPr>
                <w:sz w:val="20"/>
              </w:rPr>
            </w:pP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其中：政策性金融债</w:t>
            </w:r>
          </w:p>
        </w:tc>
        <w:tc>
          <w:tcPr>
            <w:tcW w:w="2951" w:type="dxa"/>
          </w:tcPr>
          <w:p>
            <w:pPr>
              <w:pStyle w:val="TableParagraph"/>
              <w:spacing w:before="142"/>
              <w:ind w:right="95"/>
              <w:rPr>
                <w:sz w:val="21"/>
              </w:rPr>
            </w:pPr>
            <w:r>
              <w:rPr>
                <w:sz w:val="21"/>
              </w:rPr>
              <w:t>1,870,156,978.90</w:t>
            </w:r>
          </w:p>
        </w:tc>
        <w:tc>
          <w:tcPr>
            <w:tcW w:w="1545" w:type="dxa"/>
          </w:tcPr>
          <w:p>
            <w:pPr>
              <w:pStyle w:val="TableParagraph"/>
              <w:spacing w:before="142"/>
              <w:ind w:right="97"/>
              <w:rPr>
                <w:sz w:val="21"/>
              </w:rPr>
            </w:pPr>
            <w:r>
              <w:rPr>
                <w:sz w:val="21"/>
              </w:rPr>
              <w:t>18.00</w:t>
            </w:r>
          </w:p>
        </w:tc>
      </w:tr>
      <w:tr>
        <w:trPr>
          <w:trHeight w:val="496" w:hRule="atLeast"/>
        </w:trPr>
        <w:tc>
          <w:tcPr>
            <w:tcW w:w="838" w:type="dxa"/>
          </w:tcPr>
          <w:p>
            <w:pPr>
              <w:pStyle w:val="TableParagraph"/>
              <w:spacing w:before="142"/>
              <w:ind w:left="21"/>
              <w:jc w:val="center"/>
              <w:rPr>
                <w:sz w:val="21"/>
              </w:rPr>
            </w:pPr>
            <w:r>
              <w:rPr>
                <w:w w:val="100"/>
                <w:sz w:val="21"/>
              </w:rPr>
              <w:t>4</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企业债券</w:t>
            </w:r>
          </w:p>
        </w:tc>
        <w:tc>
          <w:tcPr>
            <w:tcW w:w="2951" w:type="dxa"/>
          </w:tcPr>
          <w:p>
            <w:pPr>
              <w:pStyle w:val="TableParagraph"/>
              <w:spacing w:before="142"/>
              <w:ind w:right="95"/>
              <w:rPr>
                <w:sz w:val="21"/>
              </w:rPr>
            </w:pPr>
            <w:r>
              <w:rPr>
                <w:sz w:val="21"/>
              </w:rPr>
              <w:t>2,409,774,222.60</w:t>
            </w:r>
          </w:p>
        </w:tc>
        <w:tc>
          <w:tcPr>
            <w:tcW w:w="1545" w:type="dxa"/>
          </w:tcPr>
          <w:p>
            <w:pPr>
              <w:pStyle w:val="TableParagraph"/>
              <w:spacing w:before="142"/>
              <w:ind w:right="97"/>
              <w:rPr>
                <w:sz w:val="21"/>
              </w:rPr>
            </w:pPr>
            <w:r>
              <w:rPr>
                <w:sz w:val="21"/>
              </w:rPr>
              <w:t>23.20</w:t>
            </w:r>
          </w:p>
        </w:tc>
      </w:tr>
      <w:tr>
        <w:trPr>
          <w:trHeight w:val="499" w:hRule="atLeast"/>
        </w:trPr>
        <w:tc>
          <w:tcPr>
            <w:tcW w:w="838" w:type="dxa"/>
          </w:tcPr>
          <w:p>
            <w:pPr>
              <w:pStyle w:val="TableParagraph"/>
              <w:spacing w:before="144"/>
              <w:ind w:left="21"/>
              <w:jc w:val="center"/>
              <w:rPr>
                <w:sz w:val="21"/>
              </w:rPr>
            </w:pPr>
            <w:r>
              <w:rPr>
                <w:w w:val="100"/>
                <w:sz w:val="21"/>
              </w:rPr>
              <w:t>5</w:t>
            </w:r>
          </w:p>
        </w:tc>
        <w:tc>
          <w:tcPr>
            <w:tcW w:w="2999" w:type="dxa"/>
          </w:tcPr>
          <w:p>
            <w:pPr>
              <w:pStyle w:val="TableParagraph"/>
              <w:spacing w:before="133"/>
              <w:ind w:left="124"/>
              <w:jc w:val="left"/>
              <w:rPr>
                <w:rFonts w:ascii="宋体" w:eastAsia="宋体" w:hint="eastAsia"/>
                <w:sz w:val="21"/>
              </w:rPr>
            </w:pPr>
            <w:r>
              <w:rPr>
                <w:rFonts w:ascii="宋体" w:eastAsia="宋体" w:hint="eastAsia"/>
                <w:sz w:val="21"/>
              </w:rPr>
              <w:t>企业短期融资券</w:t>
            </w:r>
          </w:p>
        </w:tc>
        <w:tc>
          <w:tcPr>
            <w:tcW w:w="2951" w:type="dxa"/>
          </w:tcPr>
          <w:p>
            <w:pPr>
              <w:pStyle w:val="TableParagraph"/>
              <w:spacing w:before="144"/>
              <w:ind w:right="95"/>
              <w:rPr>
                <w:sz w:val="21"/>
              </w:rPr>
            </w:pPr>
            <w:r>
              <w:rPr>
                <w:sz w:val="21"/>
              </w:rPr>
              <w:t>70,480,000.00</w:t>
            </w:r>
          </w:p>
        </w:tc>
        <w:tc>
          <w:tcPr>
            <w:tcW w:w="1545" w:type="dxa"/>
          </w:tcPr>
          <w:p>
            <w:pPr>
              <w:pStyle w:val="TableParagraph"/>
              <w:spacing w:before="144"/>
              <w:ind w:right="97"/>
              <w:rPr>
                <w:sz w:val="21"/>
              </w:rPr>
            </w:pPr>
            <w:r>
              <w:rPr>
                <w:sz w:val="21"/>
              </w:rPr>
              <w:t>0.68</w:t>
            </w:r>
          </w:p>
        </w:tc>
      </w:tr>
      <w:tr>
        <w:trPr>
          <w:trHeight w:val="496" w:hRule="atLeast"/>
        </w:trPr>
        <w:tc>
          <w:tcPr>
            <w:tcW w:w="838" w:type="dxa"/>
          </w:tcPr>
          <w:p>
            <w:pPr>
              <w:pStyle w:val="TableParagraph"/>
              <w:spacing w:before="142"/>
              <w:ind w:left="21"/>
              <w:jc w:val="center"/>
              <w:rPr>
                <w:sz w:val="21"/>
              </w:rPr>
            </w:pPr>
            <w:r>
              <w:rPr>
                <w:w w:val="100"/>
                <w:sz w:val="21"/>
              </w:rPr>
              <w:t>6</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中期票据</w:t>
            </w:r>
          </w:p>
        </w:tc>
        <w:tc>
          <w:tcPr>
            <w:tcW w:w="2951" w:type="dxa"/>
          </w:tcPr>
          <w:p>
            <w:pPr>
              <w:pStyle w:val="TableParagraph"/>
              <w:spacing w:before="142"/>
              <w:ind w:right="95"/>
              <w:rPr>
                <w:sz w:val="21"/>
              </w:rPr>
            </w:pPr>
            <w:r>
              <w:rPr>
                <w:sz w:val="21"/>
              </w:rPr>
              <w:t>7,613,635,100.00</w:t>
            </w:r>
          </w:p>
        </w:tc>
        <w:tc>
          <w:tcPr>
            <w:tcW w:w="1545" w:type="dxa"/>
          </w:tcPr>
          <w:p>
            <w:pPr>
              <w:pStyle w:val="TableParagraph"/>
              <w:spacing w:before="142"/>
              <w:ind w:right="97"/>
              <w:rPr>
                <w:sz w:val="21"/>
              </w:rPr>
            </w:pPr>
            <w:r>
              <w:rPr>
                <w:sz w:val="21"/>
              </w:rPr>
              <w:t>73.29</w:t>
            </w:r>
          </w:p>
        </w:tc>
      </w:tr>
      <w:tr>
        <w:trPr>
          <w:trHeight w:val="496" w:hRule="atLeast"/>
        </w:trPr>
        <w:tc>
          <w:tcPr>
            <w:tcW w:w="838" w:type="dxa"/>
          </w:tcPr>
          <w:p>
            <w:pPr>
              <w:pStyle w:val="TableParagraph"/>
              <w:spacing w:before="142"/>
              <w:ind w:left="21"/>
              <w:jc w:val="center"/>
              <w:rPr>
                <w:sz w:val="21"/>
              </w:rPr>
            </w:pPr>
            <w:r>
              <w:rPr>
                <w:w w:val="100"/>
                <w:sz w:val="21"/>
              </w:rPr>
              <w:t>7</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可转债（可交换债）</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8</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同业存单</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8" w:hRule="atLeast"/>
        </w:trPr>
        <w:tc>
          <w:tcPr>
            <w:tcW w:w="838" w:type="dxa"/>
          </w:tcPr>
          <w:p>
            <w:pPr>
              <w:pStyle w:val="TableParagraph"/>
              <w:spacing w:before="144"/>
              <w:ind w:left="21"/>
              <w:jc w:val="center"/>
              <w:rPr>
                <w:sz w:val="21"/>
              </w:rPr>
            </w:pPr>
            <w:r>
              <w:rPr>
                <w:w w:val="100"/>
                <w:sz w:val="21"/>
              </w:rPr>
              <w:t>9</w:t>
            </w:r>
          </w:p>
        </w:tc>
        <w:tc>
          <w:tcPr>
            <w:tcW w:w="2999" w:type="dxa"/>
          </w:tcPr>
          <w:p>
            <w:pPr>
              <w:pStyle w:val="TableParagraph"/>
              <w:spacing w:before="133"/>
              <w:ind w:left="124"/>
              <w:jc w:val="left"/>
              <w:rPr>
                <w:rFonts w:ascii="宋体" w:eastAsia="宋体" w:hint="eastAsia"/>
                <w:sz w:val="21"/>
              </w:rPr>
            </w:pPr>
            <w:r>
              <w:rPr>
                <w:rFonts w:ascii="宋体" w:eastAsia="宋体" w:hint="eastAsia"/>
                <w:sz w:val="21"/>
              </w:rPr>
              <w:t>其他</w:t>
            </w:r>
          </w:p>
        </w:tc>
        <w:tc>
          <w:tcPr>
            <w:tcW w:w="2951" w:type="dxa"/>
          </w:tcPr>
          <w:p>
            <w:pPr>
              <w:pStyle w:val="TableParagraph"/>
              <w:spacing w:before="144"/>
              <w:ind w:right="97"/>
              <w:rPr>
                <w:sz w:val="21"/>
              </w:rPr>
            </w:pPr>
            <w:r>
              <w:rPr>
                <w:w w:val="100"/>
                <w:sz w:val="21"/>
              </w:rPr>
              <w:t>-</w:t>
            </w:r>
          </w:p>
        </w:tc>
        <w:tc>
          <w:tcPr>
            <w:tcW w:w="1545" w:type="dxa"/>
          </w:tcPr>
          <w:p>
            <w:pPr>
              <w:pStyle w:val="TableParagraph"/>
              <w:spacing w:before="144"/>
              <w:ind w:right="98"/>
              <w:rPr>
                <w:sz w:val="21"/>
              </w:rPr>
            </w:pPr>
            <w:r>
              <w:rPr>
                <w:w w:val="100"/>
                <w:sz w:val="21"/>
              </w:rPr>
              <w:t>-</w:t>
            </w:r>
          </w:p>
        </w:tc>
      </w:tr>
      <w:tr>
        <w:trPr>
          <w:trHeight w:val="496" w:hRule="atLeast"/>
        </w:trPr>
        <w:tc>
          <w:tcPr>
            <w:tcW w:w="838" w:type="dxa"/>
          </w:tcPr>
          <w:p>
            <w:pPr>
              <w:pStyle w:val="TableParagraph"/>
              <w:spacing w:before="142"/>
              <w:ind w:left="192" w:right="171"/>
              <w:jc w:val="center"/>
              <w:rPr>
                <w:sz w:val="21"/>
              </w:rPr>
            </w:pPr>
            <w:r>
              <w:rPr>
                <w:sz w:val="21"/>
              </w:rPr>
              <w:t>10</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合计</w:t>
            </w:r>
          </w:p>
        </w:tc>
        <w:tc>
          <w:tcPr>
            <w:tcW w:w="2951" w:type="dxa"/>
          </w:tcPr>
          <w:p>
            <w:pPr>
              <w:pStyle w:val="TableParagraph"/>
              <w:spacing w:before="142"/>
              <w:ind w:right="95"/>
              <w:rPr>
                <w:sz w:val="21"/>
              </w:rPr>
            </w:pPr>
            <w:r>
              <w:rPr>
                <w:sz w:val="21"/>
              </w:rPr>
              <w:t>13,177,239,501.50</w:t>
            </w:r>
          </w:p>
        </w:tc>
        <w:tc>
          <w:tcPr>
            <w:tcW w:w="1545" w:type="dxa"/>
          </w:tcPr>
          <w:p>
            <w:pPr>
              <w:pStyle w:val="TableParagraph"/>
              <w:spacing w:before="142"/>
              <w:ind w:right="97"/>
              <w:rPr>
                <w:sz w:val="21"/>
              </w:rPr>
            </w:pPr>
            <w:r>
              <w:rPr>
                <w:sz w:val="21"/>
              </w:rPr>
              <w:t>126.85</w:t>
            </w:r>
          </w:p>
        </w:tc>
      </w:tr>
    </w:tbl>
    <w:p>
      <w:pPr>
        <w:pStyle w:val="ListParagraph"/>
        <w:numPr>
          <w:ilvl w:val="1"/>
          <w:numId w:val="26"/>
        </w:numPr>
        <w:tabs>
          <w:tab w:pos="910" w:val="left" w:leader="none"/>
        </w:tabs>
        <w:spacing w:line="240" w:lineRule="auto" w:before="99" w:after="0"/>
        <w:ind w:left="910" w:right="0" w:hanging="370"/>
        <w:jc w:val="left"/>
        <w:rPr>
          <w:rFonts w:ascii="Times New Roman" w:eastAsia="Times New Roman"/>
          <w:sz w:val="21"/>
        </w:rPr>
      </w:pPr>
      <w:r>
        <w:rPr>
          <w:spacing w:val="-3"/>
          <w:sz w:val="21"/>
        </w:rPr>
        <w:t>报告期末按公允价值占基金资产净值比例大小排序的前五名债券投资明细</w:t>
      </w:r>
    </w:p>
    <w:p>
      <w:pPr>
        <w:pStyle w:val="BodyText"/>
        <w:spacing w:before="10"/>
        <w:rPr>
          <w:sz w:val="7"/>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1337"/>
        <w:gridCol w:w="1305"/>
        <w:gridCol w:w="1452"/>
        <w:gridCol w:w="1675"/>
        <w:gridCol w:w="1587"/>
      </w:tblGrid>
      <w:tr>
        <w:trPr>
          <w:trHeight w:val="964" w:hRule="atLeast"/>
        </w:trPr>
        <w:tc>
          <w:tcPr>
            <w:tcW w:w="1166" w:type="dxa"/>
          </w:tcPr>
          <w:p>
            <w:pPr>
              <w:pStyle w:val="TableParagraph"/>
              <w:spacing w:before="7"/>
              <w:jc w:val="left"/>
              <w:rPr>
                <w:rFonts w:ascii="宋体"/>
                <w:sz w:val="28"/>
              </w:rPr>
            </w:pPr>
          </w:p>
          <w:p>
            <w:pPr>
              <w:pStyle w:val="TableParagraph"/>
              <w:spacing w:before="0"/>
              <w:ind w:left="362" w:right="333"/>
              <w:jc w:val="center"/>
              <w:rPr>
                <w:rFonts w:ascii="宋体" w:eastAsia="宋体" w:hint="eastAsia"/>
                <w:sz w:val="21"/>
              </w:rPr>
            </w:pPr>
            <w:r>
              <w:rPr>
                <w:rFonts w:ascii="宋体" w:eastAsia="宋体" w:hint="eastAsia"/>
                <w:sz w:val="21"/>
              </w:rPr>
              <w:t>序号</w:t>
            </w:r>
          </w:p>
        </w:tc>
        <w:tc>
          <w:tcPr>
            <w:tcW w:w="1337" w:type="dxa"/>
          </w:tcPr>
          <w:p>
            <w:pPr>
              <w:pStyle w:val="TableParagraph"/>
              <w:spacing w:before="7"/>
              <w:jc w:val="left"/>
              <w:rPr>
                <w:rFonts w:ascii="宋体"/>
                <w:sz w:val="28"/>
              </w:rPr>
            </w:pPr>
          </w:p>
          <w:p>
            <w:pPr>
              <w:pStyle w:val="TableParagraph"/>
              <w:spacing w:before="0"/>
              <w:ind w:left="235" w:right="211"/>
              <w:jc w:val="center"/>
              <w:rPr>
                <w:rFonts w:ascii="宋体" w:eastAsia="宋体" w:hint="eastAsia"/>
                <w:sz w:val="21"/>
              </w:rPr>
            </w:pPr>
            <w:r>
              <w:rPr>
                <w:rFonts w:ascii="宋体" w:eastAsia="宋体" w:hint="eastAsia"/>
                <w:sz w:val="21"/>
              </w:rPr>
              <w:t>债券代码</w:t>
            </w:r>
          </w:p>
        </w:tc>
        <w:tc>
          <w:tcPr>
            <w:tcW w:w="1305" w:type="dxa"/>
          </w:tcPr>
          <w:p>
            <w:pPr>
              <w:pStyle w:val="TableParagraph"/>
              <w:spacing w:before="7"/>
              <w:jc w:val="left"/>
              <w:rPr>
                <w:rFonts w:ascii="宋体"/>
                <w:sz w:val="28"/>
              </w:rPr>
            </w:pPr>
          </w:p>
          <w:p>
            <w:pPr>
              <w:pStyle w:val="TableParagraph"/>
              <w:spacing w:before="0"/>
              <w:ind w:left="80" w:right="57"/>
              <w:jc w:val="center"/>
              <w:rPr>
                <w:rFonts w:ascii="宋体" w:eastAsia="宋体" w:hint="eastAsia"/>
                <w:sz w:val="21"/>
              </w:rPr>
            </w:pPr>
            <w:r>
              <w:rPr>
                <w:rFonts w:ascii="宋体" w:eastAsia="宋体" w:hint="eastAsia"/>
                <w:sz w:val="21"/>
              </w:rPr>
              <w:t>债券名称</w:t>
            </w:r>
          </w:p>
        </w:tc>
        <w:tc>
          <w:tcPr>
            <w:tcW w:w="1452" w:type="dxa"/>
          </w:tcPr>
          <w:p>
            <w:pPr>
              <w:pStyle w:val="TableParagraph"/>
              <w:spacing w:before="7"/>
              <w:jc w:val="left"/>
              <w:rPr>
                <w:rFonts w:ascii="宋体"/>
                <w:sz w:val="28"/>
              </w:rPr>
            </w:pPr>
          </w:p>
          <w:p>
            <w:pPr>
              <w:pStyle w:val="TableParagraph"/>
              <w:spacing w:before="0"/>
              <w:ind w:left="349"/>
              <w:jc w:val="left"/>
              <w:rPr>
                <w:sz w:val="21"/>
              </w:rPr>
            </w:pPr>
            <w:r>
              <w:rPr>
                <w:rFonts w:ascii="宋体" w:eastAsia="宋体" w:hint="eastAsia"/>
                <w:sz w:val="21"/>
              </w:rPr>
              <w:t>数量</w:t>
            </w:r>
            <w:r>
              <w:rPr>
                <w:sz w:val="21"/>
              </w:rPr>
              <w:t>(</w:t>
            </w:r>
            <w:r>
              <w:rPr>
                <w:rFonts w:ascii="宋体" w:eastAsia="宋体" w:hint="eastAsia"/>
                <w:sz w:val="21"/>
              </w:rPr>
              <w:t>张</w:t>
            </w:r>
            <w:r>
              <w:rPr>
                <w:sz w:val="21"/>
              </w:rPr>
              <w:t>)</w:t>
            </w:r>
          </w:p>
        </w:tc>
        <w:tc>
          <w:tcPr>
            <w:tcW w:w="1675" w:type="dxa"/>
          </w:tcPr>
          <w:p>
            <w:pPr>
              <w:pStyle w:val="TableParagraph"/>
              <w:spacing w:before="7"/>
              <w:jc w:val="left"/>
              <w:rPr>
                <w:rFonts w:ascii="宋体"/>
                <w:sz w:val="28"/>
              </w:rPr>
            </w:pPr>
          </w:p>
          <w:p>
            <w:pPr>
              <w:pStyle w:val="TableParagraph"/>
              <w:spacing w:before="0"/>
              <w:ind w:left="25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87" w:type="dxa"/>
          </w:tcPr>
          <w:p>
            <w:pPr>
              <w:pStyle w:val="TableParagraph"/>
              <w:spacing w:before="131"/>
              <w:ind w:left="153" w:right="124"/>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0"/>
              <w:ind w:left="153" w:right="12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4" w:hRule="atLeast"/>
        </w:trPr>
        <w:tc>
          <w:tcPr>
            <w:tcW w:w="1166" w:type="dxa"/>
          </w:tcPr>
          <w:p>
            <w:pPr>
              <w:pStyle w:val="TableParagraph"/>
              <w:spacing w:before="36"/>
              <w:ind w:left="9"/>
              <w:jc w:val="center"/>
              <w:rPr>
                <w:sz w:val="21"/>
              </w:rPr>
            </w:pPr>
            <w:r>
              <w:rPr>
                <w:w w:val="100"/>
                <w:sz w:val="21"/>
              </w:rPr>
              <w:t>1</w:t>
            </w:r>
          </w:p>
        </w:tc>
        <w:tc>
          <w:tcPr>
            <w:tcW w:w="1337" w:type="dxa"/>
          </w:tcPr>
          <w:p>
            <w:pPr>
              <w:pStyle w:val="TableParagraph"/>
              <w:spacing w:before="36"/>
              <w:ind w:left="218" w:right="211"/>
              <w:jc w:val="center"/>
              <w:rPr>
                <w:sz w:val="21"/>
              </w:rPr>
            </w:pPr>
            <w:r>
              <w:rPr>
                <w:sz w:val="21"/>
              </w:rPr>
              <w:t>190205</w:t>
            </w:r>
          </w:p>
        </w:tc>
        <w:tc>
          <w:tcPr>
            <w:tcW w:w="1305" w:type="dxa"/>
          </w:tcPr>
          <w:p>
            <w:pPr>
              <w:pStyle w:val="TableParagraph"/>
              <w:spacing w:before="25"/>
              <w:ind w:left="80" w:right="71"/>
              <w:jc w:val="center"/>
              <w:rPr>
                <w:sz w:val="21"/>
              </w:rPr>
            </w:pPr>
            <w:r>
              <w:rPr>
                <w:sz w:val="21"/>
              </w:rPr>
              <w:t>19 </w:t>
            </w:r>
            <w:r>
              <w:rPr>
                <w:rFonts w:ascii="宋体" w:eastAsia="宋体" w:hint="eastAsia"/>
                <w:sz w:val="21"/>
              </w:rPr>
              <w:t>国开 </w:t>
            </w:r>
            <w:r>
              <w:rPr>
                <w:sz w:val="21"/>
              </w:rPr>
              <w:t>05</w:t>
            </w:r>
          </w:p>
        </w:tc>
        <w:tc>
          <w:tcPr>
            <w:tcW w:w="1452" w:type="dxa"/>
          </w:tcPr>
          <w:p>
            <w:pPr>
              <w:pStyle w:val="TableParagraph"/>
              <w:spacing w:before="36"/>
              <w:ind w:right="92"/>
              <w:rPr>
                <w:sz w:val="21"/>
              </w:rPr>
            </w:pPr>
            <w:r>
              <w:rPr>
                <w:sz w:val="21"/>
              </w:rPr>
              <w:t>8,800,000</w:t>
            </w:r>
          </w:p>
        </w:tc>
        <w:tc>
          <w:tcPr>
            <w:tcW w:w="1675" w:type="dxa"/>
          </w:tcPr>
          <w:p>
            <w:pPr>
              <w:pStyle w:val="TableParagraph"/>
              <w:spacing w:before="36"/>
              <w:ind w:left="258"/>
              <w:jc w:val="left"/>
              <w:rPr>
                <w:sz w:val="21"/>
              </w:rPr>
            </w:pPr>
            <w:r>
              <w:rPr>
                <w:sz w:val="21"/>
              </w:rPr>
              <w:t>887,304,000.00</w:t>
            </w:r>
          </w:p>
        </w:tc>
        <w:tc>
          <w:tcPr>
            <w:tcW w:w="1587" w:type="dxa"/>
          </w:tcPr>
          <w:p>
            <w:pPr>
              <w:pStyle w:val="TableParagraph"/>
              <w:spacing w:before="36"/>
              <w:ind w:right="94"/>
              <w:rPr>
                <w:sz w:val="21"/>
              </w:rPr>
            </w:pPr>
            <w:r>
              <w:rPr>
                <w:sz w:val="21"/>
              </w:rPr>
              <w:t>8.54</w:t>
            </w:r>
          </w:p>
        </w:tc>
      </w:tr>
      <w:tr>
        <w:trPr>
          <w:trHeight w:val="623" w:hRule="atLeast"/>
        </w:trPr>
        <w:tc>
          <w:tcPr>
            <w:tcW w:w="1166" w:type="dxa"/>
          </w:tcPr>
          <w:p>
            <w:pPr>
              <w:pStyle w:val="TableParagraph"/>
              <w:spacing w:before="190"/>
              <w:ind w:left="9"/>
              <w:jc w:val="center"/>
              <w:rPr>
                <w:sz w:val="21"/>
              </w:rPr>
            </w:pPr>
            <w:r>
              <w:rPr>
                <w:w w:val="100"/>
                <w:sz w:val="21"/>
              </w:rPr>
              <w:t>2</w:t>
            </w:r>
          </w:p>
        </w:tc>
        <w:tc>
          <w:tcPr>
            <w:tcW w:w="1337" w:type="dxa"/>
          </w:tcPr>
          <w:p>
            <w:pPr>
              <w:pStyle w:val="TableParagraph"/>
              <w:spacing w:before="190"/>
              <w:ind w:left="218" w:right="211"/>
              <w:jc w:val="center"/>
              <w:rPr>
                <w:sz w:val="21"/>
              </w:rPr>
            </w:pPr>
            <w:r>
              <w:rPr>
                <w:sz w:val="21"/>
              </w:rPr>
              <w:t>200006</w:t>
            </w:r>
          </w:p>
        </w:tc>
        <w:tc>
          <w:tcPr>
            <w:tcW w:w="1305" w:type="dxa"/>
          </w:tcPr>
          <w:p>
            <w:pPr>
              <w:pStyle w:val="TableParagraph"/>
              <w:ind w:left="80" w:right="71"/>
              <w:jc w:val="center"/>
              <w:rPr>
                <w:rFonts w:ascii="宋体" w:eastAsia="宋体" w:hint="eastAsia"/>
                <w:sz w:val="21"/>
              </w:rPr>
            </w:pPr>
            <w:r>
              <w:rPr>
                <w:sz w:val="21"/>
              </w:rPr>
              <w:t>20 </w:t>
            </w:r>
            <w:r>
              <w:rPr>
                <w:rFonts w:ascii="宋体" w:eastAsia="宋体" w:hint="eastAsia"/>
                <w:sz w:val="21"/>
              </w:rPr>
              <w:t>附息国债</w:t>
            </w:r>
          </w:p>
          <w:p>
            <w:pPr>
              <w:pStyle w:val="TableParagraph"/>
              <w:spacing w:before="55"/>
              <w:ind w:left="77" w:right="71"/>
              <w:jc w:val="center"/>
              <w:rPr>
                <w:sz w:val="21"/>
              </w:rPr>
            </w:pPr>
            <w:r>
              <w:rPr>
                <w:sz w:val="21"/>
              </w:rPr>
              <w:t>06</w:t>
            </w:r>
          </w:p>
        </w:tc>
        <w:tc>
          <w:tcPr>
            <w:tcW w:w="1452" w:type="dxa"/>
          </w:tcPr>
          <w:p>
            <w:pPr>
              <w:pStyle w:val="TableParagraph"/>
              <w:spacing w:before="190"/>
              <w:ind w:right="92"/>
              <w:rPr>
                <w:sz w:val="21"/>
              </w:rPr>
            </w:pPr>
            <w:r>
              <w:rPr>
                <w:sz w:val="21"/>
              </w:rPr>
              <w:t>5,000,000</w:t>
            </w:r>
          </w:p>
        </w:tc>
        <w:tc>
          <w:tcPr>
            <w:tcW w:w="1675" w:type="dxa"/>
          </w:tcPr>
          <w:p>
            <w:pPr>
              <w:pStyle w:val="TableParagraph"/>
              <w:spacing w:before="190"/>
              <w:ind w:left="258"/>
              <w:jc w:val="left"/>
              <w:rPr>
                <w:sz w:val="21"/>
              </w:rPr>
            </w:pPr>
            <w:r>
              <w:rPr>
                <w:sz w:val="21"/>
              </w:rPr>
              <w:t>493,900,000.00</w:t>
            </w:r>
          </w:p>
        </w:tc>
        <w:tc>
          <w:tcPr>
            <w:tcW w:w="1587" w:type="dxa"/>
          </w:tcPr>
          <w:p>
            <w:pPr>
              <w:pStyle w:val="TableParagraph"/>
              <w:spacing w:before="190"/>
              <w:ind w:right="94"/>
              <w:rPr>
                <w:sz w:val="21"/>
              </w:rPr>
            </w:pPr>
            <w:r>
              <w:rPr>
                <w:sz w:val="21"/>
              </w:rPr>
              <w:t>4.75</w:t>
            </w:r>
          </w:p>
        </w:tc>
      </w:tr>
      <w:tr>
        <w:trPr>
          <w:trHeight w:val="311" w:hRule="atLeast"/>
        </w:trPr>
        <w:tc>
          <w:tcPr>
            <w:tcW w:w="1166" w:type="dxa"/>
          </w:tcPr>
          <w:p>
            <w:pPr>
              <w:pStyle w:val="TableParagraph"/>
              <w:spacing w:before="34"/>
              <w:ind w:left="9"/>
              <w:jc w:val="center"/>
              <w:rPr>
                <w:sz w:val="21"/>
              </w:rPr>
            </w:pPr>
            <w:r>
              <w:rPr>
                <w:w w:val="100"/>
                <w:sz w:val="21"/>
              </w:rPr>
              <w:t>3</w:t>
            </w:r>
          </w:p>
        </w:tc>
        <w:tc>
          <w:tcPr>
            <w:tcW w:w="1337" w:type="dxa"/>
          </w:tcPr>
          <w:p>
            <w:pPr>
              <w:pStyle w:val="TableParagraph"/>
              <w:spacing w:before="34"/>
              <w:ind w:left="218" w:right="211"/>
              <w:jc w:val="center"/>
              <w:rPr>
                <w:sz w:val="21"/>
              </w:rPr>
            </w:pPr>
            <w:r>
              <w:rPr>
                <w:sz w:val="21"/>
              </w:rPr>
              <w:t>190210</w:t>
            </w:r>
          </w:p>
        </w:tc>
        <w:tc>
          <w:tcPr>
            <w:tcW w:w="1305" w:type="dxa"/>
          </w:tcPr>
          <w:p>
            <w:pPr>
              <w:pStyle w:val="TableParagraph"/>
              <w:ind w:left="80" w:right="71"/>
              <w:jc w:val="center"/>
              <w:rPr>
                <w:sz w:val="21"/>
              </w:rPr>
            </w:pPr>
            <w:r>
              <w:rPr>
                <w:sz w:val="21"/>
              </w:rPr>
              <w:t>19 </w:t>
            </w:r>
            <w:r>
              <w:rPr>
                <w:rFonts w:ascii="宋体" w:eastAsia="宋体" w:hint="eastAsia"/>
                <w:sz w:val="21"/>
              </w:rPr>
              <w:t>国开 </w:t>
            </w:r>
            <w:r>
              <w:rPr>
                <w:sz w:val="21"/>
              </w:rPr>
              <w:t>10</w:t>
            </w:r>
          </w:p>
        </w:tc>
        <w:tc>
          <w:tcPr>
            <w:tcW w:w="1452" w:type="dxa"/>
          </w:tcPr>
          <w:p>
            <w:pPr>
              <w:pStyle w:val="TableParagraph"/>
              <w:spacing w:before="34"/>
              <w:ind w:right="92"/>
              <w:rPr>
                <w:sz w:val="21"/>
              </w:rPr>
            </w:pPr>
            <w:r>
              <w:rPr>
                <w:sz w:val="21"/>
              </w:rPr>
              <w:t>3,000,000</w:t>
            </w:r>
          </w:p>
        </w:tc>
        <w:tc>
          <w:tcPr>
            <w:tcW w:w="1675" w:type="dxa"/>
          </w:tcPr>
          <w:p>
            <w:pPr>
              <w:pStyle w:val="TableParagraph"/>
              <w:spacing w:before="34"/>
              <w:ind w:left="258"/>
              <w:jc w:val="left"/>
              <w:rPr>
                <w:sz w:val="21"/>
              </w:rPr>
            </w:pPr>
            <w:r>
              <w:rPr>
                <w:sz w:val="21"/>
              </w:rPr>
              <w:t>306,570,000.00</w:t>
            </w:r>
          </w:p>
        </w:tc>
        <w:tc>
          <w:tcPr>
            <w:tcW w:w="1587" w:type="dxa"/>
          </w:tcPr>
          <w:p>
            <w:pPr>
              <w:pStyle w:val="TableParagraph"/>
              <w:spacing w:before="34"/>
              <w:ind w:right="94"/>
              <w:rPr>
                <w:sz w:val="21"/>
              </w:rPr>
            </w:pPr>
            <w:r>
              <w:rPr>
                <w:sz w:val="21"/>
              </w:rPr>
              <w:t>2.95</w:t>
            </w:r>
          </w:p>
        </w:tc>
      </w:tr>
      <w:tr>
        <w:trPr>
          <w:trHeight w:val="311" w:hRule="atLeast"/>
        </w:trPr>
        <w:tc>
          <w:tcPr>
            <w:tcW w:w="1166" w:type="dxa"/>
          </w:tcPr>
          <w:p>
            <w:pPr>
              <w:pStyle w:val="TableParagraph"/>
              <w:spacing w:before="34"/>
              <w:ind w:left="9"/>
              <w:jc w:val="center"/>
              <w:rPr>
                <w:sz w:val="21"/>
              </w:rPr>
            </w:pPr>
            <w:r>
              <w:rPr>
                <w:w w:val="100"/>
                <w:sz w:val="21"/>
              </w:rPr>
              <w:t>4</w:t>
            </w:r>
          </w:p>
        </w:tc>
        <w:tc>
          <w:tcPr>
            <w:tcW w:w="1337" w:type="dxa"/>
          </w:tcPr>
          <w:p>
            <w:pPr>
              <w:pStyle w:val="TableParagraph"/>
              <w:spacing w:before="34"/>
              <w:ind w:left="218" w:right="211"/>
              <w:jc w:val="center"/>
              <w:rPr>
                <w:sz w:val="21"/>
              </w:rPr>
            </w:pPr>
            <w:r>
              <w:rPr>
                <w:sz w:val="21"/>
              </w:rPr>
              <w:t>180210</w:t>
            </w:r>
          </w:p>
        </w:tc>
        <w:tc>
          <w:tcPr>
            <w:tcW w:w="1305" w:type="dxa"/>
          </w:tcPr>
          <w:p>
            <w:pPr>
              <w:pStyle w:val="TableParagraph"/>
              <w:ind w:left="80" w:right="71"/>
              <w:jc w:val="center"/>
              <w:rPr>
                <w:sz w:val="21"/>
              </w:rPr>
            </w:pPr>
            <w:r>
              <w:rPr>
                <w:sz w:val="21"/>
              </w:rPr>
              <w:t>18 </w:t>
            </w:r>
            <w:r>
              <w:rPr>
                <w:rFonts w:ascii="宋体" w:eastAsia="宋体" w:hint="eastAsia"/>
                <w:sz w:val="21"/>
              </w:rPr>
              <w:t>国开 </w:t>
            </w:r>
            <w:r>
              <w:rPr>
                <w:sz w:val="21"/>
              </w:rPr>
              <w:t>10</w:t>
            </w:r>
          </w:p>
        </w:tc>
        <w:tc>
          <w:tcPr>
            <w:tcW w:w="1452" w:type="dxa"/>
          </w:tcPr>
          <w:p>
            <w:pPr>
              <w:pStyle w:val="TableParagraph"/>
              <w:spacing w:before="34"/>
              <w:ind w:right="92"/>
              <w:rPr>
                <w:sz w:val="21"/>
              </w:rPr>
            </w:pPr>
            <w:r>
              <w:rPr>
                <w:sz w:val="21"/>
              </w:rPr>
              <w:t>2,700,000</w:t>
            </w:r>
          </w:p>
        </w:tc>
        <w:tc>
          <w:tcPr>
            <w:tcW w:w="1675" w:type="dxa"/>
          </w:tcPr>
          <w:p>
            <w:pPr>
              <w:pStyle w:val="TableParagraph"/>
              <w:spacing w:before="34"/>
              <w:ind w:left="258"/>
              <w:jc w:val="left"/>
              <w:rPr>
                <w:sz w:val="21"/>
              </w:rPr>
            </w:pPr>
            <w:r>
              <w:rPr>
                <w:sz w:val="21"/>
              </w:rPr>
              <w:t>282,717,000.00</w:t>
            </w:r>
          </w:p>
        </w:tc>
        <w:tc>
          <w:tcPr>
            <w:tcW w:w="1587" w:type="dxa"/>
          </w:tcPr>
          <w:p>
            <w:pPr>
              <w:pStyle w:val="TableParagraph"/>
              <w:spacing w:before="34"/>
              <w:ind w:right="94"/>
              <w:rPr>
                <w:sz w:val="21"/>
              </w:rPr>
            </w:pPr>
            <w:r>
              <w:rPr>
                <w:sz w:val="21"/>
              </w:rPr>
              <w:t>2.72</w:t>
            </w:r>
          </w:p>
        </w:tc>
      </w:tr>
      <w:tr>
        <w:trPr>
          <w:trHeight w:val="311" w:hRule="atLeast"/>
        </w:trPr>
        <w:tc>
          <w:tcPr>
            <w:tcW w:w="1166" w:type="dxa"/>
          </w:tcPr>
          <w:p>
            <w:pPr>
              <w:pStyle w:val="TableParagraph"/>
              <w:spacing w:before="34"/>
              <w:ind w:left="9"/>
              <w:jc w:val="center"/>
              <w:rPr>
                <w:sz w:val="21"/>
              </w:rPr>
            </w:pPr>
            <w:r>
              <w:rPr>
                <w:w w:val="100"/>
                <w:sz w:val="21"/>
              </w:rPr>
              <w:t>5</w:t>
            </w:r>
          </w:p>
        </w:tc>
        <w:tc>
          <w:tcPr>
            <w:tcW w:w="1337" w:type="dxa"/>
          </w:tcPr>
          <w:p>
            <w:pPr>
              <w:pStyle w:val="TableParagraph"/>
              <w:spacing w:before="34"/>
              <w:ind w:left="218" w:right="211"/>
              <w:jc w:val="center"/>
              <w:rPr>
                <w:sz w:val="21"/>
              </w:rPr>
            </w:pPr>
            <w:r>
              <w:rPr>
                <w:sz w:val="21"/>
              </w:rPr>
              <w:t>108902</w:t>
            </w:r>
          </w:p>
        </w:tc>
        <w:tc>
          <w:tcPr>
            <w:tcW w:w="1305" w:type="dxa"/>
          </w:tcPr>
          <w:p>
            <w:pPr>
              <w:pStyle w:val="TableParagraph"/>
              <w:ind w:left="80" w:right="71"/>
              <w:jc w:val="center"/>
              <w:rPr>
                <w:sz w:val="21"/>
              </w:rPr>
            </w:pPr>
            <w:r>
              <w:rPr>
                <w:rFonts w:ascii="宋体" w:eastAsia="宋体" w:hint="eastAsia"/>
                <w:sz w:val="21"/>
              </w:rPr>
              <w:t>农发 </w:t>
            </w:r>
            <w:r>
              <w:rPr>
                <w:sz w:val="21"/>
              </w:rPr>
              <w:t>1802</w:t>
            </w:r>
          </w:p>
        </w:tc>
        <w:tc>
          <w:tcPr>
            <w:tcW w:w="1452" w:type="dxa"/>
          </w:tcPr>
          <w:p>
            <w:pPr>
              <w:pStyle w:val="TableParagraph"/>
              <w:spacing w:before="34"/>
              <w:ind w:right="92"/>
              <w:rPr>
                <w:sz w:val="21"/>
              </w:rPr>
            </w:pPr>
            <w:r>
              <w:rPr>
                <w:sz w:val="21"/>
              </w:rPr>
              <w:t>2,734,170</w:t>
            </w:r>
          </w:p>
        </w:tc>
        <w:tc>
          <w:tcPr>
            <w:tcW w:w="1675" w:type="dxa"/>
          </w:tcPr>
          <w:p>
            <w:pPr>
              <w:pStyle w:val="TableParagraph"/>
              <w:spacing w:before="34"/>
              <w:ind w:left="258"/>
              <w:jc w:val="left"/>
              <w:rPr>
                <w:sz w:val="21"/>
              </w:rPr>
            </w:pPr>
            <w:r>
              <w:rPr>
                <w:sz w:val="21"/>
              </w:rPr>
              <w:t>274,838,768.40</w:t>
            </w:r>
          </w:p>
        </w:tc>
        <w:tc>
          <w:tcPr>
            <w:tcW w:w="1587" w:type="dxa"/>
          </w:tcPr>
          <w:p>
            <w:pPr>
              <w:pStyle w:val="TableParagraph"/>
              <w:spacing w:before="34"/>
              <w:ind w:right="94"/>
              <w:rPr>
                <w:sz w:val="21"/>
              </w:rPr>
            </w:pPr>
            <w:r>
              <w:rPr>
                <w:sz w:val="21"/>
              </w:rPr>
              <w:t>2.65</w:t>
            </w:r>
          </w:p>
        </w:tc>
      </w:tr>
    </w:tbl>
    <w:p>
      <w:pPr>
        <w:pStyle w:val="ListParagraph"/>
        <w:numPr>
          <w:ilvl w:val="1"/>
          <w:numId w:val="26"/>
        </w:numPr>
        <w:tabs>
          <w:tab w:pos="910" w:val="left" w:leader="none"/>
        </w:tabs>
        <w:spacing w:line="417" w:lineRule="auto" w:before="99" w:after="0"/>
        <w:ind w:left="960" w:right="688" w:hanging="420"/>
        <w:jc w:val="left"/>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pPr>
        <w:spacing w:after="0" w:line="417" w:lineRule="auto"/>
        <w:jc w:val="left"/>
        <w:rPr>
          <w:rFonts w:ascii="Times New Roman" w:eastAsia="Times New Roman"/>
          <w:sz w:val="21"/>
        </w:rPr>
        <w:sectPr>
          <w:pgSz w:w="11910" w:h="16840"/>
          <w:pgMar w:header="877" w:footer="0" w:top="1420" w:bottom="280" w:left="1260" w:right="1480"/>
        </w:sectPr>
      </w:pPr>
    </w:p>
    <w:p>
      <w:pPr>
        <w:pStyle w:val="ListParagraph"/>
        <w:numPr>
          <w:ilvl w:val="1"/>
          <w:numId w:val="26"/>
        </w:numPr>
        <w:tabs>
          <w:tab w:pos="910" w:val="left" w:leader="none"/>
        </w:tabs>
        <w:spacing w:line="417" w:lineRule="auto" w:before="110" w:after="0"/>
        <w:ind w:left="960" w:right="1319" w:hanging="420"/>
        <w:jc w:val="left"/>
        <w:rPr>
          <w:rFonts w:ascii="Times New Roman" w:eastAsia="Times New Roman"/>
          <w:sz w:val="21"/>
        </w:rPr>
      </w:pPr>
      <w:r>
        <w:rPr>
          <w:spacing w:val="-3"/>
          <w:sz w:val="21"/>
        </w:rPr>
        <w:t>报告期末按公允价值占基金资产净值比例大小排序的前五名贵金属投资明细本基金本报告期末未持有贵金属。</w:t>
      </w:r>
    </w:p>
    <w:p>
      <w:pPr>
        <w:pStyle w:val="ListParagraph"/>
        <w:numPr>
          <w:ilvl w:val="1"/>
          <w:numId w:val="26"/>
        </w:numPr>
        <w:tabs>
          <w:tab w:pos="858" w:val="left" w:leader="none"/>
        </w:tabs>
        <w:spacing w:line="417" w:lineRule="auto" w:before="0" w:after="0"/>
        <w:ind w:left="960" w:right="1583" w:hanging="420"/>
        <w:jc w:val="left"/>
        <w:rPr>
          <w:rFonts w:ascii="Times New Roman" w:eastAsia="Times New Roman"/>
          <w:sz w:val="21"/>
        </w:rPr>
      </w:pPr>
      <w:r>
        <w:rPr>
          <w:spacing w:val="-3"/>
          <w:sz w:val="21"/>
        </w:rPr>
        <w:t>报告期末按公允价值占基金资产净值比例大小排序的前五名权证投资明细本基金本报告期末未持有权证。</w:t>
      </w:r>
    </w:p>
    <w:p>
      <w:pPr>
        <w:pStyle w:val="ListParagraph"/>
        <w:numPr>
          <w:ilvl w:val="1"/>
          <w:numId w:val="26"/>
        </w:numPr>
        <w:tabs>
          <w:tab w:pos="858" w:val="left" w:leader="none"/>
        </w:tabs>
        <w:spacing w:line="269" w:lineRule="exact" w:before="0" w:after="0"/>
        <w:ind w:left="857" w:right="0" w:hanging="318"/>
        <w:jc w:val="left"/>
        <w:rPr>
          <w:rFonts w:ascii="Times New Roman" w:eastAsia="Times New Roman"/>
          <w:sz w:val="21"/>
        </w:rPr>
      </w:pPr>
      <w:r>
        <w:rPr>
          <w:spacing w:val="-3"/>
          <w:sz w:val="21"/>
        </w:rPr>
        <w:t>报告期末本基金投资的股指期货交易情况说明</w:t>
      </w:r>
    </w:p>
    <w:p>
      <w:pPr>
        <w:pStyle w:val="BodyText"/>
        <w:spacing w:before="6"/>
        <w:rPr>
          <w:sz w:val="15"/>
        </w:rPr>
      </w:pPr>
    </w:p>
    <w:p>
      <w:pPr>
        <w:pStyle w:val="ListParagraph"/>
        <w:numPr>
          <w:ilvl w:val="2"/>
          <w:numId w:val="26"/>
        </w:numPr>
        <w:tabs>
          <w:tab w:pos="1014" w:val="left" w:leader="none"/>
        </w:tabs>
        <w:spacing w:line="417" w:lineRule="auto" w:before="0" w:after="0"/>
        <w:ind w:left="960" w:right="3739" w:hanging="420"/>
        <w:jc w:val="left"/>
        <w:rPr>
          <w:sz w:val="21"/>
        </w:rPr>
      </w:pPr>
      <w:r>
        <w:rPr>
          <w:spacing w:val="-3"/>
          <w:sz w:val="21"/>
        </w:rPr>
        <w:t>报告期末本基金投资的股指期货持仓和损益明细本基金本报告期末无股指期货投资。</w:t>
      </w:r>
    </w:p>
    <w:p>
      <w:pPr>
        <w:pStyle w:val="ListParagraph"/>
        <w:numPr>
          <w:ilvl w:val="2"/>
          <w:numId w:val="26"/>
        </w:numPr>
        <w:tabs>
          <w:tab w:pos="1014" w:val="left" w:leader="none"/>
        </w:tabs>
        <w:spacing w:line="240" w:lineRule="auto" w:before="0" w:after="0"/>
        <w:ind w:left="1013" w:right="0" w:hanging="474"/>
        <w:jc w:val="left"/>
        <w:rPr>
          <w:sz w:val="21"/>
        </w:rPr>
      </w:pPr>
      <w:r>
        <w:rPr>
          <w:spacing w:val="-3"/>
          <w:sz w:val="21"/>
        </w:rPr>
        <w:t>本基金投资股指期货的投资政策</w:t>
      </w:r>
    </w:p>
    <w:p>
      <w:pPr>
        <w:pStyle w:val="BodyText"/>
        <w:spacing w:before="7"/>
        <w:rPr>
          <w:sz w:val="15"/>
        </w:rPr>
      </w:pPr>
    </w:p>
    <w:p>
      <w:pPr>
        <w:pStyle w:val="BodyText"/>
        <w:ind w:left="960"/>
      </w:pPr>
      <w:r>
        <w:rPr/>
        <w:t>本基金本报告期末无股指期货投资。</w:t>
      </w:r>
    </w:p>
    <w:p>
      <w:pPr>
        <w:pStyle w:val="BodyText"/>
        <w:spacing w:before="7"/>
        <w:rPr>
          <w:sz w:val="15"/>
        </w:rPr>
      </w:pPr>
    </w:p>
    <w:p>
      <w:pPr>
        <w:pStyle w:val="ListParagraph"/>
        <w:numPr>
          <w:ilvl w:val="1"/>
          <w:numId w:val="26"/>
        </w:numPr>
        <w:tabs>
          <w:tab w:pos="963" w:val="left" w:leader="none"/>
        </w:tabs>
        <w:spacing w:line="240" w:lineRule="auto" w:before="0" w:after="0"/>
        <w:ind w:left="962" w:right="0" w:hanging="423"/>
        <w:jc w:val="left"/>
        <w:rPr>
          <w:rFonts w:ascii="Times New Roman" w:eastAsia="Times New Roman"/>
          <w:sz w:val="21"/>
        </w:rPr>
      </w:pPr>
      <w:r>
        <w:rPr>
          <w:spacing w:val="-3"/>
          <w:sz w:val="21"/>
        </w:rPr>
        <w:t>报告期末本基金投资的国债期货交易情况说明</w:t>
      </w:r>
    </w:p>
    <w:p>
      <w:pPr>
        <w:pStyle w:val="BodyText"/>
        <w:spacing w:before="6"/>
        <w:rPr>
          <w:sz w:val="15"/>
        </w:rPr>
      </w:pPr>
    </w:p>
    <w:p>
      <w:pPr>
        <w:pStyle w:val="ListParagraph"/>
        <w:numPr>
          <w:ilvl w:val="2"/>
          <w:numId w:val="26"/>
        </w:numPr>
        <w:tabs>
          <w:tab w:pos="1172" w:val="left" w:leader="none"/>
        </w:tabs>
        <w:spacing w:line="240" w:lineRule="auto" w:before="1" w:after="0"/>
        <w:ind w:left="1171" w:right="0" w:hanging="632"/>
        <w:jc w:val="left"/>
        <w:rPr>
          <w:sz w:val="21"/>
        </w:rPr>
      </w:pPr>
      <w:r>
        <w:rPr>
          <w:spacing w:val="-3"/>
          <w:sz w:val="21"/>
        </w:rPr>
        <w:t>本期国债期货投资政策</w:t>
      </w:r>
    </w:p>
    <w:p>
      <w:pPr>
        <w:pStyle w:val="BodyText"/>
        <w:spacing w:before="6"/>
        <w:rPr>
          <w:sz w:val="15"/>
        </w:rPr>
      </w:pPr>
    </w:p>
    <w:p>
      <w:pPr>
        <w:pStyle w:val="BodyText"/>
        <w:ind w:left="960"/>
      </w:pPr>
      <w:r>
        <w:rPr>
          <w:spacing w:val="-3"/>
        </w:rPr>
        <w:t>本基金本报告期末无国债期货投资。</w:t>
      </w:r>
    </w:p>
    <w:p>
      <w:pPr>
        <w:pStyle w:val="BodyText"/>
        <w:spacing w:before="7"/>
        <w:rPr>
          <w:sz w:val="15"/>
        </w:rPr>
      </w:pPr>
    </w:p>
    <w:p>
      <w:pPr>
        <w:pStyle w:val="ListParagraph"/>
        <w:numPr>
          <w:ilvl w:val="2"/>
          <w:numId w:val="26"/>
        </w:numPr>
        <w:tabs>
          <w:tab w:pos="1172" w:val="left" w:leader="none"/>
        </w:tabs>
        <w:spacing w:line="417" w:lineRule="auto" w:before="0" w:after="0"/>
        <w:ind w:left="960" w:right="3578" w:hanging="420"/>
        <w:jc w:val="left"/>
        <w:rPr>
          <w:sz w:val="21"/>
        </w:rPr>
      </w:pPr>
      <w:r>
        <w:rPr>
          <w:spacing w:val="-4"/>
          <w:sz w:val="21"/>
        </w:rPr>
        <w:t>报告期末本基金投资的国债期货持仓和损益明细</w:t>
      </w:r>
      <w:r>
        <w:rPr>
          <w:spacing w:val="-3"/>
          <w:sz w:val="21"/>
        </w:rPr>
        <w:t>本基金本报告期末无国债期货投资。</w:t>
      </w:r>
    </w:p>
    <w:p>
      <w:pPr>
        <w:pStyle w:val="ListParagraph"/>
        <w:numPr>
          <w:ilvl w:val="2"/>
          <w:numId w:val="26"/>
        </w:numPr>
        <w:tabs>
          <w:tab w:pos="1172" w:val="left" w:leader="none"/>
        </w:tabs>
        <w:spacing w:line="240" w:lineRule="auto" w:before="0" w:after="0"/>
        <w:ind w:left="1171" w:right="0" w:hanging="632"/>
        <w:jc w:val="left"/>
        <w:rPr>
          <w:sz w:val="21"/>
        </w:rPr>
      </w:pPr>
      <w:r>
        <w:rPr>
          <w:spacing w:val="-3"/>
          <w:sz w:val="21"/>
        </w:rPr>
        <w:t>本期国债期货投资评价</w:t>
      </w:r>
    </w:p>
    <w:p>
      <w:pPr>
        <w:pStyle w:val="BodyText"/>
        <w:spacing w:before="7"/>
        <w:rPr>
          <w:sz w:val="15"/>
        </w:rPr>
      </w:pPr>
    </w:p>
    <w:p>
      <w:pPr>
        <w:pStyle w:val="BodyText"/>
        <w:ind w:left="960"/>
      </w:pPr>
      <w:r>
        <w:rPr>
          <w:spacing w:val="-3"/>
        </w:rPr>
        <w:t>本基金本报告期末无国债期货投资。</w:t>
      </w:r>
    </w:p>
    <w:p>
      <w:pPr>
        <w:pStyle w:val="BodyText"/>
        <w:spacing w:before="6"/>
        <w:rPr>
          <w:sz w:val="15"/>
        </w:rPr>
      </w:pPr>
    </w:p>
    <w:p>
      <w:pPr>
        <w:pStyle w:val="ListParagraph"/>
        <w:numPr>
          <w:ilvl w:val="1"/>
          <w:numId w:val="26"/>
        </w:numPr>
        <w:tabs>
          <w:tab w:pos="954" w:val="left" w:leader="none"/>
        </w:tabs>
        <w:spacing w:line="240" w:lineRule="auto" w:before="1" w:after="0"/>
        <w:ind w:left="953" w:right="0" w:hanging="414"/>
        <w:jc w:val="left"/>
        <w:rPr>
          <w:rFonts w:ascii="Times New Roman" w:eastAsia="Times New Roman"/>
          <w:sz w:val="21"/>
        </w:rPr>
      </w:pPr>
      <w:r>
        <w:rPr>
          <w:spacing w:val="-3"/>
          <w:sz w:val="21"/>
        </w:rPr>
        <w:t>投资组合报告附注</w:t>
      </w:r>
    </w:p>
    <w:p>
      <w:pPr>
        <w:pStyle w:val="BodyText"/>
        <w:spacing w:before="6"/>
        <w:rPr>
          <w:sz w:val="15"/>
        </w:rPr>
      </w:pPr>
    </w:p>
    <w:p>
      <w:pPr>
        <w:pStyle w:val="ListParagraph"/>
        <w:numPr>
          <w:ilvl w:val="2"/>
          <w:numId w:val="26"/>
        </w:numPr>
        <w:tabs>
          <w:tab w:pos="1119" w:val="left" w:leader="none"/>
        </w:tabs>
        <w:spacing w:line="417" w:lineRule="auto" w:before="0" w:after="0"/>
        <w:ind w:left="540" w:right="210" w:firstLine="0"/>
        <w:jc w:val="left"/>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26"/>
        </w:numPr>
        <w:tabs>
          <w:tab w:pos="1119" w:val="left" w:leader="none"/>
        </w:tabs>
        <w:spacing w:line="269" w:lineRule="exact" w:before="0" w:after="0"/>
        <w:ind w:left="1118" w:right="0" w:hanging="579"/>
        <w:jc w:val="left"/>
        <w:rPr>
          <w:sz w:val="21"/>
        </w:rPr>
      </w:pPr>
      <w:r>
        <w:rPr>
          <w:spacing w:val="-3"/>
          <w:sz w:val="21"/>
        </w:rPr>
        <w:t>基金投资的前十名股票未超出基金合同规定的备选股票库。</w:t>
      </w:r>
    </w:p>
    <w:p>
      <w:pPr>
        <w:pStyle w:val="BodyText"/>
        <w:spacing w:before="8"/>
        <w:rPr>
          <w:sz w:val="15"/>
        </w:rPr>
      </w:pPr>
    </w:p>
    <w:p>
      <w:pPr>
        <w:pStyle w:val="ListParagraph"/>
        <w:numPr>
          <w:ilvl w:val="2"/>
          <w:numId w:val="26"/>
        </w:numPr>
        <w:tabs>
          <w:tab w:pos="1112" w:val="left" w:leader="none"/>
        </w:tabs>
        <w:spacing w:line="240" w:lineRule="auto" w:before="0" w:after="0"/>
        <w:ind w:left="1111" w:right="0" w:hanging="572"/>
        <w:jc w:val="left"/>
        <w:rPr>
          <w:sz w:val="21"/>
        </w:rPr>
      </w:pPr>
      <w:r>
        <w:rPr>
          <w:spacing w:val="-3"/>
          <w:sz w:val="21"/>
        </w:rPr>
        <w:t>其他资产构成</w:t>
      </w:r>
    </w:p>
    <w:p>
      <w:pPr>
        <w:pStyle w:val="BodyText"/>
        <w:spacing w:before="9"/>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30"/>
              <w:ind w:left="403" w:right="377"/>
              <w:jc w:val="center"/>
              <w:rPr>
                <w:rFonts w:ascii="宋体" w:eastAsia="宋体" w:hint="eastAsia"/>
                <w:sz w:val="21"/>
              </w:rPr>
            </w:pPr>
            <w:r>
              <w:rPr>
                <w:rFonts w:ascii="宋体" w:eastAsia="宋体" w:hint="eastAsia"/>
                <w:sz w:val="21"/>
              </w:rPr>
              <w:t>序号</w:t>
            </w:r>
          </w:p>
        </w:tc>
        <w:tc>
          <w:tcPr>
            <w:tcW w:w="2376" w:type="dxa"/>
          </w:tcPr>
          <w:p>
            <w:pPr>
              <w:pStyle w:val="TableParagraph"/>
              <w:spacing w:before="130"/>
              <w:ind w:left="968" w:right="938"/>
              <w:jc w:val="center"/>
              <w:rPr>
                <w:rFonts w:ascii="宋体" w:eastAsia="宋体" w:hint="eastAsia"/>
                <w:sz w:val="21"/>
              </w:rPr>
            </w:pPr>
            <w:r>
              <w:rPr>
                <w:rFonts w:ascii="宋体" w:eastAsia="宋体" w:hint="eastAsia"/>
                <w:sz w:val="21"/>
              </w:rPr>
              <w:t>名称</w:t>
            </w:r>
          </w:p>
        </w:tc>
        <w:tc>
          <w:tcPr>
            <w:tcW w:w="4788" w:type="dxa"/>
          </w:tcPr>
          <w:p>
            <w:pPr>
              <w:pStyle w:val="TableParagraph"/>
              <w:spacing w:before="130"/>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1250" w:type="dxa"/>
          </w:tcPr>
          <w:p>
            <w:pPr>
              <w:pStyle w:val="TableParagraph"/>
              <w:spacing w:before="142"/>
              <w:ind w:left="21"/>
              <w:jc w:val="center"/>
              <w:rPr>
                <w:sz w:val="21"/>
              </w:rPr>
            </w:pPr>
            <w:r>
              <w:rPr>
                <w:w w:val="100"/>
                <w:sz w:val="21"/>
              </w:rPr>
              <w:t>1</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存出保证金</w:t>
            </w:r>
          </w:p>
        </w:tc>
        <w:tc>
          <w:tcPr>
            <w:tcW w:w="4788" w:type="dxa"/>
          </w:tcPr>
          <w:p>
            <w:pPr>
              <w:pStyle w:val="TableParagraph"/>
              <w:spacing w:before="142"/>
              <w:ind w:right="91"/>
              <w:rPr>
                <w:sz w:val="21"/>
              </w:rPr>
            </w:pPr>
            <w:r>
              <w:rPr>
                <w:sz w:val="21"/>
              </w:rPr>
              <w:t>29,714.14</w:t>
            </w:r>
          </w:p>
        </w:tc>
      </w:tr>
      <w:tr>
        <w:trPr>
          <w:trHeight w:val="498" w:hRule="atLeast"/>
        </w:trPr>
        <w:tc>
          <w:tcPr>
            <w:tcW w:w="1250" w:type="dxa"/>
          </w:tcPr>
          <w:p>
            <w:pPr>
              <w:pStyle w:val="TableParagraph"/>
              <w:spacing w:before="144"/>
              <w:ind w:left="21"/>
              <w:jc w:val="center"/>
              <w:rPr>
                <w:sz w:val="21"/>
              </w:rPr>
            </w:pPr>
            <w:r>
              <w:rPr>
                <w:w w:val="100"/>
                <w:sz w:val="21"/>
              </w:rPr>
              <w:t>2</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应收证券清算款</w:t>
            </w:r>
          </w:p>
        </w:tc>
        <w:tc>
          <w:tcPr>
            <w:tcW w:w="4788" w:type="dxa"/>
          </w:tcPr>
          <w:p>
            <w:pPr>
              <w:pStyle w:val="TableParagraph"/>
              <w:spacing w:before="144"/>
              <w:ind w:right="91"/>
              <w:rPr>
                <w:sz w:val="21"/>
              </w:rPr>
            </w:pPr>
            <w:r>
              <w:rPr>
                <w:sz w:val="21"/>
              </w:rPr>
              <w:t>83,347,715.31</w:t>
            </w:r>
          </w:p>
        </w:tc>
      </w:tr>
      <w:tr>
        <w:trPr>
          <w:trHeight w:val="496" w:hRule="atLeast"/>
        </w:trPr>
        <w:tc>
          <w:tcPr>
            <w:tcW w:w="1250" w:type="dxa"/>
          </w:tcPr>
          <w:p>
            <w:pPr>
              <w:pStyle w:val="TableParagraph"/>
              <w:spacing w:before="142"/>
              <w:ind w:left="21"/>
              <w:jc w:val="center"/>
              <w:rPr>
                <w:sz w:val="21"/>
              </w:rPr>
            </w:pPr>
            <w:r>
              <w:rPr>
                <w:w w:val="100"/>
                <w:sz w:val="21"/>
              </w:rPr>
              <w:t>3</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应收股利</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4</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应收利息</w:t>
            </w:r>
          </w:p>
        </w:tc>
        <w:tc>
          <w:tcPr>
            <w:tcW w:w="4788" w:type="dxa"/>
          </w:tcPr>
          <w:p>
            <w:pPr>
              <w:pStyle w:val="TableParagraph"/>
              <w:spacing w:before="142"/>
              <w:ind w:right="92"/>
              <w:rPr>
                <w:sz w:val="21"/>
              </w:rPr>
            </w:pPr>
            <w:r>
              <w:rPr>
                <w:sz w:val="21"/>
              </w:rPr>
              <w:t>228,177,079.16</w:t>
            </w:r>
          </w:p>
        </w:tc>
      </w:tr>
      <w:tr>
        <w:trPr>
          <w:trHeight w:val="496" w:hRule="atLeast"/>
        </w:trPr>
        <w:tc>
          <w:tcPr>
            <w:tcW w:w="1250" w:type="dxa"/>
          </w:tcPr>
          <w:p>
            <w:pPr>
              <w:pStyle w:val="TableParagraph"/>
              <w:spacing w:before="142"/>
              <w:ind w:left="21"/>
              <w:jc w:val="center"/>
              <w:rPr>
                <w:sz w:val="21"/>
              </w:rPr>
            </w:pPr>
            <w:r>
              <w:rPr>
                <w:w w:val="100"/>
                <w:sz w:val="21"/>
              </w:rPr>
              <w:t>5</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应收申购款</w:t>
            </w:r>
          </w:p>
        </w:tc>
        <w:tc>
          <w:tcPr>
            <w:tcW w:w="4788" w:type="dxa"/>
          </w:tcPr>
          <w:p>
            <w:pPr>
              <w:pStyle w:val="TableParagraph"/>
              <w:spacing w:before="142"/>
              <w:ind w:right="91"/>
              <w:rPr>
                <w:sz w:val="21"/>
              </w:rPr>
            </w:pPr>
            <w:r>
              <w:rPr>
                <w:sz w:val="21"/>
              </w:rPr>
              <w:t>14,583,885.15</w:t>
            </w:r>
          </w:p>
        </w:tc>
      </w:tr>
      <w:tr>
        <w:trPr>
          <w:trHeight w:val="498" w:hRule="atLeast"/>
        </w:trPr>
        <w:tc>
          <w:tcPr>
            <w:tcW w:w="1250" w:type="dxa"/>
          </w:tcPr>
          <w:p>
            <w:pPr>
              <w:pStyle w:val="TableParagraph"/>
              <w:spacing w:before="144"/>
              <w:ind w:left="21"/>
              <w:jc w:val="center"/>
              <w:rPr>
                <w:sz w:val="21"/>
              </w:rPr>
            </w:pPr>
            <w:r>
              <w:rPr>
                <w:w w:val="100"/>
                <w:sz w:val="21"/>
              </w:rPr>
              <w:t>6</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其他应收款</w:t>
            </w:r>
          </w:p>
        </w:tc>
        <w:tc>
          <w:tcPr>
            <w:tcW w:w="4788" w:type="dxa"/>
          </w:tcPr>
          <w:p>
            <w:pPr>
              <w:pStyle w:val="TableParagraph"/>
              <w:spacing w:before="144"/>
              <w:ind w:right="93"/>
              <w:rPr>
                <w:sz w:val="21"/>
              </w:rPr>
            </w:pPr>
            <w:r>
              <w:rPr>
                <w:w w:val="100"/>
                <w:sz w:val="21"/>
              </w:rPr>
              <w:t>-</w:t>
            </w:r>
          </w:p>
        </w:tc>
      </w:tr>
    </w:tbl>
    <w:p>
      <w:pPr>
        <w:spacing w:after="0"/>
        <w:rPr>
          <w:sz w:val="21"/>
        </w:rPr>
        <w:sectPr>
          <w:pgSz w:w="11910" w:h="16840"/>
          <w:pgMar w:header="877" w:footer="0" w:top="1420" w:bottom="280" w:left="1260" w:right="1480"/>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42"/>
              <w:ind w:left="21"/>
              <w:jc w:val="center"/>
              <w:rPr>
                <w:sz w:val="21"/>
              </w:rPr>
            </w:pPr>
            <w:r>
              <w:rPr>
                <w:w w:val="100"/>
                <w:sz w:val="21"/>
              </w:rPr>
              <w:t>7</w:t>
            </w:r>
          </w:p>
        </w:tc>
        <w:tc>
          <w:tcPr>
            <w:tcW w:w="2376" w:type="dxa"/>
          </w:tcPr>
          <w:p>
            <w:pPr>
              <w:pStyle w:val="TableParagraph"/>
              <w:spacing w:before="131"/>
              <w:ind w:left="122"/>
              <w:jc w:val="left"/>
              <w:rPr>
                <w:rFonts w:ascii="宋体" w:eastAsia="宋体" w:hint="eastAsia"/>
                <w:sz w:val="21"/>
              </w:rPr>
            </w:pPr>
            <w:r>
              <w:rPr>
                <w:rFonts w:ascii="宋体" w:eastAsia="宋体" w:hint="eastAsia"/>
                <w:sz w:val="21"/>
              </w:rPr>
              <w:t>待摊费用</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8</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其他</w:t>
            </w:r>
          </w:p>
        </w:tc>
        <w:tc>
          <w:tcPr>
            <w:tcW w:w="4788" w:type="dxa"/>
          </w:tcPr>
          <w:p>
            <w:pPr>
              <w:pStyle w:val="TableParagraph"/>
              <w:spacing w:before="142"/>
              <w:ind w:right="93"/>
              <w:rPr>
                <w:sz w:val="21"/>
              </w:rPr>
            </w:pPr>
            <w:r>
              <w:rPr>
                <w:w w:val="100"/>
                <w:sz w:val="21"/>
              </w:rPr>
              <w:t>-</w:t>
            </w:r>
          </w:p>
        </w:tc>
      </w:tr>
      <w:tr>
        <w:trPr>
          <w:trHeight w:val="498" w:hRule="atLeast"/>
        </w:trPr>
        <w:tc>
          <w:tcPr>
            <w:tcW w:w="1250" w:type="dxa"/>
          </w:tcPr>
          <w:p>
            <w:pPr>
              <w:pStyle w:val="TableParagraph"/>
              <w:spacing w:before="144"/>
              <w:ind w:left="21"/>
              <w:jc w:val="center"/>
              <w:rPr>
                <w:sz w:val="21"/>
              </w:rPr>
            </w:pPr>
            <w:r>
              <w:rPr>
                <w:w w:val="100"/>
                <w:sz w:val="21"/>
              </w:rPr>
              <w:t>9</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合计</w:t>
            </w:r>
          </w:p>
        </w:tc>
        <w:tc>
          <w:tcPr>
            <w:tcW w:w="4788" w:type="dxa"/>
          </w:tcPr>
          <w:p>
            <w:pPr>
              <w:pStyle w:val="TableParagraph"/>
              <w:spacing w:before="144"/>
              <w:ind w:right="92"/>
              <w:rPr>
                <w:sz w:val="21"/>
              </w:rPr>
            </w:pPr>
            <w:r>
              <w:rPr>
                <w:sz w:val="21"/>
              </w:rPr>
              <w:t>326,138,393.76</w:t>
            </w:r>
          </w:p>
        </w:tc>
      </w:tr>
    </w:tbl>
    <w:p>
      <w:pPr>
        <w:pStyle w:val="ListParagraph"/>
        <w:numPr>
          <w:ilvl w:val="2"/>
          <w:numId w:val="26"/>
        </w:numPr>
        <w:tabs>
          <w:tab w:pos="1112" w:val="left" w:leader="none"/>
        </w:tabs>
        <w:spacing w:line="240" w:lineRule="auto" w:before="109" w:after="0"/>
        <w:ind w:left="1111" w:right="0" w:hanging="572"/>
        <w:jc w:val="left"/>
        <w:rPr>
          <w:sz w:val="21"/>
        </w:rPr>
      </w:pPr>
      <w:r>
        <w:rPr>
          <w:spacing w:val="-3"/>
          <w:sz w:val="21"/>
        </w:rPr>
        <w:t>报告期末持有的处于转股期的可转换债券明细</w:t>
      </w:r>
    </w:p>
    <w:p>
      <w:pPr>
        <w:pStyle w:val="BodyText"/>
        <w:spacing w:before="7"/>
        <w:rPr>
          <w:sz w:val="15"/>
        </w:rPr>
      </w:pPr>
    </w:p>
    <w:p>
      <w:pPr>
        <w:pStyle w:val="BodyText"/>
        <w:ind w:left="960"/>
      </w:pPr>
      <w:r>
        <w:rPr/>
        <w:t>本基金本报告期末未持有处于转股期的可转换债券。</w:t>
      </w:r>
    </w:p>
    <w:p>
      <w:pPr>
        <w:pStyle w:val="BodyText"/>
        <w:spacing w:before="7"/>
        <w:rPr>
          <w:sz w:val="15"/>
        </w:rPr>
      </w:pPr>
    </w:p>
    <w:p>
      <w:pPr>
        <w:pStyle w:val="ListParagraph"/>
        <w:numPr>
          <w:ilvl w:val="2"/>
          <w:numId w:val="26"/>
        </w:numPr>
        <w:tabs>
          <w:tab w:pos="1112" w:val="left" w:leader="none"/>
        </w:tabs>
        <w:spacing w:line="417" w:lineRule="auto" w:before="0" w:after="0"/>
        <w:ind w:left="960" w:right="3640" w:hanging="420"/>
        <w:jc w:val="left"/>
        <w:rPr>
          <w:sz w:val="21"/>
        </w:rPr>
      </w:pPr>
      <w:r>
        <w:rPr>
          <w:spacing w:val="-3"/>
          <w:sz w:val="21"/>
        </w:rPr>
        <w:t>报告期末前十名股票中存在流通受限情况的说明本基金本报告期末未持有股票。</w:t>
      </w:r>
    </w:p>
    <w:p>
      <w:pPr>
        <w:pStyle w:val="ListParagraph"/>
        <w:numPr>
          <w:ilvl w:val="2"/>
          <w:numId w:val="26"/>
        </w:numPr>
        <w:tabs>
          <w:tab w:pos="1112" w:val="left" w:leader="none"/>
        </w:tabs>
        <w:spacing w:line="240" w:lineRule="auto" w:before="0" w:after="0"/>
        <w:ind w:left="1111" w:right="0" w:hanging="572"/>
        <w:jc w:val="left"/>
        <w:rPr>
          <w:sz w:val="21"/>
        </w:rPr>
      </w:pPr>
      <w:r>
        <w:rPr>
          <w:spacing w:val="-3"/>
          <w:sz w:val="21"/>
        </w:rPr>
        <w:t>投资组合报告附注的其他文字描述部分</w:t>
      </w:r>
    </w:p>
    <w:p>
      <w:pPr>
        <w:pStyle w:val="BodyText"/>
        <w:spacing w:before="7"/>
        <w:rPr>
          <w:sz w:val="15"/>
        </w:rPr>
      </w:pPr>
    </w:p>
    <w:p>
      <w:pPr>
        <w:pStyle w:val="BodyText"/>
        <w:ind w:left="960"/>
      </w:pPr>
      <w:r>
        <w:rPr/>
        <w:t>由于四舍五入的原因，分项之和与合计项之间可能存在尾差。</w:t>
      </w:r>
    </w:p>
    <w:p>
      <w:pPr>
        <w:pStyle w:val="BodyText"/>
        <w:rPr>
          <w:sz w:val="20"/>
        </w:rPr>
      </w:pPr>
    </w:p>
    <w:p>
      <w:pPr>
        <w:pStyle w:val="BodyText"/>
        <w:spacing w:before="8"/>
        <w:rPr>
          <w:sz w:val="20"/>
        </w:rPr>
      </w:pPr>
    </w:p>
    <w:p>
      <w:pPr>
        <w:pStyle w:val="Heading1"/>
      </w:pPr>
      <w:r>
        <w:rPr/>
        <w:t>十、基金的业绩</w:t>
      </w:r>
    </w:p>
    <w:p>
      <w:pPr>
        <w:pStyle w:val="BodyText"/>
        <w:rPr>
          <w:b/>
          <w:sz w:val="20"/>
        </w:rPr>
      </w:pPr>
    </w:p>
    <w:p>
      <w:pPr>
        <w:pStyle w:val="BodyText"/>
        <w:spacing w:before="9"/>
        <w:rPr>
          <w:b/>
          <w:sz w:val="19"/>
        </w:rPr>
      </w:pPr>
    </w:p>
    <w:p>
      <w:pPr>
        <w:pStyle w:val="BodyText"/>
        <w:spacing w:line="417" w:lineRule="auto"/>
        <w:ind w:left="540" w:right="31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540" w:right="311" w:firstLine="419"/>
      </w:pPr>
      <w:r>
        <w:rPr>
          <w:spacing w:val="-7"/>
        </w:rPr>
        <w:t>下述基金业绩指标不包括持有人认购或交易基金的各项费用，计入费用后实际收益水平</w:t>
      </w:r>
      <w:r>
        <w:rPr>
          <w:spacing w:val="-5"/>
        </w:rPr>
        <w:t>要低于所列数字。</w:t>
      </w:r>
    </w:p>
    <w:p>
      <w:pPr>
        <w:pStyle w:val="BodyText"/>
        <w:spacing w:line="269" w:lineRule="exact"/>
        <w:ind w:left="960"/>
      </w:pPr>
      <w:r>
        <w:rPr>
          <w:spacing w:val="6"/>
        </w:rPr>
        <w:t>华夏鼎茂债券</w:t>
      </w:r>
      <w:r>
        <w:rPr>
          <w:rFonts w:ascii="Times New Roman" w:eastAsia="Times New Roman"/>
        </w:rPr>
        <w:t>A</w:t>
      </w:r>
      <w:r>
        <w:rPr/>
        <w:t>：</w:t>
      </w:r>
    </w:p>
    <w:p>
      <w:pPr>
        <w:pStyle w:val="BodyText"/>
        <w:spacing w:before="9"/>
        <w:rPr>
          <w:sz w:val="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136"/>
        <w:gridCol w:w="1275"/>
        <w:gridCol w:w="1275"/>
        <w:gridCol w:w="1277"/>
        <w:gridCol w:w="992"/>
        <w:gridCol w:w="886"/>
      </w:tblGrid>
      <w:tr>
        <w:trPr>
          <w:trHeight w:val="935" w:hRule="atLeast"/>
        </w:trPr>
        <w:tc>
          <w:tcPr>
            <w:tcW w:w="1987" w:type="dxa"/>
          </w:tcPr>
          <w:p>
            <w:pPr>
              <w:pStyle w:val="TableParagraph"/>
              <w:spacing w:before="1"/>
              <w:jc w:val="left"/>
              <w:rPr>
                <w:rFonts w:ascii="宋体"/>
                <w:sz w:val="26"/>
              </w:rPr>
            </w:pPr>
          </w:p>
          <w:p>
            <w:pPr>
              <w:pStyle w:val="TableParagraph"/>
              <w:spacing w:before="0"/>
              <w:ind w:left="763" w:right="754"/>
              <w:jc w:val="center"/>
              <w:rPr>
                <w:rFonts w:ascii="宋体" w:eastAsia="宋体" w:hint="eastAsia"/>
                <w:sz w:val="21"/>
              </w:rPr>
            </w:pPr>
            <w:r>
              <w:rPr>
                <w:rFonts w:ascii="宋体" w:eastAsia="宋体" w:hint="eastAsia"/>
                <w:sz w:val="21"/>
              </w:rPr>
              <w:t>阶段</w:t>
            </w:r>
          </w:p>
        </w:tc>
        <w:tc>
          <w:tcPr>
            <w:tcW w:w="1136" w:type="dxa"/>
          </w:tcPr>
          <w:p>
            <w:pPr>
              <w:pStyle w:val="TableParagraph"/>
              <w:spacing w:line="278" w:lineRule="auto" w:before="178"/>
              <w:ind w:left="146" w:right="134" w:firstLine="208"/>
              <w:jc w:val="left"/>
              <w:rPr>
                <w:rFonts w:ascii="宋体" w:hAnsi="宋体" w:eastAsia="宋体" w:hint="eastAsia"/>
                <w:sz w:val="21"/>
              </w:rPr>
            </w:pPr>
            <w:r>
              <w:rPr>
                <w:rFonts w:ascii="宋体" w:hAnsi="宋体" w:eastAsia="宋体" w:hint="eastAsia"/>
                <w:sz w:val="21"/>
              </w:rPr>
              <w:t>净 值 增长率①</w:t>
            </w:r>
          </w:p>
        </w:tc>
        <w:tc>
          <w:tcPr>
            <w:tcW w:w="1275" w:type="dxa"/>
          </w:tcPr>
          <w:p>
            <w:pPr>
              <w:pStyle w:val="TableParagraph"/>
              <w:spacing w:line="278" w:lineRule="auto" w:before="178"/>
              <w:ind w:left="213" w:right="101" w:hanging="106"/>
              <w:jc w:val="left"/>
              <w:rPr>
                <w:rFonts w:ascii="宋体" w:hAnsi="宋体" w:eastAsia="宋体" w:hint="eastAsia"/>
                <w:sz w:val="21"/>
              </w:rPr>
            </w:pPr>
            <w:r>
              <w:rPr>
                <w:rFonts w:ascii="宋体" w:hAnsi="宋体" w:eastAsia="宋体" w:hint="eastAsia"/>
                <w:sz w:val="21"/>
              </w:rPr>
              <w:t>净值增长率标准差②</w:t>
            </w:r>
          </w:p>
        </w:tc>
        <w:tc>
          <w:tcPr>
            <w:tcW w:w="1275" w:type="dxa"/>
          </w:tcPr>
          <w:p>
            <w:pPr>
              <w:pStyle w:val="TableParagraph"/>
              <w:spacing w:line="278" w:lineRule="auto" w:before="178"/>
              <w:ind w:left="111" w:right="97"/>
              <w:jc w:val="left"/>
              <w:rPr>
                <w:rFonts w:ascii="宋体" w:hAnsi="宋体" w:eastAsia="宋体" w:hint="eastAsia"/>
                <w:sz w:val="21"/>
              </w:rPr>
            </w:pPr>
            <w:r>
              <w:rPr>
                <w:rFonts w:ascii="宋体" w:hAnsi="宋体" w:eastAsia="宋体" w:hint="eastAsia"/>
                <w:sz w:val="21"/>
              </w:rPr>
              <w:t>业绩比较基准收益率③</w:t>
            </w:r>
          </w:p>
        </w:tc>
        <w:tc>
          <w:tcPr>
            <w:tcW w:w="1277" w:type="dxa"/>
          </w:tcPr>
          <w:p>
            <w:pPr>
              <w:pStyle w:val="TableParagraph"/>
              <w:spacing w:line="278" w:lineRule="auto"/>
              <w:ind w:left="111" w:right="99"/>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106" w:right="99"/>
              <w:jc w:val="center"/>
              <w:rPr>
                <w:rFonts w:ascii="宋体" w:hAnsi="宋体" w:eastAsia="宋体" w:hint="eastAsia"/>
                <w:sz w:val="21"/>
              </w:rPr>
            </w:pPr>
            <w:r>
              <w:rPr>
                <w:rFonts w:ascii="宋体" w:hAnsi="宋体" w:eastAsia="宋体" w:hint="eastAsia"/>
                <w:sz w:val="21"/>
              </w:rPr>
              <w:t>准差④</w:t>
            </w:r>
          </w:p>
        </w:tc>
        <w:tc>
          <w:tcPr>
            <w:tcW w:w="992" w:type="dxa"/>
          </w:tcPr>
          <w:p>
            <w:pPr>
              <w:pStyle w:val="TableParagraph"/>
              <w:spacing w:before="1"/>
              <w:jc w:val="left"/>
              <w:rPr>
                <w:rFonts w:ascii="宋体"/>
                <w:sz w:val="26"/>
              </w:rPr>
            </w:pPr>
          </w:p>
          <w:p>
            <w:pPr>
              <w:pStyle w:val="TableParagraph"/>
              <w:spacing w:before="0"/>
              <w:ind w:left="178"/>
              <w:jc w:val="left"/>
              <w:rPr>
                <w:rFonts w:ascii="宋体" w:hAnsi="宋体" w:eastAsia="宋体" w:hint="eastAsia"/>
                <w:sz w:val="21"/>
              </w:rPr>
            </w:pPr>
            <w:r>
              <w:rPr>
                <w:rFonts w:ascii="宋体" w:hAnsi="宋体" w:eastAsia="宋体" w:hint="eastAsia"/>
                <w:sz w:val="21"/>
              </w:rPr>
              <w:t>①－③</w:t>
            </w:r>
          </w:p>
        </w:tc>
        <w:tc>
          <w:tcPr>
            <w:tcW w:w="886" w:type="dxa"/>
          </w:tcPr>
          <w:p>
            <w:pPr>
              <w:pStyle w:val="TableParagraph"/>
              <w:spacing w:before="1"/>
              <w:jc w:val="left"/>
              <w:rPr>
                <w:rFonts w:ascii="宋体"/>
                <w:sz w:val="26"/>
              </w:rPr>
            </w:pPr>
          </w:p>
          <w:p>
            <w:pPr>
              <w:pStyle w:val="TableParagraph"/>
              <w:spacing w:before="0"/>
              <w:ind w:right="117"/>
              <w:rPr>
                <w:rFonts w:ascii="宋体" w:hAnsi="宋体" w:eastAsia="宋体" w:hint="eastAsia"/>
                <w:sz w:val="21"/>
              </w:rPr>
            </w:pPr>
            <w:r>
              <w:rPr>
                <w:rFonts w:ascii="宋体" w:hAnsi="宋体" w:eastAsia="宋体" w:hint="eastAsia"/>
                <w:sz w:val="21"/>
              </w:rPr>
              <w:t>②－④</w:t>
            </w:r>
          </w:p>
        </w:tc>
      </w:tr>
      <w:tr>
        <w:trPr>
          <w:trHeight w:val="625" w:hRule="atLeast"/>
        </w:trPr>
        <w:tc>
          <w:tcPr>
            <w:tcW w:w="1987" w:type="dxa"/>
          </w:tcPr>
          <w:p>
            <w:pPr>
              <w:pStyle w:val="TableParagraph"/>
              <w:spacing w:before="25"/>
              <w:ind w:left="107"/>
              <w:jc w:val="left"/>
              <w:rPr>
                <w:rFonts w:ascii="宋体" w:eastAsia="宋体" w:hint="eastAsia"/>
                <w:sz w:val="21"/>
              </w:rPr>
            </w:pPr>
            <w:r>
              <w:rPr>
                <w:sz w:val="21"/>
              </w:rPr>
              <w:t>2017</w:t>
            </w:r>
            <w:r>
              <w:rPr>
                <w:spacing w:val="-14"/>
                <w:sz w:val="21"/>
              </w:rPr>
              <w:t> </w:t>
            </w:r>
            <w:r>
              <w:rPr>
                <w:rFonts w:ascii="宋体" w:eastAsia="宋体" w:hint="eastAsia"/>
                <w:spacing w:val="-33"/>
                <w:sz w:val="21"/>
              </w:rPr>
              <w:t>年 </w:t>
            </w:r>
            <w:r>
              <w:rPr>
                <w:sz w:val="21"/>
              </w:rPr>
              <w:t>3</w:t>
            </w:r>
            <w:r>
              <w:rPr>
                <w:spacing w:val="-13"/>
                <w:sz w:val="21"/>
              </w:rPr>
              <w:t> </w:t>
            </w:r>
            <w:r>
              <w:rPr>
                <w:rFonts w:ascii="宋体" w:eastAsia="宋体" w:hint="eastAsia"/>
                <w:spacing w:val="-33"/>
                <w:sz w:val="21"/>
              </w:rPr>
              <w:t>月 </w:t>
            </w:r>
            <w:r>
              <w:rPr>
                <w:sz w:val="21"/>
              </w:rPr>
              <w:t>15</w:t>
            </w:r>
            <w:r>
              <w:rPr>
                <w:spacing w:val="-15"/>
                <w:sz w:val="21"/>
              </w:rPr>
              <w:t>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6" w:type="dxa"/>
          </w:tcPr>
          <w:p>
            <w:pPr>
              <w:pStyle w:val="TableParagraph"/>
              <w:spacing w:before="192"/>
              <w:ind w:right="95"/>
              <w:rPr>
                <w:sz w:val="21"/>
              </w:rPr>
            </w:pPr>
            <w:r>
              <w:rPr>
                <w:sz w:val="21"/>
              </w:rPr>
              <w:t>1.44%</w:t>
            </w:r>
          </w:p>
        </w:tc>
        <w:tc>
          <w:tcPr>
            <w:tcW w:w="1275" w:type="dxa"/>
          </w:tcPr>
          <w:p>
            <w:pPr>
              <w:pStyle w:val="TableParagraph"/>
              <w:spacing w:before="192"/>
              <w:ind w:right="96"/>
              <w:rPr>
                <w:sz w:val="21"/>
              </w:rPr>
            </w:pPr>
            <w:r>
              <w:rPr>
                <w:sz w:val="21"/>
              </w:rPr>
              <w:t>0.03%</w:t>
            </w:r>
          </w:p>
        </w:tc>
        <w:tc>
          <w:tcPr>
            <w:tcW w:w="1275" w:type="dxa"/>
          </w:tcPr>
          <w:p>
            <w:pPr>
              <w:pStyle w:val="TableParagraph"/>
              <w:spacing w:before="192"/>
              <w:ind w:right="93"/>
              <w:rPr>
                <w:sz w:val="21"/>
              </w:rPr>
            </w:pPr>
            <w:r>
              <w:rPr>
                <w:sz w:val="21"/>
              </w:rPr>
              <w:t>-2.08%</w:t>
            </w:r>
          </w:p>
        </w:tc>
        <w:tc>
          <w:tcPr>
            <w:tcW w:w="1277" w:type="dxa"/>
          </w:tcPr>
          <w:p>
            <w:pPr>
              <w:pStyle w:val="TableParagraph"/>
              <w:spacing w:before="192"/>
              <w:ind w:right="94"/>
              <w:rPr>
                <w:sz w:val="21"/>
              </w:rPr>
            </w:pPr>
            <w:r>
              <w:rPr>
                <w:sz w:val="21"/>
              </w:rPr>
              <w:t>0.06%</w:t>
            </w:r>
          </w:p>
        </w:tc>
        <w:tc>
          <w:tcPr>
            <w:tcW w:w="992" w:type="dxa"/>
          </w:tcPr>
          <w:p>
            <w:pPr>
              <w:pStyle w:val="TableParagraph"/>
              <w:spacing w:before="192"/>
              <w:ind w:right="94"/>
              <w:rPr>
                <w:sz w:val="21"/>
              </w:rPr>
            </w:pPr>
            <w:r>
              <w:rPr>
                <w:sz w:val="21"/>
              </w:rPr>
              <w:t>3.52%</w:t>
            </w:r>
          </w:p>
        </w:tc>
        <w:tc>
          <w:tcPr>
            <w:tcW w:w="886" w:type="dxa"/>
          </w:tcPr>
          <w:p>
            <w:pPr>
              <w:pStyle w:val="TableParagraph"/>
              <w:spacing w:before="192"/>
              <w:ind w:right="99"/>
              <w:rPr>
                <w:sz w:val="21"/>
              </w:rPr>
            </w:pPr>
            <w:r>
              <w:rPr>
                <w:sz w:val="21"/>
              </w:rPr>
              <w:t>-0.03%</w:t>
            </w:r>
          </w:p>
        </w:tc>
      </w:tr>
      <w:tr>
        <w:trPr>
          <w:trHeight w:val="624" w:hRule="atLeast"/>
        </w:trPr>
        <w:tc>
          <w:tcPr>
            <w:tcW w:w="1987" w:type="dxa"/>
          </w:tcPr>
          <w:p>
            <w:pPr>
              <w:pStyle w:val="TableParagraph"/>
              <w:spacing w:before="23"/>
              <w:ind w:left="107"/>
              <w:jc w:val="left"/>
              <w:rPr>
                <w:rFonts w:ascii="宋体" w:eastAsia="宋体" w:hint="eastAsia"/>
                <w:sz w:val="21"/>
              </w:rPr>
            </w:pPr>
            <w:r>
              <w:rPr>
                <w:sz w:val="21"/>
              </w:rPr>
              <w:t>2018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2018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190"/>
              <w:ind w:right="97"/>
              <w:rPr>
                <w:sz w:val="21"/>
              </w:rPr>
            </w:pPr>
            <w:r>
              <w:rPr>
                <w:sz w:val="21"/>
              </w:rPr>
              <w:t>9.77%</w:t>
            </w:r>
          </w:p>
        </w:tc>
        <w:tc>
          <w:tcPr>
            <w:tcW w:w="1275" w:type="dxa"/>
          </w:tcPr>
          <w:p>
            <w:pPr>
              <w:pStyle w:val="TableParagraph"/>
              <w:spacing w:before="190"/>
              <w:ind w:right="98"/>
              <w:rPr>
                <w:sz w:val="21"/>
              </w:rPr>
            </w:pPr>
            <w:r>
              <w:rPr>
                <w:sz w:val="21"/>
              </w:rPr>
              <w:t>0.09%</w:t>
            </w:r>
          </w:p>
        </w:tc>
        <w:tc>
          <w:tcPr>
            <w:tcW w:w="1275" w:type="dxa"/>
          </w:tcPr>
          <w:p>
            <w:pPr>
              <w:pStyle w:val="TableParagraph"/>
              <w:spacing w:before="190"/>
              <w:ind w:right="93"/>
              <w:rPr>
                <w:sz w:val="21"/>
              </w:rPr>
            </w:pPr>
            <w:r>
              <w:rPr>
                <w:sz w:val="21"/>
              </w:rPr>
              <w:t>4.79%</w:t>
            </w:r>
          </w:p>
        </w:tc>
        <w:tc>
          <w:tcPr>
            <w:tcW w:w="1277" w:type="dxa"/>
          </w:tcPr>
          <w:p>
            <w:pPr>
              <w:pStyle w:val="TableParagraph"/>
              <w:spacing w:before="190"/>
              <w:ind w:right="96"/>
              <w:rPr>
                <w:sz w:val="21"/>
              </w:rPr>
            </w:pPr>
            <w:r>
              <w:rPr>
                <w:sz w:val="21"/>
              </w:rPr>
              <w:t>0.07%</w:t>
            </w:r>
          </w:p>
        </w:tc>
        <w:tc>
          <w:tcPr>
            <w:tcW w:w="992" w:type="dxa"/>
          </w:tcPr>
          <w:p>
            <w:pPr>
              <w:pStyle w:val="TableParagraph"/>
              <w:spacing w:before="190"/>
              <w:ind w:right="97"/>
              <w:rPr>
                <w:sz w:val="21"/>
              </w:rPr>
            </w:pPr>
            <w:r>
              <w:rPr>
                <w:sz w:val="21"/>
              </w:rPr>
              <w:t>4.98%</w:t>
            </w:r>
          </w:p>
        </w:tc>
        <w:tc>
          <w:tcPr>
            <w:tcW w:w="886" w:type="dxa"/>
          </w:tcPr>
          <w:p>
            <w:pPr>
              <w:pStyle w:val="TableParagraph"/>
              <w:spacing w:before="190"/>
              <w:ind w:right="99"/>
              <w:rPr>
                <w:sz w:val="21"/>
              </w:rPr>
            </w:pPr>
            <w:r>
              <w:rPr>
                <w:sz w:val="21"/>
              </w:rPr>
              <w:t>0.02%</w:t>
            </w:r>
          </w:p>
        </w:tc>
      </w:tr>
      <w:tr>
        <w:trPr>
          <w:trHeight w:val="623" w:hRule="atLeast"/>
        </w:trPr>
        <w:tc>
          <w:tcPr>
            <w:tcW w:w="1987" w:type="dxa"/>
          </w:tcPr>
          <w:p>
            <w:pPr>
              <w:pStyle w:val="TableParagraph"/>
              <w:ind w:left="107"/>
              <w:jc w:val="left"/>
              <w:rPr>
                <w:rFonts w:ascii="宋体" w:eastAsia="宋体" w:hint="eastAsia"/>
                <w:sz w:val="21"/>
              </w:rPr>
            </w:pPr>
            <w:r>
              <w:rPr>
                <w:sz w:val="21"/>
              </w:rPr>
              <w:t>2019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190"/>
              <w:ind w:right="95"/>
              <w:rPr>
                <w:sz w:val="21"/>
              </w:rPr>
            </w:pPr>
            <w:r>
              <w:rPr>
                <w:sz w:val="21"/>
              </w:rPr>
              <w:t>4.62%</w:t>
            </w:r>
          </w:p>
        </w:tc>
        <w:tc>
          <w:tcPr>
            <w:tcW w:w="1275" w:type="dxa"/>
          </w:tcPr>
          <w:p>
            <w:pPr>
              <w:pStyle w:val="TableParagraph"/>
              <w:spacing w:before="190"/>
              <w:ind w:right="96"/>
              <w:rPr>
                <w:sz w:val="21"/>
              </w:rPr>
            </w:pPr>
            <w:r>
              <w:rPr>
                <w:sz w:val="21"/>
              </w:rPr>
              <w:t>0.04%</w:t>
            </w:r>
          </w:p>
        </w:tc>
        <w:tc>
          <w:tcPr>
            <w:tcW w:w="1275" w:type="dxa"/>
          </w:tcPr>
          <w:p>
            <w:pPr>
              <w:pStyle w:val="TableParagraph"/>
              <w:spacing w:before="190"/>
              <w:ind w:right="91"/>
              <w:rPr>
                <w:sz w:val="21"/>
              </w:rPr>
            </w:pPr>
            <w:r>
              <w:rPr>
                <w:sz w:val="21"/>
              </w:rPr>
              <w:t>1.31%</w:t>
            </w:r>
          </w:p>
        </w:tc>
        <w:tc>
          <w:tcPr>
            <w:tcW w:w="1277" w:type="dxa"/>
          </w:tcPr>
          <w:p>
            <w:pPr>
              <w:pStyle w:val="TableParagraph"/>
              <w:spacing w:before="190"/>
              <w:ind w:right="94"/>
              <w:rPr>
                <w:sz w:val="21"/>
              </w:rPr>
            </w:pPr>
            <w:r>
              <w:rPr>
                <w:sz w:val="21"/>
              </w:rPr>
              <w:t>0.05%</w:t>
            </w:r>
          </w:p>
        </w:tc>
        <w:tc>
          <w:tcPr>
            <w:tcW w:w="992" w:type="dxa"/>
          </w:tcPr>
          <w:p>
            <w:pPr>
              <w:pStyle w:val="TableParagraph"/>
              <w:spacing w:before="190"/>
              <w:ind w:right="94"/>
              <w:rPr>
                <w:sz w:val="21"/>
              </w:rPr>
            </w:pPr>
            <w:r>
              <w:rPr>
                <w:sz w:val="21"/>
              </w:rPr>
              <w:t>3.31%</w:t>
            </w:r>
          </w:p>
        </w:tc>
        <w:tc>
          <w:tcPr>
            <w:tcW w:w="886" w:type="dxa"/>
          </w:tcPr>
          <w:p>
            <w:pPr>
              <w:pStyle w:val="TableParagraph"/>
              <w:spacing w:before="190"/>
              <w:ind w:right="99"/>
              <w:rPr>
                <w:sz w:val="21"/>
              </w:rPr>
            </w:pPr>
            <w:r>
              <w:rPr>
                <w:sz w:val="21"/>
              </w:rPr>
              <w:t>-0.01%</w:t>
            </w:r>
          </w:p>
        </w:tc>
      </w:tr>
      <w:tr>
        <w:trPr>
          <w:trHeight w:val="623" w:hRule="atLeast"/>
        </w:trPr>
        <w:tc>
          <w:tcPr>
            <w:tcW w:w="1987" w:type="dxa"/>
          </w:tcPr>
          <w:p>
            <w:pPr>
              <w:pStyle w:val="TableParagraph"/>
              <w:ind w:left="107"/>
              <w:jc w:val="left"/>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6" w:type="dxa"/>
          </w:tcPr>
          <w:p>
            <w:pPr>
              <w:pStyle w:val="TableParagraph"/>
              <w:spacing w:before="190"/>
              <w:ind w:right="95"/>
              <w:rPr>
                <w:sz w:val="21"/>
              </w:rPr>
            </w:pPr>
            <w:r>
              <w:rPr>
                <w:sz w:val="21"/>
              </w:rPr>
              <w:t>2.20%</w:t>
            </w:r>
          </w:p>
        </w:tc>
        <w:tc>
          <w:tcPr>
            <w:tcW w:w="1275" w:type="dxa"/>
          </w:tcPr>
          <w:p>
            <w:pPr>
              <w:pStyle w:val="TableParagraph"/>
              <w:spacing w:before="190"/>
              <w:ind w:right="96"/>
              <w:rPr>
                <w:sz w:val="21"/>
              </w:rPr>
            </w:pPr>
            <w:r>
              <w:rPr>
                <w:sz w:val="21"/>
              </w:rPr>
              <w:t>0.12%</w:t>
            </w:r>
          </w:p>
        </w:tc>
        <w:tc>
          <w:tcPr>
            <w:tcW w:w="1275" w:type="dxa"/>
          </w:tcPr>
          <w:p>
            <w:pPr>
              <w:pStyle w:val="TableParagraph"/>
              <w:spacing w:before="190"/>
              <w:ind w:right="91"/>
              <w:rPr>
                <w:sz w:val="21"/>
              </w:rPr>
            </w:pPr>
            <w:r>
              <w:rPr>
                <w:sz w:val="21"/>
              </w:rPr>
              <w:t>0.79%</w:t>
            </w:r>
          </w:p>
        </w:tc>
        <w:tc>
          <w:tcPr>
            <w:tcW w:w="1277" w:type="dxa"/>
          </w:tcPr>
          <w:p>
            <w:pPr>
              <w:pStyle w:val="TableParagraph"/>
              <w:spacing w:before="190"/>
              <w:ind w:right="94"/>
              <w:rPr>
                <w:sz w:val="21"/>
              </w:rPr>
            </w:pPr>
            <w:r>
              <w:rPr>
                <w:sz w:val="21"/>
              </w:rPr>
              <w:t>0.11%</w:t>
            </w:r>
          </w:p>
        </w:tc>
        <w:tc>
          <w:tcPr>
            <w:tcW w:w="992" w:type="dxa"/>
          </w:tcPr>
          <w:p>
            <w:pPr>
              <w:pStyle w:val="TableParagraph"/>
              <w:spacing w:before="190"/>
              <w:ind w:right="94"/>
              <w:rPr>
                <w:sz w:val="21"/>
              </w:rPr>
            </w:pPr>
            <w:r>
              <w:rPr>
                <w:sz w:val="21"/>
              </w:rPr>
              <w:t>1.41%</w:t>
            </w:r>
          </w:p>
        </w:tc>
        <w:tc>
          <w:tcPr>
            <w:tcW w:w="886" w:type="dxa"/>
          </w:tcPr>
          <w:p>
            <w:pPr>
              <w:pStyle w:val="TableParagraph"/>
              <w:spacing w:before="190"/>
              <w:ind w:right="97"/>
              <w:rPr>
                <w:sz w:val="21"/>
              </w:rPr>
            </w:pPr>
            <w:r>
              <w:rPr>
                <w:sz w:val="21"/>
              </w:rPr>
              <w:t>0.01%</w:t>
            </w:r>
          </w:p>
        </w:tc>
      </w:tr>
    </w:tbl>
    <w:p>
      <w:pPr>
        <w:pStyle w:val="BodyText"/>
        <w:spacing w:before="100"/>
        <w:ind w:left="960"/>
      </w:pPr>
      <w:r>
        <w:rPr>
          <w:spacing w:val="6"/>
        </w:rPr>
        <w:t>华夏鼎茂债券</w:t>
      </w:r>
      <w:r>
        <w:rPr>
          <w:rFonts w:ascii="Times New Roman" w:eastAsia="Times New Roman"/>
        </w:rPr>
        <w:t>C</w:t>
      </w:r>
      <w:r>
        <w:rPr/>
        <w:t>：</w:t>
      </w:r>
    </w:p>
    <w:p>
      <w:pPr>
        <w:pStyle w:val="BodyText"/>
        <w:spacing w:before="9"/>
        <w:rPr>
          <w:sz w:val="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136"/>
        <w:gridCol w:w="1275"/>
        <w:gridCol w:w="1275"/>
        <w:gridCol w:w="1277"/>
        <w:gridCol w:w="992"/>
        <w:gridCol w:w="886"/>
      </w:tblGrid>
      <w:tr>
        <w:trPr>
          <w:trHeight w:val="935" w:hRule="atLeast"/>
        </w:trPr>
        <w:tc>
          <w:tcPr>
            <w:tcW w:w="1987" w:type="dxa"/>
          </w:tcPr>
          <w:p>
            <w:pPr>
              <w:pStyle w:val="TableParagraph"/>
              <w:spacing w:before="1"/>
              <w:jc w:val="left"/>
              <w:rPr>
                <w:rFonts w:ascii="宋体"/>
                <w:sz w:val="26"/>
              </w:rPr>
            </w:pPr>
          </w:p>
          <w:p>
            <w:pPr>
              <w:pStyle w:val="TableParagraph"/>
              <w:spacing w:before="0"/>
              <w:ind w:left="763" w:right="754"/>
              <w:jc w:val="center"/>
              <w:rPr>
                <w:rFonts w:ascii="宋体" w:eastAsia="宋体" w:hint="eastAsia"/>
                <w:sz w:val="21"/>
              </w:rPr>
            </w:pPr>
            <w:r>
              <w:rPr>
                <w:rFonts w:ascii="宋体" w:eastAsia="宋体" w:hint="eastAsia"/>
                <w:sz w:val="21"/>
              </w:rPr>
              <w:t>阶段</w:t>
            </w:r>
          </w:p>
        </w:tc>
        <w:tc>
          <w:tcPr>
            <w:tcW w:w="1136" w:type="dxa"/>
          </w:tcPr>
          <w:p>
            <w:pPr>
              <w:pStyle w:val="TableParagraph"/>
              <w:spacing w:line="278" w:lineRule="auto" w:before="178"/>
              <w:ind w:left="146" w:right="134" w:firstLine="208"/>
              <w:jc w:val="left"/>
              <w:rPr>
                <w:rFonts w:ascii="宋体" w:hAnsi="宋体" w:eastAsia="宋体" w:hint="eastAsia"/>
                <w:sz w:val="21"/>
              </w:rPr>
            </w:pPr>
            <w:r>
              <w:rPr>
                <w:rFonts w:ascii="宋体" w:hAnsi="宋体" w:eastAsia="宋体" w:hint="eastAsia"/>
                <w:sz w:val="21"/>
              </w:rPr>
              <w:t>净 值 增长率①</w:t>
            </w:r>
          </w:p>
        </w:tc>
        <w:tc>
          <w:tcPr>
            <w:tcW w:w="1275" w:type="dxa"/>
          </w:tcPr>
          <w:p>
            <w:pPr>
              <w:pStyle w:val="TableParagraph"/>
              <w:spacing w:line="278" w:lineRule="auto" w:before="178"/>
              <w:ind w:left="213" w:right="101" w:hanging="106"/>
              <w:jc w:val="left"/>
              <w:rPr>
                <w:rFonts w:ascii="宋体" w:hAnsi="宋体" w:eastAsia="宋体" w:hint="eastAsia"/>
                <w:sz w:val="21"/>
              </w:rPr>
            </w:pPr>
            <w:r>
              <w:rPr>
                <w:rFonts w:ascii="宋体" w:hAnsi="宋体" w:eastAsia="宋体" w:hint="eastAsia"/>
                <w:sz w:val="21"/>
              </w:rPr>
              <w:t>净值增长率标准差②</w:t>
            </w:r>
          </w:p>
        </w:tc>
        <w:tc>
          <w:tcPr>
            <w:tcW w:w="1275" w:type="dxa"/>
          </w:tcPr>
          <w:p>
            <w:pPr>
              <w:pStyle w:val="TableParagraph"/>
              <w:spacing w:line="278" w:lineRule="auto" w:before="178"/>
              <w:ind w:left="111" w:right="97"/>
              <w:jc w:val="left"/>
              <w:rPr>
                <w:rFonts w:ascii="宋体" w:hAnsi="宋体" w:eastAsia="宋体" w:hint="eastAsia"/>
                <w:sz w:val="21"/>
              </w:rPr>
            </w:pPr>
            <w:r>
              <w:rPr>
                <w:rFonts w:ascii="宋体" w:hAnsi="宋体" w:eastAsia="宋体" w:hint="eastAsia"/>
                <w:sz w:val="21"/>
              </w:rPr>
              <w:t>业绩比较基准收益率③</w:t>
            </w:r>
          </w:p>
        </w:tc>
        <w:tc>
          <w:tcPr>
            <w:tcW w:w="1277" w:type="dxa"/>
          </w:tcPr>
          <w:p>
            <w:pPr>
              <w:pStyle w:val="TableParagraph"/>
              <w:ind w:left="111"/>
              <w:jc w:val="left"/>
              <w:rPr>
                <w:rFonts w:ascii="宋体" w:eastAsia="宋体" w:hint="eastAsia"/>
                <w:sz w:val="21"/>
              </w:rPr>
            </w:pPr>
            <w:r>
              <w:rPr>
                <w:rFonts w:ascii="宋体" w:eastAsia="宋体" w:hint="eastAsia"/>
                <w:sz w:val="21"/>
              </w:rPr>
              <w:t>业绩比较基</w:t>
            </w:r>
          </w:p>
          <w:p>
            <w:pPr>
              <w:pStyle w:val="TableParagraph"/>
              <w:spacing w:line="310" w:lineRule="atLeast" w:before="2"/>
              <w:ind w:left="320" w:right="99" w:hanging="209"/>
              <w:jc w:val="left"/>
              <w:rPr>
                <w:rFonts w:ascii="宋体" w:hAnsi="宋体" w:eastAsia="宋体" w:hint="eastAsia"/>
                <w:sz w:val="21"/>
              </w:rPr>
            </w:pPr>
            <w:r>
              <w:rPr>
                <w:rFonts w:ascii="宋体" w:hAnsi="宋体" w:eastAsia="宋体" w:hint="eastAsia"/>
                <w:sz w:val="21"/>
              </w:rPr>
              <w:t>准收益率标准差④</w:t>
            </w:r>
          </w:p>
        </w:tc>
        <w:tc>
          <w:tcPr>
            <w:tcW w:w="992" w:type="dxa"/>
          </w:tcPr>
          <w:p>
            <w:pPr>
              <w:pStyle w:val="TableParagraph"/>
              <w:spacing w:before="1"/>
              <w:jc w:val="left"/>
              <w:rPr>
                <w:rFonts w:ascii="宋体"/>
                <w:sz w:val="26"/>
              </w:rPr>
            </w:pPr>
          </w:p>
          <w:p>
            <w:pPr>
              <w:pStyle w:val="TableParagraph"/>
              <w:spacing w:before="0"/>
              <w:ind w:left="178"/>
              <w:jc w:val="left"/>
              <w:rPr>
                <w:rFonts w:ascii="宋体" w:hAnsi="宋体" w:eastAsia="宋体" w:hint="eastAsia"/>
                <w:sz w:val="21"/>
              </w:rPr>
            </w:pPr>
            <w:r>
              <w:rPr>
                <w:rFonts w:ascii="宋体" w:hAnsi="宋体" w:eastAsia="宋体" w:hint="eastAsia"/>
                <w:sz w:val="21"/>
              </w:rPr>
              <w:t>①－③</w:t>
            </w:r>
          </w:p>
        </w:tc>
        <w:tc>
          <w:tcPr>
            <w:tcW w:w="886" w:type="dxa"/>
          </w:tcPr>
          <w:p>
            <w:pPr>
              <w:pStyle w:val="TableParagraph"/>
              <w:spacing w:before="1"/>
              <w:jc w:val="left"/>
              <w:rPr>
                <w:rFonts w:ascii="宋体"/>
                <w:sz w:val="26"/>
              </w:rPr>
            </w:pPr>
          </w:p>
          <w:p>
            <w:pPr>
              <w:pStyle w:val="TableParagraph"/>
              <w:spacing w:before="0"/>
              <w:ind w:right="117"/>
              <w:rPr>
                <w:rFonts w:ascii="宋体" w:hAnsi="宋体" w:eastAsia="宋体" w:hint="eastAsia"/>
                <w:sz w:val="21"/>
              </w:rPr>
            </w:pPr>
            <w:r>
              <w:rPr>
                <w:rFonts w:ascii="宋体" w:hAnsi="宋体" w:eastAsia="宋体" w:hint="eastAsia"/>
                <w:sz w:val="21"/>
              </w:rPr>
              <w:t>②－④</w:t>
            </w:r>
          </w:p>
        </w:tc>
      </w:tr>
      <w:tr>
        <w:trPr>
          <w:trHeight w:val="626" w:hRule="atLeast"/>
        </w:trPr>
        <w:tc>
          <w:tcPr>
            <w:tcW w:w="1987" w:type="dxa"/>
          </w:tcPr>
          <w:p>
            <w:pPr>
              <w:pStyle w:val="TableParagraph"/>
              <w:spacing w:before="25"/>
              <w:ind w:left="107"/>
              <w:jc w:val="left"/>
              <w:rPr>
                <w:rFonts w:ascii="宋体" w:eastAsia="宋体" w:hint="eastAsia"/>
                <w:sz w:val="21"/>
              </w:rPr>
            </w:pPr>
            <w:r>
              <w:rPr>
                <w:sz w:val="21"/>
              </w:rPr>
              <w:t>2017</w:t>
            </w:r>
            <w:r>
              <w:rPr>
                <w:spacing w:val="-14"/>
                <w:sz w:val="21"/>
              </w:rPr>
              <w:t> </w:t>
            </w:r>
            <w:r>
              <w:rPr>
                <w:rFonts w:ascii="宋体" w:eastAsia="宋体" w:hint="eastAsia"/>
                <w:spacing w:val="-33"/>
                <w:sz w:val="21"/>
              </w:rPr>
              <w:t>年 </w:t>
            </w:r>
            <w:r>
              <w:rPr>
                <w:sz w:val="21"/>
              </w:rPr>
              <w:t>3</w:t>
            </w:r>
            <w:r>
              <w:rPr>
                <w:spacing w:val="-13"/>
                <w:sz w:val="21"/>
              </w:rPr>
              <w:t> </w:t>
            </w:r>
            <w:r>
              <w:rPr>
                <w:rFonts w:ascii="宋体" w:eastAsia="宋体" w:hint="eastAsia"/>
                <w:spacing w:val="-33"/>
                <w:sz w:val="21"/>
              </w:rPr>
              <w:t>月 </w:t>
            </w:r>
            <w:r>
              <w:rPr>
                <w:sz w:val="21"/>
              </w:rPr>
              <w:t>15</w:t>
            </w:r>
            <w:r>
              <w:rPr>
                <w:spacing w:val="-15"/>
                <w:sz w:val="21"/>
              </w:rPr>
              <w:t>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6" w:type="dxa"/>
          </w:tcPr>
          <w:p>
            <w:pPr>
              <w:pStyle w:val="TableParagraph"/>
              <w:spacing w:before="193"/>
              <w:ind w:left="482"/>
              <w:jc w:val="left"/>
              <w:rPr>
                <w:sz w:val="21"/>
              </w:rPr>
            </w:pPr>
            <w:r>
              <w:rPr>
                <w:sz w:val="21"/>
              </w:rPr>
              <w:t>1.42%</w:t>
            </w:r>
          </w:p>
        </w:tc>
        <w:tc>
          <w:tcPr>
            <w:tcW w:w="1275" w:type="dxa"/>
          </w:tcPr>
          <w:p>
            <w:pPr>
              <w:pStyle w:val="TableParagraph"/>
              <w:spacing w:before="193"/>
              <w:ind w:left="621"/>
              <w:jc w:val="left"/>
              <w:rPr>
                <w:sz w:val="21"/>
              </w:rPr>
            </w:pPr>
            <w:r>
              <w:rPr>
                <w:sz w:val="21"/>
              </w:rPr>
              <w:t>0.03%</w:t>
            </w:r>
          </w:p>
        </w:tc>
        <w:tc>
          <w:tcPr>
            <w:tcW w:w="1275" w:type="dxa"/>
          </w:tcPr>
          <w:p>
            <w:pPr>
              <w:pStyle w:val="TableParagraph"/>
              <w:spacing w:before="193"/>
              <w:ind w:left="555"/>
              <w:jc w:val="left"/>
              <w:rPr>
                <w:sz w:val="21"/>
              </w:rPr>
            </w:pPr>
            <w:r>
              <w:rPr>
                <w:sz w:val="21"/>
              </w:rPr>
              <w:t>-2.08%</w:t>
            </w:r>
          </w:p>
        </w:tc>
        <w:tc>
          <w:tcPr>
            <w:tcW w:w="1277" w:type="dxa"/>
          </w:tcPr>
          <w:p>
            <w:pPr>
              <w:pStyle w:val="TableParagraph"/>
              <w:spacing w:before="193"/>
              <w:ind w:left="625"/>
              <w:jc w:val="left"/>
              <w:rPr>
                <w:sz w:val="21"/>
              </w:rPr>
            </w:pPr>
            <w:r>
              <w:rPr>
                <w:sz w:val="21"/>
              </w:rPr>
              <w:t>0.06%</w:t>
            </w:r>
          </w:p>
        </w:tc>
        <w:tc>
          <w:tcPr>
            <w:tcW w:w="992" w:type="dxa"/>
          </w:tcPr>
          <w:p>
            <w:pPr>
              <w:pStyle w:val="TableParagraph"/>
              <w:spacing w:before="193"/>
              <w:ind w:left="339"/>
              <w:jc w:val="left"/>
              <w:rPr>
                <w:sz w:val="21"/>
              </w:rPr>
            </w:pPr>
            <w:r>
              <w:rPr>
                <w:sz w:val="21"/>
              </w:rPr>
              <w:t>3.50%</w:t>
            </w:r>
          </w:p>
        </w:tc>
        <w:tc>
          <w:tcPr>
            <w:tcW w:w="886" w:type="dxa"/>
          </w:tcPr>
          <w:p>
            <w:pPr>
              <w:pStyle w:val="TableParagraph"/>
              <w:spacing w:before="193"/>
              <w:ind w:right="99"/>
              <w:rPr>
                <w:sz w:val="21"/>
              </w:rPr>
            </w:pPr>
            <w:r>
              <w:rPr>
                <w:sz w:val="21"/>
              </w:rPr>
              <w:t>-0.03%</w:t>
            </w:r>
          </w:p>
        </w:tc>
      </w:tr>
    </w:tbl>
    <w:p>
      <w:pPr>
        <w:spacing w:after="0"/>
        <w:rPr>
          <w:sz w:val="21"/>
        </w:rPr>
        <w:sectPr>
          <w:pgSz w:w="11910" w:h="16840"/>
          <w:pgMar w:header="877" w:footer="0" w:top="1420" w:bottom="280" w:left="1260" w:right="148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136"/>
        <w:gridCol w:w="1275"/>
        <w:gridCol w:w="1275"/>
        <w:gridCol w:w="1277"/>
        <w:gridCol w:w="992"/>
        <w:gridCol w:w="886"/>
      </w:tblGrid>
      <w:tr>
        <w:trPr>
          <w:trHeight w:val="624" w:hRule="atLeast"/>
        </w:trPr>
        <w:tc>
          <w:tcPr>
            <w:tcW w:w="1987" w:type="dxa"/>
          </w:tcPr>
          <w:p>
            <w:pPr>
              <w:pStyle w:val="TableParagraph"/>
              <w:spacing w:before="23"/>
              <w:ind w:left="107"/>
              <w:jc w:val="left"/>
              <w:rPr>
                <w:rFonts w:ascii="宋体" w:eastAsia="宋体" w:hint="eastAsia"/>
                <w:sz w:val="21"/>
              </w:rPr>
            </w:pPr>
            <w:r>
              <w:rPr>
                <w:sz w:val="21"/>
              </w:rPr>
              <w:t>2018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2018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190"/>
              <w:ind w:right="97"/>
              <w:rPr>
                <w:sz w:val="21"/>
              </w:rPr>
            </w:pPr>
            <w:r>
              <w:rPr>
                <w:sz w:val="21"/>
              </w:rPr>
              <w:t>9.65%</w:t>
            </w:r>
          </w:p>
        </w:tc>
        <w:tc>
          <w:tcPr>
            <w:tcW w:w="1275" w:type="dxa"/>
          </w:tcPr>
          <w:p>
            <w:pPr>
              <w:pStyle w:val="TableParagraph"/>
              <w:spacing w:before="190"/>
              <w:ind w:right="98"/>
              <w:rPr>
                <w:sz w:val="21"/>
              </w:rPr>
            </w:pPr>
            <w:r>
              <w:rPr>
                <w:sz w:val="21"/>
              </w:rPr>
              <w:t>0.09%</w:t>
            </w:r>
          </w:p>
        </w:tc>
        <w:tc>
          <w:tcPr>
            <w:tcW w:w="1275" w:type="dxa"/>
          </w:tcPr>
          <w:p>
            <w:pPr>
              <w:pStyle w:val="TableParagraph"/>
              <w:spacing w:before="190"/>
              <w:ind w:right="93"/>
              <w:rPr>
                <w:sz w:val="21"/>
              </w:rPr>
            </w:pPr>
            <w:r>
              <w:rPr>
                <w:sz w:val="21"/>
              </w:rPr>
              <w:t>4.79%</w:t>
            </w:r>
          </w:p>
        </w:tc>
        <w:tc>
          <w:tcPr>
            <w:tcW w:w="1277" w:type="dxa"/>
          </w:tcPr>
          <w:p>
            <w:pPr>
              <w:pStyle w:val="TableParagraph"/>
              <w:spacing w:before="190"/>
              <w:ind w:right="96"/>
              <w:rPr>
                <w:sz w:val="21"/>
              </w:rPr>
            </w:pPr>
            <w:r>
              <w:rPr>
                <w:sz w:val="21"/>
              </w:rPr>
              <w:t>0.07%</w:t>
            </w:r>
          </w:p>
        </w:tc>
        <w:tc>
          <w:tcPr>
            <w:tcW w:w="992" w:type="dxa"/>
          </w:tcPr>
          <w:p>
            <w:pPr>
              <w:pStyle w:val="TableParagraph"/>
              <w:spacing w:before="190"/>
              <w:ind w:right="97"/>
              <w:rPr>
                <w:sz w:val="21"/>
              </w:rPr>
            </w:pPr>
            <w:r>
              <w:rPr>
                <w:sz w:val="21"/>
              </w:rPr>
              <w:t>4.86%</w:t>
            </w:r>
          </w:p>
        </w:tc>
        <w:tc>
          <w:tcPr>
            <w:tcW w:w="886" w:type="dxa"/>
          </w:tcPr>
          <w:p>
            <w:pPr>
              <w:pStyle w:val="TableParagraph"/>
              <w:spacing w:before="190"/>
              <w:ind w:right="99"/>
              <w:rPr>
                <w:sz w:val="21"/>
              </w:rPr>
            </w:pPr>
            <w:r>
              <w:rPr>
                <w:sz w:val="21"/>
              </w:rPr>
              <w:t>0.02%</w:t>
            </w:r>
          </w:p>
        </w:tc>
      </w:tr>
      <w:tr>
        <w:trPr>
          <w:trHeight w:val="623" w:hRule="atLeast"/>
        </w:trPr>
        <w:tc>
          <w:tcPr>
            <w:tcW w:w="1987" w:type="dxa"/>
          </w:tcPr>
          <w:p>
            <w:pPr>
              <w:pStyle w:val="TableParagraph"/>
              <w:ind w:left="107"/>
              <w:jc w:val="left"/>
              <w:rPr>
                <w:rFonts w:ascii="宋体" w:eastAsia="宋体" w:hint="eastAsia"/>
                <w:sz w:val="21"/>
              </w:rPr>
            </w:pPr>
            <w:r>
              <w:rPr>
                <w:sz w:val="21"/>
              </w:rPr>
              <w:t>2019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190"/>
              <w:ind w:right="95"/>
              <w:rPr>
                <w:sz w:val="21"/>
              </w:rPr>
            </w:pPr>
            <w:r>
              <w:rPr>
                <w:sz w:val="21"/>
              </w:rPr>
              <w:t>4.52%</w:t>
            </w:r>
          </w:p>
        </w:tc>
        <w:tc>
          <w:tcPr>
            <w:tcW w:w="1275" w:type="dxa"/>
          </w:tcPr>
          <w:p>
            <w:pPr>
              <w:pStyle w:val="TableParagraph"/>
              <w:spacing w:before="190"/>
              <w:ind w:right="96"/>
              <w:rPr>
                <w:sz w:val="21"/>
              </w:rPr>
            </w:pPr>
            <w:r>
              <w:rPr>
                <w:sz w:val="21"/>
              </w:rPr>
              <w:t>0.04%</w:t>
            </w:r>
          </w:p>
        </w:tc>
        <w:tc>
          <w:tcPr>
            <w:tcW w:w="1275" w:type="dxa"/>
          </w:tcPr>
          <w:p>
            <w:pPr>
              <w:pStyle w:val="TableParagraph"/>
              <w:spacing w:before="190"/>
              <w:ind w:right="91"/>
              <w:rPr>
                <w:sz w:val="21"/>
              </w:rPr>
            </w:pPr>
            <w:r>
              <w:rPr>
                <w:sz w:val="21"/>
              </w:rPr>
              <w:t>1.31%</w:t>
            </w:r>
          </w:p>
        </w:tc>
        <w:tc>
          <w:tcPr>
            <w:tcW w:w="1277" w:type="dxa"/>
          </w:tcPr>
          <w:p>
            <w:pPr>
              <w:pStyle w:val="TableParagraph"/>
              <w:spacing w:before="190"/>
              <w:ind w:right="94"/>
              <w:rPr>
                <w:sz w:val="21"/>
              </w:rPr>
            </w:pPr>
            <w:r>
              <w:rPr>
                <w:sz w:val="21"/>
              </w:rPr>
              <w:t>0.05%</w:t>
            </w:r>
          </w:p>
        </w:tc>
        <w:tc>
          <w:tcPr>
            <w:tcW w:w="992" w:type="dxa"/>
          </w:tcPr>
          <w:p>
            <w:pPr>
              <w:pStyle w:val="TableParagraph"/>
              <w:spacing w:before="190"/>
              <w:ind w:right="94"/>
              <w:rPr>
                <w:sz w:val="21"/>
              </w:rPr>
            </w:pPr>
            <w:r>
              <w:rPr>
                <w:sz w:val="21"/>
              </w:rPr>
              <w:t>3.21%</w:t>
            </w:r>
          </w:p>
        </w:tc>
        <w:tc>
          <w:tcPr>
            <w:tcW w:w="886" w:type="dxa"/>
          </w:tcPr>
          <w:p>
            <w:pPr>
              <w:pStyle w:val="TableParagraph"/>
              <w:spacing w:before="190"/>
              <w:ind w:right="99"/>
              <w:rPr>
                <w:sz w:val="21"/>
              </w:rPr>
            </w:pPr>
            <w:r>
              <w:rPr>
                <w:sz w:val="21"/>
              </w:rPr>
              <w:t>-0.01%</w:t>
            </w:r>
          </w:p>
        </w:tc>
      </w:tr>
      <w:tr>
        <w:trPr>
          <w:trHeight w:val="625" w:hRule="atLeast"/>
        </w:trPr>
        <w:tc>
          <w:tcPr>
            <w:tcW w:w="1987" w:type="dxa"/>
          </w:tcPr>
          <w:p>
            <w:pPr>
              <w:pStyle w:val="TableParagraph"/>
              <w:ind w:left="107"/>
              <w:jc w:val="left"/>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6" w:type="dxa"/>
          </w:tcPr>
          <w:p>
            <w:pPr>
              <w:pStyle w:val="TableParagraph"/>
              <w:spacing w:before="190"/>
              <w:ind w:right="95"/>
              <w:rPr>
                <w:sz w:val="21"/>
              </w:rPr>
            </w:pPr>
            <w:r>
              <w:rPr>
                <w:sz w:val="21"/>
              </w:rPr>
              <w:t>2.15%</w:t>
            </w:r>
          </w:p>
        </w:tc>
        <w:tc>
          <w:tcPr>
            <w:tcW w:w="1275" w:type="dxa"/>
          </w:tcPr>
          <w:p>
            <w:pPr>
              <w:pStyle w:val="TableParagraph"/>
              <w:spacing w:before="190"/>
              <w:ind w:right="96"/>
              <w:rPr>
                <w:sz w:val="21"/>
              </w:rPr>
            </w:pPr>
            <w:r>
              <w:rPr>
                <w:sz w:val="21"/>
              </w:rPr>
              <w:t>0.12%</w:t>
            </w:r>
          </w:p>
        </w:tc>
        <w:tc>
          <w:tcPr>
            <w:tcW w:w="1275" w:type="dxa"/>
          </w:tcPr>
          <w:p>
            <w:pPr>
              <w:pStyle w:val="TableParagraph"/>
              <w:spacing w:before="190"/>
              <w:ind w:right="91"/>
              <w:rPr>
                <w:sz w:val="21"/>
              </w:rPr>
            </w:pPr>
            <w:r>
              <w:rPr>
                <w:sz w:val="21"/>
              </w:rPr>
              <w:t>0.79%</w:t>
            </w:r>
          </w:p>
        </w:tc>
        <w:tc>
          <w:tcPr>
            <w:tcW w:w="1277" w:type="dxa"/>
          </w:tcPr>
          <w:p>
            <w:pPr>
              <w:pStyle w:val="TableParagraph"/>
              <w:spacing w:before="190"/>
              <w:ind w:right="94"/>
              <w:rPr>
                <w:sz w:val="21"/>
              </w:rPr>
            </w:pPr>
            <w:r>
              <w:rPr>
                <w:sz w:val="21"/>
              </w:rPr>
              <w:t>0.11%</w:t>
            </w:r>
          </w:p>
        </w:tc>
        <w:tc>
          <w:tcPr>
            <w:tcW w:w="992" w:type="dxa"/>
          </w:tcPr>
          <w:p>
            <w:pPr>
              <w:pStyle w:val="TableParagraph"/>
              <w:spacing w:before="190"/>
              <w:ind w:right="94"/>
              <w:rPr>
                <w:sz w:val="21"/>
              </w:rPr>
            </w:pPr>
            <w:r>
              <w:rPr>
                <w:sz w:val="21"/>
              </w:rPr>
              <w:t>1.36%</w:t>
            </w:r>
          </w:p>
        </w:tc>
        <w:tc>
          <w:tcPr>
            <w:tcW w:w="886" w:type="dxa"/>
          </w:tcPr>
          <w:p>
            <w:pPr>
              <w:pStyle w:val="TableParagraph"/>
              <w:spacing w:before="190"/>
              <w:ind w:right="97"/>
              <w:rPr>
                <w:sz w:val="21"/>
              </w:rPr>
            </w:pPr>
            <w:r>
              <w:rPr>
                <w:sz w:val="21"/>
              </w:rPr>
              <w:t>0.01%</w:t>
            </w:r>
          </w:p>
        </w:tc>
      </w:tr>
    </w:tbl>
    <w:p>
      <w:pPr>
        <w:pStyle w:val="BodyText"/>
        <w:rPr>
          <w:sz w:val="28"/>
        </w:rPr>
      </w:pPr>
    </w:p>
    <w:p>
      <w:pPr>
        <w:pStyle w:val="Heading1"/>
        <w:spacing w:before="72"/>
      </w:pPr>
      <w:bookmarkStart w:name="_bookmark10" w:id="11"/>
      <w:bookmarkEnd w:id="11"/>
      <w:r>
        <w:rPr>
          <w:b w:val="0"/>
        </w:rPr>
      </w:r>
      <w:r>
        <w:rPr/>
        <w:t>十一、基金的财产</w:t>
      </w:r>
    </w:p>
    <w:p>
      <w:pPr>
        <w:pStyle w:val="BodyText"/>
        <w:rPr>
          <w:b/>
          <w:sz w:val="20"/>
        </w:rPr>
      </w:pPr>
    </w:p>
    <w:p>
      <w:pPr>
        <w:pStyle w:val="BodyText"/>
        <w:spacing w:before="1"/>
        <w:rPr>
          <w:b/>
          <w:sz w:val="14"/>
        </w:rPr>
      </w:pPr>
    </w:p>
    <w:p>
      <w:pPr>
        <w:pStyle w:val="BodyText"/>
        <w:spacing w:before="72"/>
        <w:ind w:left="960"/>
      </w:pPr>
      <w:r>
        <w:rPr/>
        <w:t>（一）基金资产总值</w:t>
      </w:r>
    </w:p>
    <w:p>
      <w:pPr>
        <w:pStyle w:val="BodyText"/>
        <w:spacing w:before="7"/>
        <w:rPr>
          <w:sz w:val="15"/>
        </w:rPr>
      </w:pPr>
    </w:p>
    <w:p>
      <w:pPr>
        <w:pStyle w:val="BodyText"/>
        <w:spacing w:line="417" w:lineRule="auto"/>
        <w:ind w:left="540" w:right="311" w:firstLine="419"/>
      </w:pPr>
      <w:r>
        <w:rPr>
          <w:spacing w:val="-8"/>
        </w:rPr>
        <w:t>基金资产总值是指购买的各类证券及票据价值、银行存款本息和基金应收的申购基金款</w:t>
      </w:r>
      <w:r>
        <w:rPr>
          <w:spacing w:val="-5"/>
        </w:rPr>
        <w:t>以及其他投资所形成的价值总和。</w:t>
      </w:r>
    </w:p>
    <w:p>
      <w:pPr>
        <w:pStyle w:val="BodyText"/>
        <w:spacing w:line="269" w:lineRule="exact"/>
        <w:ind w:left="960"/>
      </w:pPr>
      <w:r>
        <w:rPr/>
        <w:t>（二）基金资产净值</w:t>
      </w:r>
    </w:p>
    <w:p>
      <w:pPr>
        <w:pStyle w:val="BodyText"/>
        <w:spacing w:before="7"/>
        <w:rPr>
          <w:sz w:val="15"/>
        </w:rPr>
      </w:pPr>
    </w:p>
    <w:p>
      <w:pPr>
        <w:pStyle w:val="BodyText"/>
        <w:ind w:left="960"/>
      </w:pPr>
      <w:r>
        <w:rPr/>
        <w:t>基金资产净值是指基金资产总值减去基金负债后的价值。</w:t>
      </w:r>
    </w:p>
    <w:p>
      <w:pPr>
        <w:pStyle w:val="BodyText"/>
        <w:spacing w:before="7"/>
        <w:rPr>
          <w:sz w:val="15"/>
        </w:rPr>
      </w:pPr>
    </w:p>
    <w:p>
      <w:pPr>
        <w:pStyle w:val="BodyText"/>
        <w:ind w:left="960"/>
      </w:pPr>
      <w:r>
        <w:rPr/>
        <w:t>（三）基金财产的账户</w:t>
      </w:r>
    </w:p>
    <w:p>
      <w:pPr>
        <w:pStyle w:val="BodyText"/>
        <w:spacing w:before="6"/>
        <w:rPr>
          <w:sz w:val="15"/>
        </w:rPr>
      </w:pPr>
    </w:p>
    <w:p>
      <w:pPr>
        <w:pStyle w:val="BodyText"/>
        <w:spacing w:line="417" w:lineRule="auto" w:before="1"/>
        <w:ind w:left="540" w:right="31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ind w:left="960"/>
      </w:pPr>
      <w:r>
        <w:rPr/>
        <w:t>（四）基金财产的保管和处分</w:t>
      </w:r>
    </w:p>
    <w:p>
      <w:pPr>
        <w:pStyle w:val="BodyText"/>
        <w:spacing w:before="6"/>
        <w:rPr>
          <w:sz w:val="15"/>
        </w:rPr>
      </w:pPr>
    </w:p>
    <w:p>
      <w:pPr>
        <w:pStyle w:val="BodyText"/>
        <w:spacing w:line="417" w:lineRule="auto"/>
        <w:ind w:left="540" w:right="31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540" w:right="31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pStyle w:val="BodyText"/>
        <w:spacing w:before="7"/>
        <w:rPr>
          <w:sz w:val="26"/>
        </w:rPr>
      </w:pPr>
    </w:p>
    <w:p>
      <w:pPr>
        <w:pStyle w:val="Heading1"/>
        <w:ind w:right="2239"/>
      </w:pPr>
      <w:bookmarkStart w:name="_bookmark11" w:id="12"/>
      <w:bookmarkEnd w:id="12"/>
      <w:r>
        <w:rPr>
          <w:b w:val="0"/>
        </w:rPr>
      </w:r>
      <w:r>
        <w:rPr/>
        <w:t>十二、基金资产的估值</w:t>
      </w:r>
    </w:p>
    <w:p>
      <w:pPr>
        <w:pStyle w:val="BodyText"/>
        <w:rPr>
          <w:b/>
          <w:sz w:val="20"/>
        </w:rPr>
      </w:pPr>
    </w:p>
    <w:p>
      <w:pPr>
        <w:pStyle w:val="BodyText"/>
        <w:spacing w:before="2"/>
        <w:rPr>
          <w:b/>
        </w:rPr>
      </w:pPr>
    </w:p>
    <w:p>
      <w:pPr>
        <w:pStyle w:val="BodyText"/>
        <w:spacing w:before="1"/>
        <w:ind w:left="960"/>
      </w:pPr>
      <w:r>
        <w:rPr/>
        <w:t>（一）估值日</w:t>
      </w:r>
    </w:p>
    <w:p>
      <w:pPr>
        <w:pStyle w:val="BodyText"/>
        <w:spacing w:before="7"/>
        <w:rPr>
          <w:sz w:val="15"/>
        </w:rPr>
      </w:pPr>
    </w:p>
    <w:p>
      <w:pPr>
        <w:pStyle w:val="BodyText"/>
        <w:spacing w:line="417" w:lineRule="auto"/>
        <w:ind w:left="540" w:right="314" w:firstLine="419"/>
      </w:pPr>
      <w:r>
        <w:rPr/>
        <w:t>本基金的估值日为本基金相关的证券交易场所的交易日以及国家法律法规规定需要对外披露基金净值的非交易日。</w:t>
      </w:r>
    </w:p>
    <w:p>
      <w:pPr>
        <w:spacing w:after="0" w:line="417" w:lineRule="auto"/>
        <w:sectPr>
          <w:pgSz w:w="11910" w:h="16840"/>
          <w:pgMar w:header="877" w:footer="0" w:top="1420" w:bottom="280" w:left="1260" w:right="1480"/>
        </w:sectPr>
      </w:pPr>
    </w:p>
    <w:p>
      <w:pPr>
        <w:pStyle w:val="BodyText"/>
        <w:spacing w:before="110"/>
        <w:ind w:left="960"/>
      </w:pPr>
      <w:r>
        <w:rPr/>
        <w:t>（二）估值对象</w:t>
      </w:r>
    </w:p>
    <w:p>
      <w:pPr>
        <w:pStyle w:val="BodyText"/>
        <w:spacing w:before="6"/>
        <w:rPr>
          <w:sz w:val="15"/>
        </w:rPr>
      </w:pPr>
    </w:p>
    <w:p>
      <w:pPr>
        <w:pStyle w:val="BodyText"/>
        <w:ind w:left="960"/>
      </w:pPr>
      <w:r>
        <w:rPr/>
        <w:t>基金所拥有的债券和银行存款本息、应收款项、其它投资等资产及负债。</w:t>
      </w:r>
    </w:p>
    <w:p>
      <w:pPr>
        <w:pStyle w:val="BodyText"/>
        <w:spacing w:before="7"/>
        <w:rPr>
          <w:sz w:val="15"/>
        </w:rPr>
      </w:pPr>
    </w:p>
    <w:p>
      <w:pPr>
        <w:pStyle w:val="BodyText"/>
        <w:ind w:left="960"/>
      </w:pPr>
      <w:r>
        <w:rPr/>
        <w:t>（三）估值方法</w:t>
      </w:r>
    </w:p>
    <w:p>
      <w:pPr>
        <w:pStyle w:val="BodyText"/>
        <w:spacing w:before="7"/>
        <w:rPr>
          <w:sz w:val="15"/>
        </w:rPr>
      </w:pPr>
    </w:p>
    <w:p>
      <w:pPr>
        <w:pStyle w:val="BodyText"/>
        <w:ind w:left="960"/>
      </w:pPr>
      <w:r>
        <w:rPr/>
        <w:t>本基金所持有的投资品种，按如下原则进行估值：</w:t>
      </w:r>
    </w:p>
    <w:p>
      <w:pPr>
        <w:pStyle w:val="BodyText"/>
        <w:spacing w:before="7"/>
        <w:rPr>
          <w:sz w:val="15"/>
        </w:rPr>
      </w:pPr>
    </w:p>
    <w:p>
      <w:pPr>
        <w:pStyle w:val="BodyText"/>
        <w:ind w:left="960"/>
      </w:pPr>
      <w:r>
        <w:rPr>
          <w:rFonts w:ascii="Times New Roman" w:eastAsia="Times New Roman"/>
        </w:rPr>
        <w:t>1</w:t>
      </w:r>
      <w:r>
        <w:rPr/>
        <w:t>、证券交易所上市的有价证券的估值</w:t>
      </w:r>
    </w:p>
    <w:p>
      <w:pPr>
        <w:pStyle w:val="BodyText"/>
        <w:spacing w:before="6"/>
        <w:rPr>
          <w:sz w:val="15"/>
        </w:rPr>
      </w:pPr>
    </w:p>
    <w:p>
      <w:pPr>
        <w:pStyle w:val="ListParagraph"/>
        <w:numPr>
          <w:ilvl w:val="3"/>
          <w:numId w:val="26"/>
        </w:numPr>
        <w:tabs>
          <w:tab w:pos="1490" w:val="left" w:leader="none"/>
        </w:tabs>
        <w:spacing w:line="417" w:lineRule="auto" w:before="0" w:after="0"/>
        <w:ind w:left="540" w:right="311" w:firstLine="419"/>
        <w:jc w:val="both"/>
        <w:rPr>
          <w:sz w:val="21"/>
        </w:rPr>
      </w:pPr>
      <w:r>
        <w:rPr>
          <w:spacing w:val="-5"/>
          <w:sz w:val="21"/>
        </w:rPr>
        <w:t>交易所上市交易或挂牌转让的固定收益品种</w:t>
      </w:r>
      <w:r>
        <w:rPr>
          <w:spacing w:val="-3"/>
          <w:sz w:val="21"/>
        </w:rPr>
        <w:t>（本合同另有规定的除外</w:t>
      </w:r>
      <w:r>
        <w:rPr>
          <w:spacing w:val="-71"/>
          <w:sz w:val="21"/>
        </w:rPr>
        <w:t>）</w:t>
      </w:r>
      <w:r>
        <w:rPr>
          <w:spacing w:val="-19"/>
          <w:sz w:val="21"/>
        </w:rPr>
        <w:t>，选取估 </w:t>
      </w:r>
      <w:r>
        <w:rPr>
          <w:spacing w:val="-7"/>
          <w:sz w:val="21"/>
        </w:rPr>
        <w:t>值日第三方估值机构提供的相应品种对应的估值净价估值，具体估值机构由基金管理人与托</w:t>
      </w:r>
      <w:r>
        <w:rPr>
          <w:spacing w:val="-2"/>
          <w:sz w:val="21"/>
        </w:rPr>
        <w:t>管人另行协商约定</w:t>
      </w:r>
    </w:p>
    <w:p>
      <w:pPr>
        <w:pStyle w:val="ListParagraph"/>
        <w:numPr>
          <w:ilvl w:val="3"/>
          <w:numId w:val="26"/>
        </w:numPr>
        <w:tabs>
          <w:tab w:pos="1490" w:val="left" w:leader="none"/>
        </w:tabs>
        <w:spacing w:line="417" w:lineRule="auto" w:before="1" w:after="0"/>
        <w:ind w:left="540" w:right="311" w:firstLine="419"/>
        <w:jc w:val="both"/>
        <w:rPr>
          <w:sz w:val="21"/>
        </w:rPr>
      </w:pPr>
      <w:r>
        <w:rPr>
          <w:spacing w:val="-3"/>
          <w:sz w:val="21"/>
        </w:rPr>
        <w:t>交易所上市的可转换债券按估值日收盘价减去债券收盘价中所含的债券应收利息</w:t>
      </w:r>
      <w:r>
        <w:rPr>
          <w:spacing w:val="-9"/>
          <w:sz w:val="21"/>
        </w:rPr>
        <w:t>得到的净价进行估值；估值日没有交易的，且最近交易日后经济环境未发生重大变化，按最</w:t>
      </w:r>
      <w:r>
        <w:rPr>
          <w:spacing w:val="-8"/>
          <w:sz w:val="21"/>
        </w:rPr>
        <w:t>近交易日债券收盘价减去债券收盘价中所含的债券应收利息得到的净价进行估值。如最近交</w:t>
      </w:r>
      <w:r>
        <w:rPr>
          <w:spacing w:val="-10"/>
          <w:sz w:val="21"/>
        </w:rPr>
        <w:t>易日后经济环境发生了重大变化的，可参考类似投资品种的现行市价及重大变化因素，调整</w:t>
      </w:r>
      <w:r>
        <w:rPr>
          <w:spacing w:val="-5"/>
          <w:sz w:val="21"/>
        </w:rPr>
        <w:t>最近交易市价，确定公允价格；</w:t>
      </w:r>
    </w:p>
    <w:p>
      <w:pPr>
        <w:pStyle w:val="ListParagraph"/>
        <w:numPr>
          <w:ilvl w:val="3"/>
          <w:numId w:val="26"/>
        </w:numPr>
        <w:tabs>
          <w:tab w:pos="1490" w:val="left" w:leader="none"/>
        </w:tabs>
        <w:spacing w:line="417" w:lineRule="auto" w:before="0" w:after="0"/>
        <w:ind w:left="540" w:right="31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spacing w:line="417" w:lineRule="auto"/>
        <w:ind w:left="540" w:right="314" w:firstLine="419"/>
      </w:pPr>
      <w:r>
        <w:rPr>
          <w:rFonts w:ascii="Times New Roman" w:eastAsia="Times New Roman"/>
        </w:rPr>
        <w:t>2</w:t>
      </w:r>
      <w:r>
        <w:rPr/>
        <w:t>、首次公开发行未上市的债券，采用估值技术确定公允价值，在估值技术难以可靠计量公允价值的情况下，按成本估值。</w:t>
      </w:r>
    </w:p>
    <w:p>
      <w:pPr>
        <w:pStyle w:val="BodyText"/>
        <w:spacing w:line="417" w:lineRule="auto"/>
        <w:ind w:left="540" w:right="314" w:firstLine="419"/>
      </w:pPr>
      <w:r>
        <w:rPr>
          <w:rFonts w:ascii="Times New Roman" w:eastAsia="Times New Roman"/>
        </w:rPr>
        <w:t>3</w:t>
      </w:r>
      <w:r>
        <w:rPr/>
        <w:t>、全国银行间债券市场交易的债券、资产支持证券等固定收益品种，采用第三方估值机构提供的价格数据进行估值。</w:t>
      </w:r>
    </w:p>
    <w:p>
      <w:pPr>
        <w:pStyle w:val="BodyText"/>
        <w:spacing w:line="269" w:lineRule="exact"/>
        <w:ind w:left="960"/>
      </w:pPr>
      <w:r>
        <w:rPr>
          <w:rFonts w:ascii="Times New Roman" w:eastAsia="Times New Roman"/>
        </w:rPr>
        <w:t>4</w:t>
      </w:r>
      <w:r>
        <w:rPr/>
        <w:t>、同一债券同时在两个或两个以上市场交易的，按债券所处的市场分别估值。</w:t>
      </w:r>
    </w:p>
    <w:p>
      <w:pPr>
        <w:pStyle w:val="BodyText"/>
        <w:spacing w:before="5"/>
        <w:rPr>
          <w:sz w:val="15"/>
        </w:rPr>
      </w:pPr>
    </w:p>
    <w:p>
      <w:pPr>
        <w:pStyle w:val="BodyText"/>
        <w:spacing w:line="417" w:lineRule="auto" w:before="1"/>
        <w:ind w:left="540" w:right="314" w:firstLine="419"/>
      </w:pPr>
      <w:r>
        <w:rPr>
          <w:rFonts w:ascii="Times New Roman" w:eastAsia="Times New Roman"/>
        </w:rPr>
        <w:t>5</w:t>
      </w:r>
      <w:r>
        <w:rPr/>
        <w:t>、中小企业私募债券，采用估值技术确定公允价值，在估值技术难以可靠计量公允价值的情况下，按成本估值。</w:t>
      </w:r>
    </w:p>
    <w:p>
      <w:pPr>
        <w:pStyle w:val="BodyText"/>
        <w:spacing w:line="417" w:lineRule="auto"/>
        <w:ind w:left="540" w:right="314" w:firstLine="419"/>
      </w:pPr>
      <w:r>
        <w:rPr>
          <w:rFonts w:ascii="Times New Roman" w:eastAsia="Times New Roman"/>
        </w:rPr>
        <w:t>6</w:t>
      </w:r>
      <w:r>
        <w:rPr/>
        <w:t>、如有确凿证据表明按上述方法进行估值不能客观反映其公允价值的，基金管理人可根据具体情况与基金托管人商定后，按最能反映公允价值的价格估值。</w:t>
      </w:r>
    </w:p>
    <w:p>
      <w:pPr>
        <w:pStyle w:val="BodyText"/>
        <w:spacing w:line="417" w:lineRule="auto"/>
        <w:ind w:left="540" w:right="314" w:firstLine="419"/>
      </w:pPr>
      <w:r>
        <w:rPr>
          <w:rFonts w:ascii="Times New Roman" w:eastAsia="Times New Roman"/>
        </w:rPr>
        <w:t>7</w:t>
      </w:r>
      <w:r>
        <w:rPr/>
        <w:t>、当发生大额申购或赎回情形时，基金管理人可以采用摆动定价机制，以确保基金估值的公平性。</w:t>
      </w:r>
    </w:p>
    <w:p>
      <w:pPr>
        <w:pStyle w:val="BodyText"/>
        <w:spacing w:line="269" w:lineRule="exact"/>
        <w:ind w:left="960"/>
      </w:pPr>
      <w:r>
        <w:rPr>
          <w:rFonts w:ascii="Times New Roman" w:eastAsia="Times New Roman"/>
        </w:rPr>
        <w:t>8</w:t>
      </w:r>
      <w:r>
        <w:rPr/>
        <w:t>、其他资产按法律法规或监管机构有关规定进行估值。</w:t>
      </w:r>
    </w:p>
    <w:p>
      <w:pPr>
        <w:pStyle w:val="BodyText"/>
        <w:spacing w:before="6"/>
        <w:rPr>
          <w:sz w:val="15"/>
        </w:rPr>
      </w:pPr>
    </w:p>
    <w:p>
      <w:pPr>
        <w:pStyle w:val="BodyText"/>
        <w:spacing w:line="417" w:lineRule="auto"/>
        <w:ind w:left="540" w:right="314" w:firstLine="419"/>
      </w:pPr>
      <w:r>
        <w:rPr>
          <w:rFonts w:ascii="Times New Roman" w:eastAsia="Times New Roman"/>
        </w:rPr>
        <w:t>9</w:t>
      </w:r>
      <w:r>
        <w:rPr/>
        <w:t>、相关法律法规以及监管部门有强制规定的，从其规定。如有新增事项，按国家最新规定估值。</w:t>
      </w:r>
    </w:p>
    <w:p>
      <w:pPr>
        <w:spacing w:after="0" w:line="417" w:lineRule="auto"/>
        <w:sectPr>
          <w:pgSz w:w="11910" w:h="16840"/>
          <w:pgMar w:header="877" w:footer="0" w:top="1420" w:bottom="280" w:left="1260" w:right="1480"/>
        </w:sectPr>
      </w:pPr>
    </w:p>
    <w:p>
      <w:pPr>
        <w:pStyle w:val="BodyText"/>
        <w:spacing w:line="417" w:lineRule="auto" w:before="110"/>
        <w:ind w:left="540" w:right="20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540" w:right="31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ind w:left="960"/>
      </w:pPr>
      <w:r>
        <w:rPr/>
        <w:t>（四</w:t>
      </w:r>
      <w:r>
        <w:rPr>
          <w:spacing w:val="-3"/>
        </w:rPr>
        <w:t>）</w:t>
      </w:r>
      <w:r>
        <w:rPr>
          <w:spacing w:val="-2"/>
        </w:rPr>
        <w:t>估值程序</w:t>
      </w:r>
    </w:p>
    <w:p>
      <w:pPr>
        <w:pStyle w:val="BodyText"/>
        <w:spacing w:before="6"/>
        <w:rPr>
          <w:sz w:val="15"/>
        </w:rPr>
      </w:pPr>
    </w:p>
    <w:p>
      <w:pPr>
        <w:pStyle w:val="BodyText"/>
        <w:spacing w:line="417" w:lineRule="auto"/>
        <w:ind w:left="540" w:right="314" w:firstLine="419"/>
        <w:jc w:val="both"/>
      </w:pPr>
      <w:r>
        <w:rPr>
          <w:rFonts w:ascii="Times New Roman" w:eastAsia="Times New Roman"/>
        </w:rPr>
        <w:t>1</w:t>
      </w:r>
      <w:r>
        <w:rPr>
          <w:spacing w:val="-3"/>
        </w:rPr>
        <w:t>、两类基金份额净值是按照每个工作日闭市后，基金资产净值除以当日该类基金份额</w:t>
      </w:r>
      <w:r>
        <w:rPr>
          <w:spacing w:val="-14"/>
          <w:w w:val="100"/>
        </w:rPr>
        <w:t>的余额数量计算，</w:t>
      </w:r>
      <w:r>
        <w:rPr>
          <w:rFonts w:ascii="Times New Roman" w:eastAsia="Times New Roman"/>
          <w:w w:val="100"/>
        </w:rPr>
        <w:t>A</w:t>
      </w:r>
      <w:r>
        <w:rPr>
          <w:rFonts w:ascii="Times New Roman" w:eastAsia="Times New Roman"/>
          <w:spacing w:val="-1"/>
        </w:rPr>
        <w:t> </w:t>
      </w:r>
      <w:r>
        <w:rPr>
          <w:spacing w:val="-2"/>
          <w:w w:val="100"/>
        </w:rPr>
        <w:t>类和</w:t>
      </w:r>
      <w:r>
        <w:rPr>
          <w:spacing w:val="-54"/>
        </w:rPr>
        <w:t> </w:t>
      </w:r>
      <w:r>
        <w:rPr>
          <w:rFonts w:ascii="Times New Roman" w:eastAsia="Times New Roman"/>
          <w:w w:val="100"/>
        </w:rPr>
        <w:t>C</w:t>
      </w:r>
      <w:r>
        <w:rPr>
          <w:rFonts w:ascii="Times New Roman" w:eastAsia="Times New Roman"/>
          <w:spacing w:val="1"/>
        </w:rPr>
        <w:t> </w:t>
      </w:r>
      <w:r>
        <w:rPr>
          <w:spacing w:val="-3"/>
          <w:w w:val="100"/>
        </w:rPr>
        <w:t>类基金份额净值均精确到</w:t>
      </w:r>
      <w:r>
        <w:rPr>
          <w:spacing w:val="-53"/>
        </w:rPr>
        <w:t> </w:t>
      </w:r>
      <w:r>
        <w:rPr>
          <w:rFonts w:ascii="Times New Roman" w:eastAsia="Times New Roman"/>
          <w:w w:val="100"/>
        </w:rPr>
        <w:t>0.0</w:t>
      </w:r>
      <w:r>
        <w:rPr>
          <w:rFonts w:ascii="Times New Roman" w:eastAsia="Times New Roman"/>
          <w:spacing w:val="-3"/>
          <w:w w:val="100"/>
        </w:rPr>
        <w:t>0</w:t>
      </w:r>
      <w:r>
        <w:rPr>
          <w:rFonts w:ascii="Times New Roman" w:eastAsia="Times New Roman"/>
          <w:w w:val="100"/>
        </w:rPr>
        <w:t>01</w:t>
      </w:r>
      <w:r>
        <w:rPr>
          <w:rFonts w:ascii="Times New Roman" w:eastAsia="Times New Roman"/>
          <w:spacing w:val="-3"/>
        </w:rPr>
        <w:t> </w:t>
      </w:r>
      <w:r>
        <w:rPr>
          <w:spacing w:val="-15"/>
          <w:w w:val="100"/>
        </w:rPr>
        <w:t>元，小数点后第</w:t>
      </w:r>
      <w:r>
        <w:rPr>
          <w:spacing w:val="-55"/>
        </w:rPr>
        <w:t> </w:t>
      </w:r>
      <w:r>
        <w:rPr>
          <w:rFonts w:ascii="Times New Roman" w:eastAsia="Times New Roman"/>
          <w:w w:val="100"/>
        </w:rPr>
        <w:t>5</w:t>
      </w:r>
      <w:r>
        <w:rPr>
          <w:rFonts w:ascii="Times New Roman" w:eastAsia="Times New Roman"/>
        </w:rPr>
        <w:t> </w:t>
      </w:r>
      <w:r>
        <w:rPr>
          <w:spacing w:val="-3"/>
          <w:w w:val="100"/>
        </w:rPr>
        <w:t>位四舍五入。</w:t>
      </w:r>
      <w:r>
        <w:rPr>
          <w:spacing w:val="-3"/>
        </w:rPr>
        <w:t>国家另有规定的，从其规定。</w:t>
      </w:r>
    </w:p>
    <w:p>
      <w:pPr>
        <w:pStyle w:val="BodyText"/>
        <w:spacing w:line="269" w:lineRule="exact"/>
        <w:ind w:left="960"/>
      </w:pPr>
      <w:r>
        <w:rPr/>
        <w:t>每个工作日计算基金资产净值及两类基金份额净值，并按规定公告。</w:t>
      </w:r>
    </w:p>
    <w:p>
      <w:pPr>
        <w:pStyle w:val="BodyText"/>
        <w:spacing w:before="6"/>
        <w:rPr>
          <w:sz w:val="15"/>
        </w:rPr>
      </w:pPr>
    </w:p>
    <w:p>
      <w:pPr>
        <w:pStyle w:val="BodyText"/>
        <w:spacing w:line="417" w:lineRule="auto" w:before="1"/>
        <w:ind w:left="540" w:right="311" w:firstLine="419"/>
        <w:jc w:val="both"/>
      </w:pPr>
      <w:r>
        <w:rPr>
          <w:rFonts w:ascii="Times New Roman" w:eastAsia="Times New Roman"/>
        </w:rPr>
        <w:t>2</w:t>
      </w:r>
      <w:r>
        <w:rPr>
          <w:spacing w:val="-3"/>
        </w:rPr>
        <w:t>、基金管理人应每个工作日对基金资产估值。但基金管理人根据法律法规或本基金合</w:t>
      </w:r>
      <w:r>
        <w:rPr>
          <w:spacing w:val="-9"/>
        </w:rPr>
        <w:t>同的规定暂停估值时除外。基金管理人每个工作日对基金资产估值后，将两类基金份额净值</w:t>
      </w:r>
      <w:r>
        <w:rPr>
          <w:spacing w:val="-5"/>
        </w:rPr>
        <w:t>结果发送基金托管人，经基金托管人复核无误后，由基金管理人按规定对外公布。</w:t>
      </w:r>
    </w:p>
    <w:p>
      <w:pPr>
        <w:pStyle w:val="BodyText"/>
        <w:ind w:left="960"/>
      </w:pPr>
      <w:r>
        <w:rPr/>
        <w:t>（五）估值错误的处理</w:t>
      </w:r>
    </w:p>
    <w:p>
      <w:pPr>
        <w:pStyle w:val="BodyText"/>
        <w:spacing w:before="6"/>
        <w:rPr>
          <w:sz w:val="15"/>
        </w:rPr>
      </w:pPr>
    </w:p>
    <w:p>
      <w:pPr>
        <w:pStyle w:val="BodyText"/>
        <w:spacing w:line="417" w:lineRule="auto"/>
        <w:ind w:left="540" w:right="208" w:firstLine="419"/>
      </w:pPr>
      <w:r>
        <w:rPr>
          <w:spacing w:val="-3"/>
        </w:rPr>
        <w:t>基金管理人和基金托管人将采取必要、适当、合理的措施确保基金资产估值的准确性、</w:t>
      </w:r>
      <w:r>
        <w:rPr>
          <w:spacing w:val="-11"/>
        </w:rPr>
        <w:t>及时性。当 </w:t>
      </w:r>
      <w:r>
        <w:rPr>
          <w:rFonts w:ascii="Times New Roman" w:eastAsia="Times New Roman"/>
        </w:rPr>
        <w:t>A </w:t>
      </w:r>
      <w:r>
        <w:rPr>
          <w:spacing w:val="-17"/>
        </w:rPr>
        <w:t>类或 </w:t>
      </w:r>
      <w:r>
        <w:rPr>
          <w:rFonts w:ascii="Times New Roman" w:eastAsia="Times New Roman"/>
        </w:rPr>
        <w:t>C </w:t>
      </w:r>
      <w:r>
        <w:rPr>
          <w:spacing w:val="-7"/>
        </w:rPr>
        <w:t>类基金份额净值小数点后 </w:t>
      </w:r>
      <w:r>
        <w:rPr>
          <w:rFonts w:ascii="Times New Roman" w:eastAsia="Times New Roman"/>
        </w:rPr>
        <w:t>4 </w:t>
      </w:r>
      <w:r>
        <w:rPr>
          <w:spacing w:val="-2"/>
        </w:rPr>
        <w:t>位以内</w:t>
      </w:r>
      <w:r>
        <w:rPr>
          <w:spacing w:val="-3"/>
        </w:rPr>
        <w:t>（</w:t>
      </w:r>
      <w:r>
        <w:rPr>
          <w:spacing w:val="-16"/>
        </w:rPr>
        <w:t>含第 </w:t>
      </w:r>
      <w:r>
        <w:rPr>
          <w:rFonts w:ascii="Times New Roman" w:eastAsia="Times New Roman"/>
        </w:rPr>
        <w:t>4 </w:t>
      </w:r>
      <w:r>
        <w:rPr/>
        <w:t>位</w:t>
      </w:r>
      <w:r>
        <w:rPr>
          <w:spacing w:val="-3"/>
        </w:rPr>
        <w:t>）发生估值错误时，视为基金份额净值错误。</w:t>
      </w:r>
    </w:p>
    <w:p>
      <w:pPr>
        <w:pStyle w:val="BodyText"/>
        <w:spacing w:line="269" w:lineRule="exact"/>
        <w:ind w:left="960"/>
      </w:pPr>
      <w:r>
        <w:rPr/>
        <w:t>本基金合同的当事人应按照以下约定处理：</w:t>
      </w:r>
    </w:p>
    <w:p>
      <w:pPr>
        <w:pStyle w:val="BodyText"/>
        <w:spacing w:before="7"/>
        <w:rPr>
          <w:sz w:val="15"/>
        </w:rPr>
      </w:pPr>
    </w:p>
    <w:p>
      <w:pPr>
        <w:pStyle w:val="BodyText"/>
        <w:ind w:left="960"/>
      </w:pPr>
      <w:r>
        <w:rPr>
          <w:rFonts w:ascii="Times New Roman" w:eastAsia="Times New Roman"/>
        </w:rPr>
        <w:t>1</w:t>
      </w:r>
      <w:r>
        <w:rPr/>
        <w:t>、估值错误类型</w:t>
      </w:r>
    </w:p>
    <w:p>
      <w:pPr>
        <w:pStyle w:val="BodyText"/>
        <w:spacing w:before="7"/>
        <w:rPr>
          <w:sz w:val="15"/>
        </w:rPr>
      </w:pPr>
    </w:p>
    <w:p>
      <w:pPr>
        <w:pStyle w:val="BodyText"/>
        <w:spacing w:line="417" w:lineRule="auto"/>
        <w:ind w:left="540" w:right="311" w:firstLine="419"/>
        <w:jc w:val="both"/>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w:t>
      </w:r>
      <w:r>
        <w:rPr>
          <w:spacing w:val="-7"/>
        </w:rPr>
        <w:t>估值错误遭受损失当事人</w:t>
      </w:r>
      <w:r>
        <w:rPr/>
        <w:t>（</w:t>
      </w:r>
      <w:r>
        <w:rPr>
          <w:rFonts w:ascii="Times New Roman" w:hAnsi="Times New Roman" w:eastAsia="Times New Roman"/>
        </w:rPr>
        <w:t>“</w:t>
      </w:r>
      <w:r>
        <w:rPr>
          <w:spacing w:val="-2"/>
        </w:rPr>
        <w:t>受损方</w:t>
      </w:r>
      <w:r>
        <w:rPr>
          <w:rFonts w:ascii="Times New Roman" w:hAnsi="Times New Roman" w:eastAsia="Times New Roman"/>
          <w:spacing w:val="-9"/>
        </w:rPr>
        <w:t>”</w:t>
      </w:r>
      <w:r>
        <w:rPr>
          <w:spacing w:val="-9"/>
        </w:rPr>
        <w:t>）</w:t>
      </w:r>
      <w:r>
        <w:rPr>
          <w:spacing w:val="-3"/>
        </w:rPr>
        <w:t>的直接损失按下述</w:t>
      </w:r>
      <w:r>
        <w:rPr>
          <w:rFonts w:ascii="Times New Roman" w:hAnsi="Times New Roman" w:eastAsia="Times New Roman"/>
        </w:rPr>
        <w:t>“</w:t>
      </w:r>
      <w:r>
        <w:rPr>
          <w:spacing w:val="-3"/>
        </w:rPr>
        <w:t>估值错误处理原则</w:t>
      </w:r>
      <w:r>
        <w:rPr>
          <w:rFonts w:ascii="Times New Roman" w:hAnsi="Times New Roman" w:eastAsia="Times New Roman"/>
        </w:rPr>
        <w:t>”</w:t>
      </w:r>
      <w:r>
        <w:rPr>
          <w:spacing w:val="-5"/>
        </w:rPr>
        <w:t>给予赔偿，承</w:t>
      </w:r>
      <w:r>
        <w:rPr>
          <w:spacing w:val="-4"/>
        </w:rPr>
        <w:t>担赔偿责任。</w:t>
      </w:r>
    </w:p>
    <w:p>
      <w:pPr>
        <w:pStyle w:val="BodyText"/>
        <w:spacing w:line="417" w:lineRule="auto"/>
        <w:ind w:left="540" w:right="31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960"/>
      </w:pPr>
      <w:r>
        <w:rPr>
          <w:rFonts w:ascii="Times New Roman" w:eastAsia="Times New Roman"/>
        </w:rPr>
        <w:t>2</w:t>
      </w:r>
      <w:r>
        <w:rPr/>
        <w:t>、估值错误处理原则</w:t>
      </w:r>
    </w:p>
    <w:p>
      <w:pPr>
        <w:pStyle w:val="BodyText"/>
        <w:spacing w:before="7"/>
        <w:rPr>
          <w:sz w:val="15"/>
        </w:rPr>
      </w:pPr>
    </w:p>
    <w:p>
      <w:pPr>
        <w:pStyle w:val="ListParagraph"/>
        <w:numPr>
          <w:ilvl w:val="0"/>
          <w:numId w:val="27"/>
        </w:numPr>
        <w:tabs>
          <w:tab w:pos="1490" w:val="left" w:leader="none"/>
        </w:tabs>
        <w:spacing w:line="417" w:lineRule="auto" w:before="0" w:after="0"/>
        <w:ind w:left="540" w:right="311" w:firstLine="419"/>
        <w:jc w:val="left"/>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，及时进行更正，因更正估值错误发生的费用由估值错误责任方承担；由于估值错误责任方未</w:t>
      </w:r>
    </w:p>
    <w:p>
      <w:pPr>
        <w:spacing w:after="0" w:line="417" w:lineRule="auto"/>
        <w:jc w:val="left"/>
        <w:rPr>
          <w:sz w:val="21"/>
        </w:rPr>
        <w:sectPr>
          <w:pgSz w:w="11910" w:h="16840"/>
          <w:pgMar w:header="877" w:footer="0" w:top="1420" w:bottom="280" w:left="1260" w:right="1480"/>
        </w:sectPr>
      </w:pPr>
    </w:p>
    <w:p>
      <w:pPr>
        <w:pStyle w:val="BodyText"/>
        <w:spacing w:line="417" w:lineRule="auto" w:before="110"/>
        <w:ind w:left="540" w:right="311"/>
        <w:jc w:val="both"/>
      </w:pPr>
      <w:r>
        <w:rPr>
          <w:spacing w:val="-9"/>
        </w:rPr>
        <w:t>及时更正已产生的估值错误，给当事人造成损失的，由估值错误责任方对直接损失承担赔偿</w:t>
      </w:r>
      <w:r>
        <w:rPr>
          <w:spacing w:val="-13"/>
        </w:rPr>
        <w:t>责任；若估值错误责任方已经积极协调，并且有协助义务的当事人有足够的时间进行更正而</w:t>
      </w:r>
      <w:r>
        <w:rPr>
          <w:spacing w:val="-6"/>
        </w:rPr>
        <w:t>未更正，则其应当承担相应赔偿责任。</w:t>
      </w:r>
    </w:p>
    <w:p>
      <w:pPr>
        <w:pStyle w:val="ListParagraph"/>
        <w:numPr>
          <w:ilvl w:val="0"/>
          <w:numId w:val="27"/>
        </w:numPr>
        <w:tabs>
          <w:tab w:pos="1490" w:val="left" w:leader="none"/>
        </w:tabs>
        <w:spacing w:line="417" w:lineRule="auto" w:before="0" w:after="0"/>
        <w:ind w:left="540" w:right="31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7"/>
        </w:numPr>
        <w:tabs>
          <w:tab w:pos="1490" w:val="left" w:leader="none"/>
        </w:tabs>
        <w:spacing w:line="417" w:lineRule="auto" w:before="0" w:after="0"/>
        <w:ind w:left="540" w:right="211"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11"/>
          <w:w w:val="100"/>
          <w:sz w:val="21"/>
        </w:rPr>
        <w:t>造成其他当事人的利益损失</w:t>
      </w:r>
      <w:r>
        <w:rPr>
          <w:w w:val="100"/>
          <w:sz w:val="21"/>
        </w:rPr>
        <w:t>（</w:t>
      </w:r>
      <w:r>
        <w:rPr>
          <w:rFonts w:ascii="Times New Roman" w:hAnsi="Times New Roman" w:eastAsia="Times New Roman"/>
          <w:spacing w:val="-1"/>
          <w:w w:val="100"/>
          <w:sz w:val="21"/>
        </w:rPr>
        <w:t>“</w:t>
      </w:r>
      <w:r>
        <w:rPr>
          <w:w w:val="100"/>
          <w:sz w:val="21"/>
        </w:rPr>
        <w:t>受损方</w:t>
      </w:r>
      <w:r>
        <w:rPr>
          <w:rFonts w:ascii="Times New Roman" w:hAnsi="Times New Roman" w:eastAsia="Times New Roman"/>
          <w:spacing w:val="-1"/>
          <w:w w:val="100"/>
          <w:sz w:val="21"/>
        </w:rPr>
        <w:t>”</w:t>
      </w:r>
      <w:r>
        <w:rPr>
          <w:spacing w:val="-104"/>
          <w:w w:val="100"/>
          <w:sz w:val="21"/>
        </w:rPr>
        <w:t>）</w:t>
      </w:r>
      <w:r>
        <w:rPr>
          <w:spacing w:val="-3"/>
          <w:w w:val="100"/>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pStyle w:val="ListParagraph"/>
        <w:numPr>
          <w:ilvl w:val="0"/>
          <w:numId w:val="27"/>
        </w:numPr>
        <w:tabs>
          <w:tab w:pos="1490" w:val="left" w:leader="none"/>
        </w:tabs>
        <w:spacing w:line="269" w:lineRule="exact" w:before="0" w:after="0"/>
        <w:ind w:left="1489" w:right="0" w:hanging="530"/>
        <w:jc w:val="left"/>
        <w:rPr>
          <w:sz w:val="21"/>
        </w:rPr>
      </w:pPr>
      <w:r>
        <w:rPr>
          <w:spacing w:val="-3"/>
          <w:sz w:val="21"/>
        </w:rPr>
        <w:t>估值错误调整采用尽量恢复至假设未发生估值错误的正确情形的方式。</w:t>
      </w:r>
    </w:p>
    <w:p>
      <w:pPr>
        <w:pStyle w:val="BodyText"/>
        <w:spacing w:before="5"/>
        <w:rPr>
          <w:sz w:val="15"/>
        </w:rPr>
      </w:pPr>
    </w:p>
    <w:p>
      <w:pPr>
        <w:pStyle w:val="BodyText"/>
        <w:spacing w:before="1"/>
        <w:ind w:left="960"/>
      </w:pPr>
      <w:r>
        <w:rPr>
          <w:rFonts w:ascii="Times New Roman" w:eastAsia="Times New Roman"/>
        </w:rPr>
        <w:t>3</w:t>
      </w:r>
      <w:r>
        <w:rPr/>
        <w:t>、估值错误处理程序</w:t>
      </w:r>
    </w:p>
    <w:p>
      <w:pPr>
        <w:pStyle w:val="BodyText"/>
        <w:spacing w:before="6"/>
        <w:rPr>
          <w:sz w:val="15"/>
        </w:rPr>
      </w:pPr>
    </w:p>
    <w:p>
      <w:pPr>
        <w:pStyle w:val="BodyText"/>
        <w:ind w:left="960"/>
      </w:pPr>
      <w:r>
        <w:rPr/>
        <w:t>估值错误被发现后，有关的当事人应当及时进行处理，处理的程序如下：</w:t>
      </w:r>
    </w:p>
    <w:p>
      <w:pPr>
        <w:pStyle w:val="BodyText"/>
        <w:spacing w:before="7"/>
        <w:rPr>
          <w:sz w:val="15"/>
        </w:rPr>
      </w:pPr>
    </w:p>
    <w:p>
      <w:pPr>
        <w:pStyle w:val="ListParagraph"/>
        <w:numPr>
          <w:ilvl w:val="0"/>
          <w:numId w:val="28"/>
        </w:numPr>
        <w:tabs>
          <w:tab w:pos="1490" w:val="left" w:leader="none"/>
        </w:tabs>
        <w:spacing w:line="417" w:lineRule="auto" w:before="1" w:after="0"/>
        <w:ind w:left="540" w:right="31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8"/>
        </w:numPr>
        <w:tabs>
          <w:tab w:pos="1490" w:val="left" w:leader="none"/>
        </w:tabs>
        <w:spacing w:line="269" w:lineRule="exact" w:before="0" w:after="0"/>
        <w:ind w:left="1489" w:right="0" w:hanging="530"/>
        <w:jc w:val="left"/>
        <w:rPr>
          <w:sz w:val="21"/>
        </w:rPr>
      </w:pPr>
      <w:r>
        <w:rPr>
          <w:spacing w:val="-3"/>
          <w:sz w:val="21"/>
        </w:rPr>
        <w:t>根据估值错误处理原则或当事人协商的方法对因估值错误造成的损失进行评估。</w:t>
      </w:r>
    </w:p>
    <w:p>
      <w:pPr>
        <w:pStyle w:val="BodyText"/>
        <w:spacing w:before="6"/>
        <w:rPr>
          <w:sz w:val="15"/>
        </w:rPr>
      </w:pPr>
    </w:p>
    <w:p>
      <w:pPr>
        <w:pStyle w:val="ListParagraph"/>
        <w:numPr>
          <w:ilvl w:val="0"/>
          <w:numId w:val="28"/>
        </w:numPr>
        <w:tabs>
          <w:tab w:pos="1490" w:val="left" w:leader="none"/>
        </w:tabs>
        <w:spacing w:line="417" w:lineRule="auto" w:before="0" w:after="0"/>
        <w:ind w:left="540" w:right="31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8"/>
        </w:numPr>
        <w:tabs>
          <w:tab w:pos="1490" w:val="left" w:leader="none"/>
        </w:tabs>
        <w:spacing w:line="417" w:lineRule="auto" w:before="0" w:after="0"/>
        <w:ind w:left="540" w:right="314" w:firstLine="419"/>
        <w:jc w:val="left"/>
        <w:rPr>
          <w:sz w:val="21"/>
        </w:rPr>
      </w:pPr>
      <w:r>
        <w:rPr>
          <w:spacing w:val="-3"/>
          <w:sz w:val="21"/>
        </w:rPr>
        <w:t>根据估值错误处理的方法，需要修改基金登记机构交易数据的，由基金登记机构进行更正。</w:t>
      </w:r>
    </w:p>
    <w:p>
      <w:pPr>
        <w:pStyle w:val="BodyText"/>
        <w:ind w:left="960"/>
      </w:pPr>
      <w:r>
        <w:rPr>
          <w:rFonts w:ascii="Times New Roman" w:eastAsia="Times New Roman"/>
        </w:rPr>
        <w:t>4</w:t>
      </w:r>
      <w:r>
        <w:rPr/>
        <w:t>、基金份额净值估值错误处理的方法如下：</w:t>
      </w:r>
    </w:p>
    <w:p>
      <w:pPr>
        <w:pStyle w:val="BodyText"/>
        <w:spacing w:before="7"/>
        <w:rPr>
          <w:sz w:val="15"/>
        </w:rPr>
      </w:pPr>
    </w:p>
    <w:p>
      <w:pPr>
        <w:pStyle w:val="ListParagraph"/>
        <w:numPr>
          <w:ilvl w:val="0"/>
          <w:numId w:val="29"/>
        </w:numPr>
        <w:tabs>
          <w:tab w:pos="1490" w:val="left" w:leader="none"/>
        </w:tabs>
        <w:spacing w:line="417" w:lineRule="auto" w:before="0" w:after="0"/>
        <w:ind w:left="540" w:right="31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29"/>
        </w:numPr>
        <w:tabs>
          <w:tab w:pos="1490" w:val="left" w:leader="none"/>
        </w:tabs>
        <w:spacing w:line="417" w:lineRule="auto" w:before="0" w:after="0"/>
        <w:ind w:left="540" w:right="313" w:firstLine="419"/>
        <w:jc w:val="left"/>
        <w:rPr>
          <w:sz w:val="21"/>
        </w:rPr>
      </w:pPr>
      <w:r>
        <w:rPr>
          <w:spacing w:val="-2"/>
          <w:sz w:val="21"/>
        </w:rPr>
        <w:t>错误偏差达到该类基金份额净值的 </w:t>
      </w:r>
      <w:r>
        <w:rPr>
          <w:rFonts w:ascii="Times New Roman" w:eastAsia="Times New Roman"/>
          <w:sz w:val="21"/>
        </w:rPr>
        <w:t>0.25%</w:t>
      </w:r>
      <w:r>
        <w:rPr>
          <w:spacing w:val="-3"/>
          <w:sz w:val="21"/>
        </w:rPr>
        <w:t>时，基金管理人应当通报基金托管人并</w:t>
      </w:r>
      <w:r>
        <w:rPr>
          <w:spacing w:val="-5"/>
          <w:sz w:val="21"/>
        </w:rPr>
        <w:t>报中国证监会备案；错误偏差达到该类基金份额净值的 </w:t>
      </w:r>
      <w:r>
        <w:rPr>
          <w:rFonts w:ascii="Times New Roman" w:eastAsia="Times New Roman"/>
          <w:sz w:val="21"/>
        </w:rPr>
        <w:t>0.5%</w:t>
      </w:r>
      <w:r>
        <w:rPr>
          <w:spacing w:val="-3"/>
          <w:sz w:val="21"/>
        </w:rPr>
        <w:t>时，基金管理人应当公告。</w:t>
      </w:r>
    </w:p>
    <w:p>
      <w:pPr>
        <w:pStyle w:val="ListParagraph"/>
        <w:numPr>
          <w:ilvl w:val="0"/>
          <w:numId w:val="29"/>
        </w:numPr>
        <w:tabs>
          <w:tab w:pos="1490" w:val="left" w:leader="none"/>
        </w:tabs>
        <w:spacing w:line="417" w:lineRule="auto" w:before="0" w:after="0"/>
        <w:ind w:left="540" w:right="104" w:firstLine="419"/>
        <w:jc w:val="left"/>
        <w:rPr>
          <w:sz w:val="21"/>
        </w:rPr>
      </w:pPr>
      <w:r>
        <w:rPr>
          <w:spacing w:val="-3"/>
          <w:sz w:val="21"/>
        </w:rPr>
        <w:t>当基金份额净值计算差错给基金和基金份额持有人造成损失需要进行赔偿时，基 </w:t>
      </w:r>
      <w:r>
        <w:rPr>
          <w:spacing w:val="-7"/>
          <w:sz w:val="21"/>
        </w:rPr>
        <w:t>金管理人和基金托管人应根据实际情况界定双方承担的责任，经确认后按以下条款进行赔偿：</w:t>
      </w:r>
    </w:p>
    <w:p>
      <w:pPr>
        <w:pStyle w:val="BodyText"/>
        <w:spacing w:line="417" w:lineRule="auto"/>
        <w:ind w:left="540" w:right="311" w:firstLine="419"/>
      </w:pPr>
      <w:r>
        <w:rPr>
          <w:spacing w:val="-8"/>
        </w:rPr>
        <w:t>①本基金的基金会计责任方由基金管理人担任，与本基金有关的会计问题，如经双方在</w:t>
      </w:r>
      <w:r>
        <w:rPr>
          <w:spacing w:val="-11"/>
        </w:rPr>
        <w:t>平等基础上充分讨论后，尚不能达成一致时，按基金管理人的建议执行，由此给基金份额持</w:t>
      </w:r>
    </w:p>
    <w:p>
      <w:pPr>
        <w:spacing w:after="0" w:line="417" w:lineRule="auto"/>
        <w:sectPr>
          <w:pgSz w:w="11910" w:h="16840"/>
          <w:pgMar w:header="877" w:footer="0" w:top="1420" w:bottom="280" w:left="1260" w:right="1480"/>
        </w:sectPr>
      </w:pPr>
    </w:p>
    <w:p>
      <w:pPr>
        <w:pStyle w:val="BodyText"/>
        <w:spacing w:before="110"/>
        <w:ind w:left="540"/>
      </w:pPr>
      <w:r>
        <w:rPr/>
        <w:t>有人和基金财产造成的损失，由基金管理人负责赔付。</w:t>
      </w:r>
    </w:p>
    <w:p>
      <w:pPr>
        <w:pStyle w:val="BodyText"/>
        <w:spacing w:before="6"/>
        <w:rPr>
          <w:sz w:val="15"/>
        </w:rPr>
      </w:pPr>
    </w:p>
    <w:p>
      <w:pPr>
        <w:pStyle w:val="BodyText"/>
        <w:spacing w:line="417" w:lineRule="auto"/>
        <w:ind w:left="540" w:right="311" w:firstLine="419"/>
        <w:jc w:val="both"/>
      </w:pPr>
      <w:r>
        <w:rPr>
          <w:spacing w:val="-6"/>
        </w:rPr>
        <w:t>②若基金管理人计算的基金份额净值已由基金托管人复核确认后公告，由此给基金份额</w:t>
      </w:r>
      <w:r>
        <w:rPr>
          <w:spacing w:val="-11"/>
        </w:rPr>
        <w:t>持有人造成损失的，应根据法律法规的规定对投资者或基金支付赔偿金，就实际向投资者或</w:t>
      </w:r>
      <w:r>
        <w:rPr>
          <w:spacing w:val="-6"/>
        </w:rPr>
        <w:t>基金支付的赔偿金额，基金管理人与基金托管人按照过错程度各自承担相应的责任。</w:t>
      </w:r>
    </w:p>
    <w:p>
      <w:pPr>
        <w:pStyle w:val="BodyText"/>
        <w:spacing w:line="417" w:lineRule="auto"/>
        <w:ind w:left="540" w:right="208" w:firstLine="419"/>
      </w:pPr>
      <w:r>
        <w:rPr>
          <w:spacing w:val="-3"/>
        </w:rPr>
        <w:t>③如基金管理人和基金托管人对基金份额净值的计算结果，虽然多次重新计算和核对， </w:t>
      </w:r>
      <w:r>
        <w:rPr>
          <w:spacing w:val="-11"/>
        </w:rPr>
        <w:t>尚不能达成一致时，为避免不能按时公布基金份额净值的情形，以基金管理人的计算结果对</w:t>
      </w:r>
      <w:r>
        <w:rPr>
          <w:spacing w:val="-6"/>
        </w:rPr>
        <w:t>外公布，由此给基金份额持有人和基金造成的损失，由基金管理人负责赔付。</w:t>
      </w:r>
    </w:p>
    <w:p>
      <w:pPr>
        <w:pStyle w:val="BodyText"/>
        <w:spacing w:line="417" w:lineRule="auto"/>
        <w:ind w:left="540" w:right="102" w:firstLine="419"/>
      </w:pPr>
      <w:r>
        <w:rPr>
          <w:spacing w:val="-3"/>
          <w:w w:val="100"/>
        </w:rPr>
        <w:t>④由于基金管理人提供的信息错误</w:t>
      </w:r>
      <w:r>
        <w:rPr>
          <w:w w:val="100"/>
        </w:rPr>
        <w:t>（</w:t>
      </w:r>
      <w:r>
        <w:rPr>
          <w:spacing w:val="-3"/>
          <w:w w:val="100"/>
        </w:rPr>
        <w:t>包括但不限于基金申购或赎回金额等</w:t>
      </w:r>
      <w:r>
        <w:rPr>
          <w:spacing w:val="-106"/>
          <w:w w:val="100"/>
        </w:rPr>
        <w:t>）</w:t>
      </w:r>
      <w:r>
        <w:rPr>
          <w:spacing w:val="-3"/>
          <w:w w:val="100"/>
        </w:rPr>
        <w:t>，进而导致 </w:t>
      </w:r>
      <w:r>
        <w:rPr>
          <w:spacing w:val="-7"/>
        </w:rPr>
        <w:t>基金份额净值计算错误而引起的基金份额持有人和基金财产的损失，由基金管理人负责赔付。</w:t>
      </w:r>
    </w:p>
    <w:p>
      <w:pPr>
        <w:pStyle w:val="ListParagraph"/>
        <w:numPr>
          <w:ilvl w:val="0"/>
          <w:numId w:val="29"/>
        </w:numPr>
        <w:tabs>
          <w:tab w:pos="1490" w:val="left" w:leader="none"/>
        </w:tabs>
        <w:spacing w:line="417" w:lineRule="auto" w:before="0" w:after="0"/>
        <w:ind w:left="540" w:right="314" w:firstLine="419"/>
        <w:jc w:val="left"/>
        <w:rPr>
          <w:sz w:val="21"/>
        </w:rPr>
      </w:pPr>
      <w:r>
        <w:rPr>
          <w:spacing w:val="-3"/>
          <w:sz w:val="21"/>
        </w:rPr>
        <w:t>前述内容如法律法规或者监管部门另有规定的，从其规定。如果行业另有通行做法，双方当事人应本着平等和保护基金份额持有人利益的原则进行协商。</w:t>
      </w:r>
    </w:p>
    <w:p>
      <w:pPr>
        <w:pStyle w:val="BodyText"/>
        <w:spacing w:line="269" w:lineRule="exact"/>
        <w:ind w:left="960"/>
      </w:pPr>
      <w:r>
        <w:rPr/>
        <w:t>（六）暂停估值的情形</w:t>
      </w:r>
    </w:p>
    <w:p>
      <w:pPr>
        <w:pStyle w:val="BodyText"/>
        <w:spacing w:before="6"/>
        <w:rPr>
          <w:sz w:val="15"/>
        </w:rPr>
      </w:pPr>
    </w:p>
    <w:p>
      <w:pPr>
        <w:pStyle w:val="BodyText"/>
        <w:ind w:left="960"/>
      </w:pPr>
      <w:r>
        <w:rPr>
          <w:rFonts w:ascii="Times New Roman" w:eastAsia="Times New Roman"/>
        </w:rPr>
        <w:t>1</w:t>
      </w:r>
      <w:r>
        <w:rPr>
          <w:spacing w:val="-3"/>
        </w:rPr>
        <w:t>、基金投资所涉及的证券交易市场遇法定节假日或因其他原因暂停营业时。</w:t>
      </w:r>
    </w:p>
    <w:p>
      <w:pPr>
        <w:pStyle w:val="BodyText"/>
        <w:spacing w:before="7"/>
        <w:rPr>
          <w:sz w:val="15"/>
        </w:rPr>
      </w:pPr>
    </w:p>
    <w:p>
      <w:pPr>
        <w:pStyle w:val="BodyText"/>
        <w:ind w:left="960"/>
      </w:pPr>
      <w:r>
        <w:rPr>
          <w:rFonts w:ascii="Times New Roman" w:eastAsia="Times New Roman"/>
        </w:rPr>
        <w:t>2</w:t>
      </w:r>
      <w:r>
        <w:rPr>
          <w:spacing w:val="-3"/>
        </w:rPr>
        <w:t>、因不可抗力致使基金管理人、基金托管人无法准确评估基金资产价值时。</w:t>
      </w:r>
    </w:p>
    <w:p>
      <w:pPr>
        <w:pStyle w:val="BodyText"/>
        <w:spacing w:before="7"/>
        <w:rPr>
          <w:sz w:val="15"/>
        </w:rPr>
      </w:pPr>
    </w:p>
    <w:p>
      <w:pPr>
        <w:pStyle w:val="BodyText"/>
        <w:spacing w:line="417" w:lineRule="auto"/>
        <w:ind w:left="540" w:right="311" w:firstLine="419"/>
        <w:jc w:val="both"/>
      </w:pPr>
      <w:r>
        <w:rPr>
          <w:rFonts w:ascii="Times New Roman" w:eastAsia="Times New Roman"/>
        </w:rPr>
        <w:t>3</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spacing w:line="269" w:lineRule="exact"/>
        <w:ind w:left="960"/>
      </w:pPr>
      <w:r>
        <w:rPr>
          <w:rFonts w:ascii="Times New Roman" w:eastAsia="Times New Roman"/>
        </w:rPr>
        <w:t>4</w:t>
      </w:r>
      <w:r>
        <w:rPr/>
        <w:t>、中国证监会和基金合同认定的其它情形。</w:t>
      </w:r>
    </w:p>
    <w:p>
      <w:pPr>
        <w:pStyle w:val="BodyText"/>
        <w:spacing w:before="7"/>
        <w:rPr>
          <w:sz w:val="15"/>
        </w:rPr>
      </w:pPr>
    </w:p>
    <w:p>
      <w:pPr>
        <w:pStyle w:val="BodyText"/>
        <w:ind w:left="960"/>
      </w:pPr>
      <w:r>
        <w:rPr/>
        <w:t>（七）基金净值的确认</w:t>
      </w:r>
    </w:p>
    <w:p>
      <w:pPr>
        <w:pStyle w:val="BodyText"/>
        <w:spacing w:before="7"/>
        <w:rPr>
          <w:sz w:val="15"/>
        </w:rPr>
      </w:pPr>
    </w:p>
    <w:p>
      <w:pPr>
        <w:pStyle w:val="BodyText"/>
        <w:spacing w:line="417" w:lineRule="auto"/>
        <w:ind w:left="540" w:right="208" w:firstLine="419"/>
      </w:pPr>
      <w:r>
        <w:rPr>
          <w:spacing w:val="-3"/>
        </w:rPr>
        <w:t>用于基金信息披露的基金净值信息由基金管理人负责计算，基金托管人负责进行复核。基金管理人应于每个开放日交易结束后计算当日的基金资产净值和两类基金份额净值并发 </w:t>
      </w:r>
      <w:r>
        <w:rPr>
          <w:spacing w:val="-11"/>
        </w:rPr>
        <w:t>送给基金托管人。基金托管人对净值计算结果复核确认后发送给基金管理人，由基金管理人</w:t>
      </w:r>
      <w:r>
        <w:rPr>
          <w:spacing w:val="-6"/>
        </w:rPr>
        <w:t>对基金净值予以公布。</w:t>
      </w:r>
    </w:p>
    <w:p>
      <w:pPr>
        <w:pStyle w:val="BodyText"/>
        <w:ind w:left="960"/>
      </w:pPr>
      <w:r>
        <w:rPr/>
        <w:t>（八）特殊情况的处理</w:t>
      </w:r>
    </w:p>
    <w:p>
      <w:pPr>
        <w:pStyle w:val="BodyText"/>
        <w:spacing w:before="6"/>
        <w:rPr>
          <w:sz w:val="15"/>
        </w:rPr>
      </w:pPr>
    </w:p>
    <w:p>
      <w:pPr>
        <w:pStyle w:val="BodyText"/>
        <w:spacing w:line="417" w:lineRule="auto" w:before="1"/>
        <w:ind w:left="540" w:right="313" w:firstLine="419"/>
        <w:jc w:val="both"/>
      </w:pPr>
      <w:r>
        <w:rPr>
          <w:rFonts w:ascii="Times New Roman" w:eastAsia="Times New Roman"/>
        </w:rPr>
        <w:t>1</w:t>
      </w:r>
      <w:r>
        <w:rPr>
          <w:spacing w:val="-5"/>
        </w:rPr>
        <w:t>、基金管理人或基金托管人按估值方法的第 </w:t>
      </w:r>
      <w:r>
        <w:rPr>
          <w:rFonts w:ascii="Times New Roman" w:eastAsia="Times New Roman"/>
        </w:rPr>
        <w:t>6 </w:t>
      </w:r>
      <w:r>
        <w:rPr>
          <w:spacing w:val="-3"/>
        </w:rPr>
        <w:t>项进行估值时，所造成的误差不作为基金资产估值错误处理。</w:t>
      </w:r>
    </w:p>
    <w:p>
      <w:pPr>
        <w:pStyle w:val="BodyText"/>
        <w:spacing w:line="417" w:lineRule="auto"/>
        <w:ind w:left="540" w:right="311" w:firstLine="419"/>
        <w:jc w:val="both"/>
      </w:pPr>
      <w:r>
        <w:rPr>
          <w:rFonts w:ascii="Times New Roman" w:eastAsia="Times New Roman"/>
        </w:rPr>
        <w:t>2</w:t>
      </w:r>
      <w:r>
        <w:rPr>
          <w:spacing w:val="-3"/>
        </w:rPr>
        <w:t>、由于证券交易所交易所及登记结算公司发送的数据错误或由于其他不可抗力原因， </w:t>
      </w:r>
      <w:r>
        <w:rPr>
          <w:spacing w:val="-8"/>
        </w:rPr>
        <w:t>基金管理人和基金托管人虽然已经采取必要、适当、合理的措施进行检查，但是未能发现该</w:t>
      </w:r>
      <w:r>
        <w:rPr>
          <w:spacing w:val="-10"/>
        </w:rPr>
        <w:t>错误而造成的基金份额净值计算错误，基金管理人、基金托管人免除赔偿责任。但基金管理</w:t>
      </w:r>
      <w:r>
        <w:rPr>
          <w:spacing w:val="-5"/>
        </w:rPr>
        <w:t>人、基金托管人应当积极采取必要的措施减轻或消除由此造成的影响。</w:t>
      </w:r>
    </w:p>
    <w:p>
      <w:pPr>
        <w:spacing w:after="0" w:line="417" w:lineRule="auto"/>
        <w:jc w:val="both"/>
        <w:sectPr>
          <w:pgSz w:w="11910" w:h="16840"/>
          <w:pgMar w:header="877" w:footer="0" w:top="1420" w:bottom="280" w:left="1260" w:right="1480"/>
        </w:sectPr>
      </w:pPr>
    </w:p>
    <w:p>
      <w:pPr>
        <w:pStyle w:val="Heading1"/>
        <w:spacing w:before="110"/>
        <w:ind w:right="2239"/>
      </w:pPr>
      <w:bookmarkStart w:name="_bookmark12" w:id="13"/>
      <w:bookmarkEnd w:id="13"/>
      <w:r>
        <w:rPr>
          <w:b w:val="0"/>
        </w:rPr>
      </w:r>
      <w:r>
        <w:rPr/>
        <w:t>十三、基金的收益与分配</w:t>
      </w:r>
    </w:p>
    <w:p>
      <w:pPr>
        <w:pStyle w:val="BodyText"/>
        <w:rPr>
          <w:b/>
          <w:sz w:val="20"/>
        </w:rPr>
      </w:pPr>
    </w:p>
    <w:p>
      <w:pPr>
        <w:pStyle w:val="BodyText"/>
        <w:spacing w:before="7"/>
        <w:rPr>
          <w:b/>
          <w:sz w:val="15"/>
        </w:rPr>
      </w:pPr>
    </w:p>
    <w:p>
      <w:pPr>
        <w:pStyle w:val="BodyText"/>
        <w:spacing w:before="72"/>
        <w:ind w:left="1013"/>
      </w:pPr>
      <w:r>
        <w:rPr/>
        <w:t>（一）基金利润的构成</w:t>
      </w:r>
    </w:p>
    <w:p>
      <w:pPr>
        <w:pStyle w:val="BodyText"/>
        <w:spacing w:before="7"/>
        <w:rPr>
          <w:sz w:val="15"/>
        </w:rPr>
      </w:pPr>
    </w:p>
    <w:p>
      <w:pPr>
        <w:pStyle w:val="BodyText"/>
        <w:spacing w:line="417" w:lineRule="auto"/>
        <w:ind w:left="540" w:right="315" w:firstLine="472"/>
      </w:pPr>
      <w:r>
        <w:rPr/>
        <w:t>基金利润指基金利息收入、投资收益、公允价值变动收益和其他收入扣除相关费用后的余额，基金已实现收益指基金利润减去公允价值变动收益后的余额。</w:t>
      </w:r>
    </w:p>
    <w:p>
      <w:pPr>
        <w:pStyle w:val="BodyText"/>
        <w:spacing w:line="269" w:lineRule="exact"/>
        <w:ind w:left="1013"/>
      </w:pPr>
      <w:r>
        <w:rPr/>
        <w:t>（二）基金可供分配利润</w:t>
      </w:r>
    </w:p>
    <w:p>
      <w:pPr>
        <w:pStyle w:val="BodyText"/>
        <w:spacing w:before="6"/>
        <w:rPr>
          <w:sz w:val="15"/>
        </w:rPr>
      </w:pPr>
    </w:p>
    <w:p>
      <w:pPr>
        <w:pStyle w:val="BodyText"/>
        <w:spacing w:line="417" w:lineRule="auto" w:before="1"/>
        <w:ind w:left="540" w:right="315" w:firstLine="472"/>
      </w:pPr>
      <w:r>
        <w:rPr/>
        <w:t>基金可供分配利润指截至收益分配基准日基金未分配利润与未分配利润中已实现收益的孰低数。</w:t>
      </w:r>
    </w:p>
    <w:p>
      <w:pPr>
        <w:pStyle w:val="BodyText"/>
        <w:ind w:left="1013"/>
      </w:pPr>
      <w:r>
        <w:rPr/>
        <w:t>（三）基金收益分配原则</w:t>
      </w:r>
    </w:p>
    <w:p>
      <w:pPr>
        <w:pStyle w:val="BodyText"/>
        <w:spacing w:before="6"/>
        <w:rPr>
          <w:sz w:val="15"/>
        </w:rPr>
      </w:pPr>
    </w:p>
    <w:p>
      <w:pPr>
        <w:pStyle w:val="BodyText"/>
        <w:spacing w:line="417" w:lineRule="auto" w:before="1"/>
        <w:ind w:left="540" w:right="311" w:firstLine="472"/>
        <w:jc w:val="both"/>
      </w:pPr>
      <w:r>
        <w:rPr>
          <w:rFonts w:ascii="Times New Roman" w:eastAsia="Times New Roman"/>
        </w:rPr>
        <w:t>1</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540" w:right="311" w:firstLine="472"/>
        <w:jc w:val="both"/>
      </w:pPr>
      <w:r>
        <w:rPr>
          <w:rFonts w:ascii="Times New Roman" w:eastAsia="Times New Roman"/>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540" w:right="311" w:firstLine="472"/>
      </w:pPr>
      <w:r>
        <w:rPr>
          <w:rFonts w:ascii="Times New Roman" w:eastAsia="Times New Roman"/>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269" w:lineRule="exact"/>
        <w:ind w:left="1013"/>
      </w:pPr>
      <w:r>
        <w:rPr>
          <w:rFonts w:ascii="Times New Roman" w:eastAsia="Times New Roman"/>
        </w:rPr>
        <w:t>4</w:t>
      </w:r>
      <w:r>
        <w:rPr/>
        <w:t>、本基金同一类别的每一基金份额享有同等分配权；</w:t>
      </w:r>
    </w:p>
    <w:p>
      <w:pPr>
        <w:pStyle w:val="BodyText"/>
        <w:spacing w:before="5"/>
        <w:rPr>
          <w:sz w:val="15"/>
        </w:rPr>
      </w:pPr>
    </w:p>
    <w:p>
      <w:pPr>
        <w:pStyle w:val="BodyText"/>
        <w:spacing w:before="1"/>
        <w:ind w:left="1013"/>
      </w:pPr>
      <w:r>
        <w:rPr>
          <w:rFonts w:ascii="Times New Roman" w:eastAsia="Times New Roman"/>
        </w:rPr>
        <w:t>5</w:t>
      </w:r>
      <w:r>
        <w:rPr/>
        <w:t>、法律法规或监管机关另有规定的，从其规定。</w:t>
      </w:r>
    </w:p>
    <w:p>
      <w:pPr>
        <w:pStyle w:val="BodyText"/>
        <w:spacing w:before="6"/>
        <w:rPr>
          <w:sz w:val="15"/>
        </w:rPr>
      </w:pPr>
    </w:p>
    <w:p>
      <w:pPr>
        <w:pStyle w:val="BodyText"/>
        <w:spacing w:line="417" w:lineRule="auto"/>
        <w:ind w:left="540" w:right="315" w:firstLine="472"/>
      </w:pPr>
      <w:r>
        <w:rPr/>
        <w:t>在不违反法律法规的情况下，基金管理人、登记机构与基金托管人协商一致后可对基金收益分配原则进行调整，不需召开基金份额持有人大会。</w:t>
      </w:r>
    </w:p>
    <w:p>
      <w:pPr>
        <w:pStyle w:val="BodyText"/>
        <w:spacing w:line="269" w:lineRule="exact"/>
        <w:ind w:left="1013"/>
      </w:pPr>
      <w:r>
        <w:rPr/>
        <w:t>（四）收益分配方案</w:t>
      </w:r>
    </w:p>
    <w:p>
      <w:pPr>
        <w:pStyle w:val="BodyText"/>
        <w:spacing w:before="8"/>
        <w:rPr>
          <w:sz w:val="15"/>
        </w:rPr>
      </w:pPr>
    </w:p>
    <w:p>
      <w:pPr>
        <w:pStyle w:val="BodyText"/>
        <w:spacing w:line="417" w:lineRule="auto"/>
        <w:ind w:left="540" w:right="170" w:firstLine="472"/>
      </w:pPr>
      <w:r>
        <w:rPr/>
        <w:t>基金收益分配方案中应载明截止收益分配基准日的可供分配利润、基金收益分配对象、分配时间、分配数额及比例、分配方式等内容。</w:t>
      </w:r>
    </w:p>
    <w:p>
      <w:pPr>
        <w:pStyle w:val="BodyText"/>
        <w:spacing w:line="269" w:lineRule="exact"/>
        <w:ind w:left="1013"/>
      </w:pPr>
      <w:r>
        <w:rPr/>
        <w:t>（五）收益分配方案的确定、公告与实施</w:t>
      </w:r>
    </w:p>
    <w:p>
      <w:pPr>
        <w:pStyle w:val="BodyText"/>
        <w:spacing w:before="6"/>
        <w:rPr>
          <w:sz w:val="15"/>
        </w:rPr>
      </w:pPr>
    </w:p>
    <w:p>
      <w:pPr>
        <w:pStyle w:val="BodyText"/>
        <w:spacing w:line="417" w:lineRule="auto" w:before="1"/>
        <w:ind w:left="540" w:right="311" w:firstLine="472"/>
      </w:pPr>
      <w:r>
        <w:rPr>
          <w:spacing w:val="-4"/>
        </w:rPr>
        <w:t>本基金收益分配方案由基金管理人拟定，并由基金托管人复核，在 </w:t>
      </w:r>
      <w:r>
        <w:rPr>
          <w:rFonts w:ascii="Times New Roman" w:eastAsia="Times New Roman"/>
        </w:rPr>
        <w:t>2</w:t>
      </w:r>
      <w:r>
        <w:rPr>
          <w:rFonts w:ascii="Times New Roman" w:eastAsia="Times New Roman"/>
          <w:spacing w:val="51"/>
        </w:rPr>
        <w:t> </w:t>
      </w:r>
      <w:r>
        <w:rPr>
          <w:spacing w:val="-3"/>
        </w:rPr>
        <w:t>日内在指定媒介公告。</w:t>
      </w:r>
    </w:p>
    <w:p>
      <w:pPr>
        <w:pStyle w:val="BodyText"/>
        <w:spacing w:line="269" w:lineRule="exact"/>
        <w:ind w:left="1013"/>
      </w:pPr>
      <w:r>
        <w:rPr/>
        <w:t>基金红利发放日距离收益分配基准日（即可供分配利润计算截止日）的时间不得超过</w:t>
      </w:r>
    </w:p>
    <w:p>
      <w:pPr>
        <w:pStyle w:val="BodyText"/>
        <w:spacing w:before="6"/>
        <w:rPr>
          <w:sz w:val="15"/>
        </w:rPr>
      </w:pPr>
    </w:p>
    <w:p>
      <w:pPr>
        <w:pStyle w:val="ListParagraph"/>
        <w:numPr>
          <w:ilvl w:val="0"/>
          <w:numId w:val="10"/>
        </w:numPr>
        <w:tabs>
          <w:tab w:pos="805" w:val="left" w:leader="none"/>
        </w:tabs>
        <w:spacing w:line="240" w:lineRule="auto" w:before="1" w:after="0"/>
        <w:ind w:left="804" w:right="0" w:hanging="265"/>
        <w:jc w:val="left"/>
        <w:rPr>
          <w:sz w:val="21"/>
        </w:rPr>
      </w:pPr>
      <w:r>
        <w:rPr>
          <w:spacing w:val="-3"/>
          <w:sz w:val="21"/>
        </w:rPr>
        <w:t>个工作日。</w:t>
      </w:r>
    </w:p>
    <w:p>
      <w:pPr>
        <w:pStyle w:val="BodyText"/>
        <w:spacing w:before="6"/>
        <w:rPr>
          <w:sz w:val="15"/>
        </w:rPr>
      </w:pPr>
    </w:p>
    <w:p>
      <w:pPr>
        <w:pStyle w:val="BodyText"/>
        <w:ind w:left="1013"/>
      </w:pPr>
      <w:r>
        <w:rPr/>
        <w:t>（六）基金收益分配中发生的费用</w:t>
      </w:r>
    </w:p>
    <w:p>
      <w:pPr>
        <w:spacing w:after="0"/>
        <w:sectPr>
          <w:pgSz w:w="11910" w:h="16840"/>
          <w:pgMar w:header="877" w:footer="0" w:top="1420" w:bottom="280" w:left="1260" w:right="1480"/>
        </w:sectPr>
      </w:pPr>
    </w:p>
    <w:p>
      <w:pPr>
        <w:pStyle w:val="BodyText"/>
        <w:spacing w:line="417" w:lineRule="auto" w:before="110"/>
        <w:ind w:left="540" w:right="311" w:firstLine="472"/>
        <w:jc w:val="both"/>
      </w:pPr>
      <w:r>
        <w:rPr>
          <w:spacing w:val="-1"/>
        </w:rPr>
        <w:t>基金收益分配时所发生的银行转账或其他手续费用由投资者自行承担。当投资者的现</w:t>
      </w:r>
      <w:r>
        <w:rPr>
          <w:spacing w:val="-10"/>
        </w:rPr>
        <w:t>金红利小于一定金额，不足于支付银行转账或其他手续费用时，基金登记机构可将基金份额</w:t>
      </w:r>
      <w:r>
        <w:rPr>
          <w:spacing w:val="-5"/>
        </w:rPr>
        <w:t>持有人的现金红利自动转为基金份额。红利再投资的计算方法，依照《业务规则》执行。</w:t>
      </w:r>
    </w:p>
    <w:p>
      <w:pPr>
        <w:pStyle w:val="BodyText"/>
        <w:spacing w:before="7"/>
        <w:rPr>
          <w:sz w:val="26"/>
        </w:rPr>
      </w:pPr>
    </w:p>
    <w:p>
      <w:pPr>
        <w:pStyle w:val="Heading1"/>
        <w:ind w:right="2239"/>
      </w:pPr>
      <w:bookmarkStart w:name="_bookmark13" w:id="14"/>
      <w:bookmarkEnd w:id="14"/>
      <w:r>
        <w:rPr>
          <w:b w:val="0"/>
        </w:rPr>
      </w:r>
      <w:r>
        <w:rPr/>
        <w:t>十四、基金的费用与税收</w:t>
      </w:r>
    </w:p>
    <w:p>
      <w:pPr>
        <w:pStyle w:val="BodyText"/>
        <w:rPr>
          <w:b/>
          <w:sz w:val="20"/>
        </w:rPr>
      </w:pPr>
    </w:p>
    <w:p>
      <w:pPr>
        <w:pStyle w:val="BodyText"/>
        <w:spacing w:before="2"/>
        <w:rPr>
          <w:b/>
        </w:rPr>
      </w:pPr>
    </w:p>
    <w:p>
      <w:pPr>
        <w:pStyle w:val="BodyText"/>
        <w:ind w:left="960"/>
      </w:pPr>
      <w:r>
        <w:rPr/>
        <w:t>（一）基金运作费用</w:t>
      </w:r>
    </w:p>
    <w:p>
      <w:pPr>
        <w:pStyle w:val="BodyText"/>
        <w:spacing w:before="7"/>
        <w:rPr>
          <w:sz w:val="15"/>
        </w:rPr>
      </w:pPr>
    </w:p>
    <w:p>
      <w:pPr>
        <w:pStyle w:val="BodyText"/>
        <w:ind w:left="960"/>
      </w:pPr>
      <w:r>
        <w:rPr>
          <w:rFonts w:ascii="Times New Roman" w:eastAsia="Times New Roman"/>
        </w:rPr>
        <w:t>1</w:t>
      </w:r>
      <w:r>
        <w:rPr/>
        <w:t>、基金费用的种类</w:t>
      </w:r>
    </w:p>
    <w:p>
      <w:pPr>
        <w:pStyle w:val="BodyText"/>
        <w:spacing w:before="7"/>
        <w:rPr>
          <w:sz w:val="15"/>
        </w:rPr>
      </w:pPr>
    </w:p>
    <w:p>
      <w:pPr>
        <w:pStyle w:val="ListParagraph"/>
        <w:numPr>
          <w:ilvl w:val="1"/>
          <w:numId w:val="10"/>
        </w:numPr>
        <w:tabs>
          <w:tab w:pos="1490" w:val="left" w:leader="none"/>
        </w:tabs>
        <w:spacing w:line="240" w:lineRule="auto" w:before="0" w:after="0"/>
        <w:ind w:left="1489" w:right="0" w:hanging="530"/>
        <w:jc w:val="left"/>
        <w:rPr>
          <w:sz w:val="21"/>
        </w:rPr>
      </w:pPr>
      <w:r>
        <w:rPr>
          <w:spacing w:val="-3"/>
          <w:sz w:val="21"/>
        </w:rPr>
        <w:t>基金管理人的管理费。</w:t>
      </w:r>
    </w:p>
    <w:p>
      <w:pPr>
        <w:pStyle w:val="BodyText"/>
        <w:spacing w:before="7"/>
        <w:rPr>
          <w:sz w:val="15"/>
        </w:rPr>
      </w:pPr>
    </w:p>
    <w:p>
      <w:pPr>
        <w:pStyle w:val="ListParagraph"/>
        <w:numPr>
          <w:ilvl w:val="1"/>
          <w:numId w:val="10"/>
        </w:numPr>
        <w:tabs>
          <w:tab w:pos="1490" w:val="left" w:leader="none"/>
        </w:tabs>
        <w:spacing w:line="240" w:lineRule="auto" w:before="0" w:after="0"/>
        <w:ind w:left="1489" w:right="0" w:hanging="530"/>
        <w:jc w:val="left"/>
        <w:rPr>
          <w:sz w:val="21"/>
        </w:rPr>
      </w:pPr>
      <w:r>
        <w:rPr>
          <w:spacing w:val="-3"/>
          <w:sz w:val="21"/>
        </w:rPr>
        <w:t>基金托管人的托管费。</w:t>
      </w:r>
    </w:p>
    <w:p>
      <w:pPr>
        <w:pStyle w:val="BodyText"/>
        <w:spacing w:before="7"/>
        <w:rPr>
          <w:sz w:val="15"/>
        </w:rPr>
      </w:pPr>
    </w:p>
    <w:p>
      <w:pPr>
        <w:pStyle w:val="ListParagraph"/>
        <w:numPr>
          <w:ilvl w:val="1"/>
          <w:numId w:val="10"/>
        </w:numPr>
        <w:tabs>
          <w:tab w:pos="1490" w:val="left" w:leader="none"/>
        </w:tabs>
        <w:spacing w:line="240" w:lineRule="auto" w:before="0" w:after="0"/>
        <w:ind w:left="1489" w:right="0" w:hanging="530"/>
        <w:jc w:val="left"/>
        <w:rPr>
          <w:sz w:val="21"/>
        </w:rPr>
      </w:pPr>
      <w:r>
        <w:rPr>
          <w:spacing w:val="-3"/>
          <w:sz w:val="21"/>
        </w:rPr>
        <w:t>销售服务费。</w:t>
      </w:r>
    </w:p>
    <w:p>
      <w:pPr>
        <w:pStyle w:val="BodyText"/>
        <w:spacing w:before="6"/>
        <w:rPr>
          <w:sz w:val="15"/>
        </w:rPr>
      </w:pPr>
    </w:p>
    <w:p>
      <w:pPr>
        <w:pStyle w:val="ListParagraph"/>
        <w:numPr>
          <w:ilvl w:val="1"/>
          <w:numId w:val="10"/>
        </w:numPr>
        <w:tabs>
          <w:tab w:pos="1490" w:val="left" w:leader="none"/>
        </w:tabs>
        <w:spacing w:line="417" w:lineRule="auto" w:before="1" w:after="0"/>
        <w:ind w:left="540" w:right="311" w:firstLine="419"/>
        <w:jc w:val="left"/>
        <w:rPr>
          <w:sz w:val="21"/>
        </w:rPr>
      </w:pPr>
      <w:r>
        <w:rPr>
          <w:spacing w:val="-7"/>
          <w:sz w:val="21"/>
        </w:rPr>
        <w:t>除法律法规、中国证监会另有规定外</w:t>
      </w:r>
      <w:r>
        <w:rPr>
          <w:spacing w:val="-15"/>
          <w:sz w:val="21"/>
        </w:rPr>
        <w:t>，《基金合同》生效后与基金相关的信息披 </w:t>
      </w:r>
      <w:r>
        <w:rPr>
          <w:sz w:val="21"/>
        </w:rPr>
        <w:t>露费用。</w:t>
      </w:r>
    </w:p>
    <w:p>
      <w:pPr>
        <w:pStyle w:val="ListParagraph"/>
        <w:numPr>
          <w:ilvl w:val="1"/>
          <w:numId w:val="10"/>
        </w:numPr>
        <w:tabs>
          <w:tab w:pos="1490" w:val="left" w:leader="none"/>
        </w:tabs>
        <w:spacing w:line="269" w:lineRule="exact" w:before="0" w:after="0"/>
        <w:ind w:left="1489" w:right="0" w:hanging="530"/>
        <w:jc w:val="left"/>
        <w:rPr>
          <w:sz w:val="21"/>
        </w:rPr>
      </w:pPr>
      <w:r>
        <w:rPr>
          <w:spacing w:val="-3"/>
          <w:sz w:val="21"/>
        </w:rPr>
        <w:t>《基金合同》生效后与基金相关的会计师费、律师费和诉讼费。</w:t>
      </w:r>
    </w:p>
    <w:p>
      <w:pPr>
        <w:pStyle w:val="BodyText"/>
        <w:spacing w:before="6"/>
        <w:rPr>
          <w:sz w:val="15"/>
        </w:rPr>
      </w:pPr>
    </w:p>
    <w:p>
      <w:pPr>
        <w:pStyle w:val="ListParagraph"/>
        <w:numPr>
          <w:ilvl w:val="1"/>
          <w:numId w:val="10"/>
        </w:numPr>
        <w:tabs>
          <w:tab w:pos="1490" w:val="left" w:leader="none"/>
        </w:tabs>
        <w:spacing w:line="240" w:lineRule="auto" w:before="0" w:after="0"/>
        <w:ind w:left="1489" w:right="0" w:hanging="530"/>
        <w:jc w:val="left"/>
        <w:rPr>
          <w:sz w:val="21"/>
        </w:rPr>
      </w:pPr>
      <w:r>
        <w:rPr>
          <w:spacing w:val="-3"/>
          <w:sz w:val="21"/>
        </w:rPr>
        <w:t>基金份额持有人大会费用。</w:t>
      </w:r>
    </w:p>
    <w:p>
      <w:pPr>
        <w:pStyle w:val="BodyText"/>
        <w:spacing w:before="7"/>
        <w:rPr>
          <w:sz w:val="15"/>
        </w:rPr>
      </w:pPr>
    </w:p>
    <w:p>
      <w:pPr>
        <w:pStyle w:val="ListParagraph"/>
        <w:numPr>
          <w:ilvl w:val="1"/>
          <w:numId w:val="10"/>
        </w:numPr>
        <w:tabs>
          <w:tab w:pos="1490" w:val="left" w:leader="none"/>
        </w:tabs>
        <w:spacing w:line="240" w:lineRule="auto" w:before="1" w:after="0"/>
        <w:ind w:left="1489" w:right="0" w:hanging="530"/>
        <w:jc w:val="left"/>
        <w:rPr>
          <w:sz w:val="21"/>
        </w:rPr>
      </w:pPr>
      <w:r>
        <w:rPr>
          <w:spacing w:val="-3"/>
          <w:sz w:val="21"/>
        </w:rPr>
        <w:t>基金的证券交易费用等。</w:t>
      </w:r>
    </w:p>
    <w:p>
      <w:pPr>
        <w:pStyle w:val="BodyText"/>
        <w:spacing w:before="6"/>
        <w:rPr>
          <w:sz w:val="15"/>
        </w:rPr>
      </w:pPr>
    </w:p>
    <w:p>
      <w:pPr>
        <w:pStyle w:val="ListParagraph"/>
        <w:numPr>
          <w:ilvl w:val="1"/>
          <w:numId w:val="10"/>
        </w:numPr>
        <w:tabs>
          <w:tab w:pos="1490" w:val="left" w:leader="none"/>
        </w:tabs>
        <w:spacing w:line="240" w:lineRule="auto" w:before="0" w:after="0"/>
        <w:ind w:left="1489" w:right="0" w:hanging="530"/>
        <w:jc w:val="left"/>
        <w:rPr>
          <w:sz w:val="21"/>
        </w:rPr>
      </w:pPr>
      <w:r>
        <w:rPr>
          <w:spacing w:val="-3"/>
          <w:sz w:val="21"/>
        </w:rPr>
        <w:t>基金的银行汇划费用。</w:t>
      </w:r>
    </w:p>
    <w:p>
      <w:pPr>
        <w:pStyle w:val="BodyText"/>
        <w:spacing w:before="7"/>
        <w:rPr>
          <w:sz w:val="15"/>
        </w:rPr>
      </w:pPr>
    </w:p>
    <w:p>
      <w:pPr>
        <w:pStyle w:val="ListParagraph"/>
        <w:numPr>
          <w:ilvl w:val="1"/>
          <w:numId w:val="10"/>
        </w:numPr>
        <w:tabs>
          <w:tab w:pos="1490" w:val="left" w:leader="none"/>
        </w:tabs>
        <w:spacing w:line="240" w:lineRule="auto" w:before="0" w:after="0"/>
        <w:ind w:left="1489" w:right="0" w:hanging="530"/>
        <w:jc w:val="left"/>
        <w:rPr>
          <w:sz w:val="21"/>
        </w:rPr>
      </w:pPr>
      <w:r>
        <w:rPr>
          <w:spacing w:val="-3"/>
          <w:sz w:val="21"/>
        </w:rPr>
        <w:t>按照国家有关规定和《基金合同》约定，可以在基金财产中列支的其他费用。</w:t>
      </w:r>
    </w:p>
    <w:p>
      <w:pPr>
        <w:pStyle w:val="BodyText"/>
        <w:spacing w:before="7"/>
        <w:rPr>
          <w:sz w:val="15"/>
        </w:rPr>
      </w:pPr>
    </w:p>
    <w:p>
      <w:pPr>
        <w:pStyle w:val="BodyText"/>
        <w:ind w:left="960"/>
      </w:pPr>
      <w:r>
        <w:rPr>
          <w:rFonts w:ascii="Times New Roman" w:eastAsia="Times New Roman"/>
        </w:rPr>
        <w:t>2</w:t>
      </w:r>
      <w:r>
        <w:rPr/>
        <w:t>、基金费用计提方法、计提标准和支付方式</w:t>
      </w:r>
    </w:p>
    <w:p>
      <w:pPr>
        <w:pStyle w:val="BodyText"/>
        <w:spacing w:before="6"/>
        <w:rPr>
          <w:sz w:val="15"/>
        </w:rPr>
      </w:pPr>
    </w:p>
    <w:p>
      <w:pPr>
        <w:pStyle w:val="ListParagraph"/>
        <w:numPr>
          <w:ilvl w:val="0"/>
          <w:numId w:val="30"/>
        </w:numPr>
        <w:tabs>
          <w:tab w:pos="1490" w:val="left" w:leader="none"/>
        </w:tabs>
        <w:spacing w:line="240" w:lineRule="auto" w:before="1" w:after="0"/>
        <w:ind w:left="1489" w:right="0" w:hanging="530"/>
        <w:jc w:val="left"/>
        <w:rPr>
          <w:sz w:val="21"/>
        </w:rPr>
      </w:pPr>
      <w:r>
        <w:rPr>
          <w:spacing w:val="-3"/>
          <w:sz w:val="21"/>
        </w:rPr>
        <w:t>基金管理人的管理费</w:t>
      </w:r>
    </w:p>
    <w:p>
      <w:pPr>
        <w:pStyle w:val="BodyText"/>
        <w:spacing w:before="6"/>
        <w:rPr>
          <w:sz w:val="15"/>
        </w:rPr>
      </w:pPr>
    </w:p>
    <w:p>
      <w:pPr>
        <w:pStyle w:val="BodyText"/>
        <w:spacing w:line="417" w:lineRule="auto"/>
        <w:ind w:left="540" w:right="313" w:firstLine="419"/>
      </w:pPr>
      <w:r>
        <w:rPr>
          <w:spacing w:val="-8"/>
        </w:rPr>
        <w:t>在通常情况下，基金管理费按前一日基金资产净值的 </w:t>
      </w:r>
      <w:r>
        <w:rPr>
          <w:rFonts w:ascii="Times New Roman" w:eastAsia="Times New Roman"/>
        </w:rPr>
        <w:t>0.30%</w:t>
      </w:r>
      <w:r>
        <w:rPr>
          <w:spacing w:val="-8"/>
        </w:rPr>
        <w:t>年费率计提。管理费的计算</w:t>
      </w:r>
      <w:r>
        <w:rPr>
          <w:spacing w:val="-5"/>
        </w:rPr>
        <w:t>方法如下：</w:t>
      </w:r>
    </w:p>
    <w:p>
      <w:pPr>
        <w:pStyle w:val="BodyText"/>
        <w:spacing w:before="1"/>
        <w:ind w:left="960"/>
      </w:pPr>
      <w:r>
        <w:rPr>
          <w:rFonts w:ascii="Times New Roman" w:hAnsi="Times New Roman" w:eastAsia="Times New Roman"/>
        </w:rPr>
        <w:t>H</w:t>
      </w:r>
      <w:r>
        <w:rPr/>
        <w:t>＝</w:t>
      </w:r>
      <w:r>
        <w:rPr>
          <w:rFonts w:ascii="Times New Roman" w:hAnsi="Times New Roman" w:eastAsia="Times New Roman"/>
        </w:rPr>
        <w:t>E×0.30 %÷</w:t>
      </w:r>
      <w:r>
        <w:rPr/>
        <w:t>当年天数</w:t>
      </w:r>
    </w:p>
    <w:p>
      <w:pPr>
        <w:pStyle w:val="BodyText"/>
        <w:spacing w:before="6"/>
        <w:rPr>
          <w:sz w:val="15"/>
        </w:rPr>
      </w:pPr>
    </w:p>
    <w:p>
      <w:pPr>
        <w:pStyle w:val="BodyText"/>
        <w:ind w:left="960"/>
      </w:pPr>
      <w:r>
        <w:rPr>
          <w:rFonts w:ascii="Times New Roman" w:eastAsia="Times New Roman"/>
        </w:rPr>
        <w:t>H </w:t>
      </w:r>
      <w:r>
        <w:rPr/>
        <w:t>为每日应计提的基金管理费</w:t>
      </w:r>
    </w:p>
    <w:p>
      <w:pPr>
        <w:pStyle w:val="BodyText"/>
        <w:spacing w:before="7"/>
        <w:rPr>
          <w:sz w:val="15"/>
        </w:rPr>
      </w:pPr>
    </w:p>
    <w:p>
      <w:pPr>
        <w:pStyle w:val="BodyText"/>
        <w:ind w:left="960"/>
        <w:jc w:val="both"/>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540" w:right="311" w:firstLine="419"/>
        <w:jc w:val="both"/>
      </w:pPr>
      <w:r>
        <w:rPr>
          <w:spacing w:val="-9"/>
        </w:rPr>
        <w:t>基金管理费每日计提，逐日累计至每月月末，按月支付，经基金管理人与基金托管人核</w:t>
      </w:r>
      <w:r>
        <w:rPr>
          <w:spacing w:val="-12"/>
        </w:rPr>
        <w:t>对一致后，由基金托管人按照与基金管理人协商一致的方式于次月首日起 </w:t>
      </w:r>
      <w:r>
        <w:rPr>
          <w:rFonts w:ascii="Times New Roman" w:eastAsia="Times New Roman"/>
        </w:rPr>
        <w:t>2-5 </w:t>
      </w:r>
      <w:r>
        <w:rPr>
          <w:spacing w:val="-3"/>
        </w:rPr>
        <w:t>个工作日内从基金财产中一次性支付给基金管理人。若遇法定节假日、公休假等，支付日期可顺延。</w:t>
      </w:r>
    </w:p>
    <w:p>
      <w:pPr>
        <w:pStyle w:val="ListParagraph"/>
        <w:numPr>
          <w:ilvl w:val="0"/>
          <w:numId w:val="30"/>
        </w:numPr>
        <w:tabs>
          <w:tab w:pos="1490" w:val="left" w:leader="none"/>
        </w:tabs>
        <w:spacing w:line="269" w:lineRule="exact" w:before="0" w:after="0"/>
        <w:ind w:left="1489" w:right="0" w:hanging="530"/>
        <w:jc w:val="left"/>
        <w:rPr>
          <w:sz w:val="21"/>
        </w:rPr>
      </w:pPr>
      <w:r>
        <w:rPr>
          <w:spacing w:val="-3"/>
          <w:sz w:val="21"/>
        </w:rPr>
        <w:t>基金托管人的托管费</w:t>
      </w:r>
    </w:p>
    <w:p>
      <w:pPr>
        <w:pStyle w:val="BodyText"/>
        <w:spacing w:before="7"/>
        <w:rPr>
          <w:sz w:val="15"/>
        </w:rPr>
      </w:pPr>
    </w:p>
    <w:p>
      <w:pPr>
        <w:pStyle w:val="BodyText"/>
        <w:ind w:left="960"/>
        <w:jc w:val="both"/>
      </w:pPr>
      <w:r>
        <w:rPr/>
        <w:t>本基金的托管费按前一日基金资产净值的 </w:t>
      </w:r>
      <w:r>
        <w:rPr>
          <w:rFonts w:ascii="Times New Roman" w:eastAsia="Times New Roman"/>
        </w:rPr>
        <w:t>0.10%</w:t>
      </w:r>
      <w:r>
        <w:rPr/>
        <w:t>的年费率计提。托管费的计算方法如下：</w:t>
      </w:r>
    </w:p>
    <w:p>
      <w:pPr>
        <w:spacing w:after="0"/>
        <w:jc w:val="both"/>
        <w:sectPr>
          <w:pgSz w:w="11910" w:h="16840"/>
          <w:pgMar w:header="877" w:footer="0" w:top="1420" w:bottom="280" w:left="1260" w:right="1480"/>
        </w:sectPr>
      </w:pPr>
    </w:p>
    <w:p>
      <w:pPr>
        <w:pStyle w:val="BodyText"/>
        <w:spacing w:before="110"/>
        <w:ind w:left="960"/>
      </w:pPr>
      <w:r>
        <w:rPr>
          <w:rFonts w:ascii="Times New Roman" w:hAnsi="Times New Roman" w:eastAsia="Times New Roman"/>
        </w:rPr>
        <w:t>H</w:t>
      </w:r>
      <w:r>
        <w:rPr/>
        <w:t>＝</w:t>
      </w:r>
      <w:r>
        <w:rPr>
          <w:rFonts w:ascii="Times New Roman" w:hAnsi="Times New Roman" w:eastAsia="Times New Roman"/>
        </w:rPr>
        <w:t>E×0.10%÷</w:t>
      </w:r>
      <w:r>
        <w:rPr/>
        <w:t>当年天数</w:t>
      </w:r>
    </w:p>
    <w:p>
      <w:pPr>
        <w:pStyle w:val="BodyText"/>
        <w:spacing w:before="6"/>
        <w:rPr>
          <w:sz w:val="15"/>
        </w:rPr>
      </w:pPr>
    </w:p>
    <w:p>
      <w:pPr>
        <w:pStyle w:val="BodyText"/>
        <w:ind w:left="960"/>
        <w:jc w:val="both"/>
      </w:pPr>
      <w:r>
        <w:rPr>
          <w:rFonts w:ascii="Times New Roman" w:eastAsia="Times New Roman"/>
        </w:rPr>
        <w:t>H </w:t>
      </w:r>
      <w:r>
        <w:rPr/>
        <w:t>为每日应计提的基金托管费</w:t>
      </w:r>
    </w:p>
    <w:p>
      <w:pPr>
        <w:pStyle w:val="BodyText"/>
        <w:spacing w:before="7"/>
        <w:rPr>
          <w:sz w:val="15"/>
        </w:rPr>
      </w:pPr>
    </w:p>
    <w:p>
      <w:pPr>
        <w:pStyle w:val="BodyText"/>
        <w:ind w:left="960"/>
        <w:jc w:val="both"/>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540" w:right="311" w:firstLine="419"/>
        <w:jc w:val="both"/>
      </w:pPr>
      <w:r>
        <w:rPr>
          <w:spacing w:val="-9"/>
        </w:rPr>
        <w:t>基金托管费每日计提，逐日累计至每月月末，按月支付，经基金管理人与基金托管人核</w:t>
      </w:r>
      <w:r>
        <w:rPr>
          <w:spacing w:val="-12"/>
        </w:rPr>
        <w:t>对一致后，由基金托管人按照与基金管理人协商一致的方式于次月首日起 </w:t>
      </w:r>
      <w:r>
        <w:rPr>
          <w:rFonts w:ascii="Times New Roman" w:eastAsia="Times New Roman"/>
        </w:rPr>
        <w:t>2-5 </w:t>
      </w:r>
      <w:r>
        <w:rPr>
          <w:spacing w:val="-3"/>
        </w:rPr>
        <w:t>个工作日内从基金财产中一次性支付给基金托管人。若遇法定节假日、公休假等，支付日期可顺延。</w:t>
      </w:r>
    </w:p>
    <w:p>
      <w:pPr>
        <w:pStyle w:val="ListParagraph"/>
        <w:numPr>
          <w:ilvl w:val="0"/>
          <w:numId w:val="30"/>
        </w:numPr>
        <w:tabs>
          <w:tab w:pos="1490" w:val="left" w:leader="none"/>
        </w:tabs>
        <w:spacing w:line="269" w:lineRule="exact" w:before="0" w:after="0"/>
        <w:ind w:left="1489" w:right="0" w:hanging="530"/>
        <w:jc w:val="left"/>
        <w:rPr>
          <w:sz w:val="21"/>
        </w:rPr>
      </w:pPr>
      <w:r>
        <w:rPr>
          <w:spacing w:val="-3"/>
          <w:sz w:val="21"/>
        </w:rPr>
        <w:t>基金销售服务费</w:t>
      </w:r>
    </w:p>
    <w:p>
      <w:pPr>
        <w:pStyle w:val="BodyText"/>
        <w:spacing w:before="7"/>
        <w:rPr>
          <w:sz w:val="15"/>
        </w:rPr>
      </w:pPr>
    </w:p>
    <w:p>
      <w:pPr>
        <w:pStyle w:val="BodyText"/>
        <w:spacing w:line="417" w:lineRule="auto"/>
        <w:ind w:left="540" w:right="356" w:firstLine="419"/>
      </w:pPr>
      <w:r>
        <w:rPr>
          <w:spacing w:val="15"/>
        </w:rPr>
        <w:t>本基金</w:t>
      </w:r>
      <w:r>
        <w:rPr>
          <w:rFonts w:ascii="Times New Roman" w:eastAsia="Times New Roman"/>
        </w:rPr>
        <w:t>A </w:t>
      </w:r>
      <w:r>
        <w:rPr>
          <w:spacing w:val="-5"/>
        </w:rPr>
        <w:t>类基金份额不收取销售服务费，</w:t>
      </w:r>
      <w:r>
        <w:rPr>
          <w:rFonts w:ascii="Times New Roman" w:eastAsia="Times New Roman"/>
          <w:spacing w:val="-23"/>
        </w:rPr>
        <w:t>C </w:t>
      </w:r>
      <w:r>
        <w:rPr>
          <w:spacing w:val="-6"/>
        </w:rPr>
        <w:t>类基金份额销售服务费年费率为 </w:t>
      </w:r>
      <w:r>
        <w:rPr>
          <w:rFonts w:ascii="Times New Roman" w:eastAsia="Times New Roman"/>
        </w:rPr>
        <w:t>0.10%</w:t>
      </w:r>
      <w:r>
        <w:rPr>
          <w:spacing w:val="-44"/>
        </w:rPr>
        <w:t>。各</w:t>
      </w:r>
      <w:r>
        <w:rPr>
          <w:spacing w:val="-3"/>
        </w:rPr>
        <w:t>类别基金份额的基金销售服务费计提的计算公式具体如下：</w:t>
      </w:r>
    </w:p>
    <w:p>
      <w:pPr>
        <w:pStyle w:val="BodyText"/>
        <w:spacing w:line="269" w:lineRule="exact"/>
        <w:ind w:left="960"/>
      </w:pPr>
      <w:r>
        <w:rPr>
          <w:rFonts w:ascii="Times New Roman" w:hAnsi="Times New Roman" w:eastAsia="Times New Roman"/>
        </w:rPr>
        <w:t>H</w:t>
      </w:r>
      <w:r>
        <w:rPr/>
        <w:t>＝</w:t>
      </w:r>
      <w:r>
        <w:rPr>
          <w:rFonts w:ascii="Times New Roman" w:hAnsi="Times New Roman" w:eastAsia="Times New Roman"/>
        </w:rPr>
        <w:t>E×</w:t>
      </w:r>
      <w:r>
        <w:rPr/>
        <w:t>年销售服务费率÷当年天数</w:t>
      </w:r>
    </w:p>
    <w:p>
      <w:pPr>
        <w:pStyle w:val="BodyText"/>
        <w:spacing w:before="7"/>
        <w:rPr>
          <w:sz w:val="15"/>
        </w:rPr>
      </w:pPr>
    </w:p>
    <w:p>
      <w:pPr>
        <w:pStyle w:val="BodyText"/>
        <w:ind w:left="960"/>
        <w:jc w:val="both"/>
      </w:pPr>
      <w:r>
        <w:rPr>
          <w:rFonts w:ascii="Times New Roman" w:eastAsia="Times New Roman"/>
        </w:rPr>
        <w:t>H </w:t>
      </w:r>
      <w:r>
        <w:rPr/>
        <w:t>为每日该类基金份额应计提的基金销售服务费</w:t>
      </w:r>
    </w:p>
    <w:p>
      <w:pPr>
        <w:pStyle w:val="BodyText"/>
        <w:spacing w:before="7"/>
        <w:rPr>
          <w:sz w:val="15"/>
        </w:rPr>
      </w:pPr>
    </w:p>
    <w:p>
      <w:pPr>
        <w:pStyle w:val="BodyText"/>
        <w:ind w:left="960"/>
        <w:jc w:val="both"/>
      </w:pPr>
      <w:r>
        <w:rPr>
          <w:rFonts w:ascii="Times New Roman" w:eastAsia="Times New Roman"/>
        </w:rPr>
        <w:t>E </w:t>
      </w:r>
      <w:r>
        <w:rPr/>
        <w:t>为前一日该类基金份额的基金资产净值</w:t>
      </w:r>
    </w:p>
    <w:p>
      <w:pPr>
        <w:pStyle w:val="BodyText"/>
        <w:spacing w:before="6"/>
        <w:rPr>
          <w:sz w:val="15"/>
        </w:rPr>
      </w:pPr>
    </w:p>
    <w:p>
      <w:pPr>
        <w:pStyle w:val="BodyText"/>
        <w:spacing w:line="417" w:lineRule="auto" w:before="1"/>
        <w:ind w:left="540" w:right="311" w:firstLine="419"/>
        <w:jc w:val="both"/>
      </w:pPr>
      <w:r>
        <w:rPr>
          <w:spacing w:val="-10"/>
        </w:rPr>
        <w:t>基金销售服务费每日计提，按月支付。由基金托管人根据与基金管理人核对一致的财务</w:t>
      </w:r>
      <w:r>
        <w:rPr>
          <w:spacing w:val="-14"/>
        </w:rPr>
        <w:t>数据，自动在月初 </w:t>
      </w:r>
      <w:r>
        <w:rPr>
          <w:rFonts w:ascii="Times New Roman" w:eastAsia="Times New Roman"/>
        </w:rPr>
        <w:t>5 </w:t>
      </w:r>
      <w:r>
        <w:rPr>
          <w:spacing w:val="-6"/>
        </w:rPr>
        <w:t>个工作日内从基金财产中一次性支付给登记机构，由登记机构代付给销</w:t>
      </w:r>
      <w:r>
        <w:rPr>
          <w:spacing w:val="-4"/>
        </w:rPr>
        <w:t>售机构。若遇法定节假日、休息日等，支付日期顺延。</w:t>
      </w:r>
    </w:p>
    <w:p>
      <w:pPr>
        <w:pStyle w:val="BodyText"/>
        <w:spacing w:line="417" w:lineRule="auto"/>
        <w:ind w:left="540" w:right="313" w:firstLine="419"/>
      </w:pPr>
      <w:r>
        <w:rPr/>
        <w:t>上述</w:t>
      </w:r>
      <w:r>
        <w:rPr>
          <w:rFonts w:ascii="Times New Roman" w:hAnsi="Times New Roman" w:eastAsia="Times New Roman"/>
          <w:spacing w:val="-7"/>
        </w:rPr>
        <w:t>“</w:t>
      </w:r>
      <w:r>
        <w:rPr>
          <w:spacing w:val="-7"/>
        </w:rPr>
        <w:t>（</w:t>
      </w:r>
      <w:r>
        <w:rPr/>
        <w:t>一</w:t>
      </w:r>
      <w:r>
        <w:rPr>
          <w:spacing w:val="-7"/>
        </w:rPr>
        <w:t>）</w:t>
      </w:r>
      <w:r>
        <w:rPr>
          <w:rFonts w:ascii="Times New Roman" w:hAnsi="Times New Roman" w:eastAsia="Times New Roman"/>
          <w:spacing w:val="-7"/>
        </w:rPr>
        <w:t>1</w:t>
      </w:r>
      <w:r>
        <w:rPr>
          <w:spacing w:val="-7"/>
        </w:rPr>
        <w:t>、基金费用的种类”中第</w:t>
      </w:r>
      <w:r>
        <w:rPr>
          <w:spacing w:val="-6"/>
        </w:rPr>
        <w:t>（</w:t>
      </w:r>
      <w:r>
        <w:rPr>
          <w:rFonts w:ascii="Times New Roman" w:hAnsi="Times New Roman" w:eastAsia="Times New Roman"/>
          <w:spacing w:val="-6"/>
        </w:rPr>
        <w:t>4</w:t>
      </w:r>
      <w:r>
        <w:rPr>
          <w:spacing w:val="-6"/>
        </w:rPr>
        <w:t>）－（</w:t>
      </w:r>
      <w:r>
        <w:rPr>
          <w:rFonts w:ascii="Times New Roman" w:hAnsi="Times New Roman" w:eastAsia="Times New Roman"/>
          <w:spacing w:val="-6"/>
        </w:rPr>
        <w:t>9</w:t>
      </w:r>
      <w:r>
        <w:rPr>
          <w:spacing w:val="-6"/>
        </w:rPr>
        <w:t>）</w:t>
      </w:r>
      <w:r>
        <w:rPr>
          <w:spacing w:val="-4"/>
        </w:rPr>
        <w:t>项费用，根据有关法规及相应协议</w:t>
      </w:r>
      <w:r>
        <w:rPr>
          <w:spacing w:val="-3"/>
        </w:rPr>
        <w:t>规定，按费用实际支出金额列入当期费用，由基金托管人从基金财产中支付。</w:t>
      </w:r>
    </w:p>
    <w:p>
      <w:pPr>
        <w:pStyle w:val="BodyText"/>
        <w:spacing w:line="269" w:lineRule="exact"/>
        <w:ind w:left="960"/>
      </w:pPr>
      <w:r>
        <w:rPr/>
        <w:t>（二）基金销售费用</w:t>
      </w:r>
    </w:p>
    <w:p>
      <w:pPr>
        <w:pStyle w:val="BodyText"/>
        <w:spacing w:before="6"/>
        <w:rPr>
          <w:sz w:val="15"/>
        </w:rPr>
      </w:pPr>
    </w:p>
    <w:p>
      <w:pPr>
        <w:pStyle w:val="BodyText"/>
        <w:spacing w:line="417" w:lineRule="auto"/>
        <w:ind w:left="540" w:right="311" w:firstLine="419"/>
        <w:jc w:val="both"/>
      </w:pPr>
      <w:r>
        <w:rPr>
          <w:spacing w:val="-11"/>
        </w:rPr>
        <w:t>本基金申购费、赎回费的费率水平、计算公式、收取方式和使用方式请详见本招募说明书</w:t>
      </w:r>
      <w:r>
        <w:rPr>
          <w:rFonts w:ascii="Times New Roman" w:hAnsi="Times New Roman" w:eastAsia="Times New Roman"/>
          <w:spacing w:val="-11"/>
        </w:rPr>
        <w:t>“</w:t>
      </w:r>
      <w:r>
        <w:rPr>
          <w:spacing w:val="-11"/>
        </w:rPr>
        <w:t>八、基金份额的申购、赎回与转换</w:t>
      </w:r>
      <w:r>
        <w:rPr>
          <w:rFonts w:ascii="Times New Roman" w:hAnsi="Times New Roman" w:eastAsia="Times New Roman"/>
        </w:rPr>
        <w:t>”</w:t>
      </w:r>
      <w:r>
        <w:rPr/>
        <w:t>中的</w:t>
      </w:r>
      <w:r>
        <w:rPr>
          <w:rFonts w:ascii="Times New Roman" w:hAnsi="Times New Roman" w:eastAsia="Times New Roman"/>
        </w:rPr>
        <w:t>“</w:t>
      </w:r>
      <w:r>
        <w:rPr/>
        <w:t>（六）申购费与赎回费</w:t>
      </w:r>
      <w:r>
        <w:rPr>
          <w:rFonts w:ascii="Times New Roman" w:hAnsi="Times New Roman" w:eastAsia="Times New Roman"/>
        </w:rPr>
        <w:t>”</w:t>
      </w:r>
      <w:r>
        <w:rPr/>
        <w:t>与</w:t>
      </w:r>
      <w:r>
        <w:rPr>
          <w:rFonts w:ascii="Times New Roman" w:hAnsi="Times New Roman" w:eastAsia="Times New Roman"/>
        </w:rPr>
        <w:t>“</w:t>
      </w:r>
      <w:r>
        <w:rPr/>
        <w:t>（七）申购份额与</w:t>
      </w:r>
      <w:r>
        <w:rPr>
          <w:spacing w:val="-3"/>
        </w:rPr>
        <w:t>赎回金额的计算方式</w:t>
      </w:r>
      <w:r>
        <w:rPr>
          <w:rFonts w:ascii="Times New Roman" w:hAnsi="Times New Roman" w:eastAsia="Times New Roman"/>
        </w:rPr>
        <w:t>”</w:t>
      </w:r>
      <w:r>
        <w:rPr>
          <w:spacing w:val="-3"/>
        </w:rPr>
        <w:t>中的相关规定。</w:t>
      </w:r>
    </w:p>
    <w:p>
      <w:pPr>
        <w:pStyle w:val="BodyText"/>
        <w:spacing w:line="417" w:lineRule="auto"/>
        <w:ind w:left="960" w:right="5470"/>
      </w:pPr>
      <w:r>
        <w:rPr/>
        <w:t>（三）不列入基金费用的项目下列费用不列入基金费用：</w:t>
      </w:r>
    </w:p>
    <w:p>
      <w:pPr>
        <w:pStyle w:val="BodyText"/>
        <w:spacing w:line="417" w:lineRule="auto"/>
        <w:ind w:left="540" w:right="314" w:firstLine="419"/>
      </w:pPr>
      <w:r>
        <w:rPr>
          <w:rFonts w:ascii="Times New Roman" w:eastAsia="Times New Roman"/>
        </w:rPr>
        <w:t>1</w:t>
      </w:r>
      <w:r>
        <w:rPr/>
        <w:t>、基金管理人和基金托管人因未履行或未完全履行义务导致的费用支出或基金财产的损失。</w:t>
      </w:r>
    </w:p>
    <w:p>
      <w:pPr>
        <w:pStyle w:val="BodyText"/>
        <w:spacing w:line="269" w:lineRule="exact"/>
        <w:ind w:left="960"/>
      </w:pPr>
      <w:r>
        <w:rPr>
          <w:rFonts w:ascii="Times New Roman" w:eastAsia="Times New Roman"/>
        </w:rPr>
        <w:t>2</w:t>
      </w:r>
      <w:r>
        <w:rPr/>
        <w:t>、基金管理人和基金托管人处理与基金运作无关的事项发生的费用。</w:t>
      </w:r>
    </w:p>
    <w:p>
      <w:pPr>
        <w:pStyle w:val="BodyText"/>
        <w:spacing w:before="7"/>
        <w:rPr>
          <w:sz w:val="15"/>
        </w:rPr>
      </w:pPr>
    </w:p>
    <w:p>
      <w:pPr>
        <w:pStyle w:val="BodyText"/>
        <w:ind w:left="960"/>
      </w:pPr>
      <w:r>
        <w:rPr>
          <w:rFonts w:ascii="Times New Roman" w:eastAsia="Times New Roman"/>
        </w:rPr>
        <w:t>3</w:t>
      </w:r>
      <w:r>
        <w:rPr/>
        <w:t>、《基金合同》生效前的相关费用。</w:t>
      </w:r>
    </w:p>
    <w:p>
      <w:pPr>
        <w:pStyle w:val="BodyText"/>
        <w:spacing w:before="6"/>
        <w:rPr>
          <w:sz w:val="15"/>
        </w:rPr>
      </w:pPr>
    </w:p>
    <w:p>
      <w:pPr>
        <w:pStyle w:val="BodyText"/>
        <w:ind w:left="960"/>
      </w:pPr>
      <w:r>
        <w:rPr>
          <w:rFonts w:ascii="Times New Roman" w:eastAsia="Times New Roman"/>
        </w:rPr>
        <w:t>4</w:t>
      </w:r>
      <w:r>
        <w:rPr/>
        <w:t>、其他根据相关法律法规及中国证监会的有关规定不得列入基金费用的项目。</w:t>
      </w:r>
    </w:p>
    <w:p>
      <w:pPr>
        <w:pStyle w:val="BodyText"/>
        <w:spacing w:before="7"/>
        <w:rPr>
          <w:sz w:val="15"/>
        </w:rPr>
      </w:pPr>
    </w:p>
    <w:p>
      <w:pPr>
        <w:pStyle w:val="BodyText"/>
        <w:spacing w:before="1"/>
        <w:ind w:left="960"/>
      </w:pPr>
      <w:r>
        <w:rPr/>
        <w:t>（四）基金税收</w:t>
      </w:r>
    </w:p>
    <w:p>
      <w:pPr>
        <w:pStyle w:val="BodyText"/>
        <w:spacing w:before="6"/>
        <w:rPr>
          <w:sz w:val="15"/>
        </w:rPr>
      </w:pPr>
    </w:p>
    <w:p>
      <w:pPr>
        <w:pStyle w:val="BodyText"/>
        <w:ind w:left="960"/>
      </w:pPr>
      <w:r>
        <w:rPr/>
        <w:t>本基金运作过程中涉及的各纳税主体，其纳税义务按国家税收法律、法规执行。基金财</w:t>
      </w:r>
    </w:p>
    <w:p>
      <w:pPr>
        <w:spacing w:after="0"/>
        <w:sectPr>
          <w:pgSz w:w="11910" w:h="16840"/>
          <w:pgMar w:header="877" w:footer="0" w:top="1420" w:bottom="280" w:left="1260" w:right="1480"/>
        </w:sectPr>
      </w:pPr>
    </w:p>
    <w:p>
      <w:pPr>
        <w:pStyle w:val="BodyText"/>
        <w:spacing w:line="417" w:lineRule="auto" w:before="110"/>
        <w:ind w:left="540" w:right="311"/>
      </w:pPr>
      <w:r>
        <w:rPr>
          <w:spacing w:val="-12"/>
        </w:rPr>
        <w:t>产投资的相关税收，由基金份额持有人承担，基金管理人或者其他扣缴义务人按照国家有关</w:t>
      </w:r>
      <w:r>
        <w:rPr>
          <w:spacing w:val="-6"/>
        </w:rPr>
        <w:t>税收征收的规定代扣代缴。</w:t>
      </w:r>
    </w:p>
    <w:p>
      <w:pPr>
        <w:pStyle w:val="Heading1"/>
        <w:spacing w:before="119"/>
        <w:ind w:left="3533" w:right="0"/>
        <w:jc w:val="left"/>
      </w:pPr>
      <w:bookmarkStart w:name="_bookmark14" w:id="15"/>
      <w:bookmarkEnd w:id="15"/>
      <w:r>
        <w:rPr>
          <w:b w:val="0"/>
        </w:rPr>
      </w:r>
      <w:r>
        <w:rPr/>
        <w:t>十五、基金的会计与审计</w:t>
      </w:r>
    </w:p>
    <w:p>
      <w:pPr>
        <w:pStyle w:val="BodyText"/>
        <w:spacing w:before="12"/>
        <w:rPr>
          <w:b/>
          <w:sz w:val="24"/>
        </w:rPr>
      </w:pPr>
    </w:p>
    <w:p>
      <w:pPr>
        <w:pStyle w:val="BodyText"/>
        <w:ind w:left="960"/>
      </w:pPr>
      <w:r>
        <w:rPr/>
        <w:t>（一）基金会计政策</w:t>
      </w:r>
    </w:p>
    <w:p>
      <w:pPr>
        <w:pStyle w:val="BodyText"/>
        <w:spacing w:before="6"/>
        <w:rPr>
          <w:sz w:val="15"/>
        </w:rPr>
      </w:pPr>
    </w:p>
    <w:p>
      <w:pPr>
        <w:pStyle w:val="BodyText"/>
        <w:spacing w:before="1"/>
        <w:ind w:left="960"/>
      </w:pPr>
      <w:r>
        <w:rPr>
          <w:rFonts w:ascii="Times New Roman" w:eastAsia="Times New Roman"/>
        </w:rPr>
        <w:t>1</w:t>
      </w:r>
      <w:r>
        <w:rPr/>
        <w:t>、基金管理人为本基金的基金会计责任方。</w:t>
      </w:r>
    </w:p>
    <w:p>
      <w:pPr>
        <w:pStyle w:val="BodyText"/>
        <w:spacing w:before="6"/>
        <w:rPr>
          <w:sz w:val="15"/>
        </w:rPr>
      </w:pPr>
    </w:p>
    <w:p>
      <w:pPr>
        <w:pStyle w:val="BodyText"/>
        <w:ind w:left="96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7"/>
        <w:rPr>
          <w:sz w:val="15"/>
        </w:rPr>
      </w:pPr>
    </w:p>
    <w:p>
      <w:pPr>
        <w:pStyle w:val="BodyText"/>
        <w:ind w:left="960"/>
      </w:pPr>
      <w:r>
        <w:rPr>
          <w:rFonts w:ascii="Times New Roman" w:eastAsia="Times New Roman"/>
        </w:rPr>
        <w:t>3</w:t>
      </w:r>
      <w:r>
        <w:rPr/>
        <w:t>、基金核算以人民币为记账本位币，以人民币元为记账单位。</w:t>
      </w:r>
    </w:p>
    <w:p>
      <w:pPr>
        <w:pStyle w:val="BodyText"/>
        <w:spacing w:before="7"/>
        <w:rPr>
          <w:sz w:val="15"/>
        </w:rPr>
      </w:pPr>
    </w:p>
    <w:p>
      <w:pPr>
        <w:pStyle w:val="BodyText"/>
        <w:ind w:left="960"/>
      </w:pPr>
      <w:r>
        <w:rPr>
          <w:rFonts w:ascii="Times New Roman" w:eastAsia="Times New Roman"/>
        </w:rPr>
        <w:t>4</w:t>
      </w:r>
      <w:r>
        <w:rPr/>
        <w:t>、会计制度执行国家有关会计制度。</w:t>
      </w:r>
    </w:p>
    <w:p>
      <w:pPr>
        <w:pStyle w:val="BodyText"/>
        <w:spacing w:before="7"/>
        <w:rPr>
          <w:sz w:val="15"/>
        </w:rPr>
      </w:pPr>
    </w:p>
    <w:p>
      <w:pPr>
        <w:pStyle w:val="BodyText"/>
        <w:ind w:left="960"/>
      </w:pPr>
      <w:r>
        <w:rPr>
          <w:rFonts w:ascii="Times New Roman" w:eastAsia="Times New Roman"/>
        </w:rPr>
        <w:t>5</w:t>
      </w:r>
      <w:r>
        <w:rPr/>
        <w:t>、本基金独立建账、独立核算。</w:t>
      </w:r>
    </w:p>
    <w:p>
      <w:pPr>
        <w:pStyle w:val="BodyText"/>
        <w:spacing w:before="7"/>
        <w:rPr>
          <w:sz w:val="15"/>
        </w:rPr>
      </w:pPr>
    </w:p>
    <w:p>
      <w:pPr>
        <w:pStyle w:val="BodyText"/>
        <w:spacing w:line="417" w:lineRule="auto"/>
        <w:ind w:left="540" w:right="31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540" w:right="314" w:firstLine="419"/>
      </w:pPr>
      <w:r>
        <w:rPr>
          <w:rFonts w:ascii="Times New Roman" w:eastAsia="Times New Roman"/>
        </w:rPr>
        <w:t>7</w:t>
      </w:r>
      <w:r>
        <w:rPr/>
        <w:t>、基金托管人每月与基金管理人就基金的会计核算、报表编制等进行核对并以书面方式确认。</w:t>
      </w:r>
    </w:p>
    <w:p>
      <w:pPr>
        <w:pStyle w:val="BodyText"/>
        <w:spacing w:line="269" w:lineRule="exact"/>
        <w:ind w:left="960"/>
      </w:pPr>
      <w:r>
        <w:rPr/>
        <w:t>（二）基金的年度审计</w:t>
      </w:r>
    </w:p>
    <w:p>
      <w:pPr>
        <w:pStyle w:val="BodyText"/>
        <w:spacing w:before="7"/>
        <w:rPr>
          <w:sz w:val="15"/>
        </w:rPr>
      </w:pPr>
    </w:p>
    <w:p>
      <w:pPr>
        <w:pStyle w:val="BodyText"/>
        <w:spacing w:line="417" w:lineRule="auto"/>
        <w:ind w:left="540" w:right="314" w:firstLine="419"/>
      </w:pPr>
      <w:r>
        <w:rPr>
          <w:rFonts w:ascii="Times New Roman" w:eastAsia="Times New Roman"/>
        </w:rPr>
        <w:t>1</w:t>
      </w:r>
      <w:r>
        <w:rPr/>
        <w:t>、基金管理人聘请与基金管理人、基金托管人相互独立的具有证券从业资格的会计师事务所及其注册会计师对本基金的年度财务报表进行审计。</w:t>
      </w:r>
    </w:p>
    <w:p>
      <w:pPr>
        <w:pStyle w:val="BodyText"/>
        <w:spacing w:line="269" w:lineRule="exact"/>
        <w:ind w:left="960"/>
      </w:pPr>
      <w:r>
        <w:rPr>
          <w:rFonts w:ascii="Times New Roman" w:eastAsia="Times New Roman"/>
        </w:rPr>
        <w:t>2</w:t>
      </w:r>
      <w:r>
        <w:rPr/>
        <w:t>、会计师事务所更换经办注册会计师，应事先征得基金管理人同意。</w:t>
      </w:r>
    </w:p>
    <w:p>
      <w:pPr>
        <w:pStyle w:val="BodyText"/>
        <w:spacing w:before="6"/>
        <w:rPr>
          <w:sz w:val="15"/>
        </w:rPr>
      </w:pPr>
    </w:p>
    <w:p>
      <w:pPr>
        <w:pStyle w:val="BodyText"/>
        <w:spacing w:line="417" w:lineRule="auto"/>
        <w:ind w:left="540" w:right="314" w:firstLine="41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pStyle w:val="Heading1"/>
        <w:spacing w:before="120"/>
        <w:ind w:left="3639" w:right="0"/>
        <w:jc w:val="left"/>
      </w:pPr>
      <w:bookmarkStart w:name="_bookmark15" w:id="16"/>
      <w:bookmarkEnd w:id="16"/>
      <w:r>
        <w:rPr>
          <w:b w:val="0"/>
        </w:rPr>
      </w:r>
      <w:r>
        <w:rPr/>
        <w:t>十六、基金的信息披露</w:t>
      </w:r>
    </w:p>
    <w:p>
      <w:pPr>
        <w:pStyle w:val="BodyText"/>
        <w:spacing w:before="12"/>
        <w:rPr>
          <w:b/>
          <w:sz w:val="24"/>
        </w:rPr>
      </w:pPr>
    </w:p>
    <w:p>
      <w:pPr>
        <w:pStyle w:val="BodyText"/>
        <w:spacing w:line="417" w:lineRule="auto"/>
        <w:ind w:left="540" w:right="315" w:firstLine="419"/>
      </w:pPr>
      <w:r>
        <w:rPr/>
        <w:t>（</w:t>
      </w:r>
      <w:r>
        <w:rPr>
          <w:spacing w:val="-3"/>
        </w:rPr>
        <w:t>一</w:t>
      </w:r>
      <w:r>
        <w:rPr>
          <w:spacing w:val="-61"/>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spacing w:line="269" w:lineRule="exact"/>
        <w:ind w:left="960"/>
      </w:pPr>
      <w:r>
        <w:rPr/>
        <w:t>（二）信息披露义务人</w:t>
      </w:r>
    </w:p>
    <w:p>
      <w:pPr>
        <w:pStyle w:val="BodyText"/>
        <w:spacing w:before="7"/>
        <w:rPr>
          <w:sz w:val="15"/>
        </w:rPr>
      </w:pPr>
    </w:p>
    <w:p>
      <w:pPr>
        <w:pStyle w:val="BodyText"/>
        <w:spacing w:line="417" w:lineRule="auto"/>
        <w:ind w:left="540" w:right="31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540" w:right="31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pPr>
        <w:pStyle w:val="BodyText"/>
        <w:ind w:left="960"/>
      </w:pPr>
      <w:r>
        <w:rPr/>
        <w:t>本基金信息披露义务人应当在中国证监会规定时间内，将应予披露的基金信息通过中国</w:t>
      </w:r>
    </w:p>
    <w:p>
      <w:pPr>
        <w:spacing w:after="0"/>
        <w:sectPr>
          <w:pgSz w:w="11910" w:h="16840"/>
          <w:pgMar w:header="877" w:footer="0" w:top="1420" w:bottom="280" w:left="1260" w:right="1480"/>
        </w:sectPr>
      </w:pPr>
    </w:p>
    <w:p>
      <w:pPr>
        <w:pStyle w:val="BodyText"/>
        <w:spacing w:line="417" w:lineRule="auto" w:before="110"/>
        <w:ind w:left="540" w:right="311"/>
      </w:pPr>
      <w:r>
        <w:rPr>
          <w:spacing w:val="-9"/>
        </w:rPr>
        <w:t>证监会指定媒介披露，并保证基金投资者能够按照《基金合同》约定的时间和方式查阅或者</w:t>
      </w:r>
      <w:r>
        <w:rPr>
          <w:spacing w:val="-5"/>
        </w:rPr>
        <w:t>复制公开披露的信息资料。</w:t>
      </w:r>
    </w:p>
    <w:p>
      <w:pPr>
        <w:pStyle w:val="BodyText"/>
        <w:spacing w:line="269" w:lineRule="exact"/>
        <w:ind w:left="960"/>
      </w:pPr>
      <w:r>
        <w:rPr/>
        <w:t>（三）本基金信息披露义务人承诺公开披露的基金信息，不得有下列行为：</w:t>
      </w:r>
    </w:p>
    <w:p>
      <w:pPr>
        <w:pStyle w:val="BodyText"/>
        <w:spacing w:before="6"/>
        <w:rPr>
          <w:sz w:val="15"/>
        </w:rPr>
      </w:pPr>
    </w:p>
    <w:p>
      <w:pPr>
        <w:pStyle w:val="BodyText"/>
        <w:ind w:left="960"/>
      </w:pPr>
      <w:r>
        <w:rPr>
          <w:rFonts w:ascii="Times New Roman" w:eastAsia="Times New Roman"/>
        </w:rPr>
        <w:t>1</w:t>
      </w:r>
      <w:r>
        <w:rPr/>
        <w:t>、虚假记载、误导性陈述或者重大遗漏。</w:t>
      </w:r>
    </w:p>
    <w:p>
      <w:pPr>
        <w:pStyle w:val="BodyText"/>
        <w:spacing w:before="7"/>
        <w:rPr>
          <w:sz w:val="15"/>
        </w:rPr>
      </w:pPr>
    </w:p>
    <w:p>
      <w:pPr>
        <w:pStyle w:val="BodyText"/>
        <w:ind w:left="960"/>
      </w:pPr>
      <w:r>
        <w:rPr>
          <w:rFonts w:ascii="Times New Roman" w:eastAsia="Times New Roman"/>
        </w:rPr>
        <w:t>2</w:t>
      </w:r>
      <w:r>
        <w:rPr/>
        <w:t>、对证券投资业绩进行预测。</w:t>
      </w:r>
    </w:p>
    <w:p>
      <w:pPr>
        <w:pStyle w:val="BodyText"/>
        <w:spacing w:before="7"/>
        <w:rPr>
          <w:sz w:val="15"/>
        </w:rPr>
      </w:pPr>
    </w:p>
    <w:p>
      <w:pPr>
        <w:pStyle w:val="BodyText"/>
        <w:ind w:left="960"/>
      </w:pPr>
      <w:r>
        <w:rPr>
          <w:rFonts w:ascii="Times New Roman" w:eastAsia="Times New Roman"/>
        </w:rPr>
        <w:t>3</w:t>
      </w:r>
      <w:r>
        <w:rPr/>
        <w:t>、违规承诺收益或者承担损失。</w:t>
      </w:r>
    </w:p>
    <w:p>
      <w:pPr>
        <w:pStyle w:val="BodyText"/>
        <w:spacing w:before="7"/>
        <w:rPr>
          <w:sz w:val="15"/>
        </w:rPr>
      </w:pPr>
    </w:p>
    <w:p>
      <w:pPr>
        <w:pStyle w:val="BodyText"/>
        <w:ind w:left="960"/>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960"/>
      </w:pPr>
      <w:r>
        <w:rPr>
          <w:rFonts w:ascii="Times New Roman" w:eastAsia="Times New Roman"/>
        </w:rPr>
        <w:t>5</w:t>
      </w:r>
      <w:r>
        <w:rPr/>
        <w:t>、登载任何自然人、法人和非法人组织的祝贺性、恭维性或推荐性文字。</w:t>
      </w:r>
    </w:p>
    <w:p>
      <w:pPr>
        <w:pStyle w:val="BodyText"/>
        <w:spacing w:before="7"/>
        <w:rPr>
          <w:sz w:val="15"/>
        </w:rPr>
      </w:pPr>
    </w:p>
    <w:p>
      <w:pPr>
        <w:pStyle w:val="BodyText"/>
        <w:ind w:left="960"/>
      </w:pPr>
      <w:r>
        <w:rPr>
          <w:rFonts w:ascii="Times New Roman" w:eastAsia="Times New Roman"/>
        </w:rPr>
        <w:t>6</w:t>
      </w:r>
      <w:r>
        <w:rPr/>
        <w:t>、中国证监会禁止的其他行为。</w:t>
      </w:r>
    </w:p>
    <w:p>
      <w:pPr>
        <w:pStyle w:val="BodyText"/>
        <w:spacing w:before="6"/>
        <w:rPr>
          <w:sz w:val="15"/>
        </w:rPr>
      </w:pPr>
    </w:p>
    <w:p>
      <w:pPr>
        <w:pStyle w:val="BodyText"/>
        <w:spacing w:line="417" w:lineRule="auto" w:before="1"/>
        <w:ind w:left="540" w:right="31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9" w:lineRule="exact"/>
        <w:ind w:left="960"/>
      </w:pPr>
      <w:r>
        <w:rPr/>
        <w:t>本基金公开披露的信息采用阿拉伯数字；除特别说明外，货币单位为人民币元。</w:t>
      </w:r>
    </w:p>
    <w:p>
      <w:pPr>
        <w:pStyle w:val="BodyText"/>
        <w:spacing w:before="6"/>
        <w:rPr>
          <w:sz w:val="15"/>
        </w:rPr>
      </w:pPr>
    </w:p>
    <w:p>
      <w:pPr>
        <w:pStyle w:val="BodyText"/>
        <w:spacing w:line="417" w:lineRule="auto"/>
        <w:ind w:left="960" w:right="5681"/>
      </w:pPr>
      <w:r>
        <w:rPr/>
        <w:t>（五）公开披露的基金信息公开披露的基金信息包括：</w:t>
      </w:r>
    </w:p>
    <w:p>
      <w:pPr>
        <w:pStyle w:val="BodyText"/>
        <w:ind w:left="960"/>
      </w:pPr>
      <w:r>
        <w:rPr>
          <w:rFonts w:ascii="Times New Roman" w:eastAsia="Times New Roman"/>
        </w:rPr>
        <w:t>1</w:t>
      </w:r>
      <w:r>
        <w:rPr/>
        <w:t>、基金招募说明书、《基金合同》、基金托管协议</w:t>
      </w:r>
    </w:p>
    <w:p>
      <w:pPr>
        <w:pStyle w:val="BodyText"/>
        <w:spacing w:before="7"/>
        <w:rPr>
          <w:sz w:val="15"/>
        </w:rPr>
      </w:pPr>
    </w:p>
    <w:p>
      <w:pPr>
        <w:pStyle w:val="ListParagraph"/>
        <w:numPr>
          <w:ilvl w:val="0"/>
          <w:numId w:val="31"/>
        </w:numPr>
        <w:tabs>
          <w:tab w:pos="1490" w:val="left" w:leader="none"/>
        </w:tabs>
        <w:spacing w:line="417" w:lineRule="auto" w:before="0" w:after="0"/>
        <w:ind w:left="540" w:right="31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0"/>
          <w:numId w:val="31"/>
        </w:numPr>
        <w:tabs>
          <w:tab w:pos="1490" w:val="left" w:leader="none"/>
        </w:tabs>
        <w:spacing w:line="417" w:lineRule="auto" w:before="0" w:after="0"/>
        <w:ind w:left="540" w:right="31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7"/>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1"/>
        </w:numPr>
        <w:tabs>
          <w:tab w:pos="1490" w:val="left" w:leader="none"/>
        </w:tabs>
        <w:spacing w:line="417" w:lineRule="auto" w:before="0" w:after="0"/>
        <w:ind w:left="540" w:right="31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spacing w:line="269" w:lineRule="exact"/>
        <w:ind w:left="960"/>
      </w:pPr>
      <w:r>
        <w:rPr>
          <w:rFonts w:ascii="Times New Roman" w:eastAsia="Times New Roman"/>
        </w:rPr>
        <w:t>2</w:t>
      </w:r>
      <w:r>
        <w:rPr/>
        <w:t>、基金产品资料概要</w:t>
      </w:r>
    </w:p>
    <w:p>
      <w:pPr>
        <w:pStyle w:val="BodyText"/>
        <w:spacing w:before="6"/>
        <w:rPr>
          <w:sz w:val="15"/>
        </w:rPr>
      </w:pPr>
    </w:p>
    <w:p>
      <w:pPr>
        <w:pStyle w:val="BodyText"/>
        <w:spacing w:line="417" w:lineRule="auto"/>
        <w:ind w:left="540" w:right="20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w:t>
      </w:r>
    </w:p>
    <w:p>
      <w:pPr>
        <w:spacing w:after="0" w:line="417" w:lineRule="auto"/>
        <w:sectPr>
          <w:pgSz w:w="11910" w:h="16840"/>
          <w:pgMar w:header="877" w:footer="0" w:top="1420" w:bottom="280" w:left="1260" w:right="1480"/>
        </w:sectPr>
      </w:pPr>
    </w:p>
    <w:p>
      <w:pPr>
        <w:pStyle w:val="BodyText"/>
        <w:spacing w:before="110"/>
        <w:ind w:left="540"/>
      </w:pPr>
      <w:r>
        <w:rPr/>
        <w:t>要。</w:t>
      </w:r>
    </w:p>
    <w:p>
      <w:pPr>
        <w:pStyle w:val="BodyText"/>
        <w:spacing w:before="6"/>
        <w:rPr>
          <w:sz w:val="15"/>
        </w:rPr>
      </w:pPr>
    </w:p>
    <w:p>
      <w:pPr>
        <w:pStyle w:val="BodyText"/>
        <w:ind w:left="960"/>
      </w:pPr>
      <w:r>
        <w:rPr/>
        <w:t>关于基金产品资料概要编制、披露与更新的要求，自中国证监会规定之日起开始执行。</w:t>
      </w:r>
    </w:p>
    <w:p>
      <w:pPr>
        <w:pStyle w:val="BodyText"/>
        <w:spacing w:before="7"/>
        <w:rPr>
          <w:sz w:val="15"/>
        </w:rPr>
      </w:pPr>
    </w:p>
    <w:p>
      <w:pPr>
        <w:pStyle w:val="BodyText"/>
        <w:ind w:left="960"/>
      </w:pPr>
      <w:r>
        <w:rPr>
          <w:rFonts w:ascii="Times New Roman" w:eastAsia="Times New Roman"/>
        </w:rPr>
        <w:t>3</w:t>
      </w:r>
      <w:r>
        <w:rPr/>
        <w:t>、基金份额发售公告</w:t>
      </w:r>
    </w:p>
    <w:p>
      <w:pPr>
        <w:pStyle w:val="BodyText"/>
        <w:spacing w:before="7"/>
        <w:rPr>
          <w:sz w:val="15"/>
        </w:rPr>
      </w:pPr>
    </w:p>
    <w:p>
      <w:pPr>
        <w:pStyle w:val="BodyText"/>
        <w:spacing w:line="417" w:lineRule="auto"/>
        <w:ind w:left="540" w:right="311" w:firstLine="419"/>
      </w:pPr>
      <w:r>
        <w:rPr>
          <w:spacing w:val="-7"/>
        </w:rPr>
        <w:t>基金管理人就基金份额发售的具体事宜编制基金份额发售公告，并在披露招募说明书的</w:t>
      </w:r>
      <w:r>
        <w:rPr>
          <w:spacing w:val="-5"/>
        </w:rPr>
        <w:t>当日登载于指定媒介上。</w:t>
      </w:r>
    </w:p>
    <w:p>
      <w:pPr>
        <w:pStyle w:val="BodyText"/>
        <w:spacing w:line="269" w:lineRule="exact"/>
        <w:ind w:left="960"/>
      </w:pPr>
      <w:r>
        <w:rPr>
          <w:rFonts w:ascii="Times New Roman" w:eastAsia="Times New Roman"/>
        </w:rPr>
        <w:t>4</w:t>
      </w:r>
      <w:r>
        <w:rPr/>
        <w:t>、《基金合同》生效公告</w:t>
      </w:r>
    </w:p>
    <w:p>
      <w:pPr>
        <w:pStyle w:val="BodyText"/>
        <w:spacing w:before="7"/>
        <w:rPr>
          <w:sz w:val="15"/>
        </w:rPr>
      </w:pPr>
    </w:p>
    <w:p>
      <w:pPr>
        <w:pStyle w:val="BodyText"/>
        <w:ind w:left="960"/>
      </w:pPr>
      <w:r>
        <w:rPr/>
        <w:t>基金管理人在收到中国证监会确认文件的次日在指定媒介上登载《基金合同》生效公告。</w:t>
      </w:r>
    </w:p>
    <w:p>
      <w:pPr>
        <w:pStyle w:val="BodyText"/>
        <w:spacing w:before="7"/>
        <w:rPr>
          <w:sz w:val="15"/>
        </w:rPr>
      </w:pPr>
    </w:p>
    <w:p>
      <w:pPr>
        <w:pStyle w:val="BodyText"/>
        <w:ind w:left="960"/>
      </w:pPr>
      <w:r>
        <w:rPr>
          <w:rFonts w:ascii="Times New Roman" w:eastAsia="Times New Roman"/>
        </w:rPr>
        <w:t>5</w:t>
      </w:r>
      <w:r>
        <w:rPr/>
        <w:t>、基金净值信息</w:t>
      </w:r>
    </w:p>
    <w:p>
      <w:pPr>
        <w:pStyle w:val="BodyText"/>
        <w:spacing w:before="7"/>
        <w:rPr>
          <w:sz w:val="15"/>
        </w:rPr>
      </w:pPr>
    </w:p>
    <w:p>
      <w:pPr>
        <w:pStyle w:val="BodyText"/>
        <w:spacing w:line="417" w:lineRule="auto"/>
        <w:ind w:left="540" w:right="31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540" w:right="31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960"/>
      </w:pPr>
      <w:r>
        <w:rPr>
          <w:rFonts w:ascii="Times New Roman" w:eastAsia="Times New Roman"/>
        </w:rPr>
        <w:t>6</w:t>
      </w:r>
      <w:r>
        <w:rPr/>
        <w:t>、基金份额申购、赎回价格</w:t>
      </w:r>
    </w:p>
    <w:p>
      <w:pPr>
        <w:pStyle w:val="BodyText"/>
        <w:spacing w:before="6"/>
        <w:rPr>
          <w:sz w:val="15"/>
        </w:rPr>
      </w:pPr>
    </w:p>
    <w:p>
      <w:pPr>
        <w:pStyle w:val="BodyText"/>
        <w:spacing w:line="417" w:lineRule="auto"/>
        <w:ind w:left="540" w:right="31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17" w:lineRule="auto"/>
        <w:ind w:left="540" w:right="313" w:firstLine="419"/>
      </w:pPr>
      <w:r>
        <w:rPr>
          <w:rFonts w:ascii="Times New Roman" w:eastAsia="Times New Roman"/>
        </w:rPr>
        <w:t>7</w:t>
      </w:r>
      <w:r>
        <w:rPr/>
        <w:t>、基金定期报告，包括基金年度报告、基金中期报告和基金季度报告（含资产组合季度报告）</w:t>
      </w:r>
    </w:p>
    <w:p>
      <w:pPr>
        <w:pStyle w:val="BodyText"/>
        <w:spacing w:line="417" w:lineRule="auto"/>
        <w:ind w:left="540" w:right="311"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540" w:right="311" w:firstLine="419"/>
        <w:jc w:val="both"/>
      </w:pPr>
      <w:r>
        <w:rPr>
          <w:spacing w:val="-5"/>
        </w:rPr>
        <w:t>基金管理人应当在上半年结束之日起 </w:t>
      </w:r>
      <w:r>
        <w:rPr>
          <w:rFonts w:ascii="Times New Roman" w:eastAsia="Times New Roman"/>
        </w:rPr>
        <w:t>2</w:t>
      </w:r>
      <w:r>
        <w:rPr>
          <w:rFonts w:ascii="Times New Roman" w:eastAsia="Times New Roman"/>
          <w:spacing w:val="18"/>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540" w:right="31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pStyle w:val="BodyText"/>
        <w:spacing w:line="417" w:lineRule="auto"/>
        <w:ind w:left="540" w:right="311" w:firstLine="419"/>
        <w:jc w:val="both"/>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540" w:right="314" w:firstLine="419"/>
      </w:pPr>
      <w:r>
        <w:rPr/>
        <w:t>基金管理人应当在基金年度报告和中期报告中披露基金组合资产情况及其流动性风险分析等。</w:t>
      </w:r>
    </w:p>
    <w:p>
      <w:pPr>
        <w:pStyle w:val="BodyText"/>
        <w:ind w:left="960"/>
      </w:pPr>
      <w:r>
        <w:rPr/>
        <w:t>如报告期内出现单一投资者持有基金份额达到或超过基金总份额 </w:t>
      </w:r>
      <w:r>
        <w:rPr>
          <w:rFonts w:ascii="Times New Roman" w:eastAsia="Times New Roman"/>
        </w:rPr>
        <w:t>20%</w:t>
      </w:r>
      <w:r>
        <w:rPr/>
        <w:t>的情形，为保障</w:t>
      </w:r>
    </w:p>
    <w:p>
      <w:pPr>
        <w:spacing w:after="0"/>
        <w:sectPr>
          <w:pgSz w:w="11910" w:h="16840"/>
          <w:pgMar w:header="877" w:footer="0" w:top="1420" w:bottom="280" w:left="1260" w:right="1480"/>
        </w:sectPr>
      </w:pPr>
    </w:p>
    <w:p>
      <w:pPr>
        <w:pStyle w:val="BodyText"/>
        <w:spacing w:line="417" w:lineRule="auto" w:before="110"/>
        <w:ind w:left="540" w:right="205"/>
      </w:pPr>
      <w:r>
        <w:rPr>
          <w:spacing w:val="-16"/>
        </w:rPr>
        <w:t>其他投资者的权益，基金管理人至少应当在基金定期报告“影响投资者决策的其他重要信息” </w:t>
      </w:r>
      <w:r>
        <w:rPr>
          <w:spacing w:val="-13"/>
        </w:rPr>
        <w:t>项下披露该投资者的类别、报告期末持有份额及占比、报告期内持有份额变化情况及产品的</w:t>
      </w:r>
      <w:r>
        <w:rPr>
          <w:spacing w:val="-6"/>
        </w:rPr>
        <w:t>特有风险，中国证监会认定的特殊情形除外。</w:t>
      </w:r>
    </w:p>
    <w:p>
      <w:pPr>
        <w:pStyle w:val="BodyText"/>
        <w:spacing w:line="269" w:lineRule="exact"/>
        <w:ind w:left="960"/>
      </w:pPr>
      <w:r>
        <w:rPr>
          <w:rFonts w:ascii="Times New Roman" w:eastAsia="Times New Roman"/>
        </w:rPr>
        <w:t>8</w:t>
      </w:r>
      <w:r>
        <w:rPr/>
        <w:t>、临时报告</w:t>
      </w:r>
    </w:p>
    <w:p>
      <w:pPr>
        <w:pStyle w:val="BodyText"/>
        <w:spacing w:before="6"/>
        <w:rPr>
          <w:sz w:val="15"/>
        </w:rPr>
      </w:pPr>
    </w:p>
    <w:p>
      <w:pPr>
        <w:pStyle w:val="BodyText"/>
        <w:spacing w:line="417" w:lineRule="auto"/>
        <w:ind w:left="540" w:right="31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540" w:right="31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基金份额持有人大会的召开及决定的事项。</w:t>
      </w:r>
    </w:p>
    <w:p>
      <w:pPr>
        <w:pStyle w:val="BodyText"/>
        <w:spacing w:before="7"/>
        <w:rPr>
          <w:sz w:val="15"/>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《基金合同》终止、基金清算。</w:t>
      </w:r>
    </w:p>
    <w:p>
      <w:pPr>
        <w:pStyle w:val="BodyText"/>
        <w:spacing w:before="7"/>
        <w:rPr>
          <w:sz w:val="15"/>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转换基金运作方式、基金合并。</w:t>
      </w:r>
    </w:p>
    <w:p>
      <w:pPr>
        <w:pStyle w:val="BodyText"/>
        <w:spacing w:before="6"/>
        <w:rPr>
          <w:sz w:val="15"/>
        </w:rPr>
      </w:pPr>
    </w:p>
    <w:p>
      <w:pPr>
        <w:pStyle w:val="ListParagraph"/>
        <w:numPr>
          <w:ilvl w:val="0"/>
          <w:numId w:val="32"/>
        </w:numPr>
        <w:tabs>
          <w:tab w:pos="1490" w:val="left" w:leader="none"/>
        </w:tabs>
        <w:spacing w:line="240" w:lineRule="auto" w:before="1" w:after="0"/>
        <w:ind w:left="1489" w:right="0" w:hanging="530"/>
        <w:jc w:val="left"/>
        <w:rPr>
          <w:sz w:val="21"/>
        </w:rPr>
      </w:pPr>
      <w:r>
        <w:rPr>
          <w:spacing w:val="-3"/>
          <w:sz w:val="21"/>
        </w:rPr>
        <w:t>更换基金管理人、基金托管人、基金份额登记机构，基金改聘会计师事务所。</w:t>
      </w:r>
    </w:p>
    <w:p>
      <w:pPr>
        <w:pStyle w:val="BodyText"/>
        <w:spacing w:before="6"/>
        <w:rPr>
          <w:sz w:val="15"/>
        </w:rPr>
      </w:pPr>
    </w:p>
    <w:p>
      <w:pPr>
        <w:pStyle w:val="ListParagraph"/>
        <w:numPr>
          <w:ilvl w:val="0"/>
          <w:numId w:val="32"/>
        </w:numPr>
        <w:tabs>
          <w:tab w:pos="1490" w:val="left" w:leader="none"/>
        </w:tabs>
        <w:spacing w:line="417" w:lineRule="auto" w:before="0" w:after="0"/>
        <w:ind w:left="540" w:right="31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基金管理人、基金托管人的法定名称、住所发生变更。</w:t>
      </w:r>
    </w:p>
    <w:p>
      <w:pPr>
        <w:pStyle w:val="BodyText"/>
        <w:spacing w:before="7"/>
        <w:rPr>
          <w:sz w:val="15"/>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2"/>
        </w:numPr>
        <w:tabs>
          <w:tab w:pos="1490" w:val="left" w:leader="none"/>
        </w:tabs>
        <w:spacing w:line="417" w:lineRule="auto" w:before="0" w:after="0"/>
        <w:ind w:left="540" w:right="313" w:firstLine="419"/>
        <w:jc w:val="left"/>
        <w:rPr>
          <w:sz w:val="21"/>
        </w:rPr>
      </w:pPr>
      <w:r>
        <w:rPr>
          <w:spacing w:val="-3"/>
          <w:sz w:val="21"/>
        </w:rPr>
        <w:t>基金管理人高级管理人员、基金经理和基金托管人专门基金托管部门负责人发生变动。</w:t>
      </w:r>
    </w:p>
    <w:p>
      <w:pPr>
        <w:pStyle w:val="ListParagraph"/>
        <w:numPr>
          <w:ilvl w:val="0"/>
          <w:numId w:val="32"/>
        </w:numPr>
        <w:tabs>
          <w:tab w:pos="1490" w:val="left" w:leader="none"/>
        </w:tabs>
        <w:spacing w:line="269" w:lineRule="exact" w:before="0" w:after="0"/>
        <w:ind w:left="148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5"/>
          <w:sz w:val="21"/>
        </w:rPr>
        <w:t> </w:t>
      </w:r>
      <w:r>
        <w:rPr>
          <w:spacing w:val="-8"/>
          <w:sz w:val="21"/>
        </w:rPr>
        <w:t>个月内变更超过百分之五十，基金管理人、基金托管</w:t>
      </w:r>
    </w:p>
    <w:p>
      <w:pPr>
        <w:pStyle w:val="BodyText"/>
        <w:spacing w:before="6"/>
        <w:rPr>
          <w:sz w:val="15"/>
        </w:rPr>
      </w:pPr>
    </w:p>
    <w:p>
      <w:pPr>
        <w:pStyle w:val="BodyText"/>
        <w:spacing w:before="1"/>
        <w:ind w:left="540"/>
      </w:pPr>
      <w:r>
        <w:rPr/>
        <w:t>人专门基金托管部门的主要业务人员在最近 </w:t>
      </w:r>
      <w:r>
        <w:rPr>
          <w:rFonts w:ascii="Times New Roman" w:eastAsia="Times New Roman"/>
        </w:rPr>
        <w:t>12 </w:t>
      </w:r>
      <w:r>
        <w:rPr/>
        <w:t>个月内变动超过百分之三十。</w:t>
      </w:r>
    </w:p>
    <w:p>
      <w:pPr>
        <w:pStyle w:val="BodyText"/>
        <w:spacing w:before="6"/>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涉及基金财产、基金管理业务、基金托管业务的诉讼或仲裁。</w:t>
      </w:r>
    </w:p>
    <w:p>
      <w:pPr>
        <w:pStyle w:val="BodyText"/>
        <w:spacing w:before="8"/>
        <w:rPr>
          <w:sz w:val="15"/>
        </w:rPr>
      </w:pPr>
    </w:p>
    <w:p>
      <w:pPr>
        <w:pStyle w:val="ListParagraph"/>
        <w:numPr>
          <w:ilvl w:val="0"/>
          <w:numId w:val="32"/>
        </w:numPr>
        <w:tabs>
          <w:tab w:pos="1586" w:val="left" w:leader="none"/>
        </w:tabs>
        <w:spacing w:line="417" w:lineRule="auto" w:before="0" w:after="0"/>
        <w:ind w:left="540" w:right="31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2"/>
        </w:numPr>
        <w:tabs>
          <w:tab w:pos="1593" w:val="left" w:leader="none"/>
        </w:tabs>
        <w:spacing w:line="417" w:lineRule="auto" w:before="0" w:after="0"/>
        <w:ind w:left="540" w:right="31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2"/>
        </w:numPr>
        <w:tabs>
          <w:tab w:pos="1595" w:val="left" w:leader="none"/>
        </w:tabs>
        <w:spacing w:line="269" w:lineRule="exact" w:before="0" w:after="0"/>
        <w:ind w:left="1595" w:right="0" w:hanging="635"/>
        <w:jc w:val="left"/>
        <w:rPr>
          <w:sz w:val="21"/>
        </w:rPr>
      </w:pPr>
      <w:r>
        <w:rPr>
          <w:spacing w:val="-3"/>
          <w:sz w:val="21"/>
        </w:rPr>
        <w:t>基金收益分配事项。</w:t>
      </w:r>
    </w:p>
    <w:p>
      <w:pPr>
        <w:pStyle w:val="BodyText"/>
        <w:spacing w:before="6"/>
        <w:rPr>
          <w:sz w:val="15"/>
        </w:rPr>
      </w:pPr>
    </w:p>
    <w:p>
      <w:pPr>
        <w:pStyle w:val="ListParagraph"/>
        <w:numPr>
          <w:ilvl w:val="0"/>
          <w:numId w:val="32"/>
        </w:numPr>
        <w:tabs>
          <w:tab w:pos="1595" w:val="left" w:leader="none"/>
        </w:tabs>
        <w:spacing w:line="417" w:lineRule="auto" w:before="0" w:after="0"/>
        <w:ind w:left="540" w:right="311" w:firstLine="419"/>
        <w:jc w:val="left"/>
        <w:rPr>
          <w:sz w:val="21"/>
        </w:rPr>
      </w:pPr>
      <w:r>
        <w:rPr>
          <w:spacing w:val="-9"/>
          <w:sz w:val="21"/>
        </w:rPr>
        <w:t>管理费、托管费、销售服务费、申购费、赎回费等费用计提标准、计提方式和 </w:t>
      </w:r>
      <w:r>
        <w:rPr>
          <w:spacing w:val="-6"/>
          <w:sz w:val="21"/>
        </w:rPr>
        <w:t>费率发生变更。</w:t>
      </w:r>
    </w:p>
    <w:p>
      <w:pPr>
        <w:spacing w:after="0" w:line="417" w:lineRule="auto"/>
        <w:jc w:val="left"/>
        <w:rPr>
          <w:sz w:val="21"/>
        </w:rPr>
        <w:sectPr>
          <w:pgSz w:w="11910" w:h="16840"/>
          <w:pgMar w:header="877" w:footer="0" w:top="1420" w:bottom="280" w:left="1260" w:right="1480"/>
        </w:sectPr>
      </w:pPr>
    </w:p>
    <w:p>
      <w:pPr>
        <w:pStyle w:val="ListParagraph"/>
        <w:numPr>
          <w:ilvl w:val="0"/>
          <w:numId w:val="32"/>
        </w:numPr>
        <w:tabs>
          <w:tab w:pos="1595" w:val="left" w:leader="none"/>
        </w:tabs>
        <w:spacing w:line="240" w:lineRule="auto" w:before="110" w:after="0"/>
        <w:ind w:left="1595" w:right="0" w:hanging="635"/>
        <w:jc w:val="left"/>
        <w:rPr>
          <w:sz w:val="21"/>
        </w:rPr>
      </w:pPr>
      <w:r>
        <w:rPr>
          <w:spacing w:val="-3"/>
          <w:sz w:val="21"/>
        </w:rPr>
        <w:t>基金份额净值计价错误达基金份额净值百分之零点五。</w:t>
      </w:r>
    </w:p>
    <w:p>
      <w:pPr>
        <w:pStyle w:val="BodyText"/>
        <w:spacing w:before="6"/>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本基金开始办理申购、赎回。</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本基金发生巨额赎回并延期办理。</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本基金暂停接受申购、赎回申请或重新接受申购、赎回申请。</w:t>
      </w:r>
    </w:p>
    <w:p>
      <w:pPr>
        <w:pStyle w:val="BodyText"/>
        <w:spacing w:before="6"/>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本基金发生涉及基金申购、赎回事项调整或潜在影响投资者赎回等重大事项。</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基金管理人采用摆动定价机制进行估值。</w:t>
      </w:r>
    </w:p>
    <w:p>
      <w:pPr>
        <w:pStyle w:val="BodyText"/>
        <w:spacing w:before="7"/>
        <w:rPr>
          <w:sz w:val="15"/>
        </w:rPr>
      </w:pPr>
    </w:p>
    <w:p>
      <w:pPr>
        <w:pStyle w:val="ListParagraph"/>
        <w:numPr>
          <w:ilvl w:val="0"/>
          <w:numId w:val="32"/>
        </w:numPr>
        <w:tabs>
          <w:tab w:pos="1595" w:val="left" w:leader="none"/>
        </w:tabs>
        <w:spacing w:line="240" w:lineRule="auto" w:before="1" w:after="0"/>
        <w:ind w:left="1595" w:right="0" w:hanging="635"/>
        <w:jc w:val="left"/>
        <w:rPr>
          <w:sz w:val="21"/>
        </w:rPr>
      </w:pPr>
      <w:r>
        <w:rPr>
          <w:spacing w:val="-3"/>
          <w:sz w:val="21"/>
        </w:rPr>
        <w:t>基金份额的拆分。</w:t>
      </w:r>
    </w:p>
    <w:p>
      <w:pPr>
        <w:pStyle w:val="BodyText"/>
        <w:spacing w:before="6"/>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基金变更份额类别设置。</w:t>
      </w:r>
    </w:p>
    <w:p>
      <w:pPr>
        <w:pStyle w:val="BodyText"/>
        <w:spacing w:before="7"/>
        <w:rPr>
          <w:sz w:val="15"/>
        </w:rPr>
      </w:pPr>
    </w:p>
    <w:p>
      <w:pPr>
        <w:pStyle w:val="ListParagraph"/>
        <w:numPr>
          <w:ilvl w:val="0"/>
          <w:numId w:val="32"/>
        </w:numPr>
        <w:tabs>
          <w:tab w:pos="1593" w:val="left" w:leader="none"/>
        </w:tabs>
        <w:spacing w:line="417" w:lineRule="auto" w:before="0" w:after="0"/>
        <w:ind w:left="540" w:right="31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9" w:lineRule="exact"/>
        <w:ind w:left="960"/>
      </w:pPr>
      <w:r>
        <w:rPr>
          <w:rFonts w:ascii="Times New Roman" w:eastAsia="Times New Roman"/>
        </w:rPr>
        <w:t>9</w:t>
      </w:r>
      <w:r>
        <w:rPr/>
        <w:t>、澄清公告</w:t>
      </w:r>
    </w:p>
    <w:p>
      <w:pPr>
        <w:pStyle w:val="BodyText"/>
        <w:spacing w:before="7"/>
        <w:rPr>
          <w:sz w:val="15"/>
        </w:rPr>
      </w:pPr>
    </w:p>
    <w:p>
      <w:pPr>
        <w:pStyle w:val="BodyText"/>
        <w:spacing w:line="417" w:lineRule="auto"/>
        <w:ind w:left="540" w:right="104" w:firstLine="419"/>
      </w:pPr>
      <w:r>
        <w:rPr>
          <w:spacing w:val="-12"/>
        </w:rPr>
        <w:t>在《基金合同》存续期限内，任何公共媒介中出现的或者在市场上流传的消息可能对基 </w:t>
      </w:r>
      <w:r>
        <w:rPr>
          <w:spacing w:val="-10"/>
        </w:rPr>
        <w:t>金份额价格产生误导性影响或者引起较大波动，以及可能损害基金份额持有人权益的，相关 </w:t>
      </w:r>
      <w:r>
        <w:rPr>
          <w:spacing w:val="-9"/>
        </w:rPr>
        <w:t>信息披露义务人知悉后应当立即对该消息进行公开澄清，并将有关情况立即报告中国证监会。</w:t>
      </w:r>
    </w:p>
    <w:p>
      <w:pPr>
        <w:pStyle w:val="BodyText"/>
        <w:ind w:left="960"/>
      </w:pPr>
      <w:r>
        <w:rPr>
          <w:rFonts w:ascii="Times New Roman" w:eastAsia="Times New Roman"/>
        </w:rPr>
        <w:t>10</w:t>
      </w:r>
      <w:r>
        <w:rPr/>
        <w:t>、清算报告</w:t>
      </w:r>
    </w:p>
    <w:p>
      <w:pPr>
        <w:pStyle w:val="BodyText"/>
        <w:spacing w:before="6"/>
        <w:rPr>
          <w:sz w:val="15"/>
        </w:rPr>
      </w:pPr>
    </w:p>
    <w:p>
      <w:pPr>
        <w:pStyle w:val="BodyText"/>
        <w:spacing w:line="417" w:lineRule="auto"/>
        <w:ind w:left="540" w:right="311" w:firstLine="419"/>
      </w:pPr>
      <w:r>
        <w:rPr>
          <w:spacing w:val="-7"/>
        </w:rPr>
        <w:t>基金财产清算小组应当将清算报告登载在指定网站上，并将清算报告提示性公告登载在</w:t>
      </w:r>
      <w:r>
        <w:rPr>
          <w:spacing w:val="-5"/>
        </w:rPr>
        <w:t>指定报刊上。</w:t>
      </w:r>
    </w:p>
    <w:p>
      <w:pPr>
        <w:pStyle w:val="BodyText"/>
        <w:spacing w:line="269" w:lineRule="exact"/>
        <w:ind w:left="960"/>
      </w:pPr>
      <w:r>
        <w:rPr>
          <w:rFonts w:ascii="Times New Roman" w:eastAsia="Times New Roman"/>
        </w:rPr>
        <w:t>11</w:t>
      </w:r>
      <w:r>
        <w:rPr/>
        <w:t>、基金份额持有人大会决议</w:t>
      </w:r>
    </w:p>
    <w:p>
      <w:pPr>
        <w:pStyle w:val="BodyText"/>
        <w:spacing w:before="7"/>
        <w:rPr>
          <w:sz w:val="15"/>
        </w:rPr>
      </w:pPr>
    </w:p>
    <w:p>
      <w:pPr>
        <w:pStyle w:val="BodyText"/>
        <w:spacing w:line="417" w:lineRule="auto"/>
        <w:ind w:left="540" w:right="311" w:firstLine="419"/>
      </w:pPr>
      <w:r>
        <w:rPr>
          <w:spacing w:val="-8"/>
        </w:rPr>
        <w:t>基金份额持有人大会决定的事项，应当依法报国务院证券监督管理机构备案，并予以公告。</w:t>
      </w:r>
    </w:p>
    <w:p>
      <w:pPr>
        <w:pStyle w:val="BodyText"/>
        <w:ind w:left="960"/>
      </w:pPr>
      <w:r>
        <w:rPr>
          <w:rFonts w:ascii="Times New Roman" w:eastAsia="Times New Roman"/>
        </w:rPr>
        <w:t>12</w:t>
      </w:r>
      <w:r>
        <w:rPr/>
        <w:t>、投资中小企业私募债券的相关公告</w:t>
      </w:r>
    </w:p>
    <w:p>
      <w:pPr>
        <w:pStyle w:val="BodyText"/>
        <w:spacing w:before="7"/>
        <w:rPr>
          <w:sz w:val="15"/>
        </w:rPr>
      </w:pPr>
    </w:p>
    <w:p>
      <w:pPr>
        <w:pStyle w:val="BodyText"/>
        <w:spacing w:line="417" w:lineRule="auto"/>
        <w:ind w:left="540" w:right="311" w:firstLine="419"/>
      </w:pPr>
      <w:r>
        <w:rPr>
          <w:spacing w:val="-7"/>
        </w:rPr>
        <w:t>基金管理人在本基金投资中小企业私募债券后两个交易日内，在中国证监会指定媒介披</w:t>
      </w:r>
      <w:r>
        <w:rPr>
          <w:spacing w:val="-5"/>
        </w:rPr>
        <w:t>露所投资中小企业私募债券的名称、数量、期限、收益率等信息。</w:t>
      </w:r>
    </w:p>
    <w:p>
      <w:pPr>
        <w:pStyle w:val="BodyText"/>
        <w:spacing w:line="417" w:lineRule="auto"/>
        <w:ind w:left="540" w:right="311" w:firstLine="419"/>
      </w:pPr>
      <w:r>
        <w:rPr>
          <w:spacing w:val="-9"/>
        </w:rPr>
        <w:t>本基金应当在季度报告、中期报告、年度报告等定期报告和招募说明书</w:t>
      </w:r>
      <w:r>
        <w:rPr/>
        <w:t>（</w:t>
      </w:r>
      <w:r>
        <w:rPr>
          <w:spacing w:val="-2"/>
        </w:rPr>
        <w:t>更新</w:t>
      </w:r>
      <w:r>
        <w:rPr>
          <w:spacing w:val="-25"/>
        </w:rPr>
        <w:t>）</w:t>
      </w:r>
      <w:r>
        <w:rPr>
          <w:spacing w:val="-2"/>
        </w:rPr>
        <w:t>等文件</w:t>
      </w:r>
      <w:r>
        <w:rPr>
          <w:spacing w:val="-3"/>
        </w:rPr>
        <w:t>中披露中小企业私募债券的投资情况。</w:t>
      </w:r>
    </w:p>
    <w:p>
      <w:pPr>
        <w:pStyle w:val="BodyText"/>
        <w:spacing w:line="269" w:lineRule="exact"/>
        <w:ind w:left="960"/>
      </w:pPr>
      <w:r>
        <w:rPr>
          <w:rFonts w:ascii="Times New Roman" w:eastAsia="Times New Roman"/>
        </w:rPr>
        <w:t>13</w:t>
      </w:r>
      <w:r>
        <w:rPr>
          <w:spacing w:val="-3"/>
        </w:rPr>
        <w:t>、投资资产支持证券的相关公告</w:t>
      </w:r>
    </w:p>
    <w:p>
      <w:pPr>
        <w:pStyle w:val="BodyText"/>
        <w:spacing w:before="6"/>
        <w:rPr>
          <w:sz w:val="15"/>
        </w:rPr>
      </w:pPr>
    </w:p>
    <w:p>
      <w:pPr>
        <w:pStyle w:val="BodyText"/>
        <w:spacing w:line="417" w:lineRule="auto" w:before="1"/>
        <w:ind w:left="540" w:right="311" w:firstLine="419"/>
      </w:pPr>
      <w:r>
        <w:rPr>
          <w:spacing w:val="-10"/>
        </w:rPr>
        <w:t>在中期报告、年度报告等定期报告中披露本基金持有的资产支持证券总额、资产支持证</w:t>
      </w:r>
      <w:r>
        <w:rPr>
          <w:spacing w:val="-5"/>
        </w:rPr>
        <w:t>券市值占基金净资产的比例和报告期内所有的资产支持证券明细。</w:t>
      </w:r>
    </w:p>
    <w:p>
      <w:pPr>
        <w:pStyle w:val="BodyText"/>
        <w:ind w:left="960"/>
      </w:pPr>
      <w:r>
        <w:rPr/>
        <w:t>在季度报告中披露本基金持有的资产支持证券总额、资产支持证券市值占基金净资产的</w:t>
      </w:r>
    </w:p>
    <w:p>
      <w:pPr>
        <w:spacing w:after="0"/>
        <w:sectPr>
          <w:pgSz w:w="11910" w:h="16840"/>
          <w:pgMar w:header="877" w:footer="0" w:top="1420" w:bottom="280" w:left="1260" w:right="1480"/>
        </w:sectPr>
      </w:pPr>
    </w:p>
    <w:p>
      <w:pPr>
        <w:pStyle w:val="BodyText"/>
        <w:spacing w:before="110"/>
        <w:ind w:left="540"/>
      </w:pPr>
      <w:r>
        <w:rPr/>
        <w:t>比例和报告期末按市值占基金净资产比例大小排序的前 </w:t>
      </w:r>
      <w:r>
        <w:rPr>
          <w:rFonts w:ascii="Times New Roman" w:eastAsia="Times New Roman"/>
        </w:rPr>
        <w:t>10 </w:t>
      </w:r>
      <w:r>
        <w:rPr/>
        <w:t>名资产支持证券明细。</w:t>
      </w:r>
    </w:p>
    <w:p>
      <w:pPr>
        <w:pStyle w:val="BodyText"/>
        <w:spacing w:before="6"/>
        <w:rPr>
          <w:sz w:val="15"/>
        </w:rPr>
      </w:pPr>
    </w:p>
    <w:p>
      <w:pPr>
        <w:pStyle w:val="BodyText"/>
        <w:ind w:left="960"/>
      </w:pPr>
      <w:r>
        <w:rPr>
          <w:rFonts w:ascii="Times New Roman" w:eastAsia="Times New Roman"/>
        </w:rPr>
        <w:t>14</w:t>
      </w:r>
      <w:r>
        <w:rPr/>
        <w:t>、中国证监会规定的其他信息。</w:t>
      </w:r>
    </w:p>
    <w:p>
      <w:pPr>
        <w:pStyle w:val="BodyText"/>
        <w:spacing w:before="7"/>
        <w:rPr>
          <w:sz w:val="15"/>
        </w:rPr>
      </w:pPr>
    </w:p>
    <w:p>
      <w:pPr>
        <w:pStyle w:val="BodyText"/>
        <w:ind w:left="960"/>
      </w:pPr>
      <w:r>
        <w:rPr/>
        <w:t>（六）信息披露事务管理</w:t>
      </w:r>
    </w:p>
    <w:p>
      <w:pPr>
        <w:pStyle w:val="BodyText"/>
        <w:spacing w:before="7"/>
        <w:rPr>
          <w:sz w:val="15"/>
        </w:rPr>
      </w:pPr>
    </w:p>
    <w:p>
      <w:pPr>
        <w:pStyle w:val="BodyText"/>
        <w:spacing w:line="417" w:lineRule="auto"/>
        <w:ind w:left="540" w:right="31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540" w:right="31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540" w:right="31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540" w:right="311" w:firstLine="419"/>
      </w:pPr>
      <w:r>
        <w:rPr>
          <w:spacing w:val="-10"/>
        </w:rPr>
        <w:t>基金管理人、基金托管人应当在指定报刊中选择披露信息的报刊，本基金只需选择一家报刊。</w:t>
      </w:r>
    </w:p>
    <w:p>
      <w:pPr>
        <w:pStyle w:val="BodyText"/>
        <w:spacing w:line="417" w:lineRule="auto"/>
        <w:ind w:left="540" w:right="20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540" w:right="31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2"/>
        </w:rPr>
        <w:t>年。</w:t>
      </w:r>
    </w:p>
    <w:p>
      <w:pPr>
        <w:pStyle w:val="BodyText"/>
        <w:spacing w:line="269" w:lineRule="exact"/>
        <w:ind w:left="960"/>
      </w:pPr>
      <w:r>
        <w:rPr/>
        <w:t>（七）信息披露文件的存放与查阅</w:t>
      </w:r>
    </w:p>
    <w:p>
      <w:pPr>
        <w:pStyle w:val="BodyText"/>
        <w:spacing w:before="5"/>
        <w:rPr>
          <w:sz w:val="15"/>
        </w:rPr>
      </w:pPr>
    </w:p>
    <w:p>
      <w:pPr>
        <w:pStyle w:val="BodyText"/>
        <w:spacing w:line="417" w:lineRule="auto" w:before="1"/>
        <w:ind w:left="540" w:right="3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ind w:left="1013"/>
      </w:pPr>
      <w:r>
        <w:rPr/>
        <w:t>（八）法律法规或监管部门对信息披露另有规定的，从其规定。</w:t>
      </w:r>
    </w:p>
    <w:p>
      <w:pPr>
        <w:pStyle w:val="BodyText"/>
        <w:rPr>
          <w:sz w:val="20"/>
        </w:rPr>
      </w:pPr>
    </w:p>
    <w:p>
      <w:pPr>
        <w:pStyle w:val="BodyText"/>
        <w:spacing w:before="1"/>
        <w:rPr>
          <w:sz w:val="22"/>
        </w:rPr>
      </w:pPr>
    </w:p>
    <w:p>
      <w:pPr>
        <w:pStyle w:val="Heading1"/>
      </w:pPr>
      <w:bookmarkStart w:name="_bookmark16" w:id="17"/>
      <w:bookmarkEnd w:id="17"/>
      <w:r>
        <w:rPr>
          <w:b w:val="0"/>
        </w:rPr>
      </w:r>
      <w:r>
        <w:rPr/>
        <w:t>十七、风险揭示</w:t>
      </w:r>
    </w:p>
    <w:p>
      <w:pPr>
        <w:pStyle w:val="BodyText"/>
        <w:rPr>
          <w:b/>
          <w:sz w:val="20"/>
        </w:rPr>
      </w:pPr>
    </w:p>
    <w:p>
      <w:pPr>
        <w:pStyle w:val="BodyText"/>
        <w:spacing w:before="3"/>
        <w:rPr>
          <w:b/>
        </w:rPr>
      </w:pPr>
    </w:p>
    <w:p>
      <w:pPr>
        <w:pStyle w:val="BodyText"/>
        <w:ind w:left="960"/>
      </w:pPr>
      <w:r>
        <w:rPr/>
        <w:t>（一）投资于本基金的主要风险</w:t>
      </w:r>
    </w:p>
    <w:p>
      <w:pPr>
        <w:pStyle w:val="BodyText"/>
        <w:spacing w:before="6"/>
        <w:rPr>
          <w:sz w:val="15"/>
        </w:rPr>
      </w:pPr>
    </w:p>
    <w:p>
      <w:pPr>
        <w:pStyle w:val="BodyText"/>
        <w:spacing w:before="1"/>
        <w:ind w:left="960"/>
      </w:pPr>
      <w:r>
        <w:rPr>
          <w:rFonts w:ascii="Times New Roman" w:eastAsia="Times New Roman"/>
        </w:rPr>
        <w:t>1</w:t>
      </w:r>
      <w:r>
        <w:rPr/>
        <w:t>、市场风险</w:t>
      </w:r>
    </w:p>
    <w:p>
      <w:pPr>
        <w:pStyle w:val="BodyText"/>
        <w:spacing w:before="6"/>
        <w:rPr>
          <w:sz w:val="15"/>
        </w:rPr>
      </w:pPr>
    </w:p>
    <w:p>
      <w:pPr>
        <w:pStyle w:val="BodyText"/>
        <w:spacing w:line="417" w:lineRule="auto"/>
        <w:ind w:left="540" w:right="311" w:firstLine="419"/>
      </w:pPr>
      <w:r>
        <w:rPr>
          <w:spacing w:val="-8"/>
        </w:rPr>
        <w:t>证券市场价格因受各种因素的影响而引起的波动，将使本基金资产面临潜在的风险。主</w:t>
      </w:r>
      <w:r>
        <w:rPr>
          <w:spacing w:val="-6"/>
        </w:rPr>
        <w:t>要包括：</w:t>
      </w:r>
    </w:p>
    <w:p>
      <w:pPr>
        <w:pStyle w:val="ListParagraph"/>
        <w:numPr>
          <w:ilvl w:val="0"/>
          <w:numId w:val="33"/>
        </w:numPr>
        <w:tabs>
          <w:tab w:pos="1490" w:val="left" w:leader="none"/>
        </w:tabs>
        <w:spacing w:line="240" w:lineRule="auto" w:before="0" w:after="0"/>
        <w:ind w:left="1489" w:right="0" w:hanging="530"/>
        <w:jc w:val="left"/>
        <w:rPr>
          <w:sz w:val="21"/>
        </w:rPr>
      </w:pPr>
      <w:r>
        <w:rPr>
          <w:spacing w:val="-2"/>
          <w:sz w:val="21"/>
        </w:rPr>
        <w:t>信用风险</w:t>
      </w:r>
    </w:p>
    <w:p>
      <w:pPr>
        <w:spacing w:after="0" w:line="240" w:lineRule="auto"/>
        <w:jc w:val="left"/>
        <w:rPr>
          <w:sz w:val="21"/>
        </w:rPr>
        <w:sectPr>
          <w:pgSz w:w="11910" w:h="16840"/>
          <w:pgMar w:header="877" w:footer="0" w:top="1420" w:bottom="280" w:left="1260" w:right="1480"/>
        </w:sectPr>
      </w:pPr>
    </w:p>
    <w:p>
      <w:pPr>
        <w:pStyle w:val="BodyText"/>
        <w:spacing w:line="417" w:lineRule="auto" w:before="110"/>
        <w:ind w:left="540" w:right="311" w:firstLine="419"/>
        <w:jc w:val="both"/>
      </w:pPr>
      <w:r>
        <w:rPr>
          <w:spacing w:val="-8"/>
        </w:rPr>
        <w:t>基金在交易过程中发生交收违约，或者基金所投资债券之发行人出现违约、拒绝支付到</w:t>
      </w:r>
      <w:r>
        <w:rPr>
          <w:spacing w:val="-12"/>
        </w:rPr>
        <w:t>期本息，或由于债券发行人信用质量降低导致债券价格下降，或者债券回购交易到期时交易</w:t>
      </w:r>
      <w:r>
        <w:rPr>
          <w:spacing w:val="-6"/>
        </w:rPr>
        <w:t>对手方不能履行付款或结算义务等，造成基金资产损失的风险。</w:t>
      </w:r>
    </w:p>
    <w:p>
      <w:pPr>
        <w:pStyle w:val="ListParagraph"/>
        <w:numPr>
          <w:ilvl w:val="0"/>
          <w:numId w:val="33"/>
        </w:numPr>
        <w:tabs>
          <w:tab w:pos="1490" w:val="left" w:leader="none"/>
        </w:tabs>
        <w:spacing w:line="269" w:lineRule="exact" w:before="0" w:after="0"/>
        <w:ind w:left="1489" w:right="0" w:hanging="530"/>
        <w:jc w:val="left"/>
        <w:rPr>
          <w:sz w:val="21"/>
        </w:rPr>
      </w:pPr>
      <w:r>
        <w:rPr>
          <w:spacing w:val="-2"/>
          <w:sz w:val="21"/>
        </w:rPr>
        <w:t>利率风险</w:t>
      </w:r>
    </w:p>
    <w:p>
      <w:pPr>
        <w:pStyle w:val="BodyText"/>
        <w:spacing w:before="6"/>
        <w:rPr>
          <w:sz w:val="15"/>
        </w:rPr>
      </w:pPr>
    </w:p>
    <w:p>
      <w:pPr>
        <w:pStyle w:val="BodyText"/>
        <w:spacing w:line="417" w:lineRule="auto"/>
        <w:ind w:left="540" w:right="311" w:firstLine="419"/>
        <w:jc w:val="both"/>
      </w:pPr>
      <w:r>
        <w:rPr>
          <w:spacing w:val="-7"/>
        </w:rPr>
        <w:t>市场利率波动会导致债券市场的收益率和价格的变动，如果市场利率上升，本基金持有</w:t>
      </w:r>
      <w:r>
        <w:rPr>
          <w:spacing w:val="-11"/>
        </w:rPr>
        <w:t>债券将面临价格下降、本金损失的风险，而如果市场利率下降，债券利息的再投资收益将面</w:t>
      </w:r>
      <w:r>
        <w:rPr>
          <w:spacing w:val="-6"/>
        </w:rPr>
        <w:t>临下降的风险。</w:t>
      </w:r>
    </w:p>
    <w:p>
      <w:pPr>
        <w:pStyle w:val="ListParagraph"/>
        <w:numPr>
          <w:ilvl w:val="0"/>
          <w:numId w:val="33"/>
        </w:numPr>
        <w:tabs>
          <w:tab w:pos="1490" w:val="left" w:leader="none"/>
        </w:tabs>
        <w:spacing w:line="240" w:lineRule="auto" w:before="1" w:after="0"/>
        <w:ind w:left="1489" w:right="0" w:hanging="530"/>
        <w:jc w:val="left"/>
        <w:rPr>
          <w:sz w:val="21"/>
        </w:rPr>
      </w:pPr>
      <w:r>
        <w:rPr>
          <w:spacing w:val="-3"/>
          <w:sz w:val="21"/>
        </w:rPr>
        <w:t>收益率曲线风险</w:t>
      </w:r>
    </w:p>
    <w:p>
      <w:pPr>
        <w:pStyle w:val="BodyText"/>
        <w:spacing w:before="6"/>
        <w:rPr>
          <w:sz w:val="15"/>
        </w:rPr>
      </w:pPr>
    </w:p>
    <w:p>
      <w:pPr>
        <w:pStyle w:val="BodyText"/>
        <w:spacing w:line="417" w:lineRule="auto"/>
        <w:ind w:left="540" w:right="311" w:firstLine="419"/>
      </w:pPr>
      <w:r>
        <w:rPr>
          <w:spacing w:val="-10"/>
        </w:rPr>
        <w:t>如果基金对长、中、短期债券的持有结构与基准存在差异，长、中、短期债券的相对价</w:t>
      </w:r>
      <w:r>
        <w:rPr>
          <w:spacing w:val="-5"/>
        </w:rPr>
        <w:t>格发生变化时，基金资产的收益可能低于基准。</w:t>
      </w:r>
    </w:p>
    <w:p>
      <w:pPr>
        <w:pStyle w:val="ListParagraph"/>
        <w:numPr>
          <w:ilvl w:val="0"/>
          <w:numId w:val="33"/>
        </w:numPr>
        <w:tabs>
          <w:tab w:pos="1490" w:val="left" w:leader="none"/>
        </w:tabs>
        <w:spacing w:line="269" w:lineRule="exact" w:before="0" w:after="0"/>
        <w:ind w:left="1489" w:right="0" w:hanging="530"/>
        <w:jc w:val="left"/>
        <w:rPr>
          <w:sz w:val="21"/>
        </w:rPr>
      </w:pPr>
      <w:r>
        <w:rPr>
          <w:spacing w:val="-2"/>
          <w:sz w:val="21"/>
        </w:rPr>
        <w:t>利差风险</w:t>
      </w:r>
    </w:p>
    <w:p>
      <w:pPr>
        <w:pStyle w:val="BodyText"/>
        <w:spacing w:before="7"/>
        <w:rPr>
          <w:sz w:val="15"/>
        </w:rPr>
      </w:pPr>
    </w:p>
    <w:p>
      <w:pPr>
        <w:pStyle w:val="BodyText"/>
        <w:spacing w:line="417" w:lineRule="auto"/>
        <w:ind w:left="540" w:right="311" w:firstLine="419"/>
      </w:pPr>
      <w:r>
        <w:rPr>
          <w:spacing w:val="-12"/>
        </w:rPr>
        <w:t>债券市场不同期限、不同类属债券之间的利差变动导致相应期限和类属债券价格变化的风险。</w:t>
      </w:r>
    </w:p>
    <w:p>
      <w:pPr>
        <w:pStyle w:val="ListParagraph"/>
        <w:numPr>
          <w:ilvl w:val="0"/>
          <w:numId w:val="33"/>
        </w:numPr>
        <w:tabs>
          <w:tab w:pos="1490" w:val="left" w:leader="none"/>
        </w:tabs>
        <w:spacing w:line="269" w:lineRule="exact" w:before="0" w:after="0"/>
        <w:ind w:left="1489" w:right="0" w:hanging="530"/>
        <w:jc w:val="left"/>
        <w:rPr>
          <w:sz w:val="21"/>
        </w:rPr>
      </w:pPr>
      <w:r>
        <w:rPr>
          <w:spacing w:val="-3"/>
          <w:sz w:val="21"/>
        </w:rPr>
        <w:t>市场供需风险</w:t>
      </w:r>
    </w:p>
    <w:p>
      <w:pPr>
        <w:pStyle w:val="BodyText"/>
        <w:spacing w:before="7"/>
        <w:rPr>
          <w:sz w:val="15"/>
        </w:rPr>
      </w:pPr>
    </w:p>
    <w:p>
      <w:pPr>
        <w:pStyle w:val="BodyText"/>
        <w:spacing w:line="417" w:lineRule="auto"/>
        <w:ind w:left="540" w:right="311" w:firstLine="419"/>
        <w:jc w:val="both"/>
      </w:pPr>
      <w:r>
        <w:rPr>
          <w:spacing w:val="-21"/>
        </w:rPr>
        <w:t>如果宏观经济环境、政府财政政策、市场监管政策、市场参与主体经营环境等发生变化， </w:t>
      </w:r>
      <w:r>
        <w:rPr>
          <w:spacing w:val="-11"/>
        </w:rPr>
        <w:t>债券市场参与主体可用资金数量和债券市场可供投资的债券数量可能发生相应的变化，最终</w:t>
      </w:r>
      <w:r>
        <w:rPr>
          <w:spacing w:val="-6"/>
        </w:rPr>
        <w:t>影响债券市场的供需关系，造成基金资产投资收益的变化。</w:t>
      </w:r>
    </w:p>
    <w:p>
      <w:pPr>
        <w:pStyle w:val="ListParagraph"/>
        <w:numPr>
          <w:ilvl w:val="0"/>
          <w:numId w:val="33"/>
        </w:numPr>
        <w:tabs>
          <w:tab w:pos="1490" w:val="left" w:leader="none"/>
        </w:tabs>
        <w:spacing w:line="269" w:lineRule="exact" w:before="0" w:after="0"/>
        <w:ind w:left="1489" w:right="0" w:hanging="530"/>
        <w:jc w:val="left"/>
        <w:rPr>
          <w:sz w:val="21"/>
        </w:rPr>
      </w:pPr>
      <w:r>
        <w:rPr>
          <w:spacing w:val="-3"/>
          <w:sz w:val="21"/>
        </w:rPr>
        <w:t>购买力风险</w:t>
      </w:r>
    </w:p>
    <w:p>
      <w:pPr>
        <w:pStyle w:val="BodyText"/>
        <w:spacing w:before="7"/>
        <w:rPr>
          <w:sz w:val="15"/>
        </w:rPr>
      </w:pPr>
    </w:p>
    <w:p>
      <w:pPr>
        <w:pStyle w:val="BodyText"/>
        <w:spacing w:line="417" w:lineRule="auto"/>
        <w:ind w:left="540" w:right="311" w:firstLine="419"/>
      </w:pPr>
      <w:r>
        <w:rPr>
          <w:spacing w:val="-8"/>
        </w:rPr>
        <w:t>基金投资所取得的收益率有可能低于通货膨胀率，从而导致投资者持有本基金资产实际</w:t>
      </w:r>
      <w:r>
        <w:rPr>
          <w:spacing w:val="-5"/>
        </w:rPr>
        <w:t>购买力下降。</w:t>
      </w:r>
    </w:p>
    <w:p>
      <w:pPr>
        <w:pStyle w:val="BodyText"/>
        <w:spacing w:line="269" w:lineRule="exact"/>
        <w:ind w:left="960"/>
      </w:pPr>
      <w:r>
        <w:rPr>
          <w:rFonts w:ascii="Times New Roman" w:eastAsia="Times New Roman"/>
        </w:rPr>
        <w:t>2</w:t>
      </w:r>
      <w:r>
        <w:rPr/>
        <w:t>、流动性风险</w:t>
      </w:r>
    </w:p>
    <w:p>
      <w:pPr>
        <w:pStyle w:val="BodyText"/>
        <w:spacing w:before="7"/>
        <w:rPr>
          <w:sz w:val="15"/>
        </w:rPr>
      </w:pPr>
    </w:p>
    <w:p>
      <w:pPr>
        <w:pStyle w:val="BodyText"/>
        <w:spacing w:line="417" w:lineRule="auto"/>
        <w:ind w:left="540" w:right="311" w:firstLine="419"/>
      </w:pPr>
      <w:r>
        <w:rPr>
          <w:spacing w:val="-8"/>
        </w:rPr>
        <w:t>在市场或个券流动性不足的情况下，基金管理人可能无法迅速、低成本地调整基金投资</w:t>
      </w:r>
      <w:r>
        <w:rPr>
          <w:spacing w:val="-5"/>
        </w:rPr>
        <w:t>组合，从而对基金收益造成不利影响。</w:t>
      </w:r>
    </w:p>
    <w:p>
      <w:pPr>
        <w:pStyle w:val="BodyText"/>
        <w:spacing w:line="417" w:lineRule="auto"/>
        <w:ind w:left="540" w:right="310" w:firstLine="419"/>
      </w:pPr>
      <w:r>
        <w:rPr>
          <w:spacing w:val="-9"/>
        </w:rPr>
        <w:t>由于开放式基金的特殊要求，本基金必须保持一定的现金比例以应对赎回要求，在管理</w:t>
      </w:r>
      <w:r>
        <w:rPr>
          <w:spacing w:val="-5"/>
        </w:rPr>
        <w:t>现金头寸时，有可能存在现金不足的风险和现金过多带来的收益下降风险。</w:t>
      </w:r>
    </w:p>
    <w:p>
      <w:pPr>
        <w:pStyle w:val="BodyText"/>
        <w:spacing w:line="417" w:lineRule="auto"/>
        <w:ind w:left="540" w:right="311" w:firstLine="419"/>
        <w:jc w:val="both"/>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34"/>
        </w:numPr>
        <w:tabs>
          <w:tab w:pos="1490" w:val="left" w:leader="none"/>
        </w:tabs>
        <w:spacing w:line="269" w:lineRule="exact" w:before="0" w:after="0"/>
        <w:ind w:left="1489" w:right="0" w:hanging="530"/>
        <w:jc w:val="left"/>
        <w:rPr>
          <w:sz w:val="21"/>
        </w:rPr>
      </w:pPr>
      <w:r>
        <w:rPr>
          <w:spacing w:val="-3"/>
          <w:sz w:val="21"/>
        </w:rPr>
        <w:t>基金申购、赎回安排</w:t>
      </w:r>
    </w:p>
    <w:p>
      <w:pPr>
        <w:spacing w:after="0" w:line="269" w:lineRule="exact"/>
        <w:jc w:val="left"/>
        <w:rPr>
          <w:sz w:val="21"/>
        </w:rPr>
        <w:sectPr>
          <w:pgSz w:w="11910" w:h="16840"/>
          <w:pgMar w:header="877" w:footer="0" w:top="1420" w:bottom="280" w:left="1260" w:right="1480"/>
        </w:sectPr>
      </w:pPr>
    </w:p>
    <w:p>
      <w:pPr>
        <w:pStyle w:val="BodyText"/>
        <w:spacing w:line="417" w:lineRule="auto" w:before="110"/>
        <w:ind w:left="540" w:right="313" w:firstLine="419"/>
      </w:pPr>
      <w:r>
        <w:rPr>
          <w:spacing w:val="-12"/>
        </w:rPr>
        <w:t>投资人具体请参见基金合同“第六部分 基金份额的申购与赎回”和本招募说明书“八、</w:t>
      </w:r>
      <w:r>
        <w:rPr>
          <w:spacing w:val="-14"/>
          <w:w w:val="100"/>
        </w:rPr>
        <w:t>基金份额的申购、赎回与转换”，详细了解本基金的申购以及赎回安排。</w:t>
      </w:r>
    </w:p>
    <w:p>
      <w:pPr>
        <w:pStyle w:val="ListParagraph"/>
        <w:numPr>
          <w:ilvl w:val="0"/>
          <w:numId w:val="34"/>
        </w:numPr>
        <w:tabs>
          <w:tab w:pos="1490" w:val="left" w:leader="none"/>
        </w:tabs>
        <w:spacing w:line="269" w:lineRule="exact" w:before="0" w:after="0"/>
        <w:ind w:left="1489" w:right="0" w:hanging="530"/>
        <w:jc w:val="left"/>
        <w:rPr>
          <w:sz w:val="21"/>
        </w:rPr>
      </w:pPr>
      <w:r>
        <w:rPr>
          <w:spacing w:val="-3"/>
          <w:sz w:val="21"/>
        </w:rPr>
        <w:t>拟投资市场、行业及资产的流动性风险评估</w:t>
      </w:r>
    </w:p>
    <w:p>
      <w:pPr>
        <w:pStyle w:val="BodyText"/>
        <w:spacing w:before="6"/>
        <w:rPr>
          <w:sz w:val="15"/>
        </w:rPr>
      </w:pPr>
    </w:p>
    <w:p>
      <w:pPr>
        <w:pStyle w:val="BodyText"/>
        <w:spacing w:line="417" w:lineRule="auto"/>
        <w:ind w:left="540" w:right="311" w:firstLine="419"/>
        <w:jc w:val="both"/>
      </w:pPr>
      <w:r>
        <w:rPr>
          <w:spacing w:val="-5"/>
        </w:rPr>
        <w:t>本基金主要投资对象为具有良好流动性的金融工具，包括债券</w:t>
      </w:r>
      <w:r>
        <w:rPr/>
        <w:t>（</w:t>
      </w:r>
      <w:r>
        <w:rPr>
          <w:spacing w:val="-9"/>
        </w:rPr>
        <w:t>国债、央行票据、金融</w:t>
      </w:r>
      <w:r>
        <w:rPr>
          <w:spacing w:val="-12"/>
        </w:rPr>
        <w:t>债、公开发行的次级债、地方政府债、企业债、公司债、中小企业私募债、中期票据、短期</w:t>
      </w:r>
      <w:r>
        <w:rPr>
          <w:spacing w:val="-6"/>
        </w:rPr>
        <w:t>融资券、分离交易可转换债券的纯债部分、可交换债券</w:t>
      </w:r>
      <w:r>
        <w:rPr>
          <w:spacing w:val="-106"/>
        </w:rPr>
        <w:t>）</w:t>
      </w:r>
      <w:r>
        <w:rPr>
          <w:spacing w:val="-3"/>
        </w:rPr>
        <w:t>、资产支持证券、债券回购、银行</w:t>
      </w:r>
      <w:r>
        <w:rPr>
          <w:spacing w:val="-20"/>
        </w:rPr>
        <w:t>存款、同业存单、货币市场工具等。一般情况下本基金拟投资的资产类别具有较好的流动性， </w:t>
      </w:r>
      <w:r>
        <w:rPr>
          <w:spacing w:val="-12"/>
        </w:rPr>
        <w:t>但是在特殊市场环境下本基金仍有可能出现流动性不足的情形。本基金管理人将根据历史经验和现实条件，制定出现金持有量的上下限计划，在该限制范围内进行现金比例调控或现金</w:t>
      </w:r>
      <w:r>
        <w:rPr>
          <w:spacing w:val="-13"/>
        </w:rPr>
        <w:t>与证券的转化。同时，本基金管理人会进行标的的分散化投资并结合对各类标的资产的预期</w:t>
      </w:r>
      <w:r>
        <w:rPr>
          <w:spacing w:val="-6"/>
        </w:rPr>
        <w:t>流动性合理进行资产配置，以防范流动性风险。</w:t>
      </w:r>
    </w:p>
    <w:p>
      <w:pPr>
        <w:pStyle w:val="ListParagraph"/>
        <w:numPr>
          <w:ilvl w:val="0"/>
          <w:numId w:val="34"/>
        </w:numPr>
        <w:tabs>
          <w:tab w:pos="1490" w:val="left" w:leader="none"/>
        </w:tabs>
        <w:spacing w:line="268" w:lineRule="exact" w:before="0" w:after="0"/>
        <w:ind w:left="1489" w:right="0" w:hanging="530"/>
        <w:jc w:val="left"/>
        <w:rPr>
          <w:sz w:val="21"/>
        </w:rPr>
      </w:pPr>
      <w:r>
        <w:rPr>
          <w:spacing w:val="-3"/>
          <w:sz w:val="21"/>
        </w:rPr>
        <w:t>巨额赎回情形下的流动性风险管理措施</w:t>
      </w:r>
    </w:p>
    <w:p>
      <w:pPr>
        <w:pStyle w:val="BodyText"/>
        <w:spacing w:before="7"/>
        <w:rPr>
          <w:sz w:val="15"/>
        </w:rPr>
      </w:pPr>
    </w:p>
    <w:p>
      <w:pPr>
        <w:pStyle w:val="BodyText"/>
        <w:ind w:left="960"/>
      </w:pPr>
      <w:r>
        <w:rPr/>
        <w:t>当本基金发生巨额赎回情形时，基金管理人可以采用以下流动性风险管理措施：</w:t>
      </w:r>
    </w:p>
    <w:p>
      <w:pPr>
        <w:pStyle w:val="BodyText"/>
        <w:spacing w:before="7"/>
        <w:rPr>
          <w:sz w:val="15"/>
        </w:rPr>
      </w:pPr>
    </w:p>
    <w:p>
      <w:pPr>
        <w:pStyle w:val="BodyText"/>
        <w:ind w:left="960"/>
      </w:pPr>
      <w:r>
        <w:rPr/>
        <w:t>①延期办理巨额赎回申请；</w:t>
      </w:r>
    </w:p>
    <w:p>
      <w:pPr>
        <w:pStyle w:val="BodyText"/>
        <w:spacing w:before="7"/>
        <w:rPr>
          <w:sz w:val="15"/>
        </w:rPr>
      </w:pPr>
    </w:p>
    <w:p>
      <w:pPr>
        <w:pStyle w:val="BodyText"/>
        <w:ind w:left="960"/>
      </w:pPr>
      <w:r>
        <w:rPr>
          <w:spacing w:val="-3"/>
        </w:rPr>
        <w:t>②暂停接受赎回申请；</w:t>
      </w:r>
    </w:p>
    <w:p>
      <w:pPr>
        <w:pStyle w:val="BodyText"/>
        <w:spacing w:before="7"/>
        <w:rPr>
          <w:sz w:val="15"/>
        </w:rPr>
      </w:pPr>
    </w:p>
    <w:p>
      <w:pPr>
        <w:pStyle w:val="BodyText"/>
        <w:ind w:left="960"/>
      </w:pPr>
      <w:r>
        <w:rPr>
          <w:spacing w:val="-3"/>
        </w:rPr>
        <w:t>③延缓支付赎回款项；</w:t>
      </w:r>
    </w:p>
    <w:p>
      <w:pPr>
        <w:pStyle w:val="BodyText"/>
        <w:spacing w:before="6"/>
        <w:rPr>
          <w:sz w:val="15"/>
        </w:rPr>
      </w:pPr>
    </w:p>
    <w:p>
      <w:pPr>
        <w:pStyle w:val="BodyText"/>
        <w:spacing w:before="1"/>
        <w:ind w:left="960"/>
      </w:pPr>
      <w:r>
        <w:rPr/>
        <w:t>④摆动定价；</w:t>
      </w:r>
    </w:p>
    <w:p>
      <w:pPr>
        <w:pStyle w:val="BodyText"/>
        <w:spacing w:before="6"/>
        <w:rPr>
          <w:sz w:val="15"/>
        </w:rPr>
      </w:pPr>
    </w:p>
    <w:p>
      <w:pPr>
        <w:pStyle w:val="BodyText"/>
        <w:ind w:left="960"/>
      </w:pPr>
      <w:r>
        <w:rPr/>
        <w:t>⑤中国证监会认定的其他措施。</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实施备用的流动性风险管理工具的情形、程序及对投资者的潜在影响</w:t>
      </w:r>
    </w:p>
    <w:p>
      <w:pPr>
        <w:pStyle w:val="BodyText"/>
        <w:spacing w:before="7"/>
        <w:rPr>
          <w:sz w:val="15"/>
        </w:rPr>
      </w:pPr>
    </w:p>
    <w:p>
      <w:pPr>
        <w:pStyle w:val="BodyText"/>
        <w:spacing w:line="417" w:lineRule="auto"/>
        <w:ind w:left="540" w:right="31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ind w:left="960"/>
      </w:pPr>
      <w:r>
        <w:rPr/>
        <w:t>①延期办理巨额赎回申请</w:t>
      </w:r>
    </w:p>
    <w:p>
      <w:pPr>
        <w:pStyle w:val="BodyText"/>
        <w:spacing w:before="7"/>
        <w:rPr>
          <w:sz w:val="15"/>
        </w:rPr>
      </w:pPr>
    </w:p>
    <w:p>
      <w:pPr>
        <w:pStyle w:val="BodyText"/>
        <w:spacing w:line="417" w:lineRule="auto"/>
        <w:ind w:left="540" w:right="311" w:firstLine="419"/>
      </w:pPr>
      <w:r>
        <w:rPr>
          <w:spacing w:val="-12"/>
        </w:rPr>
        <w:t>当基金出现巨额赎回时，基金管理人可以根据基金当时的资产组合状况决定全额赎回或</w:t>
      </w:r>
      <w:r>
        <w:rPr>
          <w:spacing w:val="-6"/>
        </w:rPr>
        <w:t>部分延期赎回。</w:t>
      </w:r>
    </w:p>
    <w:p>
      <w:pPr>
        <w:pStyle w:val="BodyText"/>
        <w:spacing w:line="417" w:lineRule="auto"/>
        <w:ind w:left="540" w:right="31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spacing w:line="269" w:lineRule="exact"/>
        <w:ind w:left="960"/>
      </w:pPr>
      <w:r>
        <w:rPr/>
        <w:t>②暂停接受赎回申请</w:t>
      </w:r>
    </w:p>
    <w:p>
      <w:pPr>
        <w:pStyle w:val="BodyText"/>
        <w:spacing w:before="6"/>
        <w:rPr>
          <w:sz w:val="15"/>
        </w:rPr>
      </w:pPr>
    </w:p>
    <w:p>
      <w:pPr>
        <w:pStyle w:val="BodyText"/>
        <w:spacing w:line="417" w:lineRule="auto" w:before="1"/>
        <w:ind w:left="540" w:right="311" w:firstLine="419"/>
      </w:pPr>
      <w:r>
        <w:rPr>
          <w:spacing w:val="-3"/>
        </w:rPr>
        <w:t>投资人具体请参见基金合同“第六部分 基金份额的申购与赎回”中的“八、暂停赎回</w:t>
      </w:r>
      <w:r>
        <w:rPr>
          <w:spacing w:val="-7"/>
          <w:w w:val="100"/>
        </w:rPr>
        <w:t>或延缓支付赎回款项的情形”和“九、巨额赎回的情形及处理方式”，详细了解本基金暂停</w:t>
      </w:r>
    </w:p>
    <w:p>
      <w:pPr>
        <w:spacing w:after="0" w:line="417" w:lineRule="auto"/>
        <w:sectPr>
          <w:pgSz w:w="11910" w:h="16840"/>
          <w:pgMar w:header="877" w:footer="0" w:top="1420" w:bottom="280" w:left="1260" w:right="1480"/>
        </w:sectPr>
      </w:pPr>
    </w:p>
    <w:p>
      <w:pPr>
        <w:pStyle w:val="BodyText"/>
        <w:spacing w:before="110"/>
        <w:ind w:left="540"/>
      </w:pPr>
      <w:r>
        <w:rPr/>
        <w:t>接受赎回申请的情形及程序。</w:t>
      </w:r>
    </w:p>
    <w:p>
      <w:pPr>
        <w:pStyle w:val="BodyText"/>
        <w:spacing w:before="6"/>
        <w:rPr>
          <w:sz w:val="15"/>
        </w:rPr>
      </w:pPr>
    </w:p>
    <w:p>
      <w:pPr>
        <w:pStyle w:val="BodyText"/>
        <w:spacing w:line="417" w:lineRule="auto"/>
        <w:ind w:left="540" w:right="31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line="269" w:lineRule="exact"/>
        <w:ind w:left="960"/>
      </w:pPr>
      <w:r>
        <w:rPr/>
        <w:t>③延缓支付赎回款项</w:t>
      </w:r>
    </w:p>
    <w:p>
      <w:pPr>
        <w:pStyle w:val="BodyText"/>
        <w:spacing w:before="7"/>
        <w:rPr>
          <w:sz w:val="15"/>
        </w:rPr>
      </w:pPr>
    </w:p>
    <w:p>
      <w:pPr>
        <w:pStyle w:val="BodyText"/>
        <w:spacing w:line="417" w:lineRule="auto"/>
        <w:ind w:left="540" w:right="311" w:firstLine="419"/>
        <w:jc w:val="both"/>
      </w:pPr>
      <w:r>
        <w:rPr>
          <w:spacing w:val="-3"/>
        </w:rPr>
        <w:t>投资人具体请参见基金合同“第六部分 基金份额的申购与赎回”中的“八、暂停赎回</w:t>
      </w:r>
      <w:r>
        <w:rPr>
          <w:spacing w:val="-7"/>
          <w:w w:val="100"/>
        </w:rPr>
        <w:t>或延缓支付赎回款项的情形”和“九、巨额赎回的情形及处理方式”，详细了解本基金延缓</w:t>
      </w:r>
      <w:r>
        <w:rPr>
          <w:spacing w:val="-5"/>
        </w:rPr>
        <w:t>支付赎回款项的情形及程序。</w:t>
      </w:r>
    </w:p>
    <w:p>
      <w:pPr>
        <w:pStyle w:val="BodyText"/>
        <w:ind w:left="960"/>
      </w:pPr>
      <w:r>
        <w:rPr/>
        <w:t>在此情形下，投资人接收赎回款项的时间将可能比一般正常情形下有所延迟。</w:t>
      </w:r>
    </w:p>
    <w:p>
      <w:pPr>
        <w:pStyle w:val="BodyText"/>
        <w:spacing w:before="7"/>
        <w:rPr>
          <w:sz w:val="15"/>
        </w:rPr>
      </w:pPr>
    </w:p>
    <w:p>
      <w:pPr>
        <w:pStyle w:val="BodyText"/>
        <w:ind w:left="960"/>
      </w:pPr>
      <w:r>
        <w:rPr/>
        <w:t>④收取短期赎回费</w:t>
      </w:r>
    </w:p>
    <w:p>
      <w:pPr>
        <w:pStyle w:val="BodyText"/>
        <w:spacing w:before="7"/>
        <w:rPr>
          <w:sz w:val="15"/>
        </w:rPr>
      </w:pPr>
    </w:p>
    <w:p>
      <w:pPr>
        <w:pStyle w:val="BodyText"/>
        <w:spacing w:line="417" w:lineRule="auto"/>
        <w:ind w:left="540" w:right="316" w:firstLine="419"/>
      </w:pPr>
      <w:r>
        <w:rPr/>
        <w:t>本基金对持续持有期少于</w:t>
      </w:r>
      <w:r>
        <w:rPr>
          <w:rFonts w:ascii="Times New Roman" w:eastAsia="Times New Roman"/>
        </w:rPr>
        <w:t>7</w:t>
      </w:r>
      <w:r>
        <w:rPr/>
        <w:t>日的投资者收取不低于</w:t>
      </w:r>
      <w:r>
        <w:rPr>
          <w:rFonts w:ascii="Times New Roman" w:eastAsia="Times New Roman"/>
        </w:rPr>
        <w:t>1.5%</w:t>
      </w:r>
      <w:r>
        <w:rPr/>
        <w:t>的赎回费，并将上述赎回费全额计入基金财产。</w:t>
      </w:r>
    </w:p>
    <w:p>
      <w:pPr>
        <w:pStyle w:val="BodyText"/>
        <w:spacing w:line="269" w:lineRule="exact"/>
        <w:ind w:left="960"/>
      </w:pPr>
      <w:r>
        <w:rPr/>
        <w:t>⑤暂停基金估值</w:t>
      </w:r>
    </w:p>
    <w:p>
      <w:pPr>
        <w:pStyle w:val="BodyText"/>
        <w:spacing w:before="6"/>
        <w:rPr>
          <w:sz w:val="15"/>
        </w:rPr>
      </w:pPr>
    </w:p>
    <w:p>
      <w:pPr>
        <w:pStyle w:val="BodyText"/>
        <w:spacing w:line="417" w:lineRule="auto" w:before="1"/>
        <w:ind w:left="540" w:right="311" w:firstLine="419"/>
      </w:pPr>
      <w:r>
        <w:rPr>
          <w:spacing w:val="-10"/>
          <w:w w:val="100"/>
        </w:rPr>
        <w:t>投资人具体请参见基金合同“第十四部分</w:t>
      </w:r>
      <w:r>
        <w:rPr>
          <w:spacing w:val="-10"/>
        </w:rPr>
        <w:t> </w:t>
      </w:r>
      <w:r>
        <w:rPr>
          <w:spacing w:val="-22"/>
          <w:w w:val="100"/>
        </w:rPr>
        <w:t>基金资产估值”中的“六、暂停估值的情形”，</w:t>
      </w:r>
      <w:r>
        <w:rPr>
          <w:spacing w:val="-8"/>
        </w:rPr>
        <w:t>详细了解本基金暂停估值的情形及程序。</w:t>
      </w:r>
    </w:p>
    <w:p>
      <w:pPr>
        <w:pStyle w:val="BodyText"/>
        <w:ind w:left="960"/>
      </w:pPr>
      <w:r>
        <w:rPr/>
        <w:t>在此情形下，投资人没有可供参考的基金份额净值，基金申购赎回申请或被暂停。</w:t>
      </w:r>
    </w:p>
    <w:p>
      <w:pPr>
        <w:pStyle w:val="BodyText"/>
        <w:spacing w:before="6"/>
        <w:rPr>
          <w:sz w:val="15"/>
        </w:rPr>
      </w:pPr>
    </w:p>
    <w:p>
      <w:pPr>
        <w:pStyle w:val="BodyText"/>
        <w:ind w:left="960"/>
      </w:pPr>
      <w:r>
        <w:rPr>
          <w:spacing w:val="-1"/>
        </w:rPr>
        <w:t>⑥摆动定价</w:t>
      </w:r>
    </w:p>
    <w:p>
      <w:pPr>
        <w:pStyle w:val="BodyText"/>
        <w:spacing w:before="7"/>
        <w:rPr>
          <w:sz w:val="15"/>
        </w:rPr>
      </w:pPr>
    </w:p>
    <w:p>
      <w:pPr>
        <w:pStyle w:val="BodyText"/>
        <w:spacing w:line="417" w:lineRule="auto"/>
        <w:ind w:left="540" w:right="311" w:firstLine="419"/>
      </w:pPr>
      <w:r>
        <w:rPr>
          <w:spacing w:val="-8"/>
        </w:rPr>
        <w:t>当本基金发生大额申购或赎回情形时，基金管理人可以采用摆动定价机制，以确保基金</w:t>
      </w:r>
      <w:r>
        <w:rPr>
          <w:spacing w:val="-5"/>
        </w:rPr>
        <w:t>估值的公平性。</w:t>
      </w:r>
    </w:p>
    <w:p>
      <w:pPr>
        <w:pStyle w:val="BodyText"/>
        <w:spacing w:line="417" w:lineRule="auto"/>
        <w:ind w:left="540" w:right="20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ind w:left="960"/>
      </w:pPr>
      <w:r>
        <w:rPr/>
        <w:t>⑦中国证监会认定的其他措施。</w:t>
      </w:r>
    </w:p>
    <w:p>
      <w:pPr>
        <w:pStyle w:val="BodyText"/>
        <w:spacing w:before="6"/>
        <w:rPr>
          <w:sz w:val="15"/>
        </w:rPr>
      </w:pPr>
    </w:p>
    <w:p>
      <w:pPr>
        <w:pStyle w:val="BodyText"/>
        <w:ind w:left="960"/>
      </w:pPr>
      <w:r>
        <w:rPr>
          <w:rFonts w:ascii="Times New Roman" w:eastAsia="Times New Roman"/>
        </w:rPr>
        <w:t>3</w:t>
      </w:r>
      <w:r>
        <w:rPr/>
        <w:t>、积极管理风险</w:t>
      </w:r>
    </w:p>
    <w:p>
      <w:pPr>
        <w:pStyle w:val="BodyText"/>
        <w:spacing w:before="7"/>
        <w:rPr>
          <w:sz w:val="15"/>
        </w:rPr>
      </w:pPr>
    </w:p>
    <w:p>
      <w:pPr>
        <w:pStyle w:val="BodyText"/>
        <w:spacing w:line="417" w:lineRule="auto"/>
        <w:ind w:left="540" w:right="311" w:firstLine="419"/>
        <w:jc w:val="both"/>
      </w:pPr>
      <w:r>
        <w:rPr>
          <w:spacing w:val="-9"/>
        </w:rPr>
        <w:t>在实际投资操作过程中，基金管理人可能限于知识、技术、经验等因素而影响其对相关</w:t>
      </w:r>
      <w:r>
        <w:rPr>
          <w:spacing w:val="-13"/>
        </w:rPr>
        <w:t>信息、经济形势和证券价格走势的判断，其精选出的投资品种的业绩表现不一定持续优于其</w:t>
      </w:r>
      <w:r>
        <w:rPr>
          <w:spacing w:val="-8"/>
        </w:rPr>
        <w:t>他品种。</w:t>
      </w:r>
    </w:p>
    <w:p>
      <w:pPr>
        <w:pStyle w:val="BodyText"/>
        <w:spacing w:line="269" w:lineRule="exact"/>
        <w:ind w:left="960"/>
      </w:pPr>
      <w:r>
        <w:rPr>
          <w:rFonts w:ascii="Times New Roman" w:eastAsia="Times New Roman"/>
        </w:rPr>
        <w:t>4</w:t>
      </w:r>
      <w:r>
        <w:rPr/>
        <w:t>、中小企业私募债券投资风险</w:t>
      </w:r>
    </w:p>
    <w:p>
      <w:pPr>
        <w:pStyle w:val="BodyText"/>
        <w:spacing w:before="7"/>
        <w:rPr>
          <w:sz w:val="15"/>
        </w:rPr>
      </w:pPr>
    </w:p>
    <w:p>
      <w:pPr>
        <w:pStyle w:val="BodyText"/>
        <w:spacing w:line="417" w:lineRule="auto"/>
        <w:ind w:left="540" w:right="311" w:firstLine="419"/>
      </w:pPr>
      <w:r>
        <w:rPr>
          <w:spacing w:val="-7"/>
        </w:rPr>
        <w:t>基金所投资的中小企业私募债券之债务人出现违约，或在交易过程中发生交收违约，或</w:t>
      </w:r>
      <w:r>
        <w:rPr>
          <w:spacing w:val="-9"/>
        </w:rPr>
        <w:t>由于中小企业私募债券信用质量降低导致价格下降，可能造成基金财产损失。此外，受市场</w:t>
      </w:r>
    </w:p>
    <w:p>
      <w:pPr>
        <w:spacing w:after="0" w:line="417" w:lineRule="auto"/>
        <w:sectPr>
          <w:pgSz w:w="11910" w:h="16840"/>
          <w:pgMar w:header="877" w:footer="0" w:top="1420" w:bottom="280" w:left="1260" w:right="1480"/>
        </w:sectPr>
      </w:pPr>
    </w:p>
    <w:p>
      <w:pPr>
        <w:pStyle w:val="BodyText"/>
        <w:spacing w:line="417" w:lineRule="auto" w:before="110"/>
        <w:ind w:left="540" w:right="311"/>
      </w:pPr>
      <w:r>
        <w:rPr>
          <w:spacing w:val="-11"/>
        </w:rPr>
        <w:t>规模及交易活跃程度的影响，中小企业私募债券可能无法在同一价格水平上进行较大数量的</w:t>
      </w:r>
      <w:r>
        <w:rPr>
          <w:spacing w:val="-6"/>
        </w:rPr>
        <w:t>买入或卖出，存在一定的流动性风险，从而对基金收益造成影响。</w:t>
      </w:r>
    </w:p>
    <w:p>
      <w:pPr>
        <w:pStyle w:val="BodyText"/>
        <w:spacing w:line="269" w:lineRule="exact"/>
        <w:ind w:left="960"/>
      </w:pPr>
      <w:r>
        <w:rPr>
          <w:rFonts w:ascii="Times New Roman" w:eastAsia="Times New Roman"/>
        </w:rPr>
        <w:t>5</w:t>
      </w:r>
      <w:r>
        <w:rPr/>
        <w:t>、操作或技术风险</w:t>
      </w:r>
    </w:p>
    <w:p>
      <w:pPr>
        <w:pStyle w:val="BodyText"/>
        <w:spacing w:before="6"/>
        <w:rPr>
          <w:sz w:val="15"/>
        </w:rPr>
      </w:pPr>
    </w:p>
    <w:p>
      <w:pPr>
        <w:pStyle w:val="BodyText"/>
        <w:spacing w:line="417" w:lineRule="auto"/>
        <w:ind w:left="540" w:right="311" w:firstLine="419"/>
        <w:jc w:val="both"/>
      </w:pPr>
      <w:r>
        <w:rPr>
          <w:spacing w:val="-9"/>
        </w:rPr>
        <w:t>相关当事人在业务各环节操作过程中，因内部控制存在缺陷或者人为因素造成操作失误</w:t>
      </w:r>
      <w:r>
        <w:rPr>
          <w:spacing w:val="-11"/>
        </w:rPr>
        <w:t>或违反操作规程等引致的风险，例如，越权违规交易、会计部门欺诈、交易错误、</w:t>
      </w:r>
      <w:r>
        <w:rPr>
          <w:rFonts w:ascii="Times New Roman" w:eastAsia="Times New Roman"/>
        </w:rPr>
        <w:t>IT</w:t>
      </w:r>
      <w:r>
        <w:rPr>
          <w:spacing w:val="-2"/>
        </w:rPr>
        <w:t>系统故</w:t>
      </w:r>
      <w:r>
        <w:rPr>
          <w:spacing w:val="-3"/>
        </w:rPr>
        <w:t>障等风险。</w:t>
      </w:r>
    </w:p>
    <w:p>
      <w:pPr>
        <w:pStyle w:val="BodyText"/>
        <w:spacing w:line="417" w:lineRule="auto"/>
        <w:ind w:left="540" w:right="20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登记机构、销售机构、证券交易所、证券登记结算机构等。</w:t>
      </w:r>
    </w:p>
    <w:p>
      <w:pPr>
        <w:pStyle w:val="BodyText"/>
        <w:spacing w:line="417" w:lineRule="auto"/>
        <w:ind w:left="540" w:right="31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spacing w:line="269" w:lineRule="exact"/>
        <w:ind w:left="960"/>
      </w:pPr>
      <w:r>
        <w:rPr>
          <w:rFonts w:ascii="Times New Roman" w:eastAsia="Times New Roman"/>
        </w:rPr>
        <w:t>6</w:t>
      </w:r>
      <w:r>
        <w:rPr/>
        <w:t>、政策变更风险</w:t>
      </w:r>
    </w:p>
    <w:p>
      <w:pPr>
        <w:pStyle w:val="BodyText"/>
        <w:spacing w:before="7"/>
        <w:rPr>
          <w:sz w:val="15"/>
        </w:rPr>
      </w:pPr>
    </w:p>
    <w:p>
      <w:pPr>
        <w:pStyle w:val="BodyText"/>
        <w:spacing w:line="417" w:lineRule="auto"/>
        <w:ind w:left="540" w:right="31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2"/>
        </w:rPr>
        <w:t>引起基金净值波动的风险、相关法规的修改导致基金投资范围变化，基金管理人为调整投资</w:t>
      </w:r>
      <w:r>
        <w:rPr>
          <w:spacing w:val="-6"/>
        </w:rPr>
        <w:t>组合而引起基金净值波动的风险等。</w:t>
      </w:r>
    </w:p>
    <w:p>
      <w:pPr>
        <w:pStyle w:val="BodyText"/>
        <w:spacing w:line="269" w:lineRule="exact"/>
        <w:ind w:left="960"/>
      </w:pPr>
      <w:r>
        <w:rPr>
          <w:rFonts w:ascii="Times New Roman" w:eastAsia="Times New Roman"/>
        </w:rPr>
        <w:t>7</w:t>
      </w:r>
      <w:r>
        <w:rPr/>
        <w:t>、其他风险</w:t>
      </w:r>
    </w:p>
    <w:p>
      <w:pPr>
        <w:pStyle w:val="BodyText"/>
        <w:spacing w:before="6"/>
        <w:rPr>
          <w:sz w:val="15"/>
        </w:rPr>
      </w:pPr>
    </w:p>
    <w:p>
      <w:pPr>
        <w:pStyle w:val="BodyText"/>
        <w:spacing w:line="417" w:lineRule="auto" w:before="1"/>
        <w:ind w:left="540" w:right="311" w:firstLine="419"/>
        <w:jc w:val="both"/>
      </w:pPr>
      <w:r>
        <w:rPr>
          <w:spacing w:val="-10"/>
        </w:rPr>
        <w:t>战争、自然灾害等不可抗力因素的出现，将会严重影响证券市场的运行，可能导致基金</w:t>
      </w:r>
      <w:r>
        <w:rPr>
          <w:spacing w:val="-12"/>
        </w:rPr>
        <w:t>资产的损失。金融市场危机、行业竞争、代理机构违约、托管行违约等超出基金管理人自身</w:t>
      </w:r>
      <w:r>
        <w:rPr>
          <w:spacing w:val="-6"/>
        </w:rPr>
        <w:t>直接控制能力之外的风险，可能导致基金或者基金份额持有人利益受损。</w:t>
      </w:r>
    </w:p>
    <w:p>
      <w:pPr>
        <w:pStyle w:val="BodyText"/>
        <w:ind w:left="960"/>
      </w:pPr>
      <w:r>
        <w:rPr/>
        <w:t>（二）声明</w:t>
      </w:r>
    </w:p>
    <w:p>
      <w:pPr>
        <w:pStyle w:val="BodyText"/>
        <w:spacing w:before="6"/>
        <w:rPr>
          <w:sz w:val="15"/>
        </w:rPr>
      </w:pPr>
    </w:p>
    <w:p>
      <w:pPr>
        <w:pStyle w:val="BodyText"/>
        <w:spacing w:line="417" w:lineRule="auto"/>
        <w:ind w:left="540" w:right="314" w:firstLine="419"/>
      </w:pPr>
      <w:r>
        <w:rPr>
          <w:rFonts w:ascii="Times New Roman" w:eastAsia="Times New Roman"/>
        </w:rPr>
        <w:t>1</w:t>
      </w:r>
      <w:r>
        <w:rPr/>
        <w:t>、本基金未经任何一级政府、机构及部门担保。投资者自愿投资于本基金，须自行承担投资风险。</w:t>
      </w:r>
    </w:p>
    <w:p>
      <w:pPr>
        <w:pStyle w:val="BodyText"/>
        <w:spacing w:line="417" w:lineRule="auto"/>
        <w:ind w:left="540" w:right="311" w:firstLine="419"/>
        <w:jc w:val="both"/>
      </w:pPr>
      <w:r>
        <w:rPr>
          <w:rFonts w:ascii="Times New Roman" w:eastAsia="Times New Roman"/>
        </w:rPr>
        <w:t>2</w:t>
      </w:r>
      <w:r>
        <w:rPr>
          <w:spacing w:val="-3"/>
        </w:rPr>
        <w:t>、除基金管理人直接办理本基金的销售外，本基金或还通过代销机构销售，但是，本</w:t>
      </w:r>
      <w:r>
        <w:rPr>
          <w:spacing w:val="-8"/>
        </w:rPr>
        <w:t>基金并不是代销机构的存款或负债，也没有经代销机构担保或者背书，代销机构并不能保证</w:t>
      </w:r>
      <w:r>
        <w:rPr>
          <w:spacing w:val="-5"/>
        </w:rPr>
        <w:t>其收益或本金安全。</w:t>
      </w:r>
    </w:p>
    <w:p>
      <w:pPr>
        <w:pStyle w:val="BodyText"/>
        <w:spacing w:line="417" w:lineRule="auto"/>
        <w:ind w:left="540" w:right="311" w:firstLine="419"/>
        <w:jc w:val="both"/>
      </w:pPr>
      <w:r>
        <w:rPr>
          <w:spacing w:val="-9"/>
        </w:rPr>
        <w:t>基金管理人承诺以诚实信用、勤勉尽责的原则管理和运用基金资产，但不保证本基金一</w:t>
      </w:r>
      <w:r>
        <w:rPr>
          <w:spacing w:val="-12"/>
        </w:rPr>
        <w:t>定盈利，也不保证最低收益。本基金的过往业绩及其净值高低并不预示其未来业绩表现。基</w:t>
      </w:r>
      <w:r>
        <w:rPr>
          <w:spacing w:val="-6"/>
        </w:rPr>
        <w:t>金管理人提醒投资者基金投资的</w:t>
      </w:r>
      <w:r>
        <w:rPr>
          <w:rFonts w:ascii="Times New Roman" w:hAnsi="Times New Roman" w:eastAsia="Times New Roman"/>
        </w:rPr>
        <w:t>“</w:t>
      </w:r>
      <w:r>
        <w:rPr>
          <w:spacing w:val="-3"/>
        </w:rPr>
        <w:t>买者自负</w:t>
      </w:r>
      <w:r>
        <w:rPr>
          <w:rFonts w:ascii="Times New Roman" w:hAnsi="Times New Roman" w:eastAsia="Times New Roman"/>
        </w:rPr>
        <w:t>”</w:t>
      </w:r>
      <w:r>
        <w:rPr>
          <w:spacing w:val="-11"/>
        </w:rPr>
        <w:t>原则，在做出投资决策后，基金运营状况与基金</w:t>
      </w:r>
    </w:p>
    <w:p>
      <w:pPr>
        <w:spacing w:after="0" w:line="417" w:lineRule="auto"/>
        <w:jc w:val="both"/>
        <w:sectPr>
          <w:pgSz w:w="11910" w:h="16840"/>
          <w:pgMar w:header="877" w:footer="0" w:top="1420" w:bottom="280" w:left="1260" w:right="1480"/>
        </w:sectPr>
      </w:pPr>
    </w:p>
    <w:p>
      <w:pPr>
        <w:pStyle w:val="BodyText"/>
        <w:spacing w:before="110"/>
        <w:ind w:left="540"/>
      </w:pPr>
      <w:r>
        <w:rPr/>
        <w:t>净值变化引致的投资风险，由投资者自行负担。</w:t>
      </w:r>
    </w:p>
    <w:p>
      <w:pPr>
        <w:pStyle w:val="BodyText"/>
        <w:rPr>
          <w:sz w:val="20"/>
        </w:rPr>
      </w:pPr>
    </w:p>
    <w:p>
      <w:pPr>
        <w:pStyle w:val="BodyText"/>
        <w:spacing w:before="1"/>
        <w:rPr>
          <w:sz w:val="22"/>
        </w:rPr>
      </w:pPr>
    </w:p>
    <w:p>
      <w:pPr>
        <w:pStyle w:val="Heading1"/>
        <w:ind w:right="2240"/>
      </w:pPr>
      <w:bookmarkStart w:name="_bookmark17" w:id="18"/>
      <w:bookmarkEnd w:id="18"/>
      <w:r>
        <w:rPr>
          <w:b w:val="0"/>
        </w:rPr>
      </w:r>
      <w:r>
        <w:rPr/>
        <w:t>十八、基金合同的变更、终止与基金财产的清算</w:t>
      </w:r>
    </w:p>
    <w:p>
      <w:pPr>
        <w:pStyle w:val="BodyText"/>
        <w:rPr>
          <w:b/>
          <w:sz w:val="20"/>
        </w:rPr>
      </w:pPr>
    </w:p>
    <w:p>
      <w:pPr>
        <w:pStyle w:val="BodyText"/>
        <w:spacing w:before="3"/>
        <w:rPr>
          <w:b/>
        </w:rPr>
      </w:pPr>
    </w:p>
    <w:p>
      <w:pPr>
        <w:pStyle w:val="BodyText"/>
        <w:ind w:left="960"/>
      </w:pPr>
      <w:r>
        <w:rPr/>
        <w:t>（一</w:t>
      </w:r>
      <w:r>
        <w:rPr>
          <w:spacing w:val="-108"/>
        </w:rPr>
        <w:t>）</w:t>
      </w:r>
      <w:r>
        <w:rPr>
          <w:spacing w:val="-3"/>
        </w:rPr>
        <w:t>《基金合同》的变更</w:t>
      </w:r>
    </w:p>
    <w:p>
      <w:pPr>
        <w:pStyle w:val="BodyText"/>
        <w:spacing w:before="6"/>
        <w:rPr>
          <w:sz w:val="15"/>
        </w:rPr>
      </w:pPr>
    </w:p>
    <w:p>
      <w:pPr>
        <w:pStyle w:val="BodyText"/>
        <w:spacing w:line="417" w:lineRule="auto"/>
        <w:ind w:left="540" w:right="31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before="1"/>
        <w:ind w:left="540" w:right="31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960"/>
      </w:pPr>
      <w:r>
        <w:rPr/>
        <w:t>（二</w:t>
      </w:r>
      <w:r>
        <w:rPr>
          <w:spacing w:val="-108"/>
        </w:rPr>
        <w:t>）</w:t>
      </w:r>
      <w:r>
        <w:rPr>
          <w:spacing w:val="-3"/>
        </w:rPr>
        <w:t>《基金合同》的终止事由</w:t>
      </w:r>
    </w:p>
    <w:p>
      <w:pPr>
        <w:pStyle w:val="BodyText"/>
        <w:spacing w:before="6"/>
        <w:rPr>
          <w:sz w:val="15"/>
        </w:rPr>
      </w:pPr>
    </w:p>
    <w:p>
      <w:pPr>
        <w:pStyle w:val="BodyText"/>
        <w:ind w:left="960"/>
      </w:pPr>
      <w:r>
        <w:rPr/>
        <w:t>有下列情形之一的，《基金合同》应当终止：</w:t>
      </w:r>
    </w:p>
    <w:p>
      <w:pPr>
        <w:pStyle w:val="BodyText"/>
        <w:spacing w:before="7"/>
        <w:rPr>
          <w:sz w:val="15"/>
        </w:rPr>
      </w:pPr>
    </w:p>
    <w:p>
      <w:pPr>
        <w:pStyle w:val="BodyText"/>
        <w:ind w:left="96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540" w:right="2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960"/>
      </w:pPr>
      <w:r>
        <w:rPr>
          <w:rFonts w:ascii="Times New Roman" w:eastAsia="Times New Roman"/>
        </w:rPr>
        <w:t>3</w:t>
      </w:r>
      <w:r>
        <w:rPr/>
        <w:t>、《基金合同》约定的其他情形。</w:t>
      </w:r>
    </w:p>
    <w:p>
      <w:pPr>
        <w:pStyle w:val="BodyText"/>
        <w:spacing w:before="6"/>
        <w:rPr>
          <w:sz w:val="15"/>
        </w:rPr>
      </w:pPr>
    </w:p>
    <w:p>
      <w:pPr>
        <w:pStyle w:val="BodyText"/>
        <w:spacing w:before="1"/>
        <w:ind w:left="960"/>
      </w:pPr>
      <w:r>
        <w:rPr>
          <w:rFonts w:ascii="Times New Roman" w:eastAsia="Times New Roman"/>
        </w:rPr>
        <w:t>4</w:t>
      </w:r>
      <w:r>
        <w:rPr/>
        <w:t>、相关法律法规和中国证监会规定的其他情况。</w:t>
      </w:r>
    </w:p>
    <w:p>
      <w:pPr>
        <w:pStyle w:val="BodyText"/>
        <w:spacing w:before="6"/>
        <w:rPr>
          <w:sz w:val="15"/>
        </w:rPr>
      </w:pPr>
    </w:p>
    <w:p>
      <w:pPr>
        <w:pStyle w:val="BodyText"/>
        <w:ind w:left="960"/>
      </w:pPr>
      <w:r>
        <w:rPr/>
        <w:t>（三）基金财产的清算</w:t>
      </w:r>
    </w:p>
    <w:p>
      <w:pPr>
        <w:pStyle w:val="BodyText"/>
        <w:spacing w:before="7"/>
        <w:rPr>
          <w:sz w:val="15"/>
        </w:rPr>
      </w:pPr>
    </w:p>
    <w:p>
      <w:pPr>
        <w:pStyle w:val="BodyText"/>
        <w:spacing w:line="417" w:lineRule="auto"/>
        <w:ind w:left="54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40" w:right="3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Times New Roman" w:eastAsia="Times New Roman"/>
        </w:rPr>
        <w:t>4</w:t>
      </w:r>
      <w:r>
        <w:rPr/>
        <w:t>、基金财产清算程序</w:t>
      </w:r>
    </w:p>
    <w:p>
      <w:pPr>
        <w:pStyle w:val="BodyText"/>
        <w:spacing w:before="6"/>
        <w:rPr>
          <w:sz w:val="15"/>
        </w:rPr>
      </w:pPr>
    </w:p>
    <w:p>
      <w:pPr>
        <w:pStyle w:val="ListParagraph"/>
        <w:numPr>
          <w:ilvl w:val="0"/>
          <w:numId w:val="35"/>
        </w:numPr>
        <w:tabs>
          <w:tab w:pos="1490" w:val="left" w:leader="none"/>
        </w:tabs>
        <w:spacing w:line="240" w:lineRule="auto" w:before="1" w:after="0"/>
        <w:ind w:left="1489" w:right="0" w:hanging="530"/>
        <w:jc w:val="left"/>
        <w:rPr>
          <w:sz w:val="21"/>
        </w:rPr>
      </w:pPr>
      <w:r>
        <w:rPr>
          <w:spacing w:val="-3"/>
          <w:sz w:val="21"/>
        </w:rPr>
        <w:t>《基金合同》终止情形出现时，由基金财产清算小组统一接管基金。</w:t>
      </w:r>
    </w:p>
    <w:p>
      <w:pPr>
        <w:pStyle w:val="BodyText"/>
        <w:spacing w:before="6"/>
        <w:rPr>
          <w:sz w:val="15"/>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制作清算报告。</w:t>
      </w:r>
    </w:p>
    <w:p>
      <w:pPr>
        <w:spacing w:after="0" w:line="240" w:lineRule="auto"/>
        <w:jc w:val="left"/>
        <w:rPr>
          <w:sz w:val="21"/>
        </w:rPr>
        <w:sectPr>
          <w:pgSz w:w="11910" w:h="16840"/>
          <w:pgMar w:header="877" w:footer="0" w:top="1420" w:bottom="280" w:left="1260" w:right="1480"/>
        </w:sectPr>
      </w:pPr>
    </w:p>
    <w:p>
      <w:pPr>
        <w:pStyle w:val="ListParagraph"/>
        <w:numPr>
          <w:ilvl w:val="0"/>
          <w:numId w:val="35"/>
        </w:numPr>
        <w:tabs>
          <w:tab w:pos="1490" w:val="left" w:leader="none"/>
        </w:tabs>
        <w:spacing w:line="417" w:lineRule="auto" w:before="110" w:after="0"/>
        <w:ind w:left="54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5"/>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7"/>
        <w:rPr>
          <w:sz w:val="15"/>
        </w:rPr>
      </w:pPr>
    </w:p>
    <w:p>
      <w:pPr>
        <w:pStyle w:val="BodyText"/>
        <w:ind w:left="96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pStyle w:val="BodyText"/>
        <w:ind w:left="960"/>
      </w:pPr>
      <w:r>
        <w:rPr/>
        <w:t>（四）清算费用</w:t>
      </w:r>
    </w:p>
    <w:p>
      <w:pPr>
        <w:pStyle w:val="BodyText"/>
        <w:spacing w:before="7"/>
        <w:rPr>
          <w:sz w:val="15"/>
        </w:rPr>
      </w:pPr>
    </w:p>
    <w:p>
      <w:pPr>
        <w:pStyle w:val="BodyText"/>
        <w:spacing w:line="417" w:lineRule="auto"/>
        <w:ind w:left="540" w:right="31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ind w:left="960"/>
      </w:pPr>
      <w:r>
        <w:rPr/>
        <w:t>（五）基金财产清算剩余资产的分配</w:t>
      </w:r>
    </w:p>
    <w:p>
      <w:pPr>
        <w:pStyle w:val="BodyText"/>
        <w:spacing w:before="7"/>
        <w:rPr>
          <w:sz w:val="15"/>
        </w:rPr>
      </w:pPr>
    </w:p>
    <w:p>
      <w:pPr>
        <w:pStyle w:val="BodyText"/>
        <w:spacing w:line="417" w:lineRule="auto"/>
        <w:ind w:left="540" w:right="31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960"/>
      </w:pPr>
      <w:r>
        <w:rPr/>
        <w:t>（六）基金财产清算的公告</w:t>
      </w:r>
    </w:p>
    <w:p>
      <w:pPr>
        <w:pStyle w:val="BodyText"/>
        <w:spacing w:before="6"/>
        <w:rPr>
          <w:sz w:val="15"/>
        </w:rPr>
      </w:pPr>
    </w:p>
    <w:p>
      <w:pPr>
        <w:pStyle w:val="BodyText"/>
        <w:spacing w:line="417" w:lineRule="auto"/>
        <w:ind w:left="540" w:right="31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ind w:left="960"/>
      </w:pPr>
      <w:r>
        <w:rPr/>
        <w:t>（七）基金财产清算账册及文件的保存</w:t>
      </w:r>
    </w:p>
    <w:p>
      <w:pPr>
        <w:pStyle w:val="BodyText"/>
        <w:spacing w:before="7"/>
        <w:rPr>
          <w:sz w:val="15"/>
        </w:rPr>
      </w:pPr>
    </w:p>
    <w:p>
      <w:pPr>
        <w:pStyle w:val="BodyText"/>
        <w:ind w:left="96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2"/>
        <w:rPr>
          <w:sz w:val="20"/>
        </w:rPr>
      </w:pPr>
    </w:p>
    <w:p>
      <w:pPr>
        <w:pStyle w:val="Heading1"/>
        <w:ind w:left="2459" w:right="2240"/>
      </w:pPr>
      <w:bookmarkStart w:name="_bookmark18" w:id="19"/>
      <w:bookmarkEnd w:id="19"/>
      <w:r>
        <w:rPr>
          <w:b w:val="0"/>
        </w:rPr>
      </w:r>
      <w:r>
        <w:rPr/>
        <w:t>十九、基金合同的内容摘要</w:t>
      </w:r>
    </w:p>
    <w:p>
      <w:pPr>
        <w:pStyle w:val="BodyText"/>
        <w:rPr>
          <w:b/>
          <w:sz w:val="20"/>
        </w:rPr>
      </w:pPr>
    </w:p>
    <w:p>
      <w:pPr>
        <w:pStyle w:val="BodyText"/>
        <w:spacing w:before="2"/>
        <w:rPr>
          <w:b/>
        </w:rPr>
      </w:pPr>
    </w:p>
    <w:p>
      <w:pPr>
        <w:pStyle w:val="BodyText"/>
        <w:ind w:left="960"/>
      </w:pPr>
      <w:r>
        <w:rPr/>
        <w:t>以下内容摘自《华夏鼎茂债券型证券投资基金基金合同》。</w:t>
      </w:r>
    </w:p>
    <w:p>
      <w:pPr>
        <w:pStyle w:val="BodyText"/>
        <w:spacing w:before="7"/>
        <w:rPr>
          <w:sz w:val="15"/>
        </w:rPr>
      </w:pPr>
    </w:p>
    <w:p>
      <w:pPr>
        <w:tabs>
          <w:tab w:pos="2585" w:val="left" w:leader="none"/>
        </w:tabs>
        <w:spacing w:line="417" w:lineRule="auto" w:before="0"/>
        <w:ind w:left="960" w:right="1305" w:firstLine="571"/>
        <w:jc w:val="left"/>
        <w:rPr>
          <w:sz w:val="21"/>
        </w:rPr>
      </w:pPr>
      <w:r>
        <w:rPr>
          <w:b/>
          <w:sz w:val="21"/>
        </w:rPr>
        <w:t>第一部分</w:t>
        <w:tab/>
        <w:t>基金份额持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pPr>
        <w:pStyle w:val="BodyText"/>
        <w:tabs>
          <w:tab w:pos="1800" w:val="left" w:leader="none"/>
        </w:tabs>
        <w:ind w:left="960"/>
      </w:pPr>
      <w:r>
        <w:rPr/>
        <w:t>（一）</w:t>
        <w:tab/>
        <w:t>基金</w:t>
      </w:r>
      <w:r>
        <w:rPr>
          <w:spacing w:val="-3"/>
        </w:rPr>
        <w:t>管</w:t>
      </w:r>
      <w:r>
        <w:rPr/>
        <w:t>理</w:t>
      </w:r>
      <w:r>
        <w:rPr>
          <w:spacing w:val="-3"/>
        </w:rPr>
        <w:t>人</w:t>
      </w:r>
      <w:r>
        <w:rPr/>
        <w:t>简况</w:t>
      </w:r>
    </w:p>
    <w:p>
      <w:pPr>
        <w:pStyle w:val="BodyText"/>
        <w:spacing w:before="7"/>
        <w:rPr>
          <w:sz w:val="15"/>
        </w:rPr>
      </w:pPr>
    </w:p>
    <w:p>
      <w:pPr>
        <w:pStyle w:val="BodyText"/>
        <w:ind w:left="960"/>
      </w:pPr>
      <w:r>
        <w:rPr/>
        <w:t>名称：华夏基金管理有限公司</w:t>
      </w:r>
    </w:p>
    <w:p>
      <w:pPr>
        <w:pStyle w:val="BodyText"/>
        <w:spacing w:before="6"/>
        <w:rPr>
          <w:sz w:val="15"/>
        </w:rPr>
      </w:pPr>
    </w:p>
    <w:p>
      <w:pPr>
        <w:pStyle w:val="BodyText"/>
        <w:spacing w:line="417" w:lineRule="auto" w:before="1"/>
        <w:ind w:left="960" w:right="4569"/>
      </w:pPr>
      <w:r>
        <w:rPr/>
        <w:t>住所：北京市顺义区安庆大街甲 </w:t>
      </w:r>
      <w:r>
        <w:rPr>
          <w:rFonts w:ascii="Times New Roman" w:eastAsia="Times New Roman"/>
        </w:rPr>
        <w:t>3 </w:t>
      </w:r>
      <w:r>
        <w:rPr/>
        <w:t>号院法定代表人：杨明辉</w:t>
      </w:r>
    </w:p>
    <w:p>
      <w:pPr>
        <w:pStyle w:val="BodyText"/>
        <w:spacing w:line="269" w:lineRule="exact"/>
        <w:ind w:left="96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ind w:left="960" w:right="2128"/>
      </w:pPr>
      <w:r>
        <w:rPr/>
        <w:t>批准设立机关及批准设立文号：中国证监会证监基字</w:t>
      </w:r>
      <w:r>
        <w:rPr>
          <w:rFonts w:ascii="Times New Roman" w:eastAsia="Times New Roman"/>
        </w:rPr>
        <w:t>[1998]16 </w:t>
      </w:r>
      <w:r>
        <w:rPr/>
        <w:t>号文组织形式：有限责任公司</w:t>
      </w:r>
    </w:p>
    <w:p>
      <w:pPr>
        <w:spacing w:after="0" w:line="417" w:lineRule="auto"/>
        <w:sectPr>
          <w:pgSz w:w="11910" w:h="16840"/>
          <w:pgMar w:header="877" w:footer="0" w:top="1420" w:bottom="280" w:left="1260" w:right="1480"/>
        </w:sectPr>
      </w:pPr>
    </w:p>
    <w:p>
      <w:pPr>
        <w:pStyle w:val="BodyText"/>
        <w:spacing w:line="417" w:lineRule="auto" w:before="110"/>
        <w:ind w:left="960" w:right="568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96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tabs>
          <w:tab w:pos="1800" w:val="left" w:leader="none"/>
        </w:tabs>
        <w:ind w:left="960"/>
      </w:pPr>
      <w:r>
        <w:rPr/>
        <w:t>（二）</w:t>
        <w:tab/>
        <w:t>基金</w:t>
      </w:r>
      <w:r>
        <w:rPr>
          <w:spacing w:val="-3"/>
        </w:rPr>
        <w:t>管</w:t>
      </w:r>
      <w:r>
        <w:rPr/>
        <w:t>理</w:t>
      </w:r>
      <w:r>
        <w:rPr>
          <w:spacing w:val="-3"/>
        </w:rPr>
        <w:t>人</w:t>
      </w:r>
      <w:r>
        <w:rPr/>
        <w:t>的</w:t>
      </w:r>
      <w:r>
        <w:rPr>
          <w:spacing w:val="-3"/>
        </w:rPr>
        <w:t>权</w:t>
      </w:r>
      <w:r>
        <w:rPr/>
        <w:t>利</w:t>
      </w:r>
      <w:r>
        <w:rPr>
          <w:spacing w:val="-3"/>
        </w:rPr>
        <w:t>与</w:t>
      </w:r>
      <w:r>
        <w:rPr/>
        <w:t>义务</w:t>
      </w:r>
    </w:p>
    <w:p>
      <w:pPr>
        <w:pStyle w:val="BodyText"/>
        <w:spacing w:before="7"/>
        <w:rPr>
          <w:sz w:val="15"/>
        </w:rPr>
      </w:pPr>
    </w:p>
    <w:p>
      <w:pPr>
        <w:pStyle w:val="BodyText"/>
        <w:ind w:left="960"/>
      </w:pPr>
      <w:r>
        <w:rPr>
          <w:rFonts w:ascii="Times New Roman" w:eastAsia="Times New Roman"/>
        </w:rPr>
        <w:t>1</w:t>
      </w:r>
      <w:r>
        <w:rPr/>
        <w:t>、根据《基金法》、《运作办法》及其他有关规定，基金管理人的权利包括但不限于：</w:t>
      </w:r>
    </w:p>
    <w:p>
      <w:pPr>
        <w:pStyle w:val="BodyText"/>
        <w:spacing w:before="6"/>
        <w:rPr>
          <w:sz w:val="15"/>
        </w:rPr>
      </w:pPr>
    </w:p>
    <w:p>
      <w:pPr>
        <w:pStyle w:val="ListParagraph"/>
        <w:numPr>
          <w:ilvl w:val="0"/>
          <w:numId w:val="36"/>
        </w:numPr>
        <w:tabs>
          <w:tab w:pos="1490" w:val="left" w:leader="none"/>
        </w:tabs>
        <w:spacing w:line="240" w:lineRule="auto" w:before="1" w:after="0"/>
        <w:ind w:left="1489" w:right="0" w:hanging="530"/>
        <w:jc w:val="left"/>
        <w:rPr>
          <w:sz w:val="21"/>
        </w:rPr>
      </w:pPr>
      <w:r>
        <w:rPr>
          <w:spacing w:val="-3"/>
          <w:sz w:val="21"/>
        </w:rPr>
        <w:t>依法募集资金；</w:t>
      </w:r>
    </w:p>
    <w:p>
      <w:pPr>
        <w:pStyle w:val="BodyText"/>
        <w:spacing w:before="6"/>
        <w:rPr>
          <w:sz w:val="15"/>
        </w:rPr>
      </w:pPr>
    </w:p>
    <w:p>
      <w:pPr>
        <w:pStyle w:val="ListParagraph"/>
        <w:numPr>
          <w:ilvl w:val="0"/>
          <w:numId w:val="36"/>
        </w:numPr>
        <w:tabs>
          <w:tab w:pos="1490" w:val="left" w:leader="none"/>
        </w:tabs>
        <w:spacing w:line="417" w:lineRule="auto" w:before="0" w:after="0"/>
        <w:ind w:left="540" w:right="314" w:firstLine="419"/>
        <w:jc w:val="left"/>
        <w:rPr>
          <w:sz w:val="21"/>
        </w:rPr>
      </w:pPr>
      <w:r>
        <w:rPr>
          <w:spacing w:val="-3"/>
          <w:sz w:val="21"/>
        </w:rPr>
        <w:t>自《基金合同》生效之日起，根据法律法规和《基金合同》独立运用并管理基金财产；</w:t>
      </w:r>
    </w:p>
    <w:p>
      <w:pPr>
        <w:pStyle w:val="ListParagraph"/>
        <w:numPr>
          <w:ilvl w:val="0"/>
          <w:numId w:val="36"/>
        </w:numPr>
        <w:tabs>
          <w:tab w:pos="1490" w:val="left" w:leader="none"/>
        </w:tabs>
        <w:spacing w:line="417" w:lineRule="auto" w:before="1" w:after="0"/>
        <w:ind w:left="540" w:right="314" w:firstLine="419"/>
        <w:jc w:val="left"/>
        <w:rPr>
          <w:sz w:val="21"/>
        </w:rPr>
      </w:pPr>
      <w:r>
        <w:rPr>
          <w:spacing w:val="-3"/>
          <w:sz w:val="21"/>
        </w:rPr>
        <w:t>依照《基金合同》收取基金管理费以及法律法规规定或中国证监会批准的其他费用；</w:t>
      </w:r>
    </w:p>
    <w:p>
      <w:pPr>
        <w:pStyle w:val="ListParagraph"/>
        <w:numPr>
          <w:ilvl w:val="0"/>
          <w:numId w:val="36"/>
        </w:numPr>
        <w:tabs>
          <w:tab w:pos="1490" w:val="left" w:leader="none"/>
        </w:tabs>
        <w:spacing w:line="269" w:lineRule="exact" w:before="0" w:after="0"/>
        <w:ind w:left="1489" w:right="0" w:hanging="530"/>
        <w:jc w:val="left"/>
        <w:rPr>
          <w:sz w:val="21"/>
        </w:rPr>
      </w:pPr>
      <w:r>
        <w:rPr>
          <w:spacing w:val="-3"/>
          <w:sz w:val="21"/>
        </w:rPr>
        <w:t>销售基金份额；</w:t>
      </w:r>
    </w:p>
    <w:p>
      <w:pPr>
        <w:pStyle w:val="BodyText"/>
        <w:spacing w:before="6"/>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召集基金份额持有人大会；</w:t>
      </w:r>
    </w:p>
    <w:p>
      <w:pPr>
        <w:pStyle w:val="BodyText"/>
        <w:spacing w:before="7"/>
        <w:rPr>
          <w:sz w:val="15"/>
        </w:rPr>
      </w:pPr>
    </w:p>
    <w:p>
      <w:pPr>
        <w:pStyle w:val="ListParagraph"/>
        <w:numPr>
          <w:ilvl w:val="0"/>
          <w:numId w:val="36"/>
        </w:numPr>
        <w:tabs>
          <w:tab w:pos="1490" w:val="left" w:leader="none"/>
        </w:tabs>
        <w:spacing w:line="417" w:lineRule="auto" w:before="0" w:after="0"/>
        <w:ind w:left="540" w:right="31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在基金托管人更换时，提名新的基金托管人；</w:t>
      </w:r>
    </w:p>
    <w:p>
      <w:pPr>
        <w:pStyle w:val="BodyText"/>
        <w:spacing w:before="12"/>
        <w:rPr>
          <w:sz w:val="20"/>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选择、更换基金销售机构，对基金销售机构的相关行为进行监督和处理；</w:t>
      </w:r>
    </w:p>
    <w:p>
      <w:pPr>
        <w:pStyle w:val="ListParagraph"/>
        <w:numPr>
          <w:ilvl w:val="0"/>
          <w:numId w:val="36"/>
        </w:numPr>
        <w:tabs>
          <w:tab w:pos="1490" w:val="left" w:leader="none"/>
        </w:tabs>
        <w:spacing w:line="393" w:lineRule="auto" w:before="170" w:after="0"/>
        <w:ind w:left="540" w:right="31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36"/>
        </w:numPr>
        <w:tabs>
          <w:tab w:pos="1595" w:val="left" w:leader="none"/>
        </w:tabs>
        <w:spacing w:line="267" w:lineRule="exact" w:before="0" w:after="0"/>
        <w:ind w:left="1595" w:right="0" w:hanging="635"/>
        <w:jc w:val="left"/>
        <w:rPr>
          <w:sz w:val="21"/>
        </w:rPr>
      </w:pPr>
      <w:r>
        <w:rPr>
          <w:spacing w:val="-3"/>
          <w:sz w:val="21"/>
        </w:rPr>
        <w:t>依据《基金合同》及有关法律规定决定基金收益的分配方案；</w:t>
      </w:r>
    </w:p>
    <w:p>
      <w:pPr>
        <w:pStyle w:val="ListParagraph"/>
        <w:numPr>
          <w:ilvl w:val="0"/>
          <w:numId w:val="36"/>
        </w:numPr>
        <w:tabs>
          <w:tab w:pos="1586" w:val="left" w:leader="none"/>
        </w:tabs>
        <w:spacing w:line="240" w:lineRule="auto" w:before="171" w:after="0"/>
        <w:ind w:left="1585" w:right="0" w:hanging="626"/>
        <w:jc w:val="left"/>
        <w:rPr>
          <w:sz w:val="21"/>
        </w:rPr>
      </w:pPr>
      <w:r>
        <w:rPr>
          <w:spacing w:val="-3"/>
          <w:sz w:val="21"/>
        </w:rPr>
        <w:t>在《基金合同》约定的范围内，拒绝或暂停受理申购与赎回申请；</w:t>
      </w:r>
    </w:p>
    <w:p>
      <w:pPr>
        <w:pStyle w:val="ListParagraph"/>
        <w:numPr>
          <w:ilvl w:val="0"/>
          <w:numId w:val="36"/>
        </w:numPr>
        <w:tabs>
          <w:tab w:pos="1595" w:val="left" w:leader="none"/>
        </w:tabs>
        <w:spacing w:line="391" w:lineRule="auto" w:before="173" w:after="0"/>
        <w:ind w:left="540" w:right="31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6"/>
        </w:numPr>
        <w:tabs>
          <w:tab w:pos="1595" w:val="left" w:leader="none"/>
        </w:tabs>
        <w:spacing w:line="240" w:lineRule="auto" w:before="1" w:after="0"/>
        <w:ind w:left="1595" w:right="0" w:hanging="635"/>
        <w:jc w:val="left"/>
        <w:rPr>
          <w:sz w:val="21"/>
        </w:rPr>
      </w:pPr>
      <w:r>
        <w:rPr>
          <w:spacing w:val="-3"/>
          <w:sz w:val="21"/>
        </w:rPr>
        <w:t>在法律法规允许的前提下，为基金的利益依法为基金进行融资；</w:t>
      </w:r>
    </w:p>
    <w:p>
      <w:pPr>
        <w:pStyle w:val="ListParagraph"/>
        <w:numPr>
          <w:ilvl w:val="0"/>
          <w:numId w:val="36"/>
        </w:numPr>
        <w:tabs>
          <w:tab w:pos="1595" w:val="left" w:leader="none"/>
        </w:tabs>
        <w:spacing w:line="391" w:lineRule="auto" w:before="173" w:after="0"/>
        <w:ind w:left="540" w:right="31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6"/>
        </w:numPr>
        <w:tabs>
          <w:tab w:pos="1595" w:val="left" w:leader="none"/>
        </w:tabs>
        <w:spacing w:line="393" w:lineRule="auto" w:before="1" w:after="0"/>
        <w:ind w:left="540" w:right="31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6"/>
        </w:numPr>
        <w:tabs>
          <w:tab w:pos="1595" w:val="left" w:leader="none"/>
        </w:tabs>
        <w:spacing w:line="391" w:lineRule="auto" w:before="0" w:after="0"/>
        <w:ind w:left="540" w:right="31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spacing w:after="0" w:line="391" w:lineRule="auto"/>
        <w:jc w:val="left"/>
        <w:rPr>
          <w:sz w:val="21"/>
        </w:rPr>
        <w:sectPr>
          <w:pgSz w:w="11910" w:h="16840"/>
          <w:pgMar w:header="877" w:footer="0" w:top="1420" w:bottom="280" w:left="1260" w:right="1480"/>
        </w:sectPr>
      </w:pPr>
    </w:p>
    <w:p>
      <w:pPr>
        <w:pStyle w:val="BodyText"/>
        <w:spacing w:before="11"/>
        <w:rPr>
          <w:sz w:val="7"/>
        </w:rPr>
      </w:pPr>
    </w:p>
    <w:p>
      <w:pPr>
        <w:pStyle w:val="ListParagraph"/>
        <w:numPr>
          <w:ilvl w:val="0"/>
          <w:numId w:val="36"/>
        </w:numPr>
        <w:tabs>
          <w:tab w:pos="1595" w:val="left" w:leader="none"/>
        </w:tabs>
        <w:spacing w:line="240" w:lineRule="auto" w:before="79" w:after="0"/>
        <w:ind w:left="1595" w:right="0" w:hanging="635"/>
        <w:jc w:val="left"/>
        <w:rPr>
          <w:sz w:val="21"/>
        </w:rPr>
      </w:pPr>
      <w:r>
        <w:rPr>
          <w:spacing w:val="-3"/>
          <w:sz w:val="21"/>
        </w:rPr>
        <w:t>法律法规及中国证监会规定的和《基金合同》约定的其他权利。</w:t>
      </w:r>
    </w:p>
    <w:p>
      <w:pPr>
        <w:pStyle w:val="BodyText"/>
        <w:spacing w:before="170"/>
        <w:ind w:left="960"/>
      </w:pPr>
      <w:r>
        <w:rPr>
          <w:rFonts w:ascii="Times New Roman" w:eastAsia="Times New Roman"/>
        </w:rPr>
        <w:t>2</w:t>
      </w:r>
      <w:r>
        <w:rPr/>
        <w:t>、根据《基金法》、《运作办法》及其他有关规定，基金管理人的义务包括但不限于：</w:t>
      </w:r>
    </w:p>
    <w:p>
      <w:pPr>
        <w:pStyle w:val="ListParagraph"/>
        <w:numPr>
          <w:ilvl w:val="0"/>
          <w:numId w:val="37"/>
        </w:numPr>
        <w:tabs>
          <w:tab w:pos="1490" w:val="left" w:leader="none"/>
        </w:tabs>
        <w:spacing w:line="391" w:lineRule="auto" w:before="172" w:after="0"/>
        <w:ind w:left="540" w:right="31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37"/>
        </w:numPr>
        <w:tabs>
          <w:tab w:pos="1490" w:val="left" w:leader="none"/>
        </w:tabs>
        <w:spacing w:line="240" w:lineRule="auto" w:before="2" w:after="0"/>
        <w:ind w:left="1489" w:right="0" w:hanging="530"/>
        <w:jc w:val="left"/>
        <w:rPr>
          <w:sz w:val="21"/>
        </w:rPr>
      </w:pPr>
      <w:r>
        <w:rPr>
          <w:spacing w:val="-3"/>
          <w:sz w:val="21"/>
        </w:rPr>
        <w:t>办理基金备案手续；</w:t>
      </w:r>
    </w:p>
    <w:p>
      <w:pPr>
        <w:pStyle w:val="ListParagraph"/>
        <w:numPr>
          <w:ilvl w:val="0"/>
          <w:numId w:val="37"/>
        </w:numPr>
        <w:tabs>
          <w:tab w:pos="1490" w:val="left" w:leader="none"/>
        </w:tabs>
        <w:spacing w:line="240" w:lineRule="auto" w:before="172" w:after="0"/>
        <w:ind w:left="1489" w:right="0" w:hanging="530"/>
        <w:jc w:val="left"/>
        <w:rPr>
          <w:sz w:val="21"/>
        </w:rPr>
      </w:pPr>
      <w:r>
        <w:rPr>
          <w:spacing w:val="-3"/>
          <w:sz w:val="21"/>
        </w:rPr>
        <w:t>自《基金合同》生效之日起</w:t>
      </w:r>
      <w:r>
        <w:rPr>
          <w:rFonts w:ascii="Times New Roman" w:eastAsia="Times New Roman"/>
          <w:sz w:val="21"/>
        </w:rPr>
        <w:t>,</w:t>
      </w:r>
      <w:r>
        <w:rPr>
          <w:sz w:val="21"/>
        </w:rPr>
        <w:t>以诚实信用、谨慎勤勉的原则管理和运用基金财产；</w:t>
      </w:r>
    </w:p>
    <w:p>
      <w:pPr>
        <w:pStyle w:val="ListParagraph"/>
        <w:numPr>
          <w:ilvl w:val="0"/>
          <w:numId w:val="37"/>
        </w:numPr>
        <w:tabs>
          <w:tab w:pos="1490" w:val="left" w:leader="none"/>
        </w:tabs>
        <w:spacing w:line="391" w:lineRule="auto" w:before="170" w:after="0"/>
        <w:ind w:left="540" w:right="31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7"/>
        </w:numPr>
        <w:tabs>
          <w:tab w:pos="1490" w:val="left" w:leader="none"/>
        </w:tabs>
        <w:spacing w:line="391" w:lineRule="auto" w:before="4" w:after="0"/>
        <w:ind w:left="540" w:right="314" w:firstLine="419"/>
        <w:jc w:val="both"/>
        <w:rPr>
          <w:sz w:val="21"/>
        </w:rPr>
      </w:pPr>
      <w:r>
        <w:rPr>
          <w:spacing w:val="-3"/>
          <w:sz w:val="21"/>
        </w:rPr>
        <w:t>建立健全内部风险控制、监察与稽核、财务管理及人事管理等制度，保证所管理的基金财产和基金管理人的财产相互独立</w:t>
      </w:r>
      <w:r>
        <w:rPr>
          <w:rFonts w:ascii="Times New Roman" w:eastAsia="Times New Roman"/>
          <w:sz w:val="21"/>
        </w:rPr>
        <w:t>,</w:t>
      </w:r>
      <w:r>
        <w:rPr>
          <w:spacing w:val="-1"/>
          <w:sz w:val="21"/>
        </w:rPr>
        <w:t>对所管理的不同基金分别管理，分别记账，进行证券投资；</w:t>
      </w:r>
    </w:p>
    <w:p>
      <w:pPr>
        <w:pStyle w:val="ListParagraph"/>
        <w:numPr>
          <w:ilvl w:val="0"/>
          <w:numId w:val="37"/>
        </w:numPr>
        <w:tabs>
          <w:tab w:pos="1487" w:val="left" w:leader="none"/>
        </w:tabs>
        <w:spacing w:line="204" w:lineRule="exact" w:before="0" w:after="0"/>
        <w:ind w:left="1487" w:right="0" w:hanging="527"/>
        <w:jc w:val="left"/>
        <w:rPr>
          <w:sz w:val="21"/>
        </w:rPr>
      </w:pPr>
      <w:r>
        <w:rPr>
          <w:spacing w:val="-19"/>
          <w:sz w:val="21"/>
        </w:rPr>
        <w:t>除依据《基金法》、《基金合同》及其他有关规定外</w:t>
      </w:r>
      <w:r>
        <w:rPr>
          <w:rFonts w:ascii="Times New Roman" w:eastAsia="Times New Roman"/>
          <w:spacing w:val="-3"/>
          <w:sz w:val="21"/>
        </w:rPr>
        <w:t>,</w:t>
      </w:r>
      <w:r>
        <w:rPr>
          <w:spacing w:val="-3"/>
          <w:sz w:val="21"/>
        </w:rPr>
        <w:t>不得利用基金财产为自己及任</w:t>
      </w:r>
    </w:p>
    <w:p>
      <w:pPr>
        <w:pStyle w:val="BodyText"/>
        <w:spacing w:before="7"/>
        <w:rPr>
          <w:sz w:val="15"/>
        </w:rPr>
      </w:pPr>
    </w:p>
    <w:p>
      <w:pPr>
        <w:pStyle w:val="BodyText"/>
        <w:ind w:left="540"/>
      </w:pPr>
      <w:r>
        <w:rPr>
          <w:spacing w:val="-3"/>
        </w:rPr>
        <w:t>何第三人谋取利益，不得委托第三人运作基金财产；</w:t>
      </w:r>
    </w:p>
    <w:p>
      <w:pPr>
        <w:pStyle w:val="BodyText"/>
        <w:spacing w:before="7"/>
        <w:rPr>
          <w:sz w:val="15"/>
        </w:rPr>
      </w:pPr>
    </w:p>
    <w:p>
      <w:pPr>
        <w:pStyle w:val="ListParagraph"/>
        <w:numPr>
          <w:ilvl w:val="0"/>
          <w:numId w:val="37"/>
        </w:numPr>
        <w:tabs>
          <w:tab w:pos="1801" w:val="left" w:leader="none"/>
        </w:tabs>
        <w:spacing w:line="240" w:lineRule="auto" w:before="0" w:after="0"/>
        <w:ind w:left="1800" w:right="0" w:hanging="841"/>
        <w:jc w:val="both"/>
        <w:rPr>
          <w:sz w:val="21"/>
        </w:rPr>
      </w:pPr>
      <w:r>
        <w:rPr>
          <w:spacing w:val="-3"/>
          <w:sz w:val="21"/>
        </w:rPr>
        <w:t>依法接受基金托管人的监督；</w:t>
      </w:r>
    </w:p>
    <w:p>
      <w:pPr>
        <w:pStyle w:val="BodyText"/>
        <w:spacing w:before="7"/>
        <w:rPr>
          <w:sz w:val="15"/>
        </w:rPr>
      </w:pPr>
    </w:p>
    <w:p>
      <w:pPr>
        <w:pStyle w:val="ListParagraph"/>
        <w:numPr>
          <w:ilvl w:val="0"/>
          <w:numId w:val="37"/>
        </w:numPr>
        <w:tabs>
          <w:tab w:pos="1490" w:val="left" w:leader="none"/>
        </w:tabs>
        <w:spacing w:line="417" w:lineRule="auto" w:before="0" w:after="0"/>
        <w:ind w:left="540" w:right="31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进行基金会计核算并编制基金财务会计报告；</w:t>
      </w:r>
    </w:p>
    <w:p>
      <w:pPr>
        <w:pStyle w:val="BodyText"/>
        <w:spacing w:before="6"/>
        <w:rPr>
          <w:sz w:val="15"/>
        </w:rPr>
      </w:pPr>
    </w:p>
    <w:p>
      <w:pPr>
        <w:pStyle w:val="ListParagraph"/>
        <w:numPr>
          <w:ilvl w:val="0"/>
          <w:numId w:val="37"/>
        </w:numPr>
        <w:tabs>
          <w:tab w:pos="1595" w:val="left" w:leader="none"/>
        </w:tabs>
        <w:spacing w:line="240" w:lineRule="auto" w:before="0" w:after="0"/>
        <w:ind w:left="1595" w:right="0" w:hanging="635"/>
        <w:jc w:val="left"/>
        <w:rPr>
          <w:sz w:val="21"/>
        </w:rPr>
      </w:pPr>
      <w:r>
        <w:rPr>
          <w:spacing w:val="-3"/>
          <w:sz w:val="21"/>
        </w:rPr>
        <w:t>编制季度、中期和年度基金报告；</w:t>
      </w:r>
    </w:p>
    <w:p>
      <w:pPr>
        <w:pStyle w:val="BodyText"/>
        <w:spacing w:before="7"/>
        <w:rPr>
          <w:sz w:val="15"/>
        </w:rPr>
      </w:pPr>
    </w:p>
    <w:p>
      <w:pPr>
        <w:pStyle w:val="ListParagraph"/>
        <w:numPr>
          <w:ilvl w:val="0"/>
          <w:numId w:val="37"/>
        </w:numPr>
        <w:tabs>
          <w:tab w:pos="1800" w:val="left" w:leader="none"/>
          <w:tab w:pos="1801" w:val="left" w:leader="none"/>
        </w:tabs>
        <w:spacing w:line="240" w:lineRule="auto" w:before="0" w:after="0"/>
        <w:ind w:left="1800" w:right="0" w:hanging="841"/>
        <w:jc w:val="left"/>
        <w:rPr>
          <w:sz w:val="21"/>
        </w:rPr>
      </w:pPr>
      <w:r>
        <w:rPr>
          <w:spacing w:val="-24"/>
          <w:sz w:val="21"/>
        </w:rPr>
        <w:t>严格按照《基金法》</w:t>
      </w:r>
      <w:r>
        <w:rPr>
          <w:spacing w:val="-21"/>
          <w:sz w:val="21"/>
        </w:rPr>
        <w:t>、《基金合同》及其他有关规定，履行信息披露及报告义务；</w:t>
      </w:r>
    </w:p>
    <w:p>
      <w:pPr>
        <w:pStyle w:val="BodyText"/>
        <w:spacing w:before="7"/>
        <w:rPr>
          <w:sz w:val="15"/>
        </w:rPr>
      </w:pPr>
    </w:p>
    <w:p>
      <w:pPr>
        <w:pStyle w:val="ListParagraph"/>
        <w:numPr>
          <w:ilvl w:val="0"/>
          <w:numId w:val="37"/>
        </w:numPr>
        <w:tabs>
          <w:tab w:pos="1595" w:val="left" w:leader="none"/>
        </w:tabs>
        <w:spacing w:line="417" w:lineRule="auto" w:before="0" w:after="0"/>
        <w:ind w:left="540" w:right="31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37"/>
        </w:numPr>
        <w:tabs>
          <w:tab w:pos="1595" w:val="left" w:leader="none"/>
        </w:tabs>
        <w:spacing w:line="417" w:lineRule="auto" w:before="0" w:after="0"/>
        <w:ind w:left="540" w:right="31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37"/>
        </w:numPr>
        <w:tabs>
          <w:tab w:pos="1595" w:val="left" w:leader="none"/>
        </w:tabs>
        <w:spacing w:line="269" w:lineRule="exact" w:before="0" w:after="0"/>
        <w:ind w:left="159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37"/>
        </w:numPr>
        <w:tabs>
          <w:tab w:pos="1595" w:val="left" w:leader="none"/>
        </w:tabs>
        <w:spacing w:line="417" w:lineRule="auto" w:before="0" w:after="0"/>
        <w:ind w:left="540" w:right="31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37"/>
        </w:numPr>
        <w:tabs>
          <w:tab w:pos="1595" w:val="left" w:leader="none"/>
        </w:tabs>
        <w:spacing w:line="269" w:lineRule="exact" w:before="0" w:after="0"/>
        <w:ind w:left="159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3"/>
        <w:rPr>
          <w:rFonts w:ascii="Times New Roman"/>
          <w:sz w:val="17"/>
        </w:rPr>
      </w:pPr>
    </w:p>
    <w:p>
      <w:pPr>
        <w:pStyle w:val="BodyText"/>
        <w:ind w:left="540"/>
      </w:pPr>
      <w:r>
        <w:rPr/>
        <w:t>年以上；</w:t>
      </w:r>
    </w:p>
    <w:p>
      <w:pPr>
        <w:pStyle w:val="BodyText"/>
        <w:spacing w:before="7"/>
        <w:rPr>
          <w:sz w:val="15"/>
        </w:rPr>
      </w:pPr>
    </w:p>
    <w:p>
      <w:pPr>
        <w:pStyle w:val="ListParagraph"/>
        <w:numPr>
          <w:ilvl w:val="0"/>
          <w:numId w:val="37"/>
        </w:numPr>
        <w:tabs>
          <w:tab w:pos="1595" w:val="left" w:leader="none"/>
        </w:tabs>
        <w:spacing w:line="240" w:lineRule="auto" w:before="0" w:after="0"/>
        <w:ind w:left="1595" w:right="0" w:hanging="635"/>
        <w:jc w:val="left"/>
        <w:rPr>
          <w:sz w:val="21"/>
        </w:rPr>
      </w:pPr>
      <w:r>
        <w:rPr>
          <w:spacing w:val="-5"/>
          <w:sz w:val="21"/>
        </w:rPr>
        <w:t>确保需要向基金投资者提供的各项文件或资料在规定时间发出，并且保证投资者</w:t>
      </w:r>
    </w:p>
    <w:p>
      <w:pPr>
        <w:spacing w:after="0" w:line="240" w:lineRule="auto"/>
        <w:jc w:val="left"/>
        <w:rPr>
          <w:sz w:val="21"/>
        </w:rPr>
        <w:sectPr>
          <w:pgSz w:w="11910" w:h="16840"/>
          <w:pgMar w:header="877" w:footer="0" w:top="1420" w:bottom="280" w:left="1260" w:right="1480"/>
        </w:sectPr>
      </w:pPr>
    </w:p>
    <w:p>
      <w:pPr>
        <w:pStyle w:val="BodyText"/>
        <w:spacing w:line="417" w:lineRule="auto" w:before="110"/>
        <w:ind w:left="540" w:right="311"/>
      </w:pPr>
      <w:r>
        <w:rPr>
          <w:spacing w:val="-10"/>
        </w:rPr>
        <w:t>能够按照《基金合同》规定的时间和方式，随时查阅到与基金有关的公开资料，并在支付合</w:t>
      </w:r>
      <w:r>
        <w:rPr>
          <w:spacing w:val="-5"/>
        </w:rPr>
        <w:t>理成本的条件下得到有关资料的复印件；</w:t>
      </w:r>
    </w:p>
    <w:p>
      <w:pPr>
        <w:pStyle w:val="ListParagraph"/>
        <w:numPr>
          <w:ilvl w:val="0"/>
          <w:numId w:val="37"/>
        </w:numPr>
        <w:tabs>
          <w:tab w:pos="1593" w:val="left" w:leader="none"/>
        </w:tabs>
        <w:spacing w:line="269" w:lineRule="exact" w:before="0" w:after="0"/>
        <w:ind w:left="1592" w:right="0" w:hanging="633"/>
        <w:jc w:val="left"/>
        <w:rPr>
          <w:sz w:val="21"/>
        </w:rPr>
      </w:pPr>
      <w:r>
        <w:rPr>
          <w:spacing w:val="-3"/>
          <w:sz w:val="21"/>
        </w:rPr>
        <w:t>组织并参加基金财产清算小组</w:t>
      </w:r>
      <w:r>
        <w:rPr>
          <w:rFonts w:ascii="Times New Roman" w:eastAsia="Times New Roman"/>
          <w:sz w:val="21"/>
        </w:rPr>
        <w:t>,</w:t>
      </w:r>
      <w:r>
        <w:rPr>
          <w:spacing w:val="-12"/>
          <w:sz w:val="21"/>
        </w:rPr>
        <w:t>参与基金财产的保管、清理、估价、变现和分配；</w:t>
      </w:r>
    </w:p>
    <w:p>
      <w:pPr>
        <w:pStyle w:val="BodyText"/>
        <w:spacing w:before="6"/>
        <w:rPr>
          <w:sz w:val="15"/>
        </w:rPr>
      </w:pPr>
    </w:p>
    <w:p>
      <w:pPr>
        <w:pStyle w:val="ListParagraph"/>
        <w:numPr>
          <w:ilvl w:val="0"/>
          <w:numId w:val="37"/>
        </w:numPr>
        <w:tabs>
          <w:tab w:pos="1593" w:val="left" w:leader="none"/>
        </w:tabs>
        <w:spacing w:line="417" w:lineRule="auto" w:before="0" w:after="0"/>
        <w:ind w:left="540" w:right="31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37"/>
        </w:numPr>
        <w:tabs>
          <w:tab w:pos="1595" w:val="left" w:leader="none"/>
        </w:tabs>
        <w:spacing w:line="417" w:lineRule="auto" w:before="0" w:after="0"/>
        <w:ind w:left="540" w:right="31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37"/>
        </w:numPr>
        <w:tabs>
          <w:tab w:pos="1595" w:val="left" w:leader="none"/>
        </w:tabs>
        <w:spacing w:line="417" w:lineRule="auto" w:before="0" w:after="0"/>
        <w:ind w:left="540" w:right="31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37"/>
        </w:numPr>
        <w:tabs>
          <w:tab w:pos="1595" w:val="left" w:leader="none"/>
        </w:tabs>
        <w:spacing w:line="417" w:lineRule="auto" w:before="0" w:after="0"/>
        <w:ind w:left="540" w:right="31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37"/>
        </w:numPr>
        <w:tabs>
          <w:tab w:pos="1593" w:val="left" w:leader="none"/>
        </w:tabs>
        <w:spacing w:line="269" w:lineRule="exact" w:before="0" w:after="0"/>
        <w:ind w:left="1592" w:right="0" w:hanging="633"/>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37"/>
        </w:numPr>
        <w:tabs>
          <w:tab w:pos="1595" w:val="left" w:leader="none"/>
        </w:tabs>
        <w:spacing w:line="417" w:lineRule="auto" w:before="1" w:after="0"/>
        <w:ind w:left="540" w:right="314" w:firstLine="419"/>
        <w:jc w:val="both"/>
        <w:rPr>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 </w:t>
      </w:r>
      <w:r>
        <w:rPr>
          <w:spacing w:val="-3"/>
          <w:sz w:val="21"/>
        </w:rPr>
        <w:t>日内退还基金认购人；</w:t>
      </w:r>
    </w:p>
    <w:p>
      <w:pPr>
        <w:pStyle w:val="ListParagraph"/>
        <w:numPr>
          <w:ilvl w:val="0"/>
          <w:numId w:val="37"/>
        </w:numPr>
        <w:tabs>
          <w:tab w:pos="1595" w:val="left" w:leader="none"/>
        </w:tabs>
        <w:spacing w:line="240" w:lineRule="auto" w:before="0" w:after="0"/>
        <w:ind w:left="1595" w:right="0" w:hanging="635"/>
        <w:jc w:val="left"/>
        <w:rPr>
          <w:sz w:val="21"/>
        </w:rPr>
      </w:pPr>
      <w:r>
        <w:rPr>
          <w:spacing w:val="-3"/>
          <w:sz w:val="21"/>
        </w:rPr>
        <w:t>执行生效的基金份额持有人大会的决议；</w:t>
      </w:r>
    </w:p>
    <w:p>
      <w:pPr>
        <w:pStyle w:val="BodyText"/>
        <w:spacing w:before="6"/>
        <w:rPr>
          <w:sz w:val="15"/>
        </w:rPr>
      </w:pPr>
    </w:p>
    <w:p>
      <w:pPr>
        <w:pStyle w:val="ListParagraph"/>
        <w:numPr>
          <w:ilvl w:val="0"/>
          <w:numId w:val="37"/>
        </w:numPr>
        <w:tabs>
          <w:tab w:pos="1595" w:val="left" w:leader="none"/>
        </w:tabs>
        <w:spacing w:line="240" w:lineRule="auto" w:before="0" w:after="0"/>
        <w:ind w:left="159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37"/>
        </w:numPr>
        <w:tabs>
          <w:tab w:pos="1595" w:val="left" w:leader="none"/>
        </w:tabs>
        <w:spacing w:line="417" w:lineRule="auto" w:before="0" w:after="0"/>
        <w:ind w:left="960" w:right="1687" w:firstLine="0"/>
        <w:jc w:val="left"/>
        <w:rPr>
          <w:sz w:val="21"/>
        </w:rPr>
      </w:pPr>
      <w:r>
        <w:rPr>
          <w:spacing w:val="-3"/>
          <w:sz w:val="21"/>
        </w:rPr>
        <w:t>法律法规及中国证监会规定的和《基金合同》约定的其他义务。二、基金托管人</w:t>
      </w:r>
    </w:p>
    <w:p>
      <w:pPr>
        <w:pStyle w:val="BodyText"/>
        <w:tabs>
          <w:tab w:pos="1800" w:val="left" w:leader="none"/>
        </w:tabs>
        <w:spacing w:line="269" w:lineRule="exact"/>
        <w:ind w:left="960"/>
      </w:pPr>
      <w:r>
        <w:rPr/>
        <w:t>（一）</w:t>
        <w:tab/>
        <w:t>基金</w:t>
      </w:r>
      <w:r>
        <w:rPr>
          <w:spacing w:val="-3"/>
        </w:rPr>
        <w:t>托</w:t>
      </w:r>
      <w:r>
        <w:rPr/>
        <w:t>管</w:t>
      </w:r>
      <w:r>
        <w:rPr>
          <w:spacing w:val="-3"/>
        </w:rPr>
        <w:t>人</w:t>
      </w:r>
      <w:r>
        <w:rPr/>
        <w:t>简况</w:t>
      </w:r>
    </w:p>
    <w:p>
      <w:pPr>
        <w:pStyle w:val="BodyText"/>
        <w:spacing w:before="7"/>
        <w:rPr>
          <w:sz w:val="15"/>
        </w:rPr>
      </w:pPr>
    </w:p>
    <w:p>
      <w:pPr>
        <w:pStyle w:val="BodyText"/>
        <w:ind w:left="960"/>
      </w:pPr>
      <w:r>
        <w:rPr/>
        <w:t>名称：招商银行股份有限公司</w:t>
      </w:r>
    </w:p>
    <w:p>
      <w:pPr>
        <w:pStyle w:val="BodyText"/>
        <w:spacing w:before="7"/>
        <w:rPr>
          <w:sz w:val="15"/>
        </w:rPr>
      </w:pPr>
    </w:p>
    <w:p>
      <w:pPr>
        <w:pStyle w:val="BodyText"/>
        <w:spacing w:line="417" w:lineRule="auto"/>
        <w:ind w:left="960" w:right="3413"/>
      </w:pPr>
      <w:r>
        <w:rPr/>
        <w:t>住所：深圳市福田区深南大道 </w:t>
      </w:r>
      <w:r>
        <w:rPr>
          <w:rFonts w:ascii="Times New Roman" w:eastAsia="Times New Roman"/>
        </w:rPr>
        <w:t>7088 </w:t>
      </w:r>
      <w:r>
        <w:rPr/>
        <w:t>号招商银行大厦法定代表人：李建红</w:t>
      </w:r>
    </w:p>
    <w:p>
      <w:pPr>
        <w:pStyle w:val="BodyText"/>
        <w:spacing w:line="269" w:lineRule="exact"/>
        <w:ind w:left="960"/>
      </w:pPr>
      <w:r>
        <w:rPr/>
        <w:t>成立时间：</w:t>
      </w:r>
      <w:r>
        <w:rPr>
          <w:rFonts w:ascii="Times New Roman" w:eastAsia="Times New Roman"/>
        </w:rPr>
        <w:t>1987 </w:t>
      </w:r>
      <w:r>
        <w:rPr/>
        <w:t>年 </w:t>
      </w:r>
      <w:r>
        <w:rPr>
          <w:rFonts w:ascii="Times New Roman" w:eastAsia="Times New Roman"/>
        </w:rPr>
        <w:t>4 </w:t>
      </w:r>
      <w:r>
        <w:rPr/>
        <w:t>月 </w:t>
      </w:r>
      <w:r>
        <w:rPr>
          <w:rFonts w:ascii="Times New Roman" w:eastAsia="Times New Roman"/>
        </w:rPr>
        <w:t>8 </w:t>
      </w:r>
      <w:r>
        <w:rPr/>
        <w:t>日</w:t>
      </w:r>
    </w:p>
    <w:p>
      <w:pPr>
        <w:pStyle w:val="BodyText"/>
        <w:spacing w:before="7"/>
        <w:rPr>
          <w:sz w:val="15"/>
        </w:rPr>
      </w:pPr>
    </w:p>
    <w:p>
      <w:pPr>
        <w:pStyle w:val="BodyText"/>
        <w:ind w:left="960"/>
      </w:pPr>
      <w:r>
        <w:rPr/>
        <w:t>批准设立机关和批准设立文号：中国人民银行银复字（</w:t>
      </w:r>
      <w:r>
        <w:rPr>
          <w:rFonts w:ascii="Times New Roman" w:eastAsia="Times New Roman"/>
        </w:rPr>
        <w:t>1986</w:t>
      </w:r>
      <w:r>
        <w:rPr/>
        <w:t>）</w:t>
      </w:r>
      <w:r>
        <w:rPr>
          <w:rFonts w:ascii="Times New Roman" w:eastAsia="Times New Roman"/>
        </w:rPr>
        <w:t>175 </w:t>
      </w:r>
      <w:r>
        <w:rPr/>
        <w:t>号文、银复（</w:t>
      </w:r>
      <w:r>
        <w:rPr>
          <w:rFonts w:ascii="Times New Roman" w:eastAsia="Times New Roman"/>
        </w:rPr>
        <w:t>1987</w:t>
      </w:r>
      <w:r>
        <w:rPr/>
        <w:t>）</w:t>
      </w:r>
    </w:p>
    <w:p>
      <w:pPr>
        <w:pStyle w:val="BodyText"/>
        <w:spacing w:before="6"/>
        <w:rPr>
          <w:sz w:val="15"/>
        </w:rPr>
      </w:pPr>
    </w:p>
    <w:p>
      <w:pPr>
        <w:pStyle w:val="BodyText"/>
        <w:spacing w:before="1"/>
        <w:ind w:left="540"/>
      </w:pPr>
      <w:r>
        <w:rPr>
          <w:rFonts w:ascii="Times New Roman" w:eastAsia="Times New Roman"/>
        </w:rPr>
        <w:t>86 </w:t>
      </w:r>
      <w:r>
        <w:rPr/>
        <w:t>号文</w:t>
      </w:r>
    </w:p>
    <w:p>
      <w:pPr>
        <w:pStyle w:val="BodyText"/>
        <w:spacing w:before="6"/>
        <w:rPr>
          <w:sz w:val="15"/>
        </w:rPr>
      </w:pPr>
    </w:p>
    <w:p>
      <w:pPr>
        <w:pStyle w:val="BodyText"/>
        <w:ind w:left="960"/>
      </w:pPr>
      <w:r>
        <w:rPr/>
        <w:t>组织形式：股份有限公司</w:t>
      </w:r>
    </w:p>
    <w:p>
      <w:pPr>
        <w:pStyle w:val="BodyText"/>
        <w:spacing w:before="7"/>
        <w:rPr>
          <w:sz w:val="15"/>
        </w:rPr>
      </w:pPr>
    </w:p>
    <w:p>
      <w:pPr>
        <w:pStyle w:val="BodyText"/>
        <w:spacing w:line="417" w:lineRule="auto" w:before="1"/>
        <w:ind w:left="960" w:right="5357"/>
      </w:pPr>
      <w:r>
        <w:rPr/>
        <w:t>注册资本：人民币 </w:t>
      </w:r>
      <w:r>
        <w:rPr>
          <w:rFonts w:ascii="Times New Roman" w:eastAsia="Times New Roman"/>
        </w:rPr>
        <w:t>252.20 </w:t>
      </w:r>
      <w:r>
        <w:rPr/>
        <w:t>亿元存续期间：持续经营</w:t>
      </w:r>
    </w:p>
    <w:p>
      <w:pPr>
        <w:spacing w:after="0" w:line="417" w:lineRule="auto"/>
        <w:sectPr>
          <w:pgSz w:w="11910" w:h="16840"/>
          <w:pgMar w:header="877" w:footer="0" w:top="1420" w:bottom="280" w:left="1260" w:right="1480"/>
        </w:sectPr>
      </w:pPr>
    </w:p>
    <w:p>
      <w:pPr>
        <w:pStyle w:val="BodyText"/>
        <w:spacing w:before="110"/>
        <w:ind w:left="960"/>
      </w:pPr>
      <w:r>
        <w:rPr/>
        <w:t>基金托管资格批文及文号：证监基金字</w:t>
      </w:r>
      <w:r>
        <w:rPr>
          <w:rFonts w:ascii="Times New Roman" w:eastAsia="Times New Roman"/>
        </w:rPr>
        <w:t>[2002]83 </w:t>
      </w:r>
      <w:r>
        <w:rPr/>
        <w:t>号</w:t>
      </w:r>
    </w:p>
    <w:p>
      <w:pPr>
        <w:pStyle w:val="BodyText"/>
        <w:tabs>
          <w:tab w:pos="1800" w:val="left" w:leader="none"/>
        </w:tabs>
        <w:spacing w:before="100"/>
        <w:ind w:left="960"/>
      </w:pPr>
      <w:r>
        <w:rPr/>
        <w:t>（二）</w:t>
        <w:tab/>
        <w:t>基金</w:t>
      </w:r>
      <w:r>
        <w:rPr>
          <w:spacing w:val="-3"/>
        </w:rPr>
        <w:t>托</w:t>
      </w:r>
      <w:r>
        <w:rPr/>
        <w:t>管</w:t>
      </w:r>
      <w:r>
        <w:rPr>
          <w:spacing w:val="-3"/>
        </w:rPr>
        <w:t>人</w:t>
      </w:r>
      <w:r>
        <w:rPr/>
        <w:t>的</w:t>
      </w:r>
      <w:r>
        <w:rPr>
          <w:spacing w:val="-3"/>
        </w:rPr>
        <w:t>权</w:t>
      </w:r>
      <w:r>
        <w:rPr/>
        <w:t>利</w:t>
      </w:r>
      <w:r>
        <w:rPr>
          <w:spacing w:val="-3"/>
        </w:rPr>
        <w:t>与</w:t>
      </w:r>
      <w:r>
        <w:rPr/>
        <w:t>义务</w:t>
      </w:r>
    </w:p>
    <w:p>
      <w:pPr>
        <w:pStyle w:val="BodyText"/>
        <w:spacing w:before="7"/>
        <w:rPr>
          <w:sz w:val="18"/>
        </w:rPr>
      </w:pPr>
    </w:p>
    <w:p>
      <w:pPr>
        <w:pStyle w:val="BodyText"/>
        <w:ind w:left="960"/>
      </w:pPr>
      <w:r>
        <w:rPr>
          <w:rFonts w:ascii="Times New Roman" w:eastAsia="Times New Roman"/>
        </w:rPr>
        <w:t>1</w:t>
      </w:r>
      <w:r>
        <w:rPr/>
        <w:t>、根据《基金法》、《运作办法》及其他有关规定，基金托管人的权利包括但不限于：</w:t>
      </w:r>
    </w:p>
    <w:p>
      <w:pPr>
        <w:pStyle w:val="BodyText"/>
        <w:spacing w:before="7"/>
        <w:rPr>
          <w:sz w:val="15"/>
        </w:rPr>
      </w:pP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自《基金合同》生效之日起，依法律法规和《基金合同》的规定安全保管基金财产；</w:t>
      </w: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依《基金合同》约定获得基金托管费以及法律法规规定或监管部门批准的其他费用；</w:t>
      </w:r>
    </w:p>
    <w:p>
      <w:pPr>
        <w:pStyle w:val="ListParagraph"/>
        <w:numPr>
          <w:ilvl w:val="0"/>
          <w:numId w:val="38"/>
        </w:numPr>
        <w:tabs>
          <w:tab w:pos="1490" w:val="left" w:leader="none"/>
        </w:tabs>
        <w:spacing w:line="417" w:lineRule="auto" w:before="0" w:after="0"/>
        <w:ind w:left="540" w:right="31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38"/>
        </w:numPr>
        <w:tabs>
          <w:tab w:pos="1490" w:val="left" w:leader="none"/>
        </w:tabs>
        <w:spacing w:line="269" w:lineRule="exact" w:before="0" w:after="0"/>
        <w:ind w:left="1489" w:right="0" w:hanging="530"/>
        <w:jc w:val="left"/>
        <w:rPr>
          <w:sz w:val="21"/>
        </w:rPr>
      </w:pPr>
      <w:r>
        <w:rPr>
          <w:spacing w:val="-3"/>
          <w:sz w:val="21"/>
        </w:rPr>
        <w:t>根据相关市场规则，为基金开设证券账户、为基金办理证券交易资金清算。</w:t>
      </w:r>
    </w:p>
    <w:p>
      <w:pPr>
        <w:pStyle w:val="BodyText"/>
        <w:spacing w:before="6"/>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提议召开或召集基金份额持有人大会；</w:t>
      </w:r>
    </w:p>
    <w:p>
      <w:pPr>
        <w:pStyle w:val="BodyText"/>
        <w:spacing w:before="7"/>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960"/>
      </w:pPr>
      <w:r>
        <w:rPr>
          <w:rFonts w:ascii="Times New Roman" w:eastAsia="Times New Roman"/>
        </w:rPr>
        <w:t>2</w:t>
      </w:r>
      <w:r>
        <w:rPr/>
        <w:t>、根据《基金法》、《运作办法》及其他有关规定，基金托管人的义务包括但不限于：</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以诚实信用、勤勉尽责的原则持有并安全保管基金财产；</w:t>
      </w:r>
    </w:p>
    <w:p>
      <w:pPr>
        <w:pStyle w:val="BodyText"/>
        <w:spacing w:before="6"/>
        <w:rPr>
          <w:sz w:val="15"/>
        </w:rPr>
      </w:pPr>
    </w:p>
    <w:p>
      <w:pPr>
        <w:pStyle w:val="ListParagraph"/>
        <w:numPr>
          <w:ilvl w:val="0"/>
          <w:numId w:val="39"/>
        </w:numPr>
        <w:tabs>
          <w:tab w:pos="1490" w:val="left" w:leader="none"/>
        </w:tabs>
        <w:spacing w:line="417" w:lineRule="auto" w:before="1" w:after="0"/>
        <w:ind w:left="540" w:right="31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39"/>
        </w:numPr>
        <w:tabs>
          <w:tab w:pos="1490" w:val="left" w:leader="none"/>
        </w:tabs>
        <w:spacing w:line="417" w:lineRule="auto" w:before="0" w:after="0"/>
        <w:ind w:left="540" w:right="20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39"/>
        </w:numPr>
        <w:tabs>
          <w:tab w:pos="1490" w:val="left" w:leader="none"/>
        </w:tabs>
        <w:spacing w:line="417" w:lineRule="auto" w:before="0" w:after="0"/>
        <w:ind w:left="540" w:right="31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39"/>
        </w:numPr>
        <w:tabs>
          <w:tab w:pos="1490" w:val="left" w:leader="none"/>
        </w:tabs>
        <w:spacing w:line="269" w:lineRule="exact" w:before="0" w:after="0"/>
        <w:ind w:left="148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39"/>
        </w:numPr>
        <w:tabs>
          <w:tab w:pos="1487" w:val="left" w:leader="none"/>
        </w:tabs>
        <w:spacing w:line="417" w:lineRule="auto" w:before="0" w:after="0"/>
        <w:ind w:left="540" w:right="313" w:firstLine="419"/>
        <w:jc w:val="left"/>
        <w:rPr>
          <w:sz w:val="21"/>
        </w:rPr>
      </w:pPr>
      <w:r>
        <w:rPr>
          <w:spacing w:val="-3"/>
          <w:sz w:val="21"/>
        </w:rPr>
        <w:t>按规定开设基金财产的资金账户和证券账户</w:t>
      </w:r>
      <w:r>
        <w:rPr>
          <w:rFonts w:ascii="Times New Roman" w:eastAsia="Times New Roman"/>
          <w:spacing w:val="-3"/>
          <w:sz w:val="21"/>
        </w:rPr>
        <w:t>,</w:t>
      </w:r>
      <w:r>
        <w:rPr>
          <w:spacing w:val="-7"/>
          <w:sz w:val="21"/>
        </w:rPr>
        <w:t>按照《基金合同》的约定，根据基金</w:t>
      </w:r>
      <w:r>
        <w:rPr>
          <w:spacing w:val="-5"/>
          <w:sz w:val="21"/>
        </w:rPr>
        <w:t>管理人的投资指令，及时办理清算、交割事宜；</w:t>
      </w:r>
    </w:p>
    <w:p>
      <w:pPr>
        <w:pStyle w:val="ListParagraph"/>
        <w:numPr>
          <w:ilvl w:val="0"/>
          <w:numId w:val="39"/>
        </w:numPr>
        <w:tabs>
          <w:tab w:pos="1490" w:val="left" w:leader="none"/>
        </w:tabs>
        <w:spacing w:line="417" w:lineRule="auto" w:before="0" w:after="0"/>
        <w:ind w:left="540" w:right="31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复核、审查基金管理人计算的基金资产净值、基金份额申购、赎回价格；</w:t>
      </w:r>
    </w:p>
    <w:p>
      <w:pPr>
        <w:spacing w:after="0" w:line="240" w:lineRule="auto"/>
        <w:jc w:val="left"/>
        <w:rPr>
          <w:sz w:val="21"/>
        </w:rPr>
        <w:sectPr>
          <w:pgSz w:w="11910" w:h="16840"/>
          <w:pgMar w:header="877" w:footer="0" w:top="1420" w:bottom="280" w:left="1260" w:right="1480"/>
        </w:sectPr>
      </w:pPr>
    </w:p>
    <w:p>
      <w:pPr>
        <w:pStyle w:val="ListParagraph"/>
        <w:numPr>
          <w:ilvl w:val="0"/>
          <w:numId w:val="39"/>
        </w:numPr>
        <w:tabs>
          <w:tab w:pos="1490" w:val="left" w:leader="none"/>
        </w:tabs>
        <w:spacing w:line="240" w:lineRule="auto" w:before="110" w:after="0"/>
        <w:ind w:left="1489" w:right="0" w:hanging="530"/>
        <w:jc w:val="left"/>
        <w:rPr>
          <w:sz w:val="21"/>
        </w:rPr>
      </w:pPr>
      <w:r>
        <w:rPr>
          <w:spacing w:val="-3"/>
          <w:sz w:val="21"/>
        </w:rPr>
        <w:t>办理与基金托管业务活动有关的信息披露事项；</w:t>
      </w:r>
    </w:p>
    <w:p>
      <w:pPr>
        <w:pStyle w:val="BodyText"/>
        <w:spacing w:before="6"/>
        <w:rPr>
          <w:sz w:val="15"/>
        </w:rPr>
      </w:pPr>
    </w:p>
    <w:p>
      <w:pPr>
        <w:pStyle w:val="ListParagraph"/>
        <w:numPr>
          <w:ilvl w:val="0"/>
          <w:numId w:val="39"/>
        </w:numPr>
        <w:tabs>
          <w:tab w:pos="1595" w:val="left" w:leader="none"/>
        </w:tabs>
        <w:spacing w:line="417" w:lineRule="auto" w:before="0" w:after="0"/>
        <w:ind w:left="540" w:right="31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39"/>
        </w:numPr>
        <w:tabs>
          <w:tab w:pos="1586" w:val="left" w:leader="none"/>
        </w:tabs>
        <w:spacing w:line="269" w:lineRule="exact" w:before="0" w:after="0"/>
        <w:ind w:left="1585" w:right="0" w:hanging="626"/>
        <w:jc w:val="both"/>
        <w:rPr>
          <w:sz w:val="21"/>
        </w:rPr>
      </w:pPr>
      <w:r>
        <w:rPr>
          <w:spacing w:val="-3"/>
          <w:sz w:val="21"/>
        </w:rPr>
        <w:t>保存基金托管业务活动的记录、账册、报表和其他相关资料 </w:t>
      </w:r>
      <w:r>
        <w:rPr>
          <w:rFonts w:ascii="Times New Roman" w:eastAsia="Times New Roman"/>
          <w:sz w:val="21"/>
        </w:rPr>
        <w:t>15</w:t>
      </w:r>
      <w:r>
        <w:rPr>
          <w:rFonts w:ascii="Times New Roman" w:eastAsia="Times New Roman"/>
          <w:spacing w:val="6"/>
          <w:sz w:val="21"/>
        </w:rPr>
        <w:t> </w:t>
      </w:r>
      <w:r>
        <w:rPr>
          <w:spacing w:val="-2"/>
          <w:sz w:val="21"/>
        </w:rPr>
        <w:t>年以上；</w:t>
      </w:r>
    </w:p>
    <w:p>
      <w:pPr>
        <w:pStyle w:val="BodyText"/>
        <w:spacing w:before="7"/>
        <w:rPr>
          <w:sz w:val="15"/>
        </w:rPr>
      </w:pPr>
    </w:p>
    <w:p>
      <w:pPr>
        <w:pStyle w:val="ListParagraph"/>
        <w:numPr>
          <w:ilvl w:val="0"/>
          <w:numId w:val="39"/>
        </w:numPr>
        <w:tabs>
          <w:tab w:pos="1595" w:val="left" w:leader="none"/>
        </w:tabs>
        <w:spacing w:line="240" w:lineRule="auto" w:before="0" w:after="0"/>
        <w:ind w:left="1595" w:right="0" w:hanging="635"/>
        <w:jc w:val="left"/>
        <w:rPr>
          <w:sz w:val="21"/>
        </w:rPr>
      </w:pPr>
      <w:r>
        <w:rPr>
          <w:spacing w:val="-3"/>
          <w:sz w:val="21"/>
        </w:rPr>
        <w:t>保存基金份额持有人名册；</w:t>
      </w:r>
    </w:p>
    <w:p>
      <w:pPr>
        <w:pStyle w:val="BodyText"/>
        <w:spacing w:before="7"/>
        <w:rPr>
          <w:sz w:val="15"/>
        </w:rPr>
      </w:pPr>
    </w:p>
    <w:p>
      <w:pPr>
        <w:pStyle w:val="ListParagraph"/>
        <w:numPr>
          <w:ilvl w:val="0"/>
          <w:numId w:val="39"/>
        </w:numPr>
        <w:tabs>
          <w:tab w:pos="1595" w:val="left" w:leader="none"/>
        </w:tabs>
        <w:spacing w:line="240" w:lineRule="auto" w:before="0" w:after="0"/>
        <w:ind w:left="1595" w:right="0" w:hanging="635"/>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39"/>
        </w:numPr>
        <w:tabs>
          <w:tab w:pos="1595" w:val="left" w:leader="none"/>
        </w:tabs>
        <w:spacing w:line="240" w:lineRule="auto" w:before="0" w:after="0"/>
        <w:ind w:left="1595" w:right="0" w:hanging="635"/>
        <w:jc w:val="left"/>
        <w:rPr>
          <w:sz w:val="21"/>
        </w:rPr>
      </w:pPr>
      <w:r>
        <w:rPr>
          <w:spacing w:val="-3"/>
          <w:sz w:val="21"/>
        </w:rPr>
        <w:t>依据基金管理人的指令或有关规定向基金份额持有人支付基金收益和赎回款项；</w:t>
      </w:r>
    </w:p>
    <w:p>
      <w:pPr>
        <w:pStyle w:val="BodyText"/>
        <w:spacing w:before="7"/>
        <w:rPr>
          <w:sz w:val="15"/>
        </w:rPr>
      </w:pPr>
    </w:p>
    <w:p>
      <w:pPr>
        <w:pStyle w:val="ListParagraph"/>
        <w:numPr>
          <w:ilvl w:val="0"/>
          <w:numId w:val="39"/>
        </w:numPr>
        <w:tabs>
          <w:tab w:pos="1595" w:val="left" w:leader="none"/>
        </w:tabs>
        <w:spacing w:line="417" w:lineRule="auto" w:before="0" w:after="0"/>
        <w:ind w:left="540" w:right="31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39"/>
        </w:numPr>
        <w:tabs>
          <w:tab w:pos="1595" w:val="left" w:leader="none"/>
        </w:tabs>
        <w:spacing w:line="269" w:lineRule="exact" w:before="0" w:after="0"/>
        <w:ind w:left="1595" w:right="0" w:hanging="635"/>
        <w:jc w:val="left"/>
        <w:rPr>
          <w:sz w:val="21"/>
        </w:rPr>
      </w:pPr>
      <w:r>
        <w:rPr>
          <w:spacing w:val="-3"/>
          <w:sz w:val="21"/>
        </w:rPr>
        <w:t>按照法律法规和《基金合同》的规定监督基金管理人的投资运作；</w:t>
      </w:r>
    </w:p>
    <w:p>
      <w:pPr>
        <w:pStyle w:val="BodyText"/>
        <w:spacing w:before="7"/>
        <w:rPr>
          <w:sz w:val="15"/>
        </w:rPr>
      </w:pPr>
    </w:p>
    <w:p>
      <w:pPr>
        <w:pStyle w:val="ListParagraph"/>
        <w:numPr>
          <w:ilvl w:val="0"/>
          <w:numId w:val="39"/>
        </w:numPr>
        <w:tabs>
          <w:tab w:pos="1595" w:val="left" w:leader="none"/>
        </w:tabs>
        <w:spacing w:line="240" w:lineRule="auto" w:before="0" w:after="0"/>
        <w:ind w:left="1595" w:right="0" w:hanging="635"/>
        <w:jc w:val="left"/>
        <w:rPr>
          <w:sz w:val="21"/>
        </w:rPr>
      </w:pPr>
      <w:r>
        <w:rPr>
          <w:spacing w:val="-3"/>
          <w:sz w:val="21"/>
        </w:rPr>
        <w:t>参加基金财产清算小组，参与基金财产的保管、清理、估价、变现和分配；</w:t>
      </w:r>
    </w:p>
    <w:p>
      <w:pPr>
        <w:pStyle w:val="BodyText"/>
        <w:spacing w:before="6"/>
        <w:rPr>
          <w:sz w:val="15"/>
        </w:rPr>
      </w:pPr>
    </w:p>
    <w:p>
      <w:pPr>
        <w:pStyle w:val="ListParagraph"/>
        <w:numPr>
          <w:ilvl w:val="0"/>
          <w:numId w:val="39"/>
        </w:numPr>
        <w:tabs>
          <w:tab w:pos="1593" w:val="left" w:leader="none"/>
        </w:tabs>
        <w:spacing w:line="417" w:lineRule="auto" w:before="1" w:after="0"/>
        <w:ind w:left="540" w:right="31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39"/>
        </w:numPr>
        <w:tabs>
          <w:tab w:pos="1595" w:val="left" w:leader="none"/>
        </w:tabs>
        <w:spacing w:line="417" w:lineRule="auto" w:before="0" w:after="0"/>
        <w:ind w:left="540" w:right="31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39"/>
        </w:numPr>
        <w:tabs>
          <w:tab w:pos="1595" w:val="left" w:leader="none"/>
        </w:tabs>
        <w:spacing w:line="417" w:lineRule="auto" w:before="0" w:after="0"/>
        <w:ind w:left="540" w:right="31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39"/>
        </w:numPr>
        <w:tabs>
          <w:tab w:pos="1595" w:val="left" w:leader="none"/>
        </w:tabs>
        <w:spacing w:line="269" w:lineRule="exact" w:before="0" w:after="0"/>
        <w:ind w:left="1595" w:right="0" w:hanging="635"/>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39"/>
        </w:numPr>
        <w:tabs>
          <w:tab w:pos="1595" w:val="left" w:leader="none"/>
        </w:tabs>
        <w:spacing w:line="417" w:lineRule="auto" w:before="0" w:after="0"/>
        <w:ind w:left="960" w:right="1687" w:firstLine="0"/>
        <w:jc w:val="left"/>
        <w:rPr>
          <w:sz w:val="21"/>
        </w:rPr>
      </w:pPr>
      <w:r>
        <w:rPr>
          <w:spacing w:val="-3"/>
          <w:sz w:val="21"/>
        </w:rPr>
        <w:t>法律法规及中国证监会规定的和《基金合同》约定的其他义务。三、基金份额持有人</w:t>
      </w:r>
    </w:p>
    <w:p>
      <w:pPr>
        <w:pStyle w:val="BodyText"/>
        <w:spacing w:line="417" w:lineRule="auto"/>
        <w:ind w:left="540" w:right="311" w:firstLine="419"/>
        <w:jc w:val="both"/>
      </w:pPr>
      <w:r>
        <w:rPr>
          <w:spacing w:val="-7"/>
        </w:rPr>
        <w:t>基金投资者持有本基金基金份额的行为即视为对《基金合同》的承认和接受，基金投资</w:t>
      </w:r>
      <w:r>
        <w:rPr>
          <w:spacing w:val="-20"/>
        </w:rPr>
        <w:t>者自依据《基金合同》取得的基金份额，即成为本基金份额持有人和《基金合同》的当事人， </w:t>
      </w:r>
      <w:r>
        <w:rPr>
          <w:spacing w:val="-13"/>
        </w:rPr>
        <w:t>直至其不再持有本基金的基金份额。基金份额持有人作为《基金合同》当事人并不以在《基</w:t>
      </w:r>
      <w:r>
        <w:rPr>
          <w:spacing w:val="-6"/>
        </w:rPr>
        <w:t>金合同》上书面签章或签字为必要条件。</w:t>
      </w:r>
    </w:p>
    <w:p>
      <w:pPr>
        <w:pStyle w:val="BodyText"/>
        <w:spacing w:line="268" w:lineRule="exact"/>
        <w:ind w:left="960"/>
      </w:pPr>
      <w:r>
        <w:rPr/>
        <w:t>同一类别每份基金份额具有同等的合法权益。</w:t>
      </w:r>
    </w:p>
    <w:p>
      <w:pPr>
        <w:pStyle w:val="BodyText"/>
        <w:spacing w:before="7"/>
        <w:rPr>
          <w:sz w:val="15"/>
        </w:rPr>
      </w:pPr>
    </w:p>
    <w:p>
      <w:pPr>
        <w:pStyle w:val="BodyText"/>
        <w:spacing w:line="417" w:lineRule="auto"/>
        <w:ind w:left="540" w:right="313"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分享基金财产收益；</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参与分配清算后的剩余基金财产；</w:t>
      </w:r>
    </w:p>
    <w:p>
      <w:pPr>
        <w:spacing w:after="0" w:line="240" w:lineRule="auto"/>
        <w:jc w:val="left"/>
        <w:rPr>
          <w:sz w:val="21"/>
        </w:rPr>
        <w:sectPr>
          <w:pgSz w:w="11910" w:h="16840"/>
          <w:pgMar w:header="877" w:footer="0" w:top="1420" w:bottom="280" w:left="1260" w:right="1480"/>
        </w:sectPr>
      </w:pPr>
    </w:p>
    <w:p>
      <w:pPr>
        <w:pStyle w:val="ListParagraph"/>
        <w:numPr>
          <w:ilvl w:val="0"/>
          <w:numId w:val="40"/>
        </w:numPr>
        <w:tabs>
          <w:tab w:pos="1490" w:val="left" w:leader="none"/>
        </w:tabs>
        <w:spacing w:line="240" w:lineRule="auto" w:before="110" w:after="0"/>
        <w:ind w:left="1489" w:right="0" w:hanging="530"/>
        <w:jc w:val="left"/>
        <w:rPr>
          <w:sz w:val="21"/>
        </w:rPr>
      </w:pPr>
      <w:r>
        <w:rPr>
          <w:spacing w:val="-3"/>
          <w:sz w:val="21"/>
        </w:rPr>
        <w:t>依法申请赎回其持有的基金份额；</w:t>
      </w:r>
    </w:p>
    <w:p>
      <w:pPr>
        <w:pStyle w:val="BodyText"/>
        <w:spacing w:before="6"/>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按照规定要求召开基金份额持有人大会或者召集基金份额持有人大会；</w:t>
      </w:r>
    </w:p>
    <w:p>
      <w:pPr>
        <w:pStyle w:val="BodyText"/>
        <w:spacing w:before="7"/>
        <w:rPr>
          <w:sz w:val="15"/>
        </w:rPr>
      </w:pPr>
    </w:p>
    <w:p>
      <w:pPr>
        <w:pStyle w:val="ListParagraph"/>
        <w:numPr>
          <w:ilvl w:val="0"/>
          <w:numId w:val="40"/>
        </w:numPr>
        <w:tabs>
          <w:tab w:pos="1490" w:val="left" w:leader="none"/>
        </w:tabs>
        <w:spacing w:line="417" w:lineRule="auto" w:before="0" w:after="0"/>
        <w:ind w:left="540" w:right="31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0"/>
        </w:numPr>
        <w:tabs>
          <w:tab w:pos="1490" w:val="left" w:leader="none"/>
        </w:tabs>
        <w:spacing w:line="269" w:lineRule="exact" w:before="0" w:after="0"/>
        <w:ind w:left="1489" w:right="0" w:hanging="530"/>
        <w:jc w:val="left"/>
        <w:rPr>
          <w:sz w:val="21"/>
        </w:rPr>
      </w:pPr>
      <w:r>
        <w:rPr>
          <w:spacing w:val="-3"/>
          <w:sz w:val="21"/>
        </w:rPr>
        <w:t>查阅或者复制公开披露的基金信息资料；</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监督基金管理人的投资运作；</w:t>
      </w:r>
    </w:p>
    <w:p>
      <w:pPr>
        <w:pStyle w:val="BodyText"/>
        <w:spacing w:before="7"/>
        <w:rPr>
          <w:sz w:val="15"/>
        </w:rPr>
      </w:pPr>
    </w:p>
    <w:p>
      <w:pPr>
        <w:pStyle w:val="ListParagraph"/>
        <w:numPr>
          <w:ilvl w:val="0"/>
          <w:numId w:val="40"/>
        </w:numPr>
        <w:tabs>
          <w:tab w:pos="1490" w:val="left" w:leader="none"/>
        </w:tabs>
        <w:spacing w:line="417" w:lineRule="auto" w:before="0" w:after="0"/>
        <w:ind w:left="540" w:right="314" w:firstLine="419"/>
        <w:jc w:val="left"/>
        <w:rPr>
          <w:sz w:val="21"/>
        </w:rPr>
      </w:pPr>
      <w:r>
        <w:rPr>
          <w:spacing w:val="-3"/>
          <w:sz w:val="21"/>
        </w:rPr>
        <w:t>对基金管理人、基金托管人、基金服务机构损害其合法权益的行为依法提起诉讼或仲裁；</w:t>
      </w: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spacing w:line="417" w:lineRule="auto"/>
        <w:ind w:left="540" w:right="31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1"/>
        </w:numPr>
        <w:tabs>
          <w:tab w:pos="1490" w:val="left" w:leader="none"/>
        </w:tabs>
        <w:spacing w:line="269" w:lineRule="exact" w:before="0" w:after="0"/>
        <w:ind w:left="1489" w:right="0" w:hanging="530"/>
        <w:jc w:val="left"/>
        <w:rPr>
          <w:sz w:val="21"/>
        </w:rPr>
      </w:pPr>
      <w:r>
        <w:rPr>
          <w:spacing w:val="-11"/>
          <w:sz w:val="21"/>
        </w:rPr>
        <w:t>认真阅读并遵守《基金合同》；</w:t>
      </w:r>
    </w:p>
    <w:p>
      <w:pPr>
        <w:pStyle w:val="BodyText"/>
        <w:spacing w:before="6"/>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了解所投资基金产品，了解自身风险承受能力，自行承担投资风险；</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关注基金信息披露，及时行使权利和履行义务；</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缴纳基金认购、申购、赎回款项及法律法规和《基金合同》所规定的费用；</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在其持有的基金份额范围内，承担基金亏损或者《基金合同》终止的有限责任；</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不从事任何有损基金及其他《基金合同》当事人合法权益的活动；</w:t>
      </w:r>
    </w:p>
    <w:p>
      <w:pPr>
        <w:pStyle w:val="BodyText"/>
        <w:spacing w:before="6"/>
        <w:rPr>
          <w:sz w:val="15"/>
        </w:rPr>
      </w:pPr>
    </w:p>
    <w:p>
      <w:pPr>
        <w:pStyle w:val="ListParagraph"/>
        <w:numPr>
          <w:ilvl w:val="0"/>
          <w:numId w:val="41"/>
        </w:numPr>
        <w:tabs>
          <w:tab w:pos="1490" w:val="left" w:leader="none"/>
        </w:tabs>
        <w:spacing w:line="240" w:lineRule="auto" w:before="1" w:after="0"/>
        <w:ind w:left="1489" w:right="0" w:hanging="530"/>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返还在基金交易过程中因任何原因获得的不当得利；</w:t>
      </w:r>
    </w:p>
    <w:p>
      <w:pPr>
        <w:pStyle w:val="BodyText"/>
        <w:spacing w:before="7"/>
        <w:rPr>
          <w:sz w:val="15"/>
        </w:rPr>
      </w:pPr>
    </w:p>
    <w:p>
      <w:pPr>
        <w:pStyle w:val="ListParagraph"/>
        <w:numPr>
          <w:ilvl w:val="0"/>
          <w:numId w:val="41"/>
        </w:numPr>
        <w:tabs>
          <w:tab w:pos="1490" w:val="left" w:leader="none"/>
          <w:tab w:pos="2796" w:val="left" w:leader="none"/>
        </w:tabs>
        <w:spacing w:line="417" w:lineRule="auto" w:before="0" w:after="0"/>
        <w:ind w:left="1742" w:right="1516" w:hanging="783"/>
        <w:jc w:val="left"/>
        <w:rPr>
          <w:b/>
          <w:sz w:val="21"/>
        </w:rPr>
      </w:pPr>
      <w:r>
        <w:rPr>
          <w:sz w:val="21"/>
        </w:rPr>
        <w:t>法</w:t>
      </w:r>
      <w:r>
        <w:rPr>
          <w:spacing w:val="-3"/>
          <w:sz w:val="21"/>
        </w:rPr>
        <w:t>律</w:t>
      </w:r>
      <w:r>
        <w:rPr>
          <w:sz w:val="21"/>
        </w:rPr>
        <w:t>法</w:t>
      </w:r>
      <w:r>
        <w:rPr>
          <w:spacing w:val="-3"/>
          <w:sz w:val="21"/>
        </w:rPr>
        <w:t>规</w:t>
      </w:r>
      <w:r>
        <w:rPr>
          <w:sz w:val="21"/>
        </w:rPr>
        <w:t>及</w:t>
      </w:r>
      <w:r>
        <w:rPr>
          <w:spacing w:val="-3"/>
          <w:sz w:val="21"/>
        </w:rPr>
        <w:t>中</w:t>
      </w:r>
      <w:r>
        <w:rPr>
          <w:sz w:val="21"/>
        </w:rPr>
        <w:t>国</w:t>
      </w:r>
      <w:r>
        <w:rPr>
          <w:spacing w:val="-3"/>
          <w:sz w:val="21"/>
        </w:rPr>
        <w:t>证监</w:t>
      </w:r>
      <w:r>
        <w:rPr>
          <w:sz w:val="21"/>
        </w:rPr>
        <w:t>会规</w:t>
      </w:r>
      <w:r>
        <w:rPr>
          <w:spacing w:val="-3"/>
          <w:sz w:val="21"/>
        </w:rPr>
        <w:t>定</w:t>
      </w:r>
      <w:r>
        <w:rPr>
          <w:sz w:val="21"/>
        </w:rPr>
        <w:t>的</w:t>
      </w:r>
      <w:r>
        <w:rPr>
          <w:spacing w:val="-3"/>
          <w:sz w:val="21"/>
        </w:rPr>
        <w:t>和</w:t>
      </w:r>
      <w:r>
        <w:rPr>
          <w:sz w:val="21"/>
        </w:rPr>
        <w:t>《</w:t>
      </w:r>
      <w:r>
        <w:rPr>
          <w:spacing w:val="-3"/>
          <w:sz w:val="21"/>
        </w:rPr>
        <w:t>基</w:t>
      </w:r>
      <w:r>
        <w:rPr>
          <w:sz w:val="21"/>
        </w:rPr>
        <w:t>金</w:t>
      </w:r>
      <w:r>
        <w:rPr>
          <w:spacing w:val="-3"/>
          <w:sz w:val="21"/>
        </w:rPr>
        <w:t>合</w:t>
      </w:r>
      <w:r>
        <w:rPr>
          <w:sz w:val="21"/>
        </w:rPr>
        <w:t>同</w:t>
      </w:r>
      <w:r>
        <w:rPr>
          <w:spacing w:val="-3"/>
          <w:sz w:val="21"/>
        </w:rPr>
        <w:t>》</w:t>
      </w:r>
      <w:r>
        <w:rPr>
          <w:sz w:val="21"/>
        </w:rPr>
        <w:t>约定</w:t>
      </w:r>
      <w:r>
        <w:rPr>
          <w:spacing w:val="-3"/>
          <w:sz w:val="21"/>
        </w:rPr>
        <w:t>的</w:t>
      </w:r>
      <w:r>
        <w:rPr>
          <w:sz w:val="21"/>
        </w:rPr>
        <w:t>其</w:t>
      </w:r>
      <w:r>
        <w:rPr>
          <w:spacing w:val="-3"/>
          <w:sz w:val="21"/>
        </w:rPr>
        <w:t>他</w:t>
      </w:r>
      <w:r>
        <w:rPr>
          <w:sz w:val="21"/>
        </w:rPr>
        <w:t>义</w:t>
      </w:r>
      <w:r>
        <w:rPr>
          <w:spacing w:val="-3"/>
          <w:sz w:val="21"/>
        </w:rPr>
        <w:t>务</w:t>
      </w:r>
      <w:r>
        <w:rPr>
          <w:sz w:val="21"/>
        </w:rPr>
        <w:t>。  </w:t>
      </w:r>
      <w:r>
        <w:rPr>
          <w:b/>
          <w:sz w:val="21"/>
        </w:rPr>
        <w:t>第二部分</w:t>
        <w:tab/>
        <w:t>基金份额持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w:t>
      </w:r>
      <w:r>
        <w:rPr>
          <w:b/>
          <w:spacing w:val="-15"/>
          <w:sz w:val="21"/>
        </w:rPr>
        <w:t>则</w:t>
      </w:r>
    </w:p>
    <w:p>
      <w:pPr>
        <w:pStyle w:val="BodyText"/>
        <w:spacing w:line="417" w:lineRule="auto"/>
        <w:ind w:left="540" w:right="208"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spacing w:line="269" w:lineRule="exact"/>
        <w:ind w:left="960"/>
      </w:pPr>
      <w:r>
        <w:rPr/>
        <w:t>一、召开事由</w:t>
      </w:r>
    </w:p>
    <w:p>
      <w:pPr>
        <w:pStyle w:val="BodyText"/>
        <w:spacing w:before="7"/>
        <w:rPr>
          <w:sz w:val="15"/>
        </w:rPr>
      </w:pPr>
    </w:p>
    <w:p>
      <w:pPr>
        <w:pStyle w:val="BodyText"/>
        <w:spacing w:line="417" w:lineRule="auto"/>
        <w:ind w:left="540" w:right="314" w:firstLine="419"/>
      </w:pPr>
      <w:r>
        <w:rPr>
          <w:rFonts w:ascii="Times New Roman" w:eastAsia="Times New Roman"/>
        </w:rPr>
        <w:t>1</w:t>
      </w:r>
      <w:r>
        <w:rPr/>
        <w:t>、当出现或需要决定下列事由之一的，应当召开基金份额持有人大会，法律法规、基金合同和中国证监会另有规定的除外：</w:t>
      </w:r>
    </w:p>
    <w:p>
      <w:pPr>
        <w:pStyle w:val="ListParagraph"/>
        <w:numPr>
          <w:ilvl w:val="0"/>
          <w:numId w:val="42"/>
        </w:numPr>
        <w:tabs>
          <w:tab w:pos="1490" w:val="left" w:leader="none"/>
        </w:tabs>
        <w:spacing w:line="240" w:lineRule="auto" w:before="69" w:after="0"/>
        <w:ind w:left="1489" w:right="0" w:hanging="530"/>
        <w:jc w:val="left"/>
        <w:rPr>
          <w:sz w:val="21"/>
        </w:rPr>
      </w:pPr>
      <w:r>
        <w:rPr>
          <w:spacing w:val="-15"/>
          <w:sz w:val="21"/>
        </w:rPr>
        <w:t>终止《基金合同》；</w:t>
      </w:r>
    </w:p>
    <w:p>
      <w:pPr>
        <w:pStyle w:val="ListParagraph"/>
        <w:numPr>
          <w:ilvl w:val="0"/>
          <w:numId w:val="42"/>
        </w:numPr>
        <w:tabs>
          <w:tab w:pos="1490" w:val="left" w:leader="none"/>
        </w:tabs>
        <w:spacing w:line="240" w:lineRule="auto" w:before="171" w:after="0"/>
        <w:ind w:left="1489" w:right="0" w:hanging="530"/>
        <w:jc w:val="left"/>
        <w:rPr>
          <w:sz w:val="21"/>
        </w:rPr>
      </w:pPr>
      <w:r>
        <w:rPr>
          <w:spacing w:val="-3"/>
          <w:sz w:val="21"/>
        </w:rPr>
        <w:t>更换基金管理人；</w:t>
      </w:r>
    </w:p>
    <w:p>
      <w:pPr>
        <w:pStyle w:val="ListParagraph"/>
        <w:numPr>
          <w:ilvl w:val="0"/>
          <w:numId w:val="42"/>
        </w:numPr>
        <w:tabs>
          <w:tab w:pos="1490" w:val="left" w:leader="none"/>
        </w:tabs>
        <w:spacing w:line="240" w:lineRule="auto" w:before="172" w:after="0"/>
        <w:ind w:left="1489" w:right="0" w:hanging="530"/>
        <w:jc w:val="left"/>
        <w:rPr>
          <w:sz w:val="21"/>
        </w:rPr>
      </w:pPr>
      <w:r>
        <w:rPr>
          <w:spacing w:val="-3"/>
          <w:sz w:val="21"/>
        </w:rPr>
        <w:t>更换基金托管人；</w:t>
      </w:r>
    </w:p>
    <w:p>
      <w:pPr>
        <w:spacing w:after="0" w:line="240" w:lineRule="auto"/>
        <w:jc w:val="left"/>
        <w:rPr>
          <w:sz w:val="21"/>
        </w:rPr>
        <w:sectPr>
          <w:pgSz w:w="11910" w:h="16840"/>
          <w:pgMar w:header="877" w:footer="0" w:top="1420" w:bottom="280" w:left="1260" w:right="1480"/>
        </w:sectPr>
      </w:pPr>
    </w:p>
    <w:p>
      <w:pPr>
        <w:pStyle w:val="BodyText"/>
        <w:spacing w:before="11"/>
        <w:rPr>
          <w:sz w:val="7"/>
        </w:rPr>
      </w:pPr>
    </w:p>
    <w:p>
      <w:pPr>
        <w:pStyle w:val="ListParagraph"/>
        <w:numPr>
          <w:ilvl w:val="0"/>
          <w:numId w:val="42"/>
        </w:numPr>
        <w:tabs>
          <w:tab w:pos="1490" w:val="left" w:leader="none"/>
        </w:tabs>
        <w:spacing w:line="240" w:lineRule="auto" w:before="79" w:after="0"/>
        <w:ind w:left="1489" w:right="0" w:hanging="530"/>
        <w:jc w:val="left"/>
        <w:rPr>
          <w:sz w:val="21"/>
        </w:rPr>
      </w:pPr>
      <w:r>
        <w:rPr>
          <w:spacing w:val="-3"/>
          <w:sz w:val="21"/>
        </w:rPr>
        <w:t>转换基金运作方式；</w:t>
      </w:r>
    </w:p>
    <w:p>
      <w:pPr>
        <w:pStyle w:val="ListParagraph"/>
        <w:numPr>
          <w:ilvl w:val="0"/>
          <w:numId w:val="42"/>
        </w:numPr>
        <w:tabs>
          <w:tab w:pos="1490" w:val="left" w:leader="none"/>
        </w:tabs>
        <w:spacing w:line="393" w:lineRule="auto" w:before="170" w:after="0"/>
        <w:ind w:left="540" w:right="314" w:firstLine="419"/>
        <w:jc w:val="left"/>
        <w:rPr>
          <w:sz w:val="21"/>
        </w:rPr>
      </w:pPr>
      <w:r>
        <w:rPr>
          <w:spacing w:val="-3"/>
          <w:sz w:val="21"/>
        </w:rPr>
        <w:t>调整基金管理人、基金托管人的报酬标准，但法律法规或中国证监会另有规定的除外；</w:t>
      </w:r>
    </w:p>
    <w:p>
      <w:pPr>
        <w:pStyle w:val="ListParagraph"/>
        <w:numPr>
          <w:ilvl w:val="0"/>
          <w:numId w:val="42"/>
        </w:numPr>
        <w:tabs>
          <w:tab w:pos="1490" w:val="left" w:leader="none"/>
        </w:tabs>
        <w:spacing w:line="267" w:lineRule="exact" w:before="0" w:after="0"/>
        <w:ind w:left="1489" w:right="0" w:hanging="530"/>
        <w:jc w:val="left"/>
        <w:rPr>
          <w:sz w:val="21"/>
        </w:rPr>
      </w:pPr>
      <w:r>
        <w:rPr>
          <w:spacing w:val="-3"/>
          <w:sz w:val="21"/>
        </w:rPr>
        <w:t>变更基金类别；</w:t>
      </w:r>
    </w:p>
    <w:p>
      <w:pPr>
        <w:pStyle w:val="ListParagraph"/>
        <w:numPr>
          <w:ilvl w:val="0"/>
          <w:numId w:val="42"/>
        </w:numPr>
        <w:tabs>
          <w:tab w:pos="1490" w:val="left" w:leader="none"/>
        </w:tabs>
        <w:spacing w:line="240" w:lineRule="auto" w:before="170" w:after="0"/>
        <w:ind w:left="1489" w:right="0" w:hanging="530"/>
        <w:jc w:val="left"/>
        <w:rPr>
          <w:sz w:val="21"/>
        </w:rPr>
      </w:pPr>
      <w:r>
        <w:rPr>
          <w:spacing w:val="-3"/>
          <w:sz w:val="21"/>
        </w:rPr>
        <w:t>本基金与其他基金的合并；</w:t>
      </w:r>
    </w:p>
    <w:p>
      <w:pPr>
        <w:pStyle w:val="ListParagraph"/>
        <w:numPr>
          <w:ilvl w:val="0"/>
          <w:numId w:val="42"/>
        </w:numPr>
        <w:tabs>
          <w:tab w:pos="1490" w:val="left" w:leader="none"/>
        </w:tabs>
        <w:spacing w:line="240" w:lineRule="auto" w:before="172" w:after="0"/>
        <w:ind w:left="1489" w:right="0" w:hanging="530"/>
        <w:jc w:val="left"/>
        <w:rPr>
          <w:sz w:val="21"/>
        </w:rPr>
      </w:pPr>
      <w:r>
        <w:rPr>
          <w:spacing w:val="-3"/>
          <w:sz w:val="21"/>
        </w:rPr>
        <w:t>变更基金投资目标、范围或策略；</w:t>
      </w:r>
    </w:p>
    <w:p>
      <w:pPr>
        <w:pStyle w:val="ListParagraph"/>
        <w:numPr>
          <w:ilvl w:val="0"/>
          <w:numId w:val="42"/>
        </w:numPr>
        <w:tabs>
          <w:tab w:pos="1490" w:val="left" w:leader="none"/>
        </w:tabs>
        <w:spacing w:line="240" w:lineRule="auto" w:before="171" w:after="0"/>
        <w:ind w:left="1489" w:right="0" w:hanging="530"/>
        <w:jc w:val="left"/>
        <w:rPr>
          <w:sz w:val="21"/>
        </w:rPr>
      </w:pPr>
      <w:r>
        <w:rPr>
          <w:spacing w:val="-3"/>
          <w:sz w:val="21"/>
        </w:rPr>
        <w:t>变更基金份额持有人大会程序；</w:t>
      </w:r>
    </w:p>
    <w:p>
      <w:pPr>
        <w:pStyle w:val="ListParagraph"/>
        <w:numPr>
          <w:ilvl w:val="0"/>
          <w:numId w:val="42"/>
        </w:numPr>
        <w:tabs>
          <w:tab w:pos="1595" w:val="left" w:leader="none"/>
        </w:tabs>
        <w:spacing w:line="240" w:lineRule="auto" w:before="170" w:after="0"/>
        <w:ind w:left="1595" w:right="0" w:hanging="635"/>
        <w:jc w:val="left"/>
        <w:rPr>
          <w:sz w:val="21"/>
        </w:rPr>
      </w:pPr>
      <w:r>
        <w:rPr>
          <w:spacing w:val="-3"/>
          <w:sz w:val="21"/>
        </w:rPr>
        <w:t>基金管理人或基金托管人要求召开基金份额持有人大会；</w:t>
      </w:r>
    </w:p>
    <w:p>
      <w:pPr>
        <w:pStyle w:val="ListParagraph"/>
        <w:numPr>
          <w:ilvl w:val="0"/>
          <w:numId w:val="42"/>
        </w:numPr>
        <w:tabs>
          <w:tab w:pos="1586" w:val="left" w:leader="none"/>
        </w:tabs>
        <w:spacing w:line="240" w:lineRule="auto" w:before="173" w:after="0"/>
        <w:ind w:left="158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w:t>
      </w:r>
      <w:r>
        <w:rPr>
          <w:spacing w:val="-2"/>
          <w:sz w:val="21"/>
        </w:rPr>
        <w:t>含 </w:t>
      </w:r>
      <w:r>
        <w:rPr>
          <w:rFonts w:ascii="Times New Roman" w:eastAsia="Times New Roman"/>
          <w:sz w:val="21"/>
        </w:rPr>
        <w:t>10%</w:t>
      </w:r>
      <w:r>
        <w:rPr>
          <w:sz w:val="21"/>
        </w:rPr>
        <w:t>）</w:t>
      </w:r>
      <w:r>
        <w:rPr>
          <w:spacing w:val="-3"/>
          <w:sz w:val="21"/>
        </w:rPr>
        <w:t>基金份额的基金份额持有人</w:t>
      </w:r>
    </w:p>
    <w:p>
      <w:pPr>
        <w:pStyle w:val="BodyText"/>
        <w:spacing w:line="391" w:lineRule="auto" w:before="170"/>
        <w:ind w:left="540" w:right="31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42"/>
        </w:numPr>
        <w:tabs>
          <w:tab w:pos="1595" w:val="left" w:leader="none"/>
        </w:tabs>
        <w:spacing w:line="240" w:lineRule="auto" w:before="4" w:after="0"/>
        <w:ind w:left="1595" w:right="0" w:hanging="635"/>
        <w:jc w:val="left"/>
        <w:rPr>
          <w:sz w:val="21"/>
        </w:rPr>
      </w:pPr>
      <w:r>
        <w:rPr>
          <w:spacing w:val="-3"/>
          <w:sz w:val="21"/>
        </w:rPr>
        <w:t>对基金当事人权利和义务产生重大影响的其他事项；</w:t>
      </w:r>
    </w:p>
    <w:p>
      <w:pPr>
        <w:pStyle w:val="ListParagraph"/>
        <w:numPr>
          <w:ilvl w:val="0"/>
          <w:numId w:val="42"/>
        </w:numPr>
        <w:tabs>
          <w:tab w:pos="1595" w:val="left" w:leader="none"/>
        </w:tabs>
        <w:spacing w:line="391" w:lineRule="auto" w:before="170" w:after="0"/>
        <w:ind w:left="540" w:right="31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203" w:lineRule="exact"/>
        <w:ind w:left="960"/>
      </w:pPr>
      <w:r>
        <w:rPr>
          <w:rFonts w:ascii="Times New Roman" w:eastAsia="Times New Roman"/>
        </w:rPr>
        <w:t>2</w:t>
      </w:r>
      <w:r>
        <w:rPr/>
        <w:t>、以下情况在不违反法律法规规定和《基金合同》约定，且对现有基金份额持有人利</w:t>
      </w:r>
    </w:p>
    <w:p>
      <w:pPr>
        <w:pStyle w:val="BodyText"/>
        <w:spacing w:before="7"/>
        <w:rPr>
          <w:sz w:val="15"/>
        </w:rPr>
      </w:pPr>
    </w:p>
    <w:p>
      <w:pPr>
        <w:pStyle w:val="BodyText"/>
        <w:spacing w:line="417" w:lineRule="auto"/>
        <w:ind w:left="540" w:right="311"/>
      </w:pPr>
      <w:r>
        <w:rPr>
          <w:spacing w:val="-9"/>
        </w:rPr>
        <w:t>益无实质性不利影响的前提下，可由基金管理人和基金托管人协商后修改，不需召开基金份</w:t>
      </w:r>
      <w:r>
        <w:rPr>
          <w:spacing w:val="-5"/>
        </w:rPr>
        <w:t>额持有人大会：</w:t>
      </w:r>
    </w:p>
    <w:p>
      <w:pPr>
        <w:pStyle w:val="ListParagraph"/>
        <w:numPr>
          <w:ilvl w:val="0"/>
          <w:numId w:val="43"/>
        </w:numPr>
        <w:tabs>
          <w:tab w:pos="1490" w:val="left" w:leader="none"/>
        </w:tabs>
        <w:spacing w:line="269" w:lineRule="exact" w:before="0" w:after="0"/>
        <w:ind w:left="1489" w:right="0" w:hanging="530"/>
        <w:jc w:val="left"/>
        <w:rPr>
          <w:sz w:val="21"/>
        </w:rPr>
      </w:pPr>
      <w:r>
        <w:rPr>
          <w:spacing w:val="-3"/>
          <w:sz w:val="21"/>
        </w:rPr>
        <w:t>法律法规要求增加的基金费用的收取；</w:t>
      </w:r>
    </w:p>
    <w:p>
      <w:pPr>
        <w:pStyle w:val="BodyText"/>
        <w:spacing w:before="6"/>
        <w:rPr>
          <w:sz w:val="15"/>
        </w:rPr>
      </w:pPr>
    </w:p>
    <w:p>
      <w:pPr>
        <w:pStyle w:val="ListParagraph"/>
        <w:numPr>
          <w:ilvl w:val="0"/>
          <w:numId w:val="43"/>
        </w:numPr>
        <w:tabs>
          <w:tab w:pos="1490" w:val="left" w:leader="none"/>
        </w:tabs>
        <w:spacing w:line="417" w:lineRule="auto" w:before="1" w:after="0"/>
        <w:ind w:left="540" w:right="314" w:firstLine="419"/>
        <w:jc w:val="left"/>
        <w:rPr>
          <w:sz w:val="21"/>
        </w:rPr>
      </w:pPr>
      <w:r>
        <w:rPr>
          <w:spacing w:val="-3"/>
          <w:sz w:val="21"/>
        </w:rPr>
        <w:t>在对现有基金份额持有人利益无实质性不利影响的前提下，增加、减少、调整本基金份额类别设置或调整本基金的申购费率、赎回费率、销售服务费率或收费方式；</w:t>
      </w:r>
    </w:p>
    <w:p>
      <w:pPr>
        <w:pStyle w:val="ListParagraph"/>
        <w:numPr>
          <w:ilvl w:val="0"/>
          <w:numId w:val="43"/>
        </w:numPr>
        <w:tabs>
          <w:tab w:pos="1490" w:val="left" w:leader="none"/>
        </w:tabs>
        <w:spacing w:line="417" w:lineRule="auto" w:before="0" w:after="0"/>
        <w:ind w:left="540" w:right="313" w:firstLine="419"/>
        <w:jc w:val="both"/>
        <w:rPr>
          <w:sz w:val="21"/>
        </w:rPr>
      </w:pPr>
      <w:r>
        <w:rPr>
          <w:spacing w:val="-3"/>
          <w:sz w:val="21"/>
        </w:rPr>
        <w:t>在对现有基金份额持有人利益无实质性不利影响的前提下，基金管理人、登记机</w:t>
      </w:r>
      <w:r>
        <w:rPr>
          <w:spacing w:val="-11"/>
          <w:sz w:val="21"/>
        </w:rPr>
        <w:t>构、代销机构调整有关基金认购、申购、赎回、转换、收益分配、非交易过户、转托管等业</w:t>
      </w:r>
      <w:r>
        <w:rPr>
          <w:spacing w:val="-6"/>
          <w:sz w:val="21"/>
        </w:rPr>
        <w:t>务的规则；</w:t>
      </w: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在不违反法律法规的前提下，基金推出新业务或服务；</w:t>
      </w:r>
    </w:p>
    <w:p>
      <w:pPr>
        <w:pStyle w:val="BodyText"/>
        <w:spacing w:before="6"/>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因相应的法律法规发生变动而应当对《基金合同》进行修改；</w:t>
      </w:r>
    </w:p>
    <w:p>
      <w:pPr>
        <w:pStyle w:val="BodyText"/>
        <w:spacing w:before="7"/>
        <w:rPr>
          <w:sz w:val="15"/>
        </w:rPr>
      </w:pPr>
    </w:p>
    <w:p>
      <w:pPr>
        <w:pStyle w:val="ListParagraph"/>
        <w:numPr>
          <w:ilvl w:val="0"/>
          <w:numId w:val="43"/>
        </w:numPr>
        <w:tabs>
          <w:tab w:pos="1490" w:val="left" w:leader="none"/>
        </w:tabs>
        <w:spacing w:line="417" w:lineRule="auto" w:before="0" w:after="0"/>
        <w:ind w:left="540" w:right="31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基金合同》当事人权利义务关系发生变化；</w:t>
      </w:r>
    </w:p>
    <w:p>
      <w:pPr>
        <w:pStyle w:val="ListParagraph"/>
        <w:numPr>
          <w:ilvl w:val="0"/>
          <w:numId w:val="43"/>
        </w:numPr>
        <w:tabs>
          <w:tab w:pos="1490" w:val="left" w:leader="none"/>
        </w:tabs>
        <w:spacing w:line="417" w:lineRule="auto" w:before="0" w:after="0"/>
        <w:ind w:left="960" w:right="532" w:firstLine="0"/>
        <w:jc w:val="left"/>
        <w:rPr>
          <w:sz w:val="21"/>
        </w:rPr>
      </w:pPr>
      <w:r>
        <w:rPr>
          <w:spacing w:val="-3"/>
          <w:sz w:val="21"/>
        </w:rPr>
        <w:t>按照法律法规和《基金合同》规定不需召开基金份额持有人大会的其他情形。二、会议召集人及召集方式</w:t>
      </w:r>
    </w:p>
    <w:p>
      <w:pPr>
        <w:pStyle w:val="BodyText"/>
        <w:ind w:left="960"/>
      </w:pPr>
      <w:r>
        <w:rPr>
          <w:rFonts w:ascii="Times New Roman" w:eastAsia="Times New Roman"/>
        </w:rPr>
        <w:t>1</w:t>
      </w:r>
      <w:r>
        <w:rPr/>
        <w:t>、除法律法规规定或《基金合同》另有约定外，基金份额持有人大会由基金管理人召</w:t>
      </w:r>
    </w:p>
    <w:p>
      <w:pPr>
        <w:spacing w:after="0"/>
        <w:sectPr>
          <w:pgSz w:w="11910" w:h="16840"/>
          <w:pgMar w:header="877" w:footer="0" w:top="1420" w:bottom="280" w:left="1260" w:right="1480"/>
        </w:sectPr>
      </w:pPr>
    </w:p>
    <w:p>
      <w:pPr>
        <w:pStyle w:val="BodyText"/>
        <w:spacing w:before="110"/>
        <w:ind w:left="540"/>
      </w:pPr>
      <w:r>
        <w:rPr/>
        <w:t>集；</w:t>
      </w:r>
    </w:p>
    <w:p>
      <w:pPr>
        <w:pStyle w:val="BodyText"/>
        <w:spacing w:before="6"/>
        <w:rPr>
          <w:sz w:val="15"/>
        </w:rPr>
      </w:pPr>
    </w:p>
    <w:p>
      <w:pPr>
        <w:pStyle w:val="BodyText"/>
        <w:ind w:left="960"/>
      </w:pPr>
      <w:r>
        <w:rPr>
          <w:rFonts w:ascii="Times New Roman" w:eastAsia="Times New Roman"/>
        </w:rPr>
        <w:t>2</w:t>
      </w:r>
      <w:r>
        <w:rPr/>
        <w:t>、基金管理人未按规定召集或不能召集时，由基金托管人召集；</w:t>
      </w:r>
    </w:p>
    <w:p>
      <w:pPr>
        <w:pStyle w:val="BodyText"/>
        <w:spacing w:before="7"/>
        <w:rPr>
          <w:sz w:val="15"/>
        </w:rPr>
      </w:pPr>
    </w:p>
    <w:p>
      <w:pPr>
        <w:pStyle w:val="BodyText"/>
        <w:spacing w:line="417" w:lineRule="auto"/>
        <w:ind w:left="540" w:right="31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17" w:lineRule="auto"/>
        <w:ind w:left="540" w:right="31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基金托管人仍认为有必要召开的，应当由基金托管人自行召集，并自出具书面决定之日起</w:t>
      </w:r>
      <w:r>
        <w:rPr>
          <w:rFonts w:ascii="Times New Roman" w:eastAsia="Times New Roman"/>
          <w:spacing w:val="-13"/>
        </w:rPr>
        <w:t>60 </w:t>
      </w:r>
      <w:r>
        <w:rPr>
          <w:spacing w:val="-3"/>
        </w:rPr>
        <w:t>日召开并告知基金管理人，基金管理人应当配合。</w:t>
      </w:r>
    </w:p>
    <w:p>
      <w:pPr>
        <w:pStyle w:val="BodyText"/>
        <w:spacing w:line="417" w:lineRule="auto"/>
        <w:ind w:left="540" w:right="31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40"/>
        </w:rPr>
        <w:t> </w:t>
      </w:r>
      <w:r>
        <w:rPr>
          <w:spacing w:val="-3"/>
        </w:rPr>
        <w:t>日内决定是否召集，并书面告知提出提议的基金份额持有人代表和基金托管人。基金管理人决定召集的，应当自出具书面决定之日起</w:t>
      </w:r>
    </w:p>
    <w:p>
      <w:pPr>
        <w:pStyle w:val="BodyText"/>
        <w:spacing w:line="417" w:lineRule="auto"/>
        <w:ind w:left="540" w:right="311"/>
        <w:jc w:val="both"/>
      </w:pPr>
      <w:r>
        <w:rPr>
          <w:rFonts w:ascii="Times New Roman" w:eastAsia="Times New Roman"/>
        </w:rPr>
        <w:t>60 </w:t>
      </w:r>
      <w:r>
        <w:rPr>
          <w:spacing w:val="-5"/>
        </w:rPr>
        <w:t>日内召开；基金管理人决定不召集，代表基金份额 </w:t>
      </w:r>
      <w:r>
        <w:rPr>
          <w:rFonts w:ascii="Times New Roman" w:eastAsia="Times New Roman"/>
        </w:rPr>
        <w:t>10%</w:t>
      </w:r>
      <w:r>
        <w:rPr>
          <w:spacing w:val="-2"/>
        </w:rPr>
        <w:t>以上</w:t>
      </w:r>
      <w:r>
        <w:rPr/>
        <w:t>（</w:t>
      </w:r>
      <w:r>
        <w:rPr>
          <w:spacing w:val="-18"/>
        </w:rPr>
        <w:t>含 </w:t>
      </w:r>
      <w:r>
        <w:rPr>
          <w:rFonts w:ascii="Times New Roman" w:eastAsia="Times New Roman"/>
        </w:rPr>
        <w:t>10%</w:t>
      </w:r>
      <w:r>
        <w:rPr/>
        <w:t>）</w:t>
      </w:r>
      <w:r>
        <w:rPr>
          <w:spacing w:val="-3"/>
        </w:rPr>
        <w:t>的基金份额持有</w:t>
      </w:r>
      <w:r>
        <w:rPr>
          <w:spacing w:val="-10"/>
        </w:rPr>
        <w:t>人仍认为有必要召开的，应当向基金托管人提出书面提议。基金托管人应当自收到书面提议</w:t>
      </w:r>
      <w:r>
        <w:rPr>
          <w:spacing w:val="-16"/>
        </w:rPr>
        <w:t>之日起 </w:t>
      </w:r>
      <w:r>
        <w:rPr>
          <w:rFonts w:ascii="Times New Roman" w:eastAsia="Times New Roman"/>
        </w:rPr>
        <w:t>10 </w:t>
      </w:r>
      <w:r>
        <w:rPr>
          <w:spacing w:val="-3"/>
        </w:rPr>
        <w:t>日内决定是否召集，并书面告知提出提议的基金份额持有人代表和基金管理人； </w:t>
      </w:r>
      <w:r>
        <w:rPr>
          <w:spacing w:val="-4"/>
        </w:rPr>
        <w:t>基金托管人决定召集的，应当自出具书面决定之日起 </w:t>
      </w:r>
      <w:r>
        <w:rPr>
          <w:rFonts w:ascii="Times New Roman" w:eastAsia="Times New Roman"/>
        </w:rPr>
        <w:t>60 </w:t>
      </w:r>
      <w:r>
        <w:rPr>
          <w:spacing w:val="-3"/>
        </w:rPr>
        <w:t>日内召开</w:t>
      </w:r>
      <w:r>
        <w:rPr>
          <w:rFonts w:ascii="Times New Roman" w:eastAsia="Times New Roman"/>
          <w:spacing w:val="7"/>
        </w:rPr>
        <w:t>, </w:t>
      </w:r>
      <w:r>
        <w:rPr>
          <w:spacing w:val="-3"/>
        </w:rPr>
        <w:t>并告知基金管理人，基金管理人应当配合。</w:t>
      </w:r>
    </w:p>
    <w:p>
      <w:pPr>
        <w:pStyle w:val="BodyText"/>
        <w:spacing w:line="417" w:lineRule="auto"/>
        <w:ind w:left="540" w:right="31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540" w:right="31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417" w:lineRule="auto"/>
        <w:ind w:left="960" w:right="32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pStyle w:val="BodyText"/>
        <w:spacing w:line="417" w:lineRule="auto"/>
        <w:ind w:left="540" w:right="31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4"/>
        </w:numPr>
        <w:tabs>
          <w:tab w:pos="1490" w:val="left" w:leader="none"/>
        </w:tabs>
        <w:spacing w:line="269" w:lineRule="exact" w:before="0" w:after="0"/>
        <w:ind w:left="1489" w:right="0" w:hanging="530"/>
        <w:jc w:val="left"/>
        <w:rPr>
          <w:sz w:val="21"/>
        </w:rPr>
      </w:pPr>
      <w:r>
        <w:rPr>
          <w:spacing w:val="-3"/>
          <w:sz w:val="21"/>
        </w:rPr>
        <w:t>会议召开的时间、地点和会议形式；</w:t>
      </w:r>
    </w:p>
    <w:p>
      <w:pPr>
        <w:pStyle w:val="ListParagraph"/>
        <w:numPr>
          <w:ilvl w:val="0"/>
          <w:numId w:val="44"/>
        </w:numPr>
        <w:tabs>
          <w:tab w:pos="1490" w:val="left" w:leader="none"/>
        </w:tabs>
        <w:spacing w:line="240" w:lineRule="auto" w:before="197" w:after="0"/>
        <w:ind w:left="1489" w:right="0" w:hanging="530"/>
        <w:jc w:val="left"/>
        <w:rPr>
          <w:sz w:val="21"/>
        </w:rPr>
      </w:pPr>
      <w:r>
        <w:rPr>
          <w:spacing w:val="-3"/>
          <w:sz w:val="21"/>
        </w:rPr>
        <w:t>会议拟审议的事项、议事程序和表决方式；</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4"/>
        </w:numPr>
        <w:tabs>
          <w:tab w:pos="1490" w:val="left" w:leader="none"/>
        </w:tabs>
        <w:spacing w:line="417" w:lineRule="auto" w:before="0" w:after="0"/>
        <w:ind w:left="540" w:right="314" w:firstLine="419"/>
        <w:jc w:val="left"/>
        <w:rPr>
          <w:rFonts w:ascii="Times New Roman" w:eastAsia="Times New Roman"/>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r>
        <w:rPr>
          <w:rFonts w:ascii="Times New Roman" w:eastAsia="Times New Roman"/>
          <w:sz w:val="21"/>
        </w:rPr>
        <w:t>;</w:t>
      </w:r>
    </w:p>
    <w:p>
      <w:pPr>
        <w:spacing w:after="0" w:line="417" w:lineRule="auto"/>
        <w:jc w:val="left"/>
        <w:rPr>
          <w:rFonts w:ascii="Times New Roman" w:eastAsia="Times New Roman"/>
          <w:sz w:val="21"/>
        </w:rPr>
        <w:sectPr>
          <w:pgSz w:w="11910" w:h="16840"/>
          <w:pgMar w:header="877" w:footer="0" w:top="1420" w:bottom="280" w:left="1260" w:right="1480"/>
        </w:sectPr>
      </w:pPr>
    </w:p>
    <w:p>
      <w:pPr>
        <w:pStyle w:val="ListParagraph"/>
        <w:numPr>
          <w:ilvl w:val="0"/>
          <w:numId w:val="44"/>
        </w:numPr>
        <w:tabs>
          <w:tab w:pos="1490" w:val="left" w:leader="none"/>
        </w:tabs>
        <w:spacing w:line="240" w:lineRule="auto" w:before="110" w:after="0"/>
        <w:ind w:left="1489" w:right="0" w:hanging="530"/>
        <w:jc w:val="left"/>
        <w:rPr>
          <w:sz w:val="21"/>
        </w:rPr>
      </w:pPr>
      <w:r>
        <w:rPr>
          <w:spacing w:val="-3"/>
          <w:sz w:val="21"/>
        </w:rPr>
        <w:t>会务常设联系人姓名及联系电话；</w:t>
      </w:r>
    </w:p>
    <w:p>
      <w:pPr>
        <w:pStyle w:val="BodyText"/>
        <w:spacing w:before="6"/>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出席会议者必须准备的文件和必须履行的手续；</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召集人需要通知的其他事项。</w:t>
      </w:r>
    </w:p>
    <w:p>
      <w:pPr>
        <w:pStyle w:val="BodyText"/>
        <w:spacing w:before="7"/>
        <w:rPr>
          <w:sz w:val="15"/>
        </w:rPr>
      </w:pPr>
    </w:p>
    <w:p>
      <w:pPr>
        <w:pStyle w:val="BodyText"/>
        <w:spacing w:line="417" w:lineRule="auto"/>
        <w:ind w:left="540" w:right="31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540" w:right="31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9" w:lineRule="exact"/>
        <w:ind w:left="960"/>
      </w:pPr>
      <w:r>
        <w:rPr/>
        <w:t>四、基金份额持有人出席会议的方式</w:t>
      </w:r>
    </w:p>
    <w:p>
      <w:pPr>
        <w:pStyle w:val="BodyText"/>
        <w:spacing w:before="6"/>
        <w:rPr>
          <w:sz w:val="15"/>
        </w:rPr>
      </w:pPr>
    </w:p>
    <w:p>
      <w:pPr>
        <w:pStyle w:val="BodyText"/>
        <w:spacing w:line="417" w:lineRule="auto"/>
        <w:ind w:left="540" w:right="311" w:firstLine="419"/>
      </w:pPr>
      <w:r>
        <w:rPr>
          <w:spacing w:val="-7"/>
        </w:rPr>
        <w:t>基金份额持有人大会可通过现场开会或通讯开会等方式召开，会议的召开方式由会议召</w:t>
      </w:r>
      <w:r>
        <w:rPr>
          <w:spacing w:val="-4"/>
        </w:rPr>
        <w:t>集人确定。</w:t>
      </w:r>
    </w:p>
    <w:p>
      <w:pPr>
        <w:pStyle w:val="BodyText"/>
        <w:spacing w:line="417" w:lineRule="auto"/>
        <w:ind w:left="540" w:right="31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5"/>
        </w:numPr>
        <w:tabs>
          <w:tab w:pos="1490" w:val="left" w:leader="none"/>
        </w:tabs>
        <w:spacing w:line="417" w:lineRule="auto" w:before="0" w:after="0"/>
        <w:ind w:left="540" w:right="31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5"/>
        </w:numPr>
        <w:tabs>
          <w:tab w:pos="1490" w:val="left" w:leader="none"/>
        </w:tabs>
        <w:spacing w:line="417" w:lineRule="auto" w:before="0" w:after="0"/>
        <w:ind w:left="540" w:right="313" w:firstLine="419"/>
        <w:jc w:val="both"/>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540" w:right="208" w:firstLine="419"/>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r>
        <w:rPr>
          <w:rFonts w:ascii="Times New Roman" w:eastAsia="Times New Roman"/>
          <w:spacing w:val="-3"/>
        </w:rPr>
        <w:t>2</w:t>
      </w:r>
      <w:r>
        <w:rPr>
          <w:spacing w:val="-3"/>
        </w:rPr>
        <w:t>、通讯开会。通讯开会系指基金份额持有人将其对表决事项的投票以书面形式在表决截至日以前送达至召集人指定的地址。通讯开会应以书面方式进行表决。</w:t>
      </w:r>
    </w:p>
    <w:p>
      <w:pPr>
        <w:pStyle w:val="BodyText"/>
        <w:spacing w:line="268" w:lineRule="exact"/>
        <w:ind w:left="960"/>
      </w:pPr>
      <w:r>
        <w:rPr/>
        <w:t>在同时符合以下条件时，通讯开会的方式视为有效：</w:t>
      </w:r>
    </w:p>
    <w:p>
      <w:pPr>
        <w:spacing w:after="0" w:line="268" w:lineRule="exact"/>
        <w:sectPr>
          <w:pgSz w:w="11910" w:h="16840"/>
          <w:pgMar w:header="877" w:footer="0" w:top="1420" w:bottom="280" w:left="1260" w:right="1480"/>
        </w:sectPr>
      </w:pPr>
    </w:p>
    <w:p>
      <w:pPr>
        <w:pStyle w:val="ListParagraph"/>
        <w:numPr>
          <w:ilvl w:val="0"/>
          <w:numId w:val="46"/>
        </w:numPr>
        <w:tabs>
          <w:tab w:pos="1487" w:val="left" w:leader="none"/>
        </w:tabs>
        <w:spacing w:line="417" w:lineRule="auto" w:before="110" w:after="0"/>
        <w:ind w:left="540" w:right="313" w:firstLine="419"/>
        <w:jc w:val="both"/>
        <w:rPr>
          <w:sz w:val="21"/>
        </w:rPr>
      </w:pPr>
      <w:r>
        <w:rPr>
          <w:spacing w:val="-6"/>
          <w:sz w:val="21"/>
        </w:rPr>
        <w:t>会议召集人按《基金合同》约定公布会议通知后，在 </w:t>
      </w:r>
      <w:r>
        <w:rPr>
          <w:rFonts w:ascii="Times New Roman" w:eastAsia="Times New Roman"/>
          <w:sz w:val="21"/>
        </w:rPr>
        <w:t>2</w:t>
      </w:r>
      <w:r>
        <w:rPr>
          <w:rFonts w:ascii="Times New Roman" w:eastAsia="Times New Roman"/>
          <w:spacing w:val="9"/>
          <w:sz w:val="21"/>
        </w:rPr>
        <w:t> </w:t>
      </w:r>
      <w:r>
        <w:rPr>
          <w:spacing w:val="-3"/>
          <w:sz w:val="21"/>
        </w:rPr>
        <w:t>个工作日内连续公布相关提示性公告；</w:t>
      </w:r>
    </w:p>
    <w:p>
      <w:pPr>
        <w:pStyle w:val="ListParagraph"/>
        <w:numPr>
          <w:ilvl w:val="0"/>
          <w:numId w:val="46"/>
        </w:numPr>
        <w:tabs>
          <w:tab w:pos="1490" w:val="left" w:leader="none"/>
        </w:tabs>
        <w:spacing w:line="417" w:lineRule="auto" w:before="0" w:after="0"/>
        <w:ind w:left="540" w:right="31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6"/>
        </w:numPr>
        <w:tabs>
          <w:tab w:pos="1543" w:val="left" w:leader="none"/>
        </w:tabs>
        <w:spacing w:line="417" w:lineRule="auto" w:before="0" w:after="0"/>
        <w:ind w:left="540" w:right="311" w:firstLine="472"/>
        <w:jc w:val="both"/>
        <w:rPr>
          <w:sz w:val="21"/>
        </w:rPr>
      </w:pPr>
      <w:r>
        <w:rPr>
          <w:spacing w:val="-4"/>
          <w:sz w:val="21"/>
        </w:rPr>
        <w:t>本人直接出具书面意见或授权他人代表出具书面意见的，基金份额持有人所持</w:t>
      </w:r>
      <w:r>
        <w:rPr>
          <w:w w:val="100"/>
          <w:sz w:val="21"/>
        </w:rPr>
        <w:t>有</w:t>
      </w:r>
      <w:r>
        <w:rPr>
          <w:spacing w:val="-3"/>
          <w:w w:val="100"/>
          <w:sz w:val="21"/>
        </w:rPr>
        <w:t>的基金份额不少于在权益登记日基金总份额的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540" w:right="311" w:firstLine="472"/>
        <w:jc w:val="both"/>
      </w:pPr>
      <w:r>
        <w:rPr>
          <w:spacing w:val="-1"/>
        </w:rPr>
        <w:t>参加基金份额持有人大会的基金份额持有人的基金份额低于上述规定比例的，召集人</w:t>
      </w:r>
      <w:r>
        <w:rPr>
          <w:spacing w:val="-7"/>
        </w:rPr>
        <w:t>可以在原公告的基金份额持有人大会召开时间的三个月以后、六个月以内，就原定审议事项</w:t>
      </w:r>
      <w:r>
        <w:rPr>
          <w:spacing w:val="-9"/>
        </w:rPr>
        <w:t>重新召集基金份额持有人大会。重新召集的基金份额持有人大会，应当有代表 </w:t>
      </w:r>
      <w:r>
        <w:rPr>
          <w:rFonts w:ascii="Times New Roman" w:eastAsia="Times New Roman"/>
        </w:rPr>
        <w:t>1/3 </w:t>
      </w:r>
      <w:r>
        <w:rPr>
          <w:spacing w:val="-10"/>
        </w:rPr>
        <w:t>以上</w:t>
      </w:r>
      <w:r>
        <w:rPr/>
        <w:t>（含</w:t>
      </w:r>
      <w:r>
        <w:rPr>
          <w:rFonts w:ascii="Times New Roman" w:eastAsia="Times New Roman"/>
        </w:rPr>
        <w:t>1/3</w:t>
      </w:r>
      <w:r>
        <w:rPr/>
        <w:t>）</w:t>
      </w:r>
      <w:r>
        <w:rPr>
          <w:spacing w:val="-3"/>
        </w:rPr>
        <w:t>基金份额的基金份额持有人或其代理人参加，方可召开。</w:t>
      </w:r>
    </w:p>
    <w:p>
      <w:pPr>
        <w:pStyle w:val="ListParagraph"/>
        <w:numPr>
          <w:ilvl w:val="0"/>
          <w:numId w:val="46"/>
        </w:numPr>
        <w:tabs>
          <w:tab w:pos="1490" w:val="left" w:leader="none"/>
        </w:tabs>
        <w:spacing w:line="417" w:lineRule="auto" w:before="0" w:after="0"/>
        <w:ind w:left="540" w:right="31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通知的规定，并与基金登记注册机构记录相符；</w:t>
      </w:r>
    </w:p>
    <w:p>
      <w:pPr>
        <w:pStyle w:val="ListParagraph"/>
        <w:numPr>
          <w:ilvl w:val="0"/>
          <w:numId w:val="46"/>
        </w:numPr>
        <w:tabs>
          <w:tab w:pos="1490" w:val="left" w:leader="none"/>
        </w:tabs>
        <w:spacing w:line="269" w:lineRule="exact" w:before="0" w:after="0"/>
        <w:ind w:left="1489" w:right="0" w:hanging="530"/>
        <w:jc w:val="left"/>
        <w:rPr>
          <w:sz w:val="21"/>
        </w:rPr>
      </w:pPr>
      <w:r>
        <w:rPr>
          <w:spacing w:val="-3"/>
          <w:sz w:val="21"/>
        </w:rPr>
        <w:t>会议通知公布前报中国证监会备案。</w:t>
      </w:r>
    </w:p>
    <w:p>
      <w:pPr>
        <w:pStyle w:val="BodyText"/>
        <w:spacing w:line="417" w:lineRule="auto" w:before="197"/>
        <w:ind w:left="540" w:right="31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ind w:left="960"/>
      </w:pPr>
      <w:r>
        <w:rPr/>
        <w:t>五、议事内容与程序</w:t>
      </w:r>
    </w:p>
    <w:p>
      <w:pPr>
        <w:pStyle w:val="BodyText"/>
        <w:spacing w:before="7"/>
        <w:rPr>
          <w:sz w:val="15"/>
        </w:rPr>
      </w:pPr>
    </w:p>
    <w:p>
      <w:pPr>
        <w:pStyle w:val="BodyText"/>
        <w:ind w:left="960"/>
      </w:pPr>
      <w:r>
        <w:rPr>
          <w:rFonts w:ascii="Times New Roman" w:eastAsia="Times New Roman"/>
        </w:rPr>
        <w:t>1</w:t>
      </w:r>
      <w:r>
        <w:rPr/>
        <w:t>、议事内容及提案权</w:t>
      </w:r>
    </w:p>
    <w:p>
      <w:pPr>
        <w:pStyle w:val="BodyText"/>
        <w:spacing w:before="6"/>
        <w:rPr>
          <w:sz w:val="15"/>
        </w:rPr>
      </w:pPr>
    </w:p>
    <w:p>
      <w:pPr>
        <w:pStyle w:val="BodyText"/>
        <w:spacing w:line="417" w:lineRule="auto" w:before="1"/>
        <w:ind w:left="540" w:right="31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540" w:right="311" w:firstLine="419"/>
      </w:pPr>
      <w:r>
        <w:rPr>
          <w:spacing w:val="-7"/>
        </w:rPr>
        <w:t>基金份额持有人大会的召集人发出召集会议的通知后，对原有提案的修改应当在基金份</w:t>
      </w:r>
      <w:r>
        <w:rPr>
          <w:spacing w:val="-5"/>
        </w:rPr>
        <w:t>额持有人大会召开前及时公告。</w:t>
      </w:r>
    </w:p>
    <w:p>
      <w:pPr>
        <w:pStyle w:val="BodyText"/>
        <w:ind w:left="960"/>
      </w:pPr>
      <w:r>
        <w:rPr/>
        <w:t>基金份额持有人大会不得对未事先公告的议事内容进行表决。</w:t>
      </w:r>
    </w:p>
    <w:p>
      <w:pPr>
        <w:spacing w:after="0"/>
        <w:sectPr>
          <w:pgSz w:w="11910" w:h="16840"/>
          <w:pgMar w:header="877" w:footer="0" w:top="1420" w:bottom="280" w:left="1260" w:right="1480"/>
        </w:sectPr>
      </w:pPr>
    </w:p>
    <w:p>
      <w:pPr>
        <w:pStyle w:val="BodyText"/>
        <w:spacing w:before="110"/>
        <w:ind w:left="960"/>
      </w:pPr>
      <w:r>
        <w:rPr>
          <w:rFonts w:ascii="Times New Roman" w:eastAsia="Times New Roman"/>
        </w:rPr>
        <w:t>2</w:t>
      </w:r>
      <w:r>
        <w:rPr/>
        <w:t>、议事程序</w:t>
      </w:r>
    </w:p>
    <w:p>
      <w:pPr>
        <w:pStyle w:val="BodyText"/>
        <w:spacing w:before="6"/>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2"/>
          <w:sz w:val="21"/>
        </w:rPr>
        <w:t>现场开会</w:t>
      </w:r>
    </w:p>
    <w:p>
      <w:pPr>
        <w:pStyle w:val="BodyText"/>
        <w:spacing w:before="7"/>
        <w:rPr>
          <w:sz w:val="15"/>
        </w:rPr>
      </w:pPr>
    </w:p>
    <w:p>
      <w:pPr>
        <w:pStyle w:val="BodyText"/>
        <w:spacing w:line="417" w:lineRule="auto"/>
        <w:ind w:left="540" w:right="20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540" w:right="31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47"/>
        </w:numPr>
        <w:tabs>
          <w:tab w:pos="1490" w:val="left" w:leader="none"/>
        </w:tabs>
        <w:spacing w:line="269" w:lineRule="exact" w:before="0" w:after="0"/>
        <w:ind w:left="1489" w:right="0" w:hanging="530"/>
        <w:jc w:val="left"/>
        <w:rPr>
          <w:sz w:val="21"/>
        </w:rPr>
      </w:pPr>
      <w:r>
        <w:rPr>
          <w:spacing w:val="-2"/>
          <w:sz w:val="21"/>
        </w:rPr>
        <w:t>通讯开会</w:t>
      </w:r>
    </w:p>
    <w:p>
      <w:pPr>
        <w:pStyle w:val="BodyText"/>
        <w:spacing w:before="6"/>
        <w:rPr>
          <w:sz w:val="15"/>
        </w:rPr>
      </w:pPr>
    </w:p>
    <w:p>
      <w:pPr>
        <w:pStyle w:val="BodyText"/>
        <w:ind w:left="960"/>
      </w:pPr>
      <w:r>
        <w:rPr/>
        <w:t>在通讯开会的情况下，首先由召集人提前 </w:t>
      </w:r>
      <w:r>
        <w:rPr>
          <w:rFonts w:ascii="Times New Roman" w:eastAsia="Times New Roman"/>
        </w:rPr>
        <w:t>30 </w:t>
      </w:r>
      <w:r>
        <w:rPr/>
        <w:t>日公布提案，在所通知的表决截止日期后</w:t>
      </w:r>
    </w:p>
    <w:p>
      <w:pPr>
        <w:pStyle w:val="BodyText"/>
        <w:spacing w:before="7"/>
        <w:rPr>
          <w:sz w:val="15"/>
        </w:rPr>
      </w:pPr>
    </w:p>
    <w:p>
      <w:pPr>
        <w:pStyle w:val="BodyText"/>
        <w:spacing w:line="417" w:lineRule="auto" w:before="1"/>
        <w:ind w:left="960" w:right="215" w:hanging="420"/>
      </w:pPr>
      <w:r>
        <w:rPr>
          <w:rFonts w:ascii="Times New Roman" w:eastAsia="Times New Roman"/>
        </w:rPr>
        <w:t>2 </w:t>
      </w:r>
      <w:r>
        <w:rPr>
          <w:spacing w:val="-4"/>
        </w:rPr>
        <w:t>个工作日内在公证机关监督下由召集人统计全部有效表决，在公证机关监督下形成决议。</w:t>
      </w:r>
      <w:r>
        <w:rPr>
          <w:spacing w:val="-1"/>
        </w:rPr>
        <w:t>六、表决</w:t>
      </w:r>
    </w:p>
    <w:p>
      <w:pPr>
        <w:pStyle w:val="BodyText"/>
        <w:spacing w:line="417" w:lineRule="auto"/>
        <w:ind w:left="960" w:right="336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540" w:right="31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ind w:left="960"/>
        <w:jc w:val="both"/>
        <w:rPr>
          <w:rFonts w:ascii="Times New Roman" w:eastAsia="Times New Roman"/>
        </w:rPr>
      </w:pPr>
      <w:r>
        <w:rPr>
          <w:rFonts w:ascii="Times New Roman" w:eastAsia="Times New Roman"/>
        </w:rPr>
        <w:t>2</w:t>
      </w:r>
      <w:r>
        <w:rPr>
          <w:spacing w:val="-12"/>
        </w:rPr>
        <w:t>、特别决议，特别决议应当经参加大会的基金份额持有人或其代理人所持表决权的 </w:t>
      </w:r>
      <w:r>
        <w:rPr>
          <w:rFonts w:ascii="Times New Roman" w:eastAsia="Times New Roman"/>
        </w:rPr>
        <w:t>2/3</w:t>
      </w:r>
    </w:p>
    <w:p>
      <w:pPr>
        <w:pStyle w:val="BodyText"/>
        <w:spacing w:before="2"/>
        <w:rPr>
          <w:rFonts w:ascii="Times New Roman"/>
          <w:sz w:val="17"/>
        </w:rPr>
      </w:pPr>
    </w:p>
    <w:p>
      <w:pPr>
        <w:pStyle w:val="BodyText"/>
        <w:ind w:left="540"/>
      </w:pPr>
      <w:r>
        <w:rPr/>
        <w:t>以上</w:t>
      </w:r>
      <w:r>
        <w:rPr>
          <w:spacing w:val="-3"/>
        </w:rPr>
        <w:t>（含 </w:t>
      </w:r>
      <w:r>
        <w:rPr>
          <w:rFonts w:ascii="Times New Roman" w:eastAsia="Times New Roman"/>
        </w:rPr>
        <w:t>2/3</w:t>
      </w:r>
      <w:r>
        <w:rPr/>
        <w:t>）</w:t>
      </w:r>
      <w:r>
        <w:rPr>
          <w:spacing w:val="-3"/>
        </w:rPr>
        <w:t>通过方可做出。转换基金运作方式、更换基金管理人或者基金托管人、终止</w:t>
      </w:r>
    </w:p>
    <w:p>
      <w:pPr>
        <w:pStyle w:val="BodyText"/>
        <w:spacing w:before="7"/>
        <w:rPr>
          <w:sz w:val="15"/>
        </w:rPr>
      </w:pPr>
    </w:p>
    <w:p>
      <w:pPr>
        <w:pStyle w:val="BodyText"/>
        <w:spacing w:line="417" w:lineRule="auto"/>
        <w:ind w:left="960" w:right="2634" w:hanging="420"/>
      </w:pPr>
      <w:r>
        <w:rPr>
          <w:spacing w:val="-12"/>
        </w:rPr>
        <w:t>《基金合同》，本基金与其他基金合并以特别决议通过方为有效。</w:t>
      </w:r>
      <w:r>
        <w:rPr>
          <w:spacing w:val="-6"/>
        </w:rPr>
        <w:t>基金份额持有人大会采取记名方式进行投票表决。</w:t>
      </w:r>
    </w:p>
    <w:p>
      <w:pPr>
        <w:pStyle w:val="BodyText"/>
        <w:spacing w:line="417" w:lineRule="auto"/>
        <w:ind w:left="540" w:right="31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269" w:lineRule="exact"/>
        <w:ind w:left="960"/>
      </w:pPr>
      <w:r>
        <w:rPr/>
        <w:t>基金份额持有人大会的各项提案或同一项提案内并列的各项议题应当分开审议、逐项表</w:t>
      </w:r>
    </w:p>
    <w:p>
      <w:pPr>
        <w:spacing w:after="0" w:line="269" w:lineRule="exact"/>
        <w:sectPr>
          <w:pgSz w:w="11910" w:h="16840"/>
          <w:pgMar w:header="877" w:footer="0" w:top="1420" w:bottom="280" w:left="1260" w:right="1480"/>
        </w:sectPr>
      </w:pPr>
    </w:p>
    <w:p>
      <w:pPr>
        <w:pStyle w:val="BodyText"/>
        <w:spacing w:before="110"/>
        <w:ind w:left="540"/>
      </w:pPr>
      <w:r>
        <w:rPr/>
        <w:t>决。</w:t>
      </w:r>
    </w:p>
    <w:p>
      <w:pPr>
        <w:pStyle w:val="BodyText"/>
        <w:spacing w:before="6"/>
        <w:rPr>
          <w:sz w:val="15"/>
        </w:rPr>
      </w:pPr>
    </w:p>
    <w:p>
      <w:pPr>
        <w:pStyle w:val="BodyText"/>
        <w:ind w:left="960"/>
      </w:pPr>
      <w:r>
        <w:rPr/>
        <w:t>七、计票</w:t>
      </w:r>
    </w:p>
    <w:p>
      <w:pPr>
        <w:pStyle w:val="BodyText"/>
        <w:spacing w:before="7"/>
        <w:rPr>
          <w:sz w:val="15"/>
        </w:rPr>
      </w:pPr>
    </w:p>
    <w:p>
      <w:pPr>
        <w:pStyle w:val="BodyText"/>
        <w:ind w:left="960"/>
      </w:pPr>
      <w:r>
        <w:rPr>
          <w:rFonts w:ascii="Times New Roman" w:eastAsia="Times New Roman"/>
        </w:rPr>
        <w:t>1</w:t>
      </w:r>
      <w:r>
        <w:rPr/>
        <w:t>、现场开会</w:t>
      </w:r>
    </w:p>
    <w:p>
      <w:pPr>
        <w:pStyle w:val="BodyText"/>
        <w:spacing w:before="7"/>
        <w:rPr>
          <w:sz w:val="15"/>
        </w:rPr>
      </w:pPr>
    </w:p>
    <w:p>
      <w:pPr>
        <w:pStyle w:val="ListParagraph"/>
        <w:numPr>
          <w:ilvl w:val="0"/>
          <w:numId w:val="48"/>
        </w:numPr>
        <w:tabs>
          <w:tab w:pos="1490" w:val="left" w:leader="none"/>
        </w:tabs>
        <w:spacing w:line="417" w:lineRule="auto" w:before="0" w:after="0"/>
        <w:ind w:left="540" w:right="31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48"/>
        </w:numPr>
        <w:tabs>
          <w:tab w:pos="1490" w:val="left" w:leader="none"/>
        </w:tabs>
        <w:spacing w:line="417" w:lineRule="auto" w:before="0" w:after="0"/>
        <w:ind w:left="540" w:right="31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48"/>
        </w:numPr>
        <w:tabs>
          <w:tab w:pos="1490" w:val="left" w:leader="none"/>
        </w:tabs>
        <w:spacing w:line="417" w:lineRule="auto" w:before="0" w:after="0"/>
        <w:ind w:left="540" w:right="31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48"/>
        </w:numPr>
        <w:tabs>
          <w:tab w:pos="1490" w:val="left" w:leader="none"/>
        </w:tabs>
        <w:spacing w:line="417" w:lineRule="auto" w:before="0" w:after="0"/>
        <w:ind w:left="540" w:right="313" w:firstLine="419"/>
        <w:jc w:val="left"/>
        <w:rPr>
          <w:sz w:val="21"/>
        </w:rPr>
      </w:pPr>
      <w:r>
        <w:rPr>
          <w:spacing w:val="-3"/>
          <w:sz w:val="21"/>
        </w:rPr>
        <w:t>计票过程应由公证机关予以公证</w:t>
      </w:r>
      <w:r>
        <w:rPr>
          <w:rFonts w:ascii="Times New Roman" w:eastAsia="Times New Roman"/>
          <w:sz w:val="21"/>
        </w:rPr>
        <w:t>,</w:t>
      </w:r>
      <w:r>
        <w:rPr>
          <w:spacing w:val="-4"/>
          <w:sz w:val="21"/>
        </w:rPr>
        <w:t>基金管理人或基金托管人拒不出席大会的，不 </w:t>
      </w:r>
      <w:r>
        <w:rPr>
          <w:spacing w:val="-2"/>
          <w:sz w:val="21"/>
        </w:rPr>
        <w:t>影响计票的效力。</w:t>
      </w:r>
    </w:p>
    <w:p>
      <w:pPr>
        <w:pStyle w:val="BodyText"/>
        <w:spacing w:line="269" w:lineRule="exact"/>
        <w:ind w:left="960"/>
      </w:pPr>
      <w:r>
        <w:rPr>
          <w:rFonts w:ascii="Times New Roman" w:eastAsia="Times New Roman"/>
        </w:rPr>
        <w:t>2</w:t>
      </w:r>
      <w:r>
        <w:rPr/>
        <w:t>、通讯开会</w:t>
      </w:r>
    </w:p>
    <w:p>
      <w:pPr>
        <w:pStyle w:val="BodyText"/>
        <w:spacing w:before="6"/>
        <w:rPr>
          <w:sz w:val="15"/>
        </w:rPr>
      </w:pPr>
    </w:p>
    <w:p>
      <w:pPr>
        <w:pStyle w:val="BodyText"/>
        <w:spacing w:line="417" w:lineRule="auto"/>
        <w:ind w:left="540" w:right="31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ind w:left="960"/>
      </w:pPr>
      <w:r>
        <w:rPr/>
        <w:t>八、生效与公告</w:t>
      </w:r>
    </w:p>
    <w:p>
      <w:pPr>
        <w:pStyle w:val="BodyText"/>
        <w:spacing w:before="6"/>
        <w:rPr>
          <w:sz w:val="15"/>
        </w:rPr>
      </w:pPr>
    </w:p>
    <w:p>
      <w:pPr>
        <w:pStyle w:val="BodyText"/>
        <w:spacing w:line="417" w:lineRule="auto" w:before="1"/>
        <w:ind w:left="960" w:right="57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spacing w:line="417" w:lineRule="auto"/>
        <w:ind w:left="540" w:right="314" w:firstLine="419"/>
      </w:pPr>
      <w:r>
        <w:rPr/>
        <w:t>基金份额持有人大会决议自生效之日起 </w:t>
      </w:r>
      <w:r>
        <w:rPr>
          <w:rFonts w:ascii="Times New Roman" w:eastAsia="Times New Roman"/>
        </w:rPr>
        <w:t>2 </w:t>
      </w:r>
      <w:r>
        <w:rPr/>
        <w:t>个工作日内按照法律法规和中国证监会相关规定的要求在指定媒介上公告。</w:t>
      </w:r>
    </w:p>
    <w:p>
      <w:pPr>
        <w:pStyle w:val="BodyText"/>
        <w:spacing w:line="417" w:lineRule="auto"/>
        <w:ind w:left="540" w:right="10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pStyle w:val="BodyText"/>
        <w:ind w:left="960"/>
      </w:pPr>
      <w:r>
        <w:rPr/>
        <w:t>九、法律法规或监管部门对基金份额持有人大会另有规定的，从其规定。</w:t>
      </w:r>
    </w:p>
    <w:p>
      <w:pPr>
        <w:spacing w:after="0"/>
        <w:sectPr>
          <w:pgSz w:w="11910" w:h="16840"/>
          <w:pgMar w:header="877" w:footer="0" w:top="1420" w:bottom="280" w:left="1260" w:right="1480"/>
        </w:sectPr>
      </w:pPr>
    </w:p>
    <w:p>
      <w:pPr>
        <w:spacing w:line="417" w:lineRule="auto" w:before="110"/>
        <w:ind w:left="960" w:right="1305" w:firstLine="571"/>
        <w:jc w:val="both"/>
        <w:rPr>
          <w:sz w:val="21"/>
        </w:rPr>
      </w:pPr>
      <w:r>
        <w:rPr>
          <w:b/>
          <w:spacing w:val="-4"/>
          <w:sz w:val="21"/>
        </w:rPr>
        <w:t>第三部分 基金合同解除和终止的事由、程序以及基金财产清算方式</w:t>
      </w:r>
      <w:r>
        <w:rPr>
          <w:spacing w:val="-13"/>
          <w:sz w:val="21"/>
        </w:rPr>
        <w:t>一、《基金合同》的变更</w:t>
      </w:r>
    </w:p>
    <w:p>
      <w:pPr>
        <w:pStyle w:val="BodyText"/>
        <w:spacing w:line="417" w:lineRule="auto"/>
        <w:ind w:left="540" w:right="311" w:firstLine="631"/>
        <w:jc w:val="both"/>
      </w:pPr>
      <w:r>
        <w:rPr>
          <w:rFonts w:ascii="Times New Roman" w:eastAsia="Times New Roman"/>
        </w:rPr>
        <w:t>1</w:t>
      </w:r>
      <w:r>
        <w:rPr>
          <w:spacing w:val="-3"/>
        </w:rPr>
        <w:t>、变更基金合同涉及法律法规规定或本合同约定应经基金份额持有人大会决议通过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ind w:left="540" w:right="311" w:firstLine="525"/>
      </w:pPr>
      <w:r>
        <w:rPr>
          <w:rFonts w:ascii="Times New Roman" w:eastAsia="Times New Roman"/>
        </w:rPr>
        <w:t>2</w:t>
      </w:r>
      <w:r>
        <w:rPr>
          <w:spacing w:val="-11"/>
        </w:rPr>
        <w:t>、关于《基金合同》变更的基金份额持有人大会决议，自表决通过之日起生效，自决</w:t>
      </w:r>
      <w:r>
        <w:rPr>
          <w:spacing w:val="-6"/>
        </w:rPr>
        <w:t>议生效后两日内在指定媒介公告。</w:t>
      </w:r>
    </w:p>
    <w:p>
      <w:pPr>
        <w:pStyle w:val="BodyText"/>
        <w:ind w:left="960"/>
      </w:pPr>
      <w:r>
        <w:rPr/>
        <w:t>二、《基金合同》的终止事由</w:t>
      </w:r>
    </w:p>
    <w:p>
      <w:pPr>
        <w:pStyle w:val="BodyText"/>
        <w:spacing w:before="6"/>
        <w:rPr>
          <w:sz w:val="15"/>
        </w:rPr>
      </w:pPr>
    </w:p>
    <w:p>
      <w:pPr>
        <w:pStyle w:val="BodyText"/>
        <w:ind w:left="960"/>
      </w:pPr>
      <w:r>
        <w:rPr/>
        <w:t>有下列情形之一的，《基金合同》应当终止：</w:t>
      </w:r>
    </w:p>
    <w:p>
      <w:pPr>
        <w:pStyle w:val="BodyText"/>
        <w:spacing w:before="6"/>
        <w:rPr>
          <w:sz w:val="15"/>
        </w:rPr>
      </w:pPr>
    </w:p>
    <w:p>
      <w:pPr>
        <w:pStyle w:val="BodyText"/>
        <w:spacing w:before="1"/>
        <w:ind w:left="960"/>
      </w:pPr>
      <w:r>
        <w:rPr>
          <w:rFonts w:ascii="Times New Roman" w:eastAsia="Times New Roman"/>
        </w:rPr>
        <w:t>1</w:t>
      </w:r>
      <w:r>
        <w:rPr/>
        <w:t>、基金份额持有人大会决定终止的；</w:t>
      </w:r>
    </w:p>
    <w:p>
      <w:pPr>
        <w:pStyle w:val="BodyText"/>
        <w:spacing w:before="6"/>
        <w:rPr>
          <w:sz w:val="15"/>
        </w:rPr>
      </w:pPr>
    </w:p>
    <w:p>
      <w:pPr>
        <w:pStyle w:val="BodyText"/>
        <w:spacing w:line="417" w:lineRule="auto"/>
        <w:ind w:left="540" w:right="2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960"/>
      </w:pPr>
      <w:r>
        <w:rPr>
          <w:rFonts w:ascii="Times New Roman" w:eastAsia="Times New Roman"/>
        </w:rPr>
        <w:t>3</w:t>
      </w:r>
      <w:r>
        <w:rPr/>
        <w:t>、《基金合同》约定的其他情形；</w:t>
      </w:r>
    </w:p>
    <w:p>
      <w:pPr>
        <w:pStyle w:val="BodyText"/>
        <w:spacing w:before="7"/>
        <w:rPr>
          <w:sz w:val="15"/>
        </w:rPr>
      </w:pPr>
    </w:p>
    <w:p>
      <w:pPr>
        <w:pStyle w:val="BodyText"/>
        <w:spacing w:line="417" w:lineRule="auto"/>
        <w:ind w:left="960" w:right="3686"/>
      </w:pPr>
      <w:r>
        <w:rPr>
          <w:rFonts w:ascii="Times New Roman" w:eastAsia="Times New Roman"/>
        </w:rPr>
        <w:t>4</w:t>
      </w:r>
      <w:r>
        <w:rPr/>
        <w:t>、相关法律法规和中国证监会规定的其他情况。三、基金财产的清算</w:t>
      </w:r>
    </w:p>
    <w:p>
      <w:pPr>
        <w:pStyle w:val="BodyText"/>
        <w:spacing w:line="417" w:lineRule="auto"/>
        <w:ind w:left="54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40" w:right="3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960"/>
      </w:pPr>
      <w:r>
        <w:rPr>
          <w:rFonts w:ascii="Times New Roman" w:eastAsia="Times New Roman"/>
        </w:rPr>
        <w:t>4</w:t>
      </w:r>
      <w:r>
        <w:rPr/>
        <w:t>、基金财产清算程序：</w:t>
      </w:r>
    </w:p>
    <w:p>
      <w:pPr>
        <w:pStyle w:val="BodyText"/>
        <w:spacing w:before="6"/>
        <w:rPr>
          <w:sz w:val="15"/>
        </w:rPr>
      </w:pPr>
    </w:p>
    <w:p>
      <w:pPr>
        <w:pStyle w:val="ListParagraph"/>
        <w:numPr>
          <w:ilvl w:val="0"/>
          <w:numId w:val="49"/>
        </w:numPr>
        <w:tabs>
          <w:tab w:pos="1490" w:val="left" w:leader="none"/>
        </w:tabs>
        <w:spacing w:line="240" w:lineRule="auto" w:before="0" w:after="0"/>
        <w:ind w:left="148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49"/>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49"/>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6"/>
        <w:rPr>
          <w:sz w:val="15"/>
        </w:rPr>
      </w:pPr>
    </w:p>
    <w:p>
      <w:pPr>
        <w:pStyle w:val="ListParagraph"/>
        <w:numPr>
          <w:ilvl w:val="0"/>
          <w:numId w:val="49"/>
        </w:numPr>
        <w:tabs>
          <w:tab w:pos="1490" w:val="left" w:leader="none"/>
        </w:tabs>
        <w:spacing w:line="240" w:lineRule="auto" w:before="1" w:after="0"/>
        <w:ind w:left="1489" w:right="0" w:hanging="530"/>
        <w:jc w:val="left"/>
        <w:rPr>
          <w:sz w:val="21"/>
        </w:rPr>
      </w:pPr>
      <w:r>
        <w:rPr>
          <w:spacing w:val="-3"/>
          <w:sz w:val="21"/>
        </w:rPr>
        <w:t>制作清算报告；</w:t>
      </w:r>
    </w:p>
    <w:p>
      <w:pPr>
        <w:pStyle w:val="BodyText"/>
        <w:spacing w:before="6"/>
        <w:rPr>
          <w:sz w:val="15"/>
        </w:rPr>
      </w:pPr>
    </w:p>
    <w:p>
      <w:pPr>
        <w:pStyle w:val="ListParagraph"/>
        <w:numPr>
          <w:ilvl w:val="0"/>
          <w:numId w:val="49"/>
        </w:numPr>
        <w:tabs>
          <w:tab w:pos="1490" w:val="left" w:leader="none"/>
        </w:tabs>
        <w:spacing w:line="417" w:lineRule="auto" w:before="0" w:after="0"/>
        <w:ind w:left="54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49"/>
        </w:numPr>
        <w:tabs>
          <w:tab w:pos="1490" w:val="left" w:leader="none"/>
        </w:tabs>
        <w:spacing w:line="240" w:lineRule="auto" w:before="0" w:after="0"/>
        <w:ind w:left="1489" w:right="0" w:hanging="530"/>
        <w:jc w:val="left"/>
        <w:rPr>
          <w:sz w:val="21"/>
        </w:rPr>
      </w:pPr>
      <w:r>
        <w:rPr>
          <w:spacing w:val="-3"/>
          <w:sz w:val="21"/>
        </w:rPr>
        <w:t>将清算报告报中国证监会备案并公告。</w:t>
      </w:r>
    </w:p>
    <w:p>
      <w:pPr>
        <w:spacing w:after="0" w:line="240" w:lineRule="auto"/>
        <w:jc w:val="left"/>
        <w:rPr>
          <w:sz w:val="21"/>
        </w:rPr>
        <w:sectPr>
          <w:pgSz w:w="11910" w:h="16840"/>
          <w:pgMar w:header="877" w:footer="0" w:top="1420" w:bottom="280" w:left="1260" w:right="1480"/>
        </w:sectPr>
      </w:pPr>
    </w:p>
    <w:p>
      <w:pPr>
        <w:pStyle w:val="ListParagraph"/>
        <w:numPr>
          <w:ilvl w:val="0"/>
          <w:numId w:val="49"/>
        </w:numPr>
        <w:tabs>
          <w:tab w:pos="1490" w:val="left" w:leader="none"/>
        </w:tabs>
        <w:spacing w:line="240" w:lineRule="auto" w:before="110" w:after="0"/>
        <w:ind w:left="1489" w:right="0" w:hanging="530"/>
        <w:jc w:val="left"/>
        <w:rPr>
          <w:sz w:val="21"/>
        </w:rPr>
      </w:pPr>
      <w:r>
        <w:rPr>
          <w:spacing w:val="-3"/>
          <w:sz w:val="21"/>
        </w:rPr>
        <w:t>对基金财产进行分配；</w:t>
      </w:r>
    </w:p>
    <w:p>
      <w:pPr>
        <w:pStyle w:val="BodyText"/>
        <w:spacing w:before="6"/>
        <w:rPr>
          <w:sz w:val="15"/>
        </w:rPr>
      </w:pPr>
    </w:p>
    <w:p>
      <w:pPr>
        <w:pStyle w:val="BodyText"/>
        <w:spacing w:line="417" w:lineRule="auto"/>
        <w:ind w:left="960" w:right="4883"/>
      </w:pPr>
      <w:r>
        <w:rPr>
          <w:rFonts w:ascii="Times New Roman" w:eastAsia="Times New Roman"/>
        </w:rPr>
        <w:t>5</w:t>
      </w:r>
      <w:r>
        <w:rPr/>
        <w:t>、基金财产清算的期限为 </w:t>
      </w:r>
      <w:r>
        <w:rPr>
          <w:rFonts w:ascii="Times New Roman" w:eastAsia="Times New Roman"/>
        </w:rPr>
        <w:t>6 </w:t>
      </w:r>
      <w:r>
        <w:rPr/>
        <w:t>个月。四、清算费用</w:t>
      </w:r>
    </w:p>
    <w:p>
      <w:pPr>
        <w:pStyle w:val="BodyText"/>
        <w:spacing w:line="417" w:lineRule="auto"/>
        <w:ind w:left="540" w:right="31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960"/>
      </w:pPr>
      <w:r>
        <w:rPr/>
        <w:t>五、基金财产清算剩余资产的分配</w:t>
      </w:r>
    </w:p>
    <w:p>
      <w:pPr>
        <w:pStyle w:val="BodyText"/>
        <w:spacing w:before="7"/>
        <w:rPr>
          <w:sz w:val="15"/>
        </w:rPr>
      </w:pPr>
    </w:p>
    <w:p>
      <w:pPr>
        <w:pStyle w:val="BodyText"/>
        <w:spacing w:line="417" w:lineRule="auto"/>
        <w:ind w:left="540" w:right="31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ind w:left="960"/>
      </w:pPr>
      <w:r>
        <w:rPr/>
        <w:t>六、基金财产清算的公告</w:t>
      </w:r>
    </w:p>
    <w:p>
      <w:pPr>
        <w:pStyle w:val="BodyText"/>
        <w:spacing w:before="7"/>
        <w:rPr>
          <w:sz w:val="15"/>
        </w:rPr>
      </w:pPr>
    </w:p>
    <w:p>
      <w:pPr>
        <w:pStyle w:val="BodyText"/>
        <w:spacing w:line="417" w:lineRule="auto"/>
        <w:ind w:left="540" w:right="31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960"/>
      </w:pPr>
      <w:r>
        <w:rPr/>
        <w:t>七、基金财产清算账册及文件的保存</w:t>
      </w:r>
    </w:p>
    <w:p>
      <w:pPr>
        <w:pStyle w:val="BodyText"/>
        <w:spacing w:before="6"/>
        <w:rPr>
          <w:sz w:val="15"/>
        </w:rPr>
      </w:pPr>
    </w:p>
    <w:p>
      <w:pPr>
        <w:pStyle w:val="BodyText"/>
        <w:spacing w:before="1"/>
        <w:ind w:left="960"/>
      </w:pPr>
      <w:r>
        <w:rPr/>
        <w:t>基金财产清算账册及有关文件由基金托管人保存 </w:t>
      </w:r>
      <w:r>
        <w:rPr>
          <w:rFonts w:ascii="Times New Roman" w:eastAsia="Times New Roman"/>
        </w:rPr>
        <w:t>15 </w:t>
      </w:r>
      <w:r>
        <w:rPr/>
        <w:t>年以上。</w:t>
      </w:r>
    </w:p>
    <w:p>
      <w:pPr>
        <w:pStyle w:val="BodyText"/>
        <w:spacing w:before="7"/>
        <w:rPr>
          <w:sz w:val="15"/>
        </w:rPr>
      </w:pPr>
    </w:p>
    <w:p>
      <w:pPr>
        <w:spacing w:before="0"/>
        <w:ind w:left="3533" w:right="0" w:firstLine="0"/>
        <w:jc w:val="both"/>
        <w:rPr>
          <w:b/>
          <w:sz w:val="21"/>
        </w:rPr>
      </w:pPr>
      <w:r>
        <w:rPr>
          <w:b/>
          <w:sz w:val="21"/>
        </w:rPr>
        <w:t>第四部分 争议解决方式</w:t>
      </w:r>
    </w:p>
    <w:p>
      <w:pPr>
        <w:pStyle w:val="BodyText"/>
        <w:spacing w:before="6"/>
        <w:rPr>
          <w:b/>
          <w:sz w:val="15"/>
        </w:rPr>
      </w:pPr>
    </w:p>
    <w:p>
      <w:pPr>
        <w:pStyle w:val="BodyText"/>
        <w:spacing w:line="417" w:lineRule="auto" w:before="1"/>
        <w:ind w:left="540" w:right="311" w:firstLine="419"/>
        <w:jc w:val="both"/>
      </w:pPr>
      <w:r>
        <w:rPr>
          <w:spacing w:val="-11"/>
        </w:rPr>
        <w:t>各方当事人同意，因《基金合同》而产生的或与《基金合同》有关的一切争议，如经友</w:t>
      </w:r>
      <w:r>
        <w:rPr>
          <w:spacing w:val="-12"/>
        </w:rPr>
        <w:t>好协商未能解决的，应提交中国国际经济贸易仲裁委员会，根据该会当时有效的仲裁规则进行仲裁，仲裁地点为北京，仲裁裁决是终局性的并对各方当事人具有约束力，仲裁费由败诉</w:t>
      </w:r>
      <w:r>
        <w:rPr>
          <w:spacing w:val="-7"/>
        </w:rPr>
        <w:t>方承担。</w:t>
      </w:r>
    </w:p>
    <w:p>
      <w:pPr>
        <w:pStyle w:val="BodyText"/>
        <w:spacing w:line="417" w:lineRule="auto"/>
        <w:ind w:left="540" w:right="311" w:firstLine="419"/>
      </w:pPr>
      <w:r>
        <w:rPr>
          <w:spacing w:val="-9"/>
        </w:rPr>
        <w:t>争议处理期间，各方当事人应恪守各自的职责，继续忠实、勤勉、尽责地履行基金合同</w:t>
      </w:r>
      <w:r>
        <w:rPr>
          <w:spacing w:val="-5"/>
        </w:rPr>
        <w:t>规定的义务，维护基金份额持有人的合法权益。</w:t>
      </w:r>
    </w:p>
    <w:p>
      <w:pPr>
        <w:pStyle w:val="BodyText"/>
        <w:ind w:left="960"/>
      </w:pPr>
      <w:r>
        <w:rPr/>
        <w:t>《基金合同》受中国法律管辖。</w:t>
      </w:r>
    </w:p>
    <w:p>
      <w:pPr>
        <w:pStyle w:val="BodyText"/>
        <w:spacing w:before="6"/>
        <w:rPr>
          <w:sz w:val="15"/>
        </w:rPr>
      </w:pPr>
    </w:p>
    <w:p>
      <w:pPr>
        <w:tabs>
          <w:tab w:pos="3111" w:val="left" w:leader="none"/>
        </w:tabs>
        <w:spacing w:before="0"/>
        <w:ind w:left="2057" w:right="0" w:firstLine="0"/>
        <w:jc w:val="left"/>
        <w:rPr>
          <w:b/>
          <w:sz w:val="21"/>
        </w:rPr>
      </w:pPr>
      <w:r>
        <w:rPr>
          <w:b/>
          <w:sz w:val="21"/>
        </w:rPr>
        <w:t>第五部分</w:t>
        <w:tab/>
        <w:t>基金合同存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6"/>
        <w:rPr>
          <w:b/>
          <w:sz w:val="15"/>
        </w:rPr>
      </w:pPr>
    </w:p>
    <w:p>
      <w:pPr>
        <w:pStyle w:val="BodyText"/>
        <w:spacing w:line="417" w:lineRule="auto" w:before="1"/>
        <w:ind w:left="540" w:right="311" w:firstLine="419"/>
      </w:pPr>
      <w:r>
        <w:rPr>
          <w:spacing w:val="-10"/>
        </w:rPr>
        <w:t>《基金合同》可印制成册，供投资者在基金管理人、基金托管人、销售机构的办公场所</w:t>
      </w:r>
      <w:r>
        <w:rPr>
          <w:spacing w:val="-5"/>
        </w:rPr>
        <w:t>和营业场所查阅。</w:t>
      </w:r>
    </w:p>
    <w:p>
      <w:pPr>
        <w:pStyle w:val="BodyText"/>
        <w:spacing w:line="417" w:lineRule="auto"/>
        <w:ind w:left="540" w:right="311" w:firstLine="419"/>
      </w:pPr>
      <w:r>
        <w:rPr>
          <w:spacing w:val="-10"/>
        </w:rPr>
        <w:t>依法必须披露的信息发布后，基金管理人、基金托管人应当按照相关法律法规规定将信</w:t>
      </w:r>
      <w:r>
        <w:rPr>
          <w:spacing w:val="-5"/>
        </w:rPr>
        <w:t>息置备于公司住所，供社会公众查阅、复制。</w:t>
      </w:r>
    </w:p>
    <w:p>
      <w:pPr>
        <w:spacing w:after="0" w:line="417" w:lineRule="auto"/>
        <w:sectPr>
          <w:pgSz w:w="11910" w:h="16840"/>
          <w:pgMar w:header="877" w:footer="0" w:top="1420" w:bottom="280" w:left="1260" w:right="1480"/>
        </w:sectPr>
      </w:pPr>
    </w:p>
    <w:p>
      <w:pPr>
        <w:pStyle w:val="Heading1"/>
        <w:spacing w:before="110"/>
        <w:ind w:left="2459" w:right="2240"/>
      </w:pPr>
      <w:bookmarkStart w:name="_bookmark19" w:id="20"/>
      <w:bookmarkEnd w:id="20"/>
      <w:r>
        <w:rPr>
          <w:b w:val="0"/>
        </w:rPr>
      </w:r>
      <w:r>
        <w:rPr/>
        <w:t>二十、基金托管协议的内容摘要</w:t>
      </w:r>
    </w:p>
    <w:p>
      <w:pPr>
        <w:pStyle w:val="BodyText"/>
        <w:rPr>
          <w:b/>
          <w:sz w:val="20"/>
        </w:rPr>
      </w:pPr>
    </w:p>
    <w:p>
      <w:pPr>
        <w:pStyle w:val="BodyText"/>
        <w:spacing w:before="2"/>
        <w:rPr>
          <w:b/>
        </w:rPr>
      </w:pPr>
    </w:p>
    <w:p>
      <w:pPr>
        <w:pStyle w:val="BodyText"/>
        <w:ind w:left="960"/>
      </w:pPr>
      <w:r>
        <w:rPr/>
        <w:t>以下内容摘自《华夏鼎茂债券型证券投资基金托管协议》。</w:t>
      </w:r>
    </w:p>
    <w:p>
      <w:pPr>
        <w:pStyle w:val="BodyText"/>
        <w:spacing w:before="7"/>
        <w:rPr>
          <w:sz w:val="15"/>
        </w:rPr>
      </w:pPr>
    </w:p>
    <w:p>
      <w:pPr>
        <w:spacing w:before="0"/>
        <w:ind w:left="2461" w:right="2237" w:firstLine="0"/>
        <w:jc w:val="center"/>
        <w:rPr>
          <w:b/>
          <w:sz w:val="21"/>
        </w:rPr>
      </w:pPr>
      <w:r>
        <w:rPr>
          <w:b/>
          <w:sz w:val="21"/>
        </w:rPr>
        <w:t>一、托管协议当事人</w:t>
      </w:r>
    </w:p>
    <w:p>
      <w:pPr>
        <w:pStyle w:val="BodyText"/>
        <w:spacing w:before="6"/>
        <w:rPr>
          <w:b/>
          <w:sz w:val="15"/>
        </w:rPr>
      </w:pPr>
    </w:p>
    <w:p>
      <w:pPr>
        <w:pStyle w:val="BodyText"/>
        <w:spacing w:before="1"/>
        <w:ind w:left="960"/>
      </w:pPr>
      <w:r>
        <w:rPr/>
        <w:t>（一）基金管理人</w:t>
      </w:r>
    </w:p>
    <w:p>
      <w:pPr>
        <w:pStyle w:val="BodyText"/>
        <w:spacing w:before="6"/>
        <w:rPr>
          <w:sz w:val="15"/>
        </w:rPr>
      </w:pPr>
    </w:p>
    <w:p>
      <w:pPr>
        <w:pStyle w:val="BodyText"/>
        <w:ind w:left="960"/>
      </w:pPr>
      <w:r>
        <w:rPr/>
        <w:t>名称：华夏基金管理有限公司</w:t>
      </w:r>
    </w:p>
    <w:p>
      <w:pPr>
        <w:pStyle w:val="BodyText"/>
        <w:spacing w:before="7"/>
        <w:rPr>
          <w:sz w:val="15"/>
        </w:rPr>
      </w:pPr>
    </w:p>
    <w:p>
      <w:pPr>
        <w:pStyle w:val="BodyText"/>
        <w:spacing w:line="417" w:lineRule="auto"/>
        <w:ind w:left="960" w:right="4569"/>
      </w:pPr>
      <w:r>
        <w:rPr/>
        <w:t>住所：北京市顺义区安庆大街甲 </w:t>
      </w:r>
      <w:r>
        <w:rPr>
          <w:rFonts w:ascii="Times New Roman" w:eastAsia="Times New Roman"/>
        </w:rPr>
        <w:t>3 </w:t>
      </w:r>
      <w:r>
        <w:rPr/>
        <w:t>号院法定代表人：杨明辉</w:t>
      </w:r>
    </w:p>
    <w:p>
      <w:pPr>
        <w:pStyle w:val="BodyText"/>
        <w:ind w:left="960"/>
      </w:pPr>
      <w:r>
        <w:rPr/>
        <w:t>成立时间：</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960" w:right="2128"/>
      </w:pPr>
      <w:r>
        <w:rPr/>
        <w:t>批准设立机关及批准设立文号：中国证监会证监基字</w:t>
      </w:r>
      <w:r>
        <w:rPr>
          <w:rFonts w:ascii="Times New Roman" w:eastAsia="Times New Roman"/>
        </w:rPr>
        <w:t>[1998]16 </w:t>
      </w:r>
      <w:r>
        <w:rPr/>
        <w:t>号文注册资本：</w:t>
      </w:r>
      <w:r>
        <w:rPr>
          <w:rFonts w:ascii="Times New Roman" w:eastAsia="Times New Roman"/>
        </w:rPr>
        <w:t>2.38 </w:t>
      </w:r>
      <w:r>
        <w:rPr/>
        <w:t>亿元</w:t>
      </w:r>
    </w:p>
    <w:p>
      <w:pPr>
        <w:pStyle w:val="BodyText"/>
        <w:spacing w:line="417" w:lineRule="auto"/>
        <w:ind w:left="960" w:right="5995"/>
      </w:pPr>
      <w:r>
        <w:rPr/>
        <w:t>组织形式:有限责任公司存续期间：</w:t>
      </w:r>
      <w:r>
        <w:rPr>
          <w:rFonts w:ascii="Times New Roman" w:eastAsia="Times New Roman"/>
        </w:rPr>
        <w:t>100 </w:t>
      </w:r>
      <w:r>
        <w:rPr/>
        <w:t>年</w:t>
      </w:r>
    </w:p>
    <w:p>
      <w:pPr>
        <w:pStyle w:val="BodyText"/>
        <w:spacing w:line="417" w:lineRule="auto"/>
        <w:ind w:left="540" w:right="311" w:firstLine="419"/>
      </w:pPr>
      <w:r>
        <w:rPr>
          <w:spacing w:val="-25"/>
          <w:w w:val="100"/>
        </w:rPr>
        <w:t>经营范围：</w:t>
      </w:r>
      <w:r>
        <w:rPr>
          <w:w w:val="100"/>
        </w:rPr>
        <w:t>（一</w:t>
      </w:r>
      <w:r>
        <w:rPr>
          <w:spacing w:val="-15"/>
          <w:w w:val="100"/>
        </w:rPr>
        <w:t>）</w:t>
      </w:r>
      <w:r>
        <w:rPr>
          <w:spacing w:val="-26"/>
          <w:w w:val="100"/>
        </w:rPr>
        <w:t>基金募集；</w:t>
      </w:r>
      <w:r>
        <w:rPr>
          <w:w w:val="100"/>
        </w:rPr>
        <w:t>（</w:t>
      </w:r>
      <w:r>
        <w:rPr>
          <w:spacing w:val="-3"/>
          <w:w w:val="100"/>
        </w:rPr>
        <w:t>二</w:t>
      </w:r>
      <w:r>
        <w:rPr>
          <w:spacing w:val="-13"/>
          <w:w w:val="100"/>
        </w:rPr>
        <w:t>）</w:t>
      </w:r>
      <w:r>
        <w:rPr>
          <w:spacing w:val="-26"/>
          <w:w w:val="100"/>
        </w:rPr>
        <w:t>基金销售；</w:t>
      </w:r>
      <w:r>
        <w:rPr>
          <w:spacing w:val="-3"/>
          <w:w w:val="100"/>
        </w:rPr>
        <w:t>（</w:t>
      </w:r>
      <w:r>
        <w:rPr>
          <w:w w:val="100"/>
        </w:rPr>
        <w:t>三</w:t>
      </w:r>
      <w:r>
        <w:rPr>
          <w:spacing w:val="-15"/>
          <w:w w:val="100"/>
        </w:rPr>
        <w:t>）</w:t>
      </w:r>
      <w:r>
        <w:rPr>
          <w:spacing w:val="-25"/>
          <w:w w:val="100"/>
        </w:rPr>
        <w:t>资产管理；</w:t>
      </w:r>
      <w:r>
        <w:rPr>
          <w:w w:val="100"/>
        </w:rPr>
        <w:t>（四</w:t>
      </w:r>
      <w:r>
        <w:rPr>
          <w:spacing w:val="-15"/>
          <w:w w:val="100"/>
        </w:rPr>
        <w:t>）</w:t>
      </w:r>
      <w:r>
        <w:rPr>
          <w:spacing w:val="-3"/>
          <w:w w:val="100"/>
        </w:rPr>
        <w:t>从事特定客户资产</w:t>
      </w:r>
      <w:r>
        <w:rPr>
          <w:spacing w:val="-24"/>
          <w:w w:val="100"/>
        </w:rPr>
        <w:t>管理业务；</w:t>
      </w:r>
      <w:r>
        <w:rPr>
          <w:w w:val="100"/>
        </w:rPr>
        <w:t>（</w:t>
      </w:r>
      <w:r>
        <w:rPr>
          <w:spacing w:val="-3"/>
          <w:w w:val="100"/>
        </w:rPr>
        <w:t>五</w:t>
      </w:r>
      <w:r>
        <w:rPr>
          <w:w w:val="100"/>
        </w:rPr>
        <w:t>）</w:t>
      </w:r>
      <w:r>
        <w:rPr>
          <w:spacing w:val="-3"/>
          <w:w w:val="100"/>
        </w:rPr>
        <w:t>中国证监会核准的其他业务。</w:t>
      </w:r>
    </w:p>
    <w:p>
      <w:pPr>
        <w:pStyle w:val="BodyText"/>
        <w:ind w:left="960"/>
      </w:pPr>
      <w:r>
        <w:rPr/>
        <w:t>（二）基金托管人</w:t>
      </w:r>
    </w:p>
    <w:p>
      <w:pPr>
        <w:pStyle w:val="BodyText"/>
        <w:spacing w:before="6"/>
        <w:rPr>
          <w:sz w:val="15"/>
        </w:rPr>
      </w:pPr>
    </w:p>
    <w:p>
      <w:pPr>
        <w:pStyle w:val="BodyText"/>
        <w:ind w:left="960"/>
        <w:rPr>
          <w:rFonts w:ascii="Times New Roman" w:eastAsia="Times New Roman"/>
        </w:rPr>
      </w:pPr>
      <w:r>
        <w:rPr/>
        <w:t>名称：招商银行股份有限公司</w:t>
      </w:r>
      <w:r>
        <w:rPr>
          <w:rFonts w:ascii="Times New Roman" w:eastAsia="Times New Roman"/>
        </w:rPr>
        <w:t>(</w:t>
      </w:r>
      <w:r>
        <w:rPr/>
        <w:t>简称：招商银行</w:t>
      </w:r>
      <w:r>
        <w:rPr>
          <w:rFonts w:ascii="Times New Roman" w:eastAsia="Times New Roman"/>
        </w:rPr>
        <w:t>)</w:t>
      </w:r>
    </w:p>
    <w:p>
      <w:pPr>
        <w:pStyle w:val="BodyText"/>
        <w:spacing w:before="4"/>
        <w:rPr>
          <w:rFonts w:ascii="Times New Roman"/>
          <w:sz w:val="17"/>
        </w:rPr>
      </w:pPr>
    </w:p>
    <w:p>
      <w:pPr>
        <w:pStyle w:val="BodyText"/>
        <w:ind w:left="960"/>
      </w:pPr>
      <w:r>
        <w:rPr/>
        <w:t>住所：深圳市福田区深南大道 </w:t>
      </w:r>
      <w:r>
        <w:rPr>
          <w:rFonts w:ascii="Times New Roman" w:eastAsia="Times New Roman"/>
        </w:rPr>
        <w:t>7088 </w:t>
      </w:r>
      <w:r>
        <w:rPr/>
        <w:t>号招商银行大厦</w:t>
      </w:r>
    </w:p>
    <w:p>
      <w:pPr>
        <w:pStyle w:val="BodyText"/>
        <w:spacing w:before="6"/>
        <w:rPr>
          <w:sz w:val="15"/>
        </w:rPr>
      </w:pPr>
    </w:p>
    <w:p>
      <w:pPr>
        <w:pStyle w:val="BodyText"/>
        <w:spacing w:line="417" w:lineRule="auto"/>
        <w:ind w:left="960" w:right="2993"/>
        <w:rPr>
          <w:rFonts w:ascii="Times New Roman" w:eastAsia="Times New Roman"/>
        </w:rPr>
      </w:pPr>
      <w:r>
        <w:rPr/>
        <w:t>办公地址：深圳市福田区深南大道 </w:t>
      </w:r>
      <w:r>
        <w:rPr>
          <w:rFonts w:ascii="Times New Roman" w:eastAsia="Times New Roman"/>
        </w:rPr>
        <w:t>7088 </w:t>
      </w:r>
      <w:r>
        <w:rPr/>
        <w:t>号招商银行大厦邮政编码：</w:t>
      </w:r>
      <w:r>
        <w:rPr>
          <w:rFonts w:ascii="Times New Roman" w:eastAsia="Times New Roman"/>
        </w:rPr>
        <w:t>518040</w:t>
      </w:r>
    </w:p>
    <w:p>
      <w:pPr>
        <w:pStyle w:val="BodyText"/>
        <w:spacing w:line="269" w:lineRule="exact"/>
        <w:ind w:left="960"/>
      </w:pPr>
      <w:r>
        <w:rPr/>
        <w:t>法定代表人：李建红</w:t>
      </w:r>
    </w:p>
    <w:p>
      <w:pPr>
        <w:pStyle w:val="BodyText"/>
        <w:spacing w:before="7"/>
        <w:rPr>
          <w:sz w:val="15"/>
        </w:rPr>
      </w:pPr>
    </w:p>
    <w:p>
      <w:pPr>
        <w:pStyle w:val="BodyText"/>
        <w:ind w:left="960"/>
      </w:pPr>
      <w:r>
        <w:rPr/>
        <w:t>成立时间：</w:t>
      </w:r>
      <w:r>
        <w:rPr>
          <w:rFonts w:ascii="Times New Roman" w:eastAsia="Times New Roman"/>
        </w:rPr>
        <w:t>1987 </w:t>
      </w:r>
      <w:r>
        <w:rPr/>
        <w:t>年 </w:t>
      </w:r>
      <w:r>
        <w:rPr>
          <w:rFonts w:ascii="Times New Roman" w:eastAsia="Times New Roman"/>
        </w:rPr>
        <w:t>4 </w:t>
      </w:r>
      <w:r>
        <w:rPr/>
        <w:t>月 </w:t>
      </w:r>
      <w:r>
        <w:rPr>
          <w:rFonts w:ascii="Times New Roman" w:eastAsia="Times New Roman"/>
        </w:rPr>
        <w:t>8 </w:t>
      </w:r>
      <w:r>
        <w:rPr/>
        <w:t>日</w:t>
      </w:r>
    </w:p>
    <w:p>
      <w:pPr>
        <w:pStyle w:val="BodyText"/>
        <w:spacing w:before="7"/>
        <w:rPr>
          <w:sz w:val="15"/>
        </w:rPr>
      </w:pPr>
    </w:p>
    <w:p>
      <w:pPr>
        <w:pStyle w:val="BodyText"/>
        <w:spacing w:line="417" w:lineRule="auto" w:before="1"/>
        <w:ind w:left="960" w:right="3806"/>
      </w:pPr>
      <w:r>
        <w:rPr/>
        <w:t>基金托管业务批准文号：证监基金字</w:t>
      </w:r>
      <w:r>
        <w:rPr>
          <w:rFonts w:ascii="Times New Roman" w:eastAsia="Times New Roman"/>
        </w:rPr>
        <w:t>[2002]83 </w:t>
      </w:r>
      <w:r>
        <w:rPr/>
        <w:t>号组织形式：股份有限公司</w:t>
      </w:r>
    </w:p>
    <w:p>
      <w:pPr>
        <w:pStyle w:val="BodyText"/>
        <w:spacing w:line="417" w:lineRule="auto"/>
        <w:ind w:left="960" w:right="5357"/>
      </w:pPr>
      <w:r>
        <w:rPr/>
        <w:t>注册资本：人民币 </w:t>
      </w:r>
      <w:r>
        <w:rPr>
          <w:rFonts w:ascii="Times New Roman" w:eastAsia="Times New Roman"/>
        </w:rPr>
        <w:t>252.20 </w:t>
      </w:r>
      <w:r>
        <w:rPr/>
        <w:t>亿元存续期间：持续经营</w:t>
      </w:r>
    </w:p>
    <w:p>
      <w:pPr>
        <w:spacing w:line="269" w:lineRule="exact" w:before="0"/>
        <w:ind w:left="2479" w:right="0" w:firstLine="0"/>
        <w:jc w:val="left"/>
        <w:rPr>
          <w:b/>
          <w:sz w:val="21"/>
        </w:rPr>
      </w:pPr>
      <w:r>
        <w:rPr>
          <w:b/>
          <w:sz w:val="21"/>
        </w:rPr>
        <w:t>二、基金托管人对基金管理人的业务监督和核查</w:t>
      </w:r>
    </w:p>
    <w:p>
      <w:pPr>
        <w:pStyle w:val="BodyText"/>
        <w:spacing w:before="6"/>
        <w:rPr>
          <w:b/>
          <w:sz w:val="15"/>
        </w:rPr>
      </w:pPr>
    </w:p>
    <w:p>
      <w:pPr>
        <w:pStyle w:val="BodyText"/>
        <w:spacing w:line="417" w:lineRule="auto"/>
        <w:ind w:left="540" w:right="311" w:firstLine="419"/>
        <w:jc w:val="both"/>
      </w:pPr>
      <w:r>
        <w:rPr/>
        <w:t>（一</w:t>
      </w:r>
      <w:r>
        <w:rPr>
          <w:spacing w:val="-80"/>
        </w:rPr>
        <w:t>）</w:t>
      </w:r>
      <w:r>
        <w:rPr>
          <w:spacing w:val="-14"/>
        </w:rPr>
        <w:t>基金托管人根据有关法律法规的规定以及《基金合同》的约定，对基金投资范围、</w:t>
      </w:r>
      <w:r>
        <w:rPr>
          <w:spacing w:val="-12"/>
        </w:rPr>
        <w:t>投资比例、投资限制、关联方交易等进行监督。《基金合同》明确约定基金投资证券选择标准的，基金管理人应事先或定期向基金托管人提供投资品种池，以便基金托管人对基金实际</w:t>
      </w:r>
    </w:p>
    <w:p>
      <w:pPr>
        <w:spacing w:after="0" w:line="417" w:lineRule="auto"/>
        <w:jc w:val="both"/>
        <w:sectPr>
          <w:pgSz w:w="11910" w:h="16840"/>
          <w:pgMar w:header="877" w:footer="0" w:top="1420" w:bottom="280" w:left="1260" w:right="1480"/>
        </w:sectPr>
      </w:pPr>
    </w:p>
    <w:p>
      <w:pPr>
        <w:pStyle w:val="BodyText"/>
        <w:spacing w:before="110"/>
        <w:ind w:left="540"/>
      </w:pPr>
      <w:r>
        <w:rPr/>
        <w:t>投资是否符合基金合同关于证券选择标准的约定进行监督。</w:t>
      </w:r>
    </w:p>
    <w:p>
      <w:pPr>
        <w:pStyle w:val="BodyText"/>
        <w:spacing w:before="6"/>
        <w:rPr>
          <w:sz w:val="15"/>
        </w:rPr>
      </w:pPr>
    </w:p>
    <w:p>
      <w:pPr>
        <w:pStyle w:val="ListParagraph"/>
        <w:numPr>
          <w:ilvl w:val="0"/>
          <w:numId w:val="50"/>
        </w:numPr>
        <w:tabs>
          <w:tab w:pos="1120" w:val="left" w:leader="none"/>
        </w:tabs>
        <w:spacing w:line="240" w:lineRule="auto" w:before="0" w:after="0"/>
        <w:ind w:left="1119" w:right="0" w:hanging="160"/>
        <w:jc w:val="left"/>
        <w:rPr>
          <w:sz w:val="21"/>
        </w:rPr>
      </w:pPr>
      <w:r>
        <w:rPr>
          <w:spacing w:val="-3"/>
          <w:sz w:val="21"/>
        </w:rPr>
        <w:t>本基金的投资范围为：</w:t>
      </w:r>
    </w:p>
    <w:p>
      <w:pPr>
        <w:pStyle w:val="BodyText"/>
        <w:spacing w:before="7"/>
        <w:rPr>
          <w:sz w:val="15"/>
        </w:rPr>
      </w:pPr>
    </w:p>
    <w:p>
      <w:pPr>
        <w:pStyle w:val="BodyText"/>
        <w:spacing w:line="417" w:lineRule="auto"/>
        <w:ind w:left="540" w:right="205" w:firstLine="419"/>
      </w:pPr>
      <w:r>
        <w:rPr>
          <w:spacing w:val="-11"/>
        </w:rPr>
        <w:t>本基金的投资范围为具有良好流动性的金融工具，包括国内依法发行上市的债券</w:t>
      </w:r>
      <w:r>
        <w:rPr>
          <w:spacing w:val="-3"/>
        </w:rPr>
        <w:t>（</w:t>
      </w:r>
      <w:r>
        <w:rPr>
          <w:spacing w:val="-2"/>
        </w:rPr>
        <w:t>国债、</w:t>
      </w:r>
      <w:r>
        <w:rPr>
          <w:spacing w:val="-3"/>
        </w:rPr>
        <w:t>央行票据、金融债、公开发行的次级债、地方政府债、企业债、公司债、中小企业私募债、中期票据、短期融资券、分离交易可转换债券的纯债部分、可交换债券</w:t>
      </w:r>
      <w:r>
        <w:rPr>
          <w:spacing w:val="-106"/>
        </w:rPr>
        <w:t>）</w:t>
      </w:r>
      <w:r>
        <w:rPr>
          <w:spacing w:val="-3"/>
        </w:rPr>
        <w:t>、资产支持证券、</w:t>
      </w:r>
      <w:r>
        <w:rPr>
          <w:spacing w:val="-12"/>
        </w:rPr>
        <w:t>债券回购、银行存款、同业存单、货币市场工具以及法律法规或中国证监会允许基金投资的</w:t>
      </w:r>
      <w:r>
        <w:rPr>
          <w:spacing w:val="-6"/>
        </w:rPr>
        <w:t>其他金融工具</w:t>
      </w:r>
      <w:r>
        <w:rPr>
          <w:spacing w:val="-3"/>
        </w:rPr>
        <w:t>（但须符合中国证监会相关规定</w:t>
      </w:r>
      <w:r>
        <w:rPr>
          <w:spacing w:val="-106"/>
        </w:rPr>
        <w:t>）</w:t>
      </w:r>
      <w:r>
        <w:rPr/>
        <w:t>。</w:t>
      </w:r>
    </w:p>
    <w:p>
      <w:pPr>
        <w:pStyle w:val="BodyText"/>
        <w:spacing w:line="269" w:lineRule="exact"/>
        <w:ind w:left="1020"/>
      </w:pPr>
      <w:r>
        <w:rPr/>
        <w:t>本基金不直接买入股票、权证，可转债仅投资可分离交易可转债的纯债部分。</w:t>
      </w:r>
    </w:p>
    <w:p>
      <w:pPr>
        <w:pStyle w:val="BodyText"/>
        <w:spacing w:before="7"/>
        <w:rPr>
          <w:sz w:val="15"/>
        </w:rPr>
      </w:pPr>
    </w:p>
    <w:p>
      <w:pPr>
        <w:pStyle w:val="BodyText"/>
        <w:spacing w:line="417" w:lineRule="auto"/>
        <w:ind w:left="540" w:right="314" w:firstLine="479"/>
      </w:pPr>
      <w:r>
        <w:rPr/>
        <w:t>如法律法规或监管机构以后允许基金投资其他品种，基金管理人在履行适当程序后， 可以将其纳入投资范围。</w:t>
      </w:r>
    </w:p>
    <w:p>
      <w:pPr>
        <w:pStyle w:val="BodyText"/>
        <w:spacing w:line="417" w:lineRule="auto"/>
        <w:ind w:left="540" w:right="311" w:firstLine="479"/>
      </w:pPr>
      <w:r>
        <w:rPr/>
        <w:t>基金的投资组合比例为：本基金投资债券的比例不低于基金资产的 </w:t>
      </w:r>
      <w:r>
        <w:rPr>
          <w:rFonts w:ascii="Times New Roman" w:eastAsia="Times New Roman"/>
        </w:rPr>
        <w:t>80%</w:t>
      </w:r>
      <w:r>
        <w:rPr/>
        <w:t>，每个交易日日终保持不低于基金资产净值 </w:t>
      </w:r>
      <w:r>
        <w:rPr>
          <w:rFonts w:ascii="Times New Roman" w:eastAsia="Times New Roman"/>
        </w:rPr>
        <w:t>5</w:t>
      </w:r>
      <w:r>
        <w:rPr/>
        <w:t>％的现金或者到期日在一年以内的政府债券。</w:t>
      </w:r>
    </w:p>
    <w:p>
      <w:pPr>
        <w:pStyle w:val="ListParagraph"/>
        <w:numPr>
          <w:ilvl w:val="0"/>
          <w:numId w:val="50"/>
        </w:numPr>
        <w:tabs>
          <w:tab w:pos="1120" w:val="left" w:leader="none"/>
        </w:tabs>
        <w:spacing w:line="269" w:lineRule="exact" w:before="0" w:after="0"/>
        <w:ind w:left="1119" w:right="0" w:hanging="160"/>
        <w:jc w:val="left"/>
        <w:rPr>
          <w:sz w:val="21"/>
        </w:rPr>
      </w:pPr>
      <w:r>
        <w:rPr>
          <w:spacing w:val="-3"/>
          <w:sz w:val="21"/>
        </w:rPr>
        <w:t>本基金各类品种的投资比例、投资限制为：</w:t>
      </w:r>
    </w:p>
    <w:p>
      <w:pPr>
        <w:pStyle w:val="BodyText"/>
        <w:spacing w:before="6"/>
        <w:rPr>
          <w:sz w:val="15"/>
        </w:rPr>
      </w:pPr>
    </w:p>
    <w:p>
      <w:pPr>
        <w:pStyle w:val="ListParagraph"/>
        <w:numPr>
          <w:ilvl w:val="0"/>
          <w:numId w:val="51"/>
        </w:numPr>
        <w:tabs>
          <w:tab w:pos="1490" w:val="left" w:leader="none"/>
        </w:tabs>
        <w:spacing w:line="240" w:lineRule="auto" w:before="0" w:after="0"/>
        <w:ind w:left="1489" w:right="0" w:hanging="530"/>
        <w:jc w:val="left"/>
        <w:rPr>
          <w:rFonts w:ascii="Times New Roman" w:eastAsia="Times New Roman"/>
          <w:sz w:val="21"/>
        </w:rPr>
      </w:pPr>
      <w:r>
        <w:rPr>
          <w:spacing w:val="-6"/>
          <w:sz w:val="21"/>
        </w:rPr>
        <w:t>本基金投资债券资产的投资比例不低于基金资产的 </w:t>
      </w:r>
      <w:r>
        <w:rPr>
          <w:rFonts w:ascii="Times New Roman" w:eastAsia="Times New Roman"/>
          <w:sz w:val="21"/>
        </w:rPr>
        <w:t>80%;</w:t>
      </w:r>
    </w:p>
    <w:p>
      <w:pPr>
        <w:pStyle w:val="BodyText"/>
        <w:spacing w:before="4"/>
        <w:rPr>
          <w:rFonts w:ascii="Times New Roman"/>
          <w:sz w:val="17"/>
        </w:rPr>
      </w:pPr>
    </w:p>
    <w:p>
      <w:pPr>
        <w:pStyle w:val="ListParagraph"/>
        <w:numPr>
          <w:ilvl w:val="0"/>
          <w:numId w:val="51"/>
        </w:numPr>
        <w:tabs>
          <w:tab w:pos="1490" w:val="left" w:leader="none"/>
        </w:tabs>
        <w:spacing w:line="417" w:lineRule="auto" w:before="0" w:after="0"/>
        <w:ind w:left="540" w:right="313" w:firstLine="419"/>
        <w:jc w:val="left"/>
        <w:rPr>
          <w:sz w:val="21"/>
        </w:rPr>
      </w:pPr>
      <w:r>
        <w:rPr>
          <w:spacing w:val="-2"/>
          <w:sz w:val="21"/>
        </w:rPr>
        <w:t>每个交易日日终保持不低于基金资产净值 </w:t>
      </w:r>
      <w:r>
        <w:rPr>
          <w:rFonts w:ascii="Times New Roman" w:eastAsia="Times New Roman"/>
          <w:sz w:val="21"/>
        </w:rPr>
        <w:t>5</w:t>
      </w:r>
      <w:r>
        <w:rPr>
          <w:spacing w:val="-3"/>
          <w:sz w:val="21"/>
        </w:rPr>
        <w:t>％的现金或者到期日在一年以内的政府债券。其中，现金不包括结算备付金、存出保证金、应收申购款等；</w:t>
      </w:r>
    </w:p>
    <w:p>
      <w:pPr>
        <w:pStyle w:val="ListParagraph"/>
        <w:numPr>
          <w:ilvl w:val="0"/>
          <w:numId w:val="51"/>
        </w:numPr>
        <w:tabs>
          <w:tab w:pos="1490" w:val="left" w:leader="none"/>
        </w:tabs>
        <w:spacing w:line="269" w:lineRule="exact" w:before="0" w:after="0"/>
        <w:ind w:left="1489" w:right="0" w:hanging="530"/>
        <w:jc w:val="left"/>
        <w:rPr>
          <w:sz w:val="21"/>
        </w:rPr>
      </w:pPr>
      <w:r>
        <w:rPr>
          <w:spacing w:val="-5"/>
          <w:sz w:val="21"/>
        </w:rPr>
        <w:t>本基金持有一家公司发行的证券，其市值不超过基金资产净值的 </w:t>
      </w:r>
      <w:r>
        <w:rPr>
          <w:rFonts w:ascii="Times New Roman" w:eastAsia="Times New Roman"/>
          <w:spacing w:val="-3"/>
          <w:sz w:val="21"/>
        </w:rPr>
        <w:t>10</w:t>
      </w:r>
      <w:r>
        <w:rPr>
          <w:spacing w:val="-3"/>
          <w:sz w:val="21"/>
        </w:rPr>
        <w:t>％；</w:t>
      </w:r>
    </w:p>
    <w:p>
      <w:pPr>
        <w:pStyle w:val="BodyText"/>
        <w:spacing w:before="7"/>
        <w:rPr>
          <w:sz w:val="15"/>
        </w:rPr>
      </w:pPr>
    </w:p>
    <w:p>
      <w:pPr>
        <w:pStyle w:val="ListParagraph"/>
        <w:numPr>
          <w:ilvl w:val="0"/>
          <w:numId w:val="51"/>
        </w:numPr>
        <w:tabs>
          <w:tab w:pos="1490" w:val="left" w:leader="none"/>
        </w:tabs>
        <w:spacing w:line="240" w:lineRule="auto" w:before="0" w:after="0"/>
        <w:ind w:left="1489" w:right="0" w:hanging="530"/>
        <w:jc w:val="both"/>
        <w:rPr>
          <w:sz w:val="21"/>
        </w:rPr>
      </w:pPr>
      <w:r>
        <w:rPr>
          <w:spacing w:val="-4"/>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7"/>
        <w:rPr>
          <w:sz w:val="15"/>
        </w:rPr>
      </w:pPr>
    </w:p>
    <w:p>
      <w:pPr>
        <w:pStyle w:val="ListParagraph"/>
        <w:numPr>
          <w:ilvl w:val="0"/>
          <w:numId w:val="51"/>
        </w:numPr>
        <w:tabs>
          <w:tab w:pos="1490" w:val="left" w:leader="none"/>
        </w:tabs>
        <w:spacing w:line="417" w:lineRule="auto" w:before="0" w:after="0"/>
        <w:ind w:left="540" w:right="31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pacing w:val="-3"/>
          <w:sz w:val="21"/>
        </w:rPr>
        <w:t>10</w:t>
      </w:r>
      <w:r>
        <w:rPr>
          <w:spacing w:val="-3"/>
          <w:sz w:val="21"/>
        </w:rPr>
        <w:t>％；</w:t>
      </w:r>
    </w:p>
    <w:p>
      <w:pPr>
        <w:pStyle w:val="ListParagraph"/>
        <w:numPr>
          <w:ilvl w:val="0"/>
          <w:numId w:val="51"/>
        </w:numPr>
        <w:tabs>
          <w:tab w:pos="1490" w:val="left" w:leader="none"/>
        </w:tabs>
        <w:spacing w:line="269" w:lineRule="exact" w:before="0" w:after="0"/>
        <w:ind w:left="1489" w:right="0" w:hanging="530"/>
        <w:jc w:val="both"/>
        <w:rPr>
          <w:sz w:val="21"/>
        </w:rPr>
      </w:pPr>
      <w:r>
        <w:rPr>
          <w:spacing w:val="-5"/>
          <w:sz w:val="21"/>
        </w:rPr>
        <w:t>本基金持有的全部资产支持证券，其市值不得超过基金资产净值的 </w:t>
      </w:r>
      <w:r>
        <w:rPr>
          <w:rFonts w:ascii="Times New Roman" w:eastAsia="Times New Roman"/>
          <w:spacing w:val="-3"/>
          <w:sz w:val="21"/>
        </w:rPr>
        <w:t>20</w:t>
      </w:r>
      <w:r>
        <w:rPr>
          <w:spacing w:val="-3"/>
          <w:sz w:val="21"/>
        </w:rPr>
        <w:t>％；</w:t>
      </w:r>
    </w:p>
    <w:p>
      <w:pPr>
        <w:pStyle w:val="BodyText"/>
        <w:spacing w:before="7"/>
        <w:rPr>
          <w:sz w:val="15"/>
        </w:rPr>
      </w:pPr>
    </w:p>
    <w:p>
      <w:pPr>
        <w:pStyle w:val="ListParagraph"/>
        <w:numPr>
          <w:ilvl w:val="0"/>
          <w:numId w:val="51"/>
        </w:numPr>
        <w:tabs>
          <w:tab w:pos="1493" w:val="left" w:leader="none"/>
        </w:tabs>
        <w:spacing w:line="417" w:lineRule="auto" w:before="0" w:after="0"/>
        <w:ind w:left="540" w:right="316" w:firstLine="419"/>
        <w:jc w:val="both"/>
        <w:rPr>
          <w:sz w:val="21"/>
        </w:rPr>
      </w:pPr>
      <w:r>
        <w:rPr>
          <w:sz w:val="21"/>
        </w:rPr>
        <w:t>本基金持有的同一</w:t>
      </w:r>
      <w:r>
        <w:rPr>
          <w:rFonts w:ascii="Times New Roman" w:eastAsia="Times New Roman"/>
          <w:sz w:val="21"/>
        </w:rPr>
        <w:t>(</w:t>
      </w:r>
      <w:r>
        <w:rPr>
          <w:sz w:val="21"/>
        </w:rPr>
        <w:t>指同一信用级别</w:t>
      </w:r>
      <w:r>
        <w:rPr>
          <w:rFonts w:ascii="Times New Roman" w:eastAsia="Times New Roman"/>
          <w:sz w:val="21"/>
        </w:rPr>
        <w:t>)</w:t>
      </w:r>
      <w:r>
        <w:rPr>
          <w:spacing w:val="-1"/>
          <w:sz w:val="21"/>
        </w:rPr>
        <w:t>资产支持证券的比例，不得超过该资产支持</w:t>
      </w:r>
      <w:r>
        <w:rPr>
          <w:spacing w:val="-11"/>
          <w:sz w:val="21"/>
        </w:rPr>
        <w:t>证券规模的 </w:t>
      </w:r>
      <w:r>
        <w:rPr>
          <w:rFonts w:ascii="Times New Roman" w:eastAsia="Times New Roman"/>
          <w:sz w:val="21"/>
        </w:rPr>
        <w:t>10</w:t>
      </w:r>
      <w:r>
        <w:rPr>
          <w:sz w:val="21"/>
        </w:rPr>
        <w:t>％；</w:t>
      </w:r>
    </w:p>
    <w:p>
      <w:pPr>
        <w:pStyle w:val="ListParagraph"/>
        <w:numPr>
          <w:ilvl w:val="0"/>
          <w:numId w:val="51"/>
        </w:numPr>
        <w:tabs>
          <w:tab w:pos="1490" w:val="left" w:leader="none"/>
        </w:tabs>
        <w:spacing w:line="417" w:lineRule="auto" w:before="0" w:after="0"/>
        <w:ind w:left="540" w:right="31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 </w:t>
      </w:r>
      <w:r>
        <w:rPr>
          <w:rFonts w:ascii="Times New Roman" w:eastAsia="Times New Roman"/>
          <w:sz w:val="21"/>
        </w:rPr>
        <w:t>10</w:t>
      </w:r>
      <w:r>
        <w:rPr>
          <w:sz w:val="21"/>
        </w:rPr>
        <w:t>％；</w:t>
      </w:r>
    </w:p>
    <w:p>
      <w:pPr>
        <w:pStyle w:val="ListParagraph"/>
        <w:numPr>
          <w:ilvl w:val="0"/>
          <w:numId w:val="51"/>
        </w:numPr>
        <w:tabs>
          <w:tab w:pos="1490" w:val="left" w:leader="none"/>
        </w:tabs>
        <w:spacing w:line="417" w:lineRule="auto" w:before="0" w:after="0"/>
        <w:ind w:left="540" w:right="31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6"/>
          <w:sz w:val="21"/>
        </w:rPr>
        <w:t> </w:t>
      </w:r>
      <w:r>
        <w:rPr>
          <w:spacing w:val="-2"/>
          <w:sz w:val="21"/>
        </w:rPr>
        <w:t>以上</w:t>
      </w:r>
      <w:r>
        <w:rPr>
          <w:rFonts w:ascii="Times New Roman" w:eastAsia="Times New Roman"/>
          <w:sz w:val="21"/>
        </w:rPr>
        <w:t>(</w:t>
      </w:r>
      <w:r>
        <w:rPr>
          <w:spacing w:val="-25"/>
          <w:sz w:val="21"/>
        </w:rPr>
        <w:t>含 </w:t>
      </w:r>
      <w:r>
        <w:rPr>
          <w:rFonts w:ascii="Times New Roman" w:eastAsia="Times New Roman"/>
          <w:sz w:val="21"/>
        </w:rPr>
        <w:t>BBB)</w:t>
      </w:r>
      <w:r>
        <w:rPr>
          <w:spacing w:val="-8"/>
          <w:sz w:val="21"/>
        </w:rPr>
        <w:t>的资产支持证券。基金持有资产支持证券期间，如果其信用等级下降、不再符合投资标准，应在评级报告发布之日起  </w:t>
      </w:r>
      <w:r>
        <w:rPr>
          <w:rFonts w:ascii="Times New Roman" w:eastAsia="Times New Roman"/>
          <w:spacing w:val="-14"/>
          <w:sz w:val="21"/>
        </w:rPr>
        <w:t>3</w:t>
      </w:r>
      <w:r>
        <w:rPr>
          <w:spacing w:val="-3"/>
          <w:sz w:val="21"/>
        </w:rPr>
        <w:t>个月内予以全部卖出；</w:t>
      </w:r>
    </w:p>
    <w:p>
      <w:pPr>
        <w:pStyle w:val="ListParagraph"/>
        <w:numPr>
          <w:ilvl w:val="0"/>
          <w:numId w:val="51"/>
        </w:numPr>
        <w:tabs>
          <w:tab w:pos="1593" w:val="left" w:leader="none"/>
        </w:tabs>
        <w:spacing w:line="417" w:lineRule="auto" w:before="0" w:after="0"/>
        <w:ind w:left="540" w:right="311" w:firstLine="419"/>
        <w:jc w:val="both"/>
        <w:rPr>
          <w:sz w:val="21"/>
        </w:rPr>
      </w:pPr>
      <w:r>
        <w:rPr>
          <w:spacing w:val="-3"/>
          <w:sz w:val="21"/>
        </w:rPr>
        <w:t>本基金进入全国银行间同业市场进行债券回购的资金余额不得超过基金资产净</w:t>
      </w:r>
      <w:r>
        <w:rPr>
          <w:spacing w:val="-15"/>
          <w:sz w:val="21"/>
        </w:rPr>
        <w:t>值的 </w:t>
      </w:r>
      <w:r>
        <w:rPr>
          <w:rFonts w:ascii="Times New Roman" w:eastAsia="Times New Roman"/>
          <w:sz w:val="21"/>
        </w:rPr>
        <w:t>40%</w:t>
      </w:r>
      <w:r>
        <w:rPr>
          <w:spacing w:val="-5"/>
          <w:sz w:val="21"/>
        </w:rPr>
        <w:t>；在全国银行间同业市场的债券回购最长期限为 </w:t>
      </w:r>
      <w:r>
        <w:rPr>
          <w:rFonts w:ascii="Times New Roman" w:eastAsia="Times New Roman"/>
          <w:sz w:val="21"/>
        </w:rPr>
        <w:t>1</w:t>
      </w:r>
      <w:r>
        <w:rPr>
          <w:rFonts w:ascii="Times New Roman" w:eastAsia="Times New Roman"/>
          <w:spacing w:val="4"/>
          <w:sz w:val="21"/>
        </w:rPr>
        <w:t> </w:t>
      </w:r>
      <w:r>
        <w:rPr>
          <w:spacing w:val="-3"/>
          <w:sz w:val="21"/>
        </w:rPr>
        <w:t>年，债券回购到期后不得展期</w:t>
      </w:r>
      <w:r>
        <w:rPr>
          <w:sz w:val="21"/>
        </w:rPr>
        <w:t>；</w:t>
      </w:r>
    </w:p>
    <w:p>
      <w:pPr>
        <w:spacing w:after="0" w:line="417" w:lineRule="auto"/>
        <w:jc w:val="both"/>
        <w:rPr>
          <w:sz w:val="21"/>
        </w:rPr>
        <w:sectPr>
          <w:pgSz w:w="11910" w:h="16840"/>
          <w:pgMar w:header="877" w:footer="0" w:top="1420" w:bottom="280" w:left="1260" w:right="1480"/>
        </w:sectPr>
      </w:pPr>
    </w:p>
    <w:p>
      <w:pPr>
        <w:pStyle w:val="ListParagraph"/>
        <w:numPr>
          <w:ilvl w:val="0"/>
          <w:numId w:val="51"/>
        </w:numPr>
        <w:tabs>
          <w:tab w:pos="1586" w:val="left" w:leader="none"/>
        </w:tabs>
        <w:spacing w:line="240" w:lineRule="auto" w:before="110" w:after="0"/>
        <w:ind w:left="1585" w:right="0" w:hanging="626"/>
        <w:jc w:val="both"/>
        <w:rPr>
          <w:sz w:val="21"/>
        </w:rPr>
      </w:pPr>
      <w:r>
        <w:rPr>
          <w:spacing w:val="-6"/>
          <w:sz w:val="21"/>
        </w:rPr>
        <w:t>本基金总资产不得超过基金净资产的 </w:t>
      </w:r>
      <w:r>
        <w:rPr>
          <w:rFonts w:ascii="Times New Roman" w:eastAsia="Times New Roman"/>
          <w:sz w:val="21"/>
        </w:rPr>
        <w:t>140%</w:t>
      </w:r>
      <w:r>
        <w:rPr>
          <w:sz w:val="21"/>
        </w:rPr>
        <w:t>；</w:t>
      </w:r>
    </w:p>
    <w:p>
      <w:pPr>
        <w:pStyle w:val="BodyText"/>
        <w:spacing w:before="6"/>
        <w:rPr>
          <w:sz w:val="15"/>
        </w:rPr>
      </w:pPr>
    </w:p>
    <w:p>
      <w:pPr>
        <w:pStyle w:val="ListParagraph"/>
        <w:numPr>
          <w:ilvl w:val="0"/>
          <w:numId w:val="51"/>
        </w:numPr>
        <w:tabs>
          <w:tab w:pos="1595" w:val="left" w:leader="none"/>
        </w:tabs>
        <w:spacing w:line="240" w:lineRule="auto" w:before="0" w:after="0"/>
        <w:ind w:left="1595" w:right="0" w:hanging="635"/>
        <w:jc w:val="both"/>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51"/>
        </w:numPr>
        <w:tabs>
          <w:tab w:pos="1595" w:val="left" w:leader="none"/>
        </w:tabs>
        <w:spacing w:line="417" w:lineRule="auto" w:before="0" w:after="0"/>
        <w:ind w:left="540" w:right="31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2"/>
          <w:sz w:val="21"/>
        </w:rPr>
        <w:t>。因证券市场波动、基金规模变动等基金管理人之外的因素致使基金不符合前款所规定比例</w:t>
      </w:r>
      <w:r>
        <w:rPr>
          <w:spacing w:val="-3"/>
          <w:sz w:val="21"/>
        </w:rPr>
        <w:t>限制的，基金管理人不得主动新增流动性受限资产的投资；</w:t>
      </w:r>
    </w:p>
    <w:p>
      <w:pPr>
        <w:pStyle w:val="ListParagraph"/>
        <w:numPr>
          <w:ilvl w:val="0"/>
          <w:numId w:val="51"/>
        </w:numPr>
        <w:tabs>
          <w:tab w:pos="1593" w:val="left" w:leader="none"/>
        </w:tabs>
        <w:spacing w:line="417" w:lineRule="auto" w:before="0" w:after="0"/>
        <w:ind w:left="540" w:right="3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51"/>
        </w:numPr>
        <w:tabs>
          <w:tab w:pos="1595" w:val="left" w:leader="none"/>
        </w:tabs>
        <w:spacing w:line="240" w:lineRule="auto" w:before="0" w:after="0"/>
        <w:ind w:left="1595" w:right="0" w:hanging="635"/>
        <w:jc w:val="left"/>
        <w:rPr>
          <w:sz w:val="21"/>
        </w:rPr>
      </w:pPr>
      <w:r>
        <w:rPr>
          <w:spacing w:val="-3"/>
          <w:sz w:val="21"/>
        </w:rPr>
        <w:t>法律法规及中国证监会规定的其他投资比例限制。</w:t>
      </w:r>
    </w:p>
    <w:p>
      <w:pPr>
        <w:pStyle w:val="BodyText"/>
        <w:spacing w:before="7"/>
        <w:rPr>
          <w:sz w:val="15"/>
        </w:rPr>
      </w:pPr>
    </w:p>
    <w:p>
      <w:pPr>
        <w:pStyle w:val="BodyText"/>
        <w:spacing w:line="417" w:lineRule="auto"/>
        <w:ind w:left="540" w:right="311" w:firstLine="419"/>
      </w:pPr>
      <w:r>
        <w:rPr>
          <w:spacing w:val="-12"/>
        </w:rPr>
        <w:t>因证券市场波动、上市公司合并、基金规模变动等基金管理人之外的因素致使基金投资</w:t>
      </w:r>
      <w:r>
        <w:rPr>
          <w:spacing w:val="-8"/>
          <w:w w:val="100"/>
        </w:rPr>
        <w:t>比例不符合上述规定投资比例的，基金管理人应当在</w:t>
      </w:r>
      <w:r>
        <w:rPr>
          <w:spacing w:val="-8"/>
        </w:rPr>
        <w:t> </w:t>
      </w:r>
      <w:r>
        <w:rPr>
          <w:rFonts w:ascii="Times New Roman" w:eastAsia="Times New Roman"/>
          <w:w w:val="100"/>
        </w:rPr>
        <w:t>10</w:t>
      </w:r>
      <w:r>
        <w:rPr>
          <w:rFonts w:ascii="Times New Roman" w:eastAsia="Times New Roman"/>
        </w:rPr>
        <w:t> </w:t>
      </w:r>
      <w:r>
        <w:rPr>
          <w:spacing w:val="-9"/>
          <w:w w:val="100"/>
        </w:rPr>
        <w:t>个交易日内进行调整，上述第</w:t>
      </w:r>
      <w:r>
        <w:rPr>
          <w:w w:val="100"/>
        </w:rPr>
        <w:t>（</w:t>
      </w:r>
      <w:r>
        <w:rPr>
          <w:rFonts w:ascii="Times New Roman" w:eastAsia="Times New Roman"/>
          <w:w w:val="100"/>
        </w:rPr>
        <w:t>2</w:t>
      </w:r>
      <w:r>
        <w:rPr>
          <w:spacing w:val="-106"/>
          <w:w w:val="100"/>
        </w:rPr>
        <w:t>）、</w:t>
      </w:r>
    </w:p>
    <w:p>
      <w:pPr>
        <w:pStyle w:val="BodyText"/>
        <w:spacing w:line="269" w:lineRule="exact"/>
        <w:ind w:left="540"/>
      </w:pPr>
      <w:r>
        <w:rPr>
          <w:spacing w:val="-1"/>
          <w:w w:val="100"/>
        </w:rPr>
        <w:t>（</w:t>
      </w:r>
      <w:r>
        <w:rPr>
          <w:rFonts w:ascii="Times New Roman" w:eastAsia="Times New Roman"/>
          <w:w w:val="100"/>
        </w:rPr>
        <w:t>9</w:t>
      </w:r>
      <w:r>
        <w:rPr>
          <w:spacing w:val="-106"/>
          <w:w w:val="100"/>
        </w:rPr>
        <w:t>）</w:t>
      </w:r>
      <w:r>
        <w:rPr>
          <w:spacing w:val="-108"/>
          <w:w w:val="100"/>
        </w:rPr>
        <w:t>、</w:t>
      </w:r>
      <w:r>
        <w:rPr>
          <w:spacing w:val="-1"/>
          <w:w w:val="100"/>
        </w:rPr>
        <w:t>（</w:t>
      </w:r>
      <w:r>
        <w:rPr>
          <w:rFonts w:ascii="Times New Roman" w:eastAsia="Times New Roman"/>
          <w:w w:val="100"/>
        </w:rPr>
        <w:t>13</w:t>
      </w:r>
      <w:r>
        <w:rPr>
          <w:spacing w:val="-108"/>
          <w:w w:val="100"/>
        </w:rPr>
        <w:t>）</w:t>
      </w:r>
      <w:r>
        <w:rPr>
          <w:spacing w:val="-106"/>
          <w:w w:val="100"/>
        </w:rPr>
        <w:t>、</w:t>
      </w:r>
      <w:r>
        <w:rPr>
          <w:spacing w:val="-1"/>
          <w:w w:val="100"/>
        </w:rPr>
        <w:t>（</w:t>
      </w:r>
      <w:r>
        <w:rPr>
          <w:rFonts w:ascii="Times New Roman" w:eastAsia="Times New Roman"/>
          <w:spacing w:val="-3"/>
          <w:w w:val="100"/>
        </w:rPr>
        <w:t>1</w:t>
      </w:r>
      <w:r>
        <w:rPr>
          <w:rFonts w:ascii="Times New Roman" w:eastAsia="Times New Roman"/>
          <w:w w:val="100"/>
        </w:rPr>
        <w:t>4</w:t>
      </w:r>
      <w:r>
        <w:rPr>
          <w:spacing w:val="-3"/>
          <w:w w:val="100"/>
        </w:rPr>
        <w:t>）</w:t>
      </w:r>
      <w:r>
        <w:rPr>
          <w:spacing w:val="-2"/>
          <w:w w:val="100"/>
        </w:rPr>
        <w:t>条除外。</w:t>
      </w:r>
    </w:p>
    <w:p>
      <w:pPr>
        <w:pStyle w:val="BodyText"/>
        <w:spacing w:before="6"/>
        <w:rPr>
          <w:sz w:val="15"/>
        </w:rPr>
      </w:pPr>
    </w:p>
    <w:p>
      <w:pPr>
        <w:pStyle w:val="ListParagraph"/>
        <w:numPr>
          <w:ilvl w:val="0"/>
          <w:numId w:val="50"/>
        </w:numPr>
        <w:tabs>
          <w:tab w:pos="1120" w:val="left" w:leader="none"/>
        </w:tabs>
        <w:spacing w:line="240" w:lineRule="auto" w:before="0" w:after="0"/>
        <w:ind w:left="1119" w:right="0" w:hanging="160"/>
        <w:jc w:val="left"/>
        <w:rPr>
          <w:sz w:val="21"/>
        </w:rPr>
      </w:pPr>
      <w:r>
        <w:rPr>
          <w:spacing w:val="-3"/>
          <w:sz w:val="21"/>
        </w:rPr>
        <w:t>本基金财产不得用于以下投资或者活动：</w:t>
      </w:r>
    </w:p>
    <w:p>
      <w:pPr>
        <w:pStyle w:val="BodyText"/>
        <w:spacing w:before="7"/>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向基金管理人、基金托管人出资；</w:t>
      </w:r>
    </w:p>
    <w:p>
      <w:pPr>
        <w:pStyle w:val="BodyText"/>
        <w:spacing w:before="6"/>
        <w:rPr>
          <w:sz w:val="15"/>
        </w:rPr>
      </w:pPr>
    </w:p>
    <w:p>
      <w:pPr>
        <w:pStyle w:val="ListParagraph"/>
        <w:numPr>
          <w:ilvl w:val="0"/>
          <w:numId w:val="52"/>
        </w:numPr>
        <w:tabs>
          <w:tab w:pos="1490" w:val="left" w:leader="none"/>
        </w:tabs>
        <w:spacing w:line="240" w:lineRule="auto" w:before="1" w:after="0"/>
        <w:ind w:left="148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法律、行政法规或者中国证监会规定禁止的其他活动。</w:t>
      </w:r>
    </w:p>
    <w:p>
      <w:pPr>
        <w:pStyle w:val="BodyText"/>
        <w:spacing w:before="7"/>
        <w:rPr>
          <w:sz w:val="15"/>
        </w:rPr>
      </w:pPr>
    </w:p>
    <w:p>
      <w:pPr>
        <w:pStyle w:val="BodyText"/>
        <w:ind w:left="960"/>
      </w:pPr>
      <w:r>
        <w:rPr/>
        <w:t>法律法规或监管部门取消上述限制，如适用于本基金，则本基金投资不再受相关限制。</w:t>
      </w:r>
    </w:p>
    <w:p>
      <w:pPr>
        <w:pStyle w:val="BodyText"/>
        <w:spacing w:before="7"/>
        <w:rPr>
          <w:sz w:val="15"/>
        </w:rPr>
      </w:pPr>
    </w:p>
    <w:p>
      <w:pPr>
        <w:pStyle w:val="ListParagraph"/>
        <w:numPr>
          <w:ilvl w:val="0"/>
          <w:numId w:val="50"/>
        </w:numPr>
        <w:tabs>
          <w:tab w:pos="1120" w:val="left" w:leader="none"/>
        </w:tabs>
        <w:spacing w:line="417" w:lineRule="auto" w:before="0" w:after="0"/>
        <w:ind w:left="540" w:right="311" w:firstLine="419"/>
        <w:jc w:val="both"/>
        <w:rPr>
          <w:sz w:val="21"/>
        </w:rPr>
      </w:pPr>
      <w:r>
        <w:rPr>
          <w:spacing w:val="-6"/>
          <w:sz w:val="21"/>
        </w:rPr>
        <w:t>基金管理人运用基金财产买卖基金管理人、基金托管人及其控股股东、实际控制人或</w:t>
      </w:r>
      <w:r>
        <w:rPr>
          <w:spacing w:val="-8"/>
          <w:sz w:val="21"/>
        </w:rPr>
        <w:t>者与其有其他重大利害关系的公司发行或承销期内承销的证券，或者从事其他重大关联交易</w:t>
      </w:r>
      <w:r>
        <w:rPr>
          <w:spacing w:val="-10"/>
          <w:sz w:val="21"/>
        </w:rPr>
        <w:t>的，应当符合基金的投资目标和投资策略，遵循基金份额持有人利益优先的原则，防范利益</w:t>
      </w:r>
      <w:r>
        <w:rPr>
          <w:spacing w:val="-11"/>
          <w:sz w:val="21"/>
        </w:rPr>
        <w:t>冲突。建立健全内部审批机制和评估机制，按照市场公平合理价格执行。相关交易必须事先</w:t>
      </w:r>
      <w:r>
        <w:rPr>
          <w:spacing w:val="-13"/>
          <w:sz w:val="21"/>
        </w:rPr>
        <w:t>得到基金托管人的同意，并按法律法规予以披露。重大关联交易应提交基金管理人董事会审</w:t>
      </w:r>
      <w:r>
        <w:rPr>
          <w:spacing w:val="-12"/>
          <w:sz w:val="21"/>
        </w:rPr>
        <w:t>议，并经过三分之二以上的独立董事通过。基金管理人董事会应至少每半年对关联交易事项</w:t>
      </w:r>
      <w:r>
        <w:rPr>
          <w:spacing w:val="-6"/>
          <w:sz w:val="21"/>
        </w:rPr>
        <w:t>进行审查。</w:t>
      </w:r>
    </w:p>
    <w:p>
      <w:pPr>
        <w:pStyle w:val="ListParagraph"/>
        <w:numPr>
          <w:ilvl w:val="0"/>
          <w:numId w:val="50"/>
        </w:numPr>
        <w:tabs>
          <w:tab w:pos="1120" w:val="left" w:leader="none"/>
        </w:tabs>
        <w:spacing w:line="417" w:lineRule="auto" w:before="0" w:after="0"/>
        <w:ind w:left="540" w:right="311" w:firstLine="419"/>
        <w:jc w:val="both"/>
        <w:rPr>
          <w:sz w:val="21"/>
        </w:rPr>
      </w:pPr>
      <w:r>
        <w:rPr>
          <w:spacing w:val="-1"/>
          <w:sz w:val="21"/>
        </w:rPr>
        <w:t>基金管理人应当自基金合同生效日起</w:t>
      </w:r>
      <w:r>
        <w:rPr>
          <w:rFonts w:ascii="Times New Roman" w:eastAsia="Times New Roman"/>
          <w:sz w:val="21"/>
        </w:rPr>
        <w:t>6</w:t>
      </w:r>
      <w:r>
        <w:rPr>
          <w:rFonts w:ascii="Times New Roman" w:eastAsia="Times New Roman"/>
          <w:spacing w:val="5"/>
          <w:sz w:val="21"/>
        </w:rPr>
        <w:t> </w:t>
      </w:r>
      <w:r>
        <w:rPr>
          <w:spacing w:val="-3"/>
          <w:sz w:val="21"/>
        </w:rPr>
        <w:t>个月内使基金的投资组合比例符合基金合同的有关约定。在上述期间内，本基金的投资范围、投资策略应当符合基金合同的约定。</w:t>
      </w:r>
    </w:p>
    <w:p>
      <w:pPr>
        <w:pStyle w:val="BodyText"/>
        <w:spacing w:line="417" w:lineRule="auto"/>
        <w:ind w:left="540" w:right="102" w:firstLine="419"/>
      </w:pPr>
      <w:r>
        <w:rPr>
          <w:spacing w:val="-6"/>
        </w:rPr>
        <w:t>基金托管人对基金的投资的监督与检查自本基金合同生效之日起开始。因证券市场波动、</w:t>
      </w:r>
      <w:r>
        <w:rPr>
          <w:spacing w:val="-4"/>
        </w:rPr>
        <w:t>证券发行人合并或基金规模变动等基金管理人之外的原因导致投资比例不符合上述规定的，</w:t>
      </w:r>
    </w:p>
    <w:p>
      <w:pPr>
        <w:spacing w:after="0" w:line="417" w:lineRule="auto"/>
        <w:sectPr>
          <w:pgSz w:w="11910" w:h="16840"/>
          <w:pgMar w:header="877" w:footer="0" w:top="1420" w:bottom="280" w:left="1260" w:right="1480"/>
        </w:sectPr>
      </w:pPr>
    </w:p>
    <w:p>
      <w:pPr>
        <w:pStyle w:val="BodyText"/>
        <w:spacing w:before="110"/>
        <w:ind w:left="540"/>
        <w:jc w:val="both"/>
      </w:pPr>
      <w:r>
        <w:rPr/>
        <w:t>基金管理人应在 </w:t>
      </w:r>
      <w:r>
        <w:rPr>
          <w:rFonts w:ascii="Times New Roman" w:eastAsia="Times New Roman"/>
        </w:rPr>
        <w:t>10 </w:t>
      </w:r>
      <w:r>
        <w:rPr/>
        <w:t>个交易日内进行调整。法律法规另有规定的，从其规定。</w:t>
      </w:r>
    </w:p>
    <w:p>
      <w:pPr>
        <w:pStyle w:val="BodyText"/>
        <w:spacing w:before="6"/>
        <w:rPr>
          <w:sz w:val="15"/>
        </w:rPr>
      </w:pPr>
    </w:p>
    <w:p>
      <w:pPr>
        <w:pStyle w:val="ListParagraph"/>
        <w:numPr>
          <w:ilvl w:val="0"/>
          <w:numId w:val="50"/>
        </w:numPr>
        <w:tabs>
          <w:tab w:pos="1124" w:val="left" w:leader="none"/>
        </w:tabs>
        <w:spacing w:line="417" w:lineRule="auto" w:before="0" w:after="0"/>
        <w:ind w:left="540" w:right="311" w:firstLine="419"/>
        <w:jc w:val="both"/>
        <w:rPr>
          <w:sz w:val="21"/>
        </w:rPr>
      </w:pPr>
      <w:r>
        <w:rPr>
          <w:sz w:val="21"/>
        </w:rPr>
        <w:t>如果法律法规及监管政策等对基金合同约定的投资禁止行为和投资组合比例限制进</w:t>
      </w:r>
      <w:r>
        <w:rPr>
          <w:spacing w:val="-10"/>
          <w:sz w:val="21"/>
        </w:rPr>
        <w:t>行变更的，本基金可相应调整禁止行为和投资比例限制规定，不需经基金份额持有人大会审</w:t>
      </w:r>
      <w:r>
        <w:rPr>
          <w:spacing w:val="-12"/>
          <w:sz w:val="21"/>
        </w:rPr>
        <w:t>议。《基金法》及其他有关法律法规或监管部门取消上述限制的，履行适当程序后，基金不</w:t>
      </w:r>
      <w:r>
        <w:rPr>
          <w:spacing w:val="-6"/>
          <w:sz w:val="21"/>
        </w:rPr>
        <w:t>受上述限制。</w:t>
      </w:r>
    </w:p>
    <w:p>
      <w:pPr>
        <w:pStyle w:val="BodyText"/>
        <w:spacing w:line="417" w:lineRule="auto"/>
        <w:ind w:left="540" w:right="311" w:firstLine="419"/>
        <w:jc w:val="both"/>
      </w:pPr>
      <w:r>
        <w:rPr/>
        <w:t>（二</w:t>
      </w:r>
      <w:r>
        <w:rPr>
          <w:spacing w:val="-27"/>
        </w:rPr>
        <w:t>）</w:t>
      </w:r>
      <w:r>
        <w:rPr>
          <w:spacing w:val="-7"/>
        </w:rPr>
        <w:t>基金托管人根据有关法律法规的规定及《基金合同》的约定，对基金管理人选择</w:t>
      </w:r>
      <w:r>
        <w:rPr>
          <w:spacing w:val="-12"/>
        </w:rPr>
        <w:t>存款银行进行监督。基金投资银行定期存款的，基金管理人应根据法律法规的规定及《基金合同》的约定，确定符合条件的所有存款银行的名单，并及时提供给基金托管人，基金托管</w:t>
      </w:r>
      <w:r>
        <w:rPr>
          <w:spacing w:val="-9"/>
        </w:rPr>
        <w:t>人应据以对基金投资银行存款的交易对手是否符合有关规定进行监督。对于不符合规定的银</w:t>
      </w:r>
      <w:r>
        <w:rPr>
          <w:spacing w:val="-5"/>
        </w:rPr>
        <w:t>行存款，基金托管人可以拒绝执行，并通知基金管理人。</w:t>
      </w:r>
    </w:p>
    <w:p>
      <w:pPr>
        <w:pStyle w:val="BodyText"/>
        <w:spacing w:line="269" w:lineRule="exact"/>
        <w:ind w:left="960"/>
      </w:pPr>
      <w:r>
        <w:rPr/>
        <w:t>本基金投资银行存款应符合如下规定：</w:t>
      </w:r>
    </w:p>
    <w:p>
      <w:pPr>
        <w:pStyle w:val="BodyText"/>
        <w:spacing w:before="6"/>
        <w:rPr>
          <w:sz w:val="15"/>
        </w:rPr>
      </w:pPr>
    </w:p>
    <w:p>
      <w:pPr>
        <w:pStyle w:val="BodyText"/>
        <w:spacing w:line="417" w:lineRule="auto" w:before="1"/>
        <w:ind w:left="540" w:right="314" w:firstLine="419"/>
      </w:pPr>
      <w:r>
        <w:rPr>
          <w:rFonts w:ascii="Times New Roman" w:eastAsia="Times New Roman"/>
        </w:rPr>
        <w:t>1</w:t>
      </w:r>
      <w:r>
        <w:rPr/>
        <w:t>、本基金的存款银行应是具有证券投资基金托管资格、证券投资基金销售业务资格或合格境外机构投资者托管人资格的商业银行。</w:t>
      </w:r>
    </w:p>
    <w:p>
      <w:pPr>
        <w:pStyle w:val="ListParagraph"/>
        <w:numPr>
          <w:ilvl w:val="0"/>
          <w:numId w:val="53"/>
        </w:numPr>
        <w:tabs>
          <w:tab w:pos="1120" w:val="left" w:leader="none"/>
        </w:tabs>
        <w:spacing w:line="417" w:lineRule="auto" w:before="0" w:after="0"/>
        <w:ind w:left="540" w:right="205" w:firstLine="419"/>
        <w:jc w:val="left"/>
        <w:rPr>
          <w:sz w:val="21"/>
        </w:rPr>
      </w:pPr>
      <w:r>
        <w:rPr>
          <w:spacing w:val="-3"/>
          <w:w w:val="100"/>
          <w:sz w:val="21"/>
        </w:rPr>
        <w:t>本基金投资定期存款的比例不得超过基金资产净值的</w:t>
      </w:r>
      <w:r>
        <w:rPr>
          <w:spacing w:val="-52"/>
          <w:sz w:val="21"/>
        </w:rPr>
        <w:t> </w:t>
      </w:r>
      <w:r>
        <w:rPr>
          <w:rFonts w:ascii="Times New Roman" w:eastAsia="Times New Roman"/>
          <w:spacing w:val="-3"/>
          <w:w w:val="100"/>
          <w:sz w:val="21"/>
        </w:rPr>
        <w:t>3</w:t>
      </w:r>
      <w:r>
        <w:rPr>
          <w:rFonts w:ascii="Times New Roman" w:eastAsia="Times New Roman"/>
          <w:w w:val="100"/>
          <w:sz w:val="21"/>
        </w:rPr>
        <w:t>0</w:t>
      </w:r>
      <w:r>
        <w:rPr>
          <w:spacing w:val="-12"/>
          <w:w w:val="100"/>
          <w:sz w:val="21"/>
        </w:rPr>
        <w:t>％，根据协议可提前支取且没</w:t>
      </w:r>
      <w:r>
        <w:rPr>
          <w:spacing w:val="-18"/>
          <w:sz w:val="21"/>
        </w:rPr>
        <w:t>有利息损失的银行存款，不受此限制；存放在具有基金托管资格的同一商业银行的银行存款、</w:t>
      </w:r>
      <w:r>
        <w:rPr>
          <w:spacing w:val="-16"/>
          <w:sz w:val="21"/>
        </w:rPr>
        <w:t>同业存单合计不得超过基金资产净值的 </w:t>
      </w:r>
      <w:r>
        <w:rPr>
          <w:rFonts w:ascii="Times New Roman" w:eastAsia="Times New Roman"/>
          <w:sz w:val="21"/>
        </w:rPr>
        <w:t>30%</w:t>
      </w:r>
      <w:r>
        <w:rPr>
          <w:sz w:val="21"/>
        </w:rPr>
        <w:t>；存放在不具有基金托管资格的同一商业银行</w:t>
      </w:r>
      <w:r>
        <w:rPr>
          <w:spacing w:val="-6"/>
          <w:sz w:val="21"/>
        </w:rPr>
        <w:t>的存款、同业存单，合计不得超过基金资产净值的 </w:t>
      </w:r>
      <w:r>
        <w:rPr>
          <w:rFonts w:ascii="Times New Roman" w:eastAsia="Times New Roman"/>
          <w:sz w:val="21"/>
        </w:rPr>
        <w:t>5%</w:t>
      </w:r>
      <w:r>
        <w:rPr>
          <w:sz w:val="21"/>
        </w:rPr>
        <w:t>。</w:t>
      </w:r>
    </w:p>
    <w:p>
      <w:pPr>
        <w:pStyle w:val="BodyText"/>
        <w:spacing w:line="417" w:lineRule="auto"/>
        <w:ind w:left="540" w:right="311" w:firstLine="419"/>
      </w:pPr>
      <w:r>
        <w:rPr>
          <w:spacing w:val="-7"/>
        </w:rPr>
        <w:t>有关法律法规或监管部门制定或修改新的定期存款投资政策，基金管理人履行适当程序</w:t>
      </w:r>
      <w:r>
        <w:rPr>
          <w:spacing w:val="-5"/>
        </w:rPr>
        <w:t>后，可相应调整投资组合限制的规定。</w:t>
      </w:r>
    </w:p>
    <w:p>
      <w:pPr>
        <w:pStyle w:val="ListParagraph"/>
        <w:numPr>
          <w:ilvl w:val="0"/>
          <w:numId w:val="53"/>
        </w:numPr>
        <w:tabs>
          <w:tab w:pos="1120" w:val="left" w:leader="none"/>
        </w:tabs>
        <w:spacing w:line="417" w:lineRule="auto" w:before="0" w:after="0"/>
        <w:ind w:left="540" w:right="311" w:firstLine="419"/>
        <w:jc w:val="both"/>
        <w:rPr>
          <w:sz w:val="21"/>
        </w:rPr>
      </w:pPr>
      <w:r>
        <w:rPr>
          <w:spacing w:val="-5"/>
          <w:sz w:val="21"/>
        </w:rPr>
        <w:t>基金管理人负责对本基金存款银行的评估与研究，建立健全银行存款的业务流程、岗</w:t>
      </w:r>
      <w:r>
        <w:rPr>
          <w:spacing w:val="-11"/>
          <w:sz w:val="21"/>
        </w:rPr>
        <w:t>位职责、风险控制措施和监察稽核制度，切实防范有关风险。基金托管人负责对本基金银行</w:t>
      </w:r>
      <w:r>
        <w:rPr>
          <w:spacing w:val="-12"/>
          <w:sz w:val="21"/>
        </w:rPr>
        <w:t>定期存款业务的监督与核查，审查、复核相关协议、账户资料、投资指令、存款证实书等有</w:t>
      </w:r>
      <w:r>
        <w:rPr>
          <w:spacing w:val="-6"/>
          <w:sz w:val="21"/>
        </w:rPr>
        <w:t>关文件，切实履行托管职责。</w:t>
      </w:r>
    </w:p>
    <w:p>
      <w:pPr>
        <w:pStyle w:val="ListParagraph"/>
        <w:numPr>
          <w:ilvl w:val="0"/>
          <w:numId w:val="54"/>
        </w:numPr>
        <w:tabs>
          <w:tab w:pos="1490" w:val="left" w:leader="none"/>
        </w:tabs>
        <w:spacing w:line="417" w:lineRule="auto" w:before="0" w:after="0"/>
        <w:ind w:left="540" w:right="102" w:firstLine="419"/>
        <w:jc w:val="left"/>
        <w:rPr>
          <w:sz w:val="21"/>
        </w:rPr>
      </w:pPr>
      <w:r>
        <w:rPr>
          <w:spacing w:val="-3"/>
          <w:sz w:val="21"/>
        </w:rPr>
        <w:t>基金管理人负责控制信用风险。信用风险主要包括存款银行的信用等级、存款银 </w:t>
      </w:r>
      <w:r>
        <w:rPr>
          <w:spacing w:val="-8"/>
          <w:sz w:val="21"/>
        </w:rPr>
        <w:t>行的支付能力等涉及到存款银行选择方面的风险。因选择存款银行不当造成基金财产损失的， </w:t>
      </w:r>
      <w:r>
        <w:rPr>
          <w:spacing w:val="-5"/>
          <w:sz w:val="21"/>
        </w:rPr>
        <w:t>由基金管理人承担责任。</w:t>
      </w:r>
    </w:p>
    <w:p>
      <w:pPr>
        <w:pStyle w:val="ListParagraph"/>
        <w:numPr>
          <w:ilvl w:val="0"/>
          <w:numId w:val="54"/>
        </w:numPr>
        <w:tabs>
          <w:tab w:pos="1490" w:val="left" w:leader="none"/>
        </w:tabs>
        <w:spacing w:line="417" w:lineRule="auto" w:before="0" w:after="0"/>
        <w:ind w:left="540" w:right="311" w:firstLine="419"/>
        <w:jc w:val="both"/>
        <w:rPr>
          <w:sz w:val="21"/>
        </w:rPr>
      </w:pPr>
      <w:r>
        <w:rPr>
          <w:spacing w:val="-3"/>
          <w:sz w:val="21"/>
        </w:rPr>
        <w:t>基金管理人负责控制流动性风险，并承担因控制不力而造成的损失。流动性风险</w:t>
      </w:r>
      <w:r>
        <w:rPr>
          <w:spacing w:val="-9"/>
          <w:sz w:val="21"/>
        </w:rPr>
        <w:t>主要包括基金管理人要求全部提前支取、部分提前支取或到期支取而存款银行未能及时兑付</w:t>
      </w:r>
      <w:r>
        <w:rPr>
          <w:spacing w:val="-12"/>
          <w:sz w:val="21"/>
        </w:rPr>
        <w:t>的风险、基金投资银行存款不能满足基金正常结算业务的风险、因全部提前支取或部分提前</w:t>
      </w:r>
      <w:r>
        <w:rPr>
          <w:spacing w:val="-6"/>
          <w:sz w:val="21"/>
        </w:rPr>
        <w:t>支取而涉及的利息损失影响估值等涉及到基金流动性方面的风险。</w:t>
      </w:r>
    </w:p>
    <w:p>
      <w:pPr>
        <w:spacing w:after="0" w:line="417" w:lineRule="auto"/>
        <w:jc w:val="both"/>
        <w:rPr>
          <w:sz w:val="21"/>
        </w:rPr>
        <w:sectPr>
          <w:pgSz w:w="11910" w:h="16840"/>
          <w:pgMar w:header="877" w:footer="0" w:top="1420" w:bottom="280" w:left="1260" w:right="1480"/>
        </w:sectPr>
      </w:pPr>
    </w:p>
    <w:p>
      <w:pPr>
        <w:pStyle w:val="ListParagraph"/>
        <w:numPr>
          <w:ilvl w:val="0"/>
          <w:numId w:val="54"/>
        </w:numPr>
        <w:tabs>
          <w:tab w:pos="1490" w:val="left" w:leader="none"/>
        </w:tabs>
        <w:spacing w:line="417" w:lineRule="auto" w:before="110" w:after="0"/>
        <w:ind w:left="540" w:right="314" w:firstLine="419"/>
        <w:jc w:val="left"/>
        <w:rPr>
          <w:sz w:val="21"/>
        </w:rPr>
      </w:pPr>
      <w:r>
        <w:rPr>
          <w:spacing w:val="-3"/>
          <w:sz w:val="21"/>
        </w:rPr>
        <w:t>基金管理人须加强内部风险控制制度的建设。如因基金管理人员工职务行为导致基金财产受到损失的，需由基金管理人承担由此造成的损失。</w:t>
      </w:r>
    </w:p>
    <w:p>
      <w:pPr>
        <w:pStyle w:val="ListParagraph"/>
        <w:numPr>
          <w:ilvl w:val="0"/>
          <w:numId w:val="54"/>
        </w:numPr>
        <w:tabs>
          <w:tab w:pos="1490" w:val="left" w:leader="none"/>
        </w:tabs>
        <w:spacing w:line="417" w:lineRule="auto" w:before="0" w:after="0"/>
        <w:ind w:left="540" w:right="311" w:firstLine="419"/>
        <w:jc w:val="left"/>
        <w:rPr>
          <w:sz w:val="21"/>
        </w:rPr>
      </w:pPr>
      <w:r>
        <w:rPr>
          <w:spacing w:val="-10"/>
          <w:sz w:val="21"/>
        </w:rPr>
        <w:t>基金管理人与基金托管人在开展基金存款业务时，应严格遵守《基金法》、《运作</w:t>
      </w:r>
      <w:r>
        <w:rPr>
          <w:spacing w:val="-5"/>
          <w:sz w:val="21"/>
        </w:rPr>
        <w:t>办法》等有关法律法规，以及国家有关账户管理、利率管理、支付结算等的各项规定。</w:t>
      </w:r>
    </w:p>
    <w:p>
      <w:pPr>
        <w:pStyle w:val="BodyText"/>
        <w:spacing w:line="417" w:lineRule="auto"/>
        <w:ind w:left="540" w:right="311" w:firstLine="419"/>
      </w:pPr>
      <w:r>
        <w:rPr/>
        <w:t>（三</w:t>
      </w:r>
      <w:r>
        <w:rPr>
          <w:spacing w:val="-27"/>
        </w:rPr>
        <w:t>）</w:t>
      </w:r>
      <w:r>
        <w:rPr>
          <w:spacing w:val="-7"/>
        </w:rPr>
        <w:t>基金投资银行存款协议的签订、账户开设与管理、投资指令与资金划付、账目核</w:t>
      </w:r>
      <w:r>
        <w:rPr>
          <w:spacing w:val="-5"/>
        </w:rPr>
        <w:t>对、到期兑付、提前支取</w:t>
      </w:r>
    </w:p>
    <w:p>
      <w:pPr>
        <w:pStyle w:val="ListParagraph"/>
        <w:numPr>
          <w:ilvl w:val="0"/>
          <w:numId w:val="55"/>
        </w:numPr>
        <w:tabs>
          <w:tab w:pos="1120" w:val="left" w:leader="none"/>
        </w:tabs>
        <w:spacing w:line="269" w:lineRule="exact" w:before="0" w:after="0"/>
        <w:ind w:left="1119" w:right="0" w:hanging="160"/>
        <w:jc w:val="left"/>
        <w:rPr>
          <w:sz w:val="21"/>
        </w:rPr>
      </w:pPr>
      <w:r>
        <w:rPr>
          <w:spacing w:val="-3"/>
          <w:sz w:val="21"/>
        </w:rPr>
        <w:t>基金投资银行存款协议的签订</w:t>
      </w:r>
    </w:p>
    <w:p>
      <w:pPr>
        <w:pStyle w:val="BodyText"/>
        <w:spacing w:before="6"/>
        <w:rPr>
          <w:sz w:val="15"/>
        </w:rPr>
      </w:pPr>
    </w:p>
    <w:p>
      <w:pPr>
        <w:pStyle w:val="ListParagraph"/>
        <w:numPr>
          <w:ilvl w:val="0"/>
          <w:numId w:val="56"/>
        </w:numPr>
        <w:tabs>
          <w:tab w:pos="1490" w:val="left" w:leader="none"/>
        </w:tabs>
        <w:spacing w:line="417" w:lineRule="auto" w:before="0" w:after="0"/>
        <w:ind w:left="540" w:right="314" w:firstLine="419"/>
        <w:jc w:val="both"/>
        <w:rPr>
          <w:sz w:val="21"/>
        </w:rPr>
      </w:pPr>
      <w:r>
        <w:rPr>
          <w:spacing w:val="-3"/>
          <w:sz w:val="21"/>
        </w:rPr>
        <w:t>基金管理人应与符合资格的存款银行总行或其授权分行签订《基金存款业务总体合作协议</w:t>
      </w:r>
      <w:r>
        <w:rPr>
          <w:spacing w:val="-159"/>
          <w:sz w:val="21"/>
        </w:rPr>
        <w:t>》</w:t>
      </w:r>
      <w:r>
        <w:rPr>
          <w:sz w:val="21"/>
        </w:rPr>
        <w:t>（</w:t>
      </w:r>
      <w:r>
        <w:rPr>
          <w:spacing w:val="-18"/>
          <w:sz w:val="21"/>
        </w:rPr>
        <w:t>以下简称《总体合作协议》</w:t>
      </w:r>
      <w:r>
        <w:rPr>
          <w:spacing w:val="-80"/>
          <w:sz w:val="21"/>
        </w:rPr>
        <w:t>）</w:t>
      </w:r>
      <w:r>
        <w:rPr>
          <w:spacing w:val="-16"/>
          <w:sz w:val="21"/>
        </w:rPr>
        <w:t>，确定《存款协议书》的格式范本</w:t>
      </w:r>
      <w:r>
        <w:rPr>
          <w:spacing w:val="-21"/>
          <w:sz w:val="21"/>
        </w:rPr>
        <w:t>。《总体合作协议》</w:t>
      </w:r>
      <w:r>
        <w:rPr>
          <w:spacing w:val="-8"/>
          <w:sz w:val="21"/>
        </w:rPr>
        <w:t>和《存款协议书》的格式范本由基金托管人与基金管理人共同商定。</w:t>
      </w:r>
    </w:p>
    <w:p>
      <w:pPr>
        <w:pStyle w:val="ListParagraph"/>
        <w:numPr>
          <w:ilvl w:val="0"/>
          <w:numId w:val="56"/>
        </w:numPr>
        <w:tabs>
          <w:tab w:pos="1490" w:val="left" w:leader="none"/>
        </w:tabs>
        <w:spacing w:line="417" w:lineRule="auto" w:before="0" w:after="0"/>
        <w:ind w:left="540" w:right="311" w:firstLine="419"/>
        <w:jc w:val="left"/>
        <w:rPr>
          <w:sz w:val="21"/>
        </w:rPr>
      </w:pPr>
      <w:r>
        <w:rPr>
          <w:spacing w:val="-13"/>
          <w:sz w:val="21"/>
        </w:rPr>
        <w:t>基金托管人依据相关法规对《总体合作协议》和《存款协议书》的内容进行复核 </w:t>
      </w:r>
      <w:r>
        <w:rPr>
          <w:spacing w:val="-7"/>
          <w:sz w:val="21"/>
        </w:rPr>
        <w:t>，审查存款银行资格等。</w:t>
      </w:r>
    </w:p>
    <w:p>
      <w:pPr>
        <w:pStyle w:val="ListParagraph"/>
        <w:numPr>
          <w:ilvl w:val="0"/>
          <w:numId w:val="56"/>
        </w:numPr>
        <w:tabs>
          <w:tab w:pos="1490" w:val="left" w:leader="none"/>
        </w:tabs>
        <w:spacing w:line="417" w:lineRule="auto" w:before="0" w:after="0"/>
        <w:ind w:left="540" w:right="208" w:firstLine="419"/>
        <w:jc w:val="left"/>
        <w:rPr>
          <w:sz w:val="21"/>
        </w:rPr>
      </w:pPr>
      <w:r>
        <w:rPr>
          <w:spacing w:val="-3"/>
          <w:sz w:val="21"/>
        </w:rPr>
        <w:t>基金管理人应在《存款协议书》中明确存款证实书或其他有效存款凭证的办理方式、邮寄地址、联系人和联系电话，以及存款证实书或其他有效凭证在邮寄过程中遗失后， 存款余额的确认及兑付办法等。</w:t>
      </w:r>
    </w:p>
    <w:p>
      <w:pPr>
        <w:pStyle w:val="ListParagraph"/>
        <w:numPr>
          <w:ilvl w:val="0"/>
          <w:numId w:val="56"/>
        </w:numPr>
        <w:tabs>
          <w:tab w:pos="1490" w:val="left" w:leader="none"/>
        </w:tabs>
        <w:spacing w:line="417" w:lineRule="auto" w:before="0" w:after="0"/>
        <w:ind w:left="540" w:right="311" w:firstLine="419"/>
        <w:jc w:val="both"/>
        <w:rPr>
          <w:sz w:val="21"/>
        </w:rPr>
      </w:pPr>
      <w:r>
        <w:rPr>
          <w:spacing w:val="-1"/>
          <w:sz w:val="21"/>
        </w:rPr>
        <w:t>由存款银行指定的存放存款的分支机构</w:t>
      </w:r>
      <w:r>
        <w:rPr>
          <w:sz w:val="21"/>
        </w:rPr>
        <w:t>（</w:t>
      </w:r>
      <w:r>
        <w:rPr>
          <w:spacing w:val="-2"/>
          <w:sz w:val="21"/>
        </w:rPr>
        <w:t>以下简称</w:t>
      </w:r>
      <w:r>
        <w:rPr>
          <w:rFonts w:ascii="Times New Roman" w:hAnsi="Times New Roman" w:eastAsia="Times New Roman"/>
          <w:sz w:val="21"/>
        </w:rPr>
        <w:t>“</w:t>
      </w:r>
      <w:r>
        <w:rPr>
          <w:sz w:val="21"/>
        </w:rPr>
        <w:t>存款分支机构</w:t>
      </w:r>
      <w:r>
        <w:rPr>
          <w:rFonts w:ascii="Times New Roman" w:hAnsi="Times New Roman" w:eastAsia="Times New Roman"/>
          <w:sz w:val="21"/>
        </w:rPr>
        <w:t>”</w:t>
      </w:r>
      <w:r>
        <w:rPr>
          <w:sz w:val="21"/>
        </w:rPr>
        <w:t>）</w:t>
      </w:r>
      <w:r>
        <w:rPr>
          <w:spacing w:val="-2"/>
          <w:sz w:val="21"/>
        </w:rPr>
        <w:t>寄送或上门</w:t>
      </w:r>
      <w:r>
        <w:rPr>
          <w:spacing w:val="-9"/>
          <w:sz w:val="21"/>
        </w:rPr>
        <w:t>交付存款证实书或其他有效存款凭证的，基金托管人可向存款分支机构的上级行发出存款余</w:t>
      </w:r>
      <w:r>
        <w:rPr>
          <w:spacing w:val="-5"/>
          <w:sz w:val="21"/>
        </w:rPr>
        <w:t>额询证函，存款分支机构及其上级行应予配合。</w:t>
      </w:r>
    </w:p>
    <w:p>
      <w:pPr>
        <w:pStyle w:val="ListParagraph"/>
        <w:numPr>
          <w:ilvl w:val="0"/>
          <w:numId w:val="56"/>
        </w:numPr>
        <w:tabs>
          <w:tab w:pos="1490" w:val="left" w:leader="none"/>
        </w:tabs>
        <w:spacing w:line="417" w:lineRule="auto" w:before="0" w:after="0"/>
        <w:ind w:left="540" w:right="314" w:firstLine="419"/>
        <w:jc w:val="both"/>
        <w:rPr>
          <w:sz w:val="21"/>
        </w:rPr>
      </w:pPr>
      <w:r>
        <w:rPr>
          <w:spacing w:val="-3"/>
          <w:sz w:val="21"/>
        </w:rPr>
        <w:t>基金管理人应在《存款协议书》中规定，基金存放到期或提前兑付的资金应全部</w:t>
      </w:r>
      <w:r>
        <w:rPr>
          <w:spacing w:val="-19"/>
          <w:sz w:val="21"/>
        </w:rPr>
        <w:t>划转到指定的基金托管账户，并在《存款协议书》写明账户名称和账号，未划入指定账户的， </w:t>
      </w:r>
      <w:r>
        <w:rPr>
          <w:spacing w:val="-8"/>
          <w:sz w:val="21"/>
        </w:rPr>
        <w:t>由存款银行承担一切责任。</w:t>
      </w:r>
    </w:p>
    <w:p>
      <w:pPr>
        <w:pStyle w:val="ListParagraph"/>
        <w:numPr>
          <w:ilvl w:val="0"/>
          <w:numId w:val="56"/>
        </w:numPr>
        <w:tabs>
          <w:tab w:pos="1490" w:val="left" w:leader="none"/>
        </w:tabs>
        <w:spacing w:line="427" w:lineRule="auto" w:before="73" w:after="0"/>
        <w:ind w:left="540" w:right="311" w:firstLine="419"/>
        <w:jc w:val="both"/>
        <w:rPr>
          <w:sz w:val="21"/>
        </w:rPr>
      </w:pPr>
      <w:r>
        <w:rPr>
          <w:spacing w:val="-3"/>
          <w:sz w:val="21"/>
        </w:rPr>
        <w:t>基金管理人应在《存款协议书》中规定，在存期内，如本基金银行账户、预留印</w:t>
      </w:r>
      <w:r>
        <w:rPr>
          <w:spacing w:val="-10"/>
          <w:sz w:val="21"/>
        </w:rPr>
        <w:t>鉴发生变更，管理人应及时书面通知存款行，书面通知应加盖基金托管人预留印鉴。存款分支机构应及时就变更事项向基金管理人、基金托管人出具正式书面确认书。变更通知的送达</w:t>
      </w:r>
      <w:r>
        <w:rPr>
          <w:spacing w:val="-12"/>
          <w:sz w:val="21"/>
        </w:rPr>
        <w:t>方式同开户手续。在存期内，存款分支机构和基金托管人的指定联系人变更，应及时加盖公</w:t>
      </w:r>
      <w:r>
        <w:rPr>
          <w:spacing w:val="-6"/>
          <w:sz w:val="21"/>
        </w:rPr>
        <w:t>章书面通知对方。</w:t>
      </w:r>
    </w:p>
    <w:p>
      <w:pPr>
        <w:pStyle w:val="ListParagraph"/>
        <w:numPr>
          <w:ilvl w:val="0"/>
          <w:numId w:val="56"/>
        </w:numPr>
        <w:tabs>
          <w:tab w:pos="1490" w:val="left" w:leader="none"/>
        </w:tabs>
        <w:spacing w:line="200" w:lineRule="exact" w:before="0" w:after="0"/>
        <w:ind w:left="1489" w:right="0" w:hanging="530"/>
        <w:jc w:val="left"/>
        <w:rPr>
          <w:sz w:val="21"/>
        </w:rPr>
      </w:pPr>
      <w:r>
        <w:rPr>
          <w:spacing w:val="-3"/>
          <w:sz w:val="21"/>
        </w:rPr>
        <w:t>基金管理人应在《存款协议书》中规定，因定期存款产生的存单不得被质押或以</w:t>
      </w:r>
    </w:p>
    <w:p>
      <w:pPr>
        <w:pStyle w:val="BodyText"/>
        <w:spacing w:before="7"/>
        <w:rPr>
          <w:sz w:val="15"/>
        </w:rPr>
      </w:pPr>
    </w:p>
    <w:p>
      <w:pPr>
        <w:pStyle w:val="BodyText"/>
        <w:ind w:left="540"/>
      </w:pPr>
      <w:r>
        <w:rPr/>
        <w:t>任何方式被抵押，不得用于转让和背书。</w:t>
      </w:r>
    </w:p>
    <w:p>
      <w:pPr>
        <w:pStyle w:val="BodyText"/>
        <w:spacing w:before="7"/>
        <w:rPr>
          <w:sz w:val="15"/>
        </w:rPr>
      </w:pPr>
    </w:p>
    <w:p>
      <w:pPr>
        <w:pStyle w:val="ListParagraph"/>
        <w:numPr>
          <w:ilvl w:val="0"/>
          <w:numId w:val="55"/>
        </w:numPr>
        <w:tabs>
          <w:tab w:pos="1120" w:val="left" w:leader="none"/>
        </w:tabs>
        <w:spacing w:line="240" w:lineRule="auto" w:before="0" w:after="0"/>
        <w:ind w:left="1119" w:right="0" w:hanging="160"/>
        <w:jc w:val="left"/>
        <w:rPr>
          <w:sz w:val="21"/>
        </w:rPr>
      </w:pPr>
      <w:r>
        <w:rPr>
          <w:spacing w:val="-3"/>
          <w:sz w:val="21"/>
        </w:rPr>
        <w:t>基金投资银行存款时的账户开设与管理</w:t>
      </w:r>
    </w:p>
    <w:p>
      <w:pPr>
        <w:spacing w:after="0" w:line="240" w:lineRule="auto"/>
        <w:jc w:val="left"/>
        <w:rPr>
          <w:sz w:val="21"/>
        </w:rPr>
        <w:sectPr>
          <w:pgSz w:w="11910" w:h="16840"/>
          <w:pgMar w:header="877" w:footer="0" w:top="1420" w:bottom="280" w:left="1260" w:right="1480"/>
        </w:sectPr>
      </w:pPr>
    </w:p>
    <w:p>
      <w:pPr>
        <w:pStyle w:val="ListParagraph"/>
        <w:numPr>
          <w:ilvl w:val="0"/>
          <w:numId w:val="57"/>
        </w:numPr>
        <w:tabs>
          <w:tab w:pos="1490" w:val="left" w:leader="none"/>
        </w:tabs>
        <w:spacing w:line="417" w:lineRule="auto" w:before="110" w:after="0"/>
        <w:ind w:left="540" w:right="311" w:firstLine="419"/>
        <w:jc w:val="both"/>
        <w:rPr>
          <w:sz w:val="21"/>
        </w:rPr>
      </w:pPr>
      <w:r>
        <w:rPr>
          <w:spacing w:val="-3"/>
          <w:sz w:val="21"/>
        </w:rPr>
        <w:t>基金投资于银行存款时，基金管理人应当依据基金管理人与存款银行签订的《总</w:t>
      </w:r>
      <w:r>
        <w:rPr>
          <w:spacing w:val="-21"/>
          <w:sz w:val="21"/>
        </w:rPr>
        <w:t>体合作协议》、《存款协议书》等，以基金的名义在存款银行总行或授权分行指定的分支机构</w:t>
      </w:r>
      <w:r>
        <w:rPr>
          <w:spacing w:val="-9"/>
          <w:sz w:val="21"/>
        </w:rPr>
        <w:t>开立银行账户。</w:t>
      </w:r>
    </w:p>
    <w:p>
      <w:pPr>
        <w:pStyle w:val="ListParagraph"/>
        <w:numPr>
          <w:ilvl w:val="0"/>
          <w:numId w:val="57"/>
        </w:numPr>
        <w:tabs>
          <w:tab w:pos="1490" w:val="left" w:leader="none"/>
        </w:tabs>
        <w:spacing w:line="269" w:lineRule="exact" w:before="0" w:after="0"/>
        <w:ind w:left="1489" w:right="0" w:hanging="530"/>
        <w:jc w:val="left"/>
        <w:rPr>
          <w:sz w:val="21"/>
        </w:rPr>
      </w:pPr>
      <w:r>
        <w:rPr>
          <w:spacing w:val="-3"/>
          <w:sz w:val="21"/>
        </w:rPr>
        <w:t>基金投资于银行存款时的预留印鉴由基金托管人保管和使用。</w:t>
      </w:r>
    </w:p>
    <w:p>
      <w:pPr>
        <w:pStyle w:val="BodyText"/>
        <w:spacing w:before="6"/>
        <w:rPr>
          <w:sz w:val="15"/>
        </w:rPr>
      </w:pPr>
    </w:p>
    <w:p>
      <w:pPr>
        <w:pStyle w:val="ListParagraph"/>
        <w:numPr>
          <w:ilvl w:val="0"/>
          <w:numId w:val="55"/>
        </w:numPr>
        <w:tabs>
          <w:tab w:pos="1120" w:val="left" w:leader="none"/>
        </w:tabs>
        <w:spacing w:line="240" w:lineRule="auto" w:before="0" w:after="0"/>
        <w:ind w:left="1119" w:right="0" w:hanging="160"/>
        <w:jc w:val="left"/>
        <w:rPr>
          <w:sz w:val="21"/>
        </w:rPr>
      </w:pPr>
      <w:r>
        <w:rPr>
          <w:spacing w:val="-3"/>
          <w:sz w:val="21"/>
        </w:rPr>
        <w:t>存款凭证传递、账目核对及到期兑付</w:t>
      </w:r>
    </w:p>
    <w:p>
      <w:pPr>
        <w:pStyle w:val="BodyText"/>
        <w:spacing w:before="7"/>
        <w:rPr>
          <w:sz w:val="15"/>
        </w:rPr>
      </w:pPr>
    </w:p>
    <w:p>
      <w:pPr>
        <w:pStyle w:val="ListParagraph"/>
        <w:numPr>
          <w:ilvl w:val="0"/>
          <w:numId w:val="58"/>
        </w:numPr>
        <w:tabs>
          <w:tab w:pos="1490" w:val="left" w:leader="none"/>
        </w:tabs>
        <w:spacing w:line="240" w:lineRule="auto" w:before="0" w:after="0"/>
        <w:ind w:left="1489" w:right="0" w:hanging="530"/>
        <w:jc w:val="left"/>
        <w:rPr>
          <w:sz w:val="21"/>
        </w:rPr>
      </w:pPr>
      <w:r>
        <w:rPr>
          <w:spacing w:val="-3"/>
          <w:sz w:val="21"/>
        </w:rPr>
        <w:t>存款证实书等存款凭证传递</w:t>
      </w:r>
    </w:p>
    <w:p>
      <w:pPr>
        <w:pStyle w:val="BodyText"/>
        <w:spacing w:before="7"/>
        <w:rPr>
          <w:sz w:val="15"/>
        </w:rPr>
      </w:pPr>
    </w:p>
    <w:p>
      <w:pPr>
        <w:pStyle w:val="BodyText"/>
        <w:ind w:left="960"/>
      </w:pPr>
      <w:r>
        <w:rPr/>
        <w:t>存款资金只能存放于存款银行总行或者其授权分行指定的分支机构。基金管理人应在</w:t>
      </w:r>
    </w:p>
    <w:p>
      <w:pPr>
        <w:pStyle w:val="BodyText"/>
        <w:spacing w:before="7"/>
        <w:rPr>
          <w:sz w:val="15"/>
        </w:rPr>
      </w:pPr>
    </w:p>
    <w:p>
      <w:pPr>
        <w:pStyle w:val="BodyText"/>
        <w:spacing w:line="417" w:lineRule="auto"/>
        <w:ind w:left="540" w:right="311"/>
        <w:jc w:val="both"/>
      </w:pPr>
      <w:r>
        <w:rPr>
          <w:spacing w:val="-20"/>
        </w:rPr>
        <w:t>《存款协议书》中规定，存款银行分支机构应为基金开具存款证实书或其他有效存款凭证</w:t>
      </w:r>
      <w:r>
        <w:rPr>
          <w:spacing w:val="-3"/>
        </w:rPr>
        <w:t>（</w:t>
      </w:r>
      <w:r>
        <w:rPr/>
        <w:t>下</w:t>
      </w:r>
      <w:r>
        <w:rPr>
          <w:spacing w:val="-1"/>
          <w:w w:val="100"/>
        </w:rPr>
        <w:t>称</w:t>
      </w:r>
      <w:r>
        <w:rPr>
          <w:rFonts w:ascii="Times New Roman" w:hAnsi="Times New Roman" w:eastAsia="Times New Roman"/>
          <w:spacing w:val="-1"/>
          <w:w w:val="100"/>
        </w:rPr>
        <w:t>“</w:t>
      </w:r>
      <w:r>
        <w:rPr>
          <w:w w:val="100"/>
        </w:rPr>
        <w:t>存款凭证</w:t>
      </w:r>
      <w:r>
        <w:rPr>
          <w:rFonts w:ascii="Times New Roman" w:hAnsi="Times New Roman" w:eastAsia="Times New Roman"/>
          <w:spacing w:val="-1"/>
          <w:w w:val="100"/>
        </w:rPr>
        <w:t>”</w:t>
      </w:r>
      <w:r>
        <w:rPr>
          <w:spacing w:val="-104"/>
          <w:w w:val="100"/>
        </w:rPr>
        <w:t>）</w:t>
      </w:r>
      <w:r>
        <w:rPr>
          <w:spacing w:val="-3"/>
          <w:w w:val="100"/>
        </w:rPr>
        <w:t>，该存款凭证为基金存款确认或到期提款的有效凭证，且对应每笔存款仅能</w:t>
      </w:r>
      <w:r>
        <w:rPr>
          <w:spacing w:val="-12"/>
        </w:rPr>
        <w:t>开具唯一存款凭证。资金到账当日，由存款银行分支机构指定的会计主管传真一份存款凭证</w:t>
      </w:r>
      <w:r>
        <w:rPr>
          <w:spacing w:val="-11"/>
        </w:rPr>
        <w:t>复印件并与基金托管人电话确认收妥后，将存款凭证原件通过快递寄送或上门交付至基金托</w:t>
      </w:r>
      <w:r>
        <w:rPr>
          <w:spacing w:val="-12"/>
        </w:rPr>
        <w:t>管人指定联系人；若存款银行分支机构代为保管存款凭证的，由存款银行分支机构指定会计</w:t>
      </w:r>
      <w:r>
        <w:rPr>
          <w:spacing w:val="-6"/>
        </w:rPr>
        <w:t>主管传真一份存款凭证复印件并与基金托管人电话确认收妥。</w:t>
      </w:r>
    </w:p>
    <w:p>
      <w:pPr>
        <w:pStyle w:val="ListParagraph"/>
        <w:numPr>
          <w:ilvl w:val="0"/>
          <w:numId w:val="58"/>
        </w:numPr>
        <w:tabs>
          <w:tab w:pos="1490" w:val="left" w:leader="none"/>
        </w:tabs>
        <w:spacing w:line="268" w:lineRule="exact" w:before="0" w:after="0"/>
        <w:ind w:left="1489" w:right="0" w:hanging="530"/>
        <w:jc w:val="left"/>
        <w:rPr>
          <w:sz w:val="21"/>
        </w:rPr>
      </w:pPr>
      <w:r>
        <w:rPr>
          <w:spacing w:val="-3"/>
          <w:sz w:val="21"/>
        </w:rPr>
        <w:t>存款凭证的遗失补办</w:t>
      </w:r>
    </w:p>
    <w:p>
      <w:pPr>
        <w:pStyle w:val="BodyText"/>
        <w:spacing w:before="7"/>
        <w:rPr>
          <w:sz w:val="15"/>
        </w:rPr>
      </w:pPr>
    </w:p>
    <w:p>
      <w:pPr>
        <w:pStyle w:val="BodyText"/>
        <w:spacing w:line="417" w:lineRule="auto"/>
        <w:ind w:left="540" w:right="311" w:firstLine="419"/>
        <w:jc w:val="both"/>
      </w:pPr>
      <w:r>
        <w:rPr>
          <w:spacing w:val="-9"/>
        </w:rPr>
        <w:t>存款凭证在邮寄过程中遗失的，由基金管理人向存款银行提出补办申请，基金管理人应</w:t>
      </w:r>
      <w:r>
        <w:rPr>
          <w:spacing w:val="-5"/>
        </w:rPr>
        <w:t>督促存款银行尽快补办存款凭证，并按以上</w:t>
      </w:r>
      <w:r>
        <w:rPr/>
        <w:t>（</w:t>
      </w:r>
      <w:r>
        <w:rPr>
          <w:rFonts w:ascii="Times New Roman" w:eastAsia="Times New Roman"/>
        </w:rPr>
        <w:t>1</w:t>
      </w:r>
      <w:r>
        <w:rPr/>
        <w:t>）</w:t>
      </w:r>
      <w:r>
        <w:rPr>
          <w:spacing w:val="-3"/>
        </w:rPr>
        <w:t>的方式快递或上门交付至托管人，原存款凭证自动作废。</w:t>
      </w:r>
    </w:p>
    <w:p>
      <w:pPr>
        <w:pStyle w:val="ListParagraph"/>
        <w:numPr>
          <w:ilvl w:val="0"/>
          <w:numId w:val="58"/>
        </w:numPr>
        <w:tabs>
          <w:tab w:pos="1490" w:val="left" w:leader="none"/>
        </w:tabs>
        <w:spacing w:line="269" w:lineRule="exact" w:before="0" w:after="0"/>
        <w:ind w:left="1489" w:right="0" w:hanging="530"/>
        <w:jc w:val="left"/>
        <w:rPr>
          <w:sz w:val="21"/>
        </w:rPr>
      </w:pPr>
      <w:r>
        <w:rPr>
          <w:spacing w:val="-2"/>
          <w:sz w:val="21"/>
        </w:rPr>
        <w:t>账目核对</w:t>
      </w:r>
    </w:p>
    <w:p>
      <w:pPr>
        <w:pStyle w:val="BodyText"/>
        <w:spacing w:before="7"/>
        <w:rPr>
          <w:sz w:val="15"/>
        </w:rPr>
      </w:pPr>
    </w:p>
    <w:p>
      <w:pPr>
        <w:pStyle w:val="BodyText"/>
        <w:ind w:left="960"/>
      </w:pPr>
      <w:r>
        <w:rPr/>
        <w:t>每个工作日，基金管理人应与基金托管人核对各项银行存款投资余额及应计利息。</w:t>
      </w:r>
    </w:p>
    <w:p>
      <w:pPr>
        <w:pStyle w:val="BodyText"/>
        <w:spacing w:before="4"/>
      </w:pPr>
    </w:p>
    <w:p>
      <w:pPr>
        <w:pStyle w:val="BodyText"/>
        <w:ind w:left="960"/>
      </w:pPr>
      <w:r>
        <w:rPr/>
        <w:t>基金管理人应在《存款协议书》中规定，对于存期超过 </w:t>
      </w:r>
      <w:r>
        <w:rPr>
          <w:rFonts w:ascii="Times New Roman" w:eastAsia="Times New Roman"/>
        </w:rPr>
        <w:t>3 </w:t>
      </w:r>
      <w:r>
        <w:rPr/>
        <w:t>个月的定期存款，存款银行应</w:t>
      </w:r>
    </w:p>
    <w:p>
      <w:pPr>
        <w:pStyle w:val="BodyText"/>
        <w:spacing w:before="6"/>
        <w:rPr>
          <w:sz w:val="16"/>
        </w:rPr>
      </w:pPr>
    </w:p>
    <w:p>
      <w:pPr>
        <w:pStyle w:val="BodyText"/>
        <w:ind w:left="540"/>
        <w:jc w:val="both"/>
      </w:pPr>
      <w:r>
        <w:rPr/>
        <w:t>于每季末后 </w:t>
      </w:r>
      <w:r>
        <w:rPr>
          <w:rFonts w:ascii="Times New Roman" w:eastAsia="Times New Roman"/>
        </w:rPr>
        <w:t>5 </w:t>
      </w:r>
      <w:r>
        <w:rPr/>
        <w:t>个工作日内向基金托管人指定人员寄送对账单。</w:t>
      </w:r>
    </w:p>
    <w:p>
      <w:pPr>
        <w:pStyle w:val="BodyText"/>
        <w:spacing w:before="7"/>
        <w:rPr>
          <w:sz w:val="16"/>
        </w:rPr>
      </w:pPr>
    </w:p>
    <w:p>
      <w:pPr>
        <w:pStyle w:val="BodyText"/>
        <w:ind w:left="960"/>
      </w:pPr>
      <w:r>
        <w:rPr/>
        <w:t>因存款银行未寄送对账单造成的资金被挪用、盗取的责任由存款银行承担。</w:t>
      </w:r>
    </w:p>
    <w:p>
      <w:pPr>
        <w:pStyle w:val="BodyText"/>
        <w:spacing w:before="6"/>
        <w:rPr>
          <w:sz w:val="16"/>
        </w:rPr>
      </w:pPr>
    </w:p>
    <w:p>
      <w:pPr>
        <w:pStyle w:val="BodyText"/>
        <w:spacing w:line="427" w:lineRule="auto"/>
        <w:ind w:left="540" w:right="311" w:firstLine="419"/>
      </w:pPr>
      <w:r>
        <w:rPr>
          <w:spacing w:val="-8"/>
        </w:rPr>
        <w:t>存款银行应配合基金托管人对存款凭证的询证，并在询证函上加盖存款银行公章寄送至</w:t>
      </w:r>
      <w:r>
        <w:rPr>
          <w:spacing w:val="-5"/>
        </w:rPr>
        <w:t>基金托管人指定联系人。</w:t>
      </w:r>
    </w:p>
    <w:p>
      <w:pPr>
        <w:pStyle w:val="ListParagraph"/>
        <w:numPr>
          <w:ilvl w:val="0"/>
          <w:numId w:val="58"/>
        </w:numPr>
        <w:tabs>
          <w:tab w:pos="1490" w:val="left" w:leader="none"/>
        </w:tabs>
        <w:spacing w:line="197" w:lineRule="exact" w:before="0" w:after="0"/>
        <w:ind w:left="1489" w:right="0" w:hanging="530"/>
        <w:jc w:val="left"/>
        <w:rPr>
          <w:sz w:val="21"/>
        </w:rPr>
      </w:pPr>
      <w:r>
        <w:rPr>
          <w:spacing w:val="-2"/>
          <w:sz w:val="21"/>
        </w:rPr>
        <w:t>到期兑付</w:t>
      </w:r>
    </w:p>
    <w:p>
      <w:pPr>
        <w:pStyle w:val="BodyText"/>
        <w:spacing w:before="6"/>
        <w:rPr>
          <w:sz w:val="15"/>
        </w:rPr>
      </w:pPr>
    </w:p>
    <w:p>
      <w:pPr>
        <w:pStyle w:val="BodyText"/>
        <w:spacing w:line="417" w:lineRule="auto" w:before="1"/>
        <w:ind w:left="540" w:right="311" w:firstLine="419"/>
        <w:jc w:val="both"/>
      </w:pPr>
      <w:r>
        <w:rPr/>
        <w:t>基金管理人提前通知基金托管人通过快递将存款凭证原件寄给存款银行分支机构指定</w:t>
      </w:r>
      <w:r>
        <w:rPr>
          <w:spacing w:val="-10"/>
        </w:rPr>
        <w:t>的会计主管。存款银行未收到存款凭证原件的，应与基金托管人电话询问。存款到期前基金</w:t>
      </w:r>
      <w:r>
        <w:rPr>
          <w:spacing w:val="-5"/>
        </w:rPr>
        <w:t>管理人与存款银行确认存款凭证收到并于到期日兑付存款本息事宜。</w:t>
      </w:r>
    </w:p>
    <w:p>
      <w:pPr>
        <w:pStyle w:val="BodyText"/>
        <w:ind w:left="960"/>
      </w:pPr>
      <w:r>
        <w:rPr/>
        <w:t>基金托管人在存款到期日未收到存款本息或存款本息金额不符时，通知基金管理人与存</w:t>
      </w:r>
    </w:p>
    <w:p>
      <w:pPr>
        <w:spacing w:after="0"/>
        <w:sectPr>
          <w:pgSz w:w="11910" w:h="16840"/>
          <w:pgMar w:header="877" w:footer="0" w:top="1420" w:bottom="280" w:left="1260" w:right="1480"/>
        </w:sectPr>
      </w:pPr>
    </w:p>
    <w:p>
      <w:pPr>
        <w:pStyle w:val="BodyText"/>
        <w:spacing w:line="417" w:lineRule="auto" w:before="110"/>
        <w:ind w:left="540" w:right="311"/>
      </w:pPr>
      <w:r>
        <w:rPr>
          <w:spacing w:val="-8"/>
        </w:rPr>
        <w:t>款银行接洽存款到账时间及利息补付事宜。基金管理人应将接洽结果告知基金托管人，基金</w:t>
      </w:r>
      <w:r>
        <w:rPr>
          <w:spacing w:val="-5"/>
        </w:rPr>
        <w:t>托管人收妥存款本息的当日通知基金管理人。</w:t>
      </w:r>
    </w:p>
    <w:p>
      <w:pPr>
        <w:pStyle w:val="BodyText"/>
        <w:spacing w:line="417" w:lineRule="auto"/>
        <w:ind w:left="540" w:right="311" w:firstLine="419"/>
        <w:jc w:val="both"/>
      </w:pPr>
      <w:r>
        <w:rPr>
          <w:spacing w:val="-11"/>
        </w:rPr>
        <w:t>基金管理人应在《存款协议书》中规定，存款凭证在邮寄过程中遗失的，存款银行应立即通知基金托管人，基金托管人在原存款凭证复印件上加盖公章并出具相关证明文件后，与</w:t>
      </w:r>
      <w:r>
        <w:rPr>
          <w:spacing w:val="-12"/>
        </w:rPr>
        <w:t>存款银行指定会计主管电话确认后，存款银行应在到期日将存款本息划至指定的基金资金账</w:t>
      </w:r>
      <w:r>
        <w:rPr>
          <w:spacing w:val="-11"/>
        </w:rPr>
        <w:t>户。如果存款到期日为法定节假日，存款银行顺延至到期后第一个工作日支付，存款银行需</w:t>
      </w:r>
      <w:r>
        <w:rPr>
          <w:spacing w:val="-6"/>
        </w:rPr>
        <w:t>按原协议约定利率和实际延期天数支付延期利息。</w:t>
      </w:r>
    </w:p>
    <w:p>
      <w:pPr>
        <w:pStyle w:val="ListParagraph"/>
        <w:numPr>
          <w:ilvl w:val="0"/>
          <w:numId w:val="55"/>
        </w:numPr>
        <w:tabs>
          <w:tab w:pos="1120" w:val="left" w:leader="none"/>
        </w:tabs>
        <w:spacing w:line="269" w:lineRule="exact" w:before="0" w:after="0"/>
        <w:ind w:left="1119" w:right="0" w:hanging="160"/>
        <w:jc w:val="left"/>
        <w:rPr>
          <w:sz w:val="21"/>
        </w:rPr>
      </w:pPr>
      <w:r>
        <w:rPr>
          <w:spacing w:val="-2"/>
          <w:sz w:val="21"/>
        </w:rPr>
        <w:t>提前支取</w:t>
      </w:r>
    </w:p>
    <w:p>
      <w:pPr>
        <w:pStyle w:val="BodyText"/>
        <w:spacing w:before="6"/>
        <w:rPr>
          <w:sz w:val="15"/>
        </w:rPr>
      </w:pPr>
    </w:p>
    <w:p>
      <w:pPr>
        <w:pStyle w:val="BodyText"/>
        <w:spacing w:line="417" w:lineRule="auto"/>
        <w:ind w:left="540" w:right="208" w:firstLine="419"/>
      </w:pPr>
      <w:r>
        <w:rPr/>
        <w:t>如果在存款期限内，由于基金规模发生缩减的原因或者出于流动性管理的需要等原因， 基金管理人可以提前支取全部或部分资金。</w:t>
      </w:r>
    </w:p>
    <w:p>
      <w:pPr>
        <w:pStyle w:val="BodyText"/>
        <w:spacing w:line="269" w:lineRule="exact"/>
        <w:ind w:left="960"/>
      </w:pPr>
      <w:r>
        <w:rPr/>
        <w:t>提前支取的具体事项按照基金管理人与存款银行签订的《存款协议书》执行。</w:t>
      </w:r>
    </w:p>
    <w:p>
      <w:pPr>
        <w:pStyle w:val="BodyText"/>
        <w:spacing w:before="7"/>
        <w:rPr>
          <w:sz w:val="15"/>
        </w:rPr>
      </w:pPr>
    </w:p>
    <w:p>
      <w:pPr>
        <w:pStyle w:val="ListParagraph"/>
        <w:numPr>
          <w:ilvl w:val="0"/>
          <w:numId w:val="55"/>
        </w:numPr>
        <w:tabs>
          <w:tab w:pos="1120" w:val="left" w:leader="none"/>
        </w:tabs>
        <w:spacing w:line="240" w:lineRule="auto" w:before="0" w:after="0"/>
        <w:ind w:left="1119" w:right="0" w:hanging="160"/>
        <w:jc w:val="left"/>
        <w:rPr>
          <w:sz w:val="21"/>
        </w:rPr>
      </w:pPr>
      <w:r>
        <w:rPr>
          <w:spacing w:val="-3"/>
          <w:sz w:val="21"/>
        </w:rPr>
        <w:t>基金投资银行存款的监督</w:t>
      </w:r>
    </w:p>
    <w:p>
      <w:pPr>
        <w:pStyle w:val="BodyText"/>
        <w:spacing w:before="6"/>
        <w:rPr>
          <w:sz w:val="15"/>
        </w:rPr>
      </w:pPr>
    </w:p>
    <w:p>
      <w:pPr>
        <w:pStyle w:val="BodyText"/>
        <w:spacing w:line="417" w:lineRule="auto" w:before="1"/>
        <w:ind w:left="540" w:right="102" w:firstLine="419"/>
      </w:pPr>
      <w:r>
        <w:rPr>
          <w:spacing w:val="-6"/>
        </w:rPr>
        <w:t>基金托管人发现基金管理人在进行存款投资时有违反有关法律法规的规定及《基金合同》</w:t>
      </w:r>
      <w:r>
        <w:rPr>
          <w:spacing w:val="-9"/>
        </w:rPr>
        <w:t>的约定的行为，应及时以书面形式通知基金管理人在 </w:t>
      </w:r>
      <w:r>
        <w:rPr>
          <w:rFonts w:ascii="Times New Roman" w:eastAsia="Times New Roman"/>
        </w:rPr>
        <w:t>10 </w:t>
      </w:r>
      <w:r>
        <w:rPr>
          <w:spacing w:val="-6"/>
        </w:rPr>
        <w:t>个工作日内纠正。基金管理人对基</w:t>
      </w:r>
    </w:p>
    <w:p>
      <w:pPr>
        <w:pStyle w:val="BodyText"/>
        <w:spacing w:line="417" w:lineRule="auto"/>
        <w:ind w:left="540" w:right="311"/>
        <w:jc w:val="both"/>
      </w:pPr>
      <w:r>
        <w:rPr>
          <w:spacing w:val="-6"/>
        </w:rPr>
        <w:t>金托管人通知的违规事项未能在 </w:t>
      </w:r>
      <w:r>
        <w:rPr>
          <w:rFonts w:ascii="Times New Roman" w:eastAsia="Times New Roman"/>
        </w:rPr>
        <w:t>10 </w:t>
      </w:r>
      <w:r>
        <w:rPr>
          <w:spacing w:val="-7"/>
        </w:rPr>
        <w:t>个工作日内纠正的，基金托管人应报告中国证监会。基</w:t>
      </w:r>
      <w:r>
        <w:rPr>
          <w:spacing w:val="-10"/>
        </w:rPr>
        <w:t>金托管人发现基金管理人有重大违规行为，应立即报告中国证监会，同时通知基金管理人在</w:t>
      </w:r>
      <w:r>
        <w:rPr>
          <w:rFonts w:ascii="Times New Roman" w:eastAsia="Times New Roman"/>
          <w:spacing w:val="-10"/>
        </w:rPr>
        <w:t>10 </w:t>
      </w:r>
      <w:r>
        <w:rPr>
          <w:spacing w:val="-3"/>
        </w:rPr>
        <w:t>个工作日内纠正或拒绝结算，若因基金管理人拒不执行造成基金财产损失的，相关损失由基金管理人承担，基金托管人不承担任何责任。</w:t>
      </w:r>
    </w:p>
    <w:p>
      <w:pPr>
        <w:pStyle w:val="BodyText"/>
        <w:spacing w:line="417" w:lineRule="auto"/>
        <w:ind w:left="540" w:right="311" w:firstLine="419"/>
        <w:jc w:val="both"/>
      </w:pPr>
      <w:r>
        <w:rPr/>
        <w:t>（四</w:t>
      </w:r>
      <w:r>
        <w:rPr>
          <w:spacing w:val="-27"/>
        </w:rPr>
        <w:t>）</w:t>
      </w:r>
      <w:r>
        <w:rPr>
          <w:spacing w:val="-7"/>
        </w:rPr>
        <w:t>基金托管人根据有关法律法规的规定及《基金合同》的约定，对基金管理人参与</w:t>
      </w:r>
      <w:r>
        <w:rPr>
          <w:spacing w:val="-12"/>
        </w:rPr>
        <w:t>银行间债券市场进行监督。基金管理人应在基金投资运作之前向基金托管人提供符合法律法</w:t>
      </w:r>
      <w:r>
        <w:rPr>
          <w:spacing w:val="-13"/>
        </w:rPr>
        <w:t>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w:t>
      </w:r>
      <w:r>
        <w:rPr>
          <w:spacing w:val="-11"/>
        </w:rPr>
        <w:t>的范围在银行间债券市场选择交易对手。基金托管人监督基金管理人是否按事前提供的银行</w:t>
      </w:r>
      <w:r>
        <w:rPr>
          <w:spacing w:val="-10"/>
        </w:rPr>
        <w:t>间债券市场交易对手名单进行交易。在基金存续期间基金管理人可以调整交易对手名单，但</w:t>
      </w:r>
      <w:r>
        <w:rPr>
          <w:spacing w:val="-9"/>
        </w:rPr>
        <w:t>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 </w:t>
      </w:r>
      <w:r>
        <w:rPr>
          <w:rFonts w:ascii="Times New Roman" w:eastAsia="Times New Roman"/>
        </w:rPr>
        <w:t>3 </w:t>
      </w:r>
      <w:r>
        <w:rPr>
          <w:spacing w:val="-3"/>
        </w:rPr>
        <w:t>个交易日内与基金托管人协商解决。</w:t>
      </w:r>
    </w:p>
    <w:p>
      <w:pPr>
        <w:pStyle w:val="BodyText"/>
        <w:spacing w:line="268" w:lineRule="exact"/>
        <w:ind w:left="960"/>
      </w:pPr>
      <w:r>
        <w:rPr/>
        <w:t>基金管理人负责对交易对手的资信控制，按银行间债券市场的交易规则进行交易，并负</w:t>
      </w:r>
    </w:p>
    <w:p>
      <w:pPr>
        <w:spacing w:after="0" w:line="268" w:lineRule="exact"/>
        <w:sectPr>
          <w:pgSz w:w="11910" w:h="16840"/>
          <w:pgMar w:header="877" w:footer="0" w:top="1420" w:bottom="280" w:left="1260" w:right="1480"/>
        </w:sectPr>
      </w:pPr>
    </w:p>
    <w:p>
      <w:pPr>
        <w:pStyle w:val="BodyText"/>
        <w:spacing w:line="417" w:lineRule="auto" w:before="110"/>
        <w:ind w:left="540" w:right="311"/>
        <w:jc w:val="both"/>
      </w:pPr>
      <w:r>
        <w:rPr>
          <w:spacing w:val="-8"/>
        </w:rPr>
        <w:t>责解决因交易对手不履行合同而造成的纠纷及损失。若未履约的交易对手在基金管理人确定</w:t>
      </w:r>
      <w:r>
        <w:rPr>
          <w:spacing w:val="-9"/>
        </w:rPr>
        <w:t>的时间内仍未承担违约责任及其他相关法律责任的，基金管理人可以对相应损失先行予以承</w:t>
      </w:r>
      <w:r>
        <w:rPr>
          <w:spacing w:val="-12"/>
        </w:rPr>
        <w:t>担，然后再向相关交易对手追偿。基金托管人则根据银行间债券市场成交单对合同履行情况</w:t>
      </w:r>
      <w:r>
        <w:rPr>
          <w:spacing w:val="-11"/>
        </w:rPr>
        <w:t>进行监督。如基金托管人事后发现基金管理人没有按照事先约定的交易对手进行交易时，基</w:t>
      </w:r>
      <w:r>
        <w:rPr>
          <w:spacing w:val="-6"/>
        </w:rPr>
        <w:t>金托管人应及时提醒基金管理人，基金托管人不承担由此造成的任何损失和责任。</w:t>
      </w:r>
    </w:p>
    <w:p>
      <w:pPr>
        <w:pStyle w:val="BodyText"/>
        <w:spacing w:line="268" w:lineRule="exact"/>
        <w:ind w:left="960"/>
      </w:pPr>
      <w:r>
        <w:rPr/>
        <w:t>（五）本基金投资流通受限证券，应遵守有关监管规定。</w:t>
      </w:r>
    </w:p>
    <w:p>
      <w:pPr>
        <w:pStyle w:val="BodyText"/>
        <w:spacing w:before="6"/>
        <w:rPr>
          <w:sz w:val="15"/>
        </w:rPr>
      </w:pPr>
    </w:p>
    <w:p>
      <w:pPr>
        <w:pStyle w:val="ListParagraph"/>
        <w:numPr>
          <w:ilvl w:val="0"/>
          <w:numId w:val="59"/>
        </w:numPr>
        <w:tabs>
          <w:tab w:pos="1120" w:val="left" w:leader="none"/>
        </w:tabs>
        <w:spacing w:line="417" w:lineRule="auto" w:before="0" w:after="0"/>
        <w:ind w:left="540" w:right="311" w:firstLine="419"/>
        <w:jc w:val="both"/>
        <w:rPr>
          <w:sz w:val="21"/>
        </w:rPr>
      </w:pPr>
      <w:r>
        <w:rPr>
          <w:spacing w:val="-5"/>
          <w:sz w:val="21"/>
        </w:rPr>
        <w:t>本基金可以投资经中国证监会批准的非公开发行证券，且限于由中国证券登记结算有</w:t>
      </w:r>
      <w:r>
        <w:rPr>
          <w:spacing w:val="-13"/>
          <w:sz w:val="21"/>
        </w:rPr>
        <w:t>限责任公司、中央国债登记结算有限责任公司或银行间市场清算所股份有限公司负责登记和</w:t>
      </w:r>
      <w:r>
        <w:rPr>
          <w:spacing w:val="-6"/>
          <w:sz w:val="21"/>
        </w:rPr>
        <w:t>存管的，并可在证券交易所或全国银行间债券市场交易的证券。</w:t>
      </w:r>
    </w:p>
    <w:p>
      <w:pPr>
        <w:pStyle w:val="BodyText"/>
        <w:spacing w:before="1"/>
        <w:ind w:left="960"/>
      </w:pPr>
      <w:r>
        <w:rPr/>
        <w:t>本基金不得投资未经中国证监会批准的非公开发行证券。</w:t>
      </w:r>
    </w:p>
    <w:p>
      <w:pPr>
        <w:pStyle w:val="BodyText"/>
        <w:spacing w:before="6"/>
        <w:rPr>
          <w:sz w:val="15"/>
        </w:rPr>
      </w:pPr>
    </w:p>
    <w:p>
      <w:pPr>
        <w:pStyle w:val="BodyText"/>
        <w:spacing w:line="417" w:lineRule="auto"/>
        <w:ind w:left="540" w:right="311" w:firstLine="419"/>
      </w:pPr>
      <w:r>
        <w:rPr>
          <w:spacing w:val="-8"/>
        </w:rPr>
        <w:t>本基金参与非公开发行证券的认购，不得预付任何形式的保证金，法律法规或中国证监</w:t>
      </w:r>
      <w:r>
        <w:rPr>
          <w:spacing w:val="-5"/>
        </w:rPr>
        <w:t>会另有规定的除外。</w:t>
      </w:r>
    </w:p>
    <w:p>
      <w:pPr>
        <w:pStyle w:val="BodyText"/>
        <w:spacing w:line="269" w:lineRule="exact"/>
        <w:ind w:left="960"/>
      </w:pPr>
      <w:r>
        <w:rPr/>
        <w:t>本基金不得投资有锁定期但锁定期不明确的证券。</w:t>
      </w:r>
    </w:p>
    <w:p>
      <w:pPr>
        <w:pStyle w:val="BodyText"/>
        <w:spacing w:before="7"/>
        <w:rPr>
          <w:sz w:val="15"/>
        </w:rPr>
      </w:pPr>
    </w:p>
    <w:p>
      <w:pPr>
        <w:pStyle w:val="ListParagraph"/>
        <w:numPr>
          <w:ilvl w:val="0"/>
          <w:numId w:val="59"/>
        </w:numPr>
        <w:tabs>
          <w:tab w:pos="1225" w:val="left" w:leader="none"/>
        </w:tabs>
        <w:spacing w:line="417" w:lineRule="auto" w:before="0" w:after="0"/>
        <w:ind w:left="540" w:right="311" w:firstLine="419"/>
        <w:jc w:val="both"/>
        <w:rPr>
          <w:sz w:val="21"/>
        </w:rPr>
      </w:pPr>
      <w:r>
        <w:rPr>
          <w:spacing w:val="-1"/>
          <w:sz w:val="21"/>
        </w:rPr>
        <w:t>基金管理人应在基金首次投资流通受限证券前，向基金托管人提供经基金管理人董</w:t>
      </w:r>
      <w:r>
        <w:rPr>
          <w:spacing w:val="-7"/>
          <w:sz w:val="21"/>
        </w:rPr>
        <w:t>事会批准的有关基金投资流通受限证券的投资决策流程、风险控制制度。上述资料应包括但</w:t>
      </w:r>
      <w:r>
        <w:rPr>
          <w:spacing w:val="-5"/>
          <w:sz w:val="21"/>
        </w:rPr>
        <w:t>不限于基金投资流通受限证券的投资额度和投资比例控制情况。</w:t>
      </w:r>
    </w:p>
    <w:p>
      <w:pPr>
        <w:pStyle w:val="BodyText"/>
        <w:spacing w:line="417" w:lineRule="auto"/>
        <w:ind w:left="540" w:right="205" w:firstLine="419"/>
      </w:pPr>
      <w:r>
        <w:rPr/>
        <w:t>基金管理人应至少于首次执行投资指令之前两个工作日将上述资料书面发至基金托管 </w:t>
      </w:r>
      <w:r>
        <w:rPr>
          <w:spacing w:val="-17"/>
        </w:rPr>
        <w:t>人，保证基金托管人有足够的时间进行审核。基金托管人应在收到上述资料后两个工作日内， </w:t>
      </w:r>
      <w:r>
        <w:rPr>
          <w:spacing w:val="-7"/>
        </w:rPr>
        <w:t>以书面或其他双方认可的方式确认收到上述资料。</w:t>
      </w:r>
    </w:p>
    <w:p>
      <w:pPr>
        <w:pStyle w:val="BodyText"/>
        <w:spacing w:line="417" w:lineRule="auto"/>
        <w:ind w:left="540" w:right="311" w:firstLine="419"/>
        <w:jc w:val="both"/>
      </w:pPr>
      <w:r>
        <w:rPr>
          <w:spacing w:val="-7"/>
        </w:rPr>
        <w:t>基金管理人对本基金投资流通受限证券的流动性风险负责，确保对相关风险采取积极有</w:t>
      </w:r>
      <w:r>
        <w:rPr>
          <w:spacing w:val="-12"/>
        </w:rPr>
        <w:t>效的措施，在合理的时间内有效解决基金运作的流动性问题。如因基金巨额赎回或市场发生</w:t>
      </w:r>
      <w:r>
        <w:rPr>
          <w:spacing w:val="-11"/>
        </w:rPr>
        <w:t>剧烈变动等原因而导致基金现金周转困难时，基金管理人应保证提供足额现金确保基金的支</w:t>
      </w:r>
      <w:r>
        <w:rPr>
          <w:spacing w:val="-12"/>
        </w:rPr>
        <w:t>付结算，并承担所有损失。对本基金因投资流通受限证券导致的流动性风险，基金托管人不</w:t>
      </w:r>
      <w:r>
        <w:rPr>
          <w:spacing w:val="-6"/>
        </w:rPr>
        <w:t>承担任何责任。</w:t>
      </w:r>
    </w:p>
    <w:p>
      <w:pPr>
        <w:pStyle w:val="ListParagraph"/>
        <w:numPr>
          <w:ilvl w:val="0"/>
          <w:numId w:val="59"/>
        </w:numPr>
        <w:tabs>
          <w:tab w:pos="1120" w:val="left" w:leader="none"/>
        </w:tabs>
        <w:spacing w:line="417" w:lineRule="auto" w:before="0" w:after="0"/>
        <w:ind w:left="540" w:right="311" w:firstLine="419"/>
        <w:jc w:val="both"/>
        <w:rPr>
          <w:sz w:val="21"/>
        </w:rPr>
      </w:pPr>
      <w:r>
        <w:rPr>
          <w:spacing w:val="-7"/>
          <w:sz w:val="21"/>
        </w:rPr>
        <w:t>基金投资流通受限证券前，基金管理人应向基金托管人提供符合法律法规要求的有关</w:t>
      </w:r>
      <w:r>
        <w:rPr>
          <w:spacing w:val="-20"/>
          <w:sz w:val="21"/>
        </w:rPr>
        <w:t>书面信息，包括但不限于拟发行证券主体的中国证监会批准文件、发行证券数量、发行价格、</w:t>
      </w:r>
      <w:r>
        <w:rPr>
          <w:spacing w:val="-14"/>
          <w:sz w:val="21"/>
        </w:rPr>
        <w:t>锁定期，基金拟认购的数量、价格、总成本、应划拨的认购款、资金划拨时间等。基金管理人应保证上述信息的真实、完整，并应至少于拟执行投资指令前两个工作日将上述信息书面</w:t>
      </w:r>
      <w:r>
        <w:rPr>
          <w:spacing w:val="-7"/>
          <w:sz w:val="21"/>
        </w:rPr>
        <w:t>发至基金托管人，保证基金托管人有足够的时间进行审核。</w:t>
      </w:r>
    </w:p>
    <w:p>
      <w:pPr>
        <w:pStyle w:val="BodyText"/>
        <w:spacing w:line="269" w:lineRule="exact"/>
        <w:ind w:left="960"/>
      </w:pPr>
      <w:r>
        <w:rPr/>
        <w:t>由于基金管理人未及时提供有关证券的具体的必要的信息，致使托管人无法审核认购指</w:t>
      </w:r>
    </w:p>
    <w:p>
      <w:pPr>
        <w:spacing w:after="0" w:line="269" w:lineRule="exact"/>
        <w:sectPr>
          <w:pgSz w:w="11910" w:h="16840"/>
          <w:pgMar w:header="877" w:footer="0" w:top="1420" w:bottom="280" w:left="1260" w:right="1480"/>
        </w:sectPr>
      </w:pPr>
    </w:p>
    <w:p>
      <w:pPr>
        <w:pStyle w:val="BodyText"/>
        <w:spacing w:before="110"/>
        <w:ind w:left="540"/>
      </w:pPr>
      <w:r>
        <w:rPr/>
        <w:t>令而影响认购款项划拨的，基金托管人免于承担责任。</w:t>
      </w:r>
    </w:p>
    <w:p>
      <w:pPr>
        <w:pStyle w:val="BodyText"/>
        <w:spacing w:before="6"/>
        <w:rPr>
          <w:sz w:val="15"/>
        </w:rPr>
      </w:pPr>
    </w:p>
    <w:p>
      <w:pPr>
        <w:pStyle w:val="ListParagraph"/>
        <w:numPr>
          <w:ilvl w:val="0"/>
          <w:numId w:val="59"/>
        </w:numPr>
        <w:tabs>
          <w:tab w:pos="1122" w:val="left" w:leader="none"/>
        </w:tabs>
        <w:spacing w:line="417" w:lineRule="auto" w:before="0" w:after="0"/>
        <w:ind w:left="540" w:right="311" w:firstLine="419"/>
        <w:jc w:val="both"/>
        <w:rPr>
          <w:sz w:val="21"/>
        </w:rPr>
      </w:pPr>
      <w:r>
        <w:rPr>
          <w:spacing w:val="-19"/>
          <w:sz w:val="21"/>
        </w:rPr>
        <w:t>基金托管人依照法律法规、《基金合同》、《托管协议》审核基金管理人投资流通受限</w:t>
      </w:r>
      <w:r>
        <w:rPr>
          <w:spacing w:val="-16"/>
          <w:sz w:val="21"/>
        </w:rPr>
        <w:t>证券的行为。如发现基金管理人违反了《基金合同》</w:t>
      </w:r>
      <w:r>
        <w:rPr>
          <w:spacing w:val="-15"/>
          <w:sz w:val="21"/>
        </w:rPr>
        <w:t>、《托管协议》以及其他相关法律法规的</w:t>
      </w:r>
      <w:r>
        <w:rPr>
          <w:spacing w:val="-13"/>
          <w:sz w:val="21"/>
        </w:rPr>
        <w:t>有关规定，应及时通知基金管理人，并呈报中国证监会，同时采取合理措施保护基金投资人的利益。基金托管人有权对基金管理人的违法、违规以及违反《基金合同》</w:t>
      </w:r>
      <w:r>
        <w:rPr>
          <w:spacing w:val="-21"/>
          <w:sz w:val="21"/>
        </w:rPr>
        <w:t>、《托管协议》的</w:t>
      </w:r>
      <w:r>
        <w:rPr>
          <w:spacing w:val="-13"/>
          <w:sz w:val="21"/>
        </w:rPr>
        <w:t>投资指令不予执行，并立即通知基金管理人纠正，基金管理人不予纠正或已代表基金签署合</w:t>
      </w:r>
      <w:r>
        <w:rPr>
          <w:spacing w:val="-6"/>
          <w:sz w:val="21"/>
        </w:rPr>
        <w:t>同不得不执行时，基金托管人应向中国证监会报告。</w:t>
      </w:r>
    </w:p>
    <w:p>
      <w:pPr>
        <w:pStyle w:val="BodyText"/>
        <w:spacing w:line="417" w:lineRule="auto"/>
        <w:ind w:left="540" w:right="311" w:firstLine="419"/>
        <w:jc w:val="both"/>
      </w:pPr>
      <w:r>
        <w:rPr/>
        <w:t>（六</w:t>
      </w:r>
      <w:r>
        <w:rPr>
          <w:spacing w:val="-51"/>
        </w:rPr>
        <w:t>）</w:t>
      </w:r>
      <w:r>
        <w:rPr>
          <w:spacing w:val="-6"/>
        </w:rPr>
        <w:t>基金管理人应当对投资中期票据业务进行研究，认真评估中期票据投资业务的风</w:t>
      </w:r>
      <w:r>
        <w:rPr>
          <w:spacing w:val="-12"/>
        </w:rPr>
        <w:t>险，本着审慎、勤勉尽责的原则进行中期票据的投资业务，并应符合法律法规及监管机构的</w:t>
      </w:r>
      <w:r>
        <w:rPr>
          <w:spacing w:val="-6"/>
        </w:rPr>
        <w:t>相关规定。</w:t>
      </w:r>
    </w:p>
    <w:p>
      <w:pPr>
        <w:pStyle w:val="BodyText"/>
        <w:spacing w:line="417" w:lineRule="auto"/>
        <w:ind w:left="540" w:right="311" w:firstLine="419"/>
        <w:jc w:val="both"/>
      </w:pPr>
      <w:r>
        <w:rPr/>
        <w:t>（七</w:t>
      </w:r>
      <w:r>
        <w:rPr>
          <w:spacing w:val="-27"/>
        </w:rPr>
        <w:t>）</w:t>
      </w:r>
      <w:r>
        <w:rPr>
          <w:spacing w:val="-7"/>
        </w:rPr>
        <w:t>基金托管人根据有关法律法规的规定及《基金合同》的约定，对基金资产净值计</w:t>
      </w:r>
      <w:r>
        <w:rPr>
          <w:spacing w:val="-4"/>
        </w:rPr>
        <w:t>算、基金份额净值计算、基金参考份额净值</w:t>
      </w:r>
      <w:r>
        <w:rPr>
          <w:spacing w:val="-3"/>
        </w:rPr>
        <w:t>（</w:t>
      </w:r>
      <w:r>
        <w:rPr/>
        <w:t>如有</w:t>
      </w:r>
      <w:r>
        <w:rPr>
          <w:spacing w:val="-108"/>
        </w:rPr>
        <w:t>）</w:t>
      </w:r>
      <w:r>
        <w:rPr>
          <w:spacing w:val="-3"/>
        </w:rPr>
        <w:t>、基金费用开支及收入确定、基金收益分配、相关信息披露、基金宣传推介材料中登载基金业绩表现数据等进行监督和核查。</w:t>
      </w:r>
    </w:p>
    <w:p>
      <w:pPr>
        <w:pStyle w:val="BodyText"/>
        <w:spacing w:line="269" w:lineRule="exact"/>
        <w:ind w:left="960"/>
      </w:pPr>
      <w:r>
        <w:rPr/>
        <w:t>（</w:t>
      </w:r>
      <w:r>
        <w:rPr>
          <w:spacing w:val="-3"/>
        </w:rPr>
        <w:t>八</w:t>
      </w:r>
      <w:r>
        <w:rPr>
          <w:spacing w:val="-94"/>
        </w:rPr>
        <w:t>）</w:t>
      </w:r>
      <w:r>
        <w:rPr>
          <w:spacing w:val="-3"/>
        </w:rPr>
        <w:t>基金托管人发现基金管理人的上述事项及投资指令或实际投资运作违反法律法规、</w:t>
      </w:r>
    </w:p>
    <w:p>
      <w:pPr>
        <w:pStyle w:val="BodyText"/>
        <w:spacing w:before="6"/>
        <w:rPr>
          <w:sz w:val="15"/>
        </w:rPr>
      </w:pPr>
    </w:p>
    <w:p>
      <w:pPr>
        <w:pStyle w:val="BodyText"/>
        <w:spacing w:line="417" w:lineRule="auto" w:before="1"/>
        <w:ind w:left="540" w:right="311"/>
        <w:jc w:val="both"/>
      </w:pPr>
      <w:r>
        <w:rPr>
          <w:spacing w:val="-11"/>
        </w:rPr>
        <w:t>《基金合同》和本托管协议的规定，应及时以电话提醒或书面提示等方式通知基金管理人限</w:t>
      </w:r>
      <w:r>
        <w:rPr>
          <w:spacing w:val="-12"/>
        </w:rPr>
        <w:t>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w:t>
      </w:r>
      <w:r>
        <w:rPr>
          <w:spacing w:val="-11"/>
        </w:rPr>
        <w:t>限内，基金托管人有权随时对通知事项进行复查，督促基金管理人改正。基金管理人对基金</w:t>
      </w:r>
      <w:r>
        <w:rPr>
          <w:spacing w:val="-6"/>
        </w:rPr>
        <w:t>托管人通知的违规事项未能在限期内纠正的，基金托管人应报告中国证监会。</w:t>
      </w:r>
    </w:p>
    <w:p>
      <w:pPr>
        <w:pStyle w:val="BodyText"/>
        <w:spacing w:line="417" w:lineRule="auto"/>
        <w:ind w:left="540" w:right="208" w:firstLine="419"/>
      </w:pPr>
      <w:r>
        <w:rPr/>
        <w:t>（九）</w:t>
      </w:r>
      <w:r>
        <w:rPr>
          <w:spacing w:val="-8"/>
        </w:rPr>
        <w:t>基金管理人有义务配合和协助基金托管人依照法律法规、《基金合同》和本托管</w:t>
      </w:r>
      <w:r>
        <w:rPr>
          <w:spacing w:val="-11"/>
        </w:rPr>
        <w:t>协议对基金业务执行核查。包括但不限于：对基金托管人发出的提示，基金管理人应在规定</w:t>
      </w:r>
      <w:r>
        <w:rPr>
          <w:spacing w:val="-6"/>
        </w:rPr>
        <w:t>时间内答复并改正，或就基金托管人的疑义进行解释或举证；对基金托管人按照法律法规、</w:t>
      </w:r>
      <w:r>
        <w:rPr>
          <w:spacing w:val="-7"/>
        </w:rPr>
        <w:t>基金合同和本托管协议的要求需向中国证监会报送基金监督报告的事项，基金管理人应积极</w:t>
      </w:r>
      <w:r>
        <w:rPr>
          <w:spacing w:val="-5"/>
        </w:rPr>
        <w:t>配合提供相关数据资料和制度等。</w:t>
      </w:r>
    </w:p>
    <w:p>
      <w:pPr>
        <w:pStyle w:val="BodyText"/>
        <w:spacing w:line="417" w:lineRule="auto"/>
        <w:ind w:left="540" w:right="311" w:firstLine="419"/>
        <w:jc w:val="both"/>
      </w:pPr>
      <w:r>
        <w:rPr/>
        <w:t>（十</w:t>
      </w:r>
      <w:r>
        <w:rPr>
          <w:spacing w:val="-51"/>
        </w:rPr>
        <w:t>）</w:t>
      </w:r>
      <w:r>
        <w:rPr>
          <w:spacing w:val="-5"/>
        </w:rPr>
        <w:t>若基金托管人发现基金管理人依据交易程序已经生效的指令违反法律、行政法规</w:t>
      </w:r>
      <w:r>
        <w:rPr>
          <w:spacing w:val="-11"/>
        </w:rPr>
        <w:t>和其他有关规定，或者违反基金合同约定的，应当立即通知基金管理人及时纠正，由此造成</w:t>
      </w:r>
      <w:r>
        <w:rPr>
          <w:spacing w:val="-6"/>
        </w:rPr>
        <w:t>的损失由基金管理人承担，托管人在履行其通知义务后，予以免责。</w:t>
      </w:r>
    </w:p>
    <w:p>
      <w:pPr>
        <w:pStyle w:val="BodyText"/>
        <w:spacing w:line="417" w:lineRule="auto"/>
        <w:ind w:left="540" w:right="311" w:firstLine="419"/>
      </w:pPr>
      <w:r>
        <w:rPr/>
        <w:t>（</w:t>
      </w:r>
      <w:r>
        <w:rPr>
          <w:spacing w:val="-2"/>
        </w:rPr>
        <w:t>十一</w:t>
      </w:r>
      <w:r>
        <w:rPr>
          <w:spacing w:val="-34"/>
        </w:rPr>
        <w:t>）</w:t>
      </w:r>
      <w:r>
        <w:rPr>
          <w:spacing w:val="-6"/>
        </w:rPr>
        <w:t>基金托管人发现基金管理人有重大违规行为，应及时报告中国证监会，同时通</w:t>
      </w:r>
      <w:r>
        <w:rPr>
          <w:spacing w:val="-4"/>
        </w:rPr>
        <w:t>知基金管理人限期纠正。</w:t>
      </w:r>
    </w:p>
    <w:p>
      <w:pPr>
        <w:spacing w:after="0" w:line="417" w:lineRule="auto"/>
        <w:sectPr>
          <w:pgSz w:w="11910" w:h="16840"/>
          <w:pgMar w:header="877" w:footer="0" w:top="1420" w:bottom="280" w:left="1260" w:right="1480"/>
        </w:sectPr>
      </w:pPr>
    </w:p>
    <w:p>
      <w:pPr>
        <w:spacing w:before="110"/>
        <w:ind w:left="2461" w:right="2237" w:firstLine="0"/>
        <w:jc w:val="center"/>
        <w:rPr>
          <w:b/>
          <w:sz w:val="21"/>
        </w:rPr>
      </w:pPr>
      <w:r>
        <w:rPr>
          <w:b/>
          <w:sz w:val="21"/>
        </w:rPr>
        <w:t>三、基金管理人对基金托管人的业务核查</w:t>
      </w:r>
    </w:p>
    <w:p>
      <w:pPr>
        <w:pStyle w:val="BodyText"/>
        <w:spacing w:before="6"/>
        <w:rPr>
          <w:b/>
          <w:sz w:val="15"/>
        </w:rPr>
      </w:pPr>
    </w:p>
    <w:p>
      <w:pPr>
        <w:pStyle w:val="BodyText"/>
        <w:spacing w:line="417" w:lineRule="auto"/>
        <w:ind w:left="540" w:right="311" w:firstLine="419"/>
        <w:jc w:val="both"/>
      </w:pPr>
      <w:r>
        <w:rPr/>
        <w:t>（一</w:t>
      </w:r>
      <w:r>
        <w:rPr>
          <w:spacing w:val="-51"/>
        </w:rPr>
        <w:t>）</w:t>
      </w:r>
      <w:r>
        <w:rPr>
          <w:spacing w:val="-5"/>
        </w:rPr>
        <w:t>基金管理人对基金托管人履行托管职责情况进行核查，核查事项包括基金托管人</w:t>
      </w:r>
      <w:r>
        <w:rPr>
          <w:spacing w:val="-11"/>
        </w:rPr>
        <w:t>安全保管基金财产、开设基金财产的资金账户、证券账户等投资所需账户、复核基金管理人计算的基金资产净值和基金份额净值、根据基金管理人指令办理清算交收、相关信息披露和</w:t>
      </w:r>
      <w:r>
        <w:rPr>
          <w:spacing w:val="-6"/>
        </w:rPr>
        <w:t>监督基金投资运作等行为。</w:t>
      </w:r>
    </w:p>
    <w:p>
      <w:pPr>
        <w:pStyle w:val="BodyText"/>
        <w:spacing w:line="417" w:lineRule="auto"/>
        <w:ind w:left="540" w:right="311" w:firstLine="419"/>
        <w:jc w:val="both"/>
      </w:pPr>
      <w:r>
        <w:rPr/>
        <w:t>（</w:t>
      </w:r>
      <w:r>
        <w:rPr>
          <w:spacing w:val="-3"/>
        </w:rPr>
        <w:t>二</w:t>
      </w:r>
      <w:r>
        <w:rPr>
          <w:spacing w:val="-32"/>
        </w:rPr>
        <w:t>）</w:t>
      </w:r>
      <w:r>
        <w:rPr>
          <w:spacing w:val="-6"/>
        </w:rPr>
        <w:t>基金管理人发现基金托管人擅自挪用基金财产、未对基金财产实行分账管理、未</w:t>
      </w:r>
      <w:r>
        <w:rPr>
          <w:spacing w:val="-7"/>
        </w:rPr>
        <w:t>执行或无故延迟执行基金管理人资金划拨指令、泄露基金投资信息等违反《基金法》、基金</w:t>
      </w:r>
      <w:r>
        <w:rPr>
          <w:spacing w:val="-10"/>
        </w:rPr>
        <w:t>合同、托管协议及其他有关规定时，应及时以书面形式通知基金托管人限期纠正。基金托管</w:t>
      </w:r>
      <w:r>
        <w:rPr>
          <w:spacing w:val="-8"/>
        </w:rPr>
        <w:t>人收到书面通知后应在下一工作日前及时核对并以书面形式给基金管理人发出回函，说明违</w:t>
      </w:r>
      <w:r>
        <w:rPr>
          <w:spacing w:val="-11"/>
        </w:rPr>
        <w:t>规原因及纠正期限，并保证在规定期限内及时改正。在上述规定期限内，基金管理人有权随</w:t>
      </w:r>
      <w:r>
        <w:rPr>
          <w:spacing w:val="-6"/>
        </w:rPr>
        <w:t>时对通知事项进行复查，督促基金托管人改正。</w:t>
      </w:r>
    </w:p>
    <w:p>
      <w:pPr>
        <w:pStyle w:val="BodyText"/>
        <w:spacing w:line="417" w:lineRule="auto"/>
        <w:ind w:left="540" w:right="311" w:firstLine="419"/>
        <w:jc w:val="both"/>
      </w:pPr>
      <w:r>
        <w:rPr/>
        <w:t>（三</w:t>
      </w:r>
      <w:r>
        <w:rPr>
          <w:spacing w:val="-51"/>
        </w:rPr>
        <w:t>）</w:t>
      </w:r>
      <w:r>
        <w:rPr>
          <w:spacing w:val="-5"/>
        </w:rPr>
        <w:t>基金托管人有义务配合和协助基金管理人依照法律法规、基金合同和本托管协议</w:t>
      </w:r>
      <w:r>
        <w:rPr>
          <w:spacing w:val="-10"/>
        </w:rPr>
        <w:t>对基金业务执行核查，包括但不限于：对基金管理人发出的书面提示，基金托管人应在规定</w:t>
      </w:r>
      <w:r>
        <w:rPr>
          <w:spacing w:val="-12"/>
        </w:rPr>
        <w:t>时间内答复并改正，或就基金管理人的疑义进行解释或举证；基金托管人应积极配合提供相</w:t>
      </w:r>
      <w:r>
        <w:rPr>
          <w:spacing w:val="-6"/>
        </w:rPr>
        <w:t>关资料以供基金管理人核查托管财产的完整性和真实性。</w:t>
      </w:r>
    </w:p>
    <w:p>
      <w:pPr>
        <w:pStyle w:val="BodyText"/>
        <w:spacing w:line="417" w:lineRule="auto"/>
        <w:ind w:left="540" w:right="311" w:firstLine="419"/>
      </w:pPr>
      <w:r>
        <w:rPr/>
        <w:t>（</w:t>
      </w:r>
      <w:r>
        <w:rPr>
          <w:spacing w:val="-3"/>
        </w:rPr>
        <w:t>四</w:t>
      </w:r>
      <w:r>
        <w:rPr>
          <w:spacing w:val="-32"/>
        </w:rPr>
        <w:t>）</w:t>
      </w:r>
      <w:r>
        <w:rPr>
          <w:spacing w:val="-6"/>
        </w:rPr>
        <w:t>基金管理人发现基金托管人有重大违规行为，应及时报告中国证监会，同时通知</w:t>
      </w:r>
      <w:r>
        <w:rPr>
          <w:spacing w:val="-4"/>
        </w:rPr>
        <w:t>基金托管人限期纠正，并将纠正结果报告中国证监会。</w:t>
      </w:r>
    </w:p>
    <w:p>
      <w:pPr>
        <w:spacing w:line="269" w:lineRule="exact" w:before="0"/>
        <w:ind w:left="3745" w:right="0" w:firstLine="0"/>
        <w:jc w:val="left"/>
        <w:rPr>
          <w:b/>
          <w:sz w:val="21"/>
        </w:rPr>
      </w:pPr>
      <w:r>
        <w:rPr>
          <w:b/>
          <w:sz w:val="21"/>
        </w:rPr>
        <w:t>四、基金财产的保管</w:t>
      </w:r>
    </w:p>
    <w:p>
      <w:pPr>
        <w:pStyle w:val="BodyText"/>
        <w:spacing w:before="6"/>
        <w:rPr>
          <w:b/>
          <w:sz w:val="15"/>
        </w:rPr>
      </w:pPr>
    </w:p>
    <w:p>
      <w:pPr>
        <w:pStyle w:val="BodyText"/>
        <w:ind w:left="960"/>
      </w:pPr>
      <w:r>
        <w:rPr/>
        <w:t>（一）基金财产保管的原则</w:t>
      </w:r>
    </w:p>
    <w:p>
      <w:pPr>
        <w:pStyle w:val="BodyText"/>
        <w:spacing w:before="6"/>
        <w:rPr>
          <w:sz w:val="15"/>
        </w:rPr>
      </w:pPr>
    </w:p>
    <w:p>
      <w:pPr>
        <w:pStyle w:val="ListParagraph"/>
        <w:numPr>
          <w:ilvl w:val="0"/>
          <w:numId w:val="60"/>
        </w:numPr>
        <w:tabs>
          <w:tab w:pos="1120" w:val="left" w:leader="none"/>
        </w:tabs>
        <w:spacing w:line="240" w:lineRule="auto" w:before="1" w:after="0"/>
        <w:ind w:left="1119" w:right="0" w:hanging="160"/>
        <w:jc w:val="left"/>
        <w:rPr>
          <w:sz w:val="21"/>
        </w:rPr>
      </w:pPr>
      <w:r>
        <w:rPr>
          <w:spacing w:val="-3"/>
          <w:sz w:val="21"/>
        </w:rPr>
        <w:t>基金财产应独立于基金管理人、基金托管人的固有财产。</w:t>
      </w:r>
    </w:p>
    <w:p>
      <w:pPr>
        <w:pStyle w:val="BodyText"/>
        <w:spacing w:before="6"/>
        <w:rPr>
          <w:sz w:val="15"/>
        </w:rPr>
      </w:pPr>
    </w:p>
    <w:p>
      <w:pPr>
        <w:pStyle w:val="ListParagraph"/>
        <w:numPr>
          <w:ilvl w:val="0"/>
          <w:numId w:val="60"/>
        </w:numPr>
        <w:tabs>
          <w:tab w:pos="1120" w:val="left" w:leader="none"/>
        </w:tabs>
        <w:spacing w:line="240" w:lineRule="auto" w:before="0" w:after="0"/>
        <w:ind w:left="1119" w:right="0" w:hanging="160"/>
        <w:jc w:val="left"/>
        <w:rPr>
          <w:sz w:val="21"/>
        </w:rPr>
      </w:pPr>
      <w:r>
        <w:rPr>
          <w:spacing w:val="-3"/>
          <w:sz w:val="21"/>
        </w:rPr>
        <w:t>基金托管人应安全保管基金财产。</w:t>
      </w:r>
    </w:p>
    <w:p>
      <w:pPr>
        <w:pStyle w:val="BodyText"/>
        <w:spacing w:before="7"/>
        <w:rPr>
          <w:sz w:val="15"/>
        </w:rPr>
      </w:pPr>
    </w:p>
    <w:p>
      <w:pPr>
        <w:pStyle w:val="ListParagraph"/>
        <w:numPr>
          <w:ilvl w:val="0"/>
          <w:numId w:val="60"/>
        </w:numPr>
        <w:tabs>
          <w:tab w:pos="1120" w:val="left" w:leader="none"/>
        </w:tabs>
        <w:spacing w:line="240" w:lineRule="auto" w:before="1" w:after="0"/>
        <w:ind w:left="1119" w:right="0" w:hanging="160"/>
        <w:jc w:val="left"/>
        <w:rPr>
          <w:sz w:val="21"/>
        </w:rPr>
      </w:pPr>
      <w:r>
        <w:rPr>
          <w:spacing w:val="-3"/>
          <w:sz w:val="21"/>
        </w:rPr>
        <w:t>基金托管人按照规定开设基金财产投资所需的相关账户。</w:t>
      </w:r>
    </w:p>
    <w:p>
      <w:pPr>
        <w:pStyle w:val="BodyText"/>
        <w:spacing w:before="6"/>
        <w:rPr>
          <w:sz w:val="15"/>
        </w:rPr>
      </w:pPr>
    </w:p>
    <w:p>
      <w:pPr>
        <w:pStyle w:val="ListParagraph"/>
        <w:numPr>
          <w:ilvl w:val="0"/>
          <w:numId w:val="60"/>
        </w:numPr>
        <w:tabs>
          <w:tab w:pos="1120" w:val="left" w:leader="none"/>
        </w:tabs>
        <w:spacing w:line="240" w:lineRule="auto" w:before="0" w:after="0"/>
        <w:ind w:left="1119" w:right="0" w:hanging="160"/>
        <w:jc w:val="left"/>
        <w:rPr>
          <w:sz w:val="21"/>
        </w:rPr>
      </w:pPr>
      <w:r>
        <w:rPr>
          <w:spacing w:val="-3"/>
          <w:sz w:val="21"/>
        </w:rPr>
        <w:t>基金托管人对所托管的不同基金财产分别设置账户，确保基金财产的完整与独立。</w:t>
      </w:r>
    </w:p>
    <w:p>
      <w:pPr>
        <w:pStyle w:val="BodyText"/>
        <w:spacing w:before="7"/>
        <w:rPr>
          <w:sz w:val="15"/>
        </w:rPr>
      </w:pPr>
    </w:p>
    <w:p>
      <w:pPr>
        <w:pStyle w:val="ListParagraph"/>
        <w:numPr>
          <w:ilvl w:val="0"/>
          <w:numId w:val="60"/>
        </w:numPr>
        <w:tabs>
          <w:tab w:pos="1120" w:val="left" w:leader="none"/>
        </w:tabs>
        <w:spacing w:line="417" w:lineRule="auto" w:before="0" w:after="0"/>
        <w:ind w:left="540" w:right="311" w:firstLine="419"/>
        <w:jc w:val="both"/>
        <w:rPr>
          <w:sz w:val="21"/>
        </w:rPr>
      </w:pPr>
      <w:r>
        <w:rPr>
          <w:spacing w:val="-6"/>
          <w:sz w:val="21"/>
        </w:rPr>
        <w:t>基金托管人根据基金管理人的指令，按照基金合同和本协议的约定保管基金财产。未</w:t>
      </w:r>
      <w:r>
        <w:rPr>
          <w:spacing w:val="-9"/>
          <w:sz w:val="21"/>
        </w:rPr>
        <w:t>经基金管理人的正当指令，不得自行运用、处分、分配基金的任何资产。不属于基金托管人实际有效控制下的资产及实物证券等在基金托管人保管期间的损坏、灭失，基金托管人不承</w:t>
      </w:r>
      <w:r>
        <w:rPr>
          <w:spacing w:val="-5"/>
          <w:sz w:val="21"/>
        </w:rPr>
        <w:t>担由此产生的责任。</w:t>
      </w:r>
    </w:p>
    <w:p>
      <w:pPr>
        <w:pStyle w:val="ListParagraph"/>
        <w:numPr>
          <w:ilvl w:val="0"/>
          <w:numId w:val="60"/>
        </w:numPr>
        <w:tabs>
          <w:tab w:pos="1120" w:val="left" w:leader="none"/>
        </w:tabs>
        <w:spacing w:line="417" w:lineRule="auto" w:before="0" w:after="0"/>
        <w:ind w:left="540" w:right="311" w:firstLine="419"/>
        <w:jc w:val="both"/>
        <w:rPr>
          <w:sz w:val="21"/>
        </w:rPr>
      </w:pPr>
      <w:r>
        <w:rPr>
          <w:spacing w:val="-6"/>
          <w:sz w:val="21"/>
        </w:rPr>
        <w:t>对于因为基金投资产生的应收资产，应由基金管理人负责与有关当事人确定到账日期</w:t>
      </w:r>
      <w:r>
        <w:rPr>
          <w:spacing w:val="-11"/>
          <w:sz w:val="21"/>
        </w:rPr>
        <w:t>并通知基金托管人，到账日基金财产没有到达基金资金账户的，基金托管人应及时通知基金</w:t>
      </w:r>
      <w:r>
        <w:rPr>
          <w:spacing w:val="-6"/>
          <w:sz w:val="21"/>
        </w:rPr>
        <w:t>管理人采取措施进行催收，基金管理人应负责向有关当事人追偿基金财产的损失。</w:t>
      </w:r>
    </w:p>
    <w:p>
      <w:pPr>
        <w:spacing w:after="0" w:line="417" w:lineRule="auto"/>
        <w:jc w:val="both"/>
        <w:rPr>
          <w:sz w:val="21"/>
        </w:rPr>
        <w:sectPr>
          <w:pgSz w:w="11910" w:h="16840"/>
          <w:pgMar w:header="877" w:footer="0" w:top="1420" w:bottom="280" w:left="1260" w:right="1480"/>
        </w:sectPr>
      </w:pPr>
    </w:p>
    <w:p>
      <w:pPr>
        <w:pStyle w:val="ListParagraph"/>
        <w:numPr>
          <w:ilvl w:val="0"/>
          <w:numId w:val="60"/>
        </w:numPr>
        <w:tabs>
          <w:tab w:pos="1124" w:val="left" w:leader="none"/>
        </w:tabs>
        <w:spacing w:line="417" w:lineRule="auto" w:before="110" w:after="0"/>
        <w:ind w:left="540" w:right="208" w:firstLine="419"/>
        <w:jc w:val="both"/>
        <w:rPr>
          <w:sz w:val="21"/>
        </w:rPr>
      </w:pPr>
      <w:r>
        <w:rPr>
          <w:sz w:val="21"/>
        </w:rPr>
        <w:t>基金托管人对因为基金管理人投资产生的存放或存管在基金托管人以外机构的基金 </w:t>
      </w:r>
      <w:r>
        <w:rPr>
          <w:spacing w:val="-10"/>
          <w:sz w:val="21"/>
        </w:rPr>
        <w:t>资产，或证券公司负责清算交收的基金资产及其收益，由于该等机构或该机构会员单位等本</w:t>
      </w:r>
      <w:r>
        <w:rPr>
          <w:spacing w:val="-18"/>
          <w:sz w:val="21"/>
        </w:rPr>
        <w:t>协议当事人外第三方的欺诈、疏忽、过失或破产等原因给基金资产造成的损失等不承担责任。</w:t>
      </w:r>
    </w:p>
    <w:p>
      <w:pPr>
        <w:pStyle w:val="ListParagraph"/>
        <w:numPr>
          <w:ilvl w:val="0"/>
          <w:numId w:val="60"/>
        </w:numPr>
        <w:tabs>
          <w:tab w:pos="1120" w:val="left" w:leader="none"/>
        </w:tabs>
        <w:spacing w:line="269" w:lineRule="exact" w:before="0" w:after="0"/>
        <w:ind w:left="1119" w:right="0" w:hanging="160"/>
        <w:jc w:val="left"/>
        <w:rPr>
          <w:sz w:val="21"/>
        </w:rPr>
      </w:pPr>
      <w:r>
        <w:rPr>
          <w:spacing w:val="-3"/>
          <w:sz w:val="21"/>
        </w:rPr>
        <w:t>除依据法律法规和基金合同的规定外，基金托管人不得委托第三人托管基金财产。</w:t>
      </w:r>
    </w:p>
    <w:p>
      <w:pPr>
        <w:pStyle w:val="BodyText"/>
        <w:spacing w:before="6"/>
        <w:rPr>
          <w:sz w:val="15"/>
        </w:rPr>
      </w:pPr>
    </w:p>
    <w:p>
      <w:pPr>
        <w:spacing w:before="0"/>
        <w:ind w:left="0" w:right="3100" w:firstLine="0"/>
        <w:jc w:val="right"/>
        <w:rPr>
          <w:b/>
          <w:sz w:val="21"/>
        </w:rPr>
      </w:pPr>
      <w:r>
        <w:rPr>
          <w:b/>
          <w:sz w:val="21"/>
        </w:rPr>
        <w:t>五、基金资产净值计算与复核</w:t>
      </w:r>
    </w:p>
    <w:p>
      <w:pPr>
        <w:pStyle w:val="BodyText"/>
        <w:spacing w:before="7"/>
        <w:rPr>
          <w:b/>
          <w:sz w:val="15"/>
        </w:rPr>
      </w:pPr>
    </w:p>
    <w:p>
      <w:pPr>
        <w:pStyle w:val="BodyText"/>
        <w:ind w:right="3158"/>
        <w:jc w:val="right"/>
      </w:pPr>
      <w:r>
        <w:rPr/>
        <w:t>（一）基金资产净值的计算、复核与完成的时间及程序</w:t>
      </w:r>
    </w:p>
    <w:p>
      <w:pPr>
        <w:pStyle w:val="BodyText"/>
        <w:spacing w:before="7"/>
        <w:rPr>
          <w:sz w:val="15"/>
        </w:rPr>
      </w:pPr>
    </w:p>
    <w:p>
      <w:pPr>
        <w:pStyle w:val="ListParagraph"/>
        <w:numPr>
          <w:ilvl w:val="0"/>
          <w:numId w:val="61"/>
        </w:numPr>
        <w:tabs>
          <w:tab w:pos="1120" w:val="left" w:leader="none"/>
        </w:tabs>
        <w:spacing w:line="240" w:lineRule="auto" w:before="0" w:after="0"/>
        <w:ind w:left="1119" w:right="0" w:hanging="160"/>
        <w:jc w:val="left"/>
        <w:rPr>
          <w:sz w:val="21"/>
        </w:rPr>
      </w:pPr>
      <w:r>
        <w:rPr>
          <w:spacing w:val="-3"/>
          <w:sz w:val="21"/>
        </w:rPr>
        <w:t>基金资产净值</w:t>
      </w:r>
    </w:p>
    <w:p>
      <w:pPr>
        <w:pStyle w:val="BodyText"/>
        <w:spacing w:before="7"/>
        <w:rPr>
          <w:sz w:val="15"/>
        </w:rPr>
      </w:pPr>
    </w:p>
    <w:p>
      <w:pPr>
        <w:pStyle w:val="BodyText"/>
        <w:ind w:left="960"/>
      </w:pPr>
      <w:r>
        <w:rPr/>
        <w:t>基金资产净值是指基金资产总值减去基金负债后的价值。</w:t>
      </w:r>
    </w:p>
    <w:p>
      <w:pPr>
        <w:pStyle w:val="BodyText"/>
        <w:spacing w:before="7"/>
        <w:rPr>
          <w:sz w:val="15"/>
        </w:rPr>
      </w:pPr>
    </w:p>
    <w:p>
      <w:pPr>
        <w:pStyle w:val="BodyText"/>
        <w:spacing w:line="417" w:lineRule="auto"/>
        <w:ind w:left="540" w:right="104" w:firstLine="419"/>
      </w:pPr>
      <w:r>
        <w:rPr>
          <w:spacing w:val="-7"/>
        </w:rPr>
        <w:t>基金份额净值是指估值日基金资产净值除以估值日基金份额总数，基金份额净值的计算， </w:t>
      </w:r>
      <w:r>
        <w:rPr>
          <w:spacing w:val="-15"/>
        </w:rPr>
        <w:t>精确到 </w:t>
      </w:r>
      <w:r>
        <w:rPr>
          <w:rFonts w:ascii="Times New Roman" w:eastAsia="Times New Roman"/>
        </w:rPr>
        <w:t>0.0001 </w:t>
      </w:r>
      <w:r>
        <w:rPr>
          <w:spacing w:val="-3"/>
        </w:rPr>
        <w:t>元，小数点后第五位四舍五入，国家另有规定的，从其规定。</w:t>
      </w:r>
    </w:p>
    <w:p>
      <w:pPr>
        <w:pStyle w:val="BodyText"/>
        <w:spacing w:line="417" w:lineRule="auto"/>
        <w:ind w:left="540" w:right="311" w:firstLine="419"/>
      </w:pPr>
      <w:r>
        <w:rPr>
          <w:spacing w:val="-7"/>
        </w:rPr>
        <w:t>基金管理人每个工作日计算基金资产净值及两类基金份额净值，经基金托管人复核，按</w:t>
      </w:r>
      <w:r>
        <w:rPr>
          <w:spacing w:val="-4"/>
        </w:rPr>
        <w:t>规定公告。</w:t>
      </w:r>
    </w:p>
    <w:p>
      <w:pPr>
        <w:pStyle w:val="ListParagraph"/>
        <w:numPr>
          <w:ilvl w:val="0"/>
          <w:numId w:val="61"/>
        </w:numPr>
        <w:tabs>
          <w:tab w:pos="1120" w:val="left" w:leader="none"/>
        </w:tabs>
        <w:spacing w:line="269" w:lineRule="exact" w:before="0" w:after="0"/>
        <w:ind w:left="1119" w:right="0" w:hanging="160"/>
        <w:jc w:val="left"/>
        <w:rPr>
          <w:sz w:val="21"/>
        </w:rPr>
      </w:pPr>
      <w:r>
        <w:rPr>
          <w:spacing w:val="-2"/>
          <w:sz w:val="21"/>
        </w:rPr>
        <w:t>复核程序</w:t>
      </w:r>
    </w:p>
    <w:p>
      <w:pPr>
        <w:pStyle w:val="BodyText"/>
        <w:spacing w:before="6"/>
        <w:rPr>
          <w:sz w:val="15"/>
        </w:rPr>
      </w:pPr>
    </w:p>
    <w:p>
      <w:pPr>
        <w:pStyle w:val="BodyText"/>
        <w:spacing w:line="417" w:lineRule="auto"/>
        <w:ind w:left="540" w:right="311" w:firstLine="419"/>
      </w:pPr>
      <w:r>
        <w:rPr>
          <w:spacing w:val="-8"/>
        </w:rPr>
        <w:t>基金管理人每工作日对基金资产进行估值后，将基金净值信息发送基金托管人，经基金</w:t>
      </w:r>
      <w:r>
        <w:rPr>
          <w:spacing w:val="-5"/>
        </w:rPr>
        <w:t>托管人复核无误后，由基金管理人对外公布。</w:t>
      </w:r>
    </w:p>
    <w:p>
      <w:pPr>
        <w:pStyle w:val="ListParagraph"/>
        <w:numPr>
          <w:ilvl w:val="0"/>
          <w:numId w:val="61"/>
        </w:numPr>
        <w:tabs>
          <w:tab w:pos="1120" w:val="left" w:leader="none"/>
        </w:tabs>
        <w:spacing w:line="417" w:lineRule="auto" w:before="1" w:after="0"/>
        <w:ind w:left="540" w:right="311" w:firstLine="419"/>
        <w:jc w:val="both"/>
        <w:rPr>
          <w:sz w:val="21"/>
        </w:rPr>
      </w:pPr>
      <w:r>
        <w:rPr>
          <w:spacing w:val="-7"/>
          <w:sz w:val="21"/>
        </w:rPr>
        <w:t>根据有关法律法规，基金资产净值计算和基金会计核算的义务由基金管理人承担。本</w:t>
      </w:r>
      <w:r>
        <w:rPr>
          <w:spacing w:val="-10"/>
          <w:sz w:val="21"/>
        </w:rPr>
        <w:t>基金的基金会计责任方由基金管理人担任，因此，就与本基金有关的会计问题，如经相关各</w:t>
      </w:r>
      <w:r>
        <w:rPr>
          <w:spacing w:val="-11"/>
          <w:sz w:val="21"/>
        </w:rPr>
        <w:t>方在平等基础上充分讨论后，仍无法达成一致意见的，按照基金管理人对基金净值信息的计</w:t>
      </w:r>
      <w:r>
        <w:rPr>
          <w:spacing w:val="-6"/>
          <w:sz w:val="21"/>
        </w:rPr>
        <w:t>算结果对外予以公布。</w:t>
      </w:r>
    </w:p>
    <w:p>
      <w:pPr>
        <w:spacing w:line="268" w:lineRule="exact" w:before="0"/>
        <w:ind w:left="2902" w:right="0" w:firstLine="0"/>
        <w:jc w:val="left"/>
        <w:rPr>
          <w:b/>
          <w:sz w:val="21"/>
        </w:rPr>
      </w:pPr>
      <w:r>
        <w:rPr>
          <w:b/>
          <w:sz w:val="21"/>
        </w:rPr>
        <w:t>六、基金份额持有人名册的登记与保管</w:t>
      </w:r>
    </w:p>
    <w:p>
      <w:pPr>
        <w:pStyle w:val="BodyText"/>
        <w:spacing w:before="6"/>
        <w:rPr>
          <w:b/>
          <w:sz w:val="15"/>
        </w:rPr>
      </w:pPr>
    </w:p>
    <w:p>
      <w:pPr>
        <w:pStyle w:val="BodyText"/>
        <w:spacing w:line="417" w:lineRule="auto"/>
        <w:ind w:left="540" w:right="208" w:firstLine="419"/>
      </w:pPr>
      <w:r>
        <w:rPr>
          <w:spacing w:val="-3"/>
        </w:rPr>
        <w:t>基金份额持有人名册至少应包括基金份额持有人的名称、证件号码和持有的基金份额。</w:t>
      </w:r>
      <w:r>
        <w:rPr>
          <w:spacing w:val="-6"/>
        </w:rPr>
        <w:t>基金份额持有人名册由基金登记机构根据基金管理人的指令编制和保管，基金管理人和基金托管人应分别保管基金份额持有人名册，保存期不少于 </w:t>
      </w:r>
      <w:r>
        <w:rPr>
          <w:rFonts w:ascii="Times New Roman" w:eastAsia="Times New Roman"/>
        </w:rPr>
        <w:t>15 </w:t>
      </w:r>
      <w:r>
        <w:rPr>
          <w:spacing w:val="-3"/>
        </w:rPr>
        <w:t>年。如不能妥善保管，则按相关法律法规承担责任。</w:t>
      </w:r>
    </w:p>
    <w:p>
      <w:pPr>
        <w:pStyle w:val="BodyText"/>
        <w:spacing w:line="417" w:lineRule="auto"/>
        <w:ind w:left="540" w:right="102" w:firstLine="419"/>
      </w:pPr>
      <w:r>
        <w:rPr>
          <w:spacing w:val="-8"/>
        </w:rPr>
        <w:t>在基金托管人要求或编制中期报告和年报前，基金管理人应将有关资料送交基金托管人， </w:t>
      </w:r>
      <w:r>
        <w:rPr>
          <w:spacing w:val="-11"/>
        </w:rPr>
        <w:t>不得无故拒绝或延误提供，并保证其的真实性、准确性和完整性。基金管理人和托管人不得 </w:t>
      </w:r>
      <w:r>
        <w:rPr>
          <w:spacing w:val="-6"/>
        </w:rPr>
        <w:t>将所保管的基金份额持有人名册用于基金托管业务以外的其他用途，并应遵守保密义务。</w:t>
      </w:r>
    </w:p>
    <w:p>
      <w:pPr>
        <w:spacing w:line="269" w:lineRule="exact" w:before="0"/>
        <w:ind w:left="3850" w:right="0" w:firstLine="0"/>
        <w:jc w:val="left"/>
        <w:rPr>
          <w:b/>
          <w:sz w:val="21"/>
        </w:rPr>
      </w:pPr>
      <w:r>
        <w:rPr>
          <w:b/>
          <w:sz w:val="21"/>
        </w:rPr>
        <w:t>七、争议解决方式</w:t>
      </w:r>
    </w:p>
    <w:p>
      <w:pPr>
        <w:pStyle w:val="BodyText"/>
        <w:spacing w:before="7"/>
        <w:rPr>
          <w:b/>
          <w:sz w:val="15"/>
        </w:rPr>
      </w:pPr>
    </w:p>
    <w:p>
      <w:pPr>
        <w:pStyle w:val="BodyText"/>
        <w:spacing w:line="417" w:lineRule="auto"/>
        <w:ind w:left="540" w:right="311" w:firstLine="419"/>
      </w:pPr>
      <w:r>
        <w:rPr>
          <w:spacing w:val="-11"/>
        </w:rPr>
        <w:t>各方当事人同意，因本协议而产生的或与本协议有关的一切争议，如经友好协商未能解决的，应提交中国国际经济贸易仲裁委员会，根据该会当时有效的仲裁规则进行仲裁，仲裁</w:t>
      </w:r>
    </w:p>
    <w:p>
      <w:pPr>
        <w:spacing w:after="0" w:line="417" w:lineRule="auto"/>
        <w:sectPr>
          <w:pgSz w:w="11910" w:h="16840"/>
          <w:pgMar w:header="877" w:footer="0" w:top="1420" w:bottom="280" w:left="1260" w:right="1480"/>
        </w:sectPr>
      </w:pPr>
    </w:p>
    <w:p>
      <w:pPr>
        <w:pStyle w:val="BodyText"/>
        <w:spacing w:before="110"/>
        <w:ind w:left="540"/>
      </w:pPr>
      <w:r>
        <w:rPr/>
        <w:t>地点为北京，仲裁裁决是终局性的并对各方当事人具有约束力，仲裁费由败诉方承担。</w:t>
      </w:r>
    </w:p>
    <w:p>
      <w:pPr>
        <w:pStyle w:val="BodyText"/>
        <w:spacing w:before="6"/>
        <w:rPr>
          <w:sz w:val="15"/>
        </w:rPr>
      </w:pPr>
    </w:p>
    <w:p>
      <w:pPr>
        <w:pStyle w:val="BodyText"/>
        <w:spacing w:line="417" w:lineRule="auto"/>
        <w:ind w:left="540" w:right="311" w:firstLine="419"/>
      </w:pPr>
      <w:r>
        <w:rPr>
          <w:spacing w:val="-9"/>
        </w:rPr>
        <w:t>争议处理期间，双方当事人应恪守各自的职责，各自继续忠实、勤勉、尽责地履行基金</w:t>
      </w:r>
      <w:r>
        <w:rPr>
          <w:spacing w:val="-5"/>
        </w:rPr>
        <w:t>合同和本托管协议规定的义务，维护基金份额持有人的合法权益。</w:t>
      </w:r>
    </w:p>
    <w:p>
      <w:pPr>
        <w:pStyle w:val="BodyText"/>
        <w:spacing w:line="269" w:lineRule="exact"/>
        <w:ind w:left="960"/>
      </w:pPr>
      <w:r>
        <w:rPr/>
        <w:t>本协议受中华人民共和国法律（不含港澳台立法）管辖。</w:t>
      </w:r>
    </w:p>
    <w:p>
      <w:pPr>
        <w:pStyle w:val="BodyText"/>
        <w:spacing w:before="7"/>
        <w:rPr>
          <w:sz w:val="15"/>
        </w:rPr>
      </w:pPr>
    </w:p>
    <w:p>
      <w:pPr>
        <w:spacing w:before="0"/>
        <w:ind w:left="2459" w:right="2240" w:firstLine="0"/>
        <w:jc w:val="center"/>
        <w:rPr>
          <w:b/>
          <w:sz w:val="21"/>
        </w:rPr>
      </w:pPr>
      <w:r>
        <w:rPr>
          <w:b/>
          <w:sz w:val="21"/>
        </w:rPr>
        <w:t>八、托管协议的修改与终止</w:t>
      </w:r>
    </w:p>
    <w:p>
      <w:pPr>
        <w:pStyle w:val="BodyText"/>
        <w:spacing w:before="7"/>
        <w:rPr>
          <w:b/>
          <w:sz w:val="15"/>
        </w:rPr>
      </w:pPr>
    </w:p>
    <w:p>
      <w:pPr>
        <w:pStyle w:val="BodyText"/>
        <w:ind w:left="960"/>
      </w:pPr>
      <w:r>
        <w:rPr/>
        <w:t>（一）托管协议的变更程序</w:t>
      </w:r>
    </w:p>
    <w:p>
      <w:pPr>
        <w:pStyle w:val="BodyText"/>
        <w:spacing w:before="7"/>
        <w:rPr>
          <w:sz w:val="15"/>
        </w:rPr>
      </w:pPr>
    </w:p>
    <w:p>
      <w:pPr>
        <w:pStyle w:val="BodyText"/>
        <w:spacing w:line="417" w:lineRule="auto"/>
        <w:ind w:left="540" w:right="311" w:firstLine="419"/>
      </w:pPr>
      <w:r>
        <w:rPr>
          <w:spacing w:val="-9"/>
        </w:rPr>
        <w:t>本协议双方当事人经协商一致，可以对协议进行修改。修改后的新协议，其内容不得与</w:t>
      </w:r>
      <w:r>
        <w:rPr>
          <w:spacing w:val="-5"/>
        </w:rPr>
        <w:t>基金合同的规定有任何冲突。基金托管协议的变更应报中国证监会备案。</w:t>
      </w:r>
    </w:p>
    <w:p>
      <w:pPr>
        <w:pStyle w:val="BodyText"/>
        <w:ind w:left="960"/>
      </w:pPr>
      <w:r>
        <w:rPr/>
        <w:t>（二）基金托管协议终止的情形</w:t>
      </w:r>
    </w:p>
    <w:p>
      <w:pPr>
        <w:pStyle w:val="BodyText"/>
        <w:spacing w:before="7"/>
        <w:rPr>
          <w:sz w:val="15"/>
        </w:rPr>
      </w:pPr>
    </w:p>
    <w:p>
      <w:pPr>
        <w:pStyle w:val="BodyText"/>
        <w:ind w:left="960"/>
      </w:pPr>
      <w:r>
        <w:rPr>
          <w:rFonts w:ascii="Times New Roman" w:eastAsia="Times New Roman"/>
        </w:rPr>
        <w:t>1</w:t>
      </w:r>
      <w:r>
        <w:rPr/>
        <w:t>、《基金合同》终止；</w:t>
      </w:r>
    </w:p>
    <w:p>
      <w:pPr>
        <w:pStyle w:val="BodyText"/>
        <w:spacing w:before="6"/>
        <w:rPr>
          <w:sz w:val="15"/>
        </w:rPr>
      </w:pPr>
    </w:p>
    <w:p>
      <w:pPr>
        <w:pStyle w:val="BodyText"/>
        <w:spacing w:line="417" w:lineRule="auto"/>
        <w:ind w:left="540" w:right="314" w:firstLine="419"/>
      </w:pPr>
      <w:r>
        <w:rPr>
          <w:rFonts w:ascii="Times New Roman" w:eastAsia="Times New Roman"/>
        </w:rPr>
        <w:t>2</w:t>
      </w:r>
      <w:r>
        <w:rPr/>
        <w:t>、基金托管人因解散、破产、依法被撤销等事由，不能继续担任基金托管人的职务， 而在 </w:t>
      </w:r>
      <w:r>
        <w:rPr>
          <w:rFonts w:ascii="Times New Roman" w:eastAsia="Times New Roman"/>
        </w:rPr>
        <w:t>6 </w:t>
      </w:r>
      <w:r>
        <w:rPr/>
        <w:t>个月内无其他适当的托管机构承接其原有权利义务；</w:t>
      </w:r>
    </w:p>
    <w:p>
      <w:pPr>
        <w:pStyle w:val="BodyText"/>
        <w:spacing w:line="417" w:lineRule="auto"/>
        <w:ind w:left="540" w:right="314" w:firstLine="419"/>
      </w:pPr>
      <w:r>
        <w:rPr>
          <w:rFonts w:ascii="Times New Roman" w:eastAsia="Times New Roman"/>
        </w:rPr>
        <w:t>3</w:t>
      </w:r>
      <w:r>
        <w:rPr/>
        <w:t>、基金管理人因解散、破产、依法被撤销等事由，不能继续担任基金管理人的职务， 而在 </w:t>
      </w:r>
      <w:r>
        <w:rPr>
          <w:rFonts w:ascii="Times New Roman" w:eastAsia="Times New Roman"/>
        </w:rPr>
        <w:t>6 </w:t>
      </w:r>
      <w:r>
        <w:rPr/>
        <w:t>个月内无其他适当的基金管理公司承接其原有权利义务；</w:t>
      </w:r>
    </w:p>
    <w:p>
      <w:pPr>
        <w:pStyle w:val="BodyText"/>
        <w:ind w:left="960"/>
      </w:pPr>
      <w:r>
        <w:rPr>
          <w:rFonts w:ascii="Times New Roman" w:eastAsia="Times New Roman"/>
        </w:rPr>
        <w:t>4</w:t>
      </w:r>
      <w:r>
        <w:rPr/>
        <w:t>、发生法律法规或《基金合同》规定的其他终止事项。</w:t>
      </w:r>
    </w:p>
    <w:p>
      <w:pPr>
        <w:pStyle w:val="BodyText"/>
        <w:rPr>
          <w:sz w:val="22"/>
        </w:rPr>
      </w:pPr>
    </w:p>
    <w:p>
      <w:pPr>
        <w:pStyle w:val="BodyText"/>
        <w:spacing w:before="2"/>
        <w:rPr>
          <w:sz w:val="20"/>
        </w:rPr>
      </w:pPr>
    </w:p>
    <w:p>
      <w:pPr>
        <w:pStyle w:val="Heading1"/>
      </w:pPr>
      <w:bookmarkStart w:name="_bookmark20" w:id="21"/>
      <w:bookmarkEnd w:id="21"/>
      <w:r>
        <w:rPr>
          <w:b w:val="0"/>
        </w:rPr>
      </w:r>
      <w:r>
        <w:rPr/>
        <w:t>二十一、对基金份额持有人的服务</w:t>
      </w:r>
    </w:p>
    <w:p>
      <w:pPr>
        <w:pStyle w:val="BodyText"/>
        <w:rPr>
          <w:b/>
          <w:sz w:val="20"/>
        </w:rPr>
      </w:pPr>
    </w:p>
    <w:p>
      <w:pPr>
        <w:pStyle w:val="BodyText"/>
        <w:spacing w:before="2"/>
        <w:rPr>
          <w:b/>
        </w:rPr>
      </w:pPr>
    </w:p>
    <w:p>
      <w:pPr>
        <w:pStyle w:val="BodyText"/>
        <w:ind w:left="960"/>
      </w:pPr>
      <w:r>
        <w:rPr>
          <w:spacing w:val="-3"/>
        </w:rPr>
        <w:t>对本基金份额持有人的服务主要由基金管理人和代销机构提供。</w:t>
      </w:r>
    </w:p>
    <w:p>
      <w:pPr>
        <w:pStyle w:val="BodyText"/>
        <w:spacing w:before="7"/>
        <w:rPr>
          <w:sz w:val="15"/>
        </w:rPr>
      </w:pPr>
    </w:p>
    <w:p>
      <w:pPr>
        <w:pStyle w:val="BodyText"/>
        <w:spacing w:line="417" w:lineRule="auto"/>
        <w:ind w:left="540" w:right="31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line="269" w:lineRule="exact"/>
        <w:ind w:left="960"/>
      </w:pPr>
      <w:r>
        <w:rPr/>
        <w:t>（一）资料发送</w:t>
      </w:r>
    </w:p>
    <w:p>
      <w:pPr>
        <w:pStyle w:val="BodyText"/>
        <w:spacing w:before="7"/>
        <w:rPr>
          <w:sz w:val="15"/>
        </w:rPr>
      </w:pPr>
    </w:p>
    <w:p>
      <w:pPr>
        <w:pStyle w:val="BodyText"/>
        <w:ind w:left="960"/>
      </w:pPr>
      <w:r>
        <w:rPr>
          <w:rFonts w:ascii="Times New Roman" w:eastAsia="Times New Roman"/>
        </w:rPr>
        <w:t>1</w:t>
      </w:r>
      <w:r>
        <w:rPr/>
        <w:t>、基金交易对账单</w:t>
      </w:r>
    </w:p>
    <w:p>
      <w:pPr>
        <w:pStyle w:val="BodyText"/>
        <w:spacing w:before="7"/>
        <w:rPr>
          <w:sz w:val="15"/>
        </w:rPr>
      </w:pPr>
    </w:p>
    <w:p>
      <w:pPr>
        <w:pStyle w:val="BodyText"/>
        <w:spacing w:line="417" w:lineRule="auto"/>
        <w:ind w:left="540" w:right="20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960"/>
      </w:pPr>
      <w:r>
        <w:rPr>
          <w:rFonts w:ascii="Times New Roman" w:eastAsia="Times New Roman"/>
        </w:rPr>
        <w:t>2</w:t>
      </w:r>
      <w:r>
        <w:rPr/>
        <w:t>、其他相关的信息资料</w:t>
      </w:r>
    </w:p>
    <w:p>
      <w:pPr>
        <w:pStyle w:val="BodyText"/>
        <w:spacing w:before="7"/>
        <w:rPr>
          <w:sz w:val="15"/>
        </w:rPr>
      </w:pPr>
    </w:p>
    <w:p>
      <w:pPr>
        <w:pStyle w:val="BodyText"/>
        <w:spacing w:line="417" w:lineRule="auto"/>
        <w:ind w:left="540" w:right="208" w:firstLine="419"/>
      </w:pPr>
      <w:r>
        <w:rPr/>
        <w:t>指随基金交易对账单不定期发送的基金资讯材料，如基金新产品或新服务的相关材料、客户服务问答等。</w:t>
      </w:r>
    </w:p>
    <w:p>
      <w:pPr>
        <w:pStyle w:val="BodyText"/>
        <w:ind w:left="960"/>
      </w:pPr>
      <w:r>
        <w:rPr/>
        <w:t>（二）电子交易</w:t>
      </w:r>
    </w:p>
    <w:p>
      <w:pPr>
        <w:spacing w:after="0"/>
        <w:sectPr>
          <w:pgSz w:w="11910" w:h="16840"/>
          <w:pgMar w:header="877" w:footer="0" w:top="1420" w:bottom="280" w:left="1260" w:right="1480"/>
        </w:sectPr>
      </w:pPr>
    </w:p>
    <w:p>
      <w:pPr>
        <w:pStyle w:val="BodyText"/>
        <w:spacing w:line="417" w:lineRule="auto" w:before="110"/>
        <w:ind w:left="540" w:right="20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84">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960"/>
      </w:pPr>
      <w:r>
        <w:rPr/>
        <w:t>（三）电子邮件及短信服务</w:t>
      </w:r>
    </w:p>
    <w:p>
      <w:pPr>
        <w:pStyle w:val="BodyText"/>
        <w:spacing w:before="6"/>
        <w:rPr>
          <w:sz w:val="15"/>
        </w:rPr>
      </w:pPr>
    </w:p>
    <w:p>
      <w:pPr>
        <w:pStyle w:val="BodyText"/>
        <w:spacing w:line="417" w:lineRule="auto"/>
        <w:ind w:left="540" w:right="31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960"/>
      </w:pPr>
      <w:r>
        <w:rPr/>
        <w:t>（四）呼叫中心</w:t>
      </w:r>
    </w:p>
    <w:p>
      <w:pPr>
        <w:pStyle w:val="BodyText"/>
        <w:spacing w:before="7"/>
        <w:rPr>
          <w:sz w:val="15"/>
        </w:rPr>
      </w:pPr>
    </w:p>
    <w:p>
      <w:pPr>
        <w:pStyle w:val="BodyText"/>
        <w:ind w:left="960"/>
      </w:pPr>
      <w:r>
        <w:rPr>
          <w:rFonts w:ascii="Times New Roman" w:eastAsia="Times New Roman"/>
        </w:rPr>
        <w:t>1</w:t>
      </w:r>
      <w:r>
        <w:rPr/>
        <w:t>、自动语音服务</w:t>
      </w:r>
    </w:p>
    <w:p>
      <w:pPr>
        <w:pStyle w:val="BodyText"/>
        <w:spacing w:before="7"/>
        <w:rPr>
          <w:sz w:val="15"/>
        </w:rPr>
      </w:pPr>
    </w:p>
    <w:p>
      <w:pPr>
        <w:pStyle w:val="BodyText"/>
        <w:spacing w:line="417" w:lineRule="auto"/>
        <w:ind w:left="540" w:right="31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ind w:left="960"/>
      </w:pPr>
      <w:r>
        <w:rPr>
          <w:rFonts w:ascii="Times New Roman" w:eastAsia="Times New Roman"/>
        </w:rPr>
        <w:t>2</w:t>
      </w:r>
      <w:r>
        <w:rPr/>
        <w:t>、人工电话服务</w:t>
      </w:r>
    </w:p>
    <w:p>
      <w:pPr>
        <w:pStyle w:val="BodyText"/>
        <w:spacing w:before="7"/>
        <w:rPr>
          <w:sz w:val="15"/>
        </w:rPr>
      </w:pPr>
    </w:p>
    <w:p>
      <w:pPr>
        <w:pStyle w:val="BodyText"/>
        <w:spacing w:line="417" w:lineRule="auto"/>
        <w:ind w:left="540" w:right="31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960" w:right="550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spacing w:line="269" w:lineRule="exact"/>
        <w:ind w:left="960"/>
      </w:pPr>
      <w:r>
        <w:rPr/>
        <w:t>（五）在线服务</w:t>
      </w:r>
    </w:p>
    <w:p>
      <w:pPr>
        <w:pStyle w:val="BodyText"/>
        <w:spacing w:before="7"/>
        <w:rPr>
          <w:sz w:val="15"/>
        </w:rPr>
      </w:pPr>
    </w:p>
    <w:p>
      <w:pPr>
        <w:pStyle w:val="BodyText"/>
        <w:ind w:left="960"/>
      </w:pPr>
      <w:r>
        <w:rPr/>
        <w:t>投资者可通过本公司网站、</w:t>
      </w:r>
      <w:r>
        <w:rPr>
          <w:rFonts w:ascii="Times New Roman" w:eastAsia="Times New Roman"/>
        </w:rPr>
        <w:t>APP</w:t>
      </w:r>
      <w:r>
        <w:rPr/>
        <w:t>、微信公众号、微官网等渠道获得在线服务。</w:t>
      </w:r>
    </w:p>
    <w:p>
      <w:pPr>
        <w:pStyle w:val="BodyText"/>
        <w:spacing w:before="6"/>
        <w:rPr>
          <w:sz w:val="15"/>
        </w:rPr>
      </w:pPr>
    </w:p>
    <w:p>
      <w:pPr>
        <w:pStyle w:val="BodyText"/>
        <w:spacing w:before="1"/>
        <w:ind w:left="960"/>
      </w:pPr>
      <w:r>
        <w:rPr>
          <w:rFonts w:ascii="Times New Roman" w:eastAsia="Times New Roman"/>
        </w:rPr>
        <w:t>1</w:t>
      </w:r>
      <w:r>
        <w:rPr/>
        <w:t>、查询服务</w:t>
      </w:r>
    </w:p>
    <w:p>
      <w:pPr>
        <w:pStyle w:val="BodyText"/>
        <w:spacing w:before="6"/>
        <w:rPr>
          <w:sz w:val="15"/>
        </w:rPr>
      </w:pPr>
    </w:p>
    <w:p>
      <w:pPr>
        <w:pStyle w:val="BodyText"/>
        <w:ind w:left="960"/>
      </w:pPr>
      <w:r>
        <w:rPr>
          <w:spacing w:val="-9"/>
          <w:w w:val="100"/>
        </w:rPr>
        <w:t>投资者可登录本公司网站“基金账户查询”，查询基金账户情况、更改个人信息。</w:t>
      </w:r>
    </w:p>
    <w:p>
      <w:pPr>
        <w:pStyle w:val="BodyText"/>
        <w:spacing w:before="7"/>
        <w:rPr>
          <w:sz w:val="15"/>
        </w:rPr>
      </w:pPr>
    </w:p>
    <w:p>
      <w:pPr>
        <w:pStyle w:val="BodyText"/>
        <w:ind w:left="960"/>
      </w:pPr>
      <w:r>
        <w:rPr>
          <w:rFonts w:ascii="Times New Roman" w:eastAsia="Times New Roman"/>
        </w:rPr>
        <w:t>2</w:t>
      </w:r>
      <w:r>
        <w:rPr/>
        <w:t>、自助服务</w:t>
      </w:r>
    </w:p>
    <w:p>
      <w:pPr>
        <w:pStyle w:val="BodyText"/>
        <w:spacing w:before="7"/>
        <w:rPr>
          <w:sz w:val="15"/>
        </w:rPr>
      </w:pPr>
    </w:p>
    <w:p>
      <w:pPr>
        <w:pStyle w:val="BodyText"/>
        <w:spacing w:line="417" w:lineRule="auto"/>
        <w:ind w:left="540" w:right="31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spacing w:line="269" w:lineRule="exact"/>
        <w:ind w:left="960"/>
      </w:pPr>
      <w:r>
        <w:rPr>
          <w:rFonts w:ascii="Times New Roman" w:eastAsia="Times New Roman"/>
        </w:rPr>
        <w:t>3</w:t>
      </w:r>
      <w:r>
        <w:rPr/>
        <w:t>、人工服务</w:t>
      </w:r>
    </w:p>
    <w:p>
      <w:pPr>
        <w:pStyle w:val="BodyText"/>
        <w:spacing w:before="7"/>
        <w:rPr>
          <w:sz w:val="15"/>
        </w:rPr>
      </w:pPr>
    </w:p>
    <w:p>
      <w:pPr>
        <w:pStyle w:val="BodyText"/>
        <w:spacing w:line="417" w:lineRule="auto"/>
        <w:ind w:left="540" w:right="31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spacing w:after="0" w:line="417" w:lineRule="auto"/>
        <w:sectPr>
          <w:pgSz w:w="11910" w:h="16840"/>
          <w:pgMar w:header="877" w:footer="0" w:top="1420" w:bottom="280" w:left="1260" w:right="1480"/>
        </w:sectPr>
      </w:pPr>
    </w:p>
    <w:p>
      <w:pPr>
        <w:pStyle w:val="BodyText"/>
        <w:spacing w:before="110"/>
        <w:ind w:left="960"/>
      </w:pPr>
      <w:r>
        <w:rPr>
          <w:rFonts w:ascii="Times New Roman" w:eastAsia="Times New Roman"/>
        </w:rPr>
        <w:t>4</w:t>
      </w:r>
      <w:r>
        <w:rPr/>
        <w:t>、资讯服务</w:t>
      </w:r>
    </w:p>
    <w:p>
      <w:pPr>
        <w:pStyle w:val="BodyText"/>
        <w:spacing w:before="6"/>
        <w:rPr>
          <w:sz w:val="15"/>
        </w:rPr>
      </w:pPr>
    </w:p>
    <w:p>
      <w:pPr>
        <w:pStyle w:val="BodyText"/>
        <w:spacing w:line="417" w:lineRule="auto"/>
        <w:ind w:left="540" w:right="31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960"/>
        <w:rPr>
          <w:rFonts w:ascii="Times New Roman" w:eastAsia="Times New Roman"/>
        </w:rPr>
      </w:pPr>
      <w:r>
        <w:rPr/>
        <w:t>公司网址：</w:t>
      </w:r>
      <w:hyperlink r:id="rId11">
        <w:r>
          <w:rPr>
            <w:rFonts w:ascii="Times New Roman" w:eastAsia="Times New Roman"/>
          </w:rPr>
          <w:t>www.ChinaAMC.com</w:t>
        </w:r>
      </w:hyperlink>
    </w:p>
    <w:p>
      <w:pPr>
        <w:pStyle w:val="BodyText"/>
        <w:spacing w:before="4"/>
        <w:rPr>
          <w:rFonts w:ascii="Times New Roman"/>
          <w:sz w:val="17"/>
        </w:rPr>
      </w:pPr>
    </w:p>
    <w:p>
      <w:pPr>
        <w:pStyle w:val="BodyText"/>
        <w:ind w:left="960"/>
        <w:rPr>
          <w:rFonts w:ascii="Times New Roman" w:eastAsia="Times New Roman"/>
        </w:rPr>
      </w:pPr>
      <w:r>
        <w:rPr/>
        <w:t>电子信箱：</w:t>
      </w:r>
      <w:hyperlink r:id="rId108">
        <w:r>
          <w:rPr>
            <w:rFonts w:ascii="Times New Roman" w:eastAsia="Times New Roman"/>
          </w:rPr>
          <w:t>service@ChinaAMC.com</w:t>
        </w:r>
      </w:hyperlink>
    </w:p>
    <w:p>
      <w:pPr>
        <w:pStyle w:val="BodyText"/>
        <w:spacing w:before="3"/>
        <w:rPr>
          <w:rFonts w:ascii="Times New Roman"/>
          <w:sz w:val="17"/>
        </w:rPr>
      </w:pPr>
    </w:p>
    <w:p>
      <w:pPr>
        <w:pStyle w:val="BodyText"/>
        <w:ind w:left="960"/>
      </w:pPr>
      <w:r>
        <w:rPr/>
        <w:t>（六）客户投诉和建议处理</w:t>
      </w:r>
    </w:p>
    <w:p>
      <w:pPr>
        <w:pStyle w:val="BodyText"/>
        <w:spacing w:before="7"/>
        <w:rPr>
          <w:sz w:val="15"/>
        </w:rPr>
      </w:pPr>
    </w:p>
    <w:p>
      <w:pPr>
        <w:pStyle w:val="BodyText"/>
        <w:spacing w:line="417" w:lineRule="auto"/>
        <w:ind w:left="540" w:right="31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BodyText"/>
        <w:spacing w:before="1"/>
        <w:rPr>
          <w:sz w:val="28"/>
        </w:rPr>
      </w:pPr>
    </w:p>
    <w:p>
      <w:pPr>
        <w:pStyle w:val="Heading1"/>
        <w:ind w:right="2239"/>
      </w:pPr>
      <w:bookmarkStart w:name="_bookmark21" w:id="22"/>
      <w:bookmarkEnd w:id="22"/>
      <w:r>
        <w:rPr>
          <w:b w:val="0"/>
        </w:rPr>
      </w:r>
      <w:r>
        <w:rPr/>
        <w:t>二十二、其他应披露事项</w:t>
      </w:r>
    </w:p>
    <w:p>
      <w:pPr>
        <w:pStyle w:val="BodyText"/>
        <w:rPr>
          <w:b/>
          <w:sz w:val="20"/>
        </w:rPr>
      </w:pPr>
    </w:p>
    <w:p>
      <w:pPr>
        <w:pStyle w:val="BodyText"/>
        <w:spacing w:before="8"/>
        <w:rPr>
          <w:b/>
          <w:sz w:val="23"/>
        </w:rPr>
      </w:pPr>
    </w:p>
    <w:p>
      <w:pPr>
        <w:pStyle w:val="BodyText"/>
        <w:spacing w:line="417" w:lineRule="auto"/>
        <w:ind w:left="540" w:right="311" w:firstLine="419"/>
      </w:pPr>
      <w:r>
        <w:rPr/>
        <w:t>（一</w:t>
      </w:r>
      <w:r>
        <w:rPr>
          <w:spacing w:val="-11"/>
        </w:rPr>
        <w:t>）</w:t>
      </w:r>
      <w:r>
        <w:rPr>
          <w:rFonts w:ascii="Times New Roman" w:eastAsia="Times New Roman"/>
          <w:spacing w:val="-11"/>
        </w:rPr>
        <w:t>2019</w:t>
      </w:r>
      <w:r>
        <w:rPr/>
        <w:t>年</w:t>
      </w:r>
      <w:r>
        <w:rPr>
          <w:rFonts w:ascii="Times New Roman" w:eastAsia="Times New Roman"/>
        </w:rPr>
        <w:t>10</w:t>
      </w:r>
      <w:r>
        <w:rPr/>
        <w:t>月</w:t>
      </w:r>
      <w:r>
        <w:rPr>
          <w:rFonts w:ascii="Times New Roman" w:eastAsia="Times New Roman"/>
        </w:rPr>
        <w:t>21</w:t>
      </w:r>
      <w:r>
        <w:rPr>
          <w:spacing w:val="-6"/>
        </w:rPr>
        <w:t>日发布华夏基金管理有限公司关于根据《公开募集证券投资基金信</w:t>
      </w:r>
      <w:r>
        <w:rPr>
          <w:spacing w:val="-4"/>
        </w:rPr>
        <w:t>息披露管理办法》修订旗下基金基金合同的公告。</w:t>
      </w:r>
    </w:p>
    <w:p>
      <w:pPr>
        <w:pStyle w:val="BodyText"/>
        <w:spacing w:line="269" w:lineRule="exact"/>
        <w:ind w:left="960"/>
      </w:pPr>
      <w:r>
        <w:rPr/>
        <w:t>（二）</w:t>
      </w:r>
      <w:r>
        <w:rPr>
          <w:rFonts w:ascii="Times New Roman" w:eastAsia="Times New Roman"/>
        </w:rPr>
        <w:t>2019</w:t>
      </w:r>
      <w:r>
        <w:rPr/>
        <w:t>年</w:t>
      </w:r>
      <w:r>
        <w:rPr>
          <w:rFonts w:ascii="Times New Roman" w:eastAsia="Times New Roman"/>
        </w:rPr>
        <w:t>10</w:t>
      </w:r>
      <w:r>
        <w:rPr/>
        <w:t>月</w:t>
      </w:r>
      <w:r>
        <w:rPr>
          <w:rFonts w:ascii="Times New Roman" w:eastAsia="Times New Roman"/>
        </w:rPr>
        <w:t>22</w:t>
      </w:r>
      <w:r>
        <w:rPr/>
        <w:t>日发布华夏鼎茂债券型证券投资基金</w:t>
      </w:r>
      <w:r>
        <w:rPr>
          <w:rFonts w:ascii="Times New Roman" w:eastAsia="Times New Roman"/>
        </w:rPr>
        <w:t>2019</w:t>
      </w:r>
      <w:r>
        <w:rPr/>
        <w:t>年第</w:t>
      </w:r>
      <w:r>
        <w:rPr>
          <w:rFonts w:ascii="Times New Roman" w:eastAsia="Times New Roman"/>
        </w:rPr>
        <w:t>3</w:t>
      </w:r>
      <w:r>
        <w:rPr/>
        <w:t>季度报告。</w:t>
      </w:r>
    </w:p>
    <w:p>
      <w:pPr>
        <w:pStyle w:val="BodyText"/>
        <w:spacing w:before="7"/>
        <w:rPr>
          <w:sz w:val="15"/>
        </w:rPr>
      </w:pPr>
    </w:p>
    <w:p>
      <w:pPr>
        <w:pStyle w:val="BodyText"/>
        <w:spacing w:before="1"/>
        <w:ind w:left="960"/>
      </w:pPr>
      <w:r>
        <w:rPr/>
        <w:t>（三）</w:t>
      </w:r>
      <w:r>
        <w:rPr>
          <w:rFonts w:ascii="Times New Roman" w:eastAsia="Times New Roman"/>
        </w:rPr>
        <w:t>2019</w:t>
      </w:r>
      <w:r>
        <w:rPr/>
        <w:t>年</w:t>
      </w:r>
      <w:r>
        <w:rPr>
          <w:rFonts w:ascii="Times New Roman" w:eastAsia="Times New Roman"/>
        </w:rPr>
        <w:t>11</w:t>
      </w:r>
      <w:r>
        <w:rPr/>
        <w:t>月</w:t>
      </w:r>
      <w:r>
        <w:rPr>
          <w:rFonts w:ascii="Times New Roman" w:eastAsia="Times New Roman"/>
        </w:rPr>
        <w:t>29</w:t>
      </w:r>
      <w:r>
        <w:rPr/>
        <w:t>日发布华夏鼎茂债券型证券投资基金第三次分红公告。</w:t>
      </w:r>
    </w:p>
    <w:p>
      <w:pPr>
        <w:pStyle w:val="BodyText"/>
        <w:spacing w:before="6"/>
        <w:rPr>
          <w:sz w:val="15"/>
        </w:rPr>
      </w:pPr>
    </w:p>
    <w:p>
      <w:pPr>
        <w:pStyle w:val="BodyText"/>
        <w:ind w:left="960"/>
      </w:pPr>
      <w:r>
        <w:rPr/>
        <w:t>（四）</w:t>
      </w:r>
      <w:r>
        <w:rPr>
          <w:rFonts w:ascii="Times New Roman" w:eastAsia="Times New Roman"/>
        </w:rPr>
        <w:t>2020</w:t>
      </w:r>
      <w:r>
        <w:rPr/>
        <w:t>年</w:t>
      </w:r>
      <w:r>
        <w:rPr>
          <w:rFonts w:ascii="Times New Roman" w:eastAsia="Times New Roman"/>
        </w:rPr>
        <w:t>1</w:t>
      </w:r>
      <w:r>
        <w:rPr/>
        <w:t>月</w:t>
      </w:r>
      <w:r>
        <w:rPr>
          <w:rFonts w:ascii="Times New Roman" w:eastAsia="Times New Roman"/>
        </w:rPr>
        <w:t>21</w:t>
      </w:r>
      <w:r>
        <w:rPr/>
        <w:t>日发布华夏鼎茂债券型证券投资基金</w:t>
      </w:r>
      <w:r>
        <w:rPr>
          <w:rFonts w:ascii="Times New Roman" w:eastAsia="Times New Roman"/>
        </w:rPr>
        <w:t>2019</w:t>
      </w:r>
      <w:r>
        <w:rPr/>
        <w:t>年第</w:t>
      </w:r>
      <w:r>
        <w:rPr>
          <w:rFonts w:ascii="Times New Roman" w:eastAsia="Times New Roman"/>
        </w:rPr>
        <w:t>4</w:t>
      </w:r>
      <w:r>
        <w:rPr/>
        <w:t>季度报告。</w:t>
      </w:r>
    </w:p>
    <w:p>
      <w:pPr>
        <w:pStyle w:val="BodyText"/>
        <w:spacing w:before="7"/>
        <w:rPr>
          <w:sz w:val="15"/>
        </w:rPr>
      </w:pPr>
    </w:p>
    <w:p>
      <w:pPr>
        <w:pStyle w:val="BodyText"/>
        <w:spacing w:line="417" w:lineRule="auto"/>
        <w:ind w:left="540" w:right="313" w:firstLine="419"/>
      </w:pPr>
      <w:r>
        <w:rPr/>
        <w:t>（五）</w:t>
      </w:r>
      <w:r>
        <w:rPr>
          <w:rFonts w:ascii="Times New Roman" w:eastAsia="Times New Roman"/>
        </w:rPr>
        <w:t>2020</w:t>
      </w:r>
      <w:r>
        <w:rPr/>
        <w:t>年</w:t>
      </w:r>
      <w:r>
        <w:rPr>
          <w:rFonts w:ascii="Times New Roman" w:eastAsia="Times New Roman"/>
        </w:rPr>
        <w:t>1</w:t>
      </w:r>
      <w:r>
        <w:rPr/>
        <w:t>月</w:t>
      </w:r>
      <w:r>
        <w:rPr>
          <w:rFonts w:ascii="Times New Roman" w:eastAsia="Times New Roman"/>
        </w:rPr>
        <w:t>30</w:t>
      </w:r>
      <w:r>
        <w:rPr/>
        <w:t>日发布华夏基金管理有限公司关于根据国家延长春节假期通知及交易所休市安排等调整旗下基金春节后业务办理日期的公告。</w:t>
      </w:r>
    </w:p>
    <w:p>
      <w:pPr>
        <w:pStyle w:val="BodyText"/>
        <w:spacing w:line="417" w:lineRule="auto"/>
        <w:ind w:left="540" w:right="314" w:firstLine="419"/>
      </w:pPr>
      <w:r>
        <w:rPr/>
        <w:t>（六）</w:t>
      </w:r>
      <w:r>
        <w:rPr>
          <w:rFonts w:ascii="Times New Roman" w:eastAsia="Times New Roman"/>
        </w:rPr>
        <w:t>2020</w:t>
      </w:r>
      <w:r>
        <w:rPr/>
        <w:t>年</w:t>
      </w:r>
      <w:r>
        <w:rPr>
          <w:rFonts w:ascii="Times New Roman" w:eastAsia="Times New Roman"/>
        </w:rPr>
        <w:t>3</w:t>
      </w:r>
      <w:r>
        <w:rPr/>
        <w:t>月</w:t>
      </w:r>
      <w:r>
        <w:rPr>
          <w:rFonts w:ascii="Times New Roman" w:eastAsia="Times New Roman"/>
        </w:rPr>
        <w:t>26</w:t>
      </w:r>
      <w:r>
        <w:rPr/>
        <w:t>日发布华夏基金管理有限公司关于旗下公募基金</w:t>
      </w:r>
      <w:r>
        <w:rPr>
          <w:rFonts w:ascii="Times New Roman" w:eastAsia="Times New Roman"/>
        </w:rPr>
        <w:t>2019</w:t>
      </w:r>
      <w:r>
        <w:rPr/>
        <w:t>年年报延缓审计与披露的公告。</w:t>
      </w:r>
    </w:p>
    <w:p>
      <w:pPr>
        <w:pStyle w:val="BodyText"/>
        <w:spacing w:line="269" w:lineRule="exact"/>
        <w:ind w:left="960"/>
      </w:pPr>
      <w:r>
        <w:rPr/>
        <w:t>（七）</w:t>
      </w:r>
      <w:r>
        <w:rPr>
          <w:rFonts w:ascii="Times New Roman" w:eastAsia="Times New Roman"/>
        </w:rPr>
        <w:t>2020</w:t>
      </w:r>
      <w:r>
        <w:rPr/>
        <w:t>年</w:t>
      </w:r>
      <w:r>
        <w:rPr>
          <w:rFonts w:ascii="Times New Roman" w:eastAsia="Times New Roman"/>
        </w:rPr>
        <w:t>4</w:t>
      </w:r>
      <w:r>
        <w:rPr/>
        <w:t>月</w:t>
      </w:r>
      <w:r>
        <w:rPr>
          <w:rFonts w:ascii="Times New Roman" w:eastAsia="Times New Roman"/>
        </w:rPr>
        <w:t>1</w:t>
      </w:r>
      <w:r>
        <w:rPr/>
        <w:t>日发布华夏基金管理有限公司公告。</w:t>
      </w:r>
    </w:p>
    <w:p>
      <w:pPr>
        <w:pStyle w:val="BodyText"/>
        <w:spacing w:before="7"/>
        <w:rPr>
          <w:sz w:val="15"/>
        </w:rPr>
      </w:pPr>
    </w:p>
    <w:p>
      <w:pPr>
        <w:pStyle w:val="BodyText"/>
        <w:ind w:left="960"/>
      </w:pPr>
      <w:r>
        <w:rPr/>
        <w:t>（八）</w:t>
      </w:r>
      <w:r>
        <w:rPr>
          <w:rFonts w:ascii="Times New Roman" w:eastAsia="Times New Roman"/>
        </w:rPr>
        <w:t>2020</w:t>
      </w:r>
      <w:r>
        <w:rPr/>
        <w:t>年</w:t>
      </w:r>
      <w:r>
        <w:rPr>
          <w:rFonts w:ascii="Times New Roman" w:eastAsia="Times New Roman"/>
        </w:rPr>
        <w:t>4</w:t>
      </w:r>
      <w:r>
        <w:rPr/>
        <w:t>月</w:t>
      </w:r>
      <w:r>
        <w:rPr>
          <w:rFonts w:ascii="Times New Roman" w:eastAsia="Times New Roman"/>
        </w:rPr>
        <w:t>9</w:t>
      </w:r>
      <w:r>
        <w:rPr/>
        <w:t>日发布华夏鼎茂债券型证券投资基金</w:t>
      </w:r>
      <w:r>
        <w:rPr>
          <w:rFonts w:ascii="Times New Roman" w:eastAsia="Times New Roman"/>
        </w:rPr>
        <w:t>2019</w:t>
      </w:r>
      <w:r>
        <w:rPr/>
        <w:t>年年度报告。</w:t>
      </w:r>
    </w:p>
    <w:p>
      <w:pPr>
        <w:pStyle w:val="BodyText"/>
        <w:spacing w:before="7"/>
        <w:rPr>
          <w:sz w:val="15"/>
        </w:rPr>
      </w:pPr>
    </w:p>
    <w:p>
      <w:pPr>
        <w:pStyle w:val="BodyText"/>
        <w:ind w:left="960"/>
      </w:pPr>
      <w:r>
        <w:rPr/>
        <w:t>（九）</w:t>
      </w:r>
      <w:r>
        <w:rPr>
          <w:rFonts w:ascii="Times New Roman" w:eastAsia="Times New Roman"/>
        </w:rPr>
        <w:t>2020</w:t>
      </w:r>
      <w:r>
        <w:rPr/>
        <w:t>年</w:t>
      </w:r>
      <w:r>
        <w:rPr>
          <w:rFonts w:ascii="Times New Roman" w:eastAsia="Times New Roman"/>
        </w:rPr>
        <w:t>4</w:t>
      </w:r>
      <w:r>
        <w:rPr/>
        <w:t>月</w:t>
      </w:r>
      <w:r>
        <w:rPr>
          <w:rFonts w:ascii="Times New Roman" w:eastAsia="Times New Roman"/>
        </w:rPr>
        <w:t>22</w:t>
      </w:r>
      <w:r>
        <w:rPr/>
        <w:t>日发布华夏鼎茂债券型证券投资基金</w:t>
      </w:r>
      <w:r>
        <w:rPr>
          <w:rFonts w:ascii="Times New Roman" w:eastAsia="Times New Roman"/>
        </w:rPr>
        <w:t>2020</w:t>
      </w:r>
      <w:r>
        <w:rPr/>
        <w:t>年第</w:t>
      </w:r>
      <w:r>
        <w:rPr>
          <w:rFonts w:ascii="Times New Roman" w:eastAsia="Times New Roman"/>
        </w:rPr>
        <w:t>1</w:t>
      </w:r>
      <w:r>
        <w:rPr/>
        <w:t>季度报告。</w:t>
      </w:r>
    </w:p>
    <w:p>
      <w:pPr>
        <w:pStyle w:val="BodyText"/>
        <w:spacing w:before="6"/>
        <w:rPr>
          <w:sz w:val="15"/>
        </w:rPr>
      </w:pPr>
    </w:p>
    <w:p>
      <w:pPr>
        <w:pStyle w:val="BodyText"/>
        <w:spacing w:before="1"/>
        <w:ind w:left="960"/>
      </w:pPr>
      <w:r>
        <w:rPr/>
        <w:t>（十）</w:t>
      </w:r>
      <w:r>
        <w:rPr>
          <w:rFonts w:ascii="Times New Roman" w:eastAsia="Times New Roman"/>
        </w:rPr>
        <w:t>2020</w:t>
      </w:r>
      <w:r>
        <w:rPr/>
        <w:t>年</w:t>
      </w:r>
      <w:r>
        <w:rPr>
          <w:rFonts w:ascii="Times New Roman" w:eastAsia="Times New Roman"/>
        </w:rPr>
        <w:t>7</w:t>
      </w:r>
      <w:r>
        <w:rPr/>
        <w:t>月</w:t>
      </w:r>
      <w:r>
        <w:rPr>
          <w:rFonts w:ascii="Times New Roman" w:eastAsia="Times New Roman"/>
        </w:rPr>
        <w:t>2</w:t>
      </w:r>
      <w:r>
        <w:rPr/>
        <w:t>日发布华夏基金管理有限公司住所变更公告。</w:t>
      </w:r>
    </w:p>
    <w:p>
      <w:pPr>
        <w:pStyle w:val="BodyText"/>
        <w:spacing w:before="6"/>
        <w:rPr>
          <w:sz w:val="15"/>
        </w:rPr>
      </w:pPr>
    </w:p>
    <w:p>
      <w:pPr>
        <w:pStyle w:val="BodyText"/>
        <w:ind w:left="960"/>
      </w:pPr>
      <w:r>
        <w:rPr/>
        <w:t>（十一）</w:t>
      </w:r>
      <w:r>
        <w:rPr>
          <w:rFonts w:ascii="Times New Roman" w:eastAsia="Times New Roman"/>
        </w:rPr>
        <w:t>2020</w:t>
      </w:r>
      <w:r>
        <w:rPr/>
        <w:t>年</w:t>
      </w:r>
      <w:r>
        <w:rPr>
          <w:rFonts w:ascii="Times New Roman" w:eastAsia="Times New Roman"/>
        </w:rPr>
        <w:t>7</w:t>
      </w:r>
      <w:r>
        <w:rPr/>
        <w:t>月</w:t>
      </w:r>
      <w:r>
        <w:rPr>
          <w:rFonts w:ascii="Times New Roman" w:eastAsia="Times New Roman"/>
        </w:rPr>
        <w:t>20</w:t>
      </w:r>
      <w:r>
        <w:rPr/>
        <w:t>日发布华夏鼎茂债券型证券投资基金</w:t>
      </w:r>
      <w:r>
        <w:rPr>
          <w:rFonts w:ascii="Times New Roman" w:eastAsia="Times New Roman"/>
        </w:rPr>
        <w:t>2020</w:t>
      </w:r>
      <w:r>
        <w:rPr/>
        <w:t>年第</w:t>
      </w:r>
      <w:r>
        <w:rPr>
          <w:rFonts w:ascii="Times New Roman" w:eastAsia="Times New Roman"/>
        </w:rPr>
        <w:t>2</w:t>
      </w:r>
      <w:r>
        <w:rPr/>
        <w:t>季度报告。</w:t>
      </w:r>
    </w:p>
    <w:p>
      <w:pPr>
        <w:pStyle w:val="BodyText"/>
        <w:spacing w:before="7"/>
        <w:rPr>
          <w:sz w:val="15"/>
        </w:rPr>
      </w:pPr>
    </w:p>
    <w:p>
      <w:pPr>
        <w:pStyle w:val="BodyText"/>
        <w:ind w:left="960"/>
      </w:pPr>
      <w:r>
        <w:rPr/>
        <w:t>（十二）</w:t>
      </w:r>
      <w:r>
        <w:rPr>
          <w:rFonts w:ascii="Times New Roman" w:eastAsia="Times New Roman"/>
        </w:rPr>
        <w:t>2020</w:t>
      </w:r>
      <w:r>
        <w:rPr/>
        <w:t>年</w:t>
      </w:r>
      <w:r>
        <w:rPr>
          <w:rFonts w:ascii="Times New Roman" w:eastAsia="Times New Roman"/>
        </w:rPr>
        <w:t>8</w:t>
      </w:r>
      <w:r>
        <w:rPr/>
        <w:t>月</w:t>
      </w:r>
      <w:r>
        <w:rPr>
          <w:rFonts w:ascii="Times New Roman" w:eastAsia="Times New Roman"/>
        </w:rPr>
        <w:t>29</w:t>
      </w:r>
      <w:r>
        <w:rPr/>
        <w:t>日发布华夏鼎茂债券型证券投资基金</w:t>
      </w:r>
      <w:r>
        <w:rPr>
          <w:rFonts w:ascii="Times New Roman" w:eastAsia="Times New Roman"/>
        </w:rPr>
        <w:t>2020</w:t>
      </w:r>
      <w:r>
        <w:rPr/>
        <w:t>年半年度报告。</w:t>
      </w:r>
    </w:p>
    <w:p>
      <w:pPr>
        <w:pStyle w:val="BodyText"/>
        <w:spacing w:before="7"/>
        <w:rPr>
          <w:sz w:val="15"/>
        </w:rPr>
      </w:pPr>
    </w:p>
    <w:p>
      <w:pPr>
        <w:pStyle w:val="BodyText"/>
        <w:spacing w:line="417" w:lineRule="auto"/>
        <w:ind w:left="540" w:right="313" w:firstLine="419"/>
      </w:pPr>
      <w:r>
        <w:rPr/>
        <w:t>（十三）</w:t>
      </w:r>
      <w:r>
        <w:rPr>
          <w:rFonts w:ascii="Times New Roman" w:eastAsia="Times New Roman"/>
        </w:rPr>
        <w:t>2020</w:t>
      </w:r>
      <w:r>
        <w:rPr/>
        <w:t>年</w:t>
      </w:r>
      <w:r>
        <w:rPr>
          <w:rFonts w:ascii="Times New Roman" w:eastAsia="Times New Roman"/>
        </w:rPr>
        <w:t>9</w:t>
      </w:r>
      <w:r>
        <w:rPr/>
        <w:t>月</w:t>
      </w:r>
      <w:r>
        <w:rPr>
          <w:rFonts w:ascii="Times New Roman" w:eastAsia="Times New Roman"/>
        </w:rPr>
        <w:t>12</w:t>
      </w:r>
      <w:r>
        <w:rPr/>
        <w:t>日发布华夏基金管理有限公司关于上海分公司营业场所变更的公告。</w:t>
      </w:r>
    </w:p>
    <w:p>
      <w:pPr>
        <w:pStyle w:val="BodyText"/>
        <w:ind w:left="960"/>
      </w:pPr>
      <w:r>
        <w:rPr/>
        <w:t>（十四）</w:t>
      </w:r>
      <w:r>
        <w:rPr>
          <w:rFonts w:ascii="Times New Roman" w:eastAsia="Times New Roman"/>
        </w:rPr>
        <w:t>2020</w:t>
      </w:r>
      <w:r>
        <w:rPr/>
        <w:t>年</w:t>
      </w:r>
      <w:r>
        <w:rPr>
          <w:rFonts w:ascii="Times New Roman" w:eastAsia="Times New Roman"/>
        </w:rPr>
        <w:t>9</w:t>
      </w:r>
      <w:r>
        <w:rPr/>
        <w:t>月</w:t>
      </w:r>
      <w:r>
        <w:rPr>
          <w:rFonts w:ascii="Times New Roman" w:eastAsia="Times New Roman"/>
        </w:rPr>
        <w:t>23</w:t>
      </w:r>
      <w:r>
        <w:rPr/>
        <w:t>日发布</w:t>
      </w:r>
      <w:r>
        <w:rPr>
          <w:rFonts w:ascii="Times New Roman" w:eastAsia="Times New Roman"/>
        </w:rPr>
        <w:t>20200923</w:t>
      </w:r>
      <w:r>
        <w:rPr/>
        <w:t>华夏基金管理有限公司关于旗下基金投资关联方</w:t>
      </w:r>
    </w:p>
    <w:p>
      <w:pPr>
        <w:spacing w:after="0"/>
        <w:sectPr>
          <w:pgSz w:w="11910" w:h="16840"/>
          <w:pgMar w:header="877" w:footer="0" w:top="1420" w:bottom="280" w:left="1260" w:right="1480"/>
        </w:sectPr>
      </w:pPr>
    </w:p>
    <w:p>
      <w:pPr>
        <w:pStyle w:val="BodyText"/>
        <w:spacing w:before="110"/>
        <w:ind w:left="540"/>
      </w:pPr>
      <w:r>
        <w:rPr>
          <w:spacing w:val="-3"/>
        </w:rPr>
        <w:t>承销证券的公告。</w:t>
      </w:r>
    </w:p>
    <w:p>
      <w:pPr>
        <w:pStyle w:val="BodyText"/>
        <w:spacing w:before="6"/>
        <w:rPr>
          <w:sz w:val="15"/>
        </w:rPr>
      </w:pPr>
    </w:p>
    <w:p>
      <w:pPr>
        <w:pStyle w:val="BodyText"/>
        <w:spacing w:line="417" w:lineRule="auto"/>
        <w:ind w:left="540" w:right="314" w:firstLine="419"/>
      </w:pPr>
      <w:r>
        <w:rPr>
          <w:spacing w:val="-1"/>
        </w:rPr>
        <w:t>（十五）</w:t>
      </w:r>
      <w:r>
        <w:rPr>
          <w:rFonts w:ascii="Times New Roman" w:eastAsia="Times New Roman"/>
          <w:spacing w:val="-1"/>
        </w:rPr>
        <w:t>2020</w:t>
      </w:r>
      <w:r>
        <w:rPr/>
        <w:t>年</w:t>
      </w:r>
      <w:r>
        <w:rPr>
          <w:rFonts w:ascii="Times New Roman" w:eastAsia="Times New Roman"/>
        </w:rPr>
        <w:t>9</w:t>
      </w:r>
      <w:r>
        <w:rPr/>
        <w:t>月</w:t>
      </w:r>
      <w:r>
        <w:rPr>
          <w:rFonts w:ascii="Times New Roman" w:eastAsia="Times New Roman"/>
        </w:rPr>
        <w:t>24</w:t>
      </w:r>
      <w:r>
        <w:rPr>
          <w:spacing w:val="-2"/>
        </w:rPr>
        <w:t>日发布</w:t>
      </w:r>
      <w:r>
        <w:rPr>
          <w:rFonts w:ascii="Times New Roman" w:eastAsia="Times New Roman"/>
        </w:rPr>
        <w:t>20200924</w:t>
      </w:r>
      <w:r>
        <w:rPr>
          <w:spacing w:val="-3"/>
        </w:rPr>
        <w:t>华夏基金管理有限公司关于旗下基金投资关联方承销证券的公告。</w:t>
      </w:r>
    </w:p>
    <w:p>
      <w:pPr>
        <w:pStyle w:val="Heading1"/>
        <w:spacing w:before="120"/>
        <w:ind w:left="3008" w:right="0"/>
        <w:jc w:val="left"/>
      </w:pPr>
      <w:bookmarkStart w:name="_bookmark22" w:id="23"/>
      <w:bookmarkEnd w:id="23"/>
      <w:r>
        <w:rPr>
          <w:b w:val="0"/>
        </w:rPr>
      </w:r>
      <w:r>
        <w:rPr/>
        <w:t>二十三、招募说明书存放及查阅方式</w:t>
      </w:r>
    </w:p>
    <w:p>
      <w:pPr>
        <w:pStyle w:val="BodyText"/>
        <w:spacing w:before="11"/>
        <w:rPr>
          <w:b/>
          <w:sz w:val="24"/>
        </w:rPr>
      </w:pPr>
    </w:p>
    <w:p>
      <w:pPr>
        <w:pStyle w:val="BodyText"/>
        <w:spacing w:line="417" w:lineRule="auto" w:before="1"/>
        <w:ind w:left="540" w:right="31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pStyle w:val="Heading1"/>
        <w:spacing w:before="120"/>
        <w:ind w:left="3850" w:right="0"/>
        <w:jc w:val="left"/>
      </w:pPr>
      <w:bookmarkStart w:name="_bookmark23" w:id="24"/>
      <w:bookmarkEnd w:id="24"/>
      <w:r>
        <w:rPr>
          <w:b w:val="0"/>
        </w:rPr>
      </w:r>
      <w:r>
        <w:rPr/>
        <w:t>二十四、备查文件</w:t>
      </w:r>
    </w:p>
    <w:p>
      <w:pPr>
        <w:pStyle w:val="BodyText"/>
        <w:spacing w:before="11"/>
        <w:rPr>
          <w:b/>
          <w:sz w:val="24"/>
        </w:rPr>
      </w:pPr>
    </w:p>
    <w:p>
      <w:pPr>
        <w:pStyle w:val="BodyText"/>
        <w:ind w:left="960"/>
      </w:pPr>
      <w:r>
        <w:rPr/>
        <w:t>（一）备查文件目录</w:t>
      </w:r>
    </w:p>
    <w:p>
      <w:pPr>
        <w:pStyle w:val="BodyText"/>
        <w:spacing w:before="7"/>
        <w:rPr>
          <w:sz w:val="15"/>
        </w:rPr>
      </w:pPr>
    </w:p>
    <w:p>
      <w:pPr>
        <w:pStyle w:val="BodyText"/>
        <w:ind w:left="960"/>
      </w:pPr>
      <w:r>
        <w:rPr>
          <w:rFonts w:ascii="Times New Roman" w:eastAsia="Times New Roman"/>
        </w:rPr>
        <w:t>1</w:t>
      </w:r>
      <w:r>
        <w:rPr/>
        <w:t>、中国证监会准予华夏鼎茂债券型证券投资基金注册的批复。</w:t>
      </w:r>
    </w:p>
    <w:p>
      <w:pPr>
        <w:pStyle w:val="BodyText"/>
        <w:spacing w:before="7"/>
        <w:rPr>
          <w:sz w:val="15"/>
        </w:rPr>
      </w:pPr>
    </w:p>
    <w:p>
      <w:pPr>
        <w:pStyle w:val="BodyText"/>
        <w:ind w:left="960"/>
      </w:pPr>
      <w:r>
        <w:rPr>
          <w:rFonts w:ascii="Times New Roman" w:eastAsia="Times New Roman"/>
        </w:rPr>
        <w:t>2</w:t>
      </w:r>
      <w:r>
        <w:rPr>
          <w:spacing w:val="-17"/>
        </w:rPr>
        <w:t>、《华夏鼎茂债券型证券投资基金基金合同》。</w:t>
      </w:r>
    </w:p>
    <w:p>
      <w:pPr>
        <w:pStyle w:val="BodyText"/>
        <w:spacing w:before="6"/>
        <w:rPr>
          <w:sz w:val="15"/>
        </w:rPr>
      </w:pPr>
    </w:p>
    <w:p>
      <w:pPr>
        <w:pStyle w:val="BodyText"/>
        <w:ind w:left="960"/>
      </w:pPr>
      <w:r>
        <w:rPr>
          <w:rFonts w:ascii="Times New Roman" w:eastAsia="Times New Roman"/>
        </w:rPr>
        <w:t>3</w:t>
      </w:r>
      <w:r>
        <w:rPr>
          <w:spacing w:val="-17"/>
        </w:rPr>
        <w:t>、《华夏鼎茂债券型证券投资基金托管协议》。</w:t>
      </w:r>
    </w:p>
    <w:p>
      <w:pPr>
        <w:pStyle w:val="BodyText"/>
        <w:spacing w:before="7"/>
        <w:rPr>
          <w:sz w:val="15"/>
        </w:rPr>
      </w:pPr>
    </w:p>
    <w:p>
      <w:pPr>
        <w:pStyle w:val="BodyText"/>
        <w:ind w:left="960"/>
      </w:pPr>
      <w:r>
        <w:rPr>
          <w:rFonts w:ascii="Times New Roman" w:eastAsia="Times New Roman"/>
        </w:rPr>
        <w:t>4</w:t>
      </w:r>
      <w:r>
        <w:rPr/>
        <w:t>、法律意见书。</w:t>
      </w:r>
    </w:p>
    <w:p>
      <w:pPr>
        <w:pStyle w:val="BodyText"/>
        <w:spacing w:before="7"/>
        <w:rPr>
          <w:sz w:val="15"/>
        </w:rPr>
      </w:pPr>
    </w:p>
    <w:p>
      <w:pPr>
        <w:pStyle w:val="BodyText"/>
        <w:ind w:left="960"/>
      </w:pPr>
      <w:r>
        <w:rPr>
          <w:rFonts w:ascii="Times New Roman" w:eastAsia="Times New Roman"/>
        </w:rPr>
        <w:t>5</w:t>
      </w:r>
      <w:r>
        <w:rPr>
          <w:spacing w:val="-3"/>
        </w:rPr>
        <w:t>、基金管理人业务资格批件、营业执照。</w:t>
      </w:r>
    </w:p>
    <w:p>
      <w:pPr>
        <w:pStyle w:val="BodyText"/>
        <w:spacing w:before="7"/>
        <w:rPr>
          <w:sz w:val="15"/>
        </w:rPr>
      </w:pPr>
    </w:p>
    <w:p>
      <w:pPr>
        <w:pStyle w:val="BodyText"/>
        <w:ind w:left="960"/>
      </w:pPr>
      <w:r>
        <w:rPr>
          <w:rFonts w:ascii="Times New Roman" w:eastAsia="Times New Roman"/>
        </w:rPr>
        <w:t>6</w:t>
      </w:r>
      <w:r>
        <w:rPr>
          <w:spacing w:val="-3"/>
        </w:rPr>
        <w:t>、基金托管人业务资格批件、营业执照。</w:t>
      </w:r>
    </w:p>
    <w:p>
      <w:pPr>
        <w:pStyle w:val="BodyText"/>
        <w:spacing w:before="7"/>
        <w:rPr>
          <w:sz w:val="15"/>
        </w:rPr>
      </w:pPr>
    </w:p>
    <w:p>
      <w:pPr>
        <w:pStyle w:val="BodyText"/>
        <w:ind w:left="960"/>
      </w:pPr>
      <w:r>
        <w:rPr/>
        <w:t>（二）存放地点</w:t>
      </w:r>
    </w:p>
    <w:p>
      <w:pPr>
        <w:pStyle w:val="BodyText"/>
        <w:spacing w:before="6"/>
        <w:rPr>
          <w:sz w:val="15"/>
        </w:rPr>
      </w:pPr>
    </w:p>
    <w:p>
      <w:pPr>
        <w:pStyle w:val="BodyText"/>
        <w:spacing w:before="1"/>
        <w:ind w:left="960"/>
      </w:pPr>
      <w:r>
        <w:rPr/>
        <w:t>备查文件存放于基金管理人和</w:t>
      </w:r>
      <w:r>
        <w:rPr>
          <w:rFonts w:ascii="Times New Roman" w:eastAsia="Times New Roman"/>
        </w:rPr>
        <w:t>/</w:t>
      </w:r>
      <w:r>
        <w:rPr/>
        <w:t>或基金托管人处。</w:t>
      </w:r>
    </w:p>
    <w:p>
      <w:pPr>
        <w:pStyle w:val="BodyText"/>
        <w:spacing w:before="6"/>
        <w:rPr>
          <w:sz w:val="15"/>
        </w:rPr>
      </w:pPr>
    </w:p>
    <w:p>
      <w:pPr>
        <w:pStyle w:val="BodyText"/>
        <w:ind w:left="960"/>
      </w:pPr>
      <w:r>
        <w:rPr/>
        <w:t>（三）查阅方式</w:t>
      </w:r>
    </w:p>
    <w:p>
      <w:pPr>
        <w:pStyle w:val="BodyText"/>
        <w:spacing w:before="7"/>
        <w:rPr>
          <w:sz w:val="15"/>
        </w:rPr>
      </w:pPr>
    </w:p>
    <w:p>
      <w:pPr>
        <w:pStyle w:val="BodyText"/>
        <w:spacing w:line="417" w:lineRule="auto"/>
        <w:ind w:left="540" w:right="31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rPr>
          <w:sz w:val="20"/>
        </w:rPr>
      </w:pPr>
    </w:p>
    <w:p>
      <w:pPr>
        <w:pStyle w:val="BodyText"/>
        <w:spacing w:line="417" w:lineRule="auto" w:before="168"/>
        <w:ind w:left="6747" w:right="313"/>
        <w:jc w:val="right"/>
      </w:pPr>
      <w:r>
        <w:rPr/>
        <w:t>华夏基金管理有限公司二〇二〇年九月三十日</w:t>
      </w:r>
    </w:p>
    <w:sectPr>
      <w:pgSz w:w="11910" w:h="16840"/>
      <w:pgMar w:header="877" w:footer="0" w:top="1420" w:bottom="280" w:left="126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Cambria Math">
    <w:altName w:val="Cambria Math"/>
    <w:charset w:val="0"/>
    <w:family w:val="roman"/>
    <w:pitch w:val="variable"/>
  </w:font>
  <w:font w:name="MS Mincho">
    <w:altName w:val="MS Mincho"/>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982912"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06.369995pt;margin-top:42.865608pt;width:200.05pt;height:11pt;mso-position-horizontal-relative:page;mso-position-vertical-relative:page;z-index:-258981888" type="#_x0000_t202" filled="false" stroked="false">
          <v:textbox inset="0,0,0,0">
            <w:txbxContent>
              <w:p>
                <w:pPr>
                  <w:spacing w:line="220" w:lineRule="exact" w:before="0"/>
                  <w:ind w:left="20" w:right="0" w:firstLine="0"/>
                  <w:jc w:val="left"/>
                  <w:rPr>
                    <w:sz w:val="18"/>
                  </w:rPr>
                </w:pPr>
                <w:r>
                  <w:rPr>
                    <w:sz w:val="18"/>
                  </w:rPr>
                  <w:t>华夏鼎茂债券型证券投资基金招募说明书（更新）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7">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60">
    <w:multiLevelType w:val="hybridMultilevel"/>
    <w:lvl w:ilvl="0">
      <w:start w:val="1"/>
      <w:numFmt w:val="decimal"/>
      <w:lvlText w:val="%1."/>
      <w:lvlJc w:val="left"/>
      <w:pPr>
        <w:ind w:left="111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924" w:hanging="160"/>
      </w:pPr>
      <w:rPr>
        <w:rFonts w:hint="default"/>
        <w:lang w:val="zh-CN" w:eastAsia="zh-CN" w:bidi="zh-CN"/>
      </w:rPr>
    </w:lvl>
    <w:lvl w:ilvl="2">
      <w:start w:val="0"/>
      <w:numFmt w:val="bullet"/>
      <w:lvlText w:val="•"/>
      <w:lvlJc w:val="left"/>
      <w:pPr>
        <w:ind w:left="2729" w:hanging="160"/>
      </w:pPr>
      <w:rPr>
        <w:rFonts w:hint="default"/>
        <w:lang w:val="zh-CN" w:eastAsia="zh-CN" w:bidi="zh-CN"/>
      </w:rPr>
    </w:lvl>
    <w:lvl w:ilvl="3">
      <w:start w:val="0"/>
      <w:numFmt w:val="bullet"/>
      <w:lvlText w:val="•"/>
      <w:lvlJc w:val="left"/>
      <w:pPr>
        <w:ind w:left="3533" w:hanging="160"/>
      </w:pPr>
      <w:rPr>
        <w:rFonts w:hint="default"/>
        <w:lang w:val="zh-CN" w:eastAsia="zh-CN" w:bidi="zh-CN"/>
      </w:rPr>
    </w:lvl>
    <w:lvl w:ilvl="4">
      <w:start w:val="0"/>
      <w:numFmt w:val="bullet"/>
      <w:lvlText w:val="•"/>
      <w:lvlJc w:val="left"/>
      <w:pPr>
        <w:ind w:left="4338" w:hanging="160"/>
      </w:pPr>
      <w:rPr>
        <w:rFonts w:hint="default"/>
        <w:lang w:val="zh-CN" w:eastAsia="zh-CN" w:bidi="zh-CN"/>
      </w:rPr>
    </w:lvl>
    <w:lvl w:ilvl="5">
      <w:start w:val="0"/>
      <w:numFmt w:val="bullet"/>
      <w:lvlText w:val="•"/>
      <w:lvlJc w:val="left"/>
      <w:pPr>
        <w:ind w:left="5143" w:hanging="160"/>
      </w:pPr>
      <w:rPr>
        <w:rFonts w:hint="default"/>
        <w:lang w:val="zh-CN" w:eastAsia="zh-CN" w:bidi="zh-CN"/>
      </w:rPr>
    </w:lvl>
    <w:lvl w:ilvl="6">
      <w:start w:val="0"/>
      <w:numFmt w:val="bullet"/>
      <w:lvlText w:val="•"/>
      <w:lvlJc w:val="left"/>
      <w:pPr>
        <w:ind w:left="5947" w:hanging="160"/>
      </w:pPr>
      <w:rPr>
        <w:rFonts w:hint="default"/>
        <w:lang w:val="zh-CN" w:eastAsia="zh-CN" w:bidi="zh-CN"/>
      </w:rPr>
    </w:lvl>
    <w:lvl w:ilvl="7">
      <w:start w:val="0"/>
      <w:numFmt w:val="bullet"/>
      <w:lvlText w:val="•"/>
      <w:lvlJc w:val="left"/>
      <w:pPr>
        <w:ind w:left="6752" w:hanging="160"/>
      </w:pPr>
      <w:rPr>
        <w:rFonts w:hint="default"/>
        <w:lang w:val="zh-CN" w:eastAsia="zh-CN" w:bidi="zh-CN"/>
      </w:rPr>
    </w:lvl>
    <w:lvl w:ilvl="8">
      <w:start w:val="0"/>
      <w:numFmt w:val="bullet"/>
      <w:lvlText w:val="•"/>
      <w:lvlJc w:val="left"/>
      <w:pPr>
        <w:ind w:left="7557" w:hanging="160"/>
      </w:pPr>
      <w:rPr>
        <w:rFonts w:hint="default"/>
        <w:lang w:val="zh-CN" w:eastAsia="zh-CN" w:bidi="zh-CN"/>
      </w:rPr>
    </w:lvl>
  </w:abstractNum>
  <w:abstractNum w:abstractNumId="59">
    <w:multiLevelType w:val="hybridMultilevel"/>
    <w:lvl w:ilvl="0">
      <w:start w:val="1"/>
      <w:numFmt w:val="decimal"/>
      <w:lvlText w:val="%1."/>
      <w:lvlJc w:val="left"/>
      <w:pPr>
        <w:ind w:left="111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924" w:hanging="160"/>
      </w:pPr>
      <w:rPr>
        <w:rFonts w:hint="default"/>
        <w:lang w:val="zh-CN" w:eastAsia="zh-CN" w:bidi="zh-CN"/>
      </w:rPr>
    </w:lvl>
    <w:lvl w:ilvl="2">
      <w:start w:val="0"/>
      <w:numFmt w:val="bullet"/>
      <w:lvlText w:val="•"/>
      <w:lvlJc w:val="left"/>
      <w:pPr>
        <w:ind w:left="2729" w:hanging="160"/>
      </w:pPr>
      <w:rPr>
        <w:rFonts w:hint="default"/>
        <w:lang w:val="zh-CN" w:eastAsia="zh-CN" w:bidi="zh-CN"/>
      </w:rPr>
    </w:lvl>
    <w:lvl w:ilvl="3">
      <w:start w:val="0"/>
      <w:numFmt w:val="bullet"/>
      <w:lvlText w:val="•"/>
      <w:lvlJc w:val="left"/>
      <w:pPr>
        <w:ind w:left="3533" w:hanging="160"/>
      </w:pPr>
      <w:rPr>
        <w:rFonts w:hint="default"/>
        <w:lang w:val="zh-CN" w:eastAsia="zh-CN" w:bidi="zh-CN"/>
      </w:rPr>
    </w:lvl>
    <w:lvl w:ilvl="4">
      <w:start w:val="0"/>
      <w:numFmt w:val="bullet"/>
      <w:lvlText w:val="•"/>
      <w:lvlJc w:val="left"/>
      <w:pPr>
        <w:ind w:left="4338" w:hanging="160"/>
      </w:pPr>
      <w:rPr>
        <w:rFonts w:hint="default"/>
        <w:lang w:val="zh-CN" w:eastAsia="zh-CN" w:bidi="zh-CN"/>
      </w:rPr>
    </w:lvl>
    <w:lvl w:ilvl="5">
      <w:start w:val="0"/>
      <w:numFmt w:val="bullet"/>
      <w:lvlText w:val="•"/>
      <w:lvlJc w:val="left"/>
      <w:pPr>
        <w:ind w:left="5143" w:hanging="160"/>
      </w:pPr>
      <w:rPr>
        <w:rFonts w:hint="default"/>
        <w:lang w:val="zh-CN" w:eastAsia="zh-CN" w:bidi="zh-CN"/>
      </w:rPr>
    </w:lvl>
    <w:lvl w:ilvl="6">
      <w:start w:val="0"/>
      <w:numFmt w:val="bullet"/>
      <w:lvlText w:val="•"/>
      <w:lvlJc w:val="left"/>
      <w:pPr>
        <w:ind w:left="5947" w:hanging="160"/>
      </w:pPr>
      <w:rPr>
        <w:rFonts w:hint="default"/>
        <w:lang w:val="zh-CN" w:eastAsia="zh-CN" w:bidi="zh-CN"/>
      </w:rPr>
    </w:lvl>
    <w:lvl w:ilvl="7">
      <w:start w:val="0"/>
      <w:numFmt w:val="bullet"/>
      <w:lvlText w:val="•"/>
      <w:lvlJc w:val="left"/>
      <w:pPr>
        <w:ind w:left="6752" w:hanging="160"/>
      </w:pPr>
      <w:rPr>
        <w:rFonts w:hint="default"/>
        <w:lang w:val="zh-CN" w:eastAsia="zh-CN" w:bidi="zh-CN"/>
      </w:rPr>
    </w:lvl>
    <w:lvl w:ilvl="8">
      <w:start w:val="0"/>
      <w:numFmt w:val="bullet"/>
      <w:lvlText w:val="•"/>
      <w:lvlJc w:val="left"/>
      <w:pPr>
        <w:ind w:left="7557" w:hanging="160"/>
      </w:pPr>
      <w:rPr>
        <w:rFonts w:hint="default"/>
        <w:lang w:val="zh-CN" w:eastAsia="zh-CN" w:bidi="zh-CN"/>
      </w:rPr>
    </w:lvl>
  </w:abstractNum>
  <w:abstractNum w:abstractNumId="58">
    <w:multiLevelType w:val="hybridMultilevel"/>
    <w:lvl w:ilvl="0">
      <w:start w:val="1"/>
      <w:numFmt w:val="decimal"/>
      <w:lvlText w:val="%1."/>
      <w:lvlJc w:val="left"/>
      <w:pPr>
        <w:ind w:left="540"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402" w:hanging="160"/>
      </w:pPr>
      <w:rPr>
        <w:rFonts w:hint="default"/>
        <w:lang w:val="zh-CN" w:eastAsia="zh-CN" w:bidi="zh-CN"/>
      </w:rPr>
    </w:lvl>
    <w:lvl w:ilvl="2">
      <w:start w:val="0"/>
      <w:numFmt w:val="bullet"/>
      <w:lvlText w:val="•"/>
      <w:lvlJc w:val="left"/>
      <w:pPr>
        <w:ind w:left="2265" w:hanging="160"/>
      </w:pPr>
      <w:rPr>
        <w:rFonts w:hint="default"/>
        <w:lang w:val="zh-CN" w:eastAsia="zh-CN" w:bidi="zh-CN"/>
      </w:rPr>
    </w:lvl>
    <w:lvl w:ilvl="3">
      <w:start w:val="0"/>
      <w:numFmt w:val="bullet"/>
      <w:lvlText w:val="•"/>
      <w:lvlJc w:val="left"/>
      <w:pPr>
        <w:ind w:left="3127" w:hanging="160"/>
      </w:pPr>
      <w:rPr>
        <w:rFonts w:hint="default"/>
        <w:lang w:val="zh-CN" w:eastAsia="zh-CN" w:bidi="zh-CN"/>
      </w:rPr>
    </w:lvl>
    <w:lvl w:ilvl="4">
      <w:start w:val="0"/>
      <w:numFmt w:val="bullet"/>
      <w:lvlText w:val="•"/>
      <w:lvlJc w:val="left"/>
      <w:pPr>
        <w:ind w:left="3990" w:hanging="160"/>
      </w:pPr>
      <w:rPr>
        <w:rFonts w:hint="default"/>
        <w:lang w:val="zh-CN" w:eastAsia="zh-CN" w:bidi="zh-CN"/>
      </w:rPr>
    </w:lvl>
    <w:lvl w:ilvl="5">
      <w:start w:val="0"/>
      <w:numFmt w:val="bullet"/>
      <w:lvlText w:val="•"/>
      <w:lvlJc w:val="left"/>
      <w:pPr>
        <w:ind w:left="4853" w:hanging="160"/>
      </w:pPr>
      <w:rPr>
        <w:rFonts w:hint="default"/>
        <w:lang w:val="zh-CN" w:eastAsia="zh-CN" w:bidi="zh-CN"/>
      </w:rPr>
    </w:lvl>
    <w:lvl w:ilvl="6">
      <w:start w:val="0"/>
      <w:numFmt w:val="bullet"/>
      <w:lvlText w:val="•"/>
      <w:lvlJc w:val="left"/>
      <w:pPr>
        <w:ind w:left="5715" w:hanging="160"/>
      </w:pPr>
      <w:rPr>
        <w:rFonts w:hint="default"/>
        <w:lang w:val="zh-CN" w:eastAsia="zh-CN" w:bidi="zh-CN"/>
      </w:rPr>
    </w:lvl>
    <w:lvl w:ilvl="7">
      <w:start w:val="0"/>
      <w:numFmt w:val="bullet"/>
      <w:lvlText w:val="•"/>
      <w:lvlJc w:val="left"/>
      <w:pPr>
        <w:ind w:left="6578" w:hanging="160"/>
      </w:pPr>
      <w:rPr>
        <w:rFonts w:hint="default"/>
        <w:lang w:val="zh-CN" w:eastAsia="zh-CN" w:bidi="zh-CN"/>
      </w:rPr>
    </w:lvl>
    <w:lvl w:ilvl="8">
      <w:start w:val="0"/>
      <w:numFmt w:val="bullet"/>
      <w:lvlText w:val="•"/>
      <w:lvlJc w:val="left"/>
      <w:pPr>
        <w:ind w:left="7441" w:hanging="160"/>
      </w:pPr>
      <w:rPr>
        <w:rFonts w:hint="default"/>
        <w:lang w:val="zh-CN" w:eastAsia="zh-CN" w:bidi="zh-CN"/>
      </w:rPr>
    </w:lvl>
  </w:abstractNum>
  <w:abstractNum w:abstractNumId="57">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5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5">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4">
    <w:multiLevelType w:val="hybridMultilevel"/>
    <w:lvl w:ilvl="0">
      <w:start w:val="1"/>
      <w:numFmt w:val="decimal"/>
      <w:lvlText w:val="%1."/>
      <w:lvlJc w:val="left"/>
      <w:pPr>
        <w:ind w:left="111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924" w:hanging="160"/>
      </w:pPr>
      <w:rPr>
        <w:rFonts w:hint="default"/>
        <w:lang w:val="zh-CN" w:eastAsia="zh-CN" w:bidi="zh-CN"/>
      </w:rPr>
    </w:lvl>
    <w:lvl w:ilvl="2">
      <w:start w:val="0"/>
      <w:numFmt w:val="bullet"/>
      <w:lvlText w:val="•"/>
      <w:lvlJc w:val="left"/>
      <w:pPr>
        <w:ind w:left="2729" w:hanging="160"/>
      </w:pPr>
      <w:rPr>
        <w:rFonts w:hint="default"/>
        <w:lang w:val="zh-CN" w:eastAsia="zh-CN" w:bidi="zh-CN"/>
      </w:rPr>
    </w:lvl>
    <w:lvl w:ilvl="3">
      <w:start w:val="0"/>
      <w:numFmt w:val="bullet"/>
      <w:lvlText w:val="•"/>
      <w:lvlJc w:val="left"/>
      <w:pPr>
        <w:ind w:left="3533" w:hanging="160"/>
      </w:pPr>
      <w:rPr>
        <w:rFonts w:hint="default"/>
        <w:lang w:val="zh-CN" w:eastAsia="zh-CN" w:bidi="zh-CN"/>
      </w:rPr>
    </w:lvl>
    <w:lvl w:ilvl="4">
      <w:start w:val="0"/>
      <w:numFmt w:val="bullet"/>
      <w:lvlText w:val="•"/>
      <w:lvlJc w:val="left"/>
      <w:pPr>
        <w:ind w:left="4338" w:hanging="160"/>
      </w:pPr>
      <w:rPr>
        <w:rFonts w:hint="default"/>
        <w:lang w:val="zh-CN" w:eastAsia="zh-CN" w:bidi="zh-CN"/>
      </w:rPr>
    </w:lvl>
    <w:lvl w:ilvl="5">
      <w:start w:val="0"/>
      <w:numFmt w:val="bullet"/>
      <w:lvlText w:val="•"/>
      <w:lvlJc w:val="left"/>
      <w:pPr>
        <w:ind w:left="5143" w:hanging="160"/>
      </w:pPr>
      <w:rPr>
        <w:rFonts w:hint="default"/>
        <w:lang w:val="zh-CN" w:eastAsia="zh-CN" w:bidi="zh-CN"/>
      </w:rPr>
    </w:lvl>
    <w:lvl w:ilvl="6">
      <w:start w:val="0"/>
      <w:numFmt w:val="bullet"/>
      <w:lvlText w:val="•"/>
      <w:lvlJc w:val="left"/>
      <w:pPr>
        <w:ind w:left="5947" w:hanging="160"/>
      </w:pPr>
      <w:rPr>
        <w:rFonts w:hint="default"/>
        <w:lang w:val="zh-CN" w:eastAsia="zh-CN" w:bidi="zh-CN"/>
      </w:rPr>
    </w:lvl>
    <w:lvl w:ilvl="7">
      <w:start w:val="0"/>
      <w:numFmt w:val="bullet"/>
      <w:lvlText w:val="•"/>
      <w:lvlJc w:val="left"/>
      <w:pPr>
        <w:ind w:left="6752" w:hanging="160"/>
      </w:pPr>
      <w:rPr>
        <w:rFonts w:hint="default"/>
        <w:lang w:val="zh-CN" w:eastAsia="zh-CN" w:bidi="zh-CN"/>
      </w:rPr>
    </w:lvl>
    <w:lvl w:ilvl="8">
      <w:start w:val="0"/>
      <w:numFmt w:val="bullet"/>
      <w:lvlText w:val="•"/>
      <w:lvlJc w:val="left"/>
      <w:pPr>
        <w:ind w:left="7557" w:hanging="160"/>
      </w:pPr>
      <w:rPr>
        <w:rFonts w:hint="default"/>
        <w:lang w:val="zh-CN" w:eastAsia="zh-CN" w:bidi="zh-CN"/>
      </w:rPr>
    </w:lvl>
  </w:abstractNum>
  <w:abstractNum w:abstractNumId="53">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2">
    <w:multiLevelType w:val="hybridMultilevel"/>
    <w:lvl w:ilvl="0">
      <w:start w:val="2"/>
      <w:numFmt w:val="decimal"/>
      <w:lvlText w:val="%1."/>
      <w:lvlJc w:val="left"/>
      <w:pPr>
        <w:ind w:left="540"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402" w:hanging="160"/>
      </w:pPr>
      <w:rPr>
        <w:rFonts w:hint="default"/>
        <w:lang w:val="zh-CN" w:eastAsia="zh-CN" w:bidi="zh-CN"/>
      </w:rPr>
    </w:lvl>
    <w:lvl w:ilvl="2">
      <w:start w:val="0"/>
      <w:numFmt w:val="bullet"/>
      <w:lvlText w:val="•"/>
      <w:lvlJc w:val="left"/>
      <w:pPr>
        <w:ind w:left="2265" w:hanging="160"/>
      </w:pPr>
      <w:rPr>
        <w:rFonts w:hint="default"/>
        <w:lang w:val="zh-CN" w:eastAsia="zh-CN" w:bidi="zh-CN"/>
      </w:rPr>
    </w:lvl>
    <w:lvl w:ilvl="3">
      <w:start w:val="0"/>
      <w:numFmt w:val="bullet"/>
      <w:lvlText w:val="•"/>
      <w:lvlJc w:val="left"/>
      <w:pPr>
        <w:ind w:left="3127" w:hanging="160"/>
      </w:pPr>
      <w:rPr>
        <w:rFonts w:hint="default"/>
        <w:lang w:val="zh-CN" w:eastAsia="zh-CN" w:bidi="zh-CN"/>
      </w:rPr>
    </w:lvl>
    <w:lvl w:ilvl="4">
      <w:start w:val="0"/>
      <w:numFmt w:val="bullet"/>
      <w:lvlText w:val="•"/>
      <w:lvlJc w:val="left"/>
      <w:pPr>
        <w:ind w:left="3990" w:hanging="160"/>
      </w:pPr>
      <w:rPr>
        <w:rFonts w:hint="default"/>
        <w:lang w:val="zh-CN" w:eastAsia="zh-CN" w:bidi="zh-CN"/>
      </w:rPr>
    </w:lvl>
    <w:lvl w:ilvl="5">
      <w:start w:val="0"/>
      <w:numFmt w:val="bullet"/>
      <w:lvlText w:val="•"/>
      <w:lvlJc w:val="left"/>
      <w:pPr>
        <w:ind w:left="4853" w:hanging="160"/>
      </w:pPr>
      <w:rPr>
        <w:rFonts w:hint="default"/>
        <w:lang w:val="zh-CN" w:eastAsia="zh-CN" w:bidi="zh-CN"/>
      </w:rPr>
    </w:lvl>
    <w:lvl w:ilvl="6">
      <w:start w:val="0"/>
      <w:numFmt w:val="bullet"/>
      <w:lvlText w:val="•"/>
      <w:lvlJc w:val="left"/>
      <w:pPr>
        <w:ind w:left="5715" w:hanging="160"/>
      </w:pPr>
      <w:rPr>
        <w:rFonts w:hint="default"/>
        <w:lang w:val="zh-CN" w:eastAsia="zh-CN" w:bidi="zh-CN"/>
      </w:rPr>
    </w:lvl>
    <w:lvl w:ilvl="7">
      <w:start w:val="0"/>
      <w:numFmt w:val="bullet"/>
      <w:lvlText w:val="•"/>
      <w:lvlJc w:val="left"/>
      <w:pPr>
        <w:ind w:left="6578" w:hanging="160"/>
      </w:pPr>
      <w:rPr>
        <w:rFonts w:hint="default"/>
        <w:lang w:val="zh-CN" w:eastAsia="zh-CN" w:bidi="zh-CN"/>
      </w:rPr>
    </w:lvl>
    <w:lvl w:ilvl="8">
      <w:start w:val="0"/>
      <w:numFmt w:val="bullet"/>
      <w:lvlText w:val="•"/>
      <w:lvlJc w:val="left"/>
      <w:pPr>
        <w:ind w:left="7441" w:hanging="160"/>
      </w:pPr>
      <w:rPr>
        <w:rFonts w:hint="default"/>
        <w:lang w:val="zh-CN" w:eastAsia="zh-CN" w:bidi="zh-CN"/>
      </w:rPr>
    </w:lvl>
  </w:abstractNum>
  <w:abstractNum w:abstractNumId="5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5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9">
    <w:multiLevelType w:val="hybridMultilevel"/>
    <w:lvl w:ilvl="0">
      <w:start w:val="1"/>
      <w:numFmt w:val="decimal"/>
      <w:lvlText w:val="%1."/>
      <w:lvlJc w:val="left"/>
      <w:pPr>
        <w:ind w:left="111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924" w:hanging="160"/>
      </w:pPr>
      <w:rPr>
        <w:rFonts w:hint="default"/>
        <w:lang w:val="zh-CN" w:eastAsia="zh-CN" w:bidi="zh-CN"/>
      </w:rPr>
    </w:lvl>
    <w:lvl w:ilvl="2">
      <w:start w:val="0"/>
      <w:numFmt w:val="bullet"/>
      <w:lvlText w:val="•"/>
      <w:lvlJc w:val="left"/>
      <w:pPr>
        <w:ind w:left="2729" w:hanging="160"/>
      </w:pPr>
      <w:rPr>
        <w:rFonts w:hint="default"/>
        <w:lang w:val="zh-CN" w:eastAsia="zh-CN" w:bidi="zh-CN"/>
      </w:rPr>
    </w:lvl>
    <w:lvl w:ilvl="3">
      <w:start w:val="0"/>
      <w:numFmt w:val="bullet"/>
      <w:lvlText w:val="•"/>
      <w:lvlJc w:val="left"/>
      <w:pPr>
        <w:ind w:left="3533" w:hanging="160"/>
      </w:pPr>
      <w:rPr>
        <w:rFonts w:hint="default"/>
        <w:lang w:val="zh-CN" w:eastAsia="zh-CN" w:bidi="zh-CN"/>
      </w:rPr>
    </w:lvl>
    <w:lvl w:ilvl="4">
      <w:start w:val="0"/>
      <w:numFmt w:val="bullet"/>
      <w:lvlText w:val="•"/>
      <w:lvlJc w:val="left"/>
      <w:pPr>
        <w:ind w:left="4338" w:hanging="160"/>
      </w:pPr>
      <w:rPr>
        <w:rFonts w:hint="default"/>
        <w:lang w:val="zh-CN" w:eastAsia="zh-CN" w:bidi="zh-CN"/>
      </w:rPr>
    </w:lvl>
    <w:lvl w:ilvl="5">
      <w:start w:val="0"/>
      <w:numFmt w:val="bullet"/>
      <w:lvlText w:val="•"/>
      <w:lvlJc w:val="left"/>
      <w:pPr>
        <w:ind w:left="5143" w:hanging="160"/>
      </w:pPr>
      <w:rPr>
        <w:rFonts w:hint="default"/>
        <w:lang w:val="zh-CN" w:eastAsia="zh-CN" w:bidi="zh-CN"/>
      </w:rPr>
    </w:lvl>
    <w:lvl w:ilvl="6">
      <w:start w:val="0"/>
      <w:numFmt w:val="bullet"/>
      <w:lvlText w:val="•"/>
      <w:lvlJc w:val="left"/>
      <w:pPr>
        <w:ind w:left="5947" w:hanging="160"/>
      </w:pPr>
      <w:rPr>
        <w:rFonts w:hint="default"/>
        <w:lang w:val="zh-CN" w:eastAsia="zh-CN" w:bidi="zh-CN"/>
      </w:rPr>
    </w:lvl>
    <w:lvl w:ilvl="7">
      <w:start w:val="0"/>
      <w:numFmt w:val="bullet"/>
      <w:lvlText w:val="•"/>
      <w:lvlJc w:val="left"/>
      <w:pPr>
        <w:ind w:left="6752" w:hanging="160"/>
      </w:pPr>
      <w:rPr>
        <w:rFonts w:hint="default"/>
        <w:lang w:val="zh-CN" w:eastAsia="zh-CN" w:bidi="zh-CN"/>
      </w:rPr>
    </w:lvl>
    <w:lvl w:ilvl="8">
      <w:start w:val="0"/>
      <w:numFmt w:val="bullet"/>
      <w:lvlText w:val="•"/>
      <w:lvlJc w:val="left"/>
      <w:pPr>
        <w:ind w:left="7557" w:hanging="160"/>
      </w:pPr>
      <w:rPr>
        <w:rFonts w:hint="default"/>
        <w:lang w:val="zh-CN" w:eastAsia="zh-CN" w:bidi="zh-CN"/>
      </w:rPr>
    </w:lvl>
  </w:abstractNum>
  <w:abstractNum w:abstractNumId="48">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5">
    <w:multiLevelType w:val="hybridMultilevel"/>
    <w:lvl w:ilvl="0">
      <w:start w:val="1"/>
      <w:numFmt w:val="decimal"/>
      <w:lvlText w:val="（%1）"/>
      <w:lvlJc w:val="left"/>
      <w:pPr>
        <w:ind w:left="540" w:hanging="527"/>
        <w:jc w:val="left"/>
      </w:pPr>
      <w:rPr>
        <w:rFonts w:hint="default" w:ascii="宋体" w:hAnsi="宋体" w:eastAsia="宋体" w:cs="宋体"/>
        <w:spacing w:val="-10"/>
        <w:w w:val="100"/>
        <w:sz w:val="19"/>
        <w:szCs w:val="19"/>
        <w:lang w:val="zh-CN" w:eastAsia="zh-CN" w:bidi="zh-CN"/>
      </w:rPr>
    </w:lvl>
    <w:lvl w:ilvl="1">
      <w:start w:val="0"/>
      <w:numFmt w:val="bullet"/>
      <w:lvlText w:val="•"/>
      <w:lvlJc w:val="left"/>
      <w:pPr>
        <w:ind w:left="1402" w:hanging="527"/>
      </w:pPr>
      <w:rPr>
        <w:rFonts w:hint="default"/>
        <w:lang w:val="zh-CN" w:eastAsia="zh-CN" w:bidi="zh-CN"/>
      </w:rPr>
    </w:lvl>
    <w:lvl w:ilvl="2">
      <w:start w:val="0"/>
      <w:numFmt w:val="bullet"/>
      <w:lvlText w:val="•"/>
      <w:lvlJc w:val="left"/>
      <w:pPr>
        <w:ind w:left="2265" w:hanging="527"/>
      </w:pPr>
      <w:rPr>
        <w:rFonts w:hint="default"/>
        <w:lang w:val="zh-CN" w:eastAsia="zh-CN" w:bidi="zh-CN"/>
      </w:rPr>
    </w:lvl>
    <w:lvl w:ilvl="3">
      <w:start w:val="0"/>
      <w:numFmt w:val="bullet"/>
      <w:lvlText w:val="•"/>
      <w:lvlJc w:val="left"/>
      <w:pPr>
        <w:ind w:left="3127" w:hanging="527"/>
      </w:pPr>
      <w:rPr>
        <w:rFonts w:hint="default"/>
        <w:lang w:val="zh-CN" w:eastAsia="zh-CN" w:bidi="zh-CN"/>
      </w:rPr>
    </w:lvl>
    <w:lvl w:ilvl="4">
      <w:start w:val="0"/>
      <w:numFmt w:val="bullet"/>
      <w:lvlText w:val="•"/>
      <w:lvlJc w:val="left"/>
      <w:pPr>
        <w:ind w:left="3990" w:hanging="527"/>
      </w:pPr>
      <w:rPr>
        <w:rFonts w:hint="default"/>
        <w:lang w:val="zh-CN" w:eastAsia="zh-CN" w:bidi="zh-CN"/>
      </w:rPr>
    </w:lvl>
    <w:lvl w:ilvl="5">
      <w:start w:val="0"/>
      <w:numFmt w:val="bullet"/>
      <w:lvlText w:val="•"/>
      <w:lvlJc w:val="left"/>
      <w:pPr>
        <w:ind w:left="4853" w:hanging="527"/>
      </w:pPr>
      <w:rPr>
        <w:rFonts w:hint="default"/>
        <w:lang w:val="zh-CN" w:eastAsia="zh-CN" w:bidi="zh-CN"/>
      </w:rPr>
    </w:lvl>
    <w:lvl w:ilvl="6">
      <w:start w:val="0"/>
      <w:numFmt w:val="bullet"/>
      <w:lvlText w:val="•"/>
      <w:lvlJc w:val="left"/>
      <w:pPr>
        <w:ind w:left="5715" w:hanging="527"/>
      </w:pPr>
      <w:rPr>
        <w:rFonts w:hint="default"/>
        <w:lang w:val="zh-CN" w:eastAsia="zh-CN" w:bidi="zh-CN"/>
      </w:rPr>
    </w:lvl>
    <w:lvl w:ilvl="7">
      <w:start w:val="0"/>
      <w:numFmt w:val="bullet"/>
      <w:lvlText w:val="•"/>
      <w:lvlJc w:val="left"/>
      <w:pPr>
        <w:ind w:left="6578" w:hanging="527"/>
      </w:pPr>
      <w:rPr>
        <w:rFonts w:hint="default"/>
        <w:lang w:val="zh-CN" w:eastAsia="zh-CN" w:bidi="zh-CN"/>
      </w:rPr>
    </w:lvl>
    <w:lvl w:ilvl="8">
      <w:start w:val="0"/>
      <w:numFmt w:val="bullet"/>
      <w:lvlText w:val="•"/>
      <w:lvlJc w:val="left"/>
      <w:pPr>
        <w:ind w:left="7441" w:hanging="527"/>
      </w:pPr>
      <w:rPr>
        <w:rFonts w:hint="default"/>
        <w:lang w:val="zh-CN" w:eastAsia="zh-CN" w:bidi="zh-CN"/>
      </w:rPr>
    </w:lvl>
  </w:abstractNum>
  <w:abstractNum w:abstractNumId="44">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8">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4">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0">
    <w:multiLevelType w:val="hybridMultilevel"/>
    <w:lvl w:ilvl="0">
      <w:start w:val="1"/>
      <w:numFmt w:val="decimal"/>
      <w:lvlText w:val="（%1）"/>
      <w:lvlJc w:val="left"/>
      <w:pPr>
        <w:ind w:left="54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8">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7">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6">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5">
    <w:multiLevelType w:val="hybridMultilevel"/>
    <w:lvl w:ilvl="0">
      <w:start w:val="5"/>
      <w:numFmt w:val="decimal"/>
      <w:lvlText w:val="%1"/>
      <w:lvlJc w:val="left"/>
      <w:pPr>
        <w:ind w:left="936" w:hanging="396"/>
        <w:jc w:val="left"/>
      </w:pPr>
      <w:rPr>
        <w:rFonts w:hint="default"/>
        <w:lang w:val="zh-CN" w:eastAsia="zh-CN" w:bidi="zh-CN"/>
      </w:rPr>
    </w:lvl>
    <w:lvl w:ilvl="1">
      <w:start w:val="1"/>
      <w:numFmt w:val="decimal"/>
      <w:lvlText w:val="%1.%2"/>
      <w:lvlJc w:val="left"/>
      <w:pPr>
        <w:ind w:left="936" w:hanging="396"/>
        <w:jc w:val="left"/>
      </w:pPr>
      <w:rPr>
        <w:rFonts w:hint="default"/>
        <w:spacing w:val="-1"/>
        <w:w w:val="100"/>
        <w:lang w:val="zh-CN" w:eastAsia="zh-CN" w:bidi="zh-CN"/>
      </w:rPr>
    </w:lvl>
    <w:lvl w:ilvl="2">
      <w:start w:val="1"/>
      <w:numFmt w:val="decimal"/>
      <w:lvlText w:val="%1.%2.%3"/>
      <w:lvlJc w:val="left"/>
      <w:pPr>
        <w:ind w:left="960"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540" w:hanging="529"/>
        <w:jc w:val="left"/>
      </w:pPr>
      <w:rPr>
        <w:rFonts w:hint="default" w:ascii="宋体" w:hAnsi="宋体" w:eastAsia="宋体" w:cs="宋体"/>
        <w:spacing w:val="-34"/>
        <w:w w:val="100"/>
        <w:sz w:val="19"/>
        <w:szCs w:val="19"/>
        <w:lang w:val="zh-CN" w:eastAsia="zh-CN" w:bidi="zh-CN"/>
      </w:rPr>
    </w:lvl>
    <w:lvl w:ilvl="4">
      <w:start w:val="0"/>
      <w:numFmt w:val="bullet"/>
      <w:lvlText w:val="•"/>
      <w:lvlJc w:val="left"/>
      <w:pPr>
        <w:ind w:left="2320" w:hanging="529"/>
      </w:pPr>
      <w:rPr>
        <w:rFonts w:hint="default"/>
        <w:lang w:val="zh-CN" w:eastAsia="zh-CN" w:bidi="zh-CN"/>
      </w:rPr>
    </w:lvl>
    <w:lvl w:ilvl="5">
      <w:start w:val="0"/>
      <w:numFmt w:val="bullet"/>
      <w:lvlText w:val="•"/>
      <w:lvlJc w:val="left"/>
      <w:pPr>
        <w:ind w:left="3461" w:hanging="529"/>
      </w:pPr>
      <w:rPr>
        <w:rFonts w:hint="default"/>
        <w:lang w:val="zh-CN" w:eastAsia="zh-CN" w:bidi="zh-CN"/>
      </w:rPr>
    </w:lvl>
    <w:lvl w:ilvl="6">
      <w:start w:val="0"/>
      <w:numFmt w:val="bullet"/>
      <w:lvlText w:val="•"/>
      <w:lvlJc w:val="left"/>
      <w:pPr>
        <w:ind w:left="4602" w:hanging="529"/>
      </w:pPr>
      <w:rPr>
        <w:rFonts w:hint="default"/>
        <w:lang w:val="zh-CN" w:eastAsia="zh-CN" w:bidi="zh-CN"/>
      </w:rPr>
    </w:lvl>
    <w:lvl w:ilvl="7">
      <w:start w:val="0"/>
      <w:numFmt w:val="bullet"/>
      <w:lvlText w:val="•"/>
      <w:lvlJc w:val="left"/>
      <w:pPr>
        <w:ind w:left="5743" w:hanging="529"/>
      </w:pPr>
      <w:rPr>
        <w:rFonts w:hint="default"/>
        <w:lang w:val="zh-CN" w:eastAsia="zh-CN" w:bidi="zh-CN"/>
      </w:rPr>
    </w:lvl>
    <w:lvl w:ilvl="8">
      <w:start w:val="0"/>
      <w:numFmt w:val="bullet"/>
      <w:lvlText w:val="•"/>
      <w:lvlJc w:val="left"/>
      <w:pPr>
        <w:ind w:left="6884" w:hanging="529"/>
      </w:pPr>
      <w:rPr>
        <w:rFonts w:hint="default"/>
        <w:lang w:val="zh-CN" w:eastAsia="zh-CN" w:bidi="zh-CN"/>
      </w:rPr>
    </w:lvl>
  </w:abstractNum>
  <w:abstractNum w:abstractNumId="2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2">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1">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0">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9">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8">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7">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3">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2">
    <w:multiLevelType w:val="hybridMultilevel"/>
    <w:lvl w:ilvl="0">
      <w:start w:val="1"/>
      <w:numFmt w:val="decimal"/>
      <w:lvlText w:val="（%1）"/>
      <w:lvlJc w:val="left"/>
      <w:pPr>
        <w:ind w:left="9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8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421" w:hanging="529"/>
      </w:pPr>
      <w:rPr>
        <w:rFonts w:hint="default"/>
        <w:lang w:val="zh-CN" w:eastAsia="zh-CN" w:bidi="zh-CN"/>
      </w:rPr>
    </w:lvl>
    <w:lvl w:ilvl="4">
      <w:start w:val="0"/>
      <w:numFmt w:val="bullet"/>
      <w:lvlText w:val="•"/>
      <w:lvlJc w:val="left"/>
      <w:pPr>
        <w:ind w:left="4242" w:hanging="529"/>
      </w:pPr>
      <w:rPr>
        <w:rFonts w:hint="default"/>
        <w:lang w:val="zh-CN" w:eastAsia="zh-CN" w:bidi="zh-CN"/>
      </w:rPr>
    </w:lvl>
    <w:lvl w:ilvl="5">
      <w:start w:val="0"/>
      <w:numFmt w:val="bullet"/>
      <w:lvlText w:val="•"/>
      <w:lvlJc w:val="left"/>
      <w:pPr>
        <w:ind w:left="5063" w:hanging="529"/>
      </w:pPr>
      <w:rPr>
        <w:rFonts w:hint="default"/>
        <w:lang w:val="zh-CN" w:eastAsia="zh-CN" w:bidi="zh-CN"/>
      </w:rPr>
    </w:lvl>
    <w:lvl w:ilvl="6">
      <w:start w:val="0"/>
      <w:numFmt w:val="bullet"/>
      <w:lvlText w:val="•"/>
      <w:lvlJc w:val="left"/>
      <w:pPr>
        <w:ind w:left="5883" w:hanging="529"/>
      </w:pPr>
      <w:rPr>
        <w:rFonts w:hint="default"/>
        <w:lang w:val="zh-CN" w:eastAsia="zh-CN" w:bidi="zh-CN"/>
      </w:rPr>
    </w:lvl>
    <w:lvl w:ilvl="7">
      <w:start w:val="0"/>
      <w:numFmt w:val="bullet"/>
      <w:lvlText w:val="•"/>
      <w:lvlJc w:val="left"/>
      <w:pPr>
        <w:ind w:left="6704" w:hanging="529"/>
      </w:pPr>
      <w:rPr>
        <w:rFonts w:hint="default"/>
        <w:lang w:val="zh-CN" w:eastAsia="zh-CN" w:bidi="zh-CN"/>
      </w:rPr>
    </w:lvl>
    <w:lvl w:ilvl="8">
      <w:start w:val="0"/>
      <w:numFmt w:val="bullet"/>
      <w:lvlText w:val="•"/>
      <w:lvlJc w:val="left"/>
      <w:pPr>
        <w:ind w:left="7525" w:hanging="529"/>
      </w:pPr>
      <w:rPr>
        <w:rFonts w:hint="default"/>
        <w:lang w:val="zh-CN" w:eastAsia="zh-CN" w:bidi="zh-CN"/>
      </w:rPr>
    </w:lvl>
  </w:abstractNum>
  <w:abstractNum w:abstractNumId="11">
    <w:multiLevelType w:val="hybridMultilevel"/>
    <w:lvl w:ilvl="0">
      <w:start w:val="1"/>
      <w:numFmt w:val="decimal"/>
      <w:lvlText w:val="（%1）"/>
      <w:lvlJc w:val="left"/>
      <w:pPr>
        <w:ind w:left="540" w:hanging="532"/>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402" w:hanging="532"/>
      </w:pPr>
      <w:rPr>
        <w:rFonts w:hint="default"/>
        <w:lang w:val="zh-CN" w:eastAsia="zh-CN" w:bidi="zh-CN"/>
      </w:rPr>
    </w:lvl>
    <w:lvl w:ilvl="2">
      <w:start w:val="0"/>
      <w:numFmt w:val="bullet"/>
      <w:lvlText w:val="•"/>
      <w:lvlJc w:val="left"/>
      <w:pPr>
        <w:ind w:left="2265" w:hanging="532"/>
      </w:pPr>
      <w:rPr>
        <w:rFonts w:hint="default"/>
        <w:lang w:val="zh-CN" w:eastAsia="zh-CN" w:bidi="zh-CN"/>
      </w:rPr>
    </w:lvl>
    <w:lvl w:ilvl="3">
      <w:start w:val="0"/>
      <w:numFmt w:val="bullet"/>
      <w:lvlText w:val="•"/>
      <w:lvlJc w:val="left"/>
      <w:pPr>
        <w:ind w:left="3127" w:hanging="532"/>
      </w:pPr>
      <w:rPr>
        <w:rFonts w:hint="default"/>
        <w:lang w:val="zh-CN" w:eastAsia="zh-CN" w:bidi="zh-CN"/>
      </w:rPr>
    </w:lvl>
    <w:lvl w:ilvl="4">
      <w:start w:val="0"/>
      <w:numFmt w:val="bullet"/>
      <w:lvlText w:val="•"/>
      <w:lvlJc w:val="left"/>
      <w:pPr>
        <w:ind w:left="3990" w:hanging="532"/>
      </w:pPr>
      <w:rPr>
        <w:rFonts w:hint="default"/>
        <w:lang w:val="zh-CN" w:eastAsia="zh-CN" w:bidi="zh-CN"/>
      </w:rPr>
    </w:lvl>
    <w:lvl w:ilvl="5">
      <w:start w:val="0"/>
      <w:numFmt w:val="bullet"/>
      <w:lvlText w:val="•"/>
      <w:lvlJc w:val="left"/>
      <w:pPr>
        <w:ind w:left="4853" w:hanging="532"/>
      </w:pPr>
      <w:rPr>
        <w:rFonts w:hint="default"/>
        <w:lang w:val="zh-CN" w:eastAsia="zh-CN" w:bidi="zh-CN"/>
      </w:rPr>
    </w:lvl>
    <w:lvl w:ilvl="6">
      <w:start w:val="0"/>
      <w:numFmt w:val="bullet"/>
      <w:lvlText w:val="•"/>
      <w:lvlJc w:val="left"/>
      <w:pPr>
        <w:ind w:left="5715" w:hanging="532"/>
      </w:pPr>
      <w:rPr>
        <w:rFonts w:hint="default"/>
        <w:lang w:val="zh-CN" w:eastAsia="zh-CN" w:bidi="zh-CN"/>
      </w:rPr>
    </w:lvl>
    <w:lvl w:ilvl="7">
      <w:start w:val="0"/>
      <w:numFmt w:val="bullet"/>
      <w:lvlText w:val="•"/>
      <w:lvlJc w:val="left"/>
      <w:pPr>
        <w:ind w:left="6578" w:hanging="532"/>
      </w:pPr>
      <w:rPr>
        <w:rFonts w:hint="default"/>
        <w:lang w:val="zh-CN" w:eastAsia="zh-CN" w:bidi="zh-CN"/>
      </w:rPr>
    </w:lvl>
    <w:lvl w:ilvl="8">
      <w:start w:val="0"/>
      <w:numFmt w:val="bullet"/>
      <w:lvlText w:val="•"/>
      <w:lvlJc w:val="left"/>
      <w:pPr>
        <w:ind w:left="7441" w:hanging="532"/>
      </w:pPr>
      <w:rPr>
        <w:rFonts w:hint="default"/>
        <w:lang w:val="zh-CN" w:eastAsia="zh-CN" w:bidi="zh-CN"/>
      </w:rPr>
    </w:lvl>
  </w:abstractNum>
  <w:abstractNum w:abstractNumId="1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9">
    <w:multiLevelType w:val="hybridMultilevel"/>
    <w:lvl w:ilvl="0">
      <w:start w:val="14"/>
      <w:numFmt w:val="decimal"/>
      <w:lvlText w:val="%1"/>
      <w:lvlJc w:val="left"/>
      <w:pPr>
        <w:ind w:left="804" w:hanging="264"/>
        <w:jc w:val="left"/>
      </w:pPr>
      <w:rPr>
        <w:rFonts w:hint="default" w:ascii="Times New Roman" w:hAnsi="Times New Roman" w:eastAsia="Times New Roman" w:cs="Times New Roman"/>
        <w:w w:val="100"/>
        <w:sz w:val="21"/>
        <w:szCs w:val="21"/>
        <w:lang w:val="zh-CN" w:eastAsia="zh-CN" w:bidi="zh-CN"/>
      </w:rPr>
    </w:lvl>
    <w:lvl w:ilvl="1">
      <w:start w:val="1"/>
      <w:numFmt w:val="decimal"/>
      <w:lvlText w:val="（%2）"/>
      <w:lvlJc w:val="left"/>
      <w:pPr>
        <w:ind w:left="1489"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334" w:hanging="529"/>
      </w:pPr>
      <w:rPr>
        <w:rFonts w:hint="default"/>
        <w:lang w:val="zh-CN" w:eastAsia="zh-CN" w:bidi="zh-CN"/>
      </w:rPr>
    </w:lvl>
    <w:lvl w:ilvl="3">
      <w:start w:val="0"/>
      <w:numFmt w:val="bullet"/>
      <w:lvlText w:val="•"/>
      <w:lvlJc w:val="left"/>
      <w:pPr>
        <w:ind w:left="3188" w:hanging="529"/>
      </w:pPr>
      <w:rPr>
        <w:rFonts w:hint="default"/>
        <w:lang w:val="zh-CN" w:eastAsia="zh-CN" w:bidi="zh-CN"/>
      </w:rPr>
    </w:lvl>
    <w:lvl w:ilvl="4">
      <w:start w:val="0"/>
      <w:numFmt w:val="bullet"/>
      <w:lvlText w:val="•"/>
      <w:lvlJc w:val="left"/>
      <w:pPr>
        <w:ind w:left="4042" w:hanging="529"/>
      </w:pPr>
      <w:rPr>
        <w:rFonts w:hint="default"/>
        <w:lang w:val="zh-CN" w:eastAsia="zh-CN" w:bidi="zh-CN"/>
      </w:rPr>
    </w:lvl>
    <w:lvl w:ilvl="5">
      <w:start w:val="0"/>
      <w:numFmt w:val="bullet"/>
      <w:lvlText w:val="•"/>
      <w:lvlJc w:val="left"/>
      <w:pPr>
        <w:ind w:left="4896" w:hanging="529"/>
      </w:pPr>
      <w:rPr>
        <w:rFonts w:hint="default"/>
        <w:lang w:val="zh-CN" w:eastAsia="zh-CN" w:bidi="zh-CN"/>
      </w:rPr>
    </w:lvl>
    <w:lvl w:ilvl="6">
      <w:start w:val="0"/>
      <w:numFmt w:val="bullet"/>
      <w:lvlText w:val="•"/>
      <w:lvlJc w:val="left"/>
      <w:pPr>
        <w:ind w:left="5750" w:hanging="529"/>
      </w:pPr>
      <w:rPr>
        <w:rFonts w:hint="default"/>
        <w:lang w:val="zh-CN" w:eastAsia="zh-CN" w:bidi="zh-CN"/>
      </w:rPr>
    </w:lvl>
    <w:lvl w:ilvl="7">
      <w:start w:val="0"/>
      <w:numFmt w:val="bullet"/>
      <w:lvlText w:val="•"/>
      <w:lvlJc w:val="left"/>
      <w:pPr>
        <w:ind w:left="6604" w:hanging="529"/>
      </w:pPr>
      <w:rPr>
        <w:rFonts w:hint="default"/>
        <w:lang w:val="zh-CN" w:eastAsia="zh-CN" w:bidi="zh-CN"/>
      </w:rPr>
    </w:lvl>
    <w:lvl w:ilvl="8">
      <w:start w:val="0"/>
      <w:numFmt w:val="bullet"/>
      <w:lvlText w:val="•"/>
      <w:lvlJc w:val="left"/>
      <w:pPr>
        <w:ind w:left="7458" w:hanging="529"/>
      </w:pPr>
      <w:rPr>
        <w:rFonts w:hint="default"/>
        <w:lang w:val="zh-CN" w:eastAsia="zh-CN" w:bidi="zh-CN"/>
      </w:rPr>
    </w:lvl>
  </w:abstractNum>
  <w:abstractNum w:abstractNumId="8">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7">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
    <w:multiLevelType w:val="hybridMultilevel"/>
    <w:lvl w:ilvl="0">
      <w:start w:val="1"/>
      <w:numFmt w:val="decimal"/>
      <w:lvlText w:val="（%1）"/>
      <w:lvlJc w:val="left"/>
      <w:pPr>
        <w:ind w:left="150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6" w:hanging="529"/>
      </w:pPr>
      <w:rPr>
        <w:rFonts w:hint="default"/>
        <w:lang w:val="zh-CN" w:eastAsia="zh-CN" w:bidi="zh-CN"/>
      </w:rPr>
    </w:lvl>
    <w:lvl w:ilvl="2">
      <w:start w:val="0"/>
      <w:numFmt w:val="bullet"/>
      <w:lvlText w:val="•"/>
      <w:lvlJc w:val="left"/>
      <w:pPr>
        <w:ind w:left="3033" w:hanging="529"/>
      </w:pPr>
      <w:rPr>
        <w:rFonts w:hint="default"/>
        <w:lang w:val="zh-CN" w:eastAsia="zh-CN" w:bidi="zh-CN"/>
      </w:rPr>
    </w:lvl>
    <w:lvl w:ilvl="3">
      <w:start w:val="0"/>
      <w:numFmt w:val="bullet"/>
      <w:lvlText w:val="•"/>
      <w:lvlJc w:val="left"/>
      <w:pPr>
        <w:ind w:left="3799" w:hanging="529"/>
      </w:pPr>
      <w:rPr>
        <w:rFonts w:hint="default"/>
        <w:lang w:val="zh-CN" w:eastAsia="zh-CN" w:bidi="zh-CN"/>
      </w:rPr>
    </w:lvl>
    <w:lvl w:ilvl="4">
      <w:start w:val="0"/>
      <w:numFmt w:val="bullet"/>
      <w:lvlText w:val="•"/>
      <w:lvlJc w:val="left"/>
      <w:pPr>
        <w:ind w:left="4566"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099" w:hanging="529"/>
      </w:pPr>
      <w:rPr>
        <w:rFonts w:hint="default"/>
        <w:lang w:val="zh-CN" w:eastAsia="zh-CN" w:bidi="zh-CN"/>
      </w:rPr>
    </w:lvl>
    <w:lvl w:ilvl="7">
      <w:start w:val="0"/>
      <w:numFmt w:val="bullet"/>
      <w:lvlText w:val="•"/>
      <w:lvlJc w:val="left"/>
      <w:pPr>
        <w:ind w:left="6866" w:hanging="529"/>
      </w:pPr>
      <w:rPr>
        <w:rFonts w:hint="default"/>
        <w:lang w:val="zh-CN" w:eastAsia="zh-CN" w:bidi="zh-CN"/>
      </w:rPr>
    </w:lvl>
    <w:lvl w:ilvl="8">
      <w:start w:val="0"/>
      <w:numFmt w:val="bullet"/>
      <w:lvlText w:val="•"/>
      <w:lvlJc w:val="left"/>
      <w:pPr>
        <w:ind w:left="7633" w:hanging="529"/>
      </w:pPr>
      <w:rPr>
        <w:rFonts w:hint="default"/>
        <w:lang w:val="zh-CN" w:eastAsia="zh-CN" w:bidi="zh-CN"/>
      </w:rPr>
    </w:lvl>
  </w:abstractNum>
  <w:abstractNum w:abstractNumId="3">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num w:numId="48">
    <w:abstractNumId w:val="47"/>
  </w:num>
  <w:num w:numId="44">
    <w:abstractNumId w:val="43"/>
  </w:num>
  <w:num w:numId="38">
    <w:abstractNumId w:val="37"/>
  </w:num>
  <w:num w:numId="1">
    <w:abstractNumId w:val="0"/>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7">
    <w:abstractNumId w:val="46"/>
  </w:num>
  <w:num w:numId="46">
    <w:abstractNumId w:val="45"/>
  </w:num>
  <w:num w:numId="45">
    <w:abstractNumId w:val="44"/>
  </w:num>
  <w:num w:numId="43">
    <w:abstractNumId w:val="42"/>
  </w:num>
  <w:num w:numId="42">
    <w:abstractNumId w:val="41"/>
  </w:num>
  <w:num w:numId="41">
    <w:abstractNumId w:val="40"/>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540"/>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2461" w:right="2237"/>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489" w:hanging="530"/>
    </w:pPr>
    <w:rPr>
      <w:rFonts w:ascii="宋体" w:hAnsi="宋体" w:eastAsia="宋体" w:cs="宋体"/>
      <w:lang w:val="zh-CN" w:eastAsia="zh-CN" w:bidi="zh-CN"/>
    </w:rPr>
  </w:style>
  <w:style w:styleId="TableParagraph" w:type="paragraph">
    <w:name w:val="Table Paragraph"/>
    <w:basedOn w:val="Normal"/>
    <w:uiPriority w:val="1"/>
    <w:qFormat/>
    <w:pPr>
      <w:spacing w:before="22"/>
      <w:jc w:val="righ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http://www.chinaamc.com/" TargetMode="External"/><Relationship Id="rId12" Type="http://schemas.openxmlformats.org/officeDocument/2006/relationships/hyperlink" Target="http://www.icbc.com.cn/" TargetMode="External"/><Relationship Id="rId13" Type="http://schemas.openxmlformats.org/officeDocument/2006/relationships/hyperlink" Target="http://www.boc.cn/" TargetMode="External"/><Relationship Id="rId14" Type="http://schemas.openxmlformats.org/officeDocument/2006/relationships/hyperlink" Target="http://www.ccb.com/" TargetMode="External"/><Relationship Id="rId15" Type="http://schemas.openxmlformats.org/officeDocument/2006/relationships/hyperlink" Target="http://www.cmbchina.com/" TargetMode="External"/><Relationship Id="rId16" Type="http://schemas.openxmlformats.org/officeDocument/2006/relationships/hyperlink" Target="http://www.spdb.com.cn/" TargetMode="External"/><Relationship Id="rId17" Type="http://schemas.openxmlformats.org/officeDocument/2006/relationships/hyperlink" Target="http://www.cebbank.com/" TargetMode="External"/><Relationship Id="rId18" Type="http://schemas.openxmlformats.org/officeDocument/2006/relationships/hyperlink" Target="http://www.jsbchina.cn/" TargetMode="External"/><Relationship Id="rId19" Type="http://schemas.openxmlformats.org/officeDocument/2006/relationships/hyperlink" Target="http://www.cbhb.com.cn/" TargetMode="External"/><Relationship Id="rId20" Type="http://schemas.openxmlformats.org/officeDocument/2006/relationships/hyperlink" Target="http://www.szrcb.com/" TargetMode="External"/><Relationship Id="rId21" Type="http://schemas.openxmlformats.org/officeDocument/2006/relationships/hyperlink" Target="http://www.xmccb.com/" TargetMode="External"/><Relationship Id="rId22" Type="http://schemas.openxmlformats.org/officeDocument/2006/relationships/hyperlink" Target="http://www/" TargetMode="External"/><Relationship Id="rId23" Type="http://schemas.openxmlformats.org/officeDocument/2006/relationships/hyperlink" Target="http://www.hrxjbank.com.cn/" TargetMode="External"/><Relationship Id="rId24" Type="http://schemas.openxmlformats.org/officeDocument/2006/relationships/hyperlink" Target="http://www.ynhtbank.com/" TargetMode="External"/><Relationship Id="rId25" Type="http://schemas.openxmlformats.org/officeDocument/2006/relationships/hyperlink" Target="http://www.huilinbd.com/" TargetMode="External"/><Relationship Id="rId26" Type="http://schemas.openxmlformats.org/officeDocument/2006/relationships/hyperlink" Target="http://www.wacaijijin.com/" TargetMode="External"/><Relationship Id="rId27" Type="http://schemas.openxmlformats.org/officeDocument/2006/relationships/hyperlink" Target="http://www.xiquefund.com/" TargetMode="External"/><Relationship Id="rId28" Type="http://schemas.openxmlformats.org/officeDocument/2006/relationships/hyperlink" Target="http://www.tenganxinxi.com/" TargetMode="External"/><Relationship Id="rId29" Type="http://schemas.openxmlformats.org/officeDocument/2006/relationships/hyperlink" Target="http://www.baiyingfund.com/" TargetMode="External"/><Relationship Id="rId30" Type="http://schemas.openxmlformats.org/officeDocument/2006/relationships/hyperlink" Target="http://www.noah-fund.com/" TargetMode="External"/><Relationship Id="rId31" Type="http://schemas.openxmlformats.org/officeDocument/2006/relationships/hyperlink" Target="http://www.zlfund.cn/" TargetMode="External"/><Relationship Id="rId32" Type="http://schemas.openxmlformats.org/officeDocument/2006/relationships/hyperlink" Target="http://www.1234567.com.cn/" TargetMode="External"/><Relationship Id="rId33" Type="http://schemas.openxmlformats.org/officeDocument/2006/relationships/hyperlink" Target="http://www.ehowbuy.com/" TargetMode="External"/><Relationship Id="rId34" Type="http://schemas.openxmlformats.org/officeDocument/2006/relationships/hyperlink" Target="http://www.fund123.cn/" TargetMode="External"/><Relationship Id="rId35" Type="http://schemas.openxmlformats.org/officeDocument/2006/relationships/hyperlink" Target="http://www.erichfund.com/" TargetMode="External"/><Relationship Id="rId36" Type="http://schemas.openxmlformats.org/officeDocument/2006/relationships/hyperlink" Target="http://www.5ifund.com/" TargetMode="External"/><Relationship Id="rId37" Type="http://schemas.openxmlformats.org/officeDocument/2006/relationships/hyperlink" Target="http://www.leadfund.com.cn/" TargetMode="External"/><Relationship Id="rId38" Type="http://schemas.openxmlformats.org/officeDocument/2006/relationships/hyperlink" Target="http://www.harvestwm.cn/" TargetMode="External"/><Relationship Id="rId39" Type="http://schemas.openxmlformats.org/officeDocument/2006/relationships/hyperlink" Target="http://www.5irich.com/" TargetMode="External"/><Relationship Id="rId40" Type="http://schemas.openxmlformats.org/officeDocument/2006/relationships/hyperlink" Target="http://www.puyifund.com/" TargetMode="External"/><Relationship Id="rId41" Type="http://schemas.openxmlformats.org/officeDocument/2006/relationships/hyperlink" Target="http://www.yixinfund.com/" TargetMode="External"/><Relationship Id="rId42" Type="http://schemas.openxmlformats.org/officeDocument/2006/relationships/hyperlink" Target="http://www.snjijin.com/" TargetMode="External"/><Relationship Id="rId43" Type="http://schemas.openxmlformats.org/officeDocument/2006/relationships/hyperlink" Target="http://www.tonghuafund.com/" TargetMode="External"/><Relationship Id="rId44" Type="http://schemas.openxmlformats.org/officeDocument/2006/relationships/hyperlink" Target="http://www.chtwm.com/" TargetMode="External"/><Relationship Id="rId45" Type="http://schemas.openxmlformats.org/officeDocument/2006/relationships/hyperlink" Target="http://www.hcjijin.com/" TargetMode="External"/><Relationship Id="rId46" Type="http://schemas.openxmlformats.org/officeDocument/2006/relationships/hyperlink" Target="http://www.tdyhfund.com/" TargetMode="External"/><Relationship Id="rId47" Type="http://schemas.openxmlformats.org/officeDocument/2006/relationships/hyperlink" Target="http://www.zhixin-inv.com/" TargetMode="External"/><Relationship Id="rId48" Type="http://schemas.openxmlformats.org/officeDocument/2006/relationships/hyperlink" Target="http://www.fundhaiyin.com/" TargetMode="External"/><Relationship Id="rId49" Type="http://schemas.openxmlformats.org/officeDocument/2006/relationships/hyperlink" Target="http://www.wg.com.cn/" TargetMode="External"/><Relationship Id="rId50" Type="http://schemas.openxmlformats.org/officeDocument/2006/relationships/hyperlink" Target="http://www.jhjzfund.com/" TargetMode="External"/><Relationship Id="rId51" Type="http://schemas.openxmlformats.org/officeDocument/2006/relationships/hyperlink" Target="http://www.haojiyoujijin.com/" TargetMode="External"/><Relationship Id="rId52" Type="http://schemas.openxmlformats.org/officeDocument/2006/relationships/hyperlink" Target="http://www.jiyufund.com.cn/" TargetMode="External"/><Relationship Id="rId53" Type="http://schemas.openxmlformats.org/officeDocument/2006/relationships/hyperlink" Target="http://www.pytz.cn/" TargetMode="External"/><Relationship Id="rId54" Type="http://schemas.openxmlformats.org/officeDocument/2006/relationships/hyperlink" Target="http://www.lufunds.com/" TargetMode="External"/><Relationship Id="rId55" Type="http://schemas.openxmlformats.org/officeDocument/2006/relationships/hyperlink" Target="http://www.yingmi.cn/" TargetMode="External"/><Relationship Id="rId56" Type="http://schemas.openxmlformats.org/officeDocument/2006/relationships/hyperlink" Target="http://www.hgccpb.com/" TargetMode="External"/><Relationship Id="rId57" Type="http://schemas.openxmlformats.org/officeDocument/2006/relationships/hyperlink" Target="http://www.jnlc.com/" TargetMode="External"/><Relationship Id="rId58" Type="http://schemas.openxmlformats.org/officeDocument/2006/relationships/hyperlink" Target="http://fund.jd.com/" TargetMode="External"/><Relationship Id="rId59" Type="http://schemas.openxmlformats.org/officeDocument/2006/relationships/hyperlink" Target="http://www.yibaijin.com/" TargetMode="External"/><Relationship Id="rId60" Type="http://schemas.openxmlformats.org/officeDocument/2006/relationships/hyperlink" Target="http://www.cmiwm.com/" TargetMode="External"/><Relationship Id="rId61" Type="http://schemas.openxmlformats.org/officeDocument/2006/relationships/hyperlink" Target="http://www.jfzinv.com/" TargetMode="External"/><Relationship Id="rId62" Type="http://schemas.openxmlformats.org/officeDocument/2006/relationships/hyperlink" Target="http://www.qiangungun.com/" TargetMode="External"/><Relationship Id="rId63" Type="http://schemas.openxmlformats.org/officeDocument/2006/relationships/hyperlink" Target="http://www.amcfortune.com/" TargetMode="External"/><Relationship Id="rId64" Type="http://schemas.openxmlformats.org/officeDocument/2006/relationships/hyperlink" Target="http://www.citicsf.com/" TargetMode="External"/><Relationship Id="rId65" Type="http://schemas.openxmlformats.org/officeDocument/2006/relationships/hyperlink" Target="http://www.ftol.com.cn/" TargetMode="External"/><Relationship Id="rId66" Type="http://schemas.openxmlformats.org/officeDocument/2006/relationships/hyperlink" Target="http://www.csc108.com/" TargetMode="External"/><Relationship Id="rId67" Type="http://schemas.openxmlformats.org/officeDocument/2006/relationships/hyperlink" Target="http://www.cs.ecitic.com/" TargetMode="External"/><Relationship Id="rId68" Type="http://schemas.openxmlformats.org/officeDocument/2006/relationships/hyperlink" Target="http://www.chinastock.com.cn/" TargetMode="External"/><Relationship Id="rId69" Type="http://schemas.openxmlformats.org/officeDocument/2006/relationships/hyperlink" Target="http://www.swhysc.com/" TargetMode="External"/><Relationship Id="rId70" Type="http://schemas.openxmlformats.org/officeDocument/2006/relationships/hyperlink" Target="http://www.xyzq.com.cn/" TargetMode="External"/><Relationship Id="rId71" Type="http://schemas.openxmlformats.org/officeDocument/2006/relationships/hyperlink" Target="http://www.mszq.com/" TargetMode="External"/><Relationship Id="rId72" Type="http://schemas.openxmlformats.org/officeDocument/2006/relationships/hyperlink" Target="http://sd.citics.com/" TargetMode="External"/><Relationship Id="rId73" Type="http://schemas.openxmlformats.org/officeDocument/2006/relationships/hyperlink" Target="http://www.gzs.com.cn/" TargetMode="External"/><Relationship Id="rId74" Type="http://schemas.openxmlformats.org/officeDocument/2006/relationships/hyperlink" Target="http://www.pingan.com/" TargetMode="External"/><Relationship Id="rId75" Type="http://schemas.openxmlformats.org/officeDocument/2006/relationships/hyperlink" Target="http://www.bocichina.com.cn/" TargetMode="External"/><Relationship Id="rId76" Type="http://schemas.openxmlformats.org/officeDocument/2006/relationships/hyperlink" Target="http://www.hysec.com/" TargetMode="External"/><Relationship Id="rId77" Type="http://schemas.openxmlformats.org/officeDocument/2006/relationships/hyperlink" Target="http://www.zts.com.cn/" TargetMode="External"/><Relationship Id="rId78" Type="http://schemas.openxmlformats.org/officeDocument/2006/relationships/hyperlink" Target="http://www.wanhesec.com.cn/" TargetMode="External"/><Relationship Id="rId79" Type="http://schemas.openxmlformats.org/officeDocument/2006/relationships/hyperlink" Target="http://www.tpyzq.com/" TargetMode="External"/><Relationship Id="rId80" Type="http://schemas.openxmlformats.org/officeDocument/2006/relationships/hyperlink" Target="http://www.cczp.com/" TargetMode="External"/><Relationship Id="rId81" Type="http://schemas.openxmlformats.org/officeDocument/2006/relationships/hyperlink" Target="http://www.lczq.com/" TargetMode="External"/><Relationship Id="rId82" Type="http://schemas.openxmlformats.org/officeDocument/2006/relationships/hyperlink" Target="http://fund.sinosig.com/" TargetMode="External"/><Relationship Id="rId83" Type="http://schemas.openxmlformats.org/officeDocument/2006/relationships/hyperlink" Target="http://www.e-chinalife.com/" TargetMode="External"/><Relationship Id="rId84" Type="http://schemas.openxmlformats.org/officeDocument/2006/relationships/hyperlink" Target="http://www.ChinaAMC.com/" TargetMode="External"/><Relationship Id="rId85" Type="http://schemas.openxmlformats.org/officeDocument/2006/relationships/image" Target="media/image6.png"/><Relationship Id="rId86" Type="http://schemas.openxmlformats.org/officeDocument/2006/relationships/image" Target="media/image7.png"/><Relationship Id="rId87" Type="http://schemas.openxmlformats.org/officeDocument/2006/relationships/image" Target="media/image8.png"/><Relationship Id="rId88" Type="http://schemas.openxmlformats.org/officeDocument/2006/relationships/image" Target="media/image9.png"/><Relationship Id="rId89" Type="http://schemas.openxmlformats.org/officeDocument/2006/relationships/image" Target="media/image10.png"/><Relationship Id="rId90" Type="http://schemas.openxmlformats.org/officeDocument/2006/relationships/image" Target="media/image11.png"/><Relationship Id="rId91" Type="http://schemas.openxmlformats.org/officeDocument/2006/relationships/image" Target="media/image12.png"/><Relationship Id="rId92" Type="http://schemas.openxmlformats.org/officeDocument/2006/relationships/image" Target="media/image13.png"/><Relationship Id="rId93" Type="http://schemas.openxmlformats.org/officeDocument/2006/relationships/image" Target="media/image14.png"/><Relationship Id="rId94" Type="http://schemas.openxmlformats.org/officeDocument/2006/relationships/image" Target="media/image15.png"/><Relationship Id="rId95" Type="http://schemas.openxmlformats.org/officeDocument/2006/relationships/image" Target="media/image16.png"/><Relationship Id="rId96" Type="http://schemas.openxmlformats.org/officeDocument/2006/relationships/image" Target="media/image17.png"/><Relationship Id="rId97" Type="http://schemas.openxmlformats.org/officeDocument/2006/relationships/image" Target="media/image18.png"/><Relationship Id="rId98" Type="http://schemas.openxmlformats.org/officeDocument/2006/relationships/image" Target="media/image19.png"/><Relationship Id="rId99" Type="http://schemas.openxmlformats.org/officeDocument/2006/relationships/image" Target="media/image20.png"/><Relationship Id="rId100" Type="http://schemas.openxmlformats.org/officeDocument/2006/relationships/image" Target="media/image21.png"/><Relationship Id="rId101" Type="http://schemas.openxmlformats.org/officeDocument/2006/relationships/image" Target="media/image22.png"/><Relationship Id="rId102" Type="http://schemas.openxmlformats.org/officeDocument/2006/relationships/image" Target="media/image23.png"/><Relationship Id="rId103" Type="http://schemas.openxmlformats.org/officeDocument/2006/relationships/image" Target="media/image24.png"/><Relationship Id="rId104" Type="http://schemas.openxmlformats.org/officeDocument/2006/relationships/image" Target="media/image25.png"/><Relationship Id="rId105" Type="http://schemas.openxmlformats.org/officeDocument/2006/relationships/image" Target="media/image26.png"/><Relationship Id="rId106" Type="http://schemas.openxmlformats.org/officeDocument/2006/relationships/image" Target="media/image27.png"/><Relationship Id="rId107" Type="http://schemas.openxmlformats.org/officeDocument/2006/relationships/image" Target="media/image28.png"/><Relationship Id="rId108" Type="http://schemas.openxmlformats.org/officeDocument/2006/relationships/hyperlink" Target="mailto:service@ChinaAMC.com" TargetMode="External"/><Relationship Id="rId10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dcterms:created xsi:type="dcterms:W3CDTF">2020-11-22T13:54:49Z</dcterms:created>
  <dcterms:modified xsi:type="dcterms:W3CDTF">2020-11-22T13:54:49Z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2020-11-22T00:00:00Z</vt:filetime>
  </property>
</Properties>
</file>