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6"/>
        </w:rPr>
      </w:pPr>
    </w:p>
    <w:p>
      <w:pPr>
        <w:spacing w:line="266" w:lineRule="auto" w:before="38"/>
        <w:ind w:left="2705" w:right="1161" w:hanging="1326"/>
        <w:jc w:val="left"/>
        <w:rPr>
          <w:b/>
          <w:sz w:val="44"/>
        </w:rPr>
      </w:pPr>
      <w:r>
        <w:rPr>
          <w:b/>
          <w:sz w:val="44"/>
        </w:rPr>
        <w:t>华夏创新前沿股票型证券投资基金招募说明书（更新）</w:t>
      </w:r>
    </w:p>
    <w:p>
      <w:pPr>
        <w:pStyle w:val="BodyText"/>
        <w:spacing w:before="5"/>
        <w:rPr>
          <w:b/>
          <w:sz w:val="48"/>
        </w:rPr>
      </w:pPr>
    </w:p>
    <w:p>
      <w:pPr>
        <w:spacing w:before="0"/>
        <w:ind w:left="2873" w:right="0" w:firstLine="0"/>
        <w:jc w:val="left"/>
        <w:rPr>
          <w:b/>
          <w:sz w:val="44"/>
        </w:rPr>
      </w:pPr>
      <w:r>
        <w:rPr>
          <w:rFonts w:ascii="Times New Roman" w:eastAsia="Times New Roman"/>
          <w:b/>
          <w:sz w:val="44"/>
        </w:rPr>
        <w:t>2020 </w:t>
      </w:r>
      <w:r>
        <w:rPr>
          <w:b/>
          <w:spacing w:val="-57"/>
          <w:sz w:val="44"/>
        </w:rPr>
        <w:t>年 </w:t>
      </w:r>
      <w:r>
        <w:rPr>
          <w:rFonts w:ascii="Times New Roman" w:eastAsia="Times New Roman"/>
          <w:b/>
          <w:sz w:val="44"/>
        </w:rPr>
        <w:t>10</w:t>
      </w:r>
      <w:r>
        <w:rPr>
          <w:rFonts w:ascii="Times New Roman" w:eastAsia="Times New Roman"/>
          <w:b/>
          <w:spacing w:val="-2"/>
          <w:sz w:val="44"/>
        </w:rPr>
        <w:t> </w:t>
      </w:r>
      <w:r>
        <w:rPr>
          <w:b/>
          <w:spacing w:val="-55"/>
          <w:sz w:val="44"/>
        </w:rPr>
        <w:t>月 </w:t>
      </w:r>
      <w:r>
        <w:rPr>
          <w:rFonts w:ascii="Times New Roman" w:eastAsia="Times New Roman"/>
          <w:b/>
          <w:sz w:val="44"/>
        </w:rPr>
        <w:t>14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5"/>
        <w:rPr>
          <w:b/>
          <w:sz w:val="64"/>
        </w:rPr>
      </w:pPr>
    </w:p>
    <w:p>
      <w:pPr>
        <w:spacing w:before="0"/>
        <w:ind w:left="2239" w:right="0" w:firstLine="0"/>
        <w:jc w:val="left"/>
        <w:rPr>
          <w:sz w:val="32"/>
        </w:rPr>
      </w:pPr>
      <w:r>
        <w:rPr>
          <w:w w:val="95"/>
          <w:sz w:val="32"/>
        </w:rPr>
        <w:t>基金管理人：华夏基金管理有限公司</w:t>
      </w:r>
    </w:p>
    <w:p>
      <w:pPr>
        <w:spacing w:before="214"/>
        <w:ind w:left="2239" w:right="0" w:firstLine="0"/>
        <w:jc w:val="left"/>
        <w:rPr>
          <w:sz w:val="32"/>
        </w:rPr>
      </w:pPr>
      <w:r>
        <w:rPr>
          <w:sz w:val="32"/>
        </w:rPr>
        <w:t>基金托管人：中国建设银行股份有限公司</w:t>
      </w:r>
    </w:p>
    <w:p>
      <w:pPr>
        <w:spacing w:after="0"/>
        <w:jc w:val="left"/>
        <w:rPr>
          <w:sz w:val="32"/>
        </w:rPr>
        <w:sectPr>
          <w:type w:val="continuous"/>
          <w:pgSz w:w="11910" w:h="16840"/>
          <w:pgMar w:top="1580" w:bottom="280" w:left="1260" w:right="1480"/>
        </w:sectPr>
      </w:pPr>
    </w:p>
    <w:p>
      <w:pPr>
        <w:spacing w:before="110"/>
        <w:ind w:left="224" w:right="0" w:firstLine="0"/>
        <w:jc w:val="center"/>
        <w:rPr>
          <w:b/>
          <w:sz w:val="21"/>
        </w:rPr>
      </w:pPr>
      <w:r>
        <w:rPr>
          <w:b/>
          <w:sz w:val="21"/>
        </w:rPr>
        <w:t>重要提示</w:t>
      </w:r>
    </w:p>
    <w:p>
      <w:pPr>
        <w:pStyle w:val="BodyText"/>
        <w:spacing w:before="9"/>
        <w:rPr>
          <w:b/>
          <w:sz w:val="27"/>
        </w:rPr>
      </w:pPr>
    </w:p>
    <w:p>
      <w:pPr>
        <w:pStyle w:val="BodyText"/>
        <w:ind w:left="960"/>
        <w:rPr>
          <w:rFonts w:ascii="Times New Roman" w:hAnsi="Times New Roman" w:eastAsia="Times New Roman"/>
        </w:rPr>
      </w:pPr>
      <w:r>
        <w:rPr>
          <w:spacing w:val="-3"/>
        </w:rPr>
        <w:t>华夏创新前沿股票型证券投资基金（以下简称“本基金”</w:t>
      </w:r>
      <w:r>
        <w:rPr/>
        <w:t>）</w:t>
      </w:r>
      <w:r>
        <w:rPr>
          <w:spacing w:val="-6"/>
        </w:rPr>
        <w:t>已经中国证监会 </w:t>
      </w:r>
      <w:r>
        <w:rPr>
          <w:rFonts w:ascii="Times New Roman" w:hAnsi="Times New Roman" w:eastAsia="Times New Roman"/>
        </w:rPr>
        <w:t>2016</w:t>
      </w:r>
      <w:r>
        <w:rPr>
          <w:rFonts w:ascii="Times New Roman" w:hAnsi="Times New Roman" w:eastAsia="Times New Roman"/>
          <w:spacing w:val="32"/>
        </w:rPr>
        <w:t> </w:t>
      </w:r>
      <w:r>
        <w:rPr>
          <w:spacing w:val="-9"/>
        </w:rPr>
        <w:t>年 </w:t>
      </w:r>
      <w:r>
        <w:rPr>
          <w:rFonts w:ascii="Times New Roman" w:hAnsi="Times New Roman" w:eastAsia="Times New Roman"/>
        </w:rPr>
        <w:t>6</w:t>
      </w:r>
    </w:p>
    <w:p>
      <w:pPr>
        <w:pStyle w:val="BodyText"/>
        <w:spacing w:before="3"/>
        <w:rPr>
          <w:rFonts w:ascii="Times New Roman"/>
          <w:sz w:val="17"/>
        </w:rPr>
      </w:pPr>
    </w:p>
    <w:p>
      <w:pPr>
        <w:pStyle w:val="BodyText"/>
        <w:spacing w:line="417" w:lineRule="auto"/>
        <w:ind w:left="960" w:right="211" w:hanging="420"/>
      </w:pPr>
      <w:r>
        <w:rPr>
          <w:spacing w:val="-25"/>
        </w:rPr>
        <w:t>月 </w:t>
      </w:r>
      <w:r>
        <w:rPr>
          <w:rFonts w:ascii="Times New Roman" w:eastAsia="Times New Roman"/>
        </w:rPr>
        <w:t>24</w:t>
      </w:r>
      <w:r>
        <w:rPr>
          <w:rFonts w:ascii="Times New Roman" w:eastAsia="Times New Roman"/>
          <w:spacing w:val="1"/>
        </w:rPr>
        <w:t> </w:t>
      </w:r>
      <w:r>
        <w:rPr>
          <w:spacing w:val="-3"/>
        </w:rPr>
        <w:t>日证监许可</w:t>
      </w:r>
      <w:r>
        <w:rPr>
          <w:rFonts w:ascii="Times New Roman" w:eastAsia="Times New Roman"/>
        </w:rPr>
        <w:t>[2016]1416</w:t>
      </w:r>
      <w:r>
        <w:rPr>
          <w:rFonts w:ascii="Times New Roman" w:eastAsia="Times New Roman"/>
          <w:spacing w:val="4"/>
        </w:rPr>
        <w:t> </w:t>
      </w:r>
      <w:r>
        <w:rPr>
          <w:spacing w:val="-6"/>
        </w:rPr>
        <w:t>号文准予注册。本基金基金合同于 </w:t>
      </w:r>
      <w:r>
        <w:rPr>
          <w:rFonts w:ascii="Times New Roman" w:eastAsia="Times New Roman"/>
        </w:rPr>
        <w:t>2016</w:t>
      </w:r>
      <w:r>
        <w:rPr>
          <w:rFonts w:ascii="Times New Roman" w:eastAsia="Times New Roman"/>
          <w:spacing w:val="7"/>
        </w:rPr>
        <w:t> </w:t>
      </w:r>
      <w:r>
        <w:rPr>
          <w:spacing w:val="-25"/>
        </w:rPr>
        <w:t>年 </w:t>
      </w:r>
      <w:r>
        <w:rPr>
          <w:rFonts w:ascii="Times New Roman" w:eastAsia="Times New Roman"/>
        </w:rPr>
        <w:t>9</w:t>
      </w:r>
      <w:r>
        <w:rPr>
          <w:rFonts w:ascii="Times New Roman" w:eastAsia="Times New Roman"/>
          <w:spacing w:val="6"/>
        </w:rPr>
        <w:t> </w:t>
      </w:r>
      <w:r>
        <w:rPr>
          <w:spacing w:val="-25"/>
        </w:rPr>
        <w:t>月 </w:t>
      </w:r>
      <w:r>
        <w:rPr>
          <w:rFonts w:ascii="Times New Roman" w:eastAsia="Times New Roman"/>
        </w:rPr>
        <w:t>7</w:t>
      </w:r>
      <w:r>
        <w:rPr>
          <w:rFonts w:ascii="Times New Roman" w:eastAsia="Times New Roman"/>
          <w:spacing w:val="5"/>
        </w:rPr>
        <w:t> </w:t>
      </w:r>
      <w:r>
        <w:rPr/>
        <w:t>日正式生效。</w:t>
      </w:r>
      <w:r>
        <w:rPr>
          <w:spacing w:val="-8"/>
        </w:rPr>
        <w:t>基金管理人保证本招募说明书的内容真实、准确、完整。本招募说明书经中国证监会注</w:t>
      </w:r>
    </w:p>
    <w:p>
      <w:pPr>
        <w:pStyle w:val="BodyText"/>
        <w:spacing w:line="417" w:lineRule="auto"/>
        <w:ind w:left="540" w:right="311"/>
      </w:pPr>
      <w:r>
        <w:rPr>
          <w:spacing w:val="-11"/>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540" w:right="205"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4"/>
        </w:rPr>
        <w:t>在基金管理实施过程中产生的积极管理风险，本基金的特定风险等。本基金可投资存托凭证， </w:t>
      </w:r>
      <w:r>
        <w:rPr>
          <w:spacing w:val="-11"/>
        </w:rPr>
        <w:t>基金净值可能受到存托凭证的境外基础证券价格波动影响，存托凭证的境外基础证券的相关</w:t>
      </w:r>
      <w:r>
        <w:rPr>
          <w:spacing w:val="-6"/>
        </w:rPr>
        <w:t>风险可能直接或间接成为本基金的风险。本基金属于股票基金，风险与收益高于混合基金、</w:t>
      </w:r>
      <w:r>
        <w:rPr>
          <w:spacing w:val="-9"/>
        </w:rPr>
        <w:t>债券基金和货币市场基金。根据</w:t>
      </w:r>
      <w:r>
        <w:rPr>
          <w:rFonts w:ascii="Times New Roman" w:eastAsia="Times New Roman"/>
        </w:rPr>
        <w:t>2017 </w:t>
      </w:r>
      <w:r>
        <w:rPr>
          <w:spacing w:val="36"/>
        </w:rPr>
        <w:t>年</w:t>
      </w:r>
      <w:r>
        <w:rPr>
          <w:rFonts w:ascii="Times New Roman" w:eastAsia="Times New Roman"/>
        </w:rPr>
        <w:t>7 </w:t>
      </w:r>
      <w:r>
        <w:rPr>
          <w:spacing w:val="36"/>
        </w:rPr>
        <w:t>月</w:t>
      </w:r>
      <w:r>
        <w:rPr>
          <w:rFonts w:ascii="Times New Roman" w:eastAsia="Times New Roman"/>
        </w:rPr>
        <w:t>1 </w:t>
      </w:r>
      <w:r>
        <w:rPr>
          <w:spacing w:val="-18"/>
        </w:rPr>
        <w:t>日施行的《证券期货投资者适当性管理办法》， </w:t>
      </w:r>
      <w:r>
        <w:rPr>
          <w:spacing w:val="-11"/>
        </w:rPr>
        <w:t>基金管理人和销售机构已对本基金重新进行风险评级，风险评级行为不改变基金的实质性风</w:t>
      </w:r>
      <w:r>
        <w:rPr>
          <w:spacing w:val="-12"/>
        </w:rPr>
        <w:t>险收益特征，但由于风险分类标准的变化，本基金的风险等级表述可能有相应变化，具体风</w:t>
      </w:r>
      <w:r>
        <w:rPr>
          <w:spacing w:val="-10"/>
        </w:rPr>
        <w:t>险评级结果应以基金管理人和销售机构提供的评级结果为准。本基金可投资中小企业私募债</w:t>
      </w:r>
      <w:r>
        <w:rPr>
          <w:spacing w:val="-5"/>
        </w:rPr>
        <w:t>券，当基金所投资的中小企业私募债券之债务人出现违约，或在交易过程中发生交收违约， </w:t>
      </w:r>
      <w:r>
        <w:rPr>
          <w:spacing w:val="-8"/>
        </w:rPr>
        <w:t>或由于中小企业私募债券信用质量降低导致价格下降等，可能造成基金财产损失。此外，受</w:t>
      </w:r>
      <w:r>
        <w:rPr>
          <w:spacing w:val="-12"/>
        </w:rPr>
        <w:t>市场规模及交易活跃程度的影响，中小企业私募债券可能无法在同一价格水平上进行较大数</w:t>
      </w:r>
      <w:r>
        <w:rPr>
          <w:spacing w:val="-6"/>
        </w:rPr>
        <w:t>量的买入或卖出，存在一定的流动性风险，从而对基金收益造成影响。</w:t>
      </w:r>
    </w:p>
    <w:p>
      <w:pPr>
        <w:pStyle w:val="BodyText"/>
        <w:spacing w:line="417" w:lineRule="auto"/>
        <w:ind w:left="540" w:right="20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31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313" w:firstLine="419"/>
      </w:pPr>
      <w:r>
        <w:rPr>
          <w:spacing w:val="-9"/>
        </w:rPr>
        <w:t>基金管理人依照恪尽职守、诚实信用、谨慎勤勉的原则管理和运用基金财产，但不保证</w:t>
      </w:r>
      <w:r>
        <w:rPr>
          <w:spacing w:val="-5"/>
        </w:rPr>
        <w:t>基金一定盈利，也不保证最低收益。</w:t>
      </w:r>
    </w:p>
    <w:p>
      <w:pPr>
        <w:spacing w:after="0" w:line="417" w:lineRule="auto"/>
        <w:sectPr>
          <w:headerReference w:type="default" r:id="rId5"/>
          <w:footerReference w:type="default" r:id="rId6"/>
          <w:pgSz w:w="11910" w:h="16840"/>
          <w:pgMar w:header="877" w:footer="995" w:top="1420" w:bottom="1180" w:left="1260" w:right="1480"/>
          <w:pgNumType w:start="1"/>
        </w:sectPr>
      </w:pPr>
    </w:p>
    <w:p>
      <w:pPr>
        <w:pStyle w:val="BodyText"/>
        <w:spacing w:before="110"/>
        <w:ind w:left="960"/>
      </w:pPr>
      <w:r>
        <w:rPr/>
        <w:t>投资者应当认真阅读并完全理解基金合同规定的免责条款和规定的争议处理方式。</w:t>
      </w:r>
    </w:p>
    <w:p>
      <w:pPr>
        <w:pStyle w:val="BodyText"/>
        <w:spacing w:before="6"/>
        <w:rPr>
          <w:sz w:val="15"/>
        </w:rPr>
      </w:pPr>
    </w:p>
    <w:p>
      <w:pPr>
        <w:pStyle w:val="BodyText"/>
        <w:spacing w:line="417" w:lineRule="auto"/>
        <w:ind w:left="540" w:right="31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7" w:footer="995" w:top="1420" w:bottom="1180" w:left="1260" w:right="1480"/>
        </w:sectPr>
      </w:pPr>
    </w:p>
    <w:p>
      <w:pPr>
        <w:spacing w:before="110"/>
        <w:ind w:left="641" w:right="0" w:firstLine="0"/>
        <w:jc w:val="center"/>
        <w:rPr>
          <w:b/>
          <w:sz w:val="21"/>
        </w:rPr>
      </w:pPr>
      <w:r>
        <w:rPr>
          <w:b/>
          <w:sz w:val="21"/>
        </w:rPr>
        <w:t>目录</w:t>
      </w:r>
    </w:p>
    <w:sdt>
      <w:sdtPr>
        <w:docPartObj>
          <w:docPartGallery w:val="Table of Contents"/>
          <w:docPartUnique/>
        </w:docPartObj>
      </w:sdtPr>
      <w:sdtEndPr/>
      <w:sdtContent>
        <w:p>
          <w:pPr>
            <w:pStyle w:val="TOC1"/>
            <w:tabs>
              <w:tab w:pos="8838" w:val="right" w:leader="dot"/>
            </w:tabs>
            <w:spacing w:before="511"/>
            <w:rPr>
              <w:rFonts w:ascii="Times New Roman" w:eastAsia="Times New Roman"/>
            </w:rPr>
          </w:pPr>
          <w:hyperlink w:history="true" w:anchor="_bookmark0">
            <w:r>
              <w:rPr/>
              <w:t>一、</w:t>
            </w:r>
            <w:r>
              <w:rPr>
                <w:spacing w:val="-3"/>
              </w:rPr>
              <w:t>绪</w:t>
            </w:r>
            <w:r>
              <w:rPr/>
              <w:t>言</w:t>
              <w:tab/>
            </w:r>
            <w:r>
              <w:rPr>
                <w:rFonts w:ascii="Times New Roman" w:eastAsia="Times New Roman"/>
              </w:rPr>
              <w:t>4</w:t>
            </w:r>
          </w:hyperlink>
        </w:p>
        <w:p>
          <w:pPr>
            <w:pStyle w:val="TOC1"/>
            <w:tabs>
              <w:tab w:pos="883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83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8</w:t>
            </w:r>
          </w:hyperlink>
        </w:p>
        <w:p>
          <w:pPr>
            <w:pStyle w:val="TOC1"/>
            <w:tabs>
              <w:tab w:pos="8838" w:val="right" w:leader="dot"/>
            </w:tabs>
            <w:spacing w:before="198"/>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16</w:t>
            </w:r>
          </w:hyperlink>
        </w:p>
        <w:p>
          <w:pPr>
            <w:pStyle w:val="TOC1"/>
            <w:tabs>
              <w:tab w:pos="883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18</w:t>
            </w:r>
          </w:hyperlink>
        </w:p>
        <w:p>
          <w:pPr>
            <w:pStyle w:val="TOC1"/>
            <w:tabs>
              <w:tab w:pos="883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66</w:t>
            </w:r>
          </w:hyperlink>
        </w:p>
        <w:p>
          <w:pPr>
            <w:pStyle w:val="TOC1"/>
            <w:tabs>
              <w:tab w:pos="883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66</w:t>
            </w:r>
          </w:hyperlink>
        </w:p>
        <w:p>
          <w:pPr>
            <w:pStyle w:val="TOC1"/>
            <w:tabs>
              <w:tab w:pos="883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67</w:t>
            </w:r>
          </w:hyperlink>
        </w:p>
        <w:p>
          <w:pPr>
            <w:pStyle w:val="TOC1"/>
            <w:tabs>
              <w:tab w:pos="883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92</w:t>
            </w:r>
          </w:hyperlink>
        </w:p>
        <w:p>
          <w:pPr>
            <w:pStyle w:val="TOC1"/>
            <w:tabs>
              <w:tab w:pos="8841"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102</w:t>
            </w:r>
          </w:hyperlink>
        </w:p>
        <w:p>
          <w:pPr>
            <w:pStyle w:val="TOC1"/>
            <w:tabs>
              <w:tab w:pos="8841"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102</w:t>
            </w:r>
          </w:hyperlink>
        </w:p>
        <w:p>
          <w:pPr>
            <w:pStyle w:val="TOC1"/>
            <w:tabs>
              <w:tab w:pos="8841"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103</w:t>
            </w:r>
          </w:hyperlink>
        </w:p>
        <w:p>
          <w:pPr>
            <w:pStyle w:val="TOC1"/>
            <w:tabs>
              <w:tab w:pos="8841" w:val="right" w:leader="dot"/>
            </w:tabs>
            <w:spacing w:before="198"/>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108</w:t>
            </w:r>
          </w:hyperlink>
        </w:p>
        <w:p>
          <w:pPr>
            <w:pStyle w:val="TOC1"/>
            <w:tabs>
              <w:tab w:pos="8841" w:val="right" w:leader="dot"/>
            </w:tabs>
            <w:spacing w:before="200"/>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109</w:t>
            </w:r>
          </w:hyperlink>
        </w:p>
        <w:p>
          <w:pPr>
            <w:pStyle w:val="TOC1"/>
            <w:tabs>
              <w:tab w:pos="8833"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spacing w:val="-8"/>
              </w:rPr>
              <w:t>111</w:t>
            </w:r>
          </w:hyperlink>
        </w:p>
        <w:p>
          <w:pPr>
            <w:pStyle w:val="TOC1"/>
            <w:tabs>
              <w:tab w:pos="8833"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spacing w:val="-8"/>
              </w:rPr>
              <w:t>111</w:t>
            </w:r>
          </w:hyperlink>
        </w:p>
        <w:p>
          <w:pPr>
            <w:pStyle w:val="TOC1"/>
            <w:tabs>
              <w:tab w:pos="8841"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spacing w:val="-3"/>
              </w:rPr>
              <w:t>117</w:t>
            </w:r>
          </w:hyperlink>
        </w:p>
        <w:p>
          <w:pPr>
            <w:pStyle w:val="TOC1"/>
            <w:tabs>
              <w:tab w:pos="8841" w:val="right" w:leader="dot"/>
            </w:tabs>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122</w:t>
            </w:r>
          </w:hyperlink>
        </w:p>
        <w:p>
          <w:pPr>
            <w:pStyle w:val="TOC1"/>
            <w:tabs>
              <w:tab w:pos="8841"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123</w:t>
            </w:r>
          </w:hyperlink>
        </w:p>
        <w:p>
          <w:pPr>
            <w:pStyle w:val="TOC1"/>
            <w:tabs>
              <w:tab w:pos="8841" w:val="right" w:leader="dot"/>
            </w:tabs>
            <w:spacing w:before="198"/>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137</w:t>
            </w:r>
          </w:hyperlink>
        </w:p>
        <w:p>
          <w:pPr>
            <w:pStyle w:val="TOC1"/>
            <w:tabs>
              <w:tab w:pos="8841" w:val="right" w:leader="dot"/>
            </w:tabs>
            <w:spacing w:before="200"/>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147</w:t>
            </w:r>
          </w:hyperlink>
        </w:p>
        <w:p>
          <w:pPr>
            <w:pStyle w:val="TOC1"/>
            <w:tabs>
              <w:tab w:pos="8841" w:val="right" w:leader="dot"/>
            </w:tabs>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149</w:t>
            </w:r>
          </w:hyperlink>
        </w:p>
        <w:p>
          <w:pPr>
            <w:pStyle w:val="TOC1"/>
            <w:tabs>
              <w:tab w:pos="8841" w:val="right" w:leader="dot"/>
            </w:tabs>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149</w:t>
            </w:r>
          </w:hyperlink>
        </w:p>
        <w:p>
          <w:pPr>
            <w:pStyle w:val="TOC1"/>
            <w:tabs>
              <w:tab w:pos="8841" w:val="right" w:leader="dot"/>
            </w:tabs>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149</w:t>
            </w:r>
          </w:hyperlink>
        </w:p>
      </w:sdtContent>
    </w:sdt>
    <w:p>
      <w:pPr>
        <w:spacing w:after="0"/>
        <w:rPr>
          <w:rFonts w:ascii="Times New Roman" w:eastAsia="Times New Roman"/>
        </w:rPr>
        <w:sectPr>
          <w:pgSz w:w="11910" w:h="16840"/>
          <w:pgMar w:header="877" w:footer="995" w:top="1420" w:bottom="1180" w:left="1260" w:right="1480"/>
        </w:sectPr>
      </w:pPr>
    </w:p>
    <w:p>
      <w:pPr>
        <w:pStyle w:val="Heading1"/>
        <w:spacing w:before="110"/>
      </w:pPr>
      <w:bookmarkStart w:name="_bookmark0" w:id="1"/>
      <w:bookmarkEnd w:id="1"/>
      <w:r>
        <w:rPr>
          <w:b w:val="0"/>
        </w:rPr>
      </w:r>
      <w:r>
        <w:rPr/>
        <w:t>一、绪言</w:t>
      </w:r>
    </w:p>
    <w:p>
      <w:pPr>
        <w:pStyle w:val="BodyText"/>
        <w:rPr>
          <w:b/>
          <w:sz w:val="20"/>
        </w:rPr>
      </w:pPr>
    </w:p>
    <w:p>
      <w:pPr>
        <w:pStyle w:val="BodyText"/>
        <w:spacing w:before="3"/>
        <w:rPr>
          <w:b/>
          <w:sz w:val="14"/>
        </w:rPr>
      </w:pPr>
    </w:p>
    <w:p>
      <w:pPr>
        <w:pStyle w:val="BodyText"/>
        <w:spacing w:line="417" w:lineRule="auto"/>
        <w:ind w:left="540" w:right="205" w:firstLine="419"/>
      </w:pPr>
      <w:r>
        <w:rPr>
          <w:spacing w:val="-8"/>
        </w:rPr>
        <w:t>《华夏创新前沿股票型证券投资基金招募说明书</w:t>
      </w:r>
      <w:r>
        <w:rPr/>
        <w:t>（</w:t>
      </w:r>
      <w:r>
        <w:rPr>
          <w:spacing w:val="-2"/>
        </w:rPr>
        <w:t>更新</w:t>
      </w:r>
      <w:r>
        <w:rPr>
          <w:spacing w:val="-106"/>
        </w:rPr>
        <w:t>）</w:t>
      </w:r>
      <w:r>
        <w:rPr>
          <w:spacing w:val="-207"/>
        </w:rPr>
        <w:t>》</w:t>
      </w:r>
      <w:r>
        <w:rPr/>
        <w:t>（</w:t>
      </w:r>
      <w:r>
        <w:rPr>
          <w:spacing w:val="-3"/>
        </w:rPr>
        <w:t>以下简称“本招募说明书”</w:t>
      </w:r>
      <w:r>
        <w:rPr/>
        <w:t>） </w:t>
      </w:r>
      <w:r>
        <w:rPr>
          <w:spacing w:val="-9"/>
          <w:w w:val="100"/>
        </w:rPr>
        <w:t>依据《中华人民共和国证券投资基金法》</w:t>
      </w:r>
      <w:r>
        <w:rPr>
          <w:w w:val="100"/>
        </w:rPr>
        <w:t>（</w:t>
      </w:r>
      <w:r>
        <w:rPr>
          <w:spacing w:val="-3"/>
          <w:w w:val="100"/>
        </w:rPr>
        <w:t>以下简称“《基金法》”</w:t>
      </w:r>
      <w:r>
        <w:rPr>
          <w:spacing w:val="-106"/>
          <w:w w:val="100"/>
        </w:rPr>
        <w:t>）</w:t>
      </w:r>
      <w:r>
        <w:rPr>
          <w:spacing w:val="-14"/>
          <w:w w:val="100"/>
        </w:rPr>
        <w:t>、《证券投资基金销售</w:t>
      </w:r>
      <w:r>
        <w:rPr>
          <w:spacing w:val="-33"/>
          <w:w w:val="100"/>
        </w:rPr>
        <w:t>管理办法》</w:t>
      </w:r>
      <w:r>
        <w:rPr>
          <w:w w:val="100"/>
        </w:rPr>
        <w:t>（</w:t>
      </w:r>
      <w:r>
        <w:rPr>
          <w:spacing w:val="-8"/>
          <w:w w:val="100"/>
        </w:rPr>
        <w:t>以下简称“《销售办法》”</w:t>
      </w:r>
      <w:r>
        <w:rPr>
          <w:spacing w:val="-106"/>
          <w:w w:val="100"/>
        </w:rPr>
        <w:t>）</w:t>
      </w:r>
      <w:r>
        <w:rPr>
          <w:spacing w:val="-13"/>
          <w:w w:val="100"/>
        </w:rPr>
        <w:t>、《公开募集证券投资基金运作管理办法</w:t>
      </w:r>
      <w:r>
        <w:rPr>
          <w:spacing w:val="-128"/>
          <w:w w:val="100"/>
        </w:rPr>
        <w:t>》</w:t>
      </w:r>
      <w:r>
        <w:rPr>
          <w:w w:val="100"/>
        </w:rPr>
        <w:t>（</w:t>
      </w:r>
      <w:r>
        <w:rPr>
          <w:spacing w:val="-2"/>
          <w:w w:val="100"/>
        </w:rPr>
        <w:t>以下简</w:t>
      </w:r>
      <w:r>
        <w:rPr>
          <w:spacing w:val="-3"/>
          <w:w w:val="100"/>
        </w:rPr>
        <w:t>称“《运作办法》”</w:t>
      </w:r>
      <w:r>
        <w:rPr>
          <w:spacing w:val="-106"/>
          <w:w w:val="100"/>
        </w:rPr>
        <w:t>）</w:t>
      </w:r>
      <w:r>
        <w:rPr>
          <w:spacing w:val="-18"/>
          <w:w w:val="100"/>
        </w:rPr>
        <w:t>、《公开募集证券投资基金信息披露管理办法》</w:t>
      </w:r>
      <w:r>
        <w:rPr>
          <w:spacing w:val="-3"/>
          <w:w w:val="100"/>
        </w:rPr>
        <w:t>（</w:t>
      </w:r>
      <w:r>
        <w:rPr>
          <w:spacing w:val="-2"/>
          <w:w w:val="100"/>
        </w:rPr>
        <w:t>以下简称“《信息披露办法》”</w:t>
      </w:r>
      <w:r>
        <w:rPr>
          <w:spacing w:val="-106"/>
          <w:w w:val="100"/>
        </w:rPr>
        <w:t>）</w:t>
      </w:r>
      <w:r>
        <w:rPr>
          <w:spacing w:val="-11"/>
          <w:w w:val="100"/>
        </w:rPr>
        <w:t>、《公开募集开放式证券投资基金流动性风险管理规定》</w:t>
      </w:r>
      <w:r>
        <w:rPr>
          <w:rFonts w:ascii="Times New Roman" w:hAnsi="Times New Roman" w:eastAsia="Times New Roman"/>
          <w:spacing w:val="-1"/>
          <w:w w:val="100"/>
        </w:rPr>
        <w:t>(</w:t>
      </w:r>
      <w:r>
        <w:rPr>
          <w:w w:val="100"/>
        </w:rPr>
        <w:t>以下简称“《流动性</w:t>
      </w:r>
      <w:r>
        <w:rPr>
          <w:spacing w:val="-8"/>
        </w:rPr>
        <w:t>风险管理规定》”</w:t>
      </w:r>
      <w:r>
        <w:rPr>
          <w:rFonts w:ascii="Times New Roman" w:hAnsi="Times New Roman" w:eastAsia="Times New Roman"/>
        </w:rPr>
        <w:t>)</w:t>
      </w:r>
      <w:r>
        <w:rPr>
          <w:spacing w:val="-11"/>
        </w:rPr>
        <w:t>及其他有关规定以及《华夏创新前沿股票型证券投资基金基金合同》</w:t>
      </w:r>
      <w:r>
        <w:rPr>
          <w:spacing w:val="-3"/>
        </w:rPr>
        <w:t>（</w:t>
      </w:r>
      <w:r>
        <w:rPr/>
        <w:t>以</w:t>
      </w:r>
      <w:r>
        <w:rPr>
          <w:spacing w:val="-3"/>
        </w:rPr>
        <w:t>下简称“基金合同”</w:t>
      </w:r>
      <w:r>
        <w:rPr/>
        <w:t>）</w:t>
      </w:r>
      <w:r>
        <w:rPr>
          <w:spacing w:val="-2"/>
        </w:rPr>
        <w:t>编写。</w:t>
      </w:r>
    </w:p>
    <w:p>
      <w:pPr>
        <w:pStyle w:val="BodyText"/>
        <w:spacing w:line="417" w:lineRule="auto"/>
        <w:ind w:left="540" w:right="31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40" w:right="31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6"/>
        <w:rPr>
          <w:sz w:val="26"/>
        </w:rPr>
      </w:pPr>
    </w:p>
    <w:p>
      <w:pPr>
        <w:pStyle w:val="Heading1"/>
      </w:pPr>
      <w:bookmarkStart w:name="_bookmark1" w:id="2"/>
      <w:bookmarkEnd w:id="2"/>
      <w:r>
        <w:rPr>
          <w:b w:val="0"/>
        </w:rPr>
      </w:r>
      <w:r>
        <w:rPr/>
        <w:t>二、释义</w:t>
      </w:r>
    </w:p>
    <w:p>
      <w:pPr>
        <w:pStyle w:val="BodyText"/>
        <w:rPr>
          <w:b/>
          <w:sz w:val="20"/>
        </w:rPr>
      </w:pPr>
    </w:p>
    <w:p>
      <w:pPr>
        <w:pStyle w:val="BodyText"/>
        <w:spacing w:before="2"/>
        <w:rPr>
          <w:b/>
        </w:rPr>
      </w:pPr>
    </w:p>
    <w:p>
      <w:pPr>
        <w:pStyle w:val="BodyText"/>
        <w:spacing w:before="1"/>
        <w:ind w:left="960"/>
      </w:pPr>
      <w:r>
        <w:rPr/>
        <w:t>本招募说明书中，除非文意另有所指，下列词语或简称具有如下含义：</w:t>
      </w:r>
    </w:p>
    <w:p>
      <w:pPr>
        <w:pStyle w:val="BodyText"/>
        <w:spacing w:before="6"/>
        <w:rPr>
          <w:sz w:val="15"/>
        </w:rPr>
      </w:pPr>
    </w:p>
    <w:p>
      <w:pPr>
        <w:pStyle w:val="BodyText"/>
        <w:ind w:left="960"/>
      </w:pPr>
      <w:r>
        <w:rPr>
          <w:rFonts w:ascii="Times New Roman" w:eastAsia="Times New Roman"/>
        </w:rPr>
        <w:t>1</w:t>
      </w:r>
      <w:r>
        <w:rPr/>
        <w:t>、基金或本基金：指华夏创新前沿股票型证券投资基金。</w:t>
      </w:r>
    </w:p>
    <w:p>
      <w:pPr>
        <w:pStyle w:val="BodyText"/>
        <w:spacing w:before="7"/>
        <w:rPr>
          <w:sz w:val="15"/>
        </w:rPr>
      </w:pPr>
    </w:p>
    <w:p>
      <w:pPr>
        <w:pStyle w:val="BodyText"/>
        <w:ind w:left="960"/>
      </w:pPr>
      <w:r>
        <w:rPr>
          <w:rFonts w:ascii="Times New Roman" w:eastAsia="Times New Roman"/>
        </w:rPr>
        <w:t>2</w:t>
      </w:r>
      <w:r>
        <w:rPr/>
        <w:t>、基金管理人：指华夏基金管理有限公司。</w:t>
      </w:r>
    </w:p>
    <w:p>
      <w:pPr>
        <w:pStyle w:val="BodyText"/>
        <w:spacing w:before="7"/>
        <w:rPr>
          <w:sz w:val="15"/>
        </w:rPr>
      </w:pPr>
    </w:p>
    <w:p>
      <w:pPr>
        <w:pStyle w:val="BodyText"/>
        <w:ind w:left="960"/>
      </w:pPr>
      <w:r>
        <w:rPr>
          <w:rFonts w:ascii="Times New Roman" w:eastAsia="Times New Roman"/>
        </w:rPr>
        <w:t>3</w:t>
      </w:r>
      <w:r>
        <w:rPr/>
        <w:t>、基金托管人：指中国建设银行股份有限公司。</w:t>
      </w:r>
    </w:p>
    <w:p>
      <w:pPr>
        <w:pStyle w:val="BodyText"/>
        <w:spacing w:before="6"/>
        <w:rPr>
          <w:sz w:val="15"/>
        </w:rPr>
      </w:pPr>
    </w:p>
    <w:p>
      <w:pPr>
        <w:pStyle w:val="BodyText"/>
        <w:spacing w:line="417" w:lineRule="auto" w:before="1"/>
        <w:ind w:left="540" w:right="314" w:firstLine="419"/>
      </w:pPr>
      <w:r>
        <w:rPr>
          <w:rFonts w:ascii="Times New Roman" w:eastAsia="Times New Roman"/>
        </w:rPr>
        <w:t>4</w:t>
      </w:r>
      <w:r>
        <w:rPr>
          <w:spacing w:val="-16"/>
        </w:rPr>
        <w:t>、基金合同、《基金合同》：指《华夏创新前沿股票型证券投资基金基金合同》及对基</w:t>
      </w:r>
      <w:r>
        <w:rPr>
          <w:spacing w:val="-7"/>
        </w:rPr>
        <w:t>金合同的任何有效修订和补充。</w:t>
      </w:r>
    </w:p>
    <w:p>
      <w:pPr>
        <w:pStyle w:val="BodyText"/>
        <w:ind w:left="960"/>
      </w:pPr>
      <w:r>
        <w:rPr>
          <w:rFonts w:ascii="Times New Roman" w:eastAsia="Times New Roman"/>
        </w:rPr>
        <w:t>5</w:t>
      </w:r>
      <w:r>
        <w:rPr/>
        <w:t>、托管协议：指基金管理人与基金托管人就本基金签订之《华夏创新前沿股票型证券</w:t>
      </w:r>
    </w:p>
    <w:p>
      <w:pPr>
        <w:spacing w:after="0"/>
        <w:sectPr>
          <w:pgSz w:w="11910" w:h="16840"/>
          <w:pgMar w:header="877" w:footer="995" w:top="1420" w:bottom="1180" w:left="1260" w:right="1480"/>
        </w:sectPr>
      </w:pPr>
    </w:p>
    <w:p>
      <w:pPr>
        <w:pStyle w:val="BodyText"/>
        <w:spacing w:before="110"/>
        <w:ind w:left="540"/>
      </w:pPr>
      <w:r>
        <w:rPr/>
        <w:t>投资基金托管协议》及对该托管协议的任何有效修订和补充。</w:t>
      </w:r>
    </w:p>
    <w:p>
      <w:pPr>
        <w:pStyle w:val="BodyText"/>
        <w:spacing w:before="6"/>
        <w:rPr>
          <w:sz w:val="15"/>
        </w:rPr>
      </w:pPr>
    </w:p>
    <w:p>
      <w:pPr>
        <w:pStyle w:val="BodyText"/>
        <w:ind w:left="960"/>
      </w:pPr>
      <w:r>
        <w:rPr>
          <w:rFonts w:ascii="Times New Roman" w:eastAsia="Times New Roman"/>
        </w:rPr>
        <w:t>6</w:t>
      </w:r>
      <w:r>
        <w:rPr/>
        <w:t>、招募说明书：指《华夏创新前沿股票型证券投资基金招募说明书》及其更新。</w:t>
      </w:r>
    </w:p>
    <w:p>
      <w:pPr>
        <w:pStyle w:val="BodyText"/>
        <w:spacing w:before="7"/>
        <w:rPr>
          <w:sz w:val="15"/>
        </w:rPr>
      </w:pPr>
    </w:p>
    <w:p>
      <w:pPr>
        <w:pStyle w:val="BodyText"/>
        <w:ind w:left="960"/>
      </w:pPr>
      <w:r>
        <w:rPr>
          <w:rFonts w:ascii="Times New Roman" w:eastAsia="Times New Roman"/>
        </w:rPr>
        <w:t>7</w:t>
      </w:r>
      <w:r>
        <w:rPr/>
        <w:t>、基金份额发售公告：指《华夏创新前沿股票型证券投资基金基金份额发售公告》。</w:t>
      </w:r>
    </w:p>
    <w:p>
      <w:pPr>
        <w:pStyle w:val="BodyText"/>
        <w:spacing w:before="7"/>
        <w:rPr>
          <w:sz w:val="15"/>
        </w:rPr>
      </w:pPr>
    </w:p>
    <w:p>
      <w:pPr>
        <w:pStyle w:val="BodyText"/>
        <w:spacing w:line="417" w:lineRule="auto"/>
        <w:ind w:left="540" w:right="31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line="269" w:lineRule="exact"/>
        <w:ind w:left="960"/>
      </w:pPr>
      <w:r>
        <w:rPr>
          <w:rFonts w:ascii="Times New Roman" w:eastAsia="Times New Roman"/>
        </w:rPr>
        <w:t>9</w:t>
      </w:r>
      <w:r>
        <w:rPr>
          <w:spacing w:val="-24"/>
        </w:rPr>
        <w:t>、《基金法》：指《中华人民共和国证券投资基金法》及颁布机关对其不时做出的修订。</w:t>
      </w:r>
    </w:p>
    <w:p>
      <w:pPr>
        <w:pStyle w:val="BodyText"/>
        <w:spacing w:before="7"/>
        <w:rPr>
          <w:sz w:val="15"/>
        </w:rPr>
      </w:pPr>
    </w:p>
    <w:p>
      <w:pPr>
        <w:pStyle w:val="BodyText"/>
        <w:ind w:left="960"/>
      </w:pPr>
      <w:r>
        <w:rPr>
          <w:rFonts w:ascii="Times New Roman" w:eastAsia="Times New Roman"/>
        </w:rPr>
        <w:t>10</w:t>
      </w:r>
      <w:r>
        <w:rPr/>
        <w:t>、《销售办法》：指《证券投资基金销售管理办法》及颁布机关对其不时做出的修订。</w:t>
      </w:r>
    </w:p>
    <w:p>
      <w:pPr>
        <w:pStyle w:val="BodyText"/>
        <w:spacing w:before="7"/>
        <w:rPr>
          <w:sz w:val="15"/>
        </w:rPr>
      </w:pPr>
    </w:p>
    <w:p>
      <w:pPr>
        <w:pStyle w:val="BodyText"/>
        <w:spacing w:line="417" w:lineRule="auto"/>
        <w:ind w:left="540" w:right="31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31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540" w:right="20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spacing w:line="269" w:lineRule="exact"/>
        <w:ind w:left="960"/>
      </w:pPr>
      <w:r>
        <w:rPr>
          <w:rFonts w:ascii="Times New Roman" w:eastAsia="Times New Roman"/>
        </w:rPr>
        <w:t>14</w:t>
      </w:r>
      <w:r>
        <w:rPr/>
        <w:t>、中国证监会：指中国证券监督管理委员会。</w:t>
      </w:r>
    </w:p>
    <w:p>
      <w:pPr>
        <w:pStyle w:val="BodyText"/>
        <w:spacing w:before="6"/>
        <w:rPr>
          <w:sz w:val="15"/>
        </w:rPr>
      </w:pPr>
    </w:p>
    <w:p>
      <w:pPr>
        <w:pStyle w:val="BodyText"/>
        <w:spacing w:before="1"/>
        <w:ind w:left="96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6"/>
        <w:rPr>
          <w:sz w:val="15"/>
        </w:rPr>
      </w:pPr>
    </w:p>
    <w:p>
      <w:pPr>
        <w:pStyle w:val="BodyText"/>
        <w:spacing w:line="417" w:lineRule="auto"/>
        <w:ind w:left="540" w:right="31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6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540" w:right="31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21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540" w:right="210" w:firstLine="419"/>
      </w:pPr>
      <w:r>
        <w:rPr>
          <w:rFonts w:ascii="Times New Roman" w:eastAsia="Times New Roman"/>
        </w:rPr>
        <w:t>20</w:t>
      </w:r>
      <w:r>
        <w:rPr>
          <w:spacing w:val="-11"/>
        </w:rPr>
        <w:t>、人民币合格境外机构投资者：指按照《人民币合格境外机构投资者境内证券投资试</w:t>
      </w:r>
      <w:r>
        <w:rPr>
          <w:spacing w:val="-6"/>
        </w:rPr>
        <w:t>点办法》及相关法律法规规定，运用来自境外的人民币资金进行境内证券投资的境外法人。</w:t>
      </w:r>
    </w:p>
    <w:p>
      <w:pPr>
        <w:pStyle w:val="BodyText"/>
        <w:spacing w:line="417" w:lineRule="auto"/>
        <w:ind w:left="540" w:right="31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spacing w:line="269" w:lineRule="exact"/>
        <w:ind w:left="960"/>
      </w:pPr>
      <w:r>
        <w:rPr>
          <w:rFonts w:ascii="Times New Roman" w:eastAsia="Times New Roman"/>
        </w:rPr>
        <w:t>22</w:t>
      </w:r>
      <w:r>
        <w:rPr/>
        <w:t>、基金份额持有人：指依基金合同和招募说明书合法取得基金份额的投资人。</w:t>
      </w:r>
    </w:p>
    <w:p>
      <w:pPr>
        <w:pStyle w:val="BodyText"/>
        <w:spacing w:before="6"/>
        <w:rPr>
          <w:sz w:val="15"/>
        </w:rPr>
      </w:pPr>
    </w:p>
    <w:p>
      <w:pPr>
        <w:pStyle w:val="BodyText"/>
        <w:spacing w:line="417" w:lineRule="auto"/>
        <w:ind w:left="540" w:right="311" w:firstLine="419"/>
      </w:pPr>
      <w:r>
        <w:rPr>
          <w:rFonts w:ascii="Times New Roman" w:eastAsia="Times New Roman"/>
        </w:rPr>
        <w:t>23</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ind w:left="960"/>
      </w:pPr>
      <w:r>
        <w:rPr>
          <w:rFonts w:ascii="Times New Roman" w:eastAsia="Times New Roman"/>
        </w:rPr>
        <w:t>24</w:t>
      </w:r>
      <w:r>
        <w:rPr/>
        <w:t>、销售机构：指华夏基金管理有限公司以及符合《销售办法》和中国证监会规定的其</w:t>
      </w:r>
    </w:p>
    <w:p>
      <w:pPr>
        <w:spacing w:after="0"/>
        <w:sectPr>
          <w:pgSz w:w="11910" w:h="16840"/>
          <w:pgMar w:header="877" w:footer="995" w:top="1420" w:bottom="1180" w:left="1260" w:right="1480"/>
        </w:sectPr>
      </w:pPr>
    </w:p>
    <w:p>
      <w:pPr>
        <w:pStyle w:val="BodyText"/>
        <w:spacing w:line="417" w:lineRule="auto" w:before="110"/>
        <w:ind w:left="540" w:right="311"/>
      </w:pPr>
      <w:r>
        <w:rPr>
          <w:spacing w:val="-10"/>
        </w:rPr>
        <w:t>他条件，取得基金销售业务资格并与基金管理人签订了基金销售服务代理协议，代为办理基</w:t>
      </w:r>
      <w:r>
        <w:rPr>
          <w:spacing w:val="-5"/>
        </w:rPr>
        <w:t>金销售业务的机构。</w:t>
      </w:r>
    </w:p>
    <w:p>
      <w:pPr>
        <w:pStyle w:val="BodyText"/>
        <w:spacing w:line="417" w:lineRule="auto"/>
        <w:ind w:left="540" w:right="311" w:firstLine="419"/>
        <w:jc w:val="both"/>
      </w:pPr>
      <w:r>
        <w:rPr>
          <w:rFonts w:ascii="Times New Roman" w:eastAsia="Times New Roman"/>
        </w:rPr>
        <w:t>25</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311" w:firstLine="419"/>
      </w:pPr>
      <w:r>
        <w:rPr>
          <w:rFonts w:ascii="Times New Roman" w:eastAsia="Times New Roman"/>
        </w:rPr>
        <w:t>26</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311" w:firstLine="419"/>
      </w:pPr>
      <w:r>
        <w:rPr>
          <w:rFonts w:ascii="Times New Roman" w:eastAsia="Times New Roman"/>
        </w:rPr>
        <w:t>27</w:t>
      </w:r>
      <w:r>
        <w:rPr>
          <w:spacing w:val="-11"/>
        </w:rPr>
        <w:t>、基金账户：指登记机构为投资人开立的、记录其持有的、由该登记机构办理登记的</w:t>
      </w:r>
      <w:r>
        <w:rPr>
          <w:spacing w:val="-6"/>
        </w:rPr>
        <w:t>基金份额余额及其变动情况的账户。</w:t>
      </w:r>
    </w:p>
    <w:p>
      <w:pPr>
        <w:pStyle w:val="BodyText"/>
        <w:spacing w:line="417" w:lineRule="auto"/>
        <w:ind w:left="540" w:right="311" w:firstLine="419"/>
      </w:pPr>
      <w:r>
        <w:rPr>
          <w:rFonts w:ascii="Times New Roman" w:eastAsia="Times New Roman"/>
        </w:rPr>
        <w:t>28</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540" w:right="315" w:firstLine="419"/>
      </w:pPr>
      <w:r>
        <w:rPr>
          <w:rFonts w:ascii="Times New Roman" w:eastAsia="Times New Roman"/>
        </w:rPr>
        <w:t>29</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540" w:right="311" w:firstLine="419"/>
      </w:pPr>
      <w:r>
        <w:rPr>
          <w:rFonts w:ascii="Times New Roman" w:eastAsia="Times New Roman"/>
        </w:rPr>
        <w:t>30</w:t>
      </w:r>
      <w:r>
        <w:rPr>
          <w:spacing w:val="-20"/>
        </w:rPr>
        <w:t>、基金合同终止日：指基金合同规定的基金合同终止事由出现后，基金财产清算完毕， </w:t>
      </w:r>
      <w:r>
        <w:rPr>
          <w:spacing w:val="-8"/>
        </w:rPr>
        <w:t>清算结果报中国证监会备案并予以公告的日期。</w:t>
      </w:r>
    </w:p>
    <w:p>
      <w:pPr>
        <w:pStyle w:val="BodyText"/>
        <w:ind w:left="960"/>
        <w:rPr>
          <w:rFonts w:ascii="Times New Roman" w:eastAsia="Times New Roman"/>
        </w:rPr>
      </w:pPr>
      <w:r>
        <w:rPr>
          <w:rFonts w:ascii="Times New Roman" w:eastAsia="Times New Roman"/>
        </w:rPr>
        <w:t>31</w:t>
      </w:r>
      <w:r>
        <w:rPr/>
        <w:t>、基金募集期：指自基金份额发售之日起至发售结束之日止的期间，最长不得超过 </w:t>
      </w:r>
      <w:r>
        <w:rPr>
          <w:rFonts w:ascii="Times New Roman" w:eastAsia="Times New Roman"/>
        </w:rPr>
        <w:t>3</w:t>
      </w:r>
    </w:p>
    <w:p>
      <w:pPr>
        <w:pStyle w:val="BodyText"/>
        <w:spacing w:before="197"/>
        <w:ind w:left="540"/>
      </w:pPr>
      <w:r>
        <w:rPr/>
        <w:t>个月。</w:t>
      </w:r>
    </w:p>
    <w:p>
      <w:pPr>
        <w:pStyle w:val="BodyText"/>
        <w:spacing w:before="7"/>
        <w:rPr>
          <w:sz w:val="15"/>
        </w:rPr>
      </w:pPr>
    </w:p>
    <w:p>
      <w:pPr>
        <w:pStyle w:val="BodyText"/>
        <w:ind w:left="960"/>
      </w:pPr>
      <w:r>
        <w:rPr>
          <w:rFonts w:ascii="Times New Roman" w:eastAsia="Times New Roman"/>
        </w:rPr>
        <w:t>32</w:t>
      </w:r>
      <w:r>
        <w:rPr/>
        <w:t>、存续期：指基金合同生效至终止之间的不定期期限。</w:t>
      </w:r>
    </w:p>
    <w:p>
      <w:pPr>
        <w:pStyle w:val="BodyText"/>
        <w:spacing w:before="6"/>
        <w:rPr>
          <w:sz w:val="15"/>
        </w:rPr>
      </w:pPr>
    </w:p>
    <w:p>
      <w:pPr>
        <w:pStyle w:val="BodyText"/>
        <w:spacing w:before="1"/>
        <w:ind w:left="960"/>
      </w:pPr>
      <w:r>
        <w:rPr>
          <w:rFonts w:ascii="Times New Roman" w:eastAsia="Times New Roman"/>
        </w:rPr>
        <w:t>33</w:t>
      </w:r>
      <w:r>
        <w:rPr/>
        <w:t>、工作日：指上海证券交易所、深圳证券交易所的正常交易日。</w:t>
      </w:r>
    </w:p>
    <w:p>
      <w:pPr>
        <w:pStyle w:val="BodyText"/>
        <w:spacing w:before="6"/>
        <w:rPr>
          <w:sz w:val="15"/>
        </w:rPr>
      </w:pPr>
    </w:p>
    <w:p>
      <w:pPr>
        <w:pStyle w:val="BodyText"/>
        <w:ind w:left="960"/>
      </w:pPr>
      <w:r>
        <w:rPr>
          <w:rFonts w:ascii="Times New Roman" w:eastAsia="Times New Roman"/>
        </w:rPr>
        <w:t>34</w:t>
      </w:r>
      <w:r>
        <w:rPr/>
        <w:t>、</w:t>
      </w:r>
      <w:r>
        <w:rPr>
          <w:rFonts w:ascii="Times New Roman" w:eastAsia="Times New Roman"/>
        </w:rPr>
        <w:t>T </w:t>
      </w:r>
      <w:r>
        <w:rPr/>
        <w:t>日：指销售机构在规定时间受理投资人申购、赎回或其他业务申请的开放日。</w:t>
      </w:r>
    </w:p>
    <w:p>
      <w:pPr>
        <w:pStyle w:val="BodyText"/>
        <w:spacing w:before="7"/>
        <w:rPr>
          <w:sz w:val="15"/>
        </w:rPr>
      </w:pPr>
    </w:p>
    <w:p>
      <w:pPr>
        <w:pStyle w:val="BodyText"/>
        <w:ind w:left="960"/>
      </w:pPr>
      <w:r>
        <w:rPr>
          <w:rFonts w:ascii="Times New Roman" w:eastAsia="Times New Roman"/>
        </w:rPr>
        <w:t>35</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7"/>
        <w:rPr>
          <w:sz w:val="15"/>
        </w:rPr>
      </w:pPr>
    </w:p>
    <w:p>
      <w:pPr>
        <w:pStyle w:val="BodyText"/>
        <w:ind w:left="960"/>
      </w:pPr>
      <w:r>
        <w:rPr>
          <w:rFonts w:ascii="Times New Roman" w:eastAsia="Times New Roman"/>
        </w:rPr>
        <w:t>36</w:t>
      </w:r>
      <w:r>
        <w:rPr/>
        <w:t>、开放日：指为投资人办理基金份额申购、赎回或其他业务的工作日。</w:t>
      </w:r>
    </w:p>
    <w:p>
      <w:pPr>
        <w:pStyle w:val="BodyText"/>
        <w:spacing w:before="7"/>
        <w:rPr>
          <w:sz w:val="15"/>
        </w:rPr>
      </w:pPr>
    </w:p>
    <w:p>
      <w:pPr>
        <w:pStyle w:val="BodyText"/>
        <w:ind w:left="960"/>
      </w:pPr>
      <w:r>
        <w:rPr>
          <w:rFonts w:ascii="Times New Roman" w:eastAsia="Times New Roman"/>
        </w:rPr>
        <w:t>37</w:t>
      </w:r>
      <w:r>
        <w:rPr/>
        <w:t>、开放时间：指开放日基金接受申购、赎回或其他交易的时间段。</w:t>
      </w:r>
    </w:p>
    <w:p>
      <w:pPr>
        <w:pStyle w:val="BodyText"/>
        <w:spacing w:before="7"/>
        <w:rPr>
          <w:sz w:val="15"/>
        </w:rPr>
      </w:pPr>
    </w:p>
    <w:p>
      <w:pPr>
        <w:pStyle w:val="BodyText"/>
        <w:spacing w:line="417" w:lineRule="auto"/>
        <w:ind w:left="540" w:right="311" w:firstLine="419"/>
        <w:jc w:val="both"/>
      </w:pPr>
      <w:r>
        <w:rPr>
          <w:rFonts w:ascii="Times New Roman" w:eastAsia="Times New Roman"/>
        </w:rPr>
        <w:t>38</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960"/>
      </w:pPr>
      <w:r>
        <w:rPr>
          <w:rFonts w:ascii="Times New Roman" w:eastAsia="Times New Roman"/>
        </w:rPr>
        <w:t>39</w:t>
      </w:r>
      <w:r>
        <w:rPr/>
        <w:t>、认购：指在基金募集期内，投资人申请购买基金份额的行为。</w:t>
      </w:r>
    </w:p>
    <w:p>
      <w:pPr>
        <w:pStyle w:val="BodyText"/>
        <w:spacing w:before="7"/>
        <w:rPr>
          <w:sz w:val="15"/>
        </w:rPr>
      </w:pPr>
    </w:p>
    <w:p>
      <w:pPr>
        <w:pStyle w:val="BodyText"/>
        <w:spacing w:line="417" w:lineRule="auto"/>
        <w:ind w:left="540" w:right="311" w:firstLine="419"/>
      </w:pPr>
      <w:r>
        <w:rPr>
          <w:rFonts w:ascii="Times New Roman" w:eastAsia="Times New Roman"/>
        </w:rPr>
        <w:t>40</w:t>
      </w:r>
      <w:r>
        <w:rPr>
          <w:spacing w:val="-12"/>
        </w:rPr>
        <w:t>、申购：指基金合同生效后，投资人根据基金合同和招募说明书的规定申请购买基金</w:t>
      </w:r>
      <w:r>
        <w:rPr>
          <w:spacing w:val="-6"/>
        </w:rPr>
        <w:t>份额的行为。</w:t>
      </w:r>
    </w:p>
    <w:p>
      <w:pPr>
        <w:pStyle w:val="BodyText"/>
        <w:ind w:left="960"/>
      </w:pPr>
      <w:r>
        <w:rPr>
          <w:rFonts w:ascii="Times New Roman" w:eastAsia="Times New Roman"/>
        </w:rPr>
        <w:t>41</w:t>
      </w:r>
      <w:r>
        <w:rPr/>
        <w:t>、赎回：指基金合同生效后，基金份额持有人按基金合同规定的条件要求将基金份额</w:t>
      </w:r>
    </w:p>
    <w:p>
      <w:pPr>
        <w:spacing w:after="0"/>
        <w:sectPr>
          <w:pgSz w:w="11910" w:h="16840"/>
          <w:pgMar w:header="877" w:footer="995" w:top="1420" w:bottom="1180" w:left="1260" w:right="1480"/>
        </w:sectPr>
      </w:pPr>
    </w:p>
    <w:p>
      <w:pPr>
        <w:pStyle w:val="BodyText"/>
        <w:spacing w:before="110"/>
        <w:ind w:left="540"/>
      </w:pPr>
      <w:r>
        <w:rPr/>
        <w:t>兑换为现金的行为。</w:t>
      </w:r>
    </w:p>
    <w:p>
      <w:pPr>
        <w:pStyle w:val="BodyText"/>
        <w:spacing w:before="6"/>
        <w:rPr>
          <w:sz w:val="15"/>
        </w:rPr>
      </w:pPr>
    </w:p>
    <w:p>
      <w:pPr>
        <w:pStyle w:val="BodyText"/>
        <w:spacing w:line="417" w:lineRule="auto"/>
        <w:ind w:left="540" w:right="205" w:firstLine="419"/>
      </w:pPr>
      <w:r>
        <w:rPr>
          <w:rFonts w:ascii="Times New Roman" w:eastAsia="Times New Roman"/>
        </w:rPr>
        <w:t>42</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540" w:right="311" w:firstLine="419"/>
      </w:pPr>
      <w:r>
        <w:rPr>
          <w:rFonts w:ascii="Times New Roman" w:eastAsia="Times New Roman"/>
        </w:rPr>
        <w:t>43</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311" w:firstLine="419"/>
        <w:jc w:val="both"/>
      </w:pPr>
      <w:r>
        <w:rPr>
          <w:rFonts w:ascii="Times New Roman" w:eastAsia="Times New Roman"/>
        </w:rPr>
        <w:t>44</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208" w:firstLine="419"/>
      </w:pPr>
      <w:r>
        <w:rPr>
          <w:rFonts w:ascii="Times New Roman" w:eastAsia="Times New Roman"/>
        </w:rPr>
        <w:t>45</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269" w:lineRule="exact"/>
        <w:ind w:left="960"/>
      </w:pPr>
      <w:r>
        <w:rPr>
          <w:rFonts w:ascii="Times New Roman" w:eastAsia="Times New Roman"/>
        </w:rPr>
        <w:t>46</w:t>
      </w:r>
      <w:r>
        <w:rPr/>
        <w:t>、元：指人民币元。</w:t>
      </w:r>
    </w:p>
    <w:p>
      <w:pPr>
        <w:pStyle w:val="BodyText"/>
        <w:spacing w:before="6"/>
        <w:rPr>
          <w:sz w:val="15"/>
        </w:rPr>
      </w:pPr>
    </w:p>
    <w:p>
      <w:pPr>
        <w:pStyle w:val="BodyText"/>
        <w:spacing w:line="417" w:lineRule="auto"/>
        <w:ind w:left="540" w:right="311" w:firstLine="419"/>
      </w:pPr>
      <w:r>
        <w:rPr>
          <w:rFonts w:ascii="Times New Roman" w:eastAsia="Times New Roman"/>
        </w:rPr>
        <w:t>47</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before="1"/>
        <w:ind w:left="540" w:right="311" w:firstLine="419"/>
      </w:pPr>
      <w:r>
        <w:rPr>
          <w:rFonts w:ascii="Times New Roman" w:eastAsia="Times New Roman"/>
        </w:rPr>
        <w:t>48</w:t>
      </w:r>
      <w:r>
        <w:rPr>
          <w:spacing w:val="-11"/>
        </w:rPr>
        <w:t>、基金资产总值：指基金拥有的各类有价证券、银行存款本息、基金应收申购款及其</w:t>
      </w:r>
      <w:r>
        <w:rPr>
          <w:spacing w:val="-6"/>
        </w:rPr>
        <w:t>他资产的价值总和。</w:t>
      </w:r>
    </w:p>
    <w:p>
      <w:pPr>
        <w:pStyle w:val="BodyText"/>
        <w:spacing w:line="269" w:lineRule="exact"/>
        <w:ind w:left="960"/>
      </w:pPr>
      <w:r>
        <w:rPr>
          <w:rFonts w:ascii="Times New Roman" w:eastAsia="Times New Roman"/>
        </w:rPr>
        <w:t>49</w:t>
      </w:r>
      <w:r>
        <w:rPr/>
        <w:t>、基金资产净值：指基金资产总值减去基金负债后的价值。</w:t>
      </w:r>
    </w:p>
    <w:p>
      <w:pPr>
        <w:pStyle w:val="BodyText"/>
        <w:spacing w:before="6"/>
        <w:rPr>
          <w:sz w:val="15"/>
        </w:rPr>
      </w:pPr>
    </w:p>
    <w:p>
      <w:pPr>
        <w:pStyle w:val="BodyText"/>
        <w:ind w:left="960"/>
      </w:pPr>
      <w:r>
        <w:rPr>
          <w:rFonts w:ascii="Times New Roman" w:eastAsia="Times New Roman"/>
        </w:rPr>
        <w:t>50</w:t>
      </w:r>
      <w:r>
        <w:rPr/>
        <w:t>、基金份额净值：指计算日基金资产净值除以计算日基金份额总数。</w:t>
      </w:r>
    </w:p>
    <w:p>
      <w:pPr>
        <w:pStyle w:val="BodyText"/>
        <w:spacing w:before="7"/>
        <w:rPr>
          <w:sz w:val="15"/>
        </w:rPr>
      </w:pPr>
    </w:p>
    <w:p>
      <w:pPr>
        <w:pStyle w:val="BodyText"/>
        <w:spacing w:line="417" w:lineRule="auto"/>
        <w:ind w:left="540" w:right="311" w:firstLine="419"/>
      </w:pPr>
      <w:r>
        <w:rPr>
          <w:rFonts w:ascii="Times New Roman" w:eastAsia="Times New Roman"/>
        </w:rPr>
        <w:t>51</w:t>
      </w:r>
      <w:r>
        <w:rPr>
          <w:spacing w:val="-11"/>
        </w:rPr>
        <w:t>、基金资产估值：指计算评估基金资产和负债的价值，以确定基金资产净值和基金份</w:t>
      </w:r>
      <w:r>
        <w:rPr>
          <w:spacing w:val="-6"/>
        </w:rPr>
        <w:t>额净值的过程。</w:t>
      </w:r>
    </w:p>
    <w:p>
      <w:pPr>
        <w:pStyle w:val="BodyText"/>
        <w:ind w:left="960"/>
      </w:pPr>
      <w:r>
        <w:rPr>
          <w:rFonts w:ascii="Times New Roman" w:eastAsia="Times New Roman"/>
        </w:rPr>
        <w:t>52</w:t>
      </w:r>
      <w:r>
        <w:rPr/>
        <w:t>、指定媒介：指中国证监会指定的用以进行信息披露的媒介。</w:t>
      </w:r>
    </w:p>
    <w:p>
      <w:pPr>
        <w:pStyle w:val="BodyText"/>
        <w:spacing w:before="7"/>
        <w:rPr>
          <w:sz w:val="15"/>
        </w:rPr>
      </w:pPr>
    </w:p>
    <w:p>
      <w:pPr>
        <w:pStyle w:val="BodyText"/>
        <w:spacing w:line="417" w:lineRule="auto"/>
        <w:ind w:left="540" w:right="311" w:firstLine="419"/>
        <w:jc w:val="both"/>
      </w:pPr>
      <w:r>
        <w:rPr>
          <w:rFonts w:ascii="Times New Roman" w:eastAsia="Times New Roman"/>
        </w:rPr>
        <w:t>53</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8"/>
        </w:rPr>
        <w:t>）</w:t>
      </w:r>
      <w:r>
        <w:rPr>
          <w:spacing w:val="-3"/>
        </w:rPr>
        <w:t>、停牌股票、流通受限的新股及非公开发行股票、资产支持证券、因发行人债务违约无法进行转让或交易的债券等。</w:t>
      </w:r>
    </w:p>
    <w:p>
      <w:pPr>
        <w:pStyle w:val="BodyText"/>
        <w:spacing w:line="417" w:lineRule="auto"/>
        <w:ind w:left="540" w:right="311" w:firstLine="419"/>
        <w:jc w:val="both"/>
      </w:pPr>
      <w:r>
        <w:rPr>
          <w:rFonts w:ascii="Times New Roman" w:eastAsia="Times New Roman"/>
        </w:rPr>
        <w:t>54</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ind w:left="960"/>
      </w:pPr>
      <w:r>
        <w:rPr>
          <w:rFonts w:ascii="Times New Roman" w:eastAsia="Times New Roman"/>
        </w:rPr>
        <w:t>55</w:t>
      </w:r>
      <w:r>
        <w:rPr>
          <w:spacing w:val="-3"/>
        </w:rPr>
        <w:t>、不可抗力：指基金合同当事人不能预见、不能避免且不能克服的客观事件。</w:t>
      </w:r>
    </w:p>
    <w:p>
      <w:pPr>
        <w:spacing w:after="0"/>
        <w:sectPr>
          <w:pgSz w:w="11910" w:h="16840"/>
          <w:pgMar w:header="877" w:footer="995" w:top="1420" w:bottom="1180" w:left="1260" w:right="1480"/>
        </w:sectPr>
      </w:pPr>
    </w:p>
    <w:p>
      <w:pPr>
        <w:pStyle w:val="BodyText"/>
        <w:spacing w:line="417" w:lineRule="auto" w:before="110"/>
        <w:ind w:left="540" w:right="311" w:firstLine="419"/>
      </w:pPr>
      <w:r>
        <w:rPr>
          <w:rFonts w:ascii="Times New Roman" w:eastAsia="Times New Roman"/>
        </w:rPr>
        <w:t>56</w:t>
      </w:r>
      <w:r>
        <w:rPr>
          <w:spacing w:val="-12"/>
        </w:rPr>
        <w:t>、基金产品资料概要：指《华夏创新前沿股票型证券投资基金基金产品资料概要》及</w:t>
      </w:r>
      <w:r>
        <w:rPr>
          <w:spacing w:val="-7"/>
        </w:rPr>
        <w:t>其更新。</w:t>
      </w:r>
    </w:p>
    <w:p>
      <w:pPr>
        <w:pStyle w:val="BodyText"/>
        <w:rPr>
          <w:sz w:val="20"/>
        </w:rPr>
      </w:pPr>
    </w:p>
    <w:p>
      <w:pPr>
        <w:pStyle w:val="BodyText"/>
        <w:rPr>
          <w:sz w:val="20"/>
        </w:rPr>
      </w:pPr>
    </w:p>
    <w:p>
      <w:pPr>
        <w:pStyle w:val="BodyText"/>
        <w:spacing w:before="1"/>
        <w:rPr>
          <w:sz w:val="23"/>
        </w:rPr>
      </w:pPr>
    </w:p>
    <w:p>
      <w:pPr>
        <w:pStyle w:val="Heading1"/>
      </w:pPr>
      <w:bookmarkStart w:name="_bookmark2" w:id="3"/>
      <w:bookmarkEnd w:id="3"/>
      <w:r>
        <w:rPr>
          <w:b w:val="0"/>
        </w:rPr>
      </w:r>
      <w:r>
        <w:rPr/>
        <w:t>三、基金管理人</w:t>
      </w:r>
    </w:p>
    <w:p>
      <w:pPr>
        <w:pStyle w:val="BodyText"/>
        <w:rPr>
          <w:b/>
          <w:sz w:val="20"/>
        </w:rPr>
      </w:pPr>
    </w:p>
    <w:p>
      <w:pPr>
        <w:pStyle w:val="BodyText"/>
        <w:spacing w:before="2"/>
        <w:rPr>
          <w:b/>
        </w:rPr>
      </w:pPr>
    </w:p>
    <w:p>
      <w:pPr>
        <w:pStyle w:val="BodyText"/>
        <w:ind w:left="960"/>
      </w:pPr>
      <w:r>
        <w:rPr/>
        <w:t>（一）基金管理人概况</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960" w:right="6310"/>
      </w:pPr>
      <w:r>
        <w:rPr/>
        <w:t>法定代表人：杨明辉联系人：邱曦</w:t>
      </w:r>
    </w:p>
    <w:p>
      <w:pPr>
        <w:pStyle w:val="BodyText"/>
        <w:spacing w:line="417" w:lineRule="auto"/>
        <w:ind w:left="960" w:right="55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ind w:left="960"/>
      </w:pPr>
      <w:r>
        <w:rPr/>
        <w:pict>
          <v:group style="position:absolute;margin-left:137.899994pt;margin-top:18.420002pt;width:319.55pt;height:25.45pt;mso-position-horizontal-relative:page;mso-position-vertical-relative:paragraph;z-index:251660288" coordorigin="2758,368" coordsize="6391,509">
            <v:line style="position:absolute" from="2758,383" to="7041,383" stroked="true" strokeweight="1.44pt" strokecolor="#000000">
              <v:stroke dashstyle="solid"/>
            </v:line>
            <v:shape style="position:absolute;left:7040;top:397;width:10;height:3" type="#_x0000_t75" stroked="false">
              <v:imagedata r:id="rId7" o:title=""/>
            </v:shape>
            <v:rect style="position:absolute;left:7040;top:368;width:29;height:29" filled="true" fillcolor="#000000" stroked="false">
              <v:fill type="solid"/>
            </v:rect>
            <v:line style="position:absolute" from="7069,383" to="9148,383" stroked="true" strokeweight="1.44pt" strokecolor="#000000">
              <v:stroke dashstyle="solid"/>
            </v:line>
            <v:shape style="position:absolute;left:2758;top:399;width:4293;height:478" type="#_x0000_t75" stroked="false">
              <v:imagedata r:id="rId8" o:title=""/>
            </v:shape>
            <v:shape style="position:absolute;left:4479;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7251;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pict>
          <v:group style="position:absolute;margin-left:137.899994pt;margin-top:43.380001pt;width:214.65pt;height:49.7pt;mso-position-horizontal-relative:page;mso-position-vertical-relative:paragraph;z-index:-260007936" coordorigin="2758,868" coordsize="4293,994">
            <v:shape style="position:absolute;left:2758;top:867;width:4293;height:351" type="#_x0000_t75" stroked="false">
              <v:imagedata r:id="rId9" o:title=""/>
            </v:shape>
            <v:shape style="position:absolute;left:2758;top:1218;width:4293;height:322" type="#_x0000_t75" stroked="false">
              <v:imagedata r:id="rId10" o:title=""/>
            </v:shape>
            <v:shape style="position:absolute;left:2758;top:1539;width:4293;height:322" type="#_x0000_t75" stroked="false">
              <v:imagedata r:id="rId11" o:titl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spacing w:before="8"/>
        <w:rPr>
          <w:sz w:val="25"/>
        </w:rPr>
      </w:pPr>
    </w:p>
    <w:tbl>
      <w:tblPr>
        <w:tblW w:w="0" w:type="auto"/>
        <w:jc w:val="left"/>
        <w:tblInd w:w="1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3"/>
        <w:gridCol w:w="2110"/>
      </w:tblGrid>
      <w:tr>
        <w:trPr>
          <w:trHeight w:val="338" w:hRule="atLeast"/>
        </w:trPr>
        <w:tc>
          <w:tcPr>
            <w:tcW w:w="4273" w:type="dxa"/>
          </w:tcPr>
          <w:p>
            <w:pPr>
              <w:pStyle w:val="TableParagraph"/>
              <w:spacing w:line="258" w:lineRule="exact" w:before="59"/>
              <w:ind w:left="100"/>
              <w:jc w:val="left"/>
              <w:rPr>
                <w:rFonts w:ascii="宋体" w:eastAsia="宋体" w:hint="eastAsia"/>
                <w:sz w:val="21"/>
              </w:rPr>
            </w:pPr>
            <w:r>
              <w:rPr>
                <w:rFonts w:ascii="宋体" w:eastAsia="宋体" w:hint="eastAsia"/>
                <w:sz w:val="21"/>
              </w:rPr>
              <w:t>中信证券股份有限公司</w:t>
            </w:r>
          </w:p>
        </w:tc>
        <w:tc>
          <w:tcPr>
            <w:tcW w:w="2110" w:type="dxa"/>
            <w:tcBorders>
              <w:top w:val="single" w:sz="4" w:space="0" w:color="000000"/>
              <w:bottom w:val="single" w:sz="4" w:space="0" w:color="000000"/>
            </w:tcBorders>
          </w:tcPr>
          <w:p>
            <w:pPr>
              <w:pStyle w:val="TableParagraph"/>
              <w:spacing w:before="71"/>
              <w:ind w:left="767" w:right="759"/>
              <w:jc w:val="center"/>
              <w:rPr>
                <w:sz w:val="21"/>
              </w:rPr>
            </w:pPr>
            <w:r>
              <w:rPr>
                <w:sz w:val="21"/>
              </w:rPr>
              <w:t>62.2%</w:t>
            </w:r>
          </w:p>
        </w:tc>
      </w:tr>
      <w:tr>
        <w:trPr>
          <w:trHeight w:val="310" w:hRule="atLeast"/>
        </w:trPr>
        <w:tc>
          <w:tcPr>
            <w:tcW w:w="4273" w:type="dxa"/>
          </w:tcPr>
          <w:p>
            <w:pPr>
              <w:pStyle w:val="TableParagraph"/>
              <w:spacing w:before="45"/>
              <w:ind w:left="100"/>
              <w:jc w:val="left"/>
              <w:rPr>
                <w:sz w:val="21"/>
              </w:rPr>
            </w:pPr>
            <w:r>
              <w:rPr>
                <w:sz w:val="21"/>
              </w:rPr>
              <w:t>POWER CORPORATION OF CANADA</w:t>
            </w:r>
          </w:p>
        </w:tc>
        <w:tc>
          <w:tcPr>
            <w:tcW w:w="2110" w:type="dxa"/>
            <w:tcBorders>
              <w:top w:val="single" w:sz="4" w:space="0" w:color="000000"/>
              <w:bottom w:val="single" w:sz="4" w:space="0" w:color="000000"/>
            </w:tcBorders>
          </w:tcPr>
          <w:p>
            <w:pPr>
              <w:pStyle w:val="TableParagraph"/>
              <w:spacing w:before="45"/>
              <w:ind w:left="767" w:right="759"/>
              <w:jc w:val="center"/>
              <w:rPr>
                <w:sz w:val="21"/>
              </w:rPr>
            </w:pPr>
            <w:r>
              <w:rPr>
                <w:sz w:val="21"/>
              </w:rPr>
              <w:t>13.9%</w:t>
            </w:r>
          </w:p>
        </w:tc>
      </w:tr>
      <w:tr>
        <w:trPr>
          <w:trHeight w:val="311" w:hRule="atLeast"/>
        </w:trPr>
        <w:tc>
          <w:tcPr>
            <w:tcW w:w="4273" w:type="dxa"/>
          </w:tcPr>
          <w:p>
            <w:pPr>
              <w:pStyle w:val="TableParagraph"/>
              <w:spacing w:before="46"/>
              <w:ind w:left="100"/>
              <w:jc w:val="left"/>
              <w:rPr>
                <w:sz w:val="21"/>
              </w:rPr>
            </w:pPr>
            <w:r>
              <w:rPr>
                <w:sz w:val="21"/>
              </w:rPr>
              <w:t>MACKENZIE FINANCIAL CORPORATION</w:t>
            </w:r>
          </w:p>
        </w:tc>
        <w:tc>
          <w:tcPr>
            <w:tcW w:w="2110" w:type="dxa"/>
            <w:tcBorders>
              <w:top w:val="single" w:sz="4" w:space="0" w:color="000000"/>
              <w:bottom w:val="single" w:sz="4" w:space="0" w:color="000000"/>
            </w:tcBorders>
          </w:tcPr>
          <w:p>
            <w:pPr>
              <w:pStyle w:val="TableParagraph"/>
              <w:spacing w:before="46"/>
              <w:ind w:left="767" w:right="759"/>
              <w:jc w:val="center"/>
              <w:rPr>
                <w:sz w:val="21"/>
              </w:rPr>
            </w:pPr>
            <w:r>
              <w:rPr>
                <w:sz w:val="21"/>
              </w:rPr>
              <w:t>13.9%</w:t>
            </w:r>
          </w:p>
        </w:tc>
      </w:tr>
      <w:tr>
        <w:trPr>
          <w:trHeight w:val="312" w:hRule="atLeast"/>
        </w:trPr>
        <w:tc>
          <w:tcPr>
            <w:tcW w:w="4273" w:type="dxa"/>
          </w:tcPr>
          <w:p>
            <w:pPr>
              <w:pStyle w:val="TableParagraph"/>
              <w:spacing w:line="256" w:lineRule="exact" w:before="37"/>
              <w:ind w:left="100"/>
              <w:jc w:val="left"/>
              <w:rPr>
                <w:rFonts w:ascii="宋体" w:eastAsia="宋体" w:hint="eastAsia"/>
                <w:sz w:val="21"/>
              </w:rPr>
            </w:pPr>
            <w:r>
              <w:rPr>
                <w:rFonts w:ascii="宋体" w:eastAsia="宋体" w:hint="eastAsia"/>
                <w:sz w:val="21"/>
              </w:rPr>
              <w:t>天津海鹏科技咨询有限公司</w:t>
            </w:r>
          </w:p>
        </w:tc>
        <w:tc>
          <w:tcPr>
            <w:tcW w:w="2110" w:type="dxa"/>
            <w:tcBorders>
              <w:top w:val="single" w:sz="4" w:space="0" w:color="000000"/>
              <w:bottom w:val="single" w:sz="4" w:space="0" w:color="000000"/>
            </w:tcBorders>
          </w:tcPr>
          <w:p>
            <w:pPr>
              <w:pStyle w:val="TableParagraph"/>
              <w:spacing w:before="48"/>
              <w:ind w:left="767" w:right="759"/>
              <w:jc w:val="center"/>
              <w:rPr>
                <w:sz w:val="21"/>
              </w:rPr>
            </w:pPr>
            <w:r>
              <w:rPr>
                <w:sz w:val="21"/>
              </w:rPr>
              <w:t>10%</w:t>
            </w:r>
          </w:p>
        </w:tc>
      </w:tr>
      <w:tr>
        <w:trPr>
          <w:trHeight w:val="480" w:hRule="atLeast"/>
        </w:trPr>
        <w:tc>
          <w:tcPr>
            <w:tcW w:w="4273" w:type="dxa"/>
            <w:tcBorders>
              <w:bottom w:val="single" w:sz="12" w:space="0" w:color="000000"/>
              <w:right w:val="single" w:sz="4" w:space="0" w:color="000000"/>
            </w:tcBorders>
          </w:tcPr>
          <w:p>
            <w:pPr>
              <w:pStyle w:val="TableParagraph"/>
              <w:spacing w:before="112"/>
              <w:ind w:left="1904" w:right="1901"/>
              <w:jc w:val="center"/>
              <w:rPr>
                <w:rFonts w:ascii="宋体" w:eastAsia="宋体" w:hint="eastAsia"/>
                <w:b/>
                <w:sz w:val="21"/>
              </w:rPr>
            </w:pPr>
            <w:r>
              <w:rPr>
                <w:rFonts w:ascii="宋体" w:eastAsia="宋体" w:hint="eastAsia"/>
                <w:b/>
                <w:sz w:val="21"/>
              </w:rPr>
              <w:t>合计</w:t>
            </w:r>
          </w:p>
          <w:p>
            <w:pPr>
              <w:pStyle w:val="TableParagraph"/>
              <w:spacing w:before="12"/>
              <w:jc w:val="left"/>
              <w:rPr>
                <w:rFonts w:ascii="宋体"/>
                <w:sz w:val="4"/>
              </w:rPr>
            </w:pPr>
          </w:p>
          <w:p>
            <w:pPr>
              <w:pStyle w:val="TableParagraph"/>
              <w:spacing w:line="36" w:lineRule="exact" w:before="0"/>
              <w:ind w:left="4274" w:right="-58"/>
              <w:jc w:val="left"/>
              <w:rPr>
                <w:rFonts w:ascii="宋体"/>
                <w:sz w:val="3"/>
              </w:rPr>
            </w:pPr>
            <w:r>
              <w:rPr>
                <w:rFonts w:ascii="宋体"/>
                <w:position w:val="0"/>
                <w:sz w:val="3"/>
              </w:rPr>
              <w:drawing>
                <wp:inline distT="0" distB="0" distL="0" distR="0">
                  <wp:extent cx="6095" cy="22860"/>
                  <wp:effectExtent l="0" t="0" r="0" b="0"/>
                  <wp:docPr id="1" name="image6.png"/>
                  <wp:cNvGraphicFramePr>
                    <a:graphicFrameLocks noChangeAspect="1"/>
                  </wp:cNvGraphicFramePr>
                  <a:graphic>
                    <a:graphicData uri="http://schemas.openxmlformats.org/drawingml/2006/picture">
                      <pic:pic>
                        <pic:nvPicPr>
                          <pic:cNvPr id="2" name="image6.png"/>
                          <pic:cNvPicPr/>
                        </pic:nvPicPr>
                        <pic:blipFill>
                          <a:blip r:embed="rId12" cstate="print"/>
                          <a:stretch>
                            <a:fillRect/>
                          </a:stretch>
                        </pic:blipFill>
                        <pic:spPr>
                          <a:xfrm>
                            <a:off x="0" y="0"/>
                            <a:ext cx="6095" cy="22860"/>
                          </a:xfrm>
                          <a:prstGeom prst="rect">
                            <a:avLst/>
                          </a:prstGeom>
                        </pic:spPr>
                      </pic:pic>
                    </a:graphicData>
                  </a:graphic>
                </wp:inline>
              </w:drawing>
            </w:r>
            <w:r>
              <w:rPr>
                <w:rFonts w:ascii="宋体"/>
                <w:position w:val="0"/>
                <w:sz w:val="3"/>
              </w:rPr>
            </w:r>
          </w:p>
        </w:tc>
        <w:tc>
          <w:tcPr>
            <w:tcW w:w="2110" w:type="dxa"/>
            <w:tcBorders>
              <w:top w:val="single" w:sz="4" w:space="0" w:color="000000"/>
              <w:left w:val="single" w:sz="4" w:space="0" w:color="000000"/>
              <w:bottom w:val="single" w:sz="12" w:space="0" w:color="000000"/>
            </w:tcBorders>
          </w:tcPr>
          <w:p>
            <w:pPr>
              <w:pStyle w:val="TableParagraph"/>
              <w:spacing w:before="129"/>
              <w:ind w:left="770" w:right="770"/>
              <w:jc w:val="center"/>
              <w:rPr>
                <w:b/>
                <w:sz w:val="21"/>
              </w:rPr>
            </w:pPr>
            <w:r>
              <w:rPr>
                <w:b/>
                <w:sz w:val="21"/>
              </w:rPr>
              <w:t>100%</w:t>
            </w:r>
          </w:p>
        </w:tc>
      </w:tr>
    </w:tbl>
    <w:p>
      <w:pPr>
        <w:pStyle w:val="BodyText"/>
        <w:spacing w:before="85"/>
        <w:ind w:left="960"/>
      </w:pPr>
      <w:r>
        <w:rPr/>
        <w:pict>
          <v:group style="position:absolute;margin-left:137.899994pt;margin-top:-41.770016pt;width:214.65pt;height:16.2pt;mso-position-horizontal-relative:page;mso-position-vertical-relative:paragraph;z-index:-260006912" coordorigin="2758,-835" coordsize="4293,324">
            <v:shape style="position:absolute;left:7040;top:-836;width:10;height:288" type="#_x0000_t75" stroked="false">
              <v:imagedata r:id="rId13" o:title=""/>
            </v:shape>
            <v:shape style="position:absolute;left:2758;top:-548;width:4293;height:36" type="#_x0000_t75" stroked="false">
              <v:imagedata r:id="rId14" o:title=""/>
            </v:shape>
            <w10:wrap type="none"/>
          </v:group>
        </w:pict>
      </w:r>
      <w:r>
        <w:rPr/>
        <w:t>（二）主要人员情况</w:t>
      </w:r>
    </w:p>
    <w:p>
      <w:pPr>
        <w:pStyle w:val="BodyText"/>
        <w:spacing w:before="7"/>
        <w:rPr>
          <w:sz w:val="15"/>
        </w:rPr>
      </w:pPr>
    </w:p>
    <w:p>
      <w:pPr>
        <w:pStyle w:val="BodyText"/>
        <w:ind w:left="96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540" w:right="3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540" w:right="318" w:firstLine="419"/>
        <w:jc w:val="both"/>
      </w:pPr>
      <w:r>
        <w:rPr>
          <w:rFonts w:ascii="Times New Roman" w:eastAsia="Times New Roman"/>
        </w:rPr>
        <w:t>Barry Sean McInerney </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ind w:left="960"/>
      </w:pPr>
      <w:r>
        <w:rPr/>
        <w:t>翟海涛先生：董事，硕士。现任春华资本集团总裁、合伙人，兼任中国光大国际有限公</w:t>
      </w:r>
    </w:p>
    <w:p>
      <w:pPr>
        <w:spacing w:after="0"/>
        <w:sectPr>
          <w:pgSz w:w="11910" w:h="16840"/>
          <w:pgMar w:header="877" w:footer="995" w:top="1420" w:bottom="1180" w:left="1260" w:right="1480"/>
        </w:sectPr>
      </w:pPr>
    </w:p>
    <w:p>
      <w:pPr>
        <w:pStyle w:val="BodyText"/>
        <w:spacing w:line="417" w:lineRule="auto" w:before="110"/>
        <w:ind w:left="540" w:right="311"/>
        <w:jc w:val="both"/>
      </w:pPr>
      <w:r>
        <w:rPr>
          <w:spacing w:val="-12"/>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540" w:right="31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540" w:right="20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3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3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3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20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9" w:lineRule="exact"/>
        <w:ind w:left="960"/>
      </w:pPr>
      <w:r>
        <w:rPr/>
        <w:t>杨一夫先生：监事长，硕士。现任鲍尔太平有限公司总裁，负责总部加拿大鲍尔公司</w:t>
      </w:r>
    </w:p>
    <w:p>
      <w:pPr>
        <w:pStyle w:val="BodyText"/>
        <w:spacing w:before="4"/>
        <w:rPr>
          <w:sz w:val="15"/>
        </w:rPr>
      </w:pPr>
    </w:p>
    <w:p>
      <w:pPr>
        <w:pStyle w:val="BodyText"/>
        <w:ind w:left="540"/>
        <w:jc w:val="both"/>
      </w:pPr>
      <w:r>
        <w:rPr/>
        <w:t>（</w:t>
      </w:r>
      <w:r>
        <w:rPr>
          <w:rFonts w:ascii="Times New Roman" w:eastAsia="Times New Roman"/>
        </w:rPr>
        <w:t>Power</w:t>
      </w:r>
      <w:r>
        <w:rPr>
          <w:rFonts w:ascii="Times New Roman" w:eastAsia="Times New Roman"/>
          <w:spacing w:val="10"/>
        </w:rPr>
        <w:t> </w:t>
      </w:r>
      <w:r>
        <w:rPr>
          <w:rFonts w:ascii="Times New Roman" w:eastAsia="Times New Roman"/>
        </w:rPr>
        <w:t>Corporation</w:t>
      </w:r>
      <w:r>
        <w:rPr>
          <w:rFonts w:ascii="Times New Roman" w:eastAsia="Times New Roman"/>
          <w:spacing w:val="11"/>
        </w:rPr>
        <w:t> </w:t>
      </w:r>
      <w:r>
        <w:rPr>
          <w:rFonts w:ascii="Times New Roman" w:eastAsia="Times New Roman"/>
        </w:rPr>
        <w:t>of</w:t>
      </w:r>
      <w:r>
        <w:rPr>
          <w:rFonts w:ascii="Times New Roman" w:eastAsia="Times New Roman"/>
          <w:spacing w:val="13"/>
        </w:rPr>
        <w:t> </w:t>
      </w:r>
      <w:r>
        <w:rPr>
          <w:rFonts w:ascii="Times New Roman" w:eastAsia="Times New Roman"/>
          <w:spacing w:val="-6"/>
        </w:rPr>
        <w:t>Canada</w:t>
      </w:r>
      <w:r>
        <w:rPr>
          <w:spacing w:val="-6"/>
        </w:rPr>
        <w:t>）</w:t>
      </w:r>
      <w:r>
        <w:rPr>
          <w:spacing w:val="-9"/>
        </w:rPr>
        <w:t>在中国的投资活动，兼任三川能源开发有限公司董事、中国</w:t>
      </w:r>
    </w:p>
    <w:p>
      <w:pPr>
        <w:spacing w:after="0"/>
        <w:jc w:val="both"/>
        <w:sectPr>
          <w:pgSz w:w="11910" w:h="16840"/>
          <w:pgMar w:header="877" w:footer="995" w:top="1420" w:bottom="1180" w:left="1260" w:right="1480"/>
        </w:sectPr>
      </w:pPr>
    </w:p>
    <w:p>
      <w:pPr>
        <w:pStyle w:val="BodyText"/>
        <w:spacing w:line="417" w:lineRule="auto" w:before="110"/>
        <w:ind w:left="540" w:right="311"/>
      </w:pPr>
      <w:r>
        <w:rPr>
          <w:spacing w:val="-8"/>
        </w:rPr>
        <w:t>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540" w:right="311" w:firstLine="419"/>
      </w:pPr>
      <w:r>
        <w:rPr>
          <w:spacing w:val="-12"/>
        </w:rPr>
        <w:t>杨维华先生：监事，硕士。现任中信证券股份有限公司风险管理部行政负责人、公司副</w:t>
      </w:r>
      <w:r>
        <w:rPr>
          <w:spacing w:val="-8"/>
        </w:rPr>
        <w:t>首席风险官。曾任中信证券股份有限公司风险管理部 </w:t>
      </w:r>
      <w:r>
        <w:rPr>
          <w:rFonts w:ascii="Times New Roman" w:eastAsia="Times New Roman"/>
        </w:rPr>
        <w:t>B </w:t>
      </w:r>
      <w:r>
        <w:rPr/>
        <w:t>角</w:t>
      </w:r>
      <w:r>
        <w:rPr>
          <w:spacing w:val="-3"/>
        </w:rPr>
        <w:t>（主持工作</w:t>
      </w:r>
      <w:r>
        <w:rPr>
          <w:spacing w:val="-106"/>
        </w:rPr>
        <w:t>）</w:t>
      </w:r>
      <w:r>
        <w:rPr>
          <w:spacing w:val="-3"/>
        </w:rPr>
        <w:t>、总监等。</w:t>
      </w:r>
    </w:p>
    <w:p>
      <w:pPr>
        <w:pStyle w:val="BodyText"/>
        <w:spacing w:line="417" w:lineRule="auto"/>
        <w:ind w:left="540" w:right="311" w:firstLine="419"/>
      </w:pPr>
      <w:r>
        <w:rPr>
          <w:spacing w:val="-12"/>
        </w:rPr>
        <w:t>史本良先生：监事，硕士，注册会计师。现任中信证券股份有限公司计划财务部联席负</w:t>
      </w:r>
      <w:r>
        <w:rPr>
          <w:spacing w:val="-4"/>
        </w:rPr>
        <w:t>责人、公司副财务总监。曾任中信证券股份有限公司计划财务部</w:t>
      </w:r>
      <w:r>
        <w:rPr>
          <w:rFonts w:ascii="Times New Roman" w:eastAsia="Times New Roman"/>
        </w:rPr>
        <w:t>B </w:t>
      </w:r>
      <w:r>
        <w:rPr>
          <w:spacing w:val="-3"/>
        </w:rPr>
        <w:t>角、总监等。</w:t>
      </w:r>
    </w:p>
    <w:p>
      <w:pPr>
        <w:pStyle w:val="BodyText"/>
        <w:spacing w:line="417" w:lineRule="auto"/>
        <w:ind w:left="540" w:right="31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540" w:right="20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311" w:firstLine="419"/>
      </w:pPr>
      <w:r>
        <w:rPr>
          <w:spacing w:val="-12"/>
        </w:rPr>
        <w:t>朱威先生：监事，硕士。现任华夏基金管理有限公司基金运作部执行总经理、行政负责</w:t>
      </w:r>
      <w:r>
        <w:rPr/>
        <w:t>人。曾任基金运作部</w:t>
      </w:r>
      <w:r>
        <w:rPr>
          <w:rFonts w:ascii="Times New Roman" w:eastAsia="Times New Roman"/>
        </w:rPr>
        <w:t>B </w:t>
      </w:r>
      <w:r>
        <w:rPr>
          <w:spacing w:val="-2"/>
        </w:rPr>
        <w:t>角等。</w:t>
      </w:r>
    </w:p>
    <w:p>
      <w:pPr>
        <w:pStyle w:val="BodyText"/>
        <w:spacing w:line="417" w:lineRule="auto"/>
        <w:ind w:left="540" w:right="3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20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2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20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960"/>
      </w:pPr>
      <w:r>
        <w:rPr>
          <w:rFonts w:ascii="Times New Roman" w:eastAsia="Times New Roman"/>
        </w:rPr>
        <w:t>2</w:t>
      </w:r>
      <w:r>
        <w:rPr/>
        <w:t>、本基金基金经理</w:t>
      </w:r>
    </w:p>
    <w:p>
      <w:pPr>
        <w:pStyle w:val="BodyText"/>
        <w:spacing w:line="417" w:lineRule="auto" w:before="197"/>
        <w:ind w:left="540" w:right="311" w:firstLine="419"/>
      </w:pPr>
      <w:r>
        <w:rPr>
          <w:spacing w:val="-3"/>
        </w:rPr>
        <w:t>林晶女士，清华大学经济学硕士。</w:t>
      </w:r>
      <w:r>
        <w:rPr>
          <w:rFonts w:ascii="Times New Roman" w:eastAsia="Times New Roman"/>
        </w:rPr>
        <w:t>2005 </w:t>
      </w:r>
      <w:r>
        <w:rPr>
          <w:spacing w:val="-11"/>
        </w:rPr>
        <w:t>年 </w:t>
      </w:r>
      <w:r>
        <w:rPr>
          <w:rFonts w:ascii="Times New Roman" w:eastAsia="Times New Roman"/>
        </w:rPr>
        <w:t>7 </w:t>
      </w:r>
      <w:r>
        <w:rPr>
          <w:spacing w:val="-3"/>
        </w:rPr>
        <w:t>月加入华夏基金管理有限公司，曾任投资</w:t>
      </w:r>
      <w:r>
        <w:rPr>
          <w:spacing w:val="-11"/>
        </w:rPr>
        <w:t>研究部研究员、基金经理助理、总经理助理、副总经理、华夏兴和混合型证券投资基金基金</w:t>
      </w:r>
    </w:p>
    <w:p>
      <w:pPr>
        <w:spacing w:after="0" w:line="417" w:lineRule="auto"/>
        <w:sectPr>
          <w:pgSz w:w="11910" w:h="16840"/>
          <w:pgMar w:header="877" w:footer="995" w:top="1420" w:bottom="1180" w:left="1260" w:right="1480"/>
        </w:sectPr>
      </w:pPr>
    </w:p>
    <w:p>
      <w:pPr>
        <w:pStyle w:val="BodyText"/>
        <w:spacing w:before="110"/>
        <w:ind w:left="540"/>
        <w:jc w:val="both"/>
      </w:pPr>
      <w:r>
        <w:rPr/>
        <w:t>经理（</w:t>
      </w:r>
      <w:r>
        <w:rPr>
          <w:rFonts w:ascii="Times New Roman" w:eastAsia="Times New Roman"/>
        </w:rPr>
        <w:t>2018</w:t>
      </w:r>
      <w:r>
        <w:rPr>
          <w:rFonts w:ascii="Times New Roman" w:eastAsia="Times New Roman"/>
          <w:spacing w:val="8"/>
        </w:rPr>
        <w:t> </w:t>
      </w:r>
      <w:r>
        <w:rPr>
          <w:spacing w:val="-22"/>
        </w:rPr>
        <w:t>年 </w:t>
      </w:r>
      <w:r>
        <w:rPr>
          <w:rFonts w:ascii="Times New Roman" w:eastAsia="Times New Roman"/>
        </w:rPr>
        <w:t>1</w:t>
      </w:r>
      <w:r>
        <w:rPr>
          <w:rFonts w:ascii="Times New Roman" w:eastAsia="Times New Roman"/>
          <w:spacing w:val="6"/>
        </w:rPr>
        <w:t> </w:t>
      </w:r>
      <w:r>
        <w:rPr>
          <w:spacing w:val="-23"/>
        </w:rPr>
        <w:t>月 </w:t>
      </w:r>
      <w:r>
        <w:rPr>
          <w:rFonts w:ascii="Times New Roman" w:eastAsia="Times New Roman"/>
        </w:rPr>
        <w:t>17</w:t>
      </w:r>
      <w:r>
        <w:rPr>
          <w:rFonts w:ascii="Times New Roman" w:eastAsia="Times New Roman"/>
          <w:spacing w:val="9"/>
        </w:rPr>
        <w:t> </w:t>
      </w:r>
      <w:r>
        <w:rPr>
          <w:spacing w:val="-16"/>
        </w:rPr>
        <w:t>日至 </w:t>
      </w:r>
      <w:r>
        <w:rPr>
          <w:rFonts w:ascii="Times New Roman" w:eastAsia="Times New Roman"/>
        </w:rPr>
        <w:t>2019</w:t>
      </w:r>
      <w:r>
        <w:rPr>
          <w:rFonts w:ascii="Times New Roman" w:eastAsia="Times New Roman"/>
          <w:spacing w:val="9"/>
        </w:rPr>
        <w:t> </w:t>
      </w:r>
      <w:r>
        <w:rPr>
          <w:spacing w:val="-22"/>
        </w:rPr>
        <w:t>年 </w:t>
      </w:r>
      <w:r>
        <w:rPr>
          <w:rFonts w:ascii="Times New Roman" w:eastAsia="Times New Roman"/>
        </w:rPr>
        <w:t>3</w:t>
      </w:r>
      <w:r>
        <w:rPr>
          <w:rFonts w:ascii="Times New Roman" w:eastAsia="Times New Roman"/>
          <w:spacing w:val="8"/>
        </w:rPr>
        <w:t> </w:t>
      </w:r>
      <w:r>
        <w:rPr>
          <w:spacing w:val="-23"/>
        </w:rPr>
        <w:t>月 </w:t>
      </w:r>
      <w:r>
        <w:rPr>
          <w:rFonts w:ascii="Times New Roman" w:eastAsia="Times New Roman"/>
        </w:rPr>
        <w:t>21</w:t>
      </w:r>
      <w:r>
        <w:rPr>
          <w:rFonts w:ascii="Times New Roman" w:eastAsia="Times New Roman"/>
          <w:spacing w:val="9"/>
        </w:rPr>
        <w:t> </w:t>
      </w:r>
      <w:r>
        <w:rPr>
          <w:spacing w:val="-2"/>
        </w:rPr>
        <w:t>日期间</w:t>
      </w:r>
      <w:r>
        <w:rPr>
          <w:spacing w:val="-108"/>
        </w:rPr>
        <w:t>）</w:t>
      </w:r>
      <w:r>
        <w:rPr>
          <w:spacing w:val="-3"/>
        </w:rPr>
        <w:t>、华夏领先股票型证券投资基金基金经</w:t>
      </w:r>
    </w:p>
    <w:p>
      <w:pPr>
        <w:pStyle w:val="BodyText"/>
        <w:spacing w:before="6"/>
        <w:rPr>
          <w:sz w:val="15"/>
        </w:rPr>
      </w:pPr>
    </w:p>
    <w:p>
      <w:pPr>
        <w:pStyle w:val="BodyText"/>
        <w:ind w:left="540"/>
        <w:jc w:val="both"/>
      </w:pPr>
      <w:r>
        <w:rPr>
          <w:spacing w:val="-10"/>
        </w:rPr>
        <w:t>理</w:t>
      </w:r>
      <w:r>
        <w:rPr/>
        <w:t>（</w:t>
      </w:r>
      <w:r>
        <w:rPr>
          <w:rFonts w:ascii="Times New Roman" w:eastAsia="Times New Roman"/>
        </w:rPr>
        <w:t>2019 </w:t>
      </w:r>
      <w:r>
        <w:rPr>
          <w:spacing w:val="-25"/>
        </w:rPr>
        <w:t>年 </w:t>
      </w:r>
      <w:r>
        <w:rPr>
          <w:rFonts w:ascii="Times New Roman" w:eastAsia="Times New Roman"/>
        </w:rPr>
        <w:t>1 </w:t>
      </w:r>
      <w:r>
        <w:rPr>
          <w:spacing w:val="-25"/>
        </w:rPr>
        <w:t>月 </w:t>
      </w:r>
      <w:r>
        <w:rPr>
          <w:rFonts w:ascii="Times New Roman" w:eastAsia="Times New Roman"/>
        </w:rPr>
        <w:t>14</w:t>
      </w:r>
      <w:r>
        <w:rPr>
          <w:rFonts w:ascii="Times New Roman" w:eastAsia="Times New Roman"/>
          <w:spacing w:val="4"/>
        </w:rPr>
        <w:t> </w:t>
      </w:r>
      <w:r>
        <w:rPr>
          <w:spacing w:val="-18"/>
        </w:rPr>
        <w:t>日至 </w:t>
      </w:r>
      <w:r>
        <w:rPr>
          <w:rFonts w:ascii="Times New Roman" w:eastAsia="Times New Roman"/>
        </w:rPr>
        <w:t>2020</w:t>
      </w:r>
      <w:r>
        <w:rPr>
          <w:rFonts w:ascii="Times New Roman" w:eastAsia="Times New Roman"/>
          <w:spacing w:val="3"/>
        </w:rPr>
        <w:t> </w:t>
      </w:r>
      <w:r>
        <w:rPr>
          <w:spacing w:val="-26"/>
        </w:rPr>
        <w:t>年 </w:t>
      </w:r>
      <w:r>
        <w:rPr>
          <w:rFonts w:ascii="Times New Roman" w:eastAsia="Times New Roman"/>
        </w:rPr>
        <w:t>7</w:t>
      </w:r>
      <w:r>
        <w:rPr>
          <w:rFonts w:ascii="Times New Roman" w:eastAsia="Times New Roman"/>
          <w:spacing w:val="4"/>
        </w:rPr>
        <w:t> </w:t>
      </w:r>
      <w:r>
        <w:rPr>
          <w:spacing w:val="-26"/>
        </w:rPr>
        <w:t>月 </w:t>
      </w:r>
      <w:r>
        <w:rPr>
          <w:rFonts w:ascii="Times New Roman" w:eastAsia="Times New Roman"/>
        </w:rPr>
        <w:t>21 </w:t>
      </w:r>
      <w:r>
        <w:rPr>
          <w:spacing w:val="-2"/>
        </w:rPr>
        <w:t>日期间</w:t>
      </w:r>
      <w:r>
        <w:rPr>
          <w:spacing w:val="-13"/>
        </w:rPr>
        <w:t>）</w:t>
      </w:r>
      <w:r>
        <w:rPr>
          <w:spacing w:val="-6"/>
        </w:rPr>
        <w:t>等，现任投资研究部执行总经理，华夏策</w:t>
      </w:r>
    </w:p>
    <w:p>
      <w:pPr>
        <w:pStyle w:val="BodyText"/>
        <w:spacing w:before="7"/>
        <w:rPr>
          <w:sz w:val="15"/>
        </w:rPr>
      </w:pPr>
    </w:p>
    <w:p>
      <w:pPr>
        <w:pStyle w:val="BodyText"/>
        <w:ind w:left="540"/>
        <w:jc w:val="both"/>
      </w:pPr>
      <w:r>
        <w:rPr>
          <w:spacing w:val="-5"/>
        </w:rPr>
        <w:t>略精选灵活配置混合型证券投资基金基金经理</w:t>
      </w:r>
      <w:r>
        <w:rPr/>
        <w:t>（</w:t>
      </w:r>
      <w:r>
        <w:rPr>
          <w:rFonts w:ascii="Times New Roman" w:eastAsia="Times New Roman"/>
        </w:rPr>
        <w:t>2017</w:t>
      </w:r>
      <w:r>
        <w:rPr>
          <w:rFonts w:ascii="Times New Roman" w:eastAsia="Times New Roman"/>
          <w:spacing w:val="8"/>
        </w:rPr>
        <w:t> </w:t>
      </w:r>
      <w:r>
        <w:rPr>
          <w:spacing w:val="-22"/>
        </w:rPr>
        <w:t>年 </w:t>
      </w:r>
      <w:r>
        <w:rPr>
          <w:rFonts w:ascii="Times New Roman" w:eastAsia="Times New Roman"/>
        </w:rPr>
        <w:t>3</w:t>
      </w:r>
      <w:r>
        <w:rPr>
          <w:rFonts w:ascii="Times New Roman" w:eastAsia="Times New Roman"/>
          <w:spacing w:val="5"/>
        </w:rPr>
        <w:t> </w:t>
      </w:r>
      <w:r>
        <w:rPr>
          <w:spacing w:val="-22"/>
        </w:rPr>
        <w:t>月 </w:t>
      </w:r>
      <w:r>
        <w:rPr>
          <w:rFonts w:ascii="Times New Roman" w:eastAsia="Times New Roman"/>
        </w:rPr>
        <w:t>7</w:t>
      </w:r>
      <w:r>
        <w:rPr>
          <w:rFonts w:ascii="Times New Roman" w:eastAsia="Times New Roman"/>
          <w:spacing w:val="5"/>
        </w:rPr>
        <w:t> </w:t>
      </w:r>
      <w:r>
        <w:rPr>
          <w:spacing w:val="-3"/>
        </w:rPr>
        <w:t>日起任职</w:t>
      </w:r>
      <w:r>
        <w:rPr>
          <w:spacing w:val="-106"/>
        </w:rPr>
        <w:t>）</w:t>
      </w:r>
      <w:r>
        <w:rPr>
          <w:spacing w:val="-6"/>
        </w:rPr>
        <w:t>、华夏研究精选股</w:t>
      </w:r>
    </w:p>
    <w:p>
      <w:pPr>
        <w:pStyle w:val="BodyText"/>
        <w:spacing w:before="7"/>
        <w:rPr>
          <w:sz w:val="15"/>
        </w:rPr>
      </w:pPr>
    </w:p>
    <w:p>
      <w:pPr>
        <w:pStyle w:val="BodyText"/>
        <w:ind w:left="540"/>
        <w:jc w:val="both"/>
      </w:pPr>
      <w:r>
        <w:rPr>
          <w:spacing w:val="-5"/>
        </w:rPr>
        <w:t>票型证券投资基金基金经理</w:t>
      </w:r>
      <w:r>
        <w:rPr/>
        <w:t>（</w:t>
      </w:r>
      <w:r>
        <w:rPr>
          <w:rFonts w:ascii="Times New Roman" w:eastAsia="Times New Roman"/>
        </w:rPr>
        <w:t>2017</w:t>
      </w:r>
      <w:r>
        <w:rPr>
          <w:rFonts w:ascii="Times New Roman" w:eastAsia="Times New Roman"/>
          <w:spacing w:val="8"/>
        </w:rPr>
        <w:t> </w:t>
      </w:r>
      <w:r>
        <w:rPr>
          <w:spacing w:val="-23"/>
        </w:rPr>
        <w:t>年 </w:t>
      </w:r>
      <w:r>
        <w:rPr>
          <w:rFonts w:ascii="Times New Roman" w:eastAsia="Times New Roman"/>
        </w:rPr>
        <w:t>9</w:t>
      </w:r>
      <w:r>
        <w:rPr>
          <w:rFonts w:ascii="Times New Roman" w:eastAsia="Times New Roman"/>
          <w:spacing w:val="9"/>
        </w:rPr>
        <w:t> </w:t>
      </w:r>
      <w:r>
        <w:rPr>
          <w:spacing w:val="-24"/>
        </w:rPr>
        <w:t>月 </w:t>
      </w:r>
      <w:r>
        <w:rPr>
          <w:rFonts w:ascii="Times New Roman" w:eastAsia="Times New Roman"/>
        </w:rPr>
        <w:t>6</w:t>
      </w:r>
      <w:r>
        <w:rPr>
          <w:rFonts w:ascii="Times New Roman" w:eastAsia="Times New Roman"/>
          <w:spacing w:val="9"/>
        </w:rPr>
        <w:t> </w:t>
      </w:r>
      <w:r>
        <w:rPr>
          <w:spacing w:val="-3"/>
        </w:rPr>
        <w:t>日起任职</w:t>
      </w:r>
      <w:r>
        <w:rPr>
          <w:spacing w:val="-106"/>
        </w:rPr>
        <w:t>）</w:t>
      </w:r>
      <w:r>
        <w:rPr>
          <w:spacing w:val="-6"/>
        </w:rPr>
        <w:t>、华夏创新前沿股票型证券投资基金</w:t>
      </w:r>
    </w:p>
    <w:p>
      <w:pPr>
        <w:pStyle w:val="BodyText"/>
        <w:spacing w:before="7"/>
        <w:rPr>
          <w:sz w:val="15"/>
        </w:rPr>
      </w:pPr>
    </w:p>
    <w:p>
      <w:pPr>
        <w:pStyle w:val="BodyText"/>
        <w:ind w:left="540"/>
        <w:jc w:val="both"/>
      </w:pPr>
      <w:r>
        <w:rPr>
          <w:spacing w:val="-1"/>
        </w:rPr>
        <w:t>基金经理</w:t>
      </w:r>
      <w:r>
        <w:rPr/>
        <w:t>（</w:t>
      </w:r>
      <w:r>
        <w:rPr>
          <w:rFonts w:ascii="Times New Roman" w:eastAsia="Times New Roman"/>
        </w:rPr>
        <w:t>2018</w:t>
      </w:r>
      <w:r>
        <w:rPr>
          <w:rFonts w:ascii="Times New Roman" w:eastAsia="Times New Roman"/>
          <w:spacing w:val="12"/>
        </w:rPr>
        <w:t> </w:t>
      </w:r>
      <w:r>
        <w:rPr>
          <w:spacing w:val="-19"/>
        </w:rPr>
        <w:t>年 </w:t>
      </w:r>
      <w:r>
        <w:rPr>
          <w:rFonts w:ascii="Times New Roman" w:eastAsia="Times New Roman"/>
        </w:rPr>
        <w:t>1</w:t>
      </w:r>
      <w:r>
        <w:rPr>
          <w:rFonts w:ascii="Times New Roman" w:eastAsia="Times New Roman"/>
          <w:spacing w:val="12"/>
        </w:rPr>
        <w:t> </w:t>
      </w:r>
      <w:r>
        <w:rPr>
          <w:spacing w:val="-19"/>
        </w:rPr>
        <w:t>月 </w:t>
      </w:r>
      <w:r>
        <w:rPr>
          <w:rFonts w:ascii="Times New Roman" w:eastAsia="Times New Roman"/>
        </w:rPr>
        <w:t>17</w:t>
      </w:r>
      <w:r>
        <w:rPr>
          <w:rFonts w:ascii="Times New Roman" w:eastAsia="Times New Roman"/>
          <w:spacing w:val="15"/>
        </w:rPr>
        <w:t> </w:t>
      </w:r>
      <w:r>
        <w:rPr>
          <w:spacing w:val="-3"/>
        </w:rPr>
        <w:t>日起任职</w:t>
      </w:r>
      <w:r>
        <w:rPr>
          <w:spacing w:val="-106"/>
        </w:rPr>
        <w:t>）</w:t>
      </w:r>
      <w:r>
        <w:rPr>
          <w:spacing w:val="-8"/>
        </w:rPr>
        <w:t>、华夏成长精选 </w:t>
      </w:r>
      <w:r>
        <w:rPr>
          <w:rFonts w:ascii="Times New Roman" w:eastAsia="Times New Roman"/>
        </w:rPr>
        <w:t>6</w:t>
      </w:r>
      <w:r>
        <w:rPr>
          <w:rFonts w:ascii="Times New Roman" w:eastAsia="Times New Roman"/>
          <w:spacing w:val="12"/>
        </w:rPr>
        <w:t> </w:t>
      </w:r>
      <w:r>
        <w:rPr>
          <w:spacing w:val="-3"/>
        </w:rPr>
        <w:t>个月定期开放混合型发起式证券投</w:t>
      </w:r>
    </w:p>
    <w:p>
      <w:pPr>
        <w:pStyle w:val="BodyText"/>
        <w:spacing w:before="6"/>
        <w:rPr>
          <w:sz w:val="15"/>
        </w:rPr>
      </w:pPr>
    </w:p>
    <w:p>
      <w:pPr>
        <w:pStyle w:val="BodyText"/>
        <w:ind w:left="540"/>
        <w:jc w:val="both"/>
      </w:pPr>
      <w:r>
        <w:rPr>
          <w:spacing w:val="-3"/>
        </w:rPr>
        <w:t>资基金基金经理</w:t>
      </w:r>
      <w:r>
        <w:rPr/>
        <w:t>（</w:t>
      </w:r>
      <w:r>
        <w:rPr>
          <w:rFonts w:ascii="Times New Roman" w:eastAsia="Times New Roman"/>
        </w:rPr>
        <w:t>2020</w:t>
      </w:r>
      <w:r>
        <w:rPr>
          <w:rFonts w:ascii="Times New Roman" w:eastAsia="Times New Roman"/>
          <w:spacing w:val="20"/>
        </w:rPr>
        <w:t> </w:t>
      </w:r>
      <w:r>
        <w:rPr>
          <w:spacing w:val="-18"/>
        </w:rPr>
        <w:t>年 </w:t>
      </w:r>
      <w:r>
        <w:rPr>
          <w:rFonts w:ascii="Times New Roman" w:eastAsia="Times New Roman"/>
        </w:rPr>
        <w:t>6</w:t>
      </w:r>
      <w:r>
        <w:rPr>
          <w:rFonts w:ascii="Times New Roman" w:eastAsia="Times New Roman"/>
          <w:spacing w:val="21"/>
        </w:rPr>
        <w:t> </w:t>
      </w:r>
      <w:r>
        <w:rPr>
          <w:spacing w:val="-17"/>
        </w:rPr>
        <w:t>月 </w:t>
      </w:r>
      <w:r>
        <w:rPr>
          <w:rFonts w:ascii="Times New Roman" w:eastAsia="Times New Roman"/>
        </w:rPr>
        <w:t>12</w:t>
      </w:r>
      <w:r>
        <w:rPr>
          <w:rFonts w:ascii="Times New Roman" w:eastAsia="Times New Roman"/>
          <w:spacing w:val="21"/>
        </w:rPr>
        <w:t> </w:t>
      </w:r>
      <w:r>
        <w:rPr>
          <w:spacing w:val="-3"/>
        </w:rPr>
        <w:t>日起任职</w:t>
      </w:r>
      <w:r>
        <w:rPr>
          <w:spacing w:val="-106"/>
        </w:rPr>
        <w:t>）</w:t>
      </w:r>
      <w:r>
        <w:rPr>
          <w:spacing w:val="-3"/>
        </w:rPr>
        <w:t>、华夏创业板两年定期开放混合型证券投资基</w:t>
      </w:r>
    </w:p>
    <w:p>
      <w:pPr>
        <w:pStyle w:val="BodyText"/>
        <w:spacing w:before="7"/>
        <w:rPr>
          <w:sz w:val="15"/>
        </w:rPr>
      </w:pPr>
    </w:p>
    <w:p>
      <w:pPr>
        <w:pStyle w:val="BodyText"/>
        <w:ind w:left="540"/>
        <w:jc w:val="both"/>
      </w:pPr>
      <w:r>
        <w:rPr>
          <w:spacing w:val="-2"/>
        </w:rPr>
        <w:t>金基金经理</w:t>
      </w:r>
      <w:r>
        <w:rPr/>
        <w:t>（</w:t>
      </w:r>
      <w:r>
        <w:rPr>
          <w:rFonts w:ascii="Times New Roman" w:eastAsia="Times New Roman"/>
        </w:rPr>
        <w:t>2020</w:t>
      </w:r>
      <w:r>
        <w:rPr>
          <w:rFonts w:ascii="Times New Roman" w:eastAsia="Times New Roman"/>
          <w:spacing w:val="12"/>
        </w:rPr>
        <w:t> </w:t>
      </w:r>
      <w:r>
        <w:rPr>
          <w:spacing w:val="-20"/>
        </w:rPr>
        <w:t>年 </w:t>
      </w:r>
      <w:r>
        <w:rPr>
          <w:rFonts w:ascii="Times New Roman" w:eastAsia="Times New Roman"/>
        </w:rPr>
        <w:t>7</w:t>
      </w:r>
      <w:r>
        <w:rPr>
          <w:rFonts w:ascii="Times New Roman" w:eastAsia="Times New Roman"/>
          <w:spacing w:val="13"/>
        </w:rPr>
        <w:t> </w:t>
      </w:r>
      <w:r>
        <w:rPr>
          <w:spacing w:val="-20"/>
        </w:rPr>
        <w:t>月 </w:t>
      </w:r>
      <w:r>
        <w:rPr>
          <w:rFonts w:ascii="Times New Roman" w:eastAsia="Times New Roman"/>
        </w:rPr>
        <w:t>24</w:t>
      </w:r>
      <w:r>
        <w:rPr>
          <w:rFonts w:ascii="Times New Roman" w:eastAsia="Times New Roman"/>
          <w:spacing w:val="15"/>
        </w:rPr>
        <w:t> </w:t>
      </w:r>
      <w:r>
        <w:rPr>
          <w:spacing w:val="-3"/>
        </w:rPr>
        <w:t>日起任职</w:t>
      </w:r>
      <w:r>
        <w:rPr>
          <w:spacing w:val="-108"/>
        </w:rPr>
        <w:t>）</w:t>
      </w:r>
      <w:r>
        <w:rPr>
          <w:spacing w:val="-8"/>
        </w:rPr>
        <w:t>、华夏科技前沿 </w:t>
      </w:r>
      <w:r>
        <w:rPr>
          <w:rFonts w:ascii="Times New Roman" w:eastAsia="Times New Roman"/>
        </w:rPr>
        <w:t>6</w:t>
      </w:r>
      <w:r>
        <w:rPr>
          <w:rFonts w:ascii="Times New Roman" w:eastAsia="Times New Roman"/>
          <w:spacing w:val="15"/>
        </w:rPr>
        <w:t> </w:t>
      </w:r>
      <w:r>
        <w:rPr>
          <w:spacing w:val="-3"/>
        </w:rPr>
        <w:t>个月定期开放混合型证券投资基</w:t>
      </w:r>
    </w:p>
    <w:p>
      <w:pPr>
        <w:pStyle w:val="BodyText"/>
        <w:spacing w:before="7"/>
        <w:rPr>
          <w:sz w:val="15"/>
        </w:rPr>
      </w:pPr>
    </w:p>
    <w:p>
      <w:pPr>
        <w:pStyle w:val="BodyText"/>
        <w:spacing w:before="1"/>
        <w:ind w:left="540"/>
        <w:jc w:val="both"/>
      </w:pPr>
      <w:r>
        <w:rPr>
          <w:spacing w:val="-2"/>
        </w:rPr>
        <w:t>金基金经理</w:t>
      </w:r>
      <w:r>
        <w:rPr/>
        <w:t>（</w:t>
      </w:r>
      <w:r>
        <w:rPr>
          <w:rFonts w:ascii="Times New Roman" w:eastAsia="Times New Roman"/>
        </w:rPr>
        <w:t>2020 </w:t>
      </w:r>
      <w:r>
        <w:rPr>
          <w:spacing w:val="-27"/>
        </w:rPr>
        <w:t>年 </w:t>
      </w:r>
      <w:r>
        <w:rPr>
          <w:rFonts w:ascii="Times New Roman" w:eastAsia="Times New Roman"/>
        </w:rPr>
        <w:t>9 </w:t>
      </w:r>
      <w:r>
        <w:rPr>
          <w:spacing w:val="-28"/>
        </w:rPr>
        <w:t>月 </w:t>
      </w:r>
      <w:r>
        <w:rPr>
          <w:rFonts w:ascii="Times New Roman" w:eastAsia="Times New Roman"/>
        </w:rPr>
        <w:t>1 </w:t>
      </w:r>
      <w:r>
        <w:rPr>
          <w:spacing w:val="-3"/>
        </w:rPr>
        <w:t>日起任职</w:t>
      </w:r>
      <w:r>
        <w:rPr>
          <w:spacing w:val="-106"/>
        </w:rPr>
        <w:t>）</w:t>
      </w:r>
      <w:r>
        <w:rPr/>
        <w:t>。</w:t>
      </w:r>
    </w:p>
    <w:p>
      <w:pPr>
        <w:pStyle w:val="BodyText"/>
        <w:spacing w:before="6"/>
        <w:rPr>
          <w:sz w:val="15"/>
        </w:rPr>
      </w:pPr>
    </w:p>
    <w:p>
      <w:pPr>
        <w:pStyle w:val="BodyText"/>
        <w:spacing w:line="417" w:lineRule="auto"/>
        <w:ind w:left="540" w:right="311" w:firstLine="419"/>
        <w:jc w:val="both"/>
      </w:pPr>
      <w:r>
        <w:rPr>
          <w:spacing w:val="-3"/>
        </w:rPr>
        <w:t>屠环宇先生，金融硕士。</w:t>
      </w:r>
      <w:r>
        <w:rPr>
          <w:rFonts w:ascii="Times New Roman" w:eastAsia="Times New Roman"/>
        </w:rPr>
        <w:t>2015 </w:t>
      </w:r>
      <w:r>
        <w:rPr>
          <w:spacing w:val="-10"/>
        </w:rPr>
        <w:t>年 </w:t>
      </w:r>
      <w:r>
        <w:rPr>
          <w:rFonts w:ascii="Times New Roman" w:eastAsia="Times New Roman"/>
        </w:rPr>
        <w:t>7 </w:t>
      </w:r>
      <w:r>
        <w:rPr>
          <w:spacing w:val="-3"/>
        </w:rPr>
        <w:t>月加入华夏基金管理有限公司，曾任投资研究部研</w:t>
      </w:r>
      <w:r>
        <w:rPr>
          <w:spacing w:val="-11"/>
        </w:rPr>
        <w:t>究员、基金经理助理等，现任投资研究部高级副总裁，华夏创新前沿股票型证券投资基金基</w:t>
      </w:r>
      <w:r>
        <w:rPr>
          <w:spacing w:val="-9"/>
        </w:rPr>
        <w:t>金经理</w:t>
      </w:r>
      <w:r>
        <w:rPr/>
        <w:t>（</w:t>
      </w:r>
      <w:r>
        <w:rPr>
          <w:rFonts w:ascii="Times New Roman" w:eastAsia="Times New Roman"/>
        </w:rPr>
        <w:t>2020 </w:t>
      </w:r>
      <w:r>
        <w:rPr>
          <w:spacing w:val="-27"/>
        </w:rPr>
        <w:t>年 </w:t>
      </w:r>
      <w:r>
        <w:rPr>
          <w:rFonts w:ascii="Times New Roman" w:eastAsia="Times New Roman"/>
        </w:rPr>
        <w:t>3 </w:t>
      </w:r>
      <w:r>
        <w:rPr>
          <w:spacing w:val="-27"/>
        </w:rPr>
        <w:t>月 </w:t>
      </w:r>
      <w:r>
        <w:rPr>
          <w:rFonts w:ascii="Times New Roman" w:eastAsia="Times New Roman"/>
        </w:rPr>
        <w:t>23 </w:t>
      </w:r>
      <w:r>
        <w:rPr>
          <w:spacing w:val="-1"/>
        </w:rPr>
        <w:t>日起任职</w:t>
      </w:r>
      <w:r>
        <w:rPr>
          <w:spacing w:val="-108"/>
        </w:rPr>
        <w:t>）</w:t>
      </w:r>
      <w:r>
        <w:rPr/>
        <w:t>。</w:t>
      </w:r>
    </w:p>
    <w:p>
      <w:pPr>
        <w:pStyle w:val="BodyText"/>
        <w:spacing w:line="269" w:lineRule="exact"/>
        <w:ind w:left="960"/>
        <w:jc w:val="both"/>
      </w:pPr>
      <w:r>
        <w:rPr/>
        <w:t>历任基金经理：</w:t>
      </w:r>
      <w:r>
        <w:rPr>
          <w:rFonts w:ascii="Times New Roman" w:eastAsia="Times New Roman"/>
        </w:rPr>
        <w:t>2016 </w:t>
      </w:r>
      <w:r>
        <w:rPr/>
        <w:t>年 </w:t>
      </w:r>
      <w:r>
        <w:rPr>
          <w:rFonts w:ascii="Times New Roman" w:eastAsia="Times New Roman"/>
        </w:rPr>
        <w:t>9 </w:t>
      </w:r>
      <w:r>
        <w:rPr/>
        <w:t>月 </w:t>
      </w:r>
      <w:r>
        <w:rPr>
          <w:rFonts w:ascii="Times New Roman" w:eastAsia="Times New Roman"/>
        </w:rPr>
        <w:t>7 </w:t>
      </w:r>
      <w:r>
        <w:rPr/>
        <w:t>日至 </w:t>
      </w:r>
      <w:r>
        <w:rPr>
          <w:rFonts w:ascii="Times New Roman" w:eastAsia="Times New Roman"/>
        </w:rPr>
        <w:t>2018 </w:t>
      </w:r>
      <w:r>
        <w:rPr/>
        <w:t>年 </w:t>
      </w:r>
      <w:r>
        <w:rPr>
          <w:rFonts w:ascii="Times New Roman" w:eastAsia="Times New Roman"/>
        </w:rPr>
        <w:t>1 </w:t>
      </w:r>
      <w:r>
        <w:rPr/>
        <w:t>月 </w:t>
      </w:r>
      <w:r>
        <w:rPr>
          <w:rFonts w:ascii="Times New Roman" w:eastAsia="Times New Roman"/>
        </w:rPr>
        <w:t>17 </w:t>
      </w:r>
      <w:r>
        <w:rPr/>
        <w:t>日期间，郑煜女士任基金经理。</w:t>
      </w:r>
    </w:p>
    <w:p>
      <w:pPr>
        <w:pStyle w:val="BodyText"/>
        <w:spacing w:before="7"/>
        <w:rPr>
          <w:sz w:val="15"/>
        </w:rPr>
      </w:pPr>
    </w:p>
    <w:p>
      <w:pPr>
        <w:pStyle w:val="BodyText"/>
        <w:ind w:left="960"/>
      </w:pPr>
      <w:r>
        <w:rPr>
          <w:rFonts w:ascii="Times New Roman" w:eastAsia="Times New Roman"/>
        </w:rPr>
        <w:t>3</w:t>
      </w:r>
      <w:r>
        <w:rPr/>
        <w:t>、本公司股票投资决策委员会</w:t>
      </w:r>
    </w:p>
    <w:p>
      <w:pPr>
        <w:pStyle w:val="BodyText"/>
        <w:spacing w:before="7"/>
        <w:rPr>
          <w:sz w:val="15"/>
        </w:rPr>
      </w:pPr>
    </w:p>
    <w:p>
      <w:pPr>
        <w:pStyle w:val="BodyText"/>
        <w:spacing w:line="417" w:lineRule="auto"/>
        <w:ind w:left="960" w:right="1266"/>
      </w:pPr>
      <w:r>
        <w:rPr>
          <w:spacing w:val="-3"/>
        </w:rPr>
        <w:t>主任：阳琨先生，华夏基金管理有限公司副总经理、投资总监，基金经理。成员：李一梅女士，华夏基金管理有限公司董事、总经理。</w:t>
      </w:r>
    </w:p>
    <w:p>
      <w:pPr>
        <w:pStyle w:val="BodyText"/>
        <w:spacing w:line="417" w:lineRule="auto"/>
        <w:ind w:left="960" w:right="1478"/>
      </w:pPr>
      <w:r>
        <w:rPr>
          <w:spacing w:val="-3"/>
        </w:rPr>
        <w:t>孙彬先生，华夏基金管理有限公司总经理助理，董事总经理，投资经理。郑煜女士，华夏基金管理有限公司董事总经理，基金经理。</w:t>
      </w:r>
    </w:p>
    <w:p>
      <w:pPr>
        <w:pStyle w:val="BodyText"/>
        <w:spacing w:line="269" w:lineRule="exact"/>
        <w:ind w:left="960"/>
      </w:pPr>
      <w:r>
        <w:rPr/>
        <w:t>蔡向阳先生，华夏基金管理有限公司董事总经理，基金经理。</w:t>
      </w:r>
    </w:p>
    <w:p>
      <w:pPr>
        <w:pStyle w:val="BodyText"/>
        <w:spacing w:before="6"/>
        <w:rPr>
          <w:sz w:val="15"/>
        </w:rPr>
      </w:pPr>
    </w:p>
    <w:p>
      <w:pPr>
        <w:pStyle w:val="BodyText"/>
        <w:spacing w:line="417" w:lineRule="auto" w:before="1"/>
        <w:ind w:left="960" w:right="126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line="269" w:lineRule="exact"/>
        <w:ind w:left="960"/>
      </w:pPr>
      <w:r>
        <w:rPr/>
        <w:t>（三）基金管理人的职责</w:t>
      </w:r>
    </w:p>
    <w:p>
      <w:pPr>
        <w:pStyle w:val="BodyText"/>
        <w:spacing w:before="6"/>
        <w:rPr>
          <w:sz w:val="15"/>
        </w:rPr>
      </w:pPr>
    </w:p>
    <w:p>
      <w:pPr>
        <w:pStyle w:val="BodyText"/>
        <w:spacing w:line="417" w:lineRule="auto"/>
        <w:ind w:left="540" w:right="31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line="269" w:lineRule="exact"/>
        <w:ind w:left="960"/>
      </w:pPr>
      <w:r>
        <w:rPr>
          <w:rFonts w:ascii="Times New Roman" w:eastAsia="Times New Roman"/>
        </w:rPr>
        <w:t>2</w:t>
      </w:r>
      <w:r>
        <w:rPr/>
        <w:t>、办理基金备案手续。</w:t>
      </w:r>
    </w:p>
    <w:p>
      <w:pPr>
        <w:pStyle w:val="BodyText"/>
        <w:spacing w:before="7"/>
        <w:rPr>
          <w:sz w:val="15"/>
        </w:rPr>
      </w:pPr>
    </w:p>
    <w:p>
      <w:pPr>
        <w:pStyle w:val="BodyText"/>
        <w:ind w:left="96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96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960"/>
      </w:pPr>
      <w:r>
        <w:rPr>
          <w:rFonts w:ascii="Times New Roman" w:eastAsia="Times New Roman"/>
        </w:rPr>
        <w:t>5</w:t>
      </w:r>
      <w:r>
        <w:rPr/>
        <w:t>、进行基金会计核算并编制基金财务会计报告。</w:t>
      </w:r>
    </w:p>
    <w:p>
      <w:pPr>
        <w:spacing w:after="0"/>
        <w:sectPr>
          <w:pgSz w:w="11910" w:h="16840"/>
          <w:pgMar w:header="877" w:footer="995" w:top="1420" w:bottom="1180" w:left="1260" w:right="1480"/>
        </w:sectPr>
      </w:pPr>
    </w:p>
    <w:p>
      <w:pPr>
        <w:pStyle w:val="BodyText"/>
        <w:spacing w:before="110"/>
        <w:ind w:left="960"/>
      </w:pPr>
      <w:r>
        <w:rPr>
          <w:rFonts w:ascii="Times New Roman" w:eastAsia="Times New Roman"/>
        </w:rPr>
        <w:t>6</w:t>
      </w:r>
      <w:r>
        <w:rPr/>
        <w:t>、编制中期和年度基金报告。</w:t>
      </w:r>
    </w:p>
    <w:p>
      <w:pPr>
        <w:pStyle w:val="BodyText"/>
        <w:spacing w:before="6"/>
        <w:rPr>
          <w:sz w:val="15"/>
        </w:rPr>
      </w:pPr>
    </w:p>
    <w:p>
      <w:pPr>
        <w:pStyle w:val="BodyText"/>
        <w:ind w:left="96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96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960"/>
      </w:pPr>
      <w:r>
        <w:rPr>
          <w:rFonts w:ascii="Times New Roman" w:eastAsia="Times New Roman"/>
        </w:rPr>
        <w:t>9</w:t>
      </w:r>
      <w:r>
        <w:rPr/>
        <w:t>、召集基金份额持有人大会。</w:t>
      </w:r>
    </w:p>
    <w:p>
      <w:pPr>
        <w:pStyle w:val="BodyText"/>
        <w:spacing w:before="7"/>
        <w:rPr>
          <w:sz w:val="15"/>
        </w:rPr>
      </w:pPr>
    </w:p>
    <w:p>
      <w:pPr>
        <w:pStyle w:val="BodyText"/>
        <w:ind w:left="960"/>
      </w:pPr>
      <w:r>
        <w:rPr>
          <w:rFonts w:ascii="Times New Roman" w:eastAsia="Times New Roman"/>
        </w:rPr>
        <w:t>10</w:t>
      </w:r>
      <w:r>
        <w:rPr/>
        <w:t>、保存基金财产管理业务活动的记录、账册、报表和其他相关资料。</w:t>
      </w:r>
    </w:p>
    <w:p>
      <w:pPr>
        <w:pStyle w:val="BodyText"/>
        <w:spacing w:before="6"/>
        <w:rPr>
          <w:sz w:val="15"/>
        </w:rPr>
      </w:pPr>
    </w:p>
    <w:p>
      <w:pPr>
        <w:pStyle w:val="BodyText"/>
        <w:ind w:left="960"/>
      </w:pPr>
      <w:r>
        <w:rPr>
          <w:rFonts w:ascii="Times New Roman" w:eastAsia="Times New Roman"/>
        </w:rPr>
        <w:t>11</w:t>
      </w:r>
      <w:r>
        <w:rPr/>
        <w:t>、以基金管理人名义，代表基金份额持有人利益行使诉讼权利或者实施其他法律行为。</w:t>
      </w:r>
    </w:p>
    <w:p>
      <w:pPr>
        <w:pStyle w:val="BodyText"/>
        <w:spacing w:before="7"/>
        <w:rPr>
          <w:sz w:val="15"/>
        </w:rPr>
      </w:pPr>
    </w:p>
    <w:p>
      <w:pPr>
        <w:pStyle w:val="BodyText"/>
        <w:ind w:left="960"/>
      </w:pPr>
      <w:r>
        <w:rPr>
          <w:rFonts w:ascii="Times New Roman" w:eastAsia="Times New Roman"/>
        </w:rPr>
        <w:t>12</w:t>
      </w:r>
      <w:r>
        <w:rPr/>
        <w:t>、国务院证券监督管理机构规定的其他职责。</w:t>
      </w:r>
    </w:p>
    <w:p>
      <w:pPr>
        <w:pStyle w:val="BodyText"/>
        <w:spacing w:before="7"/>
        <w:rPr>
          <w:sz w:val="15"/>
        </w:rPr>
      </w:pPr>
    </w:p>
    <w:p>
      <w:pPr>
        <w:pStyle w:val="BodyText"/>
        <w:spacing w:before="1"/>
        <w:ind w:left="960"/>
      </w:pPr>
      <w:r>
        <w:rPr/>
        <w:t>（四）基金管理人承诺</w:t>
      </w:r>
    </w:p>
    <w:p>
      <w:pPr>
        <w:pStyle w:val="BodyText"/>
        <w:spacing w:before="6"/>
        <w:rPr>
          <w:sz w:val="15"/>
        </w:rPr>
      </w:pPr>
    </w:p>
    <w:p>
      <w:pPr>
        <w:pStyle w:val="BodyText"/>
        <w:spacing w:line="417" w:lineRule="auto"/>
        <w:ind w:left="540" w:right="3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540" w:right="31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540" w:right="31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1"/>
        </w:numPr>
        <w:tabs>
          <w:tab w:pos="1490" w:val="left" w:leader="none"/>
        </w:tabs>
        <w:spacing w:line="240" w:lineRule="auto" w:before="1"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依照法律法规有关规定，由中国证监会规定禁止的其他活动。</w:t>
      </w:r>
    </w:p>
    <w:p>
      <w:pPr>
        <w:pStyle w:val="BodyText"/>
        <w:spacing w:before="7"/>
        <w:rPr>
          <w:sz w:val="15"/>
        </w:rPr>
      </w:pPr>
    </w:p>
    <w:p>
      <w:pPr>
        <w:pStyle w:val="BodyText"/>
        <w:spacing w:line="417" w:lineRule="auto"/>
        <w:ind w:left="540" w:right="10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540" w:right="311" w:firstLine="419"/>
      </w:pPr>
      <w:r>
        <w:rPr>
          <w:spacing w:val="-8"/>
        </w:rPr>
        <w:t>如法律法规或监管部门修改或取消上述禁止性规定，基金管理人在履行适当程序后可相</w:t>
      </w:r>
      <w:r>
        <w:rPr>
          <w:spacing w:val="-5"/>
        </w:rPr>
        <w:t>应调整投资禁止行为的规定，不受上述规定的限制。</w:t>
      </w:r>
    </w:p>
    <w:p>
      <w:pPr>
        <w:pStyle w:val="BodyText"/>
        <w:spacing w:line="417" w:lineRule="auto"/>
        <w:ind w:left="540" w:right="31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spacing w:after="0" w:line="417" w:lineRule="auto"/>
        <w:sectPr>
          <w:pgSz w:w="11910" w:h="16840"/>
          <w:pgMar w:header="877" w:footer="995" w:top="1420" w:bottom="1180" w:left="1260" w:right="1480"/>
        </w:sectPr>
      </w:pPr>
    </w:p>
    <w:p>
      <w:pPr>
        <w:pStyle w:val="ListParagraph"/>
        <w:numPr>
          <w:ilvl w:val="0"/>
          <w:numId w:val="2"/>
        </w:numPr>
        <w:tabs>
          <w:tab w:pos="1490" w:val="left" w:leader="none"/>
        </w:tabs>
        <w:spacing w:line="240" w:lineRule="auto" w:before="110" w:after="0"/>
        <w:ind w:left="148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14"/>
          <w:sz w:val="21"/>
        </w:rPr>
        <w:t>依照法律、行政法规有关规定，由国务院证券监督管理机构规定禁止的其他行为。</w:t>
      </w:r>
    </w:p>
    <w:p>
      <w:pPr>
        <w:pStyle w:val="BodyText"/>
        <w:spacing w:before="6"/>
        <w:rPr>
          <w:sz w:val="15"/>
        </w:rPr>
      </w:pPr>
    </w:p>
    <w:p>
      <w:pPr>
        <w:pStyle w:val="BodyText"/>
        <w:ind w:left="960"/>
      </w:pPr>
      <w:r>
        <w:rPr>
          <w:rFonts w:ascii="Times New Roman" w:eastAsia="Times New Roman"/>
        </w:rPr>
        <w:t>5</w:t>
      </w:r>
      <w:r>
        <w:rPr/>
        <w:t>、基金经理承诺</w:t>
      </w:r>
    </w:p>
    <w:p>
      <w:pPr>
        <w:pStyle w:val="BodyText"/>
        <w:spacing w:before="7"/>
        <w:rPr>
          <w:sz w:val="15"/>
        </w:rPr>
      </w:pP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90" w:val="left" w:leader="none"/>
        </w:tabs>
        <w:spacing w:line="429" w:lineRule="auto" w:before="10" w:after="0"/>
        <w:ind w:left="540" w:right="31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974"/>
      </w:pPr>
      <w:r>
        <w:rPr/>
        <w:t>（五）基金管理人的内部控制制度</w:t>
      </w:r>
    </w:p>
    <w:p>
      <w:pPr>
        <w:pStyle w:val="BodyText"/>
        <w:spacing w:before="8"/>
        <w:rPr>
          <w:sz w:val="16"/>
        </w:rPr>
      </w:pPr>
    </w:p>
    <w:p>
      <w:pPr>
        <w:pStyle w:val="BodyText"/>
        <w:spacing w:line="432" w:lineRule="auto"/>
        <w:ind w:left="540" w:right="20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960"/>
      </w:pPr>
      <w:r>
        <w:rPr>
          <w:rFonts w:ascii="Times New Roman" w:eastAsia="Times New Roman"/>
        </w:rPr>
        <w:t>1</w:t>
      </w:r>
      <w:r>
        <w:rPr/>
        <w:t>、控制环境</w:t>
      </w:r>
    </w:p>
    <w:p>
      <w:pPr>
        <w:pStyle w:val="BodyText"/>
        <w:spacing w:before="8"/>
        <w:rPr>
          <w:sz w:val="16"/>
        </w:rPr>
      </w:pPr>
    </w:p>
    <w:p>
      <w:pPr>
        <w:pStyle w:val="BodyText"/>
        <w:spacing w:line="432" w:lineRule="auto"/>
        <w:ind w:left="540" w:right="324" w:firstLine="434"/>
      </w:pPr>
      <w:r>
        <w:rPr/>
        <w:t>良好的控制环境包括科学的公司治理、有效的监督管理、合理的组织结构和有力的控制文化。</w:t>
      </w:r>
    </w:p>
    <w:p>
      <w:pPr>
        <w:pStyle w:val="ListParagraph"/>
        <w:numPr>
          <w:ilvl w:val="0"/>
          <w:numId w:val="4"/>
        </w:numPr>
        <w:tabs>
          <w:tab w:pos="1504" w:val="left" w:leader="none"/>
        </w:tabs>
        <w:spacing w:line="432" w:lineRule="auto" w:before="0" w:after="0"/>
        <w:ind w:left="540" w:right="3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502" w:val="left" w:leader="none"/>
        </w:tabs>
        <w:spacing w:line="432" w:lineRule="auto" w:before="0" w:after="0"/>
        <w:ind w:left="540" w:right="3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504" w:val="left" w:leader="none"/>
        </w:tabs>
        <w:spacing w:line="432" w:lineRule="auto" w:before="0" w:after="0"/>
        <w:ind w:left="540" w:right="31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974"/>
      </w:pPr>
      <w:r>
        <w:rPr>
          <w:rFonts w:ascii="Times New Roman" w:eastAsia="Times New Roman"/>
        </w:rPr>
        <w:t>2</w:t>
      </w:r>
      <w:r>
        <w:rPr/>
        <w:t>、风险评估</w:t>
      </w:r>
    </w:p>
    <w:p>
      <w:pPr>
        <w:pStyle w:val="BodyText"/>
        <w:spacing w:before="8"/>
        <w:rPr>
          <w:sz w:val="16"/>
        </w:rPr>
      </w:pPr>
    </w:p>
    <w:p>
      <w:pPr>
        <w:pStyle w:val="BodyText"/>
        <w:ind w:left="965"/>
      </w:pPr>
      <w:r>
        <w:rPr/>
        <w:t>公司各层面和各业务部门在确定各自的目标后，对影响目标实现的风险因素进行分析。</w:t>
      </w:r>
    </w:p>
    <w:p>
      <w:pPr>
        <w:spacing w:after="0"/>
        <w:sectPr>
          <w:pgSz w:w="11910" w:h="16840"/>
          <w:pgMar w:header="877" w:footer="995" w:top="1420" w:bottom="1180" w:left="1260" w:right="1480"/>
        </w:sectPr>
      </w:pPr>
    </w:p>
    <w:p>
      <w:pPr>
        <w:pStyle w:val="BodyText"/>
        <w:spacing w:line="432" w:lineRule="auto" w:before="119"/>
        <w:ind w:left="540" w:right="208"/>
      </w:pPr>
      <w:r>
        <w:rPr>
          <w:spacing w:val="-3"/>
        </w:rPr>
        <w:t>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6" w:lineRule="exact"/>
        <w:ind w:left="974"/>
      </w:pPr>
      <w:r>
        <w:rPr>
          <w:rFonts w:ascii="Times New Roman" w:eastAsia="Times New Roman"/>
        </w:rPr>
        <w:t>3</w:t>
      </w:r>
      <w:r>
        <w:rPr/>
        <w:t>、控制活动</w:t>
      </w:r>
    </w:p>
    <w:p>
      <w:pPr>
        <w:pStyle w:val="BodyText"/>
        <w:spacing w:before="8"/>
        <w:rPr>
          <w:sz w:val="16"/>
        </w:rPr>
      </w:pPr>
    </w:p>
    <w:p>
      <w:pPr>
        <w:pStyle w:val="BodyText"/>
        <w:spacing w:line="432" w:lineRule="auto" w:before="1"/>
        <w:ind w:left="540" w:right="3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504" w:val="left" w:leader="none"/>
        </w:tabs>
        <w:spacing w:line="267" w:lineRule="exact" w:before="0" w:after="0"/>
        <w:ind w:left="1503" w:right="0" w:hanging="530"/>
        <w:jc w:val="left"/>
        <w:rPr>
          <w:sz w:val="21"/>
        </w:rPr>
      </w:pPr>
      <w:r>
        <w:rPr>
          <w:spacing w:val="-3"/>
          <w:sz w:val="21"/>
        </w:rPr>
        <w:t>投资控制制度</w:t>
      </w:r>
    </w:p>
    <w:p>
      <w:pPr>
        <w:pStyle w:val="BodyText"/>
        <w:spacing w:before="10"/>
        <w:rPr>
          <w:sz w:val="16"/>
        </w:rPr>
      </w:pPr>
    </w:p>
    <w:p>
      <w:pPr>
        <w:pStyle w:val="BodyText"/>
        <w:spacing w:line="432" w:lineRule="auto"/>
        <w:ind w:left="540" w:right="10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432" w:lineRule="auto"/>
        <w:ind w:left="540" w:right="324"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540" w:right="31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540" w:right="324"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540" w:right="3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40" w:right="324"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504" w:val="left" w:leader="none"/>
        </w:tabs>
        <w:spacing w:line="269" w:lineRule="exact" w:before="0" w:after="0"/>
        <w:ind w:left="1503" w:right="0" w:hanging="530"/>
        <w:jc w:val="left"/>
        <w:rPr>
          <w:sz w:val="21"/>
        </w:rPr>
      </w:pPr>
      <w:r>
        <w:rPr>
          <w:spacing w:val="-3"/>
          <w:sz w:val="21"/>
        </w:rPr>
        <w:t>会计控制制度</w:t>
      </w:r>
    </w:p>
    <w:p>
      <w:pPr>
        <w:pStyle w:val="BodyText"/>
        <w:spacing w:before="184"/>
        <w:ind w:left="960"/>
      </w:pPr>
      <w:r>
        <w:rPr/>
        <w:t>①建立了基金会计的工作制度及相应的操作和控制规程，确保会计业务有章可循。</w:t>
      </w:r>
    </w:p>
    <w:p>
      <w:pPr>
        <w:pStyle w:val="BodyText"/>
        <w:spacing w:before="7"/>
        <w:rPr>
          <w:sz w:val="15"/>
        </w:rPr>
      </w:pPr>
    </w:p>
    <w:p>
      <w:pPr>
        <w:pStyle w:val="BodyText"/>
        <w:spacing w:before="1"/>
        <w:ind w:left="960"/>
      </w:pPr>
      <w:r>
        <w:rPr/>
        <w:t>②按照相互制约原则，建立了基金会计业务的复核制度以及与托管人相关业务的相互核</w:t>
      </w:r>
    </w:p>
    <w:p>
      <w:pPr>
        <w:spacing w:after="0"/>
        <w:sectPr>
          <w:pgSz w:w="11910" w:h="16840"/>
          <w:pgMar w:header="877" w:footer="995" w:top="1420" w:bottom="1180" w:left="1260" w:right="1480"/>
        </w:sectPr>
      </w:pPr>
    </w:p>
    <w:p>
      <w:pPr>
        <w:pStyle w:val="BodyText"/>
        <w:spacing w:before="110"/>
        <w:ind w:left="540"/>
      </w:pPr>
      <w:r>
        <w:rPr/>
        <w:t>查监督制度。</w:t>
      </w:r>
    </w:p>
    <w:p>
      <w:pPr>
        <w:pStyle w:val="BodyText"/>
        <w:spacing w:before="6"/>
        <w:rPr>
          <w:sz w:val="15"/>
        </w:rPr>
      </w:pPr>
    </w:p>
    <w:p>
      <w:pPr>
        <w:pStyle w:val="BodyText"/>
        <w:ind w:left="960"/>
      </w:pPr>
      <w:r>
        <w:rPr/>
        <w:t>③为了防范基金会计在资金头寸管理上出现透支风险，制定了资金头寸管理制度。</w:t>
      </w:r>
    </w:p>
    <w:p>
      <w:pPr>
        <w:pStyle w:val="BodyText"/>
        <w:spacing w:before="7"/>
        <w:rPr>
          <w:sz w:val="15"/>
        </w:rPr>
      </w:pPr>
    </w:p>
    <w:p>
      <w:pPr>
        <w:pStyle w:val="BodyText"/>
        <w:ind w:left="974"/>
      </w:pPr>
      <w:r>
        <w:rPr/>
        <w:t>④制定了完善的档案保管和财务交接制度。</w:t>
      </w:r>
    </w:p>
    <w:p>
      <w:pPr>
        <w:pStyle w:val="BodyText"/>
        <w:spacing w:before="7"/>
        <w:rPr>
          <w:sz w:val="15"/>
        </w:rPr>
      </w:pP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540" w:right="3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人力资源管理制度</w:t>
      </w:r>
    </w:p>
    <w:p>
      <w:pPr>
        <w:pStyle w:val="BodyText"/>
        <w:spacing w:before="10"/>
        <w:rPr>
          <w:sz w:val="16"/>
        </w:rPr>
      </w:pPr>
    </w:p>
    <w:p>
      <w:pPr>
        <w:pStyle w:val="BodyText"/>
        <w:spacing w:line="446" w:lineRule="auto" w:before="1"/>
        <w:ind w:left="540" w:right="324" w:firstLine="434"/>
      </w:pPr>
      <w:r>
        <w:rPr/>
        <w:t>公司建立了科学的招聘解聘制度、培训制度、考核制度、薪酬制度等人事管理制度， 确保人力资源的有效管理。</w:t>
      </w:r>
    </w:p>
    <w:p>
      <w:pPr>
        <w:pStyle w:val="ListParagraph"/>
        <w:numPr>
          <w:ilvl w:val="0"/>
          <w:numId w:val="5"/>
        </w:numPr>
        <w:tabs>
          <w:tab w:pos="1504" w:val="left" w:leader="none"/>
        </w:tabs>
        <w:spacing w:line="267" w:lineRule="exact" w:before="0" w:after="0"/>
        <w:ind w:left="1503" w:right="0" w:hanging="530"/>
        <w:jc w:val="left"/>
        <w:rPr>
          <w:sz w:val="21"/>
        </w:rPr>
      </w:pPr>
      <w:r>
        <w:rPr>
          <w:spacing w:val="-2"/>
          <w:sz w:val="21"/>
        </w:rPr>
        <w:t>监察制度</w:t>
      </w:r>
    </w:p>
    <w:p>
      <w:pPr>
        <w:pStyle w:val="BodyText"/>
        <w:spacing w:before="12"/>
        <w:rPr>
          <w:sz w:val="17"/>
        </w:rPr>
      </w:pPr>
    </w:p>
    <w:p>
      <w:pPr>
        <w:pStyle w:val="BodyText"/>
        <w:spacing w:line="446" w:lineRule="auto"/>
        <w:ind w:left="540" w:right="32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504" w:val="left" w:leader="none"/>
        </w:tabs>
        <w:spacing w:line="250" w:lineRule="exact" w:before="0" w:after="0"/>
        <w:ind w:left="1503" w:right="0" w:hanging="530"/>
        <w:jc w:val="left"/>
        <w:rPr>
          <w:sz w:val="21"/>
        </w:rPr>
      </w:pPr>
      <w:r>
        <w:rPr>
          <w:spacing w:val="-3"/>
          <w:sz w:val="21"/>
        </w:rPr>
        <w:t>反洗钱制度</w:t>
      </w:r>
    </w:p>
    <w:p>
      <w:pPr>
        <w:pStyle w:val="BodyText"/>
        <w:spacing w:before="7"/>
        <w:rPr>
          <w:sz w:val="15"/>
        </w:rPr>
      </w:pPr>
    </w:p>
    <w:p>
      <w:pPr>
        <w:pStyle w:val="BodyText"/>
        <w:spacing w:line="417" w:lineRule="auto"/>
        <w:ind w:left="540" w:right="3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6"/>
        <w:ind w:left="974"/>
      </w:pPr>
      <w:r>
        <w:rPr>
          <w:rFonts w:ascii="Times New Roman" w:eastAsia="Times New Roman"/>
        </w:rPr>
        <w:t>4</w:t>
      </w:r>
      <w:r>
        <w:rPr/>
        <w:t>、信息沟通</w:t>
      </w:r>
    </w:p>
    <w:p>
      <w:pPr>
        <w:pStyle w:val="BodyText"/>
        <w:spacing w:before="12"/>
        <w:rPr>
          <w:sz w:val="17"/>
        </w:rPr>
      </w:pPr>
    </w:p>
    <w:p>
      <w:pPr>
        <w:pStyle w:val="BodyText"/>
        <w:spacing w:line="446" w:lineRule="auto"/>
        <w:ind w:left="540" w:right="330"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5" w:lineRule="exact"/>
        <w:ind w:left="974"/>
      </w:pPr>
      <w:r>
        <w:rPr>
          <w:rFonts w:ascii="Times New Roman" w:eastAsia="Times New Roman"/>
        </w:rPr>
        <w:t>5</w:t>
      </w:r>
      <w:r>
        <w:rPr/>
        <w:t>、内部监控</w:t>
      </w:r>
    </w:p>
    <w:p>
      <w:pPr>
        <w:pStyle w:val="BodyText"/>
        <w:rPr>
          <w:sz w:val="18"/>
        </w:rPr>
      </w:pPr>
    </w:p>
    <w:p>
      <w:pPr>
        <w:pStyle w:val="BodyText"/>
        <w:spacing w:line="446" w:lineRule="auto"/>
        <w:ind w:left="540" w:right="3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6" w:lineRule="exact"/>
        <w:ind w:left="960"/>
      </w:pPr>
      <w:r>
        <w:rPr>
          <w:rFonts w:ascii="Times New Roman" w:eastAsia="Times New Roman"/>
        </w:rPr>
        <w:t>6</w:t>
      </w:r>
      <w:r>
        <w:rPr/>
        <w:t>、基金管理人关于内部控制的声明</w:t>
      </w:r>
    </w:p>
    <w:p>
      <w:pPr>
        <w:pStyle w:val="BodyText"/>
        <w:spacing w:before="12"/>
        <w:rPr>
          <w:sz w:val="17"/>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本公司确知建立、实施和维持内部控制制度是本公司董事会及管理层的责任。</w:t>
      </w:r>
    </w:p>
    <w:p>
      <w:pPr>
        <w:spacing w:after="0" w:line="240" w:lineRule="auto"/>
        <w:jc w:val="left"/>
        <w:rPr>
          <w:sz w:val="21"/>
        </w:rPr>
        <w:sectPr>
          <w:pgSz w:w="11910" w:h="16840"/>
          <w:pgMar w:header="877" w:footer="995" w:top="1420" w:bottom="1180" w:left="1260" w:right="1480"/>
        </w:sectPr>
      </w:pPr>
    </w:p>
    <w:p>
      <w:pPr>
        <w:pStyle w:val="ListParagraph"/>
        <w:numPr>
          <w:ilvl w:val="0"/>
          <w:numId w:val="6"/>
        </w:numPr>
        <w:tabs>
          <w:tab w:pos="1490" w:val="left" w:leader="none"/>
        </w:tabs>
        <w:spacing w:line="240" w:lineRule="auto" w:before="126" w:after="0"/>
        <w:ind w:left="1489" w:right="0" w:hanging="530"/>
        <w:jc w:val="left"/>
        <w:rPr>
          <w:sz w:val="21"/>
        </w:rPr>
      </w:pPr>
      <w:r>
        <w:rPr>
          <w:spacing w:val="-3"/>
          <w:sz w:val="21"/>
        </w:rPr>
        <w:t>上述关于内部控制的披露真实、准确。</w:t>
      </w:r>
    </w:p>
    <w:p>
      <w:pPr>
        <w:pStyle w:val="BodyText"/>
        <w:rPr>
          <w:sz w:val="18"/>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4"/>
        <w:rPr>
          <w:sz w:val="32"/>
        </w:rPr>
      </w:pPr>
    </w:p>
    <w:p>
      <w:pPr>
        <w:pStyle w:val="Heading1"/>
      </w:pPr>
      <w:bookmarkStart w:name="_bookmark3" w:id="4"/>
      <w:bookmarkEnd w:id="4"/>
      <w:r>
        <w:rPr>
          <w:b w:val="0"/>
        </w:rPr>
      </w:r>
      <w:r>
        <w:rPr/>
        <w:t>四、基金托管人</w:t>
      </w:r>
    </w:p>
    <w:p>
      <w:pPr>
        <w:pStyle w:val="BodyText"/>
        <w:rPr>
          <w:b/>
          <w:sz w:val="20"/>
        </w:rPr>
      </w:pPr>
    </w:p>
    <w:p>
      <w:pPr>
        <w:pStyle w:val="BodyText"/>
        <w:rPr>
          <w:b/>
          <w:sz w:val="20"/>
        </w:rPr>
      </w:pPr>
    </w:p>
    <w:p>
      <w:pPr>
        <w:pStyle w:val="BodyText"/>
        <w:spacing w:before="157"/>
        <w:ind w:left="960"/>
      </w:pPr>
      <w:r>
        <w:rPr/>
        <w:t>（一）基金托管人情况</w:t>
      </w:r>
    </w:p>
    <w:p>
      <w:pPr>
        <w:pStyle w:val="BodyText"/>
        <w:spacing w:before="6"/>
        <w:rPr>
          <w:sz w:val="15"/>
        </w:rPr>
      </w:pPr>
    </w:p>
    <w:p>
      <w:pPr>
        <w:pStyle w:val="BodyText"/>
        <w:ind w:left="960"/>
      </w:pPr>
      <w:r>
        <w:rPr>
          <w:rFonts w:ascii="Times New Roman" w:eastAsia="Times New Roman"/>
        </w:rPr>
        <w:t>1</w:t>
      </w:r>
      <w:r>
        <w:rPr/>
        <w:t>、基本情况</w:t>
      </w:r>
    </w:p>
    <w:p>
      <w:pPr>
        <w:pStyle w:val="BodyText"/>
        <w:spacing w:before="8"/>
        <w:rPr>
          <w:sz w:val="15"/>
        </w:rPr>
      </w:pPr>
    </w:p>
    <w:p>
      <w:pPr>
        <w:pStyle w:val="BodyText"/>
        <w:spacing w:line="417" w:lineRule="auto"/>
        <w:ind w:left="960" w:right="3018"/>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w:t>
      </w:r>
      <w:r>
        <w:rPr>
          <w:rFonts w:ascii="Times New Roman" w:eastAsia="Times New Roman"/>
        </w:rPr>
        <w:t>25</w:t>
      </w:r>
      <w:r>
        <w:rPr/>
        <w:t>号</w:t>
      </w:r>
    </w:p>
    <w:p>
      <w:pPr>
        <w:pStyle w:val="BodyText"/>
        <w:spacing w:line="417" w:lineRule="auto"/>
        <w:ind w:left="960" w:right="3792"/>
      </w:pPr>
      <w:r>
        <w:rPr/>
        <w:t>办公地址：北京市西城区闹市口大街</w:t>
      </w:r>
      <w:r>
        <w:rPr>
          <w:rFonts w:ascii="Times New Roman" w:eastAsia="Times New Roman"/>
        </w:rPr>
        <w:t>1</w:t>
      </w:r>
      <w:r>
        <w:rPr/>
        <w:t>号院</w:t>
      </w:r>
      <w:r>
        <w:rPr>
          <w:rFonts w:ascii="Times New Roman" w:eastAsia="Times New Roman"/>
        </w:rPr>
        <w:t>1</w:t>
      </w:r>
      <w:r>
        <w:rPr/>
        <w:t>号楼法定代表人：田国立</w:t>
      </w:r>
    </w:p>
    <w:p>
      <w:pPr>
        <w:pStyle w:val="BodyText"/>
        <w:spacing w:line="417" w:lineRule="auto"/>
        <w:ind w:left="960" w:right="5681"/>
      </w:pPr>
      <w:r>
        <w:rPr/>
        <w:t>成立时间：</w:t>
      </w:r>
      <w:r>
        <w:rPr>
          <w:rFonts w:ascii="Times New Roman" w:eastAsia="Times New Roman"/>
        </w:rPr>
        <w:t>2004</w:t>
      </w:r>
      <w:r>
        <w:rPr/>
        <w:t>年</w:t>
      </w:r>
      <w:r>
        <w:rPr>
          <w:rFonts w:ascii="Times New Roman" w:eastAsia="Times New Roman"/>
        </w:rPr>
        <w:t>09</w:t>
      </w:r>
      <w:r>
        <w:rPr/>
        <w:t>月</w:t>
      </w:r>
      <w:r>
        <w:rPr>
          <w:rFonts w:ascii="Times New Roman" w:eastAsia="Times New Roman"/>
        </w:rPr>
        <w:t>17</w:t>
      </w:r>
      <w:r>
        <w:rPr/>
        <w:t>日组织形式：股份有限公司</w:t>
      </w:r>
    </w:p>
    <w:p>
      <w:pPr>
        <w:pStyle w:val="BodyText"/>
        <w:spacing w:line="417" w:lineRule="auto"/>
        <w:ind w:left="960" w:right="2738"/>
      </w:pPr>
      <w:r>
        <w:rPr/>
        <w:t>注册资本：贰仟伍佰亿壹仟零玖拾柒万柒仟肆佰捌拾陆元整存续期间：持续经营</w:t>
      </w:r>
    </w:p>
    <w:p>
      <w:pPr>
        <w:pStyle w:val="BodyText"/>
        <w:spacing w:line="417" w:lineRule="auto"/>
        <w:ind w:left="960" w:right="2807"/>
      </w:pPr>
      <w:r>
        <w:rPr/>
        <w:t>基金托管资格批文及文号：中国证监会证监基字</w:t>
      </w:r>
      <w:r>
        <w:rPr>
          <w:rFonts w:ascii="Times New Roman" w:eastAsia="Times New Roman"/>
        </w:rPr>
        <w:t>[1998]12</w:t>
      </w:r>
      <w:r>
        <w:rPr/>
        <w:t>号联系人：周海新</w:t>
      </w:r>
    </w:p>
    <w:p>
      <w:pPr>
        <w:pStyle w:val="BodyText"/>
        <w:spacing w:line="269" w:lineRule="exact"/>
        <w:ind w:left="960"/>
        <w:rPr>
          <w:rFonts w:ascii="Times New Roman" w:eastAsia="Times New Roman"/>
        </w:rPr>
      </w:pPr>
      <w:r>
        <w:rPr/>
        <w:t>联系电话：</w:t>
      </w:r>
      <w:r>
        <w:rPr>
          <w:rFonts w:ascii="Times New Roman" w:eastAsia="Times New Roman"/>
        </w:rPr>
        <w:t>(021)6063 7111</w:t>
      </w:r>
    </w:p>
    <w:p>
      <w:pPr>
        <w:pStyle w:val="BodyText"/>
        <w:spacing w:before="2"/>
        <w:rPr>
          <w:rFonts w:ascii="Times New Roman"/>
          <w:sz w:val="17"/>
        </w:rPr>
      </w:pPr>
    </w:p>
    <w:p>
      <w:pPr>
        <w:pStyle w:val="BodyText"/>
        <w:ind w:left="960"/>
      </w:pPr>
      <w:r>
        <w:rPr>
          <w:rFonts w:ascii="Times New Roman" w:eastAsia="Times New Roman"/>
        </w:rPr>
        <w:t>2</w:t>
      </w:r>
      <w:r>
        <w:rPr/>
        <w:t>、主要人员情况</w:t>
      </w:r>
    </w:p>
    <w:p>
      <w:pPr>
        <w:pStyle w:val="BodyText"/>
        <w:spacing w:before="7"/>
        <w:rPr>
          <w:sz w:val="15"/>
        </w:rPr>
      </w:pPr>
    </w:p>
    <w:p>
      <w:pPr>
        <w:pStyle w:val="BodyText"/>
        <w:spacing w:line="417" w:lineRule="auto"/>
        <w:ind w:left="540" w:right="311" w:firstLine="419"/>
        <w:jc w:val="both"/>
      </w:pPr>
      <w:r>
        <w:rPr>
          <w:spacing w:val="-18"/>
        </w:rPr>
        <w:t>中国建设银行总行设资产托管业务部，下设综合处、基金市场处、证券保险资产市场处、</w:t>
      </w:r>
      <w:r>
        <w:rPr>
          <w:spacing w:val="-13"/>
        </w:rPr>
        <w:t>理财信托股权市场处、全球托管处、养老金托管处、新兴业务处、运营管理处、跨境托管运</w:t>
      </w:r>
      <w:r>
        <w:rPr>
          <w:spacing w:val="-11"/>
        </w:rPr>
        <w:t>营处、社保及大客户服务处、托管应用系统支持处、合规监督处等</w:t>
      </w:r>
      <w:r>
        <w:rPr>
          <w:rFonts w:ascii="Times New Roman" w:eastAsia="Times New Roman"/>
        </w:rPr>
        <w:t>12</w:t>
      </w:r>
      <w:r>
        <w:rPr>
          <w:spacing w:val="-6"/>
        </w:rPr>
        <w:t>个职能处室，在安徽合</w:t>
      </w:r>
      <w:r>
        <w:rPr>
          <w:spacing w:val="-5"/>
        </w:rPr>
        <w:t>肥设有托管运营中心，在上海设有托管运营中心上海分中心，共有员工</w:t>
      </w:r>
      <w:r>
        <w:rPr>
          <w:rFonts w:ascii="Times New Roman" w:eastAsia="Times New Roman"/>
        </w:rPr>
        <w:t>300</w:t>
      </w:r>
      <w:r>
        <w:rPr>
          <w:spacing w:val="-2"/>
        </w:rPr>
        <w:t>余人。自</w:t>
      </w:r>
      <w:r>
        <w:rPr>
          <w:rFonts w:ascii="Times New Roman" w:eastAsia="Times New Roman"/>
        </w:rPr>
        <w:t>2007</w:t>
      </w:r>
      <w:r>
        <w:rPr/>
        <w:t>年</w:t>
      </w:r>
      <w:r>
        <w:rPr>
          <w:spacing w:val="-10"/>
        </w:rPr>
        <w:t>起，托管部连续聘请外部会计师事务所对托管业务进行内部控制审计，并已经成为常规化的</w:t>
      </w:r>
      <w:r>
        <w:rPr>
          <w:spacing w:val="-5"/>
        </w:rPr>
        <w:t>内控工作手段。</w:t>
      </w:r>
    </w:p>
    <w:p>
      <w:pPr>
        <w:pStyle w:val="BodyText"/>
        <w:spacing w:line="269" w:lineRule="exact"/>
        <w:ind w:left="960"/>
      </w:pPr>
      <w:r>
        <w:rPr>
          <w:rFonts w:ascii="Times New Roman" w:eastAsia="Times New Roman"/>
        </w:rPr>
        <w:t>3</w:t>
      </w:r>
      <w:r>
        <w:rPr/>
        <w:t>、基金托管业务经营情况</w:t>
      </w:r>
    </w:p>
    <w:p>
      <w:pPr>
        <w:pStyle w:val="BodyText"/>
        <w:spacing w:before="7"/>
        <w:rPr>
          <w:sz w:val="15"/>
        </w:rPr>
      </w:pPr>
    </w:p>
    <w:p>
      <w:pPr>
        <w:pStyle w:val="BodyText"/>
        <w:spacing w:line="417" w:lineRule="auto"/>
        <w:ind w:left="540" w:right="311" w:firstLine="419"/>
        <w:jc w:val="both"/>
      </w:pPr>
      <w:r>
        <w:rPr>
          <w:spacing w:val="-3"/>
        </w:rPr>
        <w:t>作为国内首批开办证券投资基金托管业务的商业银行，中国建设银行一直秉持</w:t>
      </w:r>
      <w:r>
        <w:rPr>
          <w:rFonts w:ascii="Times New Roman" w:hAnsi="Times New Roman" w:eastAsia="Times New Roman"/>
        </w:rPr>
        <w:t>“</w:t>
      </w:r>
      <w:r>
        <w:rPr/>
        <w:t>以客户为中心</w:t>
      </w:r>
      <w:r>
        <w:rPr>
          <w:rFonts w:ascii="Times New Roman" w:hAnsi="Times New Roman" w:eastAsia="Times New Roman"/>
        </w:rPr>
        <w:t>”</w:t>
      </w:r>
      <w:r>
        <w:rPr>
          <w:spacing w:val="-3"/>
        </w:rPr>
        <w:t>的经营理念，不断加强风险管理和内部控制，严格履行托管人的各项职责，切实维</w:t>
      </w:r>
      <w:r>
        <w:rPr>
          <w:spacing w:val="-8"/>
        </w:rPr>
        <w:t>护资产持有人的合法权益，为资产委托人提供高质量的托管服务。经过多年稳步发展，中国</w:t>
      </w:r>
    </w:p>
    <w:p>
      <w:pPr>
        <w:spacing w:after="0" w:line="417" w:lineRule="auto"/>
        <w:jc w:val="both"/>
        <w:sectPr>
          <w:pgSz w:w="11910" w:h="16840"/>
          <w:pgMar w:header="877" w:footer="995" w:top="1420" w:bottom="1180" w:left="1260" w:right="1480"/>
        </w:sectPr>
      </w:pPr>
    </w:p>
    <w:p>
      <w:pPr>
        <w:pStyle w:val="BodyText"/>
        <w:spacing w:line="417" w:lineRule="auto" w:before="110"/>
        <w:ind w:left="540" w:right="205"/>
      </w:pPr>
      <w:r>
        <w:rPr>
          <w:spacing w:val="-9"/>
        </w:rPr>
        <w:t>建设银行托管资产规模不断扩大，托管业务品种不断增加，已形成包括证券投资基金、社保</w:t>
      </w:r>
      <w:r>
        <w:rPr>
          <w:spacing w:val="-5"/>
        </w:rPr>
        <w:t>基金、保险资金、基本养老个人账户、</w:t>
      </w:r>
      <w:r>
        <w:rPr>
          <w:rFonts w:ascii="Times New Roman" w:hAnsi="Times New Roman" w:eastAsia="Times New Roman"/>
          <w:spacing w:val="-3"/>
        </w:rPr>
        <w:t>(R)QFII</w:t>
      </w:r>
      <w:r>
        <w:rPr>
          <w:spacing w:val="-5"/>
        </w:rPr>
        <w:t>、</w:t>
      </w:r>
      <w:r>
        <w:rPr>
          <w:rFonts w:ascii="Times New Roman" w:hAnsi="Times New Roman" w:eastAsia="Times New Roman"/>
        </w:rPr>
        <w:t>(R)QDII</w:t>
      </w:r>
      <w:r>
        <w:rPr>
          <w:spacing w:val="-4"/>
        </w:rPr>
        <w:t>、企业年金、存托业务等产品在内的托管业务体系，是目前国内托管业务品种最齐全的商业银行之一。截至</w:t>
      </w:r>
      <w:r>
        <w:rPr>
          <w:rFonts w:ascii="Times New Roman" w:hAnsi="Times New Roman" w:eastAsia="Times New Roman"/>
        </w:rPr>
        <w:t>2020</w:t>
      </w:r>
      <w:r>
        <w:rPr>
          <w:spacing w:val="-1"/>
        </w:rPr>
        <w:t>年二季度末， </w:t>
      </w:r>
      <w:r>
        <w:rPr>
          <w:spacing w:val="-3"/>
        </w:rPr>
        <w:t>中国建设银行已托管</w:t>
      </w:r>
      <w:r>
        <w:rPr>
          <w:rFonts w:ascii="Times New Roman" w:hAnsi="Times New Roman" w:eastAsia="Times New Roman"/>
        </w:rPr>
        <w:t>1000</w:t>
      </w:r>
      <w:r>
        <w:rPr>
          <w:spacing w:val="-12"/>
        </w:rPr>
        <w:t>只证券投资基金。中国建设银行专业高效的托管服务能力和业务水</w:t>
      </w:r>
      <w:r>
        <w:rPr>
          <w:spacing w:val="-17"/>
        </w:rPr>
        <w:t>平，赢得了业内的高度认同。中国建设银行先后</w:t>
      </w:r>
      <w:r>
        <w:rPr>
          <w:rFonts w:ascii="Times New Roman" w:hAnsi="Times New Roman" w:eastAsia="Times New Roman"/>
        </w:rPr>
        <w:t>9</w:t>
      </w:r>
      <w:r>
        <w:rPr>
          <w:spacing w:val="-24"/>
        </w:rPr>
        <w:t>次获得《全球托管人》</w:t>
      </w:r>
      <w:r>
        <w:rPr>
          <w:rFonts w:ascii="Times New Roman" w:hAnsi="Times New Roman" w:eastAsia="Times New Roman"/>
          <w:spacing w:val="-3"/>
        </w:rPr>
        <w:t>“</w:t>
      </w:r>
      <w:r>
        <w:rPr>
          <w:spacing w:val="-3"/>
        </w:rPr>
        <w:t>中国最佳托管银行</w:t>
      </w:r>
      <w:r>
        <w:rPr>
          <w:rFonts w:ascii="Times New Roman" w:hAnsi="Times New Roman" w:eastAsia="Times New Roman"/>
          <w:spacing w:val="-3"/>
        </w:rPr>
        <w:t>”</w:t>
      </w:r>
      <w:r>
        <w:rPr/>
        <w:t>、 </w:t>
      </w:r>
      <w:r>
        <w:rPr>
          <w:rFonts w:ascii="Times New Roman" w:hAnsi="Times New Roman" w:eastAsia="Times New Roman"/>
        </w:rPr>
        <w:t>4</w:t>
      </w:r>
      <w:r>
        <w:rPr>
          <w:spacing w:val="-15"/>
        </w:rPr>
        <w:t>次获得《财资》</w:t>
      </w:r>
      <w:r>
        <w:rPr>
          <w:rFonts w:ascii="Times New Roman" w:hAnsi="Times New Roman" w:eastAsia="Times New Roman"/>
          <w:spacing w:val="-3"/>
        </w:rPr>
        <w:t>“</w:t>
      </w:r>
      <w:r>
        <w:rPr>
          <w:spacing w:val="-3"/>
        </w:rPr>
        <w:t>中国最佳次托管银行</w:t>
      </w:r>
      <w:r>
        <w:rPr>
          <w:rFonts w:ascii="Times New Roman" w:hAnsi="Times New Roman" w:eastAsia="Times New Roman"/>
        </w:rPr>
        <w:t>”</w:t>
      </w:r>
      <w:r>
        <w:rPr>
          <w:spacing w:val="-10"/>
        </w:rPr>
        <w:t>、连续多年荣获中央国债登记结算有限责任公司</w:t>
      </w:r>
      <w:r>
        <w:rPr/>
        <w:t>（中债</w:t>
      </w:r>
      <w:r>
        <w:rPr>
          <w:spacing w:val="-33"/>
        </w:rPr>
        <w:t>）</w:t>
      </w:r>
      <w:r>
        <w:rPr>
          <w:rFonts w:ascii="Times New Roman" w:hAnsi="Times New Roman" w:eastAsia="Times New Roman"/>
          <w:spacing w:val="-33"/>
        </w:rPr>
        <w:t>“</w:t>
      </w:r>
      <w:r>
        <w:rPr>
          <w:spacing w:val="-3"/>
        </w:rPr>
        <w:t>优秀资产托管机构</w:t>
      </w:r>
      <w:r>
        <w:rPr>
          <w:rFonts w:ascii="Times New Roman" w:hAnsi="Times New Roman" w:eastAsia="Times New Roman"/>
        </w:rPr>
        <w:t>”</w:t>
      </w:r>
      <w:r>
        <w:rPr>
          <w:spacing w:val="-14"/>
        </w:rPr>
        <w:t>、银行间市场清算所股份有限公司</w:t>
      </w:r>
      <w:r>
        <w:rPr/>
        <w:t>（</w:t>
      </w:r>
      <w:r>
        <w:rPr>
          <w:spacing w:val="-2"/>
        </w:rPr>
        <w:t>上清所</w:t>
      </w:r>
      <w:r>
        <w:rPr>
          <w:spacing w:val="-35"/>
        </w:rPr>
        <w:t>）</w:t>
      </w:r>
      <w:r>
        <w:rPr>
          <w:rFonts w:ascii="Times New Roman" w:hAnsi="Times New Roman" w:eastAsia="Times New Roman"/>
          <w:spacing w:val="-35"/>
        </w:rPr>
        <w:t>“</w:t>
      </w:r>
      <w:r>
        <w:rPr>
          <w:spacing w:val="-3"/>
        </w:rPr>
        <w:t>优秀托管银行</w:t>
      </w:r>
      <w:r>
        <w:rPr>
          <w:rFonts w:ascii="Times New Roman" w:hAnsi="Times New Roman" w:eastAsia="Times New Roman"/>
        </w:rPr>
        <w:t>”</w:t>
      </w:r>
      <w:r>
        <w:rPr>
          <w:spacing w:val="-2"/>
        </w:rPr>
        <w:t>奖项， 并在</w:t>
      </w:r>
      <w:r>
        <w:rPr>
          <w:rFonts w:ascii="Times New Roman" w:hAnsi="Times New Roman" w:eastAsia="Times New Roman"/>
          <w:spacing w:val="-2"/>
        </w:rPr>
        <w:t>2016</w:t>
      </w:r>
      <w:r>
        <w:rPr>
          <w:spacing w:val="-9"/>
        </w:rPr>
        <w:t>年被《环球金融》评为中国市场唯一一家</w:t>
      </w:r>
      <w:r>
        <w:rPr>
          <w:rFonts w:ascii="Times New Roman" w:hAnsi="Times New Roman" w:eastAsia="Times New Roman"/>
          <w:spacing w:val="-3"/>
        </w:rPr>
        <w:t>“</w:t>
      </w:r>
      <w:r>
        <w:rPr>
          <w:spacing w:val="-2"/>
        </w:rPr>
        <w:t>最佳托管银行</w:t>
      </w:r>
      <w:r>
        <w:rPr>
          <w:rFonts w:ascii="Times New Roman" w:hAnsi="Times New Roman" w:eastAsia="Times New Roman"/>
        </w:rPr>
        <w:t>”</w:t>
      </w:r>
      <w:r>
        <w:rPr>
          <w:spacing w:val="-14"/>
        </w:rPr>
        <w:t>、在</w:t>
      </w:r>
      <w:r>
        <w:rPr>
          <w:rFonts w:ascii="Times New Roman" w:hAnsi="Times New Roman" w:eastAsia="Times New Roman"/>
        </w:rPr>
        <w:t>2017</w:t>
      </w:r>
      <w:r>
        <w:rPr>
          <w:spacing w:val="-2"/>
        </w:rPr>
        <w:t>年及</w:t>
      </w:r>
      <w:r>
        <w:rPr>
          <w:rFonts w:ascii="Times New Roman" w:hAnsi="Times New Roman" w:eastAsia="Times New Roman"/>
        </w:rPr>
        <w:t>2019</w:t>
      </w:r>
      <w:r>
        <w:rPr>
          <w:spacing w:val="-2"/>
        </w:rPr>
        <w:t>年分别</w:t>
      </w:r>
      <w:r>
        <w:rPr>
          <w:spacing w:val="-3"/>
        </w:rPr>
        <w:t>荣获《亚洲银行家》</w:t>
      </w:r>
      <w:r>
        <w:rPr>
          <w:rFonts w:ascii="Times New Roman" w:hAnsi="Times New Roman" w:eastAsia="Times New Roman"/>
        </w:rPr>
        <w:t>“</w:t>
      </w:r>
      <w:r>
        <w:rPr>
          <w:spacing w:val="-3"/>
        </w:rPr>
        <w:t>最佳托管系统实施奖</w:t>
      </w:r>
      <w:r>
        <w:rPr>
          <w:rFonts w:ascii="Times New Roman" w:hAnsi="Times New Roman" w:eastAsia="Times New Roman"/>
        </w:rPr>
        <w:t>”</w:t>
      </w:r>
      <w:r>
        <w:rPr/>
        <w:t>、</w:t>
      </w:r>
      <w:r>
        <w:rPr>
          <w:rFonts w:ascii="Times New Roman" w:hAnsi="Times New Roman" w:eastAsia="Times New Roman"/>
          <w:spacing w:val="-3"/>
        </w:rPr>
        <w:t>“</w:t>
      </w:r>
      <w:r>
        <w:rPr>
          <w:spacing w:val="-3"/>
        </w:rPr>
        <w:t>中国年度托管业务科技实施奖</w:t>
      </w:r>
      <w:r>
        <w:rPr>
          <w:rFonts w:ascii="Times New Roman" w:hAnsi="Times New Roman" w:eastAsia="Times New Roman"/>
        </w:rPr>
        <w:t>”</w:t>
      </w:r>
      <w:r>
        <w:rPr/>
        <w:t>。</w:t>
      </w:r>
    </w:p>
    <w:p>
      <w:pPr>
        <w:pStyle w:val="BodyText"/>
        <w:spacing w:line="268" w:lineRule="exact"/>
        <w:ind w:left="960"/>
      </w:pPr>
      <w:r>
        <w:rPr/>
        <w:t>（二）基金托管人的内部控制制度</w:t>
      </w:r>
    </w:p>
    <w:p>
      <w:pPr>
        <w:pStyle w:val="BodyText"/>
        <w:spacing w:before="6"/>
        <w:rPr>
          <w:sz w:val="15"/>
        </w:rPr>
      </w:pPr>
    </w:p>
    <w:p>
      <w:pPr>
        <w:pStyle w:val="BodyText"/>
        <w:ind w:left="960"/>
      </w:pPr>
      <w:r>
        <w:rPr>
          <w:rFonts w:ascii="Times New Roman" w:eastAsia="Times New Roman"/>
        </w:rPr>
        <w:t>1</w:t>
      </w:r>
      <w:r>
        <w:rPr/>
        <w:t>、内部控制目标</w:t>
      </w:r>
    </w:p>
    <w:p>
      <w:pPr>
        <w:pStyle w:val="BodyText"/>
        <w:spacing w:before="7"/>
        <w:rPr>
          <w:sz w:val="15"/>
        </w:rPr>
      </w:pPr>
    </w:p>
    <w:p>
      <w:pPr>
        <w:pStyle w:val="BodyText"/>
        <w:spacing w:line="417" w:lineRule="auto"/>
        <w:ind w:left="540" w:right="311" w:firstLine="419"/>
        <w:jc w:val="both"/>
      </w:pPr>
      <w:r>
        <w:rPr>
          <w:spacing w:val="-11"/>
        </w:rPr>
        <w:t>作为基金托管人，中国建设银行严格遵守国家有关托管业务的法律法规、行业监管规章</w:t>
      </w:r>
      <w:r>
        <w:rPr>
          <w:spacing w:val="-12"/>
        </w:rPr>
        <w:t>和本行内有关管理规定，守法经营、规范运作、严格检查，确保业务的稳健运行，保证基金财产的安全完整，确保有关信息的真实、准确、完整、及时，保护基金份额持有人的合法权益。</w:t>
      </w:r>
    </w:p>
    <w:p>
      <w:pPr>
        <w:pStyle w:val="BodyText"/>
        <w:spacing w:line="269" w:lineRule="exact"/>
        <w:ind w:left="960"/>
      </w:pPr>
      <w:r>
        <w:rPr>
          <w:rFonts w:ascii="Times New Roman" w:eastAsia="Times New Roman"/>
        </w:rPr>
        <w:t>2</w:t>
      </w:r>
      <w:r>
        <w:rPr/>
        <w:t>、内部控制组织结构</w:t>
      </w:r>
    </w:p>
    <w:p>
      <w:pPr>
        <w:pStyle w:val="BodyText"/>
        <w:spacing w:before="7"/>
        <w:rPr>
          <w:sz w:val="15"/>
        </w:rPr>
      </w:pPr>
    </w:p>
    <w:p>
      <w:pPr>
        <w:pStyle w:val="BodyText"/>
        <w:spacing w:line="417" w:lineRule="auto"/>
        <w:ind w:left="540" w:right="311" w:firstLine="419"/>
        <w:jc w:val="both"/>
      </w:pPr>
      <w:r>
        <w:rPr>
          <w:spacing w:val="-8"/>
        </w:rPr>
        <w:t>中国建设银行设有风险与内控管理委员会，负责全行风险管理与内部控制工作，对托管</w:t>
      </w:r>
      <w:r>
        <w:rPr>
          <w:spacing w:val="-12"/>
        </w:rPr>
        <w:t>业务风险控制工作进行检查指导。资产托管业务部配备了专职内控合规人员负责托管业务的</w:t>
      </w:r>
      <w:r>
        <w:rPr>
          <w:spacing w:val="-6"/>
        </w:rPr>
        <w:t>内控合规工作，具有独立行使内控合规工作职权和能力。</w:t>
      </w:r>
    </w:p>
    <w:p>
      <w:pPr>
        <w:pStyle w:val="BodyText"/>
        <w:spacing w:line="269" w:lineRule="exact"/>
        <w:ind w:left="960"/>
      </w:pPr>
      <w:r>
        <w:rPr>
          <w:rFonts w:ascii="Times New Roman" w:eastAsia="Times New Roman"/>
        </w:rPr>
        <w:t>3</w:t>
      </w:r>
      <w:r>
        <w:rPr/>
        <w:t>、内部控制制度及措施</w:t>
      </w:r>
    </w:p>
    <w:p>
      <w:pPr>
        <w:pStyle w:val="BodyText"/>
        <w:spacing w:before="7"/>
        <w:rPr>
          <w:sz w:val="15"/>
        </w:rPr>
      </w:pPr>
    </w:p>
    <w:p>
      <w:pPr>
        <w:pStyle w:val="BodyText"/>
        <w:spacing w:line="417" w:lineRule="auto"/>
        <w:ind w:left="540" w:right="311" w:firstLine="419"/>
        <w:jc w:val="both"/>
      </w:pPr>
      <w:r>
        <w:rPr>
          <w:spacing w:val="-8"/>
        </w:rPr>
        <w:t>资产托管业务部具备系统、完善的制度控制体系，建立了管理制度、控制制度、岗位职</w:t>
      </w:r>
      <w:r>
        <w:rPr>
          <w:spacing w:val="-11"/>
        </w:rPr>
        <w:t>责、业务操作流程，可以保证托管业务的规范操作和顺利进行；业务人员具备从业资格；业</w:t>
      </w:r>
      <w:r>
        <w:rPr>
          <w:spacing w:val="-12"/>
        </w:rPr>
        <w:t>务管理严格实行复核、审核、检查制度，授权工作实行集中控制，业务印章按规程保管、存放、使用，账户资料严格保管，制约机制严格有效；业务操作区专门设置，封闭管理，实施</w:t>
      </w:r>
      <w:r>
        <w:rPr>
          <w:spacing w:val="-11"/>
        </w:rPr>
        <w:t>音像监控；业务信息由专职信息披露人负责，防止泄密；业务实现自动化操作，防止人为事</w:t>
      </w:r>
      <w:r>
        <w:rPr>
          <w:spacing w:val="-6"/>
        </w:rPr>
        <w:t>故的发生，技术系统完整、独立。</w:t>
      </w:r>
    </w:p>
    <w:p>
      <w:pPr>
        <w:pStyle w:val="BodyText"/>
        <w:spacing w:line="269" w:lineRule="exact"/>
        <w:ind w:left="960"/>
      </w:pPr>
      <w:r>
        <w:rPr/>
        <w:t>（三）基金托管人对基金管理人运作基金进行监督的方法和程序</w:t>
      </w:r>
    </w:p>
    <w:p>
      <w:pPr>
        <w:pStyle w:val="BodyText"/>
        <w:spacing w:before="6"/>
        <w:rPr>
          <w:sz w:val="15"/>
        </w:rPr>
      </w:pPr>
    </w:p>
    <w:p>
      <w:pPr>
        <w:pStyle w:val="BodyText"/>
        <w:ind w:left="960"/>
      </w:pPr>
      <w:r>
        <w:rPr>
          <w:rFonts w:ascii="Times New Roman" w:eastAsia="Times New Roman"/>
        </w:rPr>
        <w:t>1</w:t>
      </w:r>
      <w:r>
        <w:rPr/>
        <w:t>、监督方法</w:t>
      </w:r>
    </w:p>
    <w:p>
      <w:pPr>
        <w:pStyle w:val="BodyText"/>
        <w:spacing w:before="7"/>
        <w:rPr>
          <w:sz w:val="15"/>
        </w:rPr>
      </w:pPr>
    </w:p>
    <w:p>
      <w:pPr>
        <w:pStyle w:val="BodyText"/>
        <w:spacing w:line="417" w:lineRule="auto" w:before="1"/>
        <w:ind w:left="540" w:right="311" w:firstLine="419"/>
      </w:pPr>
      <w:r>
        <w:rPr>
          <w:spacing w:val="-10"/>
        </w:rPr>
        <w:t>依照《基金法》及其配套法规和基金合同的约定，监督所托管基金的投资运作。利用自</w:t>
      </w:r>
      <w:r>
        <w:rPr>
          <w:spacing w:val="-6"/>
        </w:rPr>
        <w:t>行开发的</w:t>
      </w:r>
      <w:r>
        <w:rPr>
          <w:rFonts w:ascii="Times New Roman" w:hAnsi="Times New Roman" w:eastAsia="Times New Roman"/>
          <w:spacing w:val="-3"/>
        </w:rPr>
        <w:t>“</w:t>
      </w:r>
      <w:r>
        <w:rPr>
          <w:spacing w:val="-3"/>
        </w:rPr>
        <w:t>新一代托管应用监督子系统</w:t>
      </w:r>
      <w:r>
        <w:rPr>
          <w:rFonts w:ascii="Times New Roman" w:hAnsi="Times New Roman" w:eastAsia="Times New Roman"/>
          <w:spacing w:val="-19"/>
        </w:rPr>
        <w:t>”</w:t>
      </w:r>
      <w:r>
        <w:rPr>
          <w:spacing w:val="-8"/>
        </w:rPr>
        <w:t>，严格按照现行法律法规以及基金合同规定，对基金</w:t>
      </w:r>
    </w:p>
    <w:p>
      <w:pPr>
        <w:spacing w:after="0" w:line="417" w:lineRule="auto"/>
        <w:sectPr>
          <w:pgSz w:w="11910" w:h="16840"/>
          <w:pgMar w:header="877" w:footer="995" w:top="1420" w:bottom="1180" w:left="1260" w:right="1480"/>
        </w:sectPr>
      </w:pPr>
    </w:p>
    <w:p>
      <w:pPr>
        <w:pStyle w:val="BodyText"/>
        <w:spacing w:line="417" w:lineRule="auto" w:before="110"/>
        <w:ind w:left="540" w:right="311"/>
        <w:jc w:val="both"/>
      </w:pPr>
      <w:r>
        <w:rPr>
          <w:spacing w:val="-9"/>
        </w:rPr>
        <w:t>管理人运作基金的投资比例、投资范围、投资组合等情况进行监督。在日常为基金投资运作</w:t>
      </w:r>
      <w:r>
        <w:rPr>
          <w:spacing w:val="-10"/>
        </w:rPr>
        <w:t>所提供的基金清算和核算服务环节中，对基金管理人发送的投资指令、基金管理人对各基金</w:t>
      </w:r>
      <w:r>
        <w:rPr>
          <w:spacing w:val="-5"/>
        </w:rPr>
        <w:t>费用的提取与开支情况进行检查监督。</w:t>
      </w:r>
    </w:p>
    <w:p>
      <w:pPr>
        <w:pStyle w:val="BodyText"/>
        <w:spacing w:line="269" w:lineRule="exact"/>
        <w:ind w:left="960"/>
      </w:pPr>
      <w:r>
        <w:rPr>
          <w:rFonts w:ascii="Times New Roman" w:eastAsia="Times New Roman"/>
        </w:rPr>
        <w:t>2</w:t>
      </w:r>
      <w:r>
        <w:rPr/>
        <w:t>、监督流程</w:t>
      </w:r>
    </w:p>
    <w:p>
      <w:pPr>
        <w:pStyle w:val="BodyText"/>
        <w:spacing w:before="6"/>
        <w:rPr>
          <w:sz w:val="15"/>
        </w:rPr>
      </w:pPr>
    </w:p>
    <w:p>
      <w:pPr>
        <w:pStyle w:val="ListParagraph"/>
        <w:numPr>
          <w:ilvl w:val="0"/>
          <w:numId w:val="7"/>
        </w:numPr>
        <w:tabs>
          <w:tab w:pos="1490" w:val="left" w:leader="none"/>
        </w:tabs>
        <w:spacing w:line="417" w:lineRule="auto" w:before="0" w:after="0"/>
        <w:ind w:left="540" w:right="311" w:firstLine="419"/>
        <w:jc w:val="both"/>
        <w:rPr>
          <w:sz w:val="21"/>
        </w:rPr>
      </w:pPr>
      <w:r>
        <w:rPr>
          <w:spacing w:val="-3"/>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pacing w:val="-5"/>
          <w:sz w:val="21"/>
        </w:rPr>
        <w:t>实，督促其纠正，如有重大异常事项及时报告中国证监会。</w:t>
      </w:r>
    </w:p>
    <w:p>
      <w:pPr>
        <w:pStyle w:val="ListParagraph"/>
        <w:numPr>
          <w:ilvl w:val="0"/>
          <w:numId w:val="7"/>
        </w:numPr>
        <w:tabs>
          <w:tab w:pos="1490" w:val="left" w:leader="none"/>
        </w:tabs>
        <w:spacing w:line="240" w:lineRule="auto" w:before="1" w:after="0"/>
        <w:ind w:left="1489" w:right="0" w:hanging="530"/>
        <w:jc w:val="left"/>
        <w:rPr>
          <w:sz w:val="21"/>
        </w:rPr>
      </w:pPr>
      <w:r>
        <w:rPr>
          <w:spacing w:val="-3"/>
          <w:sz w:val="21"/>
        </w:rPr>
        <w:t>收到基金管理人的划款指令后，对指令要素等内容进行核查。</w:t>
      </w:r>
    </w:p>
    <w:p>
      <w:pPr>
        <w:pStyle w:val="BodyText"/>
        <w:spacing w:before="6"/>
        <w:rPr>
          <w:sz w:val="15"/>
        </w:rPr>
      </w:pPr>
    </w:p>
    <w:p>
      <w:pPr>
        <w:pStyle w:val="ListParagraph"/>
        <w:numPr>
          <w:ilvl w:val="0"/>
          <w:numId w:val="7"/>
        </w:numPr>
        <w:tabs>
          <w:tab w:pos="1490" w:val="left" w:leader="none"/>
        </w:tabs>
        <w:spacing w:line="417" w:lineRule="auto" w:before="0" w:after="0"/>
        <w:ind w:left="540" w:right="314" w:firstLine="419"/>
        <w:jc w:val="left"/>
        <w:rPr>
          <w:sz w:val="21"/>
        </w:rPr>
      </w:pPr>
      <w:r>
        <w:rPr>
          <w:spacing w:val="-3"/>
          <w:sz w:val="21"/>
        </w:rPr>
        <w:t>通过技术或非技术手段发现基金涉嫌违规交易，电话或书面要求基金管理人进行解释或举证，如有必要将及时报告中国证监会。</w:t>
      </w:r>
    </w:p>
    <w:p>
      <w:pPr>
        <w:pStyle w:val="BodyText"/>
        <w:spacing w:before="7"/>
        <w:rPr>
          <w:sz w:val="26"/>
        </w:rPr>
      </w:pPr>
    </w:p>
    <w:p>
      <w:pPr>
        <w:pStyle w:val="Heading1"/>
        <w:spacing w:before="1"/>
      </w:pPr>
      <w:bookmarkStart w:name="_bookmark4" w:id="5"/>
      <w:bookmarkEnd w:id="5"/>
      <w:r>
        <w:rPr>
          <w:b w:val="0"/>
        </w:rPr>
      </w:r>
      <w:r>
        <w:rPr/>
        <w:t>五、相关服务机构</w:t>
      </w:r>
    </w:p>
    <w:p>
      <w:pPr>
        <w:pStyle w:val="BodyText"/>
        <w:rPr>
          <w:b/>
          <w:sz w:val="20"/>
        </w:rPr>
      </w:pPr>
    </w:p>
    <w:p>
      <w:pPr>
        <w:pStyle w:val="BodyText"/>
        <w:spacing w:before="2"/>
        <w:rPr>
          <w:b/>
        </w:rPr>
      </w:pPr>
    </w:p>
    <w:p>
      <w:pPr>
        <w:pStyle w:val="BodyText"/>
        <w:ind w:left="960"/>
      </w:pPr>
      <w:r>
        <w:rPr/>
        <w:t>（一）销售机构</w:t>
      </w:r>
    </w:p>
    <w:p>
      <w:pPr>
        <w:pStyle w:val="BodyText"/>
        <w:spacing w:before="7"/>
        <w:rPr>
          <w:sz w:val="15"/>
        </w:rPr>
      </w:pPr>
    </w:p>
    <w:p>
      <w:pPr>
        <w:pStyle w:val="BodyText"/>
        <w:ind w:left="960"/>
      </w:pPr>
      <w:r>
        <w:rPr>
          <w:rFonts w:ascii="Times New Roman" w:eastAsia="Times New Roman"/>
        </w:rPr>
        <w:t>1</w:t>
      </w:r>
      <w:r>
        <w:rPr/>
        <w:t>、直销机构</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ind w:left="960" w:right="280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联系人：张德根</w:t>
      </w:r>
    </w:p>
    <w:p>
      <w:pPr>
        <w:pStyle w:val="BodyText"/>
        <w:spacing w:before="7"/>
        <w:rPr>
          <w:sz w:val="15"/>
        </w:rPr>
      </w:pPr>
    </w:p>
    <w:p>
      <w:pPr>
        <w:pStyle w:val="BodyText"/>
        <w:spacing w:line="417" w:lineRule="auto"/>
        <w:ind w:left="960" w:right="5651"/>
      </w:pPr>
      <w:r>
        <w:rPr/>
        <w:t>网址：</w:t>
      </w:r>
      <w:hyperlink r:id="rId15">
        <w:r>
          <w:rPr>
            <w:rFonts w:ascii="Times New Roman" w:eastAsia="Times New Roman"/>
          </w:rPr>
          <w:t>www.ChinaAMC.com</w:t>
        </w:r>
      </w:hyperlink>
      <w:r>
        <w:rPr>
          <w:rFonts w:ascii="Times New Roman" w:eastAsia="Times New Roman"/>
        </w:rPr>
        <w:t> 2</w:t>
      </w:r>
      <w:r>
        <w:rPr/>
        <w:t>、代销机构</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中国银行股份有限公司</w:t>
      </w:r>
    </w:p>
    <w:p>
      <w:pPr>
        <w:pStyle w:val="BodyText"/>
        <w:spacing w:before="7"/>
        <w:rPr>
          <w:sz w:val="15"/>
        </w:rPr>
      </w:pPr>
    </w:p>
    <w:p>
      <w:pPr>
        <w:pStyle w:val="BodyText"/>
        <w:ind w:left="960"/>
      </w:pPr>
      <w:r>
        <w:rPr/>
        <w:t>住所：北京市西城区复兴门内大街 </w:t>
      </w:r>
      <w:r>
        <w:rPr>
          <w:rFonts w:ascii="Times New Roman" w:eastAsia="Times New Roman"/>
        </w:rPr>
        <w:t>1 </w:t>
      </w:r>
      <w:r>
        <w:rPr/>
        <w:t>号</w:t>
      </w:r>
    </w:p>
    <w:p>
      <w:pPr>
        <w:pStyle w:val="BodyText"/>
        <w:spacing w:before="7"/>
        <w:rPr>
          <w:sz w:val="15"/>
        </w:rPr>
      </w:pPr>
    </w:p>
    <w:p>
      <w:pPr>
        <w:pStyle w:val="BodyText"/>
        <w:spacing w:line="417" w:lineRule="auto"/>
        <w:ind w:left="960" w:right="4148"/>
      </w:pPr>
      <w:r>
        <w:rPr/>
        <w:t>办公地址：北京市西城区复兴门内大街 </w:t>
      </w:r>
      <w:r>
        <w:rPr>
          <w:rFonts w:ascii="Times New Roman" w:eastAsia="Times New Roman"/>
        </w:rPr>
        <w:t>1 </w:t>
      </w:r>
      <w:r>
        <w:rPr/>
        <w:t>号法定代表人：刘连舸</w:t>
      </w:r>
    </w:p>
    <w:p>
      <w:pPr>
        <w:pStyle w:val="BodyText"/>
        <w:spacing w:line="417" w:lineRule="auto"/>
        <w:ind w:left="960" w:right="634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spacing w:after="0" w:line="417" w:lineRule="auto"/>
        <w:rPr>
          <w:rFonts w:ascii="Times New Roman" w:eastAsia="Times New Roman"/>
        </w:rPr>
        <w:sectPr>
          <w:pgSz w:w="11910" w:h="16840"/>
          <w:pgMar w:header="877" w:footer="995" w:top="1420" w:bottom="1180" w:left="1260" w:right="1480"/>
        </w:sectPr>
      </w:pPr>
    </w:p>
    <w:p>
      <w:pPr>
        <w:pStyle w:val="BodyText"/>
        <w:spacing w:line="417" w:lineRule="auto" w:before="110"/>
        <w:ind w:left="960" w:right="6101"/>
        <w:rPr>
          <w:rFonts w:ascii="Times New Roman" w:eastAsia="Times New Roman"/>
        </w:rPr>
      </w:pPr>
      <w:r>
        <w:rPr/>
        <w:t>联系人：客户服务中心网址：</w:t>
      </w:r>
      <w:hyperlink r:id="rId16">
        <w:r>
          <w:rPr>
            <w:rFonts w:ascii="Times New Roman" w:eastAsia="Times New Roman"/>
          </w:rPr>
          <w:t>www.boc.cn</w:t>
        </w:r>
      </w:hyperlink>
    </w:p>
    <w:p>
      <w:pPr>
        <w:pStyle w:val="BodyText"/>
        <w:spacing w:line="269" w:lineRule="exact"/>
        <w:ind w:left="96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8"/>
        </w:numPr>
        <w:tabs>
          <w:tab w:pos="1490" w:val="left" w:leader="none"/>
        </w:tabs>
        <w:spacing w:line="417" w:lineRule="auto" w:before="0" w:after="0"/>
        <w:ind w:left="960" w:right="4944" w:firstLine="0"/>
        <w:jc w:val="left"/>
        <w:rPr>
          <w:sz w:val="21"/>
        </w:rPr>
      </w:pPr>
      <w:r>
        <w:rPr>
          <w:spacing w:val="-3"/>
          <w:sz w:val="21"/>
        </w:rPr>
        <w:t>中国建设银行股份有限公司 </w:t>
      </w:r>
      <w:r>
        <w:rPr>
          <w:spacing w:val="-7"/>
          <w:sz w:val="21"/>
        </w:rPr>
        <w:t>住所：北京市西城区金融大街 </w:t>
      </w:r>
      <w:r>
        <w:rPr>
          <w:rFonts w:ascii="Times New Roman" w:eastAsia="Times New Roman"/>
          <w:sz w:val="21"/>
        </w:rPr>
        <w:t>25</w:t>
      </w:r>
      <w:r>
        <w:rPr>
          <w:rFonts w:ascii="Times New Roman" w:eastAsia="Times New Roman"/>
          <w:spacing w:val="7"/>
          <w:sz w:val="21"/>
        </w:rPr>
        <w:t> </w:t>
      </w:r>
      <w:r>
        <w:rPr>
          <w:spacing w:val="-14"/>
          <w:sz w:val="21"/>
        </w:rPr>
        <w:t>号</w:t>
      </w:r>
    </w:p>
    <w:p>
      <w:pPr>
        <w:pStyle w:val="BodyText"/>
        <w:spacing w:line="417" w:lineRule="auto"/>
        <w:ind w:left="960" w:right="357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960"/>
      </w:pPr>
      <w:r>
        <w:rPr/>
        <w:t>联系人：王嘉朔</w:t>
      </w:r>
    </w:p>
    <w:p>
      <w:pPr>
        <w:pStyle w:val="BodyText"/>
        <w:spacing w:before="7"/>
        <w:rPr>
          <w:sz w:val="15"/>
        </w:rPr>
      </w:pPr>
    </w:p>
    <w:p>
      <w:pPr>
        <w:pStyle w:val="BodyText"/>
        <w:ind w:left="960"/>
        <w:rPr>
          <w:rFonts w:ascii="Times New Roman" w:eastAsia="Times New Roman"/>
        </w:rPr>
      </w:pPr>
      <w:r>
        <w:rPr/>
        <w:t>网址：</w:t>
      </w:r>
      <w:hyperlink r:id="rId17">
        <w:r>
          <w:rPr>
            <w:rFonts w:ascii="Times New Roman" w:eastAsia="Times New Roman"/>
          </w:rPr>
          <w:t>www.ccb.com</w:t>
        </w:r>
      </w:hyperlink>
    </w:p>
    <w:p>
      <w:pPr>
        <w:pStyle w:val="BodyText"/>
        <w:spacing w:before="3"/>
        <w:rPr>
          <w:rFonts w:ascii="Times New Roman"/>
          <w:sz w:val="17"/>
        </w:rPr>
      </w:pP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交通银行股份有限公司</w:t>
      </w:r>
    </w:p>
    <w:p>
      <w:pPr>
        <w:pStyle w:val="BodyText"/>
        <w:spacing w:before="7"/>
        <w:rPr>
          <w:sz w:val="15"/>
        </w:rPr>
      </w:pPr>
    </w:p>
    <w:p>
      <w:pPr>
        <w:pStyle w:val="BodyText"/>
        <w:ind w:left="960"/>
      </w:pPr>
      <w:r>
        <w:rPr/>
        <w:t>住所：上海市浦东新区银城中路 </w:t>
      </w:r>
      <w:r>
        <w:rPr>
          <w:rFonts w:ascii="Times New Roman" w:eastAsia="Times New Roman"/>
        </w:rPr>
        <w:t>188 </w:t>
      </w:r>
      <w:r>
        <w:rPr/>
        <w:t>号</w:t>
      </w:r>
    </w:p>
    <w:p>
      <w:pPr>
        <w:pStyle w:val="BodyText"/>
        <w:spacing w:before="7"/>
        <w:rPr>
          <w:sz w:val="15"/>
        </w:rPr>
      </w:pPr>
    </w:p>
    <w:p>
      <w:pPr>
        <w:pStyle w:val="BodyText"/>
        <w:spacing w:line="417" w:lineRule="auto"/>
        <w:ind w:left="960" w:right="4148"/>
      </w:pPr>
      <w:r>
        <w:rPr/>
        <w:t>办公地址：上海市浦东新区银城中路 </w:t>
      </w:r>
      <w:r>
        <w:rPr>
          <w:rFonts w:ascii="Times New Roman" w:eastAsia="Times New Roman"/>
        </w:rPr>
        <w:t>188 </w:t>
      </w:r>
      <w:r>
        <w:rPr/>
        <w:t>号法定代表人：任德奇</w:t>
      </w:r>
    </w:p>
    <w:p>
      <w:pPr>
        <w:pStyle w:val="BodyText"/>
        <w:spacing w:line="417" w:lineRule="auto"/>
        <w:ind w:left="960" w:right="634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spacing w:line="269" w:lineRule="exact"/>
        <w:ind w:left="960"/>
      </w:pPr>
      <w:r>
        <w:rPr/>
        <w:t>联系人：陈旭</w:t>
      </w:r>
    </w:p>
    <w:p>
      <w:pPr>
        <w:pStyle w:val="BodyText"/>
        <w:spacing w:before="6"/>
        <w:rPr>
          <w:sz w:val="15"/>
        </w:rPr>
      </w:pPr>
    </w:p>
    <w:p>
      <w:pPr>
        <w:pStyle w:val="BodyText"/>
        <w:spacing w:line="417" w:lineRule="auto" w:before="1"/>
        <w:ind w:left="960" w:right="5688"/>
        <w:rPr>
          <w:rFonts w:ascii="Times New Roman" w:eastAsia="Times New Roman"/>
        </w:rPr>
      </w:pPr>
      <w:r>
        <w:rPr/>
        <w:t>网址：</w:t>
      </w:r>
      <w:hyperlink r:id="rId18">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中信银行股份有限公司</w:t>
      </w:r>
    </w:p>
    <w:p>
      <w:pPr>
        <w:pStyle w:val="BodyText"/>
        <w:spacing w:before="7"/>
        <w:rPr>
          <w:sz w:val="15"/>
        </w:rPr>
      </w:pPr>
    </w:p>
    <w:p>
      <w:pPr>
        <w:pStyle w:val="BodyText"/>
        <w:ind w:left="96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7"/>
        <w:rPr>
          <w:sz w:val="15"/>
        </w:rPr>
      </w:pPr>
    </w:p>
    <w:p>
      <w:pPr>
        <w:pStyle w:val="BodyText"/>
        <w:spacing w:line="417" w:lineRule="auto"/>
        <w:ind w:left="960" w:right="291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pStyle w:val="BodyText"/>
        <w:spacing w:line="417" w:lineRule="auto"/>
        <w:ind w:left="960" w:right="634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960"/>
      </w:pPr>
      <w:r>
        <w:rPr/>
        <w:t>联系人：方爽</w:t>
      </w:r>
    </w:p>
    <w:p>
      <w:pPr>
        <w:pStyle w:val="BodyText"/>
        <w:spacing w:before="6"/>
        <w:rPr>
          <w:sz w:val="15"/>
        </w:rPr>
      </w:pPr>
    </w:p>
    <w:p>
      <w:pPr>
        <w:pStyle w:val="BodyText"/>
        <w:spacing w:line="417" w:lineRule="auto"/>
        <w:ind w:left="960" w:right="620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平安银行股份有限公司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住所：广东省深圳市深南东路 </w:t>
      </w:r>
      <w:r>
        <w:rPr>
          <w:rFonts w:ascii="Times New Roman" w:eastAsia="Times New Roman"/>
        </w:rPr>
        <w:t>5047 </w:t>
      </w:r>
      <w:r>
        <w:rPr/>
        <w:t>号</w:t>
      </w:r>
    </w:p>
    <w:p>
      <w:pPr>
        <w:pStyle w:val="BodyText"/>
        <w:spacing w:before="6"/>
        <w:rPr>
          <w:sz w:val="15"/>
        </w:rPr>
      </w:pPr>
    </w:p>
    <w:p>
      <w:pPr>
        <w:pStyle w:val="BodyText"/>
        <w:spacing w:line="417" w:lineRule="auto"/>
        <w:ind w:left="960" w:right="4253"/>
      </w:pPr>
      <w:r>
        <w:rPr/>
        <w:t>办公地址：广东省深圳市深南东路 </w:t>
      </w:r>
      <w:r>
        <w:rPr>
          <w:rFonts w:ascii="Times New Roman" w:eastAsia="Times New Roman"/>
        </w:rPr>
        <w:t>5047 </w:t>
      </w:r>
      <w:r>
        <w:rPr/>
        <w:t>号法定代表人：孙建一</w:t>
      </w:r>
    </w:p>
    <w:p>
      <w:pPr>
        <w:pStyle w:val="BodyText"/>
        <w:spacing w:line="417" w:lineRule="auto"/>
        <w:ind w:left="960" w:right="624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9" w:lineRule="exact"/>
        <w:ind w:left="960"/>
      </w:pPr>
      <w:r>
        <w:rPr/>
        <w:t>联系人：张莉</w:t>
      </w:r>
    </w:p>
    <w:p>
      <w:pPr>
        <w:pStyle w:val="BodyText"/>
        <w:spacing w:before="7"/>
        <w:rPr>
          <w:sz w:val="15"/>
        </w:rPr>
      </w:pPr>
    </w:p>
    <w:p>
      <w:pPr>
        <w:pStyle w:val="BodyText"/>
        <w:spacing w:line="417" w:lineRule="auto"/>
        <w:ind w:left="960" w:right="600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8"/>
        </w:numPr>
        <w:tabs>
          <w:tab w:pos="1490" w:val="left" w:leader="none"/>
        </w:tabs>
        <w:spacing w:line="417" w:lineRule="auto" w:before="0" w:after="0"/>
        <w:ind w:left="960" w:right="4629" w:firstLine="0"/>
        <w:jc w:val="left"/>
        <w:rPr>
          <w:sz w:val="21"/>
        </w:rPr>
      </w:pPr>
      <w:r>
        <w:rPr>
          <w:spacing w:val="-3"/>
          <w:sz w:val="21"/>
        </w:rPr>
        <w:t>上海农村商业银行股份有限公司</w:t>
      </w:r>
      <w:r>
        <w:rPr>
          <w:spacing w:val="-6"/>
          <w:sz w:val="21"/>
        </w:rPr>
        <w:t>住所：上海市浦东新区浦东大道 </w:t>
      </w:r>
      <w:r>
        <w:rPr>
          <w:rFonts w:ascii="Times New Roman" w:eastAsia="Times New Roman"/>
          <w:sz w:val="21"/>
        </w:rPr>
        <w:t>981</w:t>
      </w:r>
      <w:r>
        <w:rPr>
          <w:rFonts w:ascii="Times New Roman" w:eastAsia="Times New Roman"/>
          <w:spacing w:val="5"/>
          <w:sz w:val="21"/>
        </w:rPr>
        <w:t> </w:t>
      </w:r>
      <w:r>
        <w:rPr>
          <w:spacing w:val="-11"/>
          <w:sz w:val="21"/>
        </w:rPr>
        <w:t>号</w:t>
      </w:r>
    </w:p>
    <w:p>
      <w:pPr>
        <w:pStyle w:val="BodyText"/>
        <w:spacing w:line="417" w:lineRule="auto"/>
        <w:ind w:left="960" w:right="3055"/>
      </w:pPr>
      <w:r>
        <w:rPr>
          <w:spacing w:val="-7"/>
        </w:rPr>
        <w:t>办公地址：上海市银城中路 </w:t>
      </w:r>
      <w:r>
        <w:rPr>
          <w:rFonts w:ascii="Times New Roman" w:eastAsia="Times New Roman"/>
        </w:rPr>
        <w:t>8 </w:t>
      </w:r>
      <w:r>
        <w:rPr>
          <w:spacing w:val="-8"/>
        </w:rPr>
        <w:t>号中融碧玉蓝天大厦 </w:t>
      </w:r>
      <w:r>
        <w:rPr>
          <w:rFonts w:ascii="Times New Roman" w:eastAsia="Times New Roman"/>
        </w:rPr>
        <w:t>15 </w:t>
      </w:r>
      <w:r>
        <w:rPr/>
        <w:t>层</w:t>
      </w:r>
      <w:r>
        <w:rPr>
          <w:spacing w:val="-3"/>
        </w:rPr>
        <w:t>法定代表人：胡平西</w:t>
      </w:r>
    </w:p>
    <w:p>
      <w:pPr>
        <w:pStyle w:val="BodyText"/>
        <w:spacing w:line="417" w:lineRule="auto"/>
        <w:ind w:left="960" w:right="634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ind w:left="960"/>
      </w:pPr>
      <w:r>
        <w:rPr/>
        <w:t>联系人：施传荣</w:t>
      </w:r>
    </w:p>
    <w:p>
      <w:pPr>
        <w:pStyle w:val="BodyText"/>
        <w:spacing w:before="6"/>
        <w:rPr>
          <w:sz w:val="15"/>
        </w:rPr>
      </w:pPr>
    </w:p>
    <w:p>
      <w:pPr>
        <w:pStyle w:val="BodyText"/>
        <w:ind w:left="960"/>
        <w:rPr>
          <w:rFonts w:ascii="Times New Roman" w:eastAsia="Times New Roman"/>
        </w:rPr>
      </w:pPr>
      <w:r>
        <w:rPr/>
        <w:t>网址：</w:t>
      </w:r>
      <w:hyperlink r:id="rId19">
        <w:r>
          <w:rPr>
            <w:rFonts w:ascii="Times New Roman" w:eastAsia="Times New Roman"/>
          </w:rPr>
          <w:t>www.srcb.com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8"/>
        </w:numPr>
        <w:tabs>
          <w:tab w:pos="1490" w:val="left" w:leader="none"/>
        </w:tabs>
        <w:spacing w:line="240" w:lineRule="auto" w:before="0" w:after="0"/>
        <w:ind w:left="1489" w:right="0" w:hanging="530"/>
        <w:jc w:val="left"/>
        <w:rPr>
          <w:sz w:val="21"/>
        </w:rPr>
      </w:pPr>
      <w:r>
        <w:rPr>
          <w:spacing w:val="-3"/>
          <w:sz w:val="21"/>
        </w:rPr>
        <w:t>北京农村商业银行股份有限公司</w:t>
      </w:r>
    </w:p>
    <w:p>
      <w:pPr>
        <w:pStyle w:val="BodyText"/>
        <w:spacing w:before="7"/>
        <w:rPr>
          <w:sz w:val="15"/>
        </w:rPr>
      </w:pPr>
    </w:p>
    <w:p>
      <w:pPr>
        <w:pStyle w:val="BodyText"/>
        <w:ind w:left="960"/>
      </w:pPr>
      <w:r>
        <w:rPr/>
        <w:t>住所：北京市西城区月坛南街 </w:t>
      </w:r>
      <w:r>
        <w:rPr>
          <w:rFonts w:ascii="Times New Roman" w:eastAsia="Times New Roman"/>
        </w:rPr>
        <w:t>1 </w:t>
      </w:r>
      <w:r>
        <w:rPr/>
        <w:t>号院 </w:t>
      </w:r>
      <w:r>
        <w:rPr>
          <w:rFonts w:ascii="Times New Roman" w:eastAsia="Times New Roman"/>
        </w:rPr>
        <w:t>2 </w:t>
      </w:r>
      <w:r>
        <w:rPr/>
        <w:t>号楼</w:t>
      </w:r>
    </w:p>
    <w:p>
      <w:pPr>
        <w:pStyle w:val="BodyText"/>
        <w:spacing w:before="6"/>
        <w:rPr>
          <w:sz w:val="15"/>
        </w:rPr>
      </w:pPr>
    </w:p>
    <w:p>
      <w:pPr>
        <w:pStyle w:val="BodyText"/>
        <w:spacing w:line="417" w:lineRule="auto" w:before="1"/>
        <w:ind w:left="960" w:right="3792"/>
      </w:pPr>
      <w:r>
        <w:rPr>
          <w:spacing w:val="-6"/>
        </w:rPr>
        <w:t>办公地址：北京市西城区月坛南街 </w:t>
      </w:r>
      <w:r>
        <w:rPr>
          <w:rFonts w:ascii="Times New Roman" w:eastAsia="Times New Roman"/>
        </w:rPr>
        <w:t>1 </w:t>
      </w:r>
      <w:r>
        <w:rPr>
          <w:spacing w:val="-18"/>
        </w:rPr>
        <w:t>号院 </w:t>
      </w:r>
      <w:r>
        <w:rPr>
          <w:rFonts w:ascii="Times New Roman" w:eastAsia="Times New Roman"/>
        </w:rPr>
        <w:t>2 </w:t>
      </w:r>
      <w:r>
        <w:rPr>
          <w:spacing w:val="-3"/>
        </w:rPr>
        <w:t>号楼法定代表人：王金山</w:t>
      </w:r>
    </w:p>
    <w:p>
      <w:pPr>
        <w:pStyle w:val="BodyText"/>
        <w:spacing w:line="417" w:lineRule="auto"/>
        <w:ind w:left="960" w:right="634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spacing w:line="269" w:lineRule="exact"/>
        <w:ind w:left="960"/>
      </w:pPr>
      <w:r>
        <w:rPr/>
        <w:t>联系人：鲁娟</w:t>
      </w:r>
    </w:p>
    <w:p>
      <w:pPr>
        <w:pStyle w:val="BodyText"/>
        <w:spacing w:before="6"/>
        <w:rPr>
          <w:sz w:val="15"/>
        </w:rPr>
      </w:pPr>
    </w:p>
    <w:p>
      <w:pPr>
        <w:pStyle w:val="BodyText"/>
        <w:spacing w:line="417" w:lineRule="auto" w:before="1"/>
        <w:ind w:left="960" w:right="6207"/>
        <w:rPr>
          <w:rFonts w:ascii="Times New Roman" w:eastAsia="Times New Roman"/>
        </w:rPr>
      </w:pPr>
      <w:r>
        <w:rPr/>
        <w:t>网址：</w:t>
      </w:r>
      <w:hyperlink r:id="rId20">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8"/>
        </w:numPr>
        <w:tabs>
          <w:tab w:pos="1490" w:val="left" w:leader="none"/>
        </w:tabs>
        <w:spacing w:line="269" w:lineRule="exact" w:before="0" w:after="0"/>
        <w:ind w:left="1489" w:right="0" w:hanging="530"/>
        <w:jc w:val="left"/>
        <w:rPr>
          <w:sz w:val="21"/>
        </w:rPr>
      </w:pPr>
      <w:r>
        <w:rPr>
          <w:spacing w:val="-3"/>
          <w:sz w:val="21"/>
        </w:rPr>
        <w:t>青岛银行股份有限公司</w:t>
      </w:r>
    </w:p>
    <w:p>
      <w:pPr>
        <w:pStyle w:val="BodyText"/>
        <w:spacing w:before="6"/>
        <w:rPr>
          <w:sz w:val="15"/>
        </w:rPr>
      </w:pPr>
    </w:p>
    <w:p>
      <w:pPr>
        <w:pStyle w:val="BodyText"/>
        <w:ind w:left="960"/>
      </w:pPr>
      <w:r>
        <w:rPr>
          <w:spacing w:val="-6"/>
        </w:rPr>
        <w:t>住所：青岛市市南区香港中路 </w:t>
      </w:r>
      <w:r>
        <w:rPr>
          <w:rFonts w:ascii="Times New Roman" w:eastAsia="Times New Roman"/>
        </w:rPr>
        <w:t>68</w:t>
      </w:r>
      <w:r>
        <w:rPr>
          <w:rFonts w:ascii="Times New Roman" w:eastAsia="Times New Roman"/>
          <w:spacing w:val="10"/>
        </w:rPr>
        <w:t> </w:t>
      </w:r>
      <w:r>
        <w:rPr>
          <w:spacing w:val="-3"/>
        </w:rPr>
        <w:t>号华普大厦</w:t>
      </w:r>
    </w:p>
    <w:p>
      <w:pPr>
        <w:pStyle w:val="BodyText"/>
        <w:spacing w:before="7"/>
        <w:rPr>
          <w:sz w:val="15"/>
        </w:rPr>
      </w:pPr>
    </w:p>
    <w:p>
      <w:pPr>
        <w:pStyle w:val="BodyText"/>
        <w:spacing w:line="417" w:lineRule="auto" w:before="1"/>
        <w:ind w:left="960" w:right="3623"/>
      </w:pPr>
      <w:r>
        <w:rPr/>
        <w:t>办公地址：青岛市市南区香港中路 </w:t>
      </w:r>
      <w:r>
        <w:rPr>
          <w:rFonts w:ascii="Times New Roman" w:eastAsia="Times New Roman"/>
        </w:rPr>
        <w:t>68 </w:t>
      </w:r>
      <w:r>
        <w:rPr/>
        <w:t>号华普大厦法定代表人：郭少泉</w:t>
      </w:r>
    </w:p>
    <w:p>
      <w:pPr>
        <w:spacing w:after="0" w:line="417" w:lineRule="auto"/>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pStyle w:val="BodyText"/>
        <w:spacing w:line="269" w:lineRule="exact"/>
        <w:ind w:left="960"/>
      </w:pPr>
      <w:r>
        <w:rPr/>
        <w:t>联系人：赵蓓蓓</w:t>
      </w:r>
    </w:p>
    <w:p>
      <w:pPr>
        <w:pStyle w:val="BodyText"/>
        <w:spacing w:before="6"/>
        <w:rPr>
          <w:sz w:val="15"/>
        </w:rPr>
      </w:pPr>
    </w:p>
    <w:p>
      <w:pPr>
        <w:pStyle w:val="BodyText"/>
        <w:ind w:left="960"/>
        <w:rPr>
          <w:rFonts w:ascii="Times New Roman" w:eastAsia="Times New Roman"/>
        </w:rPr>
      </w:pPr>
      <w:r>
        <w:rPr/>
        <w:t>网址：</w:t>
      </w:r>
      <w:hyperlink r:id="rId21">
        <w:r>
          <w:rPr>
            <w:rFonts w:ascii="Times New Roman" w:eastAsia="Times New Roman"/>
          </w:rPr>
          <w:t>www.qdccb.com</w:t>
        </w:r>
      </w:hyperlink>
    </w:p>
    <w:p>
      <w:pPr>
        <w:pStyle w:val="BodyText"/>
        <w:spacing w:before="4"/>
        <w:rPr>
          <w:rFonts w:ascii="Times New Roman"/>
          <w:sz w:val="17"/>
        </w:rPr>
      </w:pPr>
    </w:p>
    <w:p>
      <w:pPr>
        <w:pStyle w:val="BodyText"/>
        <w:ind w:left="960"/>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6"/>
        <w:rPr>
          <w:sz w:val="15"/>
        </w:rPr>
      </w:pPr>
    </w:p>
    <w:p>
      <w:pPr>
        <w:pStyle w:val="ListParagraph"/>
        <w:numPr>
          <w:ilvl w:val="0"/>
          <w:numId w:val="8"/>
        </w:numPr>
        <w:tabs>
          <w:tab w:pos="1490" w:val="left" w:leader="none"/>
        </w:tabs>
        <w:spacing w:line="240" w:lineRule="auto" w:before="1" w:after="0"/>
        <w:ind w:left="1489" w:right="0" w:hanging="530"/>
        <w:jc w:val="left"/>
        <w:rPr>
          <w:sz w:val="21"/>
        </w:rPr>
      </w:pPr>
      <w:r>
        <w:rPr>
          <w:spacing w:val="-3"/>
          <w:sz w:val="21"/>
        </w:rPr>
        <w:t>杭州银行股份有限公司</w:t>
      </w:r>
    </w:p>
    <w:p>
      <w:pPr>
        <w:pStyle w:val="BodyText"/>
        <w:spacing w:before="6"/>
        <w:rPr>
          <w:sz w:val="15"/>
        </w:rPr>
      </w:pPr>
    </w:p>
    <w:p>
      <w:pPr>
        <w:pStyle w:val="BodyText"/>
        <w:ind w:left="960"/>
      </w:pPr>
      <w:r>
        <w:rPr/>
        <w:t>住所：杭州市庆春路 </w:t>
      </w:r>
      <w:r>
        <w:rPr>
          <w:rFonts w:ascii="Times New Roman" w:eastAsia="Times New Roman"/>
        </w:rPr>
        <w:t>46 </w:t>
      </w:r>
      <w:r>
        <w:rPr/>
        <w:t>号杭州银行大厦</w:t>
      </w:r>
    </w:p>
    <w:p>
      <w:pPr>
        <w:pStyle w:val="BodyText"/>
        <w:spacing w:before="8"/>
        <w:rPr>
          <w:sz w:val="15"/>
        </w:rPr>
      </w:pPr>
    </w:p>
    <w:p>
      <w:pPr>
        <w:pStyle w:val="BodyText"/>
        <w:spacing w:line="417" w:lineRule="auto"/>
        <w:ind w:left="960" w:right="4044"/>
      </w:pPr>
      <w:r>
        <w:rPr/>
        <w:t>办公地址：杭州市庆春路 </w:t>
      </w:r>
      <w:r>
        <w:rPr>
          <w:rFonts w:ascii="Times New Roman" w:eastAsia="Times New Roman"/>
        </w:rPr>
        <w:t>46 </w:t>
      </w:r>
      <w:r>
        <w:rPr/>
        <w:t>号杭州银行大厦法定代表人：吴太普</w:t>
      </w:r>
    </w:p>
    <w:p>
      <w:pPr>
        <w:pStyle w:val="BodyText"/>
        <w:spacing w:line="417" w:lineRule="auto"/>
        <w:ind w:left="960" w:right="624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spacing w:line="269" w:lineRule="exact"/>
        <w:ind w:left="960"/>
      </w:pPr>
      <w:r>
        <w:rPr/>
        <w:t>联系人：陈振峰</w:t>
      </w:r>
    </w:p>
    <w:p>
      <w:pPr>
        <w:pStyle w:val="BodyText"/>
        <w:spacing w:before="6"/>
        <w:rPr>
          <w:sz w:val="15"/>
        </w:rPr>
      </w:pPr>
    </w:p>
    <w:p>
      <w:pPr>
        <w:pStyle w:val="BodyText"/>
        <w:ind w:left="960"/>
        <w:rPr>
          <w:rFonts w:ascii="Times New Roman" w:eastAsia="Times New Roman"/>
        </w:rPr>
      </w:pPr>
      <w:r>
        <w:rPr/>
        <w:t>网址：</w:t>
      </w:r>
      <w:hyperlink r:id="rId22">
        <w:r>
          <w:rPr>
            <w:rFonts w:ascii="Times New Roman" w:eastAsia="Times New Roman"/>
          </w:rPr>
          <w:t>www.hzbank.com.cn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400-888-8508</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17" w:lineRule="auto"/>
        <w:ind w:left="960" w:right="5304"/>
      </w:pPr>
      <w:r>
        <w:rPr/>
        <w:t>办公地址：南京市中华路 </w:t>
      </w:r>
      <w:r>
        <w:rPr>
          <w:rFonts w:ascii="Times New Roman" w:eastAsia="Times New Roman"/>
        </w:rPr>
        <w:t>26 </w:t>
      </w:r>
      <w:r>
        <w:rPr/>
        <w:t>号法定代表人：夏平</w:t>
      </w:r>
    </w:p>
    <w:p>
      <w:pPr>
        <w:pStyle w:val="BodyText"/>
        <w:spacing w:line="417" w:lineRule="auto"/>
        <w:ind w:left="960" w:right="634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spacing w:line="269" w:lineRule="exact"/>
        <w:ind w:left="960"/>
      </w:pPr>
      <w:r>
        <w:rPr/>
        <w:t>联系人：田春慧</w:t>
      </w:r>
    </w:p>
    <w:p>
      <w:pPr>
        <w:pStyle w:val="BodyText"/>
        <w:spacing w:before="7"/>
        <w:rPr>
          <w:sz w:val="15"/>
        </w:rPr>
      </w:pPr>
    </w:p>
    <w:p>
      <w:pPr>
        <w:pStyle w:val="BodyText"/>
        <w:spacing w:line="417" w:lineRule="auto"/>
        <w:ind w:left="960" w:right="6084"/>
        <w:rPr>
          <w:rFonts w:ascii="Times New Roman" w:eastAsia="Times New Roman"/>
        </w:rPr>
      </w:pPr>
      <w:r>
        <w:rPr/>
        <w:t>网址：</w:t>
      </w:r>
      <w:hyperlink r:id="rId23">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8"/>
        </w:numPr>
        <w:tabs>
          <w:tab w:pos="1586" w:val="left" w:leader="none"/>
        </w:tabs>
        <w:spacing w:line="269" w:lineRule="exact" w:before="0" w:after="0"/>
        <w:ind w:left="1585" w:right="0" w:hanging="626"/>
        <w:jc w:val="left"/>
        <w:rPr>
          <w:sz w:val="21"/>
        </w:rPr>
      </w:pPr>
      <w:r>
        <w:rPr>
          <w:spacing w:val="-3"/>
          <w:sz w:val="21"/>
        </w:rPr>
        <w:t>渤海银行股份有限公司</w:t>
      </w:r>
    </w:p>
    <w:p>
      <w:pPr>
        <w:pStyle w:val="BodyText"/>
        <w:spacing w:before="7"/>
        <w:rPr>
          <w:sz w:val="15"/>
        </w:rPr>
      </w:pPr>
    </w:p>
    <w:p>
      <w:pPr>
        <w:pStyle w:val="BodyText"/>
        <w:ind w:left="960"/>
      </w:pPr>
      <w:r>
        <w:rPr/>
        <w:t>住所：天津市河东区海河东路 </w:t>
      </w:r>
      <w:r>
        <w:rPr>
          <w:rFonts w:ascii="Times New Roman" w:eastAsia="Times New Roman"/>
        </w:rPr>
        <w:t>218 </w:t>
      </w:r>
      <w:r>
        <w:rPr/>
        <w:t>号</w:t>
      </w:r>
    </w:p>
    <w:p>
      <w:pPr>
        <w:pStyle w:val="BodyText"/>
        <w:spacing w:before="6"/>
        <w:rPr>
          <w:sz w:val="15"/>
        </w:rPr>
      </w:pPr>
    </w:p>
    <w:p>
      <w:pPr>
        <w:pStyle w:val="BodyText"/>
        <w:spacing w:line="417" w:lineRule="auto" w:before="1"/>
        <w:ind w:left="960" w:right="441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spacing w:before="1"/>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联系人：潘鹏程</w:t>
      </w:r>
    </w:p>
    <w:p>
      <w:pPr>
        <w:spacing w:after="0"/>
        <w:sectPr>
          <w:pgSz w:w="11910" w:h="16840"/>
          <w:pgMar w:header="877" w:footer="995" w:top="1420" w:bottom="1180" w:left="1260" w:right="1480"/>
        </w:sectPr>
      </w:pPr>
    </w:p>
    <w:p>
      <w:pPr>
        <w:pStyle w:val="BodyText"/>
        <w:spacing w:line="417" w:lineRule="auto" w:before="110"/>
        <w:ind w:left="960" w:right="5962"/>
        <w:rPr>
          <w:rFonts w:ascii="Times New Roman" w:eastAsia="Times New Roman"/>
        </w:rPr>
      </w:pPr>
      <w:r>
        <w:rPr/>
        <w:t>网址：</w:t>
      </w:r>
      <w:hyperlink r:id="rId24">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烟台银行股份有限公司</w:t>
      </w:r>
    </w:p>
    <w:p>
      <w:pPr>
        <w:pStyle w:val="BodyText"/>
        <w:spacing w:before="6"/>
        <w:rPr>
          <w:sz w:val="15"/>
        </w:rPr>
      </w:pPr>
    </w:p>
    <w:p>
      <w:pPr>
        <w:pStyle w:val="BodyText"/>
        <w:ind w:left="960"/>
      </w:pPr>
      <w:r>
        <w:rPr/>
        <w:t>住所：山东省烟台市芝罘区海港路 </w:t>
      </w:r>
      <w:r>
        <w:rPr>
          <w:rFonts w:ascii="Times New Roman" w:eastAsia="Times New Roman"/>
        </w:rPr>
        <w:t>25 </w:t>
      </w:r>
      <w:r>
        <w:rPr/>
        <w:t>号</w:t>
      </w:r>
    </w:p>
    <w:p>
      <w:pPr>
        <w:pStyle w:val="BodyText"/>
        <w:spacing w:before="7"/>
        <w:rPr>
          <w:sz w:val="15"/>
        </w:rPr>
      </w:pPr>
    </w:p>
    <w:p>
      <w:pPr>
        <w:pStyle w:val="BodyText"/>
        <w:spacing w:line="417" w:lineRule="auto"/>
        <w:ind w:left="960" w:right="4043"/>
      </w:pPr>
      <w:r>
        <w:rPr/>
        <w:t>办公地址：山东省烟台市芝罘区海港路 </w:t>
      </w:r>
      <w:r>
        <w:rPr>
          <w:rFonts w:ascii="Times New Roman" w:eastAsia="Times New Roman"/>
        </w:rPr>
        <w:t>25 </w:t>
      </w:r>
      <w:r>
        <w:rPr/>
        <w:t>号法定代表人：叶文君</w:t>
      </w:r>
    </w:p>
    <w:p>
      <w:pPr>
        <w:pStyle w:val="BodyText"/>
        <w:spacing w:line="417" w:lineRule="auto"/>
        <w:ind w:left="960" w:right="634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ind w:left="960"/>
      </w:pPr>
      <w:r>
        <w:rPr/>
        <w:t>联系人：王淑华</w:t>
      </w:r>
    </w:p>
    <w:p>
      <w:pPr>
        <w:pStyle w:val="BodyText"/>
        <w:spacing w:before="7"/>
        <w:rPr>
          <w:sz w:val="15"/>
        </w:rPr>
      </w:pPr>
    </w:p>
    <w:p>
      <w:pPr>
        <w:pStyle w:val="BodyText"/>
        <w:ind w:left="960"/>
        <w:rPr>
          <w:rFonts w:ascii="Times New Roman" w:eastAsia="Times New Roman"/>
        </w:rPr>
      </w:pPr>
      <w:r>
        <w:rPr/>
        <w:t>网址：</w:t>
      </w:r>
      <w:hyperlink r:id="rId25">
        <w:r>
          <w:rPr>
            <w:rFonts w:ascii="Times New Roman" w:eastAsia="Times New Roman"/>
          </w:rPr>
          <w:t>www.yantaibank.net</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400-831-1777</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大连银行股份有限公司</w:t>
      </w:r>
    </w:p>
    <w:p>
      <w:pPr>
        <w:pStyle w:val="BodyText"/>
        <w:spacing w:before="6"/>
        <w:rPr>
          <w:sz w:val="15"/>
        </w:rPr>
      </w:pPr>
    </w:p>
    <w:p>
      <w:pPr>
        <w:pStyle w:val="BodyText"/>
        <w:spacing w:before="1"/>
        <w:ind w:left="960"/>
      </w:pPr>
      <w:r>
        <w:rPr/>
        <w:t>住所：辽宁省大连市中山区中山路 </w:t>
      </w:r>
      <w:r>
        <w:rPr>
          <w:rFonts w:ascii="Times New Roman" w:eastAsia="Times New Roman"/>
        </w:rPr>
        <w:t>88 </w:t>
      </w:r>
      <w:r>
        <w:rPr/>
        <w:t>号</w:t>
      </w:r>
    </w:p>
    <w:p>
      <w:pPr>
        <w:pStyle w:val="BodyText"/>
        <w:spacing w:before="6"/>
        <w:rPr>
          <w:sz w:val="15"/>
        </w:rPr>
      </w:pPr>
    </w:p>
    <w:p>
      <w:pPr>
        <w:pStyle w:val="BodyText"/>
        <w:spacing w:line="417" w:lineRule="auto"/>
        <w:ind w:left="960" w:right="4043"/>
      </w:pPr>
      <w:r>
        <w:rPr/>
        <w:t>办公地址：辽宁省大连市中山区中山路 </w:t>
      </w:r>
      <w:r>
        <w:rPr>
          <w:rFonts w:ascii="Times New Roman" w:eastAsia="Times New Roman"/>
        </w:rPr>
        <w:t>88 </w:t>
      </w:r>
      <w:r>
        <w:rPr/>
        <w:t>号法定代表人：陈占维</w:t>
      </w:r>
    </w:p>
    <w:p>
      <w:pPr>
        <w:pStyle w:val="BodyText"/>
        <w:spacing w:line="417" w:lineRule="auto"/>
        <w:ind w:left="960" w:right="625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spacing w:line="269" w:lineRule="exact"/>
        <w:ind w:left="960"/>
      </w:pPr>
      <w:r>
        <w:rPr/>
        <w:t>联系人：李格格</w:t>
      </w:r>
    </w:p>
    <w:p>
      <w:pPr>
        <w:pStyle w:val="BodyText"/>
        <w:spacing w:before="7"/>
        <w:rPr>
          <w:sz w:val="15"/>
        </w:rPr>
      </w:pPr>
    </w:p>
    <w:p>
      <w:pPr>
        <w:pStyle w:val="BodyText"/>
        <w:ind w:left="960"/>
        <w:rPr>
          <w:rFonts w:ascii="Times New Roman" w:eastAsia="Times New Roman"/>
        </w:rPr>
      </w:pPr>
      <w:r>
        <w:rPr/>
        <w:t>网址：</w:t>
      </w:r>
      <w:hyperlink r:id="rId26">
        <w:r>
          <w:rPr>
            <w:rFonts w:ascii="Times New Roman" w:eastAsia="Times New Roman"/>
          </w:rPr>
          <w:t>www.bankofdl.com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400-664-0099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重庆银行股份有限公司</w:t>
      </w:r>
    </w:p>
    <w:p>
      <w:pPr>
        <w:pStyle w:val="BodyText"/>
        <w:spacing w:before="7"/>
        <w:rPr>
          <w:sz w:val="15"/>
        </w:rPr>
      </w:pPr>
    </w:p>
    <w:p>
      <w:pPr>
        <w:pStyle w:val="BodyText"/>
        <w:ind w:left="960"/>
      </w:pPr>
      <w:r>
        <w:rPr/>
        <w:t>住所：重庆市江北区永平门街 </w:t>
      </w:r>
      <w:r>
        <w:rPr>
          <w:rFonts w:ascii="Times New Roman" w:eastAsia="Times New Roman"/>
        </w:rPr>
        <w:t>6 </w:t>
      </w:r>
      <w:r>
        <w:rPr/>
        <w:t>号</w:t>
      </w:r>
    </w:p>
    <w:p>
      <w:pPr>
        <w:pStyle w:val="BodyText"/>
        <w:spacing w:before="7"/>
        <w:rPr>
          <w:sz w:val="15"/>
        </w:rPr>
      </w:pPr>
    </w:p>
    <w:p>
      <w:pPr>
        <w:pStyle w:val="BodyText"/>
        <w:spacing w:line="417" w:lineRule="auto"/>
        <w:ind w:left="960" w:right="4568"/>
      </w:pPr>
      <w:r>
        <w:rPr/>
        <w:t>办公地址：重庆市江北区永平门街 </w:t>
      </w:r>
      <w:r>
        <w:rPr>
          <w:rFonts w:ascii="Times New Roman" w:eastAsia="Times New Roman"/>
        </w:rPr>
        <w:t>6 </w:t>
      </w:r>
      <w:r>
        <w:rPr/>
        <w:t>号法定代表人：林军</w:t>
      </w:r>
    </w:p>
    <w:p>
      <w:pPr>
        <w:pStyle w:val="BodyText"/>
        <w:spacing w:line="417" w:lineRule="auto"/>
        <w:ind w:left="960" w:right="634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spacing w:line="269" w:lineRule="exact"/>
        <w:ind w:left="960"/>
      </w:pPr>
      <w:r>
        <w:rPr/>
        <w:t>联系人：张鹏</w:t>
      </w:r>
    </w:p>
    <w:p>
      <w:pPr>
        <w:pStyle w:val="BodyText"/>
        <w:spacing w:before="6"/>
        <w:rPr>
          <w:sz w:val="15"/>
        </w:rPr>
      </w:pPr>
    </w:p>
    <w:p>
      <w:pPr>
        <w:pStyle w:val="BodyText"/>
        <w:spacing w:line="417" w:lineRule="auto" w:before="1"/>
        <w:ind w:left="960" w:right="5920"/>
        <w:rPr>
          <w:rFonts w:ascii="Times New Roman" w:eastAsia="Times New Roman"/>
        </w:rPr>
      </w:pPr>
      <w:r>
        <w:rPr/>
        <w:t>网址：</w:t>
      </w:r>
      <w:hyperlink r:id="rId27">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东莞农村商业银行股份有限公司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住所：广东省东莞市东城区鸿福东路 </w:t>
      </w:r>
      <w:r>
        <w:rPr>
          <w:rFonts w:ascii="Times New Roman" w:eastAsia="Times New Roman"/>
        </w:rPr>
        <w:t>2 </w:t>
      </w:r>
      <w:r>
        <w:rPr/>
        <w:t>号</w:t>
      </w:r>
    </w:p>
    <w:p>
      <w:pPr>
        <w:pStyle w:val="BodyText"/>
        <w:spacing w:before="6"/>
        <w:rPr>
          <w:sz w:val="15"/>
        </w:rPr>
      </w:pPr>
    </w:p>
    <w:p>
      <w:pPr>
        <w:pStyle w:val="BodyText"/>
        <w:spacing w:line="417" w:lineRule="auto"/>
        <w:ind w:left="960" w:right="3937"/>
      </w:pPr>
      <w:r>
        <w:rPr/>
        <w:t>办公地址：广东省东莞市东城区鸿福东路 </w:t>
      </w:r>
      <w:r>
        <w:rPr>
          <w:rFonts w:ascii="Times New Roman" w:eastAsia="Times New Roman"/>
        </w:rPr>
        <w:t>2 </w:t>
      </w:r>
      <w:r>
        <w:rPr/>
        <w:t>号法定代表人：王耀球</w:t>
      </w:r>
    </w:p>
    <w:p>
      <w:pPr>
        <w:pStyle w:val="BodyText"/>
        <w:spacing w:line="417" w:lineRule="auto"/>
        <w:ind w:left="960" w:right="487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pStyle w:val="BodyText"/>
        <w:spacing w:line="269" w:lineRule="exact"/>
        <w:ind w:left="960"/>
      </w:pPr>
      <w:r>
        <w:rPr/>
        <w:t>联系人：刘托福</w:t>
      </w:r>
    </w:p>
    <w:p>
      <w:pPr>
        <w:pStyle w:val="BodyText"/>
        <w:spacing w:before="7"/>
        <w:rPr>
          <w:sz w:val="15"/>
        </w:rPr>
      </w:pPr>
    </w:p>
    <w:p>
      <w:pPr>
        <w:pStyle w:val="BodyText"/>
        <w:ind w:left="960"/>
        <w:rPr>
          <w:rFonts w:ascii="Times New Roman" w:eastAsia="Times New Roman"/>
        </w:rPr>
      </w:pPr>
      <w:r>
        <w:rPr/>
        <w:t>网址：</w:t>
      </w:r>
      <w:hyperlink r:id="rId28">
        <w:r>
          <w:rPr>
            <w:rFonts w:ascii="Times New Roman" w:eastAsia="Times New Roman"/>
          </w:rPr>
          <w:t>www.drcbank.com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0769-961122</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河北银行股份有限公司</w:t>
      </w:r>
    </w:p>
    <w:p>
      <w:pPr>
        <w:pStyle w:val="BodyText"/>
        <w:spacing w:before="7"/>
        <w:rPr>
          <w:sz w:val="15"/>
        </w:rPr>
      </w:pPr>
    </w:p>
    <w:p>
      <w:pPr>
        <w:pStyle w:val="BodyText"/>
        <w:ind w:left="960"/>
      </w:pPr>
      <w:r>
        <w:rPr/>
        <w:t>住所：河北省石家庄市平安北大街 </w:t>
      </w:r>
      <w:r>
        <w:rPr>
          <w:rFonts w:ascii="Times New Roman" w:eastAsia="Times New Roman"/>
        </w:rPr>
        <w:t>28 </w:t>
      </w:r>
      <w:r>
        <w:rPr/>
        <w:t>号</w:t>
      </w:r>
    </w:p>
    <w:p>
      <w:pPr>
        <w:pStyle w:val="BodyText"/>
        <w:spacing w:before="7"/>
        <w:rPr>
          <w:sz w:val="15"/>
        </w:rPr>
      </w:pPr>
    </w:p>
    <w:p>
      <w:pPr>
        <w:pStyle w:val="BodyText"/>
        <w:spacing w:line="417" w:lineRule="auto"/>
        <w:ind w:left="960" w:right="4043"/>
      </w:pPr>
      <w:r>
        <w:rPr/>
        <w:t>办公地址：河北省石家庄市平安北大街 </w:t>
      </w:r>
      <w:r>
        <w:rPr>
          <w:rFonts w:ascii="Times New Roman" w:eastAsia="Times New Roman"/>
        </w:rPr>
        <w:t>28 </w:t>
      </w:r>
      <w:r>
        <w:rPr/>
        <w:t>号法定代表人：乔志强</w:t>
      </w:r>
    </w:p>
    <w:p>
      <w:pPr>
        <w:pStyle w:val="BodyText"/>
        <w:spacing w:line="417" w:lineRule="auto"/>
        <w:ind w:left="960" w:right="625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pStyle w:val="BodyText"/>
        <w:ind w:left="960"/>
      </w:pPr>
      <w:r>
        <w:rPr/>
        <w:t>联系人：王栋</w:t>
      </w:r>
    </w:p>
    <w:p>
      <w:pPr>
        <w:pStyle w:val="BodyText"/>
        <w:spacing w:before="6"/>
        <w:rPr>
          <w:sz w:val="15"/>
        </w:rPr>
      </w:pPr>
    </w:p>
    <w:p>
      <w:pPr>
        <w:pStyle w:val="BodyText"/>
        <w:ind w:left="960"/>
        <w:rPr>
          <w:rFonts w:ascii="Times New Roman" w:eastAsia="Times New Roman"/>
        </w:rPr>
      </w:pPr>
      <w:r>
        <w:rPr/>
        <w:t>网址：</w:t>
      </w:r>
      <w:hyperlink r:id="rId29">
        <w:r>
          <w:rPr>
            <w:rFonts w:ascii="Times New Roman" w:eastAsia="Times New Roman"/>
          </w:rPr>
          <w:t>www.hebbank.com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400-612-9999</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4104" w:firstLine="0"/>
        <w:jc w:val="left"/>
        <w:rPr>
          <w:sz w:val="21"/>
        </w:rPr>
      </w:pPr>
      <w:r>
        <w:rPr>
          <w:spacing w:val="-3"/>
          <w:sz w:val="21"/>
        </w:rPr>
        <w:t>江苏苏州农村商业银行股份有限公司</w:t>
      </w:r>
      <w:r>
        <w:rPr>
          <w:spacing w:val="-6"/>
          <w:sz w:val="21"/>
        </w:rPr>
        <w:t>住所：江苏省苏州市吴江区中山南路 </w:t>
      </w:r>
      <w:r>
        <w:rPr>
          <w:rFonts w:ascii="Times New Roman" w:eastAsia="Times New Roman"/>
          <w:sz w:val="21"/>
        </w:rPr>
        <w:t>1777</w:t>
      </w:r>
      <w:r>
        <w:rPr>
          <w:rFonts w:ascii="Times New Roman" w:eastAsia="Times New Roman"/>
          <w:spacing w:val="8"/>
          <w:sz w:val="21"/>
        </w:rPr>
        <w:t> </w:t>
      </w:r>
      <w:r>
        <w:rPr>
          <w:spacing w:val="-11"/>
          <w:sz w:val="21"/>
        </w:rPr>
        <w:t>号</w:t>
      </w:r>
    </w:p>
    <w:p>
      <w:pPr>
        <w:pStyle w:val="BodyText"/>
        <w:spacing w:line="417" w:lineRule="auto"/>
        <w:ind w:left="960" w:right="3622"/>
      </w:pPr>
      <w:r>
        <w:rPr/>
        <w:t>办公地址：江苏省苏州市吴江区中山南路 </w:t>
      </w:r>
      <w:r>
        <w:rPr>
          <w:rFonts w:ascii="Times New Roman" w:eastAsia="Times New Roman"/>
        </w:rPr>
        <w:t>1777 </w:t>
      </w:r>
      <w:r>
        <w:rPr/>
        <w:t>号法定代表人：魏礼亚</w:t>
      </w:r>
    </w:p>
    <w:p>
      <w:pPr>
        <w:pStyle w:val="BodyText"/>
        <w:spacing w:line="417" w:lineRule="auto"/>
        <w:ind w:left="960" w:right="624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960"/>
      </w:pPr>
      <w:r>
        <w:rPr/>
        <w:t>联系人：葛晓亮</w:t>
      </w:r>
    </w:p>
    <w:p>
      <w:pPr>
        <w:pStyle w:val="BodyText"/>
        <w:spacing w:before="7"/>
        <w:rPr>
          <w:sz w:val="15"/>
        </w:rPr>
      </w:pPr>
    </w:p>
    <w:p>
      <w:pPr>
        <w:pStyle w:val="BodyText"/>
        <w:ind w:left="960"/>
        <w:rPr>
          <w:rFonts w:ascii="Times New Roman" w:eastAsia="Times New Roman"/>
        </w:rPr>
      </w:pPr>
      <w:r>
        <w:rPr/>
        <w:t>网址：</w:t>
      </w:r>
      <w:hyperlink r:id="rId30">
        <w:r>
          <w:rPr>
            <w:rFonts w:ascii="Times New Roman" w:eastAsia="Times New Roman"/>
          </w:rPr>
          <w:t>http://www.szrcb.com</w:t>
        </w:r>
      </w:hyperlink>
    </w:p>
    <w:p>
      <w:pPr>
        <w:pStyle w:val="BodyText"/>
        <w:spacing w:before="3"/>
        <w:rPr>
          <w:rFonts w:ascii="Times New Roman"/>
          <w:sz w:val="17"/>
        </w:rPr>
      </w:pPr>
    </w:p>
    <w:p>
      <w:pPr>
        <w:pStyle w:val="BodyText"/>
        <w:ind w:left="96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7"/>
        <w:rPr>
          <w:sz w:val="15"/>
        </w:rPr>
      </w:pPr>
    </w:p>
    <w:p>
      <w:pPr>
        <w:pStyle w:val="ListParagraph"/>
        <w:numPr>
          <w:ilvl w:val="0"/>
          <w:numId w:val="8"/>
        </w:numPr>
        <w:tabs>
          <w:tab w:pos="1595" w:val="left" w:leader="none"/>
        </w:tabs>
        <w:spacing w:line="417" w:lineRule="auto" w:before="0" w:after="0"/>
        <w:ind w:left="960" w:right="515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17" w:lineRule="auto"/>
        <w:ind w:left="960" w:right="4673"/>
      </w:pPr>
      <w:r>
        <w:rPr/>
        <w:t>办公地址：陕西省西安市高新路 </w:t>
      </w:r>
      <w:r>
        <w:rPr>
          <w:rFonts w:ascii="Times New Roman" w:eastAsia="Times New Roman"/>
        </w:rPr>
        <w:t>60 </w:t>
      </w:r>
      <w:r>
        <w:rPr/>
        <w:t>号法定代表人：郭军</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960"/>
      </w:pPr>
      <w:r>
        <w:rPr/>
        <w:t>联系人：白智</w:t>
      </w:r>
    </w:p>
    <w:p>
      <w:pPr>
        <w:pStyle w:val="BodyText"/>
        <w:spacing w:before="6"/>
        <w:rPr>
          <w:sz w:val="15"/>
        </w:rPr>
      </w:pPr>
    </w:p>
    <w:p>
      <w:pPr>
        <w:pStyle w:val="BodyText"/>
        <w:ind w:left="960"/>
        <w:rPr>
          <w:rFonts w:ascii="Times New Roman" w:eastAsia="Times New Roman"/>
        </w:rPr>
      </w:pPr>
      <w:r>
        <w:rPr/>
        <w:t>网址：</w:t>
      </w:r>
      <w:hyperlink r:id="rId31">
        <w:r>
          <w:rPr>
            <w:rFonts w:ascii="Times New Roman" w:eastAsia="Times New Roman"/>
          </w:rPr>
          <w:t>www.xacbank.com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400-869-6779</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4209" w:firstLine="0"/>
        <w:jc w:val="left"/>
        <w:rPr>
          <w:sz w:val="21"/>
        </w:rPr>
      </w:pPr>
      <w:r>
        <w:rPr>
          <w:spacing w:val="-4"/>
          <w:sz w:val="21"/>
        </w:rPr>
        <w:t>江苏江南农村商业银行股份有限公司</w:t>
      </w:r>
      <w:r>
        <w:rPr>
          <w:spacing w:val="-7"/>
          <w:sz w:val="21"/>
        </w:rPr>
        <w:t>住所：江苏省常州市和平中路 </w:t>
      </w:r>
      <w:r>
        <w:rPr>
          <w:rFonts w:ascii="Times New Roman" w:eastAsia="Times New Roman"/>
          <w:sz w:val="21"/>
        </w:rPr>
        <w:t>413</w:t>
      </w:r>
      <w:r>
        <w:rPr>
          <w:rFonts w:ascii="Times New Roman" w:eastAsia="Times New Roman"/>
          <w:spacing w:val="1"/>
          <w:sz w:val="21"/>
        </w:rPr>
        <w:t> </w:t>
      </w:r>
      <w:r>
        <w:rPr>
          <w:sz w:val="21"/>
        </w:rPr>
        <w:t>号</w:t>
      </w:r>
    </w:p>
    <w:p>
      <w:pPr>
        <w:pStyle w:val="BodyText"/>
        <w:spacing w:line="417" w:lineRule="auto" w:before="1"/>
        <w:ind w:left="960" w:right="4357"/>
      </w:pPr>
      <w:r>
        <w:rPr/>
        <w:t>办公地址：江苏省常州市和平中路 </w:t>
      </w:r>
      <w:r>
        <w:rPr>
          <w:rFonts w:ascii="Times New Roman" w:eastAsia="Times New Roman"/>
        </w:rPr>
        <w:t>413 </w:t>
      </w:r>
      <w:r>
        <w:rPr/>
        <w:t>号法定代表人：陆向阳</w:t>
      </w:r>
    </w:p>
    <w:p>
      <w:pPr>
        <w:pStyle w:val="BodyText"/>
        <w:spacing w:line="417" w:lineRule="auto"/>
        <w:ind w:left="960" w:right="624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9" w:lineRule="exact"/>
        <w:ind w:left="960"/>
      </w:pPr>
      <w:r>
        <w:rPr/>
        <w:t>联系人：蒋娇</w:t>
      </w:r>
    </w:p>
    <w:p>
      <w:pPr>
        <w:pStyle w:val="BodyText"/>
        <w:spacing w:before="6"/>
        <w:rPr>
          <w:sz w:val="15"/>
        </w:rPr>
      </w:pPr>
    </w:p>
    <w:p>
      <w:pPr>
        <w:pStyle w:val="BodyText"/>
        <w:spacing w:line="417" w:lineRule="auto"/>
        <w:ind w:left="960" w:right="5716"/>
        <w:rPr>
          <w:rFonts w:ascii="Times New Roman" w:eastAsia="Times New Roman"/>
        </w:rPr>
      </w:pPr>
      <w:r>
        <w:rPr/>
        <w:t>网址：</w:t>
      </w:r>
      <w:hyperlink r:id="rId32">
        <w:r>
          <w:rPr>
            <w:rFonts w:ascii="Times New Roman" w:eastAsia="Times New Roman"/>
          </w:rPr>
          <w:t>www.jnbank.com.cn </w:t>
        </w:r>
      </w:hyperlink>
      <w:r>
        <w:rPr/>
        <w:t>客户服务电话：</w:t>
      </w:r>
      <w:r>
        <w:rPr>
          <w:rFonts w:ascii="Times New Roman" w:eastAsia="Times New Roman"/>
        </w:rPr>
        <w:t>0519-96005</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厦门银行股份有限公司</w:t>
      </w:r>
    </w:p>
    <w:p>
      <w:pPr>
        <w:pStyle w:val="BodyText"/>
        <w:spacing w:before="7"/>
        <w:rPr>
          <w:sz w:val="15"/>
        </w:rPr>
      </w:pPr>
    </w:p>
    <w:p>
      <w:pPr>
        <w:pStyle w:val="BodyText"/>
        <w:ind w:left="960"/>
      </w:pPr>
      <w:r>
        <w:rPr/>
        <w:t>住所：厦门市湖滨北路 </w:t>
      </w:r>
      <w:r>
        <w:rPr>
          <w:rFonts w:ascii="Times New Roman" w:eastAsia="Times New Roman"/>
        </w:rPr>
        <w:t>101 </w:t>
      </w:r>
      <w:r>
        <w:rPr/>
        <w:t>号商业银行大厦</w:t>
      </w:r>
    </w:p>
    <w:p>
      <w:pPr>
        <w:pStyle w:val="BodyText"/>
        <w:spacing w:before="6"/>
        <w:rPr>
          <w:sz w:val="15"/>
        </w:rPr>
      </w:pPr>
    </w:p>
    <w:p>
      <w:pPr>
        <w:pStyle w:val="BodyText"/>
        <w:spacing w:line="417" w:lineRule="auto" w:before="1"/>
        <w:ind w:left="960" w:right="3728"/>
      </w:pPr>
      <w:r>
        <w:rPr/>
        <w:t>办公地址：厦门市湖滨北路 </w:t>
      </w:r>
      <w:r>
        <w:rPr>
          <w:rFonts w:ascii="Times New Roman" w:eastAsia="Times New Roman"/>
        </w:rPr>
        <w:t>101 </w:t>
      </w:r>
      <w:r>
        <w:rPr/>
        <w:t>号商业银行大厦法定代表人：吴世群</w:t>
      </w:r>
    </w:p>
    <w:p>
      <w:pPr>
        <w:pStyle w:val="BodyText"/>
        <w:spacing w:line="417" w:lineRule="auto"/>
        <w:ind w:left="960" w:right="634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9" w:lineRule="exact"/>
        <w:ind w:left="960"/>
      </w:pPr>
      <w:r>
        <w:rPr/>
        <w:t>联系人：孙瑜</w:t>
      </w:r>
    </w:p>
    <w:p>
      <w:pPr>
        <w:pStyle w:val="BodyText"/>
        <w:spacing w:before="6"/>
        <w:rPr>
          <w:sz w:val="15"/>
        </w:rPr>
      </w:pPr>
    </w:p>
    <w:p>
      <w:pPr>
        <w:pStyle w:val="BodyText"/>
        <w:spacing w:before="1"/>
        <w:ind w:left="960"/>
        <w:rPr>
          <w:rFonts w:ascii="Times New Roman" w:eastAsia="Times New Roman"/>
        </w:rPr>
      </w:pPr>
      <w:r>
        <w:rPr/>
        <w:t>网址：</w:t>
      </w:r>
      <w:hyperlink r:id="rId33">
        <w:r>
          <w:rPr>
            <w:rFonts w:ascii="Times New Roman" w:eastAsia="Times New Roman"/>
          </w:rPr>
          <w:t>www.xmccb.com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苏州银行股份有限公司</w:t>
      </w:r>
    </w:p>
    <w:p>
      <w:pPr>
        <w:pStyle w:val="BodyText"/>
        <w:spacing w:before="6"/>
        <w:rPr>
          <w:sz w:val="15"/>
        </w:rPr>
      </w:pPr>
    </w:p>
    <w:p>
      <w:pPr>
        <w:pStyle w:val="BodyText"/>
        <w:ind w:left="960"/>
      </w:pPr>
      <w:r>
        <w:rPr/>
        <w:t>住所：江苏省苏州市工业园区钟园路 </w:t>
      </w:r>
      <w:r>
        <w:rPr>
          <w:rFonts w:ascii="Times New Roman" w:eastAsia="Times New Roman"/>
        </w:rPr>
        <w:t>728 </w:t>
      </w:r>
      <w:r>
        <w:rPr/>
        <w:t>号</w:t>
      </w:r>
    </w:p>
    <w:p>
      <w:pPr>
        <w:pStyle w:val="BodyText"/>
        <w:spacing w:before="7"/>
        <w:rPr>
          <w:sz w:val="15"/>
        </w:rPr>
      </w:pPr>
    </w:p>
    <w:p>
      <w:pPr>
        <w:pStyle w:val="BodyText"/>
        <w:spacing w:line="417" w:lineRule="auto"/>
        <w:ind w:left="960" w:right="3728"/>
      </w:pPr>
      <w:r>
        <w:rPr/>
        <w:t>办公地址：江苏省苏州市工业园区钟园路 </w:t>
      </w:r>
      <w:r>
        <w:rPr>
          <w:rFonts w:ascii="Times New Roman" w:eastAsia="Times New Roman"/>
        </w:rPr>
        <w:t>728 </w:t>
      </w:r>
      <w:r>
        <w:rPr/>
        <w:t>号法定代表人：王兰凤</w:t>
      </w:r>
    </w:p>
    <w:p>
      <w:pPr>
        <w:pStyle w:val="BodyText"/>
        <w:spacing w:line="269" w:lineRule="exact"/>
        <w:ind w:left="960"/>
        <w:rPr>
          <w:rFonts w:ascii="Times New Roman" w:eastAsia="Times New Roman"/>
        </w:rPr>
      </w:pPr>
      <w:r>
        <w:rPr/>
        <w:t>电话：</w:t>
      </w:r>
      <w:r>
        <w:rPr>
          <w:rFonts w:ascii="Times New Roman" w:eastAsia="Times New Roman"/>
        </w:rPr>
        <w:t>0512-69868373</w:t>
      </w:r>
    </w:p>
    <w:p>
      <w:pPr>
        <w:pStyle w:val="BodyText"/>
        <w:spacing w:before="4"/>
        <w:rPr>
          <w:rFonts w:ascii="Times New Roman"/>
          <w:sz w:val="17"/>
        </w:rPr>
      </w:pPr>
    </w:p>
    <w:p>
      <w:pPr>
        <w:pStyle w:val="BodyText"/>
        <w:ind w:left="960"/>
      </w:pPr>
      <w:r>
        <w:rPr/>
        <w:t>联系人：吴骏</w:t>
      </w:r>
    </w:p>
    <w:p>
      <w:pPr>
        <w:pStyle w:val="BodyText"/>
        <w:spacing w:before="6"/>
        <w:rPr>
          <w:sz w:val="15"/>
        </w:rPr>
      </w:pPr>
    </w:p>
    <w:p>
      <w:pPr>
        <w:pStyle w:val="BodyText"/>
        <w:spacing w:before="1"/>
        <w:ind w:left="960"/>
        <w:rPr>
          <w:rFonts w:ascii="Times New Roman" w:eastAsia="Times New Roman"/>
        </w:rPr>
      </w:pPr>
      <w:r>
        <w:rPr/>
        <w:t>网址：</w:t>
      </w:r>
      <w:hyperlink r:id="rId34">
        <w:r>
          <w:rPr>
            <w:rFonts w:ascii="Times New Roman" w:eastAsia="Times New Roman"/>
          </w:rPr>
          <w:t>www.suzhoubank.com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96067</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5258" w:firstLine="0"/>
        <w:jc w:val="left"/>
        <w:rPr>
          <w:sz w:val="21"/>
        </w:rPr>
      </w:pPr>
      <w:r>
        <w:rPr>
          <w:spacing w:val="-3"/>
          <w:sz w:val="21"/>
        </w:rPr>
        <w:t>泉州银行股份有限公司 </w:t>
      </w:r>
      <w:r>
        <w:rPr>
          <w:spacing w:val="-7"/>
          <w:sz w:val="21"/>
        </w:rPr>
        <w:t>住所：泉州市丰泽区云鹿路 </w:t>
      </w:r>
      <w:r>
        <w:rPr>
          <w:rFonts w:ascii="Times New Roman" w:eastAsia="Times New Roman"/>
          <w:sz w:val="21"/>
        </w:rPr>
        <w:t>3</w:t>
      </w:r>
      <w:r>
        <w:rPr>
          <w:rFonts w:ascii="Times New Roman" w:eastAsia="Times New Roman"/>
          <w:spacing w:val="7"/>
          <w:sz w:val="21"/>
        </w:rPr>
        <w:t> </w:t>
      </w:r>
      <w:r>
        <w:rPr>
          <w:spacing w:val="-14"/>
          <w:sz w:val="21"/>
        </w:rPr>
        <w:t>号</w:t>
      </w:r>
    </w:p>
    <w:p>
      <w:pPr>
        <w:pStyle w:val="BodyText"/>
        <w:spacing w:line="417" w:lineRule="auto"/>
        <w:ind w:left="960" w:right="4777"/>
      </w:pPr>
      <w:r>
        <w:rPr/>
        <w:t>办公地址：泉州市丰泽区云鹿路 </w:t>
      </w:r>
      <w:r>
        <w:rPr>
          <w:rFonts w:ascii="Times New Roman" w:eastAsia="Times New Roman"/>
        </w:rPr>
        <w:t>3 </w:t>
      </w:r>
      <w:r>
        <w:rPr/>
        <w:t>号法定代表人：傅子能</w:t>
      </w:r>
    </w:p>
    <w:p>
      <w:pPr>
        <w:pStyle w:val="BodyText"/>
        <w:spacing w:line="417" w:lineRule="auto"/>
        <w:ind w:left="960" w:right="624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ind w:left="960"/>
      </w:pPr>
      <w:r>
        <w:rPr/>
        <w:t>联系人：董培姗</w:t>
      </w:r>
    </w:p>
    <w:p>
      <w:pPr>
        <w:pStyle w:val="BodyText"/>
        <w:spacing w:before="6"/>
        <w:rPr>
          <w:sz w:val="15"/>
        </w:rPr>
      </w:pPr>
    </w:p>
    <w:p>
      <w:pPr>
        <w:pStyle w:val="BodyText"/>
        <w:ind w:left="960"/>
        <w:rPr>
          <w:rFonts w:ascii="Times New Roman" w:eastAsia="Times New Roman"/>
        </w:rPr>
      </w:pPr>
      <w:r>
        <w:rPr/>
        <w:t>网址：</w:t>
      </w:r>
      <w:hyperlink r:id="rId35">
        <w:r>
          <w:rPr>
            <w:rFonts w:ascii="Times New Roman" w:eastAsia="Times New Roman"/>
          </w:rPr>
          <w:t>www. </w:t>
        </w:r>
      </w:hyperlink>
      <w:r>
        <w:rPr>
          <w:rFonts w:ascii="Times New Roman" w:eastAsia="Times New Roman"/>
        </w:rPr>
        <w:t>qzccbank.com</w:t>
      </w:r>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400-889-6312</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华融湘江银行股份有限公司</w:t>
      </w:r>
    </w:p>
    <w:p>
      <w:pPr>
        <w:pStyle w:val="BodyText"/>
        <w:spacing w:before="7"/>
        <w:rPr>
          <w:sz w:val="15"/>
        </w:rPr>
      </w:pPr>
    </w:p>
    <w:p>
      <w:pPr>
        <w:pStyle w:val="BodyText"/>
        <w:ind w:left="960"/>
      </w:pPr>
      <w:r>
        <w:rPr/>
        <w:t>住所：湖南省长沙市天心区芙蓉南路二段 </w:t>
      </w:r>
      <w:r>
        <w:rPr>
          <w:rFonts w:ascii="Times New Roman" w:eastAsia="Times New Roman"/>
        </w:rPr>
        <w:t>828 </w:t>
      </w:r>
      <w:r>
        <w:rPr/>
        <w:t>号鑫远杰座</w:t>
      </w:r>
    </w:p>
    <w:p>
      <w:pPr>
        <w:pStyle w:val="BodyText"/>
        <w:spacing w:before="7"/>
        <w:rPr>
          <w:sz w:val="15"/>
        </w:rPr>
      </w:pPr>
    </w:p>
    <w:p>
      <w:pPr>
        <w:pStyle w:val="BodyText"/>
        <w:spacing w:line="417" w:lineRule="auto"/>
        <w:ind w:left="960" w:right="1626"/>
      </w:pPr>
      <w:r>
        <w:rPr/>
        <w:t>办公地址：湖南省长沙市雨花区湘府东路二段 </w:t>
      </w:r>
      <w:r>
        <w:rPr>
          <w:rFonts w:ascii="Times New Roman" w:eastAsia="Times New Roman"/>
        </w:rPr>
        <w:t>208 </w:t>
      </w:r>
      <w:r>
        <w:rPr/>
        <w:t>号万境财智中心南栋法定代表人：张永宏</w:t>
      </w:r>
    </w:p>
    <w:p>
      <w:pPr>
        <w:pStyle w:val="BodyText"/>
        <w:spacing w:line="417" w:lineRule="auto"/>
        <w:ind w:left="960" w:right="624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960"/>
      </w:pPr>
      <w:r>
        <w:rPr/>
        <w:t>联系人：曾玉姣</w:t>
      </w:r>
    </w:p>
    <w:p>
      <w:pPr>
        <w:pStyle w:val="BodyText"/>
        <w:spacing w:before="7"/>
        <w:rPr>
          <w:sz w:val="15"/>
        </w:rPr>
      </w:pPr>
    </w:p>
    <w:p>
      <w:pPr>
        <w:pStyle w:val="BodyText"/>
        <w:spacing w:line="417" w:lineRule="auto"/>
        <w:ind w:left="960" w:right="5623"/>
        <w:rPr>
          <w:rFonts w:ascii="Times New Roman" w:eastAsia="Times New Roman"/>
        </w:rPr>
      </w:pPr>
      <w:r>
        <w:rPr/>
        <w:t>网址：</w:t>
      </w:r>
      <w:hyperlink r:id="rId36">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青岛农村商业银行股份有限公司</w:t>
      </w:r>
    </w:p>
    <w:p>
      <w:pPr>
        <w:pStyle w:val="BodyText"/>
        <w:spacing w:before="6"/>
        <w:rPr>
          <w:sz w:val="15"/>
        </w:rPr>
      </w:pPr>
    </w:p>
    <w:p>
      <w:pPr>
        <w:pStyle w:val="BodyText"/>
        <w:ind w:left="960"/>
      </w:pPr>
      <w:r>
        <w:rPr/>
        <w:t>住所：山东省青岛市崂山区香港东路 </w:t>
      </w:r>
      <w:r>
        <w:rPr>
          <w:rFonts w:ascii="Times New Roman" w:eastAsia="Times New Roman"/>
        </w:rPr>
        <w:t>109 </w:t>
      </w:r>
      <w:r>
        <w:rPr/>
        <w:t>号</w:t>
      </w:r>
    </w:p>
    <w:p>
      <w:pPr>
        <w:pStyle w:val="BodyText"/>
        <w:spacing w:before="8"/>
        <w:rPr>
          <w:sz w:val="15"/>
        </w:rPr>
      </w:pPr>
    </w:p>
    <w:p>
      <w:pPr>
        <w:pStyle w:val="BodyText"/>
        <w:spacing w:line="417" w:lineRule="auto"/>
        <w:ind w:left="960" w:right="3728"/>
      </w:pPr>
      <w:r>
        <w:rPr/>
        <w:t>办公地址：山东省青岛市崂山区香港东路 </w:t>
      </w:r>
      <w:r>
        <w:rPr>
          <w:rFonts w:ascii="Times New Roman" w:eastAsia="Times New Roman"/>
        </w:rPr>
        <w:t>109 </w:t>
      </w:r>
      <w:r>
        <w:rPr/>
        <w:t>号法定代表人：刘仲生</w:t>
      </w:r>
    </w:p>
    <w:p>
      <w:pPr>
        <w:pStyle w:val="BodyText"/>
        <w:spacing w:line="417" w:lineRule="auto"/>
        <w:ind w:left="960" w:right="6240"/>
        <w:rPr>
          <w:rFonts w:ascii="Times New Roman" w:eastAsia="Times New Roman"/>
        </w:rPr>
      </w:pPr>
      <w:r>
        <w:rPr/>
        <w:t>电话：</w:t>
      </w:r>
      <w:r>
        <w:rPr>
          <w:rFonts w:ascii="Times New Roman" w:eastAsia="Times New Roman"/>
        </w:rPr>
        <w:t>0532-66957228 </w:t>
      </w:r>
      <w:r>
        <w:rPr/>
        <w:t>传真：</w:t>
      </w:r>
      <w:r>
        <w:rPr>
          <w:rFonts w:ascii="Times New Roman" w:eastAsia="Times New Roman"/>
        </w:rPr>
        <w:t>0532-85933730</w:t>
      </w:r>
    </w:p>
    <w:p>
      <w:pPr>
        <w:pStyle w:val="BodyText"/>
        <w:spacing w:line="269" w:lineRule="exact"/>
        <w:ind w:left="960"/>
      </w:pPr>
      <w:r>
        <w:rPr/>
        <w:t>联系人：李洪姣</w:t>
      </w:r>
    </w:p>
    <w:p>
      <w:pPr>
        <w:pStyle w:val="BodyText"/>
        <w:spacing w:before="6"/>
        <w:rPr>
          <w:sz w:val="15"/>
        </w:rPr>
      </w:pPr>
    </w:p>
    <w:p>
      <w:pPr>
        <w:pStyle w:val="BodyText"/>
        <w:ind w:left="960"/>
        <w:rPr>
          <w:rFonts w:ascii="Times New Roman" w:eastAsia="Times New Roman"/>
        </w:rPr>
      </w:pPr>
      <w:r>
        <w:rPr/>
        <w:t>网址：</w:t>
      </w:r>
      <w:hyperlink r:id="rId37">
        <w:r>
          <w:rPr>
            <w:rFonts w:ascii="Times New Roman" w:eastAsia="Times New Roman"/>
          </w:rPr>
          <w:t>www.qrcb.com.cn</w:t>
        </w:r>
      </w:hyperlink>
    </w:p>
    <w:p>
      <w:pPr>
        <w:pStyle w:val="BodyText"/>
        <w:spacing w:before="3"/>
        <w:rPr>
          <w:rFonts w:ascii="Times New Roman"/>
          <w:sz w:val="17"/>
        </w:rPr>
      </w:pPr>
    </w:p>
    <w:p>
      <w:pPr>
        <w:pStyle w:val="BodyText"/>
        <w:spacing w:before="1"/>
        <w:ind w:left="960"/>
      </w:pPr>
      <w:r>
        <w:rPr>
          <w:spacing w:val="-2"/>
        </w:rPr>
        <w:t>客户服务电话：</w:t>
      </w:r>
      <w:r>
        <w:rPr>
          <w:rFonts w:ascii="Times New Roman" w:eastAsia="Times New Roman"/>
        </w:rPr>
        <w:t>400-11-96668</w:t>
      </w:r>
      <w:r>
        <w:rPr/>
        <w:t>（</w:t>
      </w:r>
      <w:r>
        <w:rPr>
          <w:spacing w:val="-2"/>
        </w:rPr>
        <w:t>全国</w:t>
      </w:r>
      <w:r>
        <w:rPr>
          <w:spacing w:val="-108"/>
        </w:rPr>
        <w:t>）</w:t>
      </w:r>
      <w:r>
        <w:rPr/>
        <w:t>、</w:t>
      </w:r>
      <w:r>
        <w:rPr>
          <w:rFonts w:ascii="Times New Roman" w:eastAsia="Times New Roman"/>
        </w:rPr>
        <w:t>96668</w:t>
      </w:r>
      <w:r>
        <w:rPr/>
        <w:t>（</w:t>
      </w:r>
      <w:r>
        <w:rPr>
          <w:spacing w:val="-2"/>
        </w:rPr>
        <w:t>青岛</w:t>
      </w:r>
      <w:r>
        <w:rPr/>
        <w:t>）</w:t>
      </w:r>
    </w:p>
    <w:p>
      <w:pPr>
        <w:pStyle w:val="BodyText"/>
        <w:spacing w:before="7"/>
        <w:rPr>
          <w:sz w:val="15"/>
        </w:rPr>
      </w:pPr>
    </w:p>
    <w:p>
      <w:pPr>
        <w:pStyle w:val="ListParagraph"/>
        <w:numPr>
          <w:ilvl w:val="0"/>
          <w:numId w:val="8"/>
        </w:numPr>
        <w:tabs>
          <w:tab w:pos="1595" w:val="left" w:leader="none"/>
        </w:tabs>
        <w:spacing w:line="417" w:lineRule="auto" w:before="0" w:after="0"/>
        <w:ind w:left="960" w:right="5049" w:firstLine="0"/>
        <w:jc w:val="left"/>
        <w:rPr>
          <w:sz w:val="21"/>
        </w:rPr>
      </w:pPr>
      <w:r>
        <w:rPr>
          <w:spacing w:val="-4"/>
          <w:sz w:val="21"/>
        </w:rPr>
        <w:t>云南红塔银行股份有限公司</w:t>
      </w:r>
      <w:r>
        <w:rPr>
          <w:spacing w:val="-6"/>
          <w:sz w:val="21"/>
        </w:rPr>
        <w:t>住所：云南省玉溪市东风南路 </w:t>
      </w:r>
      <w:r>
        <w:rPr>
          <w:rFonts w:ascii="Times New Roman" w:eastAsia="Times New Roman"/>
          <w:sz w:val="21"/>
        </w:rPr>
        <w:t>2</w:t>
      </w:r>
      <w:r>
        <w:rPr>
          <w:rFonts w:ascii="Times New Roman" w:eastAsia="Times New Roman"/>
          <w:spacing w:val="4"/>
          <w:sz w:val="21"/>
        </w:rPr>
        <w:t> </w:t>
      </w:r>
      <w:r>
        <w:rPr>
          <w:spacing w:val="-13"/>
          <w:sz w:val="21"/>
        </w:rPr>
        <w:t>号</w:t>
      </w:r>
    </w:p>
    <w:p>
      <w:pPr>
        <w:spacing w:after="0" w:line="417" w:lineRule="auto"/>
        <w:jc w:val="left"/>
        <w:rPr>
          <w:sz w:val="21"/>
        </w:rPr>
        <w:sectPr>
          <w:pgSz w:w="11910" w:h="16840"/>
          <w:pgMar w:header="877" w:footer="995" w:top="1420" w:bottom="1180" w:left="1260" w:right="1480"/>
        </w:sectPr>
      </w:pPr>
    </w:p>
    <w:p>
      <w:pPr>
        <w:pStyle w:val="BodyText"/>
        <w:spacing w:line="417" w:lineRule="auto" w:before="110"/>
        <w:ind w:left="960" w:right="3323"/>
      </w:pPr>
      <w:r>
        <w:rPr/>
        <w:t>办公地址：云南省昆明市盘龙区世博路低碳中心</w:t>
      </w:r>
      <w:r>
        <w:rPr>
          <w:rFonts w:ascii="Times New Roman" w:eastAsia="Times New Roman"/>
        </w:rPr>
        <w:t>A </w:t>
      </w:r>
      <w:r>
        <w:rPr/>
        <w:t>座法定代表人：李光林</w:t>
      </w:r>
    </w:p>
    <w:p>
      <w:pPr>
        <w:pStyle w:val="BodyText"/>
        <w:spacing w:line="417" w:lineRule="auto"/>
        <w:ind w:left="960" w:right="6240"/>
        <w:rPr>
          <w:rFonts w:ascii="Times New Roman" w:eastAsia="Times New Roman"/>
        </w:rPr>
      </w:pPr>
      <w:r>
        <w:rPr/>
        <w:t>电话：</w:t>
      </w:r>
      <w:r>
        <w:rPr>
          <w:rFonts w:ascii="Times New Roman" w:eastAsia="Times New Roman"/>
        </w:rPr>
        <w:t>0871-65236624 </w:t>
      </w:r>
      <w:r>
        <w:rPr/>
        <w:t>传真：</w:t>
      </w:r>
      <w:r>
        <w:rPr>
          <w:rFonts w:ascii="Times New Roman" w:eastAsia="Times New Roman"/>
        </w:rPr>
        <w:t>0871-65236614</w:t>
      </w:r>
    </w:p>
    <w:p>
      <w:pPr>
        <w:pStyle w:val="BodyText"/>
        <w:spacing w:line="269" w:lineRule="exact"/>
        <w:ind w:left="960"/>
      </w:pPr>
      <w:r>
        <w:rPr/>
        <w:t>联系人：马杰</w:t>
      </w:r>
    </w:p>
    <w:p>
      <w:pPr>
        <w:pStyle w:val="BodyText"/>
        <w:spacing w:before="6"/>
        <w:rPr>
          <w:sz w:val="15"/>
        </w:rPr>
      </w:pPr>
    </w:p>
    <w:p>
      <w:pPr>
        <w:pStyle w:val="BodyText"/>
        <w:spacing w:line="417" w:lineRule="auto"/>
        <w:ind w:left="960" w:right="5716"/>
        <w:rPr>
          <w:rFonts w:ascii="Times New Roman" w:eastAsia="Times New Roman"/>
        </w:rPr>
      </w:pPr>
      <w:r>
        <w:rPr/>
        <w:t>网址：</w:t>
      </w:r>
      <w:hyperlink r:id="rId38">
        <w:r>
          <w:rPr>
            <w:rFonts w:ascii="Times New Roman" w:eastAsia="Times New Roman"/>
          </w:rPr>
          <w:t>www.ynhtbank.com </w:t>
        </w:r>
      </w:hyperlink>
      <w:r>
        <w:rPr/>
        <w:t>客户服务电话：</w:t>
      </w:r>
      <w:r>
        <w:rPr>
          <w:rFonts w:ascii="Times New Roman" w:eastAsia="Times New Roman"/>
        </w:rPr>
        <w:t>0877-96522</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天相投资顾问有限公司</w:t>
      </w:r>
    </w:p>
    <w:p>
      <w:pPr>
        <w:pStyle w:val="BodyText"/>
        <w:spacing w:before="7"/>
        <w:rPr>
          <w:sz w:val="15"/>
        </w:rPr>
      </w:pPr>
    </w:p>
    <w:p>
      <w:pPr>
        <w:pStyle w:val="BodyText"/>
        <w:spacing w:line="417" w:lineRule="auto"/>
        <w:ind w:left="960" w:right="323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17" w:lineRule="auto"/>
        <w:ind w:left="960" w:right="634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960"/>
      </w:pPr>
      <w:r>
        <w:rPr/>
        <w:t>联系人：尹伶</w:t>
      </w:r>
    </w:p>
    <w:p>
      <w:pPr>
        <w:pStyle w:val="BodyText"/>
        <w:spacing w:before="7"/>
        <w:rPr>
          <w:sz w:val="15"/>
        </w:rPr>
      </w:pPr>
    </w:p>
    <w:p>
      <w:pPr>
        <w:pStyle w:val="BodyText"/>
        <w:ind w:left="960"/>
        <w:rPr>
          <w:rFonts w:ascii="Times New Roman" w:eastAsia="Times New Roman"/>
        </w:rPr>
      </w:pPr>
      <w:r>
        <w:rPr/>
        <w:t>网址：</w:t>
      </w:r>
      <w:hyperlink r:id="rId39">
        <w:r>
          <w:rPr>
            <w:rFonts w:ascii="Times New Roman" w:eastAsia="Times New Roman"/>
          </w:rPr>
          <w:t>www.txsec.com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6"/>
        <w:rPr>
          <w:sz w:val="15"/>
        </w:rPr>
      </w:pPr>
    </w:p>
    <w:p>
      <w:pPr>
        <w:pStyle w:val="BodyText"/>
        <w:ind w:left="96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7"/>
        <w:rPr>
          <w:sz w:val="15"/>
        </w:rPr>
      </w:pPr>
    </w:p>
    <w:p>
      <w:pPr>
        <w:pStyle w:val="BodyText"/>
        <w:spacing w:line="417" w:lineRule="auto"/>
        <w:ind w:left="960" w:right="284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960" w:right="634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ind w:left="960"/>
      </w:pPr>
      <w:r>
        <w:rPr/>
        <w:t>联系人：阮志凌</w:t>
      </w:r>
    </w:p>
    <w:p>
      <w:pPr>
        <w:pStyle w:val="BodyText"/>
        <w:spacing w:before="7"/>
        <w:rPr>
          <w:sz w:val="15"/>
        </w:rPr>
      </w:pPr>
    </w:p>
    <w:p>
      <w:pPr>
        <w:pStyle w:val="BodyText"/>
        <w:ind w:left="960"/>
        <w:rPr>
          <w:rFonts w:ascii="Times New Roman" w:eastAsia="Times New Roman"/>
        </w:rPr>
      </w:pPr>
      <w:r>
        <w:rPr/>
        <w:t>网址：</w:t>
      </w:r>
      <w:hyperlink r:id="rId40">
        <w:r>
          <w:rPr>
            <w:rFonts w:ascii="Times New Roman" w:eastAsia="Times New Roman"/>
          </w:rPr>
          <w:t>www.9ifund.com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400-158-5050</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深圳市新兰德证券投资咨询有限公司</w:t>
      </w:r>
    </w:p>
    <w:p>
      <w:pPr>
        <w:pStyle w:val="BodyText"/>
        <w:spacing w:before="6"/>
        <w:rPr>
          <w:sz w:val="15"/>
        </w:rPr>
      </w:pPr>
    </w:p>
    <w:p>
      <w:pPr>
        <w:pStyle w:val="BodyText"/>
        <w:spacing w:before="1"/>
        <w:ind w:left="96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3"/>
        <w:rPr>
          <w:rFonts w:ascii="Times New Roman"/>
          <w:sz w:val="17"/>
        </w:rPr>
      </w:pPr>
    </w:p>
    <w:p>
      <w:pPr>
        <w:pStyle w:val="BodyText"/>
        <w:spacing w:line="417" w:lineRule="auto"/>
        <w:ind w:left="960" w:right="274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ind w:left="960"/>
        <w:rPr>
          <w:rFonts w:ascii="Times New Roman" w:eastAsia="Times New Roman"/>
        </w:rPr>
      </w:pPr>
      <w:r>
        <w:rPr/>
        <w:t>电话：</w:t>
      </w:r>
      <w:r>
        <w:rPr>
          <w:rFonts w:ascii="Times New Roman" w:eastAsia="Times New Roman"/>
        </w:rPr>
        <w:t>010-83363101</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010-83363072</w:t>
      </w:r>
    </w:p>
    <w:p>
      <w:pPr>
        <w:pStyle w:val="BodyText"/>
        <w:spacing w:before="3"/>
        <w:rPr>
          <w:rFonts w:ascii="Times New Roman"/>
          <w:sz w:val="17"/>
        </w:rPr>
      </w:pPr>
    </w:p>
    <w:p>
      <w:pPr>
        <w:pStyle w:val="BodyText"/>
        <w:ind w:left="960"/>
      </w:pPr>
      <w:r>
        <w:rPr/>
        <w:t>联系人：文雯</w:t>
      </w:r>
    </w:p>
    <w:p>
      <w:pPr>
        <w:pStyle w:val="BodyText"/>
        <w:spacing w:before="7"/>
        <w:rPr>
          <w:sz w:val="15"/>
        </w:rPr>
      </w:pPr>
    </w:p>
    <w:p>
      <w:pPr>
        <w:pStyle w:val="BodyText"/>
        <w:ind w:left="960"/>
        <w:rPr>
          <w:rFonts w:ascii="Times New Roman" w:eastAsia="Times New Roman"/>
        </w:rPr>
      </w:pPr>
      <w:r>
        <w:rPr/>
        <w:t>网址：</w:t>
      </w:r>
      <w:hyperlink r:id="rId41">
        <w:r>
          <w:rPr>
            <w:rFonts w:ascii="Times New Roman" w:eastAsia="Times New Roman"/>
          </w:rPr>
          <w:t>http://8.jrj.com.cn/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400-166-1188</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江苏汇林保大基金销售有限公司</w:t>
      </w:r>
    </w:p>
    <w:p>
      <w:pPr>
        <w:pStyle w:val="BodyText"/>
        <w:spacing w:before="6"/>
        <w:rPr>
          <w:sz w:val="15"/>
        </w:rPr>
      </w:pPr>
    </w:p>
    <w:p>
      <w:pPr>
        <w:pStyle w:val="BodyText"/>
        <w:spacing w:before="1"/>
        <w:ind w:left="960"/>
      </w:pPr>
      <w:r>
        <w:rPr/>
        <w:t>住所：南京市高淳区经济开发区古檀大道 </w:t>
      </w:r>
      <w:r>
        <w:rPr>
          <w:rFonts w:ascii="Times New Roman" w:eastAsia="Times New Roman"/>
        </w:rPr>
        <w:t>47 </w:t>
      </w:r>
      <w:r>
        <w:rPr/>
        <w:t>号</w:t>
      </w:r>
    </w:p>
    <w:p>
      <w:pPr>
        <w:pStyle w:val="BodyText"/>
        <w:spacing w:before="6"/>
        <w:rPr>
          <w:sz w:val="15"/>
        </w:rPr>
      </w:pPr>
    </w:p>
    <w:p>
      <w:pPr>
        <w:pStyle w:val="BodyText"/>
        <w:spacing w:line="417" w:lineRule="auto"/>
        <w:ind w:left="960" w:right="263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before="1"/>
        <w:ind w:left="96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3"/>
        <w:rPr>
          <w:rFonts w:ascii="Times New Roman"/>
          <w:sz w:val="17"/>
        </w:rPr>
      </w:pPr>
    </w:p>
    <w:p>
      <w:pPr>
        <w:pStyle w:val="BodyText"/>
        <w:ind w:left="960"/>
      </w:pPr>
      <w:r>
        <w:rPr/>
        <w:t>联系人：孙平</w:t>
      </w:r>
    </w:p>
    <w:p>
      <w:pPr>
        <w:pStyle w:val="BodyText"/>
        <w:spacing w:before="7"/>
        <w:rPr>
          <w:sz w:val="15"/>
        </w:rPr>
      </w:pPr>
    </w:p>
    <w:p>
      <w:pPr>
        <w:pStyle w:val="BodyText"/>
        <w:ind w:left="960"/>
        <w:rPr>
          <w:rFonts w:ascii="Times New Roman" w:eastAsia="Times New Roman"/>
        </w:rPr>
      </w:pPr>
      <w:r>
        <w:rPr/>
        <w:t>网址：</w:t>
      </w:r>
      <w:hyperlink r:id="rId42">
        <w:r>
          <w:rPr>
            <w:rFonts w:ascii="Times New Roman" w:eastAsia="Times New Roman"/>
          </w:rPr>
          <w:t>www.huilinbd.com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上海挖财基金销售有限公司</w:t>
      </w:r>
    </w:p>
    <w:p>
      <w:pPr>
        <w:pStyle w:val="BodyText"/>
        <w:spacing w:before="6"/>
        <w:rPr>
          <w:sz w:val="15"/>
        </w:rPr>
      </w:pPr>
    </w:p>
    <w:p>
      <w:pPr>
        <w:pStyle w:val="BodyText"/>
        <w:ind w:left="96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7"/>
        <w:rPr>
          <w:sz w:val="15"/>
        </w:rPr>
      </w:pPr>
    </w:p>
    <w:p>
      <w:pPr>
        <w:pStyle w:val="BodyText"/>
        <w:spacing w:line="417" w:lineRule="auto" w:before="1"/>
        <w:ind w:left="960" w:right="116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960" w:right="634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960"/>
      </w:pPr>
      <w:r>
        <w:rPr/>
        <w:t>联系人：李娟</w:t>
      </w:r>
    </w:p>
    <w:p>
      <w:pPr>
        <w:pStyle w:val="BodyText"/>
        <w:spacing w:before="6"/>
        <w:rPr>
          <w:sz w:val="15"/>
        </w:rPr>
      </w:pPr>
    </w:p>
    <w:p>
      <w:pPr>
        <w:pStyle w:val="BodyText"/>
        <w:ind w:left="960"/>
        <w:rPr>
          <w:rFonts w:ascii="Times New Roman" w:eastAsia="Times New Roman"/>
        </w:rPr>
      </w:pPr>
      <w:r>
        <w:rPr/>
        <w:t>网址：</w:t>
      </w:r>
      <w:hyperlink r:id="rId43">
        <w:r>
          <w:rPr>
            <w:rFonts w:ascii="Times New Roman" w:eastAsia="Times New Roman"/>
          </w:rPr>
          <w:t>www.wacaijijin.com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021-50810673</w:t>
      </w:r>
    </w:p>
    <w:p>
      <w:pPr>
        <w:pStyle w:val="BodyText"/>
        <w:spacing w:before="4"/>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喜鹊财富基金销售有限公司</w:t>
      </w:r>
    </w:p>
    <w:p>
      <w:pPr>
        <w:pStyle w:val="BodyText"/>
        <w:spacing w:before="6"/>
        <w:rPr>
          <w:sz w:val="15"/>
        </w:rPr>
      </w:pPr>
    </w:p>
    <w:p>
      <w:pPr>
        <w:pStyle w:val="BodyText"/>
        <w:ind w:left="960"/>
      </w:pPr>
      <w:r>
        <w:rPr/>
        <w:t>住所：西藏拉萨市柳梧新区柳梧大厦 </w:t>
      </w:r>
      <w:r>
        <w:rPr>
          <w:rFonts w:ascii="Times New Roman" w:eastAsia="Times New Roman"/>
        </w:rPr>
        <w:t>1513 </w:t>
      </w:r>
      <w:r>
        <w:rPr/>
        <w:t>室</w:t>
      </w:r>
    </w:p>
    <w:p>
      <w:pPr>
        <w:pStyle w:val="BodyText"/>
        <w:spacing w:before="7"/>
        <w:rPr>
          <w:sz w:val="15"/>
        </w:rPr>
      </w:pPr>
    </w:p>
    <w:p>
      <w:pPr>
        <w:pStyle w:val="BodyText"/>
        <w:spacing w:line="417" w:lineRule="auto"/>
        <w:ind w:left="960" w:right="3622"/>
      </w:pPr>
      <w:r>
        <w:rPr/>
        <w:t>办公地址：西藏拉萨市柳梧新区柳梧大厦 </w:t>
      </w:r>
      <w:r>
        <w:rPr>
          <w:rFonts w:ascii="Times New Roman" w:eastAsia="Times New Roman"/>
        </w:rPr>
        <w:t>1513 </w:t>
      </w:r>
      <w:r>
        <w:rPr/>
        <w:t>室法定代表人：陈皓</w:t>
      </w:r>
    </w:p>
    <w:p>
      <w:pPr>
        <w:pStyle w:val="BodyText"/>
        <w:spacing w:line="417" w:lineRule="auto"/>
        <w:ind w:left="960" w:right="513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960"/>
      </w:pPr>
      <w:r>
        <w:rPr/>
        <w:t>联系人：张萌</w:t>
      </w:r>
    </w:p>
    <w:p>
      <w:pPr>
        <w:pStyle w:val="BodyText"/>
        <w:spacing w:before="7"/>
        <w:rPr>
          <w:sz w:val="15"/>
        </w:rPr>
      </w:pPr>
    </w:p>
    <w:p>
      <w:pPr>
        <w:pStyle w:val="BodyText"/>
        <w:ind w:left="960"/>
        <w:rPr>
          <w:rFonts w:ascii="Times New Roman" w:eastAsia="Times New Roman"/>
        </w:rPr>
      </w:pPr>
      <w:r>
        <w:rPr/>
        <w:t>网址：</w:t>
      </w:r>
      <w:hyperlink r:id="rId44">
        <w:r>
          <w:rPr>
            <w:rFonts w:ascii="Times New Roman" w:eastAsia="Times New Roman"/>
          </w:rPr>
          <w:t>www.xiquefund.com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400-699-7719</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8"/>
        </w:numPr>
        <w:tabs>
          <w:tab w:pos="1595" w:val="left" w:leader="none"/>
        </w:tabs>
        <w:spacing w:line="240" w:lineRule="auto" w:before="110" w:after="0"/>
        <w:ind w:left="1595" w:right="0" w:hanging="635"/>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6"/>
        <w:rPr>
          <w:sz w:val="15"/>
        </w:rPr>
      </w:pPr>
    </w:p>
    <w:p>
      <w:pPr>
        <w:pStyle w:val="BodyText"/>
        <w:spacing w:line="417" w:lineRule="auto"/>
        <w:ind w:left="540" w:right="2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2740"/>
      </w:pPr>
      <w:r>
        <w:rPr>
          <w:spacing w:val="-6"/>
        </w:rPr>
        <w:t>办公地址：深圳市南山区天海二路 </w:t>
      </w:r>
      <w:r>
        <w:rPr>
          <w:rFonts w:ascii="Times New Roman" w:eastAsia="Times New Roman"/>
        </w:rPr>
        <w:t>33 </w:t>
      </w:r>
      <w:r>
        <w:rPr>
          <w:spacing w:val="-9"/>
        </w:rPr>
        <w:t>号腾讯海滨大厦 </w:t>
      </w:r>
      <w:r>
        <w:rPr>
          <w:rFonts w:ascii="Times New Roman" w:eastAsia="Times New Roman"/>
        </w:rPr>
        <w:t>15 </w:t>
      </w:r>
      <w:r>
        <w:rPr/>
        <w:t>楼</w:t>
      </w:r>
      <w:r>
        <w:rPr>
          <w:spacing w:val="-3"/>
        </w:rPr>
        <w:t>法定代表人：刘明军</w:t>
      </w:r>
    </w:p>
    <w:p>
      <w:pPr>
        <w:pStyle w:val="BodyText"/>
        <w:spacing w:line="269" w:lineRule="exact"/>
        <w:ind w:left="960"/>
        <w:rPr>
          <w:rFonts w:ascii="Times New Roman" w:eastAsia="Times New Roman"/>
        </w:rPr>
      </w:pPr>
      <w:r>
        <w:rPr/>
        <w:t>电话：</w:t>
      </w:r>
      <w:r>
        <w:rPr>
          <w:rFonts w:ascii="Times New Roman" w:eastAsia="Times New Roman"/>
        </w:rPr>
        <w:t>0755-86013388 </w:t>
      </w:r>
      <w:r>
        <w:rPr/>
        <w:t>转 </w:t>
      </w:r>
      <w:r>
        <w:rPr>
          <w:rFonts w:ascii="Times New Roman" w:eastAsia="Times New Roman"/>
        </w:rPr>
        <w:t>80618</w:t>
      </w:r>
    </w:p>
    <w:p>
      <w:pPr>
        <w:pStyle w:val="BodyText"/>
        <w:spacing w:before="3"/>
        <w:rPr>
          <w:rFonts w:ascii="Times New Roman"/>
          <w:sz w:val="17"/>
        </w:rPr>
      </w:pPr>
    </w:p>
    <w:p>
      <w:pPr>
        <w:pStyle w:val="BodyText"/>
        <w:spacing w:before="1"/>
        <w:ind w:left="960"/>
      </w:pPr>
      <w:r>
        <w:rPr/>
        <w:t>联系人：谭广锋</w:t>
      </w:r>
    </w:p>
    <w:p>
      <w:pPr>
        <w:pStyle w:val="BodyText"/>
        <w:spacing w:before="7"/>
        <w:rPr>
          <w:sz w:val="15"/>
        </w:rPr>
      </w:pPr>
    </w:p>
    <w:p>
      <w:pPr>
        <w:pStyle w:val="BodyText"/>
        <w:spacing w:line="417" w:lineRule="auto"/>
        <w:ind w:left="960" w:right="5630"/>
        <w:rPr>
          <w:rFonts w:ascii="Times New Roman" w:eastAsia="Times New Roman"/>
        </w:rPr>
      </w:pPr>
      <w:r>
        <w:rPr/>
        <w:t>网址：</w:t>
      </w:r>
      <w:hyperlink r:id="rId45">
        <w:r>
          <w:rPr>
            <w:rFonts w:ascii="Times New Roman" w:eastAsia="Times New Roman"/>
          </w:rPr>
          <w:t>www.tenganxinxi.com </w:t>
        </w:r>
      </w:hyperlink>
      <w:r>
        <w:rPr/>
        <w:t>客户服务电话：</w:t>
      </w:r>
      <w:r>
        <w:rPr>
          <w:rFonts w:ascii="Times New Roman" w:eastAsia="Times New Roman"/>
        </w:rPr>
        <w:t>95017</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北京度小满基金销售有限公司</w:t>
      </w:r>
    </w:p>
    <w:p>
      <w:pPr>
        <w:pStyle w:val="BodyText"/>
        <w:spacing w:before="6"/>
        <w:rPr>
          <w:sz w:val="15"/>
        </w:rPr>
      </w:pPr>
    </w:p>
    <w:p>
      <w:pPr>
        <w:pStyle w:val="BodyText"/>
        <w:spacing w:before="1"/>
        <w:ind w:left="96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6"/>
        <w:rPr>
          <w:sz w:val="15"/>
        </w:rPr>
      </w:pPr>
    </w:p>
    <w:p>
      <w:pPr>
        <w:pStyle w:val="BodyText"/>
        <w:spacing w:line="417" w:lineRule="auto"/>
        <w:ind w:left="960" w:right="305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60" w:right="634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ind w:left="960"/>
      </w:pPr>
      <w:r>
        <w:rPr/>
        <w:t>联系人：孙博超</w:t>
      </w:r>
    </w:p>
    <w:p>
      <w:pPr>
        <w:pStyle w:val="BodyText"/>
        <w:spacing w:before="7"/>
        <w:rPr>
          <w:sz w:val="15"/>
        </w:rPr>
      </w:pPr>
    </w:p>
    <w:p>
      <w:pPr>
        <w:pStyle w:val="BodyText"/>
        <w:spacing w:line="417" w:lineRule="auto"/>
        <w:ind w:left="960" w:right="5606"/>
        <w:rPr>
          <w:rFonts w:ascii="Times New Roman" w:eastAsia="Times New Roman"/>
        </w:rPr>
      </w:pPr>
      <w:r>
        <w:rPr/>
        <w:t>网址：</w:t>
      </w:r>
      <w:hyperlink r:id="rId46">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诺亚正行基金销售有限公司</w:t>
      </w:r>
    </w:p>
    <w:p>
      <w:pPr>
        <w:pStyle w:val="BodyText"/>
        <w:spacing w:before="6"/>
        <w:rPr>
          <w:sz w:val="15"/>
        </w:rPr>
      </w:pPr>
    </w:p>
    <w:p>
      <w:pPr>
        <w:pStyle w:val="BodyText"/>
        <w:spacing w:before="1"/>
        <w:ind w:left="96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6"/>
        <w:rPr>
          <w:sz w:val="15"/>
        </w:rPr>
      </w:pPr>
    </w:p>
    <w:p>
      <w:pPr>
        <w:pStyle w:val="BodyText"/>
        <w:spacing w:line="417" w:lineRule="auto"/>
        <w:ind w:left="960" w:right="274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before="1"/>
        <w:ind w:left="960" w:right="634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960"/>
      </w:pPr>
      <w:r>
        <w:rPr/>
        <w:t>联系人：张裕</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47">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深圳众禄基金销售股份有限公司</w:t>
      </w:r>
    </w:p>
    <w:p>
      <w:pPr>
        <w:pStyle w:val="BodyText"/>
        <w:spacing w:before="7"/>
        <w:rPr>
          <w:sz w:val="15"/>
        </w:rPr>
      </w:pPr>
    </w:p>
    <w:p>
      <w:pPr>
        <w:pStyle w:val="BodyText"/>
        <w:spacing w:before="1"/>
        <w:ind w:left="96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ind w:left="96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spacing w:after="0"/>
        <w:rPr>
          <w:rFonts w:ascii="Times New Roman" w:eastAsia="Times New Roman"/>
        </w:rPr>
        <w:sectPr>
          <w:pgSz w:w="11910" w:h="16840"/>
          <w:pgMar w:header="877" w:footer="995" w:top="1420" w:bottom="1180" w:left="1260" w:right="1480"/>
        </w:sectPr>
      </w:pPr>
    </w:p>
    <w:p>
      <w:pPr>
        <w:pStyle w:val="BodyText"/>
        <w:spacing w:line="417" w:lineRule="auto" w:before="110"/>
        <w:ind w:left="960" w:right="617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960"/>
      </w:pPr>
      <w:r>
        <w:rPr/>
        <w:t>联系人：童彩平</w:t>
      </w:r>
    </w:p>
    <w:p>
      <w:pPr>
        <w:pStyle w:val="BodyText"/>
        <w:spacing w:before="6"/>
        <w:rPr>
          <w:sz w:val="15"/>
        </w:rPr>
      </w:pPr>
    </w:p>
    <w:p>
      <w:pPr>
        <w:pStyle w:val="BodyText"/>
        <w:ind w:left="960"/>
        <w:rPr>
          <w:rFonts w:ascii="Times New Roman" w:eastAsia="Times New Roman"/>
        </w:rPr>
      </w:pPr>
      <w:r>
        <w:rPr/>
        <w:t>网址：</w:t>
      </w:r>
      <w:hyperlink r:id="rId48">
        <w:r>
          <w:rPr>
            <w:rFonts w:ascii="Times New Roman" w:eastAsia="Times New Roman"/>
          </w:rPr>
          <w:t>www.zlfund.cn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上海天天基金销售有限公司</w:t>
      </w:r>
    </w:p>
    <w:p>
      <w:pPr>
        <w:pStyle w:val="BodyText"/>
        <w:spacing w:before="8"/>
        <w:rPr>
          <w:sz w:val="15"/>
        </w:rPr>
      </w:pPr>
    </w:p>
    <w:p>
      <w:pPr>
        <w:pStyle w:val="BodyText"/>
        <w:ind w:left="96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6"/>
        <w:rPr>
          <w:sz w:val="15"/>
        </w:rPr>
      </w:pPr>
    </w:p>
    <w:p>
      <w:pPr>
        <w:pStyle w:val="BodyText"/>
        <w:spacing w:line="417" w:lineRule="auto"/>
        <w:ind w:left="960" w:right="2782"/>
      </w:pPr>
      <w:r>
        <w:rPr/>
        <w:t>办公地址：上海市徐汇区宛平南路 </w:t>
      </w:r>
      <w:r>
        <w:rPr>
          <w:rFonts w:ascii="Times New Roman" w:eastAsia="Times New Roman"/>
        </w:rPr>
        <w:t>88 </w:t>
      </w:r>
      <w:r>
        <w:rPr/>
        <w:t>号金座东方财富大厦法定代表人：其实</w:t>
      </w:r>
    </w:p>
    <w:p>
      <w:pPr>
        <w:pStyle w:val="BodyText"/>
        <w:spacing w:line="269" w:lineRule="exact"/>
        <w:ind w:left="960"/>
        <w:rPr>
          <w:rFonts w:ascii="Times New Roman" w:eastAsia="Times New Roman"/>
        </w:rPr>
      </w:pPr>
      <w:r>
        <w:rPr/>
        <w:t>电话：</w:t>
      </w:r>
      <w:r>
        <w:rPr>
          <w:rFonts w:ascii="Times New Roman" w:eastAsia="Times New Roman"/>
        </w:rPr>
        <w:t>95021</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960"/>
      </w:pPr>
      <w:r>
        <w:rPr/>
        <w:t>联系人：屠彦洋</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49">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上海好买基金销售有限公司</w:t>
      </w:r>
    </w:p>
    <w:p>
      <w:pPr>
        <w:pStyle w:val="BodyText"/>
        <w:spacing w:before="7"/>
        <w:rPr>
          <w:sz w:val="15"/>
        </w:rPr>
      </w:pPr>
    </w:p>
    <w:p>
      <w:pPr>
        <w:pStyle w:val="BodyText"/>
        <w:ind w:left="96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6"/>
        <w:rPr>
          <w:sz w:val="15"/>
        </w:rPr>
      </w:pPr>
    </w:p>
    <w:p>
      <w:pPr>
        <w:pStyle w:val="BodyText"/>
        <w:spacing w:line="417" w:lineRule="auto" w:before="1"/>
        <w:ind w:left="960" w:right="137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960" w:right="634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ind w:left="960"/>
      </w:pPr>
      <w:r>
        <w:rPr/>
        <w:t>联系人：周天雪</w:t>
      </w:r>
    </w:p>
    <w:p>
      <w:pPr>
        <w:pStyle w:val="BodyText"/>
        <w:spacing w:before="6"/>
        <w:rPr>
          <w:sz w:val="15"/>
        </w:rPr>
      </w:pPr>
    </w:p>
    <w:p>
      <w:pPr>
        <w:pStyle w:val="BodyText"/>
        <w:ind w:left="960"/>
        <w:rPr>
          <w:rFonts w:ascii="Times New Roman" w:eastAsia="Times New Roman"/>
        </w:rPr>
      </w:pPr>
      <w:r>
        <w:rPr/>
        <w:t>网址：</w:t>
      </w:r>
      <w:hyperlink r:id="rId50">
        <w:r>
          <w:rPr>
            <w:rFonts w:ascii="Times New Roman" w:eastAsia="Times New Roman"/>
          </w:rPr>
          <w:t>www.ehowbuy.com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60" w:right="189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ind w:left="96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ind w:left="960"/>
      </w:pPr>
      <w:r>
        <w:rPr/>
        <w:t>联系人：韩爱斌</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51">
        <w:r>
          <w:rPr>
            <w:rFonts w:ascii="Times New Roman" w:eastAsia="Times New Roman"/>
          </w:rPr>
          <w:t>www.fund123.cn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上海长量基金销售有限公司</w:t>
      </w:r>
    </w:p>
    <w:p>
      <w:pPr>
        <w:pStyle w:val="BodyText"/>
        <w:spacing w:before="6"/>
        <w:rPr>
          <w:sz w:val="15"/>
        </w:rPr>
      </w:pPr>
    </w:p>
    <w:p>
      <w:pPr>
        <w:pStyle w:val="BodyText"/>
        <w:ind w:left="96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7"/>
        <w:rPr>
          <w:sz w:val="15"/>
        </w:rPr>
      </w:pPr>
    </w:p>
    <w:p>
      <w:pPr>
        <w:pStyle w:val="BodyText"/>
        <w:spacing w:line="417" w:lineRule="auto"/>
        <w:ind w:left="960" w:right="238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960" w:right="634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ind w:left="960"/>
      </w:pPr>
      <w:r>
        <w:rPr/>
        <w:t>联系人：黄辉</w:t>
      </w:r>
    </w:p>
    <w:p>
      <w:pPr>
        <w:pStyle w:val="BodyText"/>
        <w:spacing w:before="7"/>
        <w:rPr>
          <w:sz w:val="15"/>
        </w:rPr>
      </w:pPr>
    </w:p>
    <w:p>
      <w:pPr>
        <w:pStyle w:val="BodyText"/>
        <w:ind w:left="960"/>
        <w:rPr>
          <w:rFonts w:ascii="Times New Roman" w:eastAsia="Times New Roman"/>
        </w:rPr>
      </w:pPr>
      <w:r>
        <w:rPr/>
        <w:t>网址：</w:t>
      </w:r>
      <w:hyperlink r:id="rId52">
        <w:r>
          <w:rPr>
            <w:rFonts w:ascii="Times New Roman" w:eastAsia="Times New Roman"/>
          </w:rPr>
          <w:t>www.erichfund.com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400-820-2899</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浙江同花顺基金销售有限公司</w:t>
      </w:r>
    </w:p>
    <w:p>
      <w:pPr>
        <w:pStyle w:val="BodyText"/>
        <w:spacing w:before="6"/>
        <w:rPr>
          <w:sz w:val="15"/>
        </w:rPr>
      </w:pPr>
    </w:p>
    <w:p>
      <w:pPr>
        <w:pStyle w:val="BodyText"/>
        <w:ind w:left="96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960" w:right="179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960" w:right="576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960"/>
      </w:pPr>
      <w:r>
        <w:rPr/>
        <w:t>联系人：吴强</w:t>
      </w:r>
    </w:p>
    <w:p>
      <w:pPr>
        <w:pStyle w:val="BodyText"/>
        <w:spacing w:before="7"/>
        <w:rPr>
          <w:sz w:val="15"/>
        </w:rPr>
      </w:pPr>
    </w:p>
    <w:p>
      <w:pPr>
        <w:pStyle w:val="BodyText"/>
        <w:ind w:left="960"/>
        <w:rPr>
          <w:rFonts w:ascii="Times New Roman" w:eastAsia="Times New Roman"/>
        </w:rPr>
      </w:pPr>
      <w:r>
        <w:rPr/>
        <w:t>网址：</w:t>
      </w:r>
      <w:hyperlink r:id="rId53">
        <w:r>
          <w:rPr>
            <w:rFonts w:ascii="Times New Roman" w:eastAsia="Times New Roman"/>
          </w:rPr>
          <w:t>www.5ifund.com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400-877-3772</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北京展恒基金销售有限公司</w:t>
      </w:r>
    </w:p>
    <w:p>
      <w:pPr>
        <w:pStyle w:val="BodyText"/>
        <w:spacing w:before="7"/>
        <w:rPr>
          <w:sz w:val="15"/>
        </w:rPr>
      </w:pPr>
    </w:p>
    <w:p>
      <w:pPr>
        <w:pStyle w:val="BodyText"/>
        <w:ind w:left="960"/>
      </w:pPr>
      <w:r>
        <w:rPr/>
        <w:t>住所：北京市顺义区后沙峪镇安富街 </w:t>
      </w:r>
      <w:r>
        <w:rPr>
          <w:rFonts w:ascii="Times New Roman" w:eastAsia="Times New Roman"/>
        </w:rPr>
        <w:t>6 </w:t>
      </w:r>
      <w:r>
        <w:rPr/>
        <w:t>号</w:t>
      </w:r>
    </w:p>
    <w:p>
      <w:pPr>
        <w:pStyle w:val="BodyText"/>
        <w:spacing w:before="7"/>
        <w:rPr>
          <w:sz w:val="15"/>
        </w:rPr>
      </w:pPr>
    </w:p>
    <w:p>
      <w:pPr>
        <w:pStyle w:val="BodyText"/>
        <w:spacing w:line="417" w:lineRule="auto"/>
        <w:ind w:left="960" w:right="336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17" w:lineRule="auto"/>
        <w:ind w:left="960" w:right="585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960"/>
      </w:pPr>
      <w:r>
        <w:rPr/>
        <w:t>联系人：翟飞飞</w:t>
      </w:r>
    </w:p>
    <w:p>
      <w:pPr>
        <w:pStyle w:val="BodyText"/>
        <w:spacing w:before="6"/>
        <w:rPr>
          <w:sz w:val="15"/>
        </w:rPr>
      </w:pPr>
    </w:p>
    <w:p>
      <w:pPr>
        <w:pStyle w:val="BodyText"/>
        <w:ind w:left="960"/>
        <w:rPr>
          <w:rFonts w:ascii="Times New Roman" w:eastAsia="Times New Roman"/>
        </w:rPr>
      </w:pPr>
      <w:r>
        <w:rPr/>
        <w:t>网址：</w:t>
      </w:r>
      <w:hyperlink r:id="rId54">
        <w:r>
          <w:rPr>
            <w:rFonts w:ascii="Times New Roman" w:eastAsia="Times New Roman"/>
          </w:rPr>
          <w:t>www.myfund.com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400-888-6661</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上海利得基金销售有限公司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6"/>
        <w:rPr>
          <w:sz w:val="15"/>
        </w:rPr>
      </w:pPr>
    </w:p>
    <w:p>
      <w:pPr>
        <w:pStyle w:val="BodyText"/>
        <w:spacing w:line="417" w:lineRule="auto"/>
        <w:ind w:left="960" w:right="378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60" w:right="634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960"/>
      </w:pPr>
      <w:r>
        <w:rPr/>
        <w:t>联系人：曹怡晨</w:t>
      </w:r>
    </w:p>
    <w:p>
      <w:pPr>
        <w:pStyle w:val="BodyText"/>
        <w:spacing w:before="7"/>
        <w:rPr>
          <w:sz w:val="15"/>
        </w:rPr>
      </w:pPr>
    </w:p>
    <w:p>
      <w:pPr>
        <w:pStyle w:val="BodyText"/>
        <w:spacing w:line="417" w:lineRule="auto"/>
        <w:ind w:left="960" w:right="5077"/>
        <w:rPr>
          <w:rFonts w:ascii="Times New Roman" w:eastAsia="Times New Roman"/>
        </w:rPr>
      </w:pPr>
      <w:r>
        <w:rPr/>
        <w:t>网址：</w:t>
      </w:r>
      <w:hyperlink r:id="rId55">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浙江金观诚基金销售有限公司</w:t>
      </w:r>
    </w:p>
    <w:p>
      <w:pPr>
        <w:pStyle w:val="BodyText"/>
        <w:spacing w:before="7"/>
        <w:rPr>
          <w:sz w:val="15"/>
        </w:rPr>
      </w:pPr>
    </w:p>
    <w:p>
      <w:pPr>
        <w:pStyle w:val="BodyText"/>
        <w:ind w:left="960"/>
      </w:pPr>
      <w:r>
        <w:rPr/>
        <w:t>住所：杭州市拱墅区登云路 </w:t>
      </w:r>
      <w:r>
        <w:rPr>
          <w:rFonts w:ascii="Times New Roman" w:eastAsia="Times New Roman"/>
        </w:rPr>
        <w:t>45 </w:t>
      </w:r>
      <w:r>
        <w:rPr/>
        <w:t>号（锦昌大厦）</w:t>
      </w:r>
      <w:r>
        <w:rPr>
          <w:rFonts w:ascii="Times New Roman" w:eastAsia="Times New Roman"/>
        </w:rPr>
        <w:t>1 </w:t>
      </w:r>
      <w:r>
        <w:rPr/>
        <w:t>幢 </w:t>
      </w:r>
      <w:r>
        <w:rPr>
          <w:rFonts w:ascii="Times New Roman" w:eastAsia="Times New Roman"/>
        </w:rPr>
        <w:t>10 </w:t>
      </w:r>
      <w:r>
        <w:rPr/>
        <w:t>楼 </w:t>
      </w:r>
      <w:r>
        <w:rPr>
          <w:rFonts w:ascii="Times New Roman" w:eastAsia="Times New Roman"/>
        </w:rPr>
        <w:t>1001 </w:t>
      </w:r>
      <w:r>
        <w:rPr/>
        <w:t>室</w:t>
      </w:r>
    </w:p>
    <w:p>
      <w:pPr>
        <w:pStyle w:val="BodyText"/>
        <w:spacing w:before="6"/>
        <w:rPr>
          <w:sz w:val="15"/>
        </w:rPr>
      </w:pPr>
    </w:p>
    <w:p>
      <w:pPr>
        <w:pStyle w:val="BodyText"/>
        <w:spacing w:line="417" w:lineRule="auto" w:before="1"/>
        <w:ind w:left="960" w:right="2362"/>
      </w:pPr>
      <w:r>
        <w:rPr/>
        <w:t>办公地址：杭州市拱墅区登云路 </w:t>
      </w:r>
      <w:r>
        <w:rPr>
          <w:rFonts w:ascii="Times New Roman" w:eastAsia="Times New Roman"/>
        </w:rPr>
        <w:t>45 </w:t>
      </w:r>
      <w:r>
        <w:rPr/>
        <w:t>号锦昌大厦一楼金观诚财富法定代表人：徐黎云</w:t>
      </w:r>
    </w:p>
    <w:p>
      <w:pPr>
        <w:pStyle w:val="BodyText"/>
        <w:spacing w:line="417" w:lineRule="auto"/>
        <w:ind w:left="960" w:right="624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ind w:left="960"/>
      </w:pPr>
      <w:r>
        <w:rPr/>
        <w:t>联系人：孙成岩</w:t>
      </w:r>
    </w:p>
    <w:p>
      <w:pPr>
        <w:pStyle w:val="BodyText"/>
        <w:spacing w:before="6"/>
        <w:rPr>
          <w:sz w:val="15"/>
        </w:rPr>
      </w:pPr>
    </w:p>
    <w:p>
      <w:pPr>
        <w:pStyle w:val="BodyText"/>
        <w:spacing w:line="417" w:lineRule="auto"/>
        <w:ind w:left="960" w:right="5442"/>
        <w:rPr>
          <w:rFonts w:ascii="Times New Roman" w:eastAsia="Times New Roman"/>
        </w:rPr>
      </w:pPr>
      <w:r>
        <w:rPr/>
        <w:t>网址：</w:t>
      </w:r>
      <w:hyperlink r:id="rId56">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嘉实财富管理有限公司</w:t>
      </w:r>
    </w:p>
    <w:p>
      <w:pPr>
        <w:pStyle w:val="BodyText"/>
        <w:spacing w:before="7"/>
        <w:rPr>
          <w:sz w:val="15"/>
        </w:rPr>
      </w:pPr>
    </w:p>
    <w:p>
      <w:pPr>
        <w:pStyle w:val="BodyText"/>
        <w:spacing w:line="417" w:lineRule="auto"/>
        <w:ind w:left="960" w:right="77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960" w:right="631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ind w:left="960"/>
      </w:pPr>
      <w:r>
        <w:rPr/>
        <w:t>联系人：余永键</w:t>
      </w:r>
    </w:p>
    <w:p>
      <w:pPr>
        <w:pStyle w:val="BodyText"/>
        <w:spacing w:before="6"/>
        <w:rPr>
          <w:sz w:val="15"/>
        </w:rPr>
      </w:pPr>
    </w:p>
    <w:p>
      <w:pPr>
        <w:pStyle w:val="BodyText"/>
        <w:ind w:left="960"/>
        <w:rPr>
          <w:rFonts w:ascii="Times New Roman" w:eastAsia="Times New Roman"/>
        </w:rPr>
      </w:pPr>
      <w:r>
        <w:rPr/>
        <w:t>网址：</w:t>
      </w:r>
      <w:hyperlink r:id="rId57">
        <w:r>
          <w:rPr>
            <w:rFonts w:ascii="Times New Roman" w:eastAsia="Times New Roman"/>
          </w:rPr>
          <w:t>www.harvestwm.cn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400-021-8850</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北京创金启富基金销售有限公司</w:t>
      </w:r>
    </w:p>
    <w:p>
      <w:pPr>
        <w:pStyle w:val="BodyText"/>
        <w:spacing w:before="7"/>
        <w:rPr>
          <w:sz w:val="15"/>
        </w:rPr>
      </w:pPr>
    </w:p>
    <w:p>
      <w:pPr>
        <w:pStyle w:val="BodyText"/>
        <w:ind w:left="96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7"/>
        <w:rPr>
          <w:sz w:val="15"/>
        </w:rPr>
      </w:pPr>
    </w:p>
    <w:p>
      <w:pPr>
        <w:pStyle w:val="BodyText"/>
        <w:spacing w:line="417" w:lineRule="auto"/>
        <w:ind w:left="960" w:right="2949"/>
      </w:pPr>
      <w:r>
        <w:rPr>
          <w:spacing w:val="-6"/>
        </w:rPr>
        <w:t>办公地址：北京市西城区白纸坊东街 </w:t>
      </w:r>
      <w:r>
        <w:rPr>
          <w:rFonts w:ascii="Times New Roman" w:eastAsia="Times New Roman"/>
        </w:rPr>
        <w:t>2 </w:t>
      </w:r>
      <w:r>
        <w:rPr>
          <w:spacing w:val="-18"/>
        </w:rPr>
        <w:t>号院 </w:t>
      </w:r>
      <w:r>
        <w:rPr>
          <w:rFonts w:ascii="Times New Roman" w:eastAsia="Times New Roman"/>
        </w:rPr>
        <w:t>6 </w:t>
      </w:r>
      <w:r>
        <w:rPr>
          <w:spacing w:val="-18"/>
        </w:rPr>
        <w:t>号楼 </w:t>
      </w:r>
      <w:r>
        <w:rPr>
          <w:rFonts w:ascii="Times New Roman" w:eastAsia="Times New Roman"/>
        </w:rPr>
        <w:t>712 </w:t>
      </w:r>
      <w:r>
        <w:rPr/>
        <w:t>室</w:t>
      </w:r>
      <w:r>
        <w:rPr>
          <w:spacing w:val="-3"/>
        </w:rPr>
        <w:t>法定代表人：梁蓉</w:t>
      </w:r>
    </w:p>
    <w:p>
      <w:pPr>
        <w:spacing w:after="0" w:line="417" w:lineRule="auto"/>
        <w:sectPr>
          <w:pgSz w:w="11910" w:h="16840"/>
          <w:pgMar w:header="877" w:footer="995" w:top="1420" w:bottom="1180" w:left="1260" w:right="1480"/>
        </w:sectPr>
      </w:pPr>
    </w:p>
    <w:p>
      <w:pPr>
        <w:pStyle w:val="BodyText"/>
        <w:spacing w:line="417" w:lineRule="auto" w:before="110"/>
        <w:ind w:left="960" w:right="596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ind w:left="960"/>
      </w:pPr>
      <w:r>
        <w:rPr/>
        <w:t>联系人：马浩</w:t>
      </w:r>
    </w:p>
    <w:p>
      <w:pPr>
        <w:pStyle w:val="BodyText"/>
        <w:spacing w:before="6"/>
        <w:rPr>
          <w:sz w:val="15"/>
        </w:rPr>
      </w:pPr>
    </w:p>
    <w:p>
      <w:pPr>
        <w:pStyle w:val="BodyText"/>
        <w:ind w:left="960"/>
        <w:rPr>
          <w:rFonts w:ascii="Times New Roman" w:eastAsia="Times New Roman"/>
        </w:rPr>
      </w:pPr>
      <w:r>
        <w:rPr/>
        <w:t>网址：</w:t>
      </w:r>
      <w:hyperlink r:id="rId58">
        <w:r>
          <w:rPr>
            <w:rFonts w:ascii="Times New Roman" w:eastAsia="Times New Roman"/>
          </w:rPr>
          <w:t>www.5irich.com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泛华普益基金销售有限公司</w:t>
      </w:r>
    </w:p>
    <w:p>
      <w:pPr>
        <w:pStyle w:val="BodyText"/>
        <w:spacing w:before="7"/>
        <w:rPr>
          <w:sz w:val="15"/>
        </w:rPr>
      </w:pPr>
    </w:p>
    <w:p>
      <w:pPr>
        <w:pStyle w:val="BodyText"/>
        <w:ind w:left="960"/>
      </w:pPr>
      <w:r>
        <w:rPr/>
        <w:t>住所：成都市成华区建设路 </w:t>
      </w:r>
      <w:r>
        <w:rPr>
          <w:rFonts w:ascii="Times New Roman" w:eastAsia="Times New Roman"/>
        </w:rPr>
        <w:t>9 </w:t>
      </w:r>
      <w:r>
        <w:rPr/>
        <w:t>号高地中心 </w:t>
      </w:r>
      <w:r>
        <w:rPr>
          <w:rFonts w:ascii="Times New Roman" w:eastAsia="Times New Roman"/>
        </w:rPr>
        <w:t>1101 </w:t>
      </w:r>
      <w:r>
        <w:rPr/>
        <w:t>室</w:t>
      </w:r>
    </w:p>
    <w:p>
      <w:pPr>
        <w:pStyle w:val="BodyText"/>
        <w:spacing w:before="7"/>
        <w:rPr>
          <w:sz w:val="15"/>
        </w:rPr>
      </w:pPr>
    </w:p>
    <w:p>
      <w:pPr>
        <w:pStyle w:val="BodyText"/>
        <w:spacing w:line="417" w:lineRule="auto"/>
        <w:ind w:left="960" w:right="49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spacing w:line="269" w:lineRule="exact"/>
        <w:ind w:left="960"/>
        <w:rPr>
          <w:rFonts w:ascii="Times New Roman" w:eastAsia="Times New Roman"/>
        </w:rPr>
      </w:pPr>
      <w:r>
        <w:rPr/>
        <w:t>电话：</w:t>
      </w:r>
      <w:r>
        <w:rPr>
          <w:rFonts w:ascii="Times New Roman" w:eastAsia="Times New Roman"/>
        </w:rPr>
        <w:t>13910181936</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960"/>
      </w:pPr>
      <w:r>
        <w:rPr/>
        <w:t>联系人：隋亚方</w:t>
      </w:r>
    </w:p>
    <w:p>
      <w:pPr>
        <w:pStyle w:val="BodyText"/>
        <w:spacing w:before="7"/>
        <w:rPr>
          <w:sz w:val="15"/>
        </w:rPr>
      </w:pPr>
    </w:p>
    <w:p>
      <w:pPr>
        <w:pStyle w:val="BodyText"/>
        <w:spacing w:line="417" w:lineRule="auto"/>
        <w:ind w:left="960" w:right="5221"/>
        <w:rPr>
          <w:rFonts w:ascii="Times New Roman" w:eastAsia="Times New Roman"/>
        </w:rPr>
      </w:pPr>
      <w:r>
        <w:rPr/>
        <w:t>网址：</w:t>
      </w:r>
      <w:r>
        <w:rPr>
          <w:rFonts w:ascii="Times New Roman" w:eastAsia="Times New Roman"/>
        </w:rPr>
        <w:t>https://</w:t>
      </w:r>
      <w:hyperlink r:id="rId59">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8"/>
        </w:numPr>
        <w:tabs>
          <w:tab w:pos="1595" w:val="left" w:leader="none"/>
        </w:tabs>
        <w:spacing w:line="417" w:lineRule="auto" w:before="0" w:after="0"/>
        <w:ind w:left="960" w:right="487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60" w:right="4209"/>
      </w:pPr>
      <w:r>
        <w:rPr/>
        <w:t>办公地址：南京市玄武区苏宁大道苏宁总部法定代表人：刘汉青</w:t>
      </w:r>
    </w:p>
    <w:p>
      <w:pPr>
        <w:pStyle w:val="BodyText"/>
        <w:spacing w:line="417" w:lineRule="auto"/>
        <w:ind w:left="960" w:right="564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960"/>
      </w:pPr>
      <w:r>
        <w:rPr/>
        <w:t>联系人：王峰</w:t>
      </w:r>
    </w:p>
    <w:p>
      <w:pPr>
        <w:pStyle w:val="BodyText"/>
        <w:spacing w:before="7"/>
        <w:rPr>
          <w:sz w:val="15"/>
        </w:rPr>
      </w:pPr>
    </w:p>
    <w:p>
      <w:pPr>
        <w:pStyle w:val="BodyText"/>
        <w:spacing w:line="417" w:lineRule="auto"/>
        <w:ind w:left="960" w:right="6095"/>
        <w:rPr>
          <w:rFonts w:ascii="Times New Roman" w:eastAsia="Times New Roman"/>
        </w:rPr>
      </w:pPr>
      <w:r>
        <w:rPr/>
        <w:t>网址：</w:t>
      </w:r>
      <w:hyperlink r:id="rId60">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深圳腾元基金销售有限公司</w:t>
      </w:r>
    </w:p>
    <w:p>
      <w:pPr>
        <w:pStyle w:val="BodyText"/>
        <w:spacing w:before="6"/>
        <w:rPr>
          <w:sz w:val="15"/>
        </w:rPr>
      </w:pPr>
    </w:p>
    <w:p>
      <w:pPr>
        <w:pStyle w:val="BodyText"/>
        <w:spacing w:before="1"/>
        <w:ind w:left="96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6"/>
        <w:rPr>
          <w:sz w:val="15"/>
        </w:rPr>
      </w:pPr>
    </w:p>
    <w:p>
      <w:pPr>
        <w:pStyle w:val="BodyText"/>
        <w:spacing w:line="417" w:lineRule="auto"/>
        <w:ind w:left="960" w:right="1199"/>
      </w:pPr>
      <w:r>
        <w:rPr>
          <w:spacing w:val="-6"/>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17" w:lineRule="auto"/>
        <w:ind w:left="960" w:right="624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ind w:left="960"/>
      </w:pPr>
      <w:r>
        <w:rPr/>
        <w:t>联系人：鄢萌莎</w:t>
      </w:r>
    </w:p>
    <w:p>
      <w:pPr>
        <w:spacing w:after="0"/>
        <w:sectPr>
          <w:pgSz w:w="11910" w:h="16840"/>
          <w:pgMar w:header="877" w:footer="995" w:top="1420" w:bottom="1180" w:left="1260" w:right="1480"/>
        </w:sectPr>
      </w:pPr>
    </w:p>
    <w:p>
      <w:pPr>
        <w:pStyle w:val="BodyText"/>
        <w:spacing w:line="417" w:lineRule="auto" w:before="110"/>
        <w:ind w:left="960" w:right="5541"/>
        <w:rPr>
          <w:rFonts w:ascii="Times New Roman" w:eastAsia="Times New Roman"/>
        </w:rPr>
      </w:pPr>
      <w:r>
        <w:rPr/>
        <w:t>网址：</w:t>
      </w:r>
      <w:hyperlink r:id="rId61">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6"/>
        <w:rPr>
          <w:sz w:val="15"/>
        </w:rPr>
      </w:pPr>
    </w:p>
    <w:p>
      <w:pPr>
        <w:pStyle w:val="BodyText"/>
        <w:ind w:left="96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960" w:right="284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60" w:right="634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ind w:left="960"/>
      </w:pPr>
      <w:r>
        <w:rPr/>
        <w:t>联系人：周晶</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62">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北京恒天明泽基金销售有限公司</w:t>
      </w:r>
    </w:p>
    <w:p>
      <w:pPr>
        <w:pStyle w:val="BodyText"/>
        <w:spacing w:before="6"/>
        <w:rPr>
          <w:sz w:val="15"/>
        </w:rPr>
      </w:pPr>
    </w:p>
    <w:p>
      <w:pPr>
        <w:pStyle w:val="BodyText"/>
        <w:spacing w:before="1"/>
        <w:ind w:left="96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6"/>
        <w:rPr>
          <w:sz w:val="15"/>
        </w:rPr>
      </w:pPr>
    </w:p>
    <w:p>
      <w:pPr>
        <w:pStyle w:val="BodyText"/>
        <w:spacing w:line="417" w:lineRule="auto"/>
        <w:ind w:left="960" w:right="242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960" w:right="634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960"/>
      </w:pPr>
      <w:r>
        <w:rPr/>
        <w:t>联系人：马鹏程</w:t>
      </w:r>
    </w:p>
    <w:p>
      <w:pPr>
        <w:pStyle w:val="BodyText"/>
        <w:spacing w:before="7"/>
        <w:rPr>
          <w:sz w:val="15"/>
        </w:rPr>
      </w:pPr>
    </w:p>
    <w:p>
      <w:pPr>
        <w:pStyle w:val="BodyText"/>
        <w:ind w:left="960"/>
        <w:rPr>
          <w:rFonts w:ascii="Times New Roman" w:eastAsia="Times New Roman"/>
        </w:rPr>
      </w:pPr>
      <w:r>
        <w:rPr/>
        <w:t>网址：</w:t>
      </w:r>
      <w:hyperlink r:id="rId63">
        <w:r>
          <w:rPr>
            <w:rFonts w:ascii="Times New Roman" w:eastAsia="Times New Roman"/>
          </w:rPr>
          <w:t>www.chtwm.com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北京汇成基金销售有限公司</w:t>
      </w:r>
    </w:p>
    <w:p>
      <w:pPr>
        <w:pStyle w:val="BodyText"/>
        <w:spacing w:before="7"/>
        <w:rPr>
          <w:sz w:val="15"/>
        </w:rPr>
      </w:pPr>
    </w:p>
    <w:p>
      <w:pPr>
        <w:pStyle w:val="BodyText"/>
        <w:ind w:left="96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ind w:left="96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60" w:right="631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960"/>
      </w:pPr>
      <w:r>
        <w:rPr/>
        <w:t>联系人：丁向坤</w:t>
      </w:r>
    </w:p>
    <w:p>
      <w:pPr>
        <w:pStyle w:val="BodyText"/>
        <w:spacing w:before="7"/>
        <w:rPr>
          <w:sz w:val="15"/>
        </w:rPr>
      </w:pPr>
    </w:p>
    <w:p>
      <w:pPr>
        <w:pStyle w:val="BodyText"/>
        <w:ind w:left="960"/>
        <w:rPr>
          <w:rFonts w:ascii="Times New Roman" w:eastAsia="Times New Roman"/>
        </w:rPr>
      </w:pPr>
      <w:r>
        <w:rPr/>
        <w:t>网址： </w:t>
      </w:r>
      <w:hyperlink r:id="rId64">
        <w:r>
          <w:rPr>
            <w:rFonts w:ascii="Times New Roman" w:eastAsia="Times New Roman"/>
          </w:rPr>
          <w:t>www.hcjijin.com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北京晟视天下投资管理有限公司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住所：北京市怀柔区九渡河镇黄坎村 </w:t>
      </w:r>
      <w:r>
        <w:rPr>
          <w:rFonts w:ascii="Times New Roman" w:eastAsia="Times New Roman"/>
        </w:rPr>
        <w:t>735 </w:t>
      </w:r>
      <w:r>
        <w:rPr/>
        <w:t>号 </w:t>
      </w:r>
      <w:r>
        <w:rPr>
          <w:rFonts w:ascii="Times New Roman" w:eastAsia="Times New Roman"/>
        </w:rPr>
        <w:t>03 </w:t>
      </w:r>
      <w:r>
        <w:rPr/>
        <w:t>室</w:t>
      </w:r>
    </w:p>
    <w:p>
      <w:pPr>
        <w:pStyle w:val="BodyText"/>
        <w:spacing w:before="6"/>
        <w:rPr>
          <w:sz w:val="15"/>
        </w:rPr>
      </w:pPr>
    </w:p>
    <w:p>
      <w:pPr>
        <w:pStyle w:val="BodyText"/>
        <w:spacing w:line="417" w:lineRule="auto"/>
        <w:ind w:left="960" w:right="2527"/>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层法定代表人：蒋煜</w:t>
      </w:r>
    </w:p>
    <w:p>
      <w:pPr>
        <w:pStyle w:val="BodyText"/>
        <w:spacing w:line="417" w:lineRule="auto"/>
        <w:ind w:left="960" w:right="634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960"/>
      </w:pPr>
      <w:r>
        <w:rPr/>
        <w:t>联系人：蒋煜</w:t>
      </w:r>
    </w:p>
    <w:p>
      <w:pPr>
        <w:pStyle w:val="BodyText"/>
        <w:spacing w:before="7"/>
        <w:rPr>
          <w:sz w:val="15"/>
        </w:rPr>
      </w:pPr>
    </w:p>
    <w:p>
      <w:pPr>
        <w:pStyle w:val="BodyText"/>
        <w:spacing w:line="417" w:lineRule="auto"/>
        <w:ind w:left="960" w:right="5234"/>
        <w:rPr>
          <w:rFonts w:ascii="Times New Roman" w:eastAsia="Times New Roman"/>
        </w:rPr>
      </w:pPr>
      <w:r>
        <w:rPr/>
        <w:t>网址：</w:t>
      </w:r>
      <w:hyperlink r:id="rId65">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北京钱景基金销售有限公司</w:t>
      </w:r>
    </w:p>
    <w:p>
      <w:pPr>
        <w:pStyle w:val="BodyText"/>
        <w:spacing w:before="7"/>
        <w:rPr>
          <w:sz w:val="15"/>
        </w:rPr>
      </w:pPr>
    </w:p>
    <w:p>
      <w:pPr>
        <w:pStyle w:val="BodyText"/>
        <w:ind w:left="960"/>
        <w:rPr>
          <w:rFonts w:ascii="Times New Roman" w:eastAsia="Times New Roman"/>
        </w:rPr>
      </w:pPr>
      <w:r>
        <w:rPr>
          <w:spacing w:val="-7"/>
        </w:rPr>
        <w:t>住所：北京市海淀区丹棱街 </w:t>
      </w:r>
      <w:r>
        <w:rPr>
          <w:rFonts w:ascii="Times New Roman" w:eastAsia="Times New Roman"/>
        </w:rPr>
        <w:t>6 </w:t>
      </w:r>
      <w:r>
        <w:rPr>
          <w:spacing w:val="-26"/>
        </w:rPr>
        <w:t>号 </w:t>
      </w:r>
      <w:r>
        <w:rPr>
          <w:rFonts w:ascii="Times New Roman" w:eastAsia="Times New Roman"/>
        </w:rPr>
        <w:t>1 </w:t>
      </w:r>
      <w:r>
        <w:rPr>
          <w:spacing w:val="-26"/>
        </w:rPr>
        <w:t>幢 </w:t>
      </w:r>
      <w:r>
        <w:rPr>
          <w:rFonts w:ascii="Times New Roman" w:eastAsia="Times New Roman"/>
        </w:rPr>
        <w:t>9 </w:t>
      </w:r>
      <w:r>
        <w:rPr>
          <w:spacing w:val="-26"/>
        </w:rPr>
        <w:t>层 </w:t>
      </w:r>
      <w:r>
        <w:rPr>
          <w:rFonts w:ascii="Times New Roman" w:eastAsia="Times New Roman"/>
        </w:rPr>
        <w:t>1008-1012</w:t>
      </w:r>
    </w:p>
    <w:p>
      <w:pPr>
        <w:pStyle w:val="BodyText"/>
        <w:spacing w:before="3"/>
        <w:rPr>
          <w:rFonts w:ascii="Times New Roman"/>
          <w:sz w:val="17"/>
        </w:rPr>
      </w:pPr>
    </w:p>
    <w:p>
      <w:pPr>
        <w:pStyle w:val="BodyText"/>
        <w:ind w:left="96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ind w:left="960"/>
      </w:pPr>
      <w:r>
        <w:rPr/>
        <w:t>联系人：魏争</w:t>
      </w:r>
    </w:p>
    <w:p>
      <w:pPr>
        <w:pStyle w:val="BodyText"/>
        <w:spacing w:before="6"/>
        <w:rPr>
          <w:sz w:val="15"/>
        </w:rPr>
      </w:pPr>
    </w:p>
    <w:p>
      <w:pPr>
        <w:pStyle w:val="BodyText"/>
        <w:ind w:left="960"/>
        <w:rPr>
          <w:rFonts w:ascii="Times New Roman" w:eastAsia="Times New Roman"/>
        </w:rPr>
      </w:pPr>
      <w:r>
        <w:rPr/>
        <w:t>网址：</w:t>
      </w:r>
      <w:hyperlink r:id="rId66">
        <w:r>
          <w:rPr>
            <w:rFonts w:ascii="Times New Roman" w:eastAsia="Times New Roman"/>
          </w:rPr>
          <w:t>www.niuji.net</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北京植信基金销售有限公司</w:t>
      </w:r>
    </w:p>
    <w:p>
      <w:pPr>
        <w:pStyle w:val="BodyText"/>
        <w:spacing w:before="7"/>
        <w:rPr>
          <w:sz w:val="15"/>
        </w:rPr>
      </w:pPr>
    </w:p>
    <w:p>
      <w:pPr>
        <w:pStyle w:val="BodyText"/>
        <w:ind w:left="96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3"/>
        <w:rPr>
          <w:rFonts w:ascii="Times New Roman"/>
          <w:sz w:val="17"/>
        </w:rPr>
      </w:pPr>
    </w:p>
    <w:p>
      <w:pPr>
        <w:pStyle w:val="BodyText"/>
        <w:spacing w:line="417" w:lineRule="auto" w:before="1"/>
        <w:ind w:left="960" w:right="3623"/>
      </w:pPr>
      <w:r>
        <w:rPr/>
        <w:t>办公地址：北京市朝阳区盛世龙源国食苑 </w:t>
      </w:r>
      <w:r>
        <w:rPr>
          <w:rFonts w:ascii="Times New Roman" w:eastAsia="Times New Roman"/>
        </w:rPr>
        <w:t>10 </w:t>
      </w:r>
      <w:r>
        <w:rPr/>
        <w:t>号楼法定代表人：王军辉</w:t>
      </w:r>
    </w:p>
    <w:p>
      <w:pPr>
        <w:pStyle w:val="BodyText"/>
        <w:spacing w:line="417" w:lineRule="auto"/>
        <w:ind w:left="960" w:right="5541"/>
      </w:pPr>
      <w:r>
        <w:rPr/>
        <w:t>客户服务电话：</w:t>
      </w:r>
      <w:r>
        <w:rPr>
          <w:rFonts w:ascii="Times New Roman" w:eastAsia="Times New Roman"/>
        </w:rPr>
        <w:t>400-680-2123 </w:t>
      </w:r>
      <w:r>
        <w:rPr/>
        <w:t>联系人：吴鹏</w:t>
      </w:r>
    </w:p>
    <w:p>
      <w:pPr>
        <w:pStyle w:val="BodyText"/>
        <w:spacing w:line="269" w:lineRule="exact"/>
        <w:ind w:left="960"/>
        <w:rPr>
          <w:rFonts w:ascii="Times New Roman" w:eastAsia="Times New Roman"/>
        </w:rPr>
      </w:pPr>
      <w:r>
        <w:rPr/>
        <w:t>网址：</w:t>
      </w:r>
      <w:hyperlink r:id="rId67">
        <w:r>
          <w:rPr>
            <w:rFonts w:ascii="Times New Roman" w:eastAsia="Times New Roman"/>
          </w:rPr>
          <w:t>www.zhixin-inv.com</w:t>
        </w:r>
      </w:hyperlink>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海银基金销售有限公司</w:t>
      </w:r>
    </w:p>
    <w:p>
      <w:pPr>
        <w:pStyle w:val="BodyText"/>
        <w:spacing w:before="7"/>
        <w:rPr>
          <w:sz w:val="15"/>
        </w:rPr>
      </w:pPr>
    </w:p>
    <w:p>
      <w:pPr>
        <w:pStyle w:val="BodyText"/>
        <w:ind w:left="96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7"/>
        <w:rPr>
          <w:sz w:val="15"/>
        </w:rPr>
      </w:pPr>
    </w:p>
    <w:p>
      <w:pPr>
        <w:pStyle w:val="BodyText"/>
        <w:spacing w:line="417" w:lineRule="auto"/>
        <w:ind w:left="960" w:right="336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60" w:right="634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联系人：秦琼</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68">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960" w:right="1048"/>
      </w:pPr>
      <w:r>
        <w:rPr/>
        <w:t>住所：天津经济技术开发区南港工业区综合服务区办公楼</w:t>
      </w:r>
      <w:r>
        <w:rPr>
          <w:rFonts w:ascii="Times New Roman" w:eastAsia="Times New Roman"/>
        </w:rPr>
        <w:t>D </w:t>
      </w:r>
      <w:r>
        <w:rPr/>
        <w:t>座二层 </w:t>
      </w:r>
      <w:r>
        <w:rPr>
          <w:rFonts w:ascii="Times New Roman" w:eastAsia="Times New Roman"/>
        </w:rPr>
        <w:t>202-124 </w:t>
      </w:r>
      <w:r>
        <w:rPr/>
        <w:t>室办公地址：北京市朝阳区霄云路 </w:t>
      </w:r>
      <w:r>
        <w:rPr>
          <w:rFonts w:ascii="Times New Roman" w:eastAsia="Times New Roman"/>
        </w:rPr>
        <w:t>26 </w:t>
      </w:r>
      <w:r>
        <w:rPr/>
        <w:t>号鹏润大厦</w:t>
      </w:r>
      <w:r>
        <w:rPr>
          <w:rFonts w:ascii="Times New Roman" w:eastAsia="Times New Roman"/>
        </w:rPr>
        <w:t>B </w:t>
      </w:r>
      <w:r>
        <w:rPr/>
        <w:t>座 </w:t>
      </w:r>
      <w:r>
        <w:rPr>
          <w:rFonts w:ascii="Times New Roman" w:eastAsia="Times New Roman"/>
        </w:rPr>
        <w:t>9 </w:t>
      </w:r>
      <w:r>
        <w:rPr/>
        <w:t>层</w:t>
      </w:r>
    </w:p>
    <w:p>
      <w:pPr>
        <w:pStyle w:val="BodyText"/>
        <w:spacing w:line="417" w:lineRule="auto"/>
        <w:ind w:left="960" w:right="631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ind w:left="960"/>
      </w:pPr>
      <w:r>
        <w:rPr/>
        <w:t>联系人：郭宝亮</w:t>
      </w:r>
    </w:p>
    <w:p>
      <w:pPr>
        <w:pStyle w:val="BodyText"/>
        <w:spacing w:before="7"/>
        <w:rPr>
          <w:sz w:val="15"/>
        </w:rPr>
      </w:pPr>
    </w:p>
    <w:p>
      <w:pPr>
        <w:pStyle w:val="BodyText"/>
        <w:spacing w:line="417" w:lineRule="auto"/>
        <w:ind w:left="960" w:right="5514"/>
        <w:rPr>
          <w:rFonts w:ascii="Times New Roman" w:eastAsia="Times New Roman"/>
        </w:rPr>
      </w:pPr>
      <w:r>
        <w:rPr/>
        <w:t>网 址 ：</w:t>
      </w:r>
      <w:hyperlink r:id="rId69">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上海大智慧基金销售有限公司</w:t>
      </w:r>
    </w:p>
    <w:p>
      <w:pPr>
        <w:pStyle w:val="BodyText"/>
        <w:spacing w:before="6"/>
        <w:rPr>
          <w:sz w:val="15"/>
        </w:rPr>
      </w:pPr>
    </w:p>
    <w:p>
      <w:pPr>
        <w:pStyle w:val="BodyText"/>
        <w:ind w:left="96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7"/>
        <w:rPr>
          <w:sz w:val="15"/>
        </w:rPr>
      </w:pPr>
    </w:p>
    <w:p>
      <w:pPr>
        <w:pStyle w:val="BodyText"/>
        <w:spacing w:line="417" w:lineRule="auto" w:before="1"/>
        <w:ind w:left="960" w:right="138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960" w:right="634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960"/>
      </w:pPr>
      <w:r>
        <w:rPr/>
        <w:t>联系人：张蜓</w:t>
      </w:r>
    </w:p>
    <w:p>
      <w:pPr>
        <w:pStyle w:val="BodyText"/>
        <w:spacing w:before="6"/>
        <w:rPr>
          <w:sz w:val="15"/>
        </w:rPr>
      </w:pPr>
    </w:p>
    <w:p>
      <w:pPr>
        <w:pStyle w:val="BodyText"/>
        <w:spacing w:line="417" w:lineRule="auto"/>
        <w:ind w:left="960" w:right="5505"/>
        <w:rPr>
          <w:rFonts w:ascii="Times New Roman" w:eastAsia="Times New Roman"/>
        </w:rPr>
      </w:pPr>
      <w:r>
        <w:rPr/>
        <w:t>网址：</w:t>
      </w:r>
      <w:r>
        <w:rPr>
          <w:rFonts w:ascii="Times New Roman" w:eastAsia="Times New Roman"/>
        </w:rPr>
        <w:t>https://</w:t>
      </w:r>
      <w:hyperlink r:id="rId70">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北京新浪仓石基金销售有限公司</w:t>
      </w:r>
    </w:p>
    <w:p>
      <w:pPr>
        <w:pStyle w:val="BodyText"/>
        <w:spacing w:before="7"/>
        <w:rPr>
          <w:sz w:val="15"/>
        </w:rPr>
      </w:pPr>
    </w:p>
    <w:p>
      <w:pPr>
        <w:pStyle w:val="BodyText"/>
        <w:spacing w:line="417" w:lineRule="auto"/>
        <w:ind w:left="540" w:right="31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17" w:lineRule="auto"/>
        <w:ind w:left="960" w:right="169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17" w:lineRule="auto"/>
        <w:ind w:left="960" w:right="634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ind w:left="960"/>
      </w:pPr>
      <w:r>
        <w:rPr/>
        <w:t>联系人：赵芯蕊</w:t>
      </w:r>
    </w:p>
    <w:p>
      <w:pPr>
        <w:pStyle w:val="BodyText"/>
        <w:spacing w:before="6"/>
        <w:rPr>
          <w:sz w:val="15"/>
        </w:rPr>
      </w:pPr>
    </w:p>
    <w:p>
      <w:pPr>
        <w:pStyle w:val="BodyText"/>
        <w:ind w:left="960"/>
        <w:rPr>
          <w:rFonts w:ascii="Times New Roman" w:eastAsia="Times New Roman"/>
        </w:rPr>
      </w:pPr>
      <w:r>
        <w:rPr/>
        <w:t>网址：</w:t>
      </w:r>
      <w:hyperlink r:id="rId71">
        <w:r>
          <w:rPr>
            <w:rFonts w:ascii="Times New Roman" w:eastAsia="Times New Roman"/>
          </w:rPr>
          <w:t>www.xincai.com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北京辉腾汇富基金销售有限公司</w:t>
      </w:r>
    </w:p>
    <w:p>
      <w:pPr>
        <w:pStyle w:val="BodyText"/>
        <w:spacing w:before="7"/>
        <w:rPr>
          <w:sz w:val="15"/>
        </w:rPr>
      </w:pPr>
    </w:p>
    <w:p>
      <w:pPr>
        <w:pStyle w:val="BodyText"/>
        <w:ind w:left="960"/>
        <w:rPr>
          <w:rFonts w:ascii="Times New Roman" w:eastAsia="Times New Roman"/>
        </w:rPr>
      </w:pPr>
      <w:r>
        <w:rPr/>
        <w:t>住所：北京市东城区朝阳门北大街 </w:t>
      </w:r>
      <w:r>
        <w:rPr>
          <w:rFonts w:ascii="Times New Roman" w:eastAsia="Times New Roman"/>
        </w:rPr>
        <w:t>8 </w:t>
      </w:r>
      <w:r>
        <w:rPr/>
        <w:t>号 </w:t>
      </w:r>
      <w:r>
        <w:rPr>
          <w:rFonts w:ascii="Times New Roman" w:eastAsia="Times New Roman"/>
        </w:rPr>
        <w:t>2-2-1</w:t>
      </w:r>
    </w:p>
    <w:p>
      <w:pPr>
        <w:pStyle w:val="BodyText"/>
        <w:spacing w:before="3"/>
        <w:rPr>
          <w:rFonts w:ascii="Times New Roman"/>
          <w:sz w:val="17"/>
        </w:rPr>
      </w:pPr>
    </w:p>
    <w:p>
      <w:pPr>
        <w:pStyle w:val="BodyText"/>
        <w:ind w:left="960"/>
        <w:rPr>
          <w:rFonts w:ascii="Times New Roman" w:eastAsia="Times New Roman"/>
        </w:rPr>
      </w:pPr>
      <w:r>
        <w:rPr/>
        <w:t>办公地址：北京市东城区朝阳门北大街 </w:t>
      </w:r>
      <w:r>
        <w:rPr>
          <w:rFonts w:ascii="Times New Roman" w:eastAsia="Times New Roman"/>
        </w:rPr>
        <w:t>8 </w:t>
      </w:r>
      <w:r>
        <w:rPr/>
        <w:t>号富华大厦 </w:t>
      </w:r>
      <w:r>
        <w:rPr>
          <w:rFonts w:ascii="Times New Roman" w:eastAsia="Times New Roman"/>
        </w:rPr>
        <w:t>F </w:t>
      </w:r>
      <w:r>
        <w:rPr/>
        <w:t>座 </w:t>
      </w:r>
      <w:r>
        <w:rPr>
          <w:rFonts w:ascii="Times New Roman" w:eastAsia="Times New Roman"/>
        </w:rPr>
        <w:t>12 </w:t>
      </w:r>
      <w:r>
        <w:rPr/>
        <w:t>层</w:t>
      </w:r>
      <w:r>
        <w:rPr>
          <w:rFonts w:ascii="Times New Roman" w:eastAsia="Times New Roman"/>
        </w:rPr>
        <w:t>B</w:t>
      </w:r>
    </w:p>
    <w:p>
      <w:pPr>
        <w:pStyle w:val="BodyText"/>
        <w:spacing w:before="4"/>
        <w:rPr>
          <w:rFonts w:ascii="Times New Roman"/>
          <w:sz w:val="17"/>
        </w:rPr>
      </w:pPr>
    </w:p>
    <w:p>
      <w:pPr>
        <w:pStyle w:val="BodyText"/>
        <w:spacing w:line="417" w:lineRule="auto"/>
        <w:ind w:left="960" w:right="6284"/>
        <w:rPr>
          <w:rFonts w:ascii="Times New Roman" w:eastAsia="Times New Roman"/>
        </w:rPr>
      </w:pPr>
      <w:r>
        <w:rPr/>
        <w:t>法定代表人：许宁电话：</w:t>
      </w:r>
      <w:r>
        <w:rPr>
          <w:rFonts w:ascii="Times New Roman" w:eastAsia="Times New Roman"/>
        </w:rPr>
        <w:t>010-85610733 </w:t>
      </w:r>
      <w:r>
        <w:rPr/>
        <w:t>传真：</w:t>
      </w:r>
      <w:r>
        <w:rPr>
          <w:rFonts w:ascii="Times New Roman" w:eastAsia="Times New Roman"/>
        </w:rPr>
        <w:t>010-85622351</w:t>
      </w:r>
    </w:p>
    <w:p>
      <w:pPr>
        <w:pStyle w:val="BodyText"/>
        <w:ind w:left="960"/>
      </w:pPr>
      <w:r>
        <w:rPr/>
        <w:t>联系人：彭雪琳</w:t>
      </w:r>
    </w:p>
    <w:p>
      <w:pPr>
        <w:pStyle w:val="BodyText"/>
        <w:spacing w:before="6"/>
        <w:rPr>
          <w:sz w:val="15"/>
        </w:rPr>
      </w:pPr>
    </w:p>
    <w:p>
      <w:pPr>
        <w:pStyle w:val="BodyText"/>
        <w:spacing w:line="417" w:lineRule="auto" w:before="1"/>
        <w:ind w:left="960" w:right="5432"/>
        <w:rPr>
          <w:rFonts w:ascii="Times New Roman" w:eastAsia="Times New Roman"/>
        </w:rPr>
      </w:pPr>
      <w:r>
        <w:rPr/>
        <w:t>网址：</w:t>
      </w:r>
      <w:r>
        <w:rPr>
          <w:rFonts w:ascii="Times New Roman" w:eastAsia="Times New Roman"/>
        </w:rPr>
        <w:t>https://</w:t>
      </w:r>
      <w:hyperlink r:id="rId72">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ind w:left="960" w:right="263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960" w:right="634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960"/>
      </w:pPr>
      <w:r>
        <w:rPr/>
        <w:t>联系人：徐亚丹</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73">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5"/>
        <w:rPr>
          <w:sz w:val="9"/>
        </w:rPr>
      </w:pPr>
    </w:p>
    <w:p>
      <w:pPr>
        <w:pStyle w:val="BodyText"/>
        <w:spacing w:before="79"/>
        <w:ind w:left="96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6"/>
        <w:rPr>
          <w:sz w:val="9"/>
        </w:rPr>
      </w:pPr>
    </w:p>
    <w:p>
      <w:pPr>
        <w:pStyle w:val="BodyText"/>
        <w:spacing w:line="417" w:lineRule="auto" w:before="78"/>
        <w:ind w:left="960" w:right="106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960" w:right="634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960"/>
      </w:pPr>
      <w:r>
        <w:rPr/>
        <w:t>联系人：张旭</w:t>
      </w:r>
    </w:p>
    <w:p>
      <w:pPr>
        <w:pStyle w:val="BodyText"/>
        <w:spacing w:before="6"/>
        <w:rPr>
          <w:sz w:val="15"/>
        </w:rPr>
      </w:pPr>
    </w:p>
    <w:p>
      <w:pPr>
        <w:pStyle w:val="BodyText"/>
        <w:ind w:left="960"/>
        <w:rPr>
          <w:rFonts w:ascii="Times New Roman" w:eastAsia="Times New Roman"/>
        </w:rPr>
      </w:pPr>
      <w:r>
        <w:rPr/>
        <w:t>网址：</w:t>
      </w:r>
      <w:hyperlink r:id="rId74">
        <w:r>
          <w:rPr>
            <w:rFonts w:ascii="Times New Roman" w:eastAsia="Times New Roman"/>
          </w:rPr>
          <w:t>www.fengfd.com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400-810-5919</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上海联泰基金销售有限公司</w:t>
      </w:r>
    </w:p>
    <w:p>
      <w:pPr>
        <w:pStyle w:val="BodyText"/>
        <w:spacing w:before="6"/>
        <w:rPr>
          <w:sz w:val="15"/>
        </w:rPr>
      </w:pPr>
    </w:p>
    <w:p>
      <w:pPr>
        <w:pStyle w:val="BodyText"/>
        <w:ind w:left="96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spacing w:after="0"/>
        <w:sectPr>
          <w:pgSz w:w="11910" w:h="16840"/>
          <w:pgMar w:header="877" w:footer="995" w:top="1420" w:bottom="1180" w:left="1260" w:right="1480"/>
        </w:sectPr>
      </w:pPr>
    </w:p>
    <w:p>
      <w:pPr>
        <w:pStyle w:val="BodyText"/>
        <w:spacing w:line="417" w:lineRule="auto" w:before="110"/>
        <w:ind w:left="960" w:right="294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pStyle w:val="BodyText"/>
        <w:spacing w:line="417" w:lineRule="auto"/>
        <w:ind w:left="960" w:right="634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960"/>
      </w:pPr>
      <w:r>
        <w:rPr/>
        <w:t>联系人：兰敏</w:t>
      </w:r>
    </w:p>
    <w:p>
      <w:pPr>
        <w:pStyle w:val="BodyText"/>
        <w:spacing w:before="6"/>
        <w:rPr>
          <w:sz w:val="15"/>
        </w:rPr>
      </w:pPr>
    </w:p>
    <w:p>
      <w:pPr>
        <w:pStyle w:val="BodyText"/>
        <w:ind w:left="960"/>
        <w:rPr>
          <w:rFonts w:ascii="Times New Roman" w:eastAsia="Times New Roman"/>
        </w:rPr>
      </w:pPr>
      <w:r>
        <w:rPr/>
        <w:t>网址：</w:t>
      </w:r>
      <w:hyperlink r:id="rId75">
        <w:r>
          <w:rPr>
            <w:rFonts w:ascii="Times New Roman" w:eastAsia="Times New Roman"/>
          </w:rPr>
          <w:t>www.66liantai.com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深圳市金海九州基金销售有限公司</w:t>
      </w:r>
    </w:p>
    <w:p>
      <w:pPr>
        <w:pStyle w:val="BodyText"/>
        <w:spacing w:before="6"/>
        <w:rPr>
          <w:sz w:val="15"/>
        </w:rPr>
      </w:pPr>
    </w:p>
    <w:p>
      <w:pPr>
        <w:pStyle w:val="BodyText"/>
        <w:spacing w:line="417" w:lineRule="auto"/>
        <w:ind w:left="540" w:right="2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960" w:right="3417"/>
      </w:pPr>
      <w:r>
        <w:rPr/>
        <w:t>办公地址：深圳市福田区富德生命保险大厦 </w:t>
      </w:r>
      <w:r>
        <w:rPr>
          <w:rFonts w:ascii="Times New Roman" w:eastAsia="Times New Roman"/>
        </w:rPr>
        <w:t>1106 </w:t>
      </w:r>
      <w:r>
        <w:rPr/>
        <w:t>室法定代表人：彭维熙</w:t>
      </w:r>
    </w:p>
    <w:p>
      <w:pPr>
        <w:pStyle w:val="BodyText"/>
        <w:spacing w:line="417" w:lineRule="auto"/>
        <w:ind w:left="960" w:right="624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ind w:left="960"/>
      </w:pPr>
      <w:r>
        <w:rPr/>
        <w:t>联系人：彭维熙</w:t>
      </w:r>
    </w:p>
    <w:p>
      <w:pPr>
        <w:pStyle w:val="BodyText"/>
        <w:spacing w:before="6"/>
        <w:rPr>
          <w:sz w:val="15"/>
        </w:rPr>
      </w:pPr>
    </w:p>
    <w:p>
      <w:pPr>
        <w:pStyle w:val="BodyText"/>
        <w:spacing w:before="1"/>
        <w:ind w:left="960"/>
        <w:rPr>
          <w:rFonts w:ascii="Times New Roman" w:eastAsia="Times New Roman"/>
        </w:rPr>
      </w:pPr>
      <w:r>
        <w:rPr/>
        <w:t>网址：</w:t>
      </w:r>
      <w:hyperlink r:id="rId76">
        <w:r>
          <w:rPr>
            <w:rFonts w:ascii="Times New Roman" w:eastAsia="Times New Roman"/>
          </w:rPr>
          <w:t>www.jhjzfund.com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399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17" w:lineRule="auto"/>
        <w:ind w:left="960" w:right="3517"/>
      </w:pPr>
      <w:r>
        <w:rPr/>
        <w:t>办公地址：辽宁省大连市沙河口区星海中龙园 </w:t>
      </w:r>
      <w:r>
        <w:rPr>
          <w:rFonts w:ascii="Times New Roman" w:eastAsia="Times New Roman"/>
        </w:rPr>
        <w:t>3 </w:t>
      </w:r>
      <w:r>
        <w:rPr/>
        <w:t>号法定代表人：李春光</w:t>
      </w:r>
    </w:p>
    <w:p>
      <w:pPr>
        <w:pStyle w:val="BodyText"/>
        <w:spacing w:line="417" w:lineRule="auto"/>
        <w:ind w:left="960" w:right="586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960"/>
      </w:pPr>
      <w:r>
        <w:rPr/>
        <w:t>联系人：张晓辉</w:t>
      </w:r>
    </w:p>
    <w:p>
      <w:pPr>
        <w:pStyle w:val="BodyText"/>
        <w:spacing w:before="7"/>
        <w:rPr>
          <w:sz w:val="15"/>
        </w:rPr>
      </w:pPr>
    </w:p>
    <w:p>
      <w:pPr>
        <w:pStyle w:val="BodyText"/>
        <w:spacing w:line="417" w:lineRule="auto"/>
        <w:ind w:left="960" w:right="5549"/>
        <w:rPr>
          <w:rFonts w:ascii="Times New Roman" w:eastAsia="Times New Roman"/>
        </w:rPr>
      </w:pPr>
      <w:r>
        <w:rPr/>
        <w:t>网址：</w:t>
      </w:r>
      <w:hyperlink r:id="rId77">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上海汇付基金销售有限公司</w:t>
      </w:r>
    </w:p>
    <w:p>
      <w:pPr>
        <w:pStyle w:val="BodyText"/>
        <w:spacing w:before="7"/>
        <w:rPr>
          <w:sz w:val="15"/>
        </w:rPr>
      </w:pPr>
    </w:p>
    <w:p>
      <w:pPr>
        <w:pStyle w:val="BodyText"/>
        <w:ind w:left="96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7"/>
        <w:rPr>
          <w:sz w:val="15"/>
        </w:rPr>
      </w:pPr>
    </w:p>
    <w:p>
      <w:pPr>
        <w:pStyle w:val="BodyText"/>
        <w:spacing w:line="417" w:lineRule="auto"/>
        <w:ind w:left="960" w:right="211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960"/>
      </w:pPr>
      <w:r>
        <w:rPr/>
        <w:t>联系人：甄宝林</w:t>
      </w:r>
    </w:p>
    <w:p>
      <w:pPr>
        <w:pStyle w:val="BodyText"/>
        <w:spacing w:before="6"/>
        <w:rPr>
          <w:sz w:val="15"/>
        </w:rPr>
      </w:pPr>
    </w:p>
    <w:p>
      <w:pPr>
        <w:pStyle w:val="BodyText"/>
        <w:ind w:left="960"/>
        <w:rPr>
          <w:rFonts w:ascii="Times New Roman" w:eastAsia="Times New Roman"/>
        </w:rPr>
      </w:pPr>
      <w:r>
        <w:rPr/>
        <w:t>网址：</w:t>
      </w:r>
      <w:hyperlink r:id="rId78">
        <w:r>
          <w:rPr>
            <w:rFonts w:ascii="Times New Roman" w:eastAsia="Times New Roman"/>
          </w:rPr>
          <w:t>www.hotjijin.com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上海基煜基金销售有限公司</w:t>
      </w:r>
    </w:p>
    <w:p>
      <w:pPr>
        <w:pStyle w:val="BodyText"/>
        <w:spacing w:before="7"/>
        <w:rPr>
          <w:sz w:val="15"/>
        </w:rPr>
      </w:pPr>
    </w:p>
    <w:p>
      <w:pPr>
        <w:pStyle w:val="BodyText"/>
        <w:ind w:left="96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960" w:right="221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960" w:right="592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960"/>
      </w:pPr>
      <w:r>
        <w:rPr/>
        <w:t>联系人：蓝杰</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79">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上海中正达广基金销售有限公司</w:t>
      </w:r>
    </w:p>
    <w:p>
      <w:pPr>
        <w:pStyle w:val="BodyText"/>
        <w:spacing w:before="6"/>
        <w:rPr>
          <w:sz w:val="15"/>
        </w:rPr>
      </w:pPr>
    </w:p>
    <w:p>
      <w:pPr>
        <w:pStyle w:val="BodyText"/>
        <w:spacing w:before="1"/>
        <w:ind w:left="96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6"/>
        <w:rPr>
          <w:sz w:val="15"/>
        </w:rPr>
      </w:pPr>
    </w:p>
    <w:p>
      <w:pPr>
        <w:pStyle w:val="BodyText"/>
        <w:spacing w:line="417" w:lineRule="auto"/>
        <w:ind w:left="960" w:right="368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spacing w:line="417" w:lineRule="auto"/>
        <w:ind w:left="960" w:right="596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ind w:left="960"/>
      </w:pPr>
      <w:r>
        <w:rPr/>
        <w:t>联系人：戴珉微</w:t>
      </w:r>
    </w:p>
    <w:p>
      <w:pPr>
        <w:pStyle w:val="BodyText"/>
        <w:spacing w:before="7"/>
        <w:rPr>
          <w:sz w:val="15"/>
        </w:rPr>
      </w:pPr>
    </w:p>
    <w:p>
      <w:pPr>
        <w:pStyle w:val="BodyText"/>
        <w:spacing w:line="417" w:lineRule="auto"/>
        <w:ind w:left="960" w:right="5220"/>
        <w:rPr>
          <w:rFonts w:ascii="Times New Roman" w:eastAsia="Times New Roman"/>
        </w:rPr>
      </w:pPr>
      <w:r>
        <w:rPr/>
        <w:t>网址：</w:t>
      </w:r>
      <w:hyperlink r:id="rId80">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北京虹点基金销售有限公司</w:t>
      </w:r>
    </w:p>
    <w:p>
      <w:pPr>
        <w:pStyle w:val="BodyText"/>
        <w:spacing w:before="7"/>
        <w:rPr>
          <w:sz w:val="15"/>
        </w:rPr>
      </w:pPr>
    </w:p>
    <w:p>
      <w:pPr>
        <w:pStyle w:val="BodyText"/>
        <w:ind w:left="960"/>
      </w:pPr>
      <w:r>
        <w:rPr/>
        <w:t>住所：北京市朝阳区工人体育场北路甲 </w:t>
      </w:r>
      <w:r>
        <w:rPr>
          <w:rFonts w:ascii="Times New Roman" w:eastAsia="Times New Roman"/>
        </w:rPr>
        <w:t>2 </w:t>
      </w:r>
      <w:r>
        <w:rPr/>
        <w:t>号裙房 </w:t>
      </w:r>
      <w:r>
        <w:rPr>
          <w:rFonts w:ascii="Times New Roman" w:eastAsia="Times New Roman"/>
        </w:rPr>
        <w:t>2 </w:t>
      </w:r>
      <w:r>
        <w:rPr/>
        <w:t>层 </w:t>
      </w:r>
      <w:r>
        <w:rPr>
          <w:rFonts w:ascii="Times New Roman" w:eastAsia="Times New Roman"/>
        </w:rPr>
        <w:t>222 </w:t>
      </w:r>
      <w:r>
        <w:rPr/>
        <w:t>单元</w:t>
      </w:r>
    </w:p>
    <w:p>
      <w:pPr>
        <w:pStyle w:val="BodyText"/>
        <w:spacing w:before="7"/>
        <w:rPr>
          <w:sz w:val="15"/>
        </w:rPr>
      </w:pPr>
    </w:p>
    <w:p>
      <w:pPr>
        <w:pStyle w:val="BodyText"/>
        <w:spacing w:line="417" w:lineRule="auto"/>
        <w:ind w:left="960" w:right="2107"/>
      </w:pPr>
      <w:r>
        <w:rPr>
          <w:spacing w:val="-6"/>
        </w:rPr>
        <w:t>办公地址：北京市朝阳区工人体育场北路甲 </w:t>
      </w:r>
      <w:r>
        <w:rPr>
          <w:rFonts w:ascii="Times New Roman" w:eastAsia="Times New Roman"/>
        </w:rPr>
        <w:t>2 </w:t>
      </w:r>
      <w:r>
        <w:rPr>
          <w:spacing w:val="-14"/>
        </w:rPr>
        <w:t>号裙房 </w:t>
      </w:r>
      <w:r>
        <w:rPr>
          <w:rFonts w:ascii="Times New Roman" w:eastAsia="Times New Roman"/>
        </w:rPr>
        <w:t>2 </w:t>
      </w:r>
      <w:r>
        <w:rPr>
          <w:spacing w:val="-24"/>
        </w:rPr>
        <w:t>层 </w:t>
      </w:r>
      <w:r>
        <w:rPr>
          <w:rFonts w:ascii="Times New Roman" w:eastAsia="Times New Roman"/>
        </w:rPr>
        <w:t>222 </w:t>
      </w:r>
      <w:r>
        <w:rPr/>
        <w:t>单元</w:t>
      </w:r>
      <w:r>
        <w:rPr>
          <w:spacing w:val="-3"/>
        </w:rPr>
        <w:t>法定代表人：郑毓栋</w:t>
      </w:r>
    </w:p>
    <w:p>
      <w:pPr>
        <w:pStyle w:val="BodyText"/>
        <w:spacing w:line="417" w:lineRule="auto"/>
        <w:ind w:left="960" w:right="634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ind w:left="960"/>
      </w:pPr>
      <w:r>
        <w:rPr/>
        <w:t>联系人：姜颖</w:t>
      </w:r>
    </w:p>
    <w:p>
      <w:pPr>
        <w:spacing w:after="0"/>
        <w:sectPr>
          <w:pgSz w:w="11910" w:h="16840"/>
          <w:pgMar w:header="877" w:footer="995" w:top="1420" w:bottom="1180" w:left="1260" w:right="1480"/>
        </w:sectPr>
      </w:pPr>
    </w:p>
    <w:p>
      <w:pPr>
        <w:pStyle w:val="BodyText"/>
        <w:spacing w:line="417" w:lineRule="auto" w:before="110"/>
        <w:ind w:left="960" w:right="5454"/>
        <w:rPr>
          <w:rFonts w:ascii="Times New Roman" w:eastAsia="Times New Roman"/>
        </w:rPr>
      </w:pPr>
      <w:r>
        <w:rPr/>
        <w:t>网址：</w:t>
      </w:r>
      <w:hyperlink r:id="rId81">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上海陆金所基金销售有限公司</w:t>
      </w:r>
    </w:p>
    <w:p>
      <w:pPr>
        <w:pStyle w:val="BodyText"/>
        <w:spacing w:before="6"/>
        <w:rPr>
          <w:sz w:val="15"/>
        </w:rPr>
      </w:pPr>
    </w:p>
    <w:p>
      <w:pPr>
        <w:pStyle w:val="BodyText"/>
        <w:ind w:left="96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7"/>
        <w:rPr>
          <w:sz w:val="15"/>
        </w:rPr>
      </w:pPr>
    </w:p>
    <w:p>
      <w:pPr>
        <w:pStyle w:val="BodyText"/>
        <w:spacing w:line="417" w:lineRule="auto"/>
        <w:ind w:left="960" w:right="3833"/>
      </w:pPr>
      <w:r>
        <w:rPr/>
        <w:t>办公地址：上海市浦东新区陆家嘴环路 </w:t>
      </w:r>
      <w:r>
        <w:rPr>
          <w:rFonts w:ascii="Times New Roman" w:eastAsia="Times New Roman"/>
        </w:rPr>
        <w:t>1333 </w:t>
      </w:r>
      <w:r>
        <w:rPr/>
        <w:t>号法定代表人：王之光</w:t>
      </w:r>
    </w:p>
    <w:p>
      <w:pPr>
        <w:pStyle w:val="BodyText"/>
        <w:spacing w:line="417" w:lineRule="auto"/>
        <w:ind w:left="960" w:right="634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ind w:left="960"/>
      </w:pPr>
      <w:r>
        <w:rPr/>
        <w:t>联系人：宁博宇</w:t>
      </w:r>
    </w:p>
    <w:p>
      <w:pPr>
        <w:pStyle w:val="BodyText"/>
        <w:spacing w:before="7"/>
        <w:rPr>
          <w:sz w:val="15"/>
        </w:rPr>
      </w:pPr>
    </w:p>
    <w:p>
      <w:pPr>
        <w:pStyle w:val="BodyText"/>
        <w:ind w:left="960"/>
        <w:rPr>
          <w:rFonts w:ascii="Times New Roman" w:eastAsia="Times New Roman"/>
        </w:rPr>
      </w:pPr>
      <w:r>
        <w:rPr/>
        <w:t>网址：</w:t>
      </w:r>
      <w:hyperlink r:id="rId82">
        <w:r>
          <w:rPr>
            <w:rFonts w:ascii="Times New Roman" w:eastAsia="Times New Roman"/>
          </w:rPr>
          <w:t>www.lufunds.com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400-821-9031</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大泰金石基金销售有限公司</w:t>
      </w:r>
    </w:p>
    <w:p>
      <w:pPr>
        <w:pStyle w:val="BodyText"/>
        <w:spacing w:before="6"/>
        <w:rPr>
          <w:sz w:val="15"/>
        </w:rPr>
      </w:pPr>
    </w:p>
    <w:p>
      <w:pPr>
        <w:pStyle w:val="BodyText"/>
        <w:spacing w:before="1"/>
        <w:ind w:left="96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6"/>
        <w:rPr>
          <w:sz w:val="15"/>
        </w:rPr>
      </w:pPr>
    </w:p>
    <w:p>
      <w:pPr>
        <w:pStyle w:val="BodyText"/>
        <w:spacing w:line="417" w:lineRule="auto"/>
        <w:ind w:left="960" w:right="263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17" w:lineRule="auto"/>
        <w:ind w:left="960" w:right="634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spacing w:line="269" w:lineRule="exact"/>
        <w:ind w:left="960"/>
      </w:pPr>
      <w:r>
        <w:rPr/>
        <w:t>联系人：刘璐</w:t>
      </w:r>
    </w:p>
    <w:p>
      <w:pPr>
        <w:pStyle w:val="BodyText"/>
        <w:spacing w:before="7"/>
        <w:rPr>
          <w:sz w:val="15"/>
        </w:rPr>
      </w:pPr>
    </w:p>
    <w:p>
      <w:pPr>
        <w:pStyle w:val="BodyText"/>
        <w:ind w:left="960"/>
        <w:rPr>
          <w:rFonts w:ascii="Times New Roman" w:eastAsia="Times New Roman"/>
        </w:rPr>
      </w:pPr>
      <w:r>
        <w:rPr/>
        <w:t>网址：</w:t>
      </w:r>
      <w:hyperlink r:id="rId83">
        <w:r>
          <w:rPr>
            <w:rFonts w:ascii="Times New Roman" w:eastAsia="Times New Roman"/>
          </w:rPr>
          <w:t>www.dtfunds.com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400-928-2266</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珠海盈米基金销售有限公司</w:t>
      </w:r>
    </w:p>
    <w:p>
      <w:pPr>
        <w:pStyle w:val="BodyText"/>
        <w:spacing w:before="7"/>
        <w:rPr>
          <w:sz w:val="15"/>
        </w:rPr>
      </w:pPr>
    </w:p>
    <w:p>
      <w:pPr>
        <w:pStyle w:val="BodyText"/>
        <w:ind w:left="96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4"/>
        <w:rPr>
          <w:rFonts w:ascii="Times New Roman"/>
          <w:sz w:val="17"/>
        </w:rPr>
      </w:pPr>
    </w:p>
    <w:p>
      <w:pPr>
        <w:pStyle w:val="BodyText"/>
        <w:ind w:left="96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3"/>
        <w:rPr>
          <w:rFonts w:ascii="Times New Roman"/>
          <w:sz w:val="17"/>
        </w:rPr>
      </w:pPr>
    </w:p>
    <w:p>
      <w:pPr>
        <w:pStyle w:val="BodyText"/>
        <w:spacing w:line="417" w:lineRule="auto"/>
        <w:ind w:left="960" w:right="628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960"/>
      </w:pPr>
      <w:r>
        <w:rPr/>
        <w:t>联系人：吴煜浩</w:t>
      </w:r>
    </w:p>
    <w:p>
      <w:pPr>
        <w:pStyle w:val="BodyText"/>
        <w:spacing w:before="7"/>
        <w:rPr>
          <w:sz w:val="15"/>
        </w:rPr>
      </w:pPr>
    </w:p>
    <w:p>
      <w:pPr>
        <w:pStyle w:val="BodyText"/>
        <w:ind w:left="960"/>
        <w:rPr>
          <w:rFonts w:ascii="Times New Roman" w:eastAsia="Times New Roman"/>
        </w:rPr>
      </w:pPr>
      <w:r>
        <w:rPr/>
        <w:t>网址：</w:t>
      </w:r>
      <w:hyperlink r:id="rId84">
        <w:r>
          <w:rPr>
            <w:rFonts w:ascii="Times New Roman" w:eastAsia="Times New Roman"/>
          </w:rPr>
          <w:t>www.yingmi.cn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和耕传承基金销售有限公司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3"/>
        <w:rPr>
          <w:rFonts w:ascii="Times New Roman"/>
          <w:sz w:val="17"/>
        </w:rPr>
      </w:pPr>
    </w:p>
    <w:p>
      <w:pPr>
        <w:pStyle w:val="BodyText"/>
        <w:ind w:left="540"/>
      </w:pPr>
      <w:r>
        <w:rPr/>
        <w:t>房间</w:t>
      </w:r>
    </w:p>
    <w:p>
      <w:pPr>
        <w:pStyle w:val="BodyText"/>
        <w:spacing w:before="7"/>
        <w:rPr>
          <w:sz w:val="15"/>
        </w:rPr>
      </w:pPr>
    </w:p>
    <w:p>
      <w:pPr>
        <w:pStyle w:val="BodyText"/>
        <w:spacing w:line="417" w:lineRule="auto"/>
        <w:ind w:left="960" w:right="294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60" w:right="624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960"/>
      </w:pPr>
      <w:r>
        <w:rPr/>
        <w:t>联系人：胡静华</w:t>
      </w:r>
    </w:p>
    <w:p>
      <w:pPr>
        <w:pStyle w:val="BodyText"/>
        <w:spacing w:before="7"/>
        <w:rPr>
          <w:sz w:val="15"/>
        </w:rPr>
      </w:pPr>
    </w:p>
    <w:p>
      <w:pPr>
        <w:pStyle w:val="BodyText"/>
        <w:ind w:left="960"/>
        <w:rPr>
          <w:rFonts w:ascii="Times New Roman" w:eastAsia="Times New Roman"/>
        </w:rPr>
      </w:pPr>
      <w:r>
        <w:rPr/>
        <w:t>网址：</w:t>
      </w:r>
      <w:hyperlink r:id="rId85">
        <w:r>
          <w:rPr>
            <w:rFonts w:ascii="Times New Roman" w:eastAsia="Times New Roman"/>
          </w:rPr>
          <w:t>www.hgccpb.com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4000-555-671</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奕丰基金销售有限公司</w:t>
      </w:r>
    </w:p>
    <w:p>
      <w:pPr>
        <w:pStyle w:val="BodyText"/>
        <w:spacing w:before="6"/>
        <w:rPr>
          <w:sz w:val="15"/>
        </w:rPr>
      </w:pPr>
    </w:p>
    <w:p>
      <w:pPr>
        <w:pStyle w:val="BodyText"/>
        <w:spacing w:before="1"/>
        <w:ind w:left="96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7"/>
        </w:rPr>
        <w:t>栋 </w:t>
      </w:r>
      <w:r>
        <w:rPr>
          <w:rFonts w:ascii="Times New Roman" w:eastAsia="Times New Roman"/>
        </w:rPr>
        <w:t>201 </w:t>
      </w:r>
      <w:r>
        <w:rPr/>
        <w:t>室</w:t>
      </w:r>
    </w:p>
    <w:p>
      <w:pPr>
        <w:pStyle w:val="BodyText"/>
        <w:spacing w:before="6"/>
        <w:rPr>
          <w:sz w:val="15"/>
        </w:rPr>
      </w:pPr>
    </w:p>
    <w:p>
      <w:pPr>
        <w:pStyle w:val="BodyText"/>
        <w:spacing w:line="417" w:lineRule="auto"/>
        <w:ind w:left="960" w:right="200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960" w:right="624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ind w:left="960"/>
      </w:pPr>
      <w:r>
        <w:rPr/>
        <w:t>联系人：叶健</w:t>
      </w:r>
    </w:p>
    <w:p>
      <w:pPr>
        <w:pStyle w:val="BodyText"/>
        <w:spacing w:before="7"/>
        <w:rPr>
          <w:sz w:val="15"/>
        </w:rPr>
      </w:pPr>
    </w:p>
    <w:p>
      <w:pPr>
        <w:pStyle w:val="BodyText"/>
        <w:ind w:left="960"/>
        <w:rPr>
          <w:rFonts w:ascii="Times New Roman" w:eastAsia="Times New Roman"/>
        </w:rPr>
      </w:pPr>
      <w:r>
        <w:rPr/>
        <w:t>网址：</w:t>
      </w:r>
      <w:hyperlink r:id="rId86">
        <w:r>
          <w:rPr>
            <w:rFonts w:ascii="Times New Roman" w:eastAsia="Times New Roman"/>
          </w:rPr>
          <w:t>www.ifastps.com.cn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400-684-0500</w:t>
      </w:r>
    </w:p>
    <w:p>
      <w:pPr>
        <w:pStyle w:val="BodyText"/>
        <w:spacing w:before="4"/>
        <w:rPr>
          <w:rFonts w:ascii="Times New Roman"/>
          <w:sz w:val="17"/>
        </w:rPr>
      </w:pPr>
    </w:p>
    <w:p>
      <w:pPr>
        <w:pStyle w:val="ListParagraph"/>
        <w:numPr>
          <w:ilvl w:val="0"/>
          <w:numId w:val="8"/>
        </w:numPr>
        <w:tabs>
          <w:tab w:pos="1595" w:val="left" w:leader="none"/>
        </w:tabs>
        <w:spacing w:line="417" w:lineRule="auto" w:before="0" w:after="0"/>
        <w:ind w:left="960" w:right="392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960" w:right="206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960" w:right="634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960"/>
      </w:pPr>
      <w:r>
        <w:rPr/>
        <w:t>联系人：孙雯</w:t>
      </w:r>
    </w:p>
    <w:p>
      <w:pPr>
        <w:pStyle w:val="BodyText"/>
        <w:spacing w:before="6"/>
        <w:rPr>
          <w:sz w:val="15"/>
        </w:rPr>
      </w:pPr>
    </w:p>
    <w:p>
      <w:pPr>
        <w:pStyle w:val="BodyText"/>
        <w:ind w:left="960"/>
        <w:rPr>
          <w:rFonts w:ascii="Times New Roman" w:eastAsia="Times New Roman"/>
        </w:rPr>
      </w:pPr>
      <w:r>
        <w:rPr/>
        <w:t>网址：</w:t>
      </w:r>
      <w:hyperlink r:id="rId87">
        <w:r>
          <w:rPr>
            <w:rFonts w:ascii="Times New Roman" w:eastAsia="Times New Roman"/>
          </w:rPr>
          <w:t>www.jnlc.com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京东肯特瑞基金销售有限公司</w:t>
      </w:r>
    </w:p>
    <w:p>
      <w:pPr>
        <w:pStyle w:val="BodyText"/>
        <w:spacing w:before="7"/>
        <w:rPr>
          <w:sz w:val="15"/>
        </w:rPr>
      </w:pPr>
    </w:p>
    <w:p>
      <w:pPr>
        <w:pStyle w:val="BodyText"/>
        <w:ind w:left="96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4"/>
        <w:rPr>
          <w:rFonts w:ascii="Times New Roman"/>
          <w:sz w:val="17"/>
        </w:rPr>
      </w:pPr>
    </w:p>
    <w:p>
      <w:pPr>
        <w:pStyle w:val="BodyText"/>
        <w:ind w:left="960"/>
      </w:pPr>
      <w:r>
        <w:rPr/>
        <w:t>办公地址：北京市大兴区亦庄经济开发区科创十一街十八号院京东集团总部</w:t>
      </w:r>
    </w:p>
    <w:p>
      <w:pPr>
        <w:spacing w:after="0"/>
        <w:sectPr>
          <w:pgSz w:w="11910" w:h="16840"/>
          <w:pgMar w:header="877" w:footer="995" w:top="1420" w:bottom="1180" w:left="1260" w:right="1480"/>
        </w:sectPr>
      </w:pPr>
    </w:p>
    <w:p>
      <w:pPr>
        <w:pStyle w:val="BodyText"/>
        <w:spacing w:line="417" w:lineRule="auto" w:before="110"/>
        <w:ind w:left="960" w:right="6284"/>
        <w:rPr>
          <w:rFonts w:ascii="Times New Roman" w:eastAsia="Times New Roman"/>
        </w:rPr>
      </w:pPr>
      <w:r>
        <w:rPr/>
        <w:t>法定代表人：江卉电话：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960"/>
      </w:pPr>
      <w:r>
        <w:rPr/>
        <w:t>联系人：黄立影</w:t>
      </w:r>
    </w:p>
    <w:p>
      <w:pPr>
        <w:pStyle w:val="BodyText"/>
        <w:spacing w:before="6"/>
        <w:rPr>
          <w:sz w:val="15"/>
        </w:rPr>
      </w:pPr>
    </w:p>
    <w:p>
      <w:pPr>
        <w:pStyle w:val="BodyText"/>
        <w:ind w:left="960"/>
        <w:rPr>
          <w:rFonts w:ascii="Times New Roman" w:eastAsia="Times New Roman"/>
        </w:rPr>
      </w:pPr>
      <w:r>
        <w:rPr/>
        <w:t>网址：</w:t>
      </w:r>
      <w:hyperlink r:id="rId88">
        <w:r>
          <w:rPr>
            <w:rFonts w:ascii="Times New Roman" w:eastAsia="Times New Roman"/>
          </w:rPr>
          <w:t>http://fund.jd.com/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大连网金基金销售有限公司</w:t>
      </w:r>
    </w:p>
    <w:p>
      <w:pPr>
        <w:pStyle w:val="BodyText"/>
        <w:spacing w:before="8"/>
        <w:rPr>
          <w:sz w:val="15"/>
        </w:rPr>
      </w:pPr>
    </w:p>
    <w:p>
      <w:pPr>
        <w:pStyle w:val="BodyText"/>
        <w:ind w:left="96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ind w:left="96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line="417" w:lineRule="auto" w:before="1"/>
        <w:ind w:left="960" w:right="625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spacing w:line="269" w:lineRule="exact"/>
        <w:ind w:left="960"/>
      </w:pPr>
      <w:r>
        <w:rPr/>
        <w:t>联系人：王清臣</w:t>
      </w:r>
    </w:p>
    <w:p>
      <w:pPr>
        <w:pStyle w:val="BodyText"/>
        <w:spacing w:before="6"/>
        <w:rPr>
          <w:sz w:val="15"/>
        </w:rPr>
      </w:pPr>
    </w:p>
    <w:p>
      <w:pPr>
        <w:pStyle w:val="BodyText"/>
        <w:spacing w:line="417" w:lineRule="auto"/>
        <w:ind w:left="960" w:right="5421"/>
        <w:rPr>
          <w:rFonts w:ascii="Times New Roman" w:eastAsia="Times New Roman"/>
        </w:rPr>
      </w:pPr>
      <w:r>
        <w:rPr/>
        <w:t>网址：</w:t>
      </w:r>
      <w:hyperlink r:id="rId89">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96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7"/>
        <w:rPr>
          <w:sz w:val="15"/>
        </w:rPr>
      </w:pPr>
    </w:p>
    <w:p>
      <w:pPr>
        <w:pStyle w:val="BodyText"/>
        <w:spacing w:line="417" w:lineRule="auto"/>
        <w:ind w:left="960" w:right="169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ind w:left="960" w:right="634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ind w:left="960"/>
      </w:pPr>
      <w:r>
        <w:rPr/>
        <w:t>联系人：李娜</w:t>
      </w:r>
    </w:p>
    <w:p>
      <w:pPr>
        <w:pStyle w:val="BodyText"/>
        <w:spacing w:before="6"/>
        <w:rPr>
          <w:sz w:val="15"/>
        </w:rPr>
      </w:pPr>
    </w:p>
    <w:p>
      <w:pPr>
        <w:pStyle w:val="BodyText"/>
        <w:spacing w:before="1"/>
        <w:ind w:left="960"/>
        <w:rPr>
          <w:rFonts w:ascii="Times New Roman" w:eastAsia="Times New Roman"/>
        </w:rPr>
      </w:pPr>
      <w:r>
        <w:rPr/>
        <w:t>网址：</w:t>
      </w:r>
      <w:hyperlink r:id="rId90">
        <w:r>
          <w:rPr>
            <w:rFonts w:ascii="Times New Roman" w:eastAsia="Times New Roman"/>
          </w:rPr>
          <w:t>www.cmiwm.com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深圳市金斧子基金销售有限公司</w:t>
      </w:r>
    </w:p>
    <w:p>
      <w:pPr>
        <w:pStyle w:val="BodyText"/>
        <w:spacing w:before="6"/>
        <w:rPr>
          <w:sz w:val="15"/>
        </w:rPr>
      </w:pPr>
    </w:p>
    <w:p>
      <w:pPr>
        <w:pStyle w:val="BodyText"/>
        <w:ind w:left="96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4"/>
        <w:rPr>
          <w:rFonts w:ascii="Times New Roman"/>
          <w:sz w:val="17"/>
        </w:rPr>
      </w:pPr>
    </w:p>
    <w:p>
      <w:pPr>
        <w:pStyle w:val="BodyText"/>
        <w:ind w:left="96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3"/>
        <w:rPr>
          <w:rFonts w:ascii="Times New Roman"/>
          <w:sz w:val="17"/>
        </w:rPr>
      </w:pPr>
    </w:p>
    <w:p>
      <w:pPr>
        <w:pStyle w:val="BodyText"/>
        <w:ind w:left="540"/>
        <w:rPr>
          <w:rFonts w:ascii="Times New Roman" w:eastAsia="Times New Roman"/>
        </w:rPr>
      </w:pPr>
      <w:r>
        <w:rPr/>
        <w:t>层 </w:t>
      </w:r>
      <w:r>
        <w:rPr>
          <w:rFonts w:ascii="Times New Roman" w:eastAsia="Times New Roman"/>
        </w:rPr>
        <w:t>1108</w:t>
      </w:r>
    </w:p>
    <w:p>
      <w:pPr>
        <w:pStyle w:val="BodyText"/>
        <w:spacing w:before="4"/>
        <w:rPr>
          <w:rFonts w:ascii="Times New Roman"/>
          <w:sz w:val="17"/>
        </w:rPr>
      </w:pPr>
    </w:p>
    <w:p>
      <w:pPr>
        <w:pStyle w:val="BodyText"/>
        <w:spacing w:line="417" w:lineRule="auto"/>
        <w:ind w:left="960" w:right="6240"/>
        <w:rPr>
          <w:rFonts w:ascii="Times New Roman" w:eastAsia="Times New Roman"/>
        </w:rPr>
      </w:pPr>
      <w:r>
        <w:rPr/>
        <w:t>法定代表人：赖任军电话：</w:t>
      </w:r>
      <w:r>
        <w:rPr>
          <w:rFonts w:ascii="Times New Roman" w:eastAsia="Times New Roman"/>
        </w:rPr>
        <w:t>0755-84355914</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0755-26920530</w:t>
      </w:r>
    </w:p>
    <w:p>
      <w:pPr>
        <w:pStyle w:val="BodyText"/>
        <w:spacing w:before="3"/>
        <w:rPr>
          <w:rFonts w:ascii="Times New Roman"/>
          <w:sz w:val="17"/>
        </w:rPr>
      </w:pPr>
    </w:p>
    <w:p>
      <w:pPr>
        <w:pStyle w:val="BodyText"/>
        <w:ind w:left="960"/>
      </w:pPr>
      <w:r>
        <w:rPr/>
        <w:t>联系人：陈丽霞</w:t>
      </w:r>
    </w:p>
    <w:p>
      <w:pPr>
        <w:pStyle w:val="BodyText"/>
        <w:spacing w:before="7"/>
        <w:rPr>
          <w:sz w:val="15"/>
        </w:rPr>
      </w:pPr>
    </w:p>
    <w:p>
      <w:pPr>
        <w:pStyle w:val="BodyText"/>
        <w:ind w:left="960"/>
        <w:rPr>
          <w:rFonts w:ascii="Times New Roman" w:eastAsia="Times New Roman"/>
        </w:rPr>
      </w:pPr>
      <w:r>
        <w:rPr/>
        <w:t>网址：</w:t>
      </w:r>
      <w:hyperlink r:id="rId91">
        <w:r>
          <w:rPr>
            <w:rFonts w:ascii="Times New Roman" w:eastAsia="Times New Roman"/>
          </w:rPr>
          <w:t>www.jfzinv.com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400-9302-888</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北京蛋卷基金销售有限公司</w:t>
      </w:r>
    </w:p>
    <w:p>
      <w:pPr>
        <w:pStyle w:val="BodyText"/>
        <w:spacing w:before="6"/>
        <w:rPr>
          <w:sz w:val="15"/>
        </w:rPr>
      </w:pPr>
    </w:p>
    <w:p>
      <w:pPr>
        <w:pStyle w:val="BodyText"/>
        <w:spacing w:before="1"/>
        <w:ind w:left="96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96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pStyle w:val="BodyText"/>
        <w:spacing w:line="269" w:lineRule="exact"/>
        <w:ind w:left="960"/>
      </w:pPr>
      <w:r>
        <w:rPr/>
        <w:t>联系人：袁永姣</w:t>
      </w:r>
    </w:p>
    <w:p>
      <w:pPr>
        <w:pStyle w:val="BodyText"/>
        <w:spacing w:before="7"/>
        <w:rPr>
          <w:sz w:val="15"/>
        </w:rPr>
      </w:pPr>
    </w:p>
    <w:p>
      <w:pPr>
        <w:pStyle w:val="BodyText"/>
        <w:spacing w:line="417" w:lineRule="auto"/>
        <w:ind w:left="960" w:right="554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上海中欧财富基金销售有限公司</w:t>
      </w:r>
    </w:p>
    <w:p>
      <w:pPr>
        <w:pStyle w:val="BodyText"/>
        <w:spacing w:before="7"/>
        <w:rPr>
          <w:sz w:val="15"/>
        </w:rPr>
      </w:pPr>
    </w:p>
    <w:p>
      <w:pPr>
        <w:pStyle w:val="BodyText"/>
        <w:spacing w:line="417" w:lineRule="auto"/>
        <w:ind w:left="960" w:right="2414"/>
      </w:pPr>
      <w:r>
        <w:rPr>
          <w:spacing w:val="-2"/>
        </w:rPr>
        <w:t>住所：中国</w:t>
      </w:r>
      <w:r>
        <w:rPr/>
        <w:t>（</w:t>
      </w:r>
      <w:r>
        <w:rPr>
          <w:spacing w:val="-2"/>
        </w:rPr>
        <w:t>上海</w:t>
      </w:r>
      <w:r>
        <w:rPr>
          <w:spacing w:val="-3"/>
        </w:rPr>
        <w:t>）</w:t>
      </w:r>
      <w:r>
        <w:rPr>
          <w:spacing w:val="-7"/>
        </w:rPr>
        <w:t>自由贸易试验区陆家嘴环路 </w:t>
      </w:r>
      <w:r>
        <w:rPr>
          <w:rFonts w:ascii="Times New Roman" w:eastAsia="Times New Roman"/>
        </w:rPr>
        <w:t>333</w:t>
      </w:r>
      <w:r>
        <w:rPr>
          <w:rFonts w:ascii="Times New Roman" w:eastAsia="Times New Roman"/>
          <w:spacing w:val="5"/>
        </w:rPr>
        <w:t> </w:t>
      </w:r>
      <w:r>
        <w:rPr>
          <w:spacing w:val="-24"/>
        </w:rPr>
        <w:t>号 </w:t>
      </w:r>
      <w:r>
        <w:rPr>
          <w:rFonts w:ascii="Times New Roman" w:eastAsia="Times New Roman"/>
        </w:rPr>
        <w:t>729S</w:t>
      </w:r>
      <w:r>
        <w:rPr>
          <w:rFonts w:ascii="Times New Roman" w:eastAsia="Times New Roman"/>
          <w:spacing w:val="3"/>
        </w:rPr>
        <w:t> </w:t>
      </w:r>
      <w:r>
        <w:rPr/>
        <w:t>室</w:t>
      </w:r>
      <w:r>
        <w:rPr>
          <w:spacing w:val="-7"/>
        </w:rPr>
        <w:t>办公地址：上海市虹口区公平路 </w:t>
      </w:r>
      <w:r>
        <w:rPr>
          <w:rFonts w:ascii="Times New Roman" w:eastAsia="Times New Roman"/>
        </w:rPr>
        <w:t>18</w:t>
      </w:r>
      <w:r>
        <w:rPr>
          <w:rFonts w:ascii="Times New Roman" w:eastAsia="Times New Roman"/>
          <w:spacing w:val="-2"/>
        </w:rPr>
        <w:t> </w:t>
      </w:r>
      <w:r>
        <w:rPr>
          <w:spacing w:val="-26"/>
        </w:rPr>
        <w:t>号 </w:t>
      </w:r>
      <w:r>
        <w:rPr>
          <w:rFonts w:ascii="Times New Roman" w:eastAsia="Times New Roman"/>
        </w:rPr>
        <w:t>8</w:t>
      </w:r>
      <w:r>
        <w:rPr>
          <w:rFonts w:ascii="Times New Roman" w:eastAsia="Times New Roman"/>
          <w:spacing w:val="-2"/>
        </w:rPr>
        <w:t> </w:t>
      </w:r>
      <w:r>
        <w:rPr>
          <w:spacing w:val="-11"/>
        </w:rPr>
        <w:t>栋嘉昱大厦 </w:t>
      </w:r>
      <w:r>
        <w:rPr>
          <w:rFonts w:ascii="Times New Roman" w:eastAsia="Times New Roman"/>
        </w:rPr>
        <w:t>6</w:t>
      </w:r>
      <w:r>
        <w:rPr>
          <w:rFonts w:ascii="Times New Roman" w:eastAsia="Times New Roman"/>
          <w:spacing w:val="1"/>
        </w:rPr>
        <w:t> </w:t>
      </w:r>
      <w:r>
        <w:rPr/>
        <w:t>层</w:t>
      </w:r>
    </w:p>
    <w:p>
      <w:pPr>
        <w:pStyle w:val="BodyText"/>
        <w:spacing w:line="269" w:lineRule="exact"/>
        <w:ind w:left="960"/>
      </w:pPr>
      <w:r>
        <w:rPr/>
        <w:t>法定代表人：许欣</w:t>
      </w:r>
    </w:p>
    <w:p>
      <w:pPr>
        <w:pStyle w:val="BodyText"/>
        <w:spacing w:before="7"/>
        <w:rPr>
          <w:sz w:val="15"/>
        </w:rPr>
      </w:pPr>
    </w:p>
    <w:p>
      <w:pPr>
        <w:pStyle w:val="BodyText"/>
        <w:spacing w:line="417" w:lineRule="auto"/>
        <w:ind w:left="960" w:right="585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spacing w:line="269" w:lineRule="exact"/>
        <w:ind w:left="960"/>
      </w:pPr>
      <w:r>
        <w:rPr/>
        <w:t>联系人：黎静</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92">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天津万家财富资产管理有限公司</w:t>
      </w:r>
    </w:p>
    <w:p>
      <w:pPr>
        <w:pStyle w:val="BodyText"/>
        <w:spacing w:before="6"/>
        <w:rPr>
          <w:sz w:val="15"/>
        </w:rPr>
      </w:pPr>
    </w:p>
    <w:p>
      <w:pPr>
        <w:pStyle w:val="BodyText"/>
        <w:ind w:left="96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spacing w:before="7"/>
        <w:rPr>
          <w:sz w:val="15"/>
        </w:rPr>
      </w:pPr>
    </w:p>
    <w:p>
      <w:pPr>
        <w:pStyle w:val="BodyText"/>
        <w:spacing w:line="417" w:lineRule="auto"/>
        <w:ind w:left="960" w:right="263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pStyle w:val="BodyText"/>
        <w:spacing w:line="417" w:lineRule="auto"/>
        <w:ind w:left="960" w:right="634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ind w:left="960"/>
      </w:pPr>
      <w:r>
        <w:rPr/>
        <w:t>联系人：邵玉磊</w:t>
      </w:r>
    </w:p>
    <w:p>
      <w:pPr>
        <w:pStyle w:val="BodyText"/>
        <w:spacing w:before="7"/>
        <w:rPr>
          <w:sz w:val="15"/>
        </w:rPr>
      </w:pPr>
    </w:p>
    <w:p>
      <w:pPr>
        <w:pStyle w:val="BodyText"/>
        <w:ind w:left="960"/>
        <w:rPr>
          <w:rFonts w:ascii="Times New Roman" w:eastAsia="Times New Roman"/>
        </w:rPr>
      </w:pPr>
      <w:r>
        <w:rPr/>
        <w:t>网址：</w:t>
      </w:r>
      <w:hyperlink r:id="rId93">
        <w:r>
          <w:rPr>
            <w:rFonts w:ascii="Times New Roman" w:eastAsia="Times New Roman"/>
          </w:rPr>
          <w:t>www.wanjiawealth.com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010-59013842</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上海华夏财富投资管理有限公司</w:t>
      </w:r>
    </w:p>
    <w:p>
      <w:pPr>
        <w:pStyle w:val="BodyText"/>
        <w:spacing w:before="7"/>
        <w:rPr>
          <w:sz w:val="15"/>
        </w:rPr>
      </w:pPr>
    </w:p>
    <w:p>
      <w:pPr>
        <w:pStyle w:val="BodyText"/>
        <w:ind w:left="96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6"/>
        <w:rPr>
          <w:sz w:val="15"/>
        </w:rPr>
      </w:pPr>
    </w:p>
    <w:p>
      <w:pPr>
        <w:pStyle w:val="BodyText"/>
        <w:spacing w:line="417" w:lineRule="auto" w:before="1"/>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60" w:right="634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ind w:left="960"/>
      </w:pPr>
      <w:r>
        <w:rPr/>
        <w:t>联系人：张静怡</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94">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中信期货有限公司</w:t>
      </w:r>
    </w:p>
    <w:p>
      <w:pPr>
        <w:pStyle w:val="BodyText"/>
        <w:spacing w:before="7"/>
        <w:rPr>
          <w:sz w:val="15"/>
        </w:rPr>
      </w:pPr>
    </w:p>
    <w:p>
      <w:pPr>
        <w:pStyle w:val="BodyText"/>
        <w:spacing w:line="417" w:lineRule="auto"/>
        <w:ind w:left="960" w:right="31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BodyText"/>
        <w:spacing w:line="269" w:lineRule="exact"/>
        <w:ind w:left="540"/>
      </w:pPr>
      <w:r>
        <w:rPr>
          <w:rFonts w:ascii="Times New Roman" w:eastAsia="Times New Roman"/>
        </w:rPr>
        <w:t>14 </w:t>
      </w:r>
      <w:r>
        <w:rPr/>
        <w:t>层</w:t>
      </w:r>
    </w:p>
    <w:p>
      <w:pPr>
        <w:pStyle w:val="BodyText"/>
        <w:spacing w:before="7"/>
        <w:rPr>
          <w:sz w:val="15"/>
        </w:rPr>
      </w:pPr>
    </w:p>
    <w:p>
      <w:pPr>
        <w:pStyle w:val="BodyText"/>
        <w:spacing w:line="417" w:lineRule="auto"/>
        <w:ind w:left="960" w:right="618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line="269" w:lineRule="exact"/>
        <w:ind w:left="960"/>
      </w:pPr>
      <w:r>
        <w:rPr/>
        <w:t>联系人：刘宏莹</w:t>
      </w:r>
    </w:p>
    <w:p>
      <w:pPr>
        <w:pStyle w:val="BodyText"/>
        <w:spacing w:before="7"/>
        <w:rPr>
          <w:sz w:val="15"/>
        </w:rPr>
      </w:pPr>
    </w:p>
    <w:p>
      <w:pPr>
        <w:pStyle w:val="BodyText"/>
        <w:ind w:left="960"/>
        <w:rPr>
          <w:rFonts w:ascii="Times New Roman" w:eastAsia="Times New Roman"/>
        </w:rPr>
      </w:pPr>
      <w:r>
        <w:rPr/>
        <w:t>网址：</w:t>
      </w:r>
      <w:hyperlink r:id="rId95">
        <w:r>
          <w:rPr>
            <w:rFonts w:ascii="Times New Roman" w:eastAsia="Times New Roman"/>
          </w:rPr>
          <w:t>www.citicsf.com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400-990-8826</w:t>
      </w:r>
    </w:p>
    <w:p>
      <w:pPr>
        <w:pStyle w:val="BodyText"/>
        <w:spacing w:before="4"/>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960" w:right="4464"/>
      </w:pPr>
      <w:r>
        <w:rPr/>
        <w:t>办公地址：南京市中华路 </w:t>
      </w:r>
      <w:r>
        <w:rPr>
          <w:rFonts w:ascii="Times New Roman" w:eastAsia="Times New Roman"/>
        </w:rPr>
        <w:t>50 </w:t>
      </w:r>
      <w:r>
        <w:rPr/>
        <w:t>号弘业大厦法定代表人：周剑秋</w:t>
      </w:r>
    </w:p>
    <w:p>
      <w:pPr>
        <w:pStyle w:val="BodyText"/>
        <w:spacing w:line="417" w:lineRule="auto"/>
        <w:ind w:left="960" w:right="634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960"/>
      </w:pPr>
      <w:r>
        <w:rPr/>
        <w:t>联系人：张苏怡</w:t>
      </w:r>
    </w:p>
    <w:p>
      <w:pPr>
        <w:pStyle w:val="BodyText"/>
        <w:spacing w:before="6"/>
        <w:rPr>
          <w:sz w:val="15"/>
        </w:rPr>
      </w:pPr>
    </w:p>
    <w:p>
      <w:pPr>
        <w:pStyle w:val="BodyText"/>
        <w:spacing w:before="1"/>
        <w:ind w:left="960"/>
        <w:rPr>
          <w:rFonts w:ascii="Times New Roman" w:eastAsia="Times New Roman"/>
        </w:rPr>
      </w:pPr>
      <w:r>
        <w:rPr/>
        <w:t>网址：</w:t>
      </w:r>
      <w:hyperlink r:id="rId96">
        <w:r>
          <w:rPr>
            <w:rFonts w:ascii="Times New Roman" w:eastAsia="Times New Roman"/>
          </w:rPr>
          <w:t>www.ftol.com.cn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国泰君安证券股份有限公司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住所：中国（上海）自由贸易试验区商城路 </w:t>
      </w:r>
      <w:r>
        <w:rPr>
          <w:rFonts w:ascii="Times New Roman" w:eastAsia="Times New Roman"/>
        </w:rPr>
        <w:t>618 </w:t>
      </w:r>
      <w:r>
        <w:rPr/>
        <w:t>号</w:t>
      </w:r>
    </w:p>
    <w:p>
      <w:pPr>
        <w:pStyle w:val="BodyText"/>
        <w:spacing w:before="6"/>
        <w:rPr>
          <w:sz w:val="15"/>
        </w:rPr>
      </w:pPr>
    </w:p>
    <w:p>
      <w:pPr>
        <w:pStyle w:val="BodyText"/>
        <w:spacing w:line="417" w:lineRule="auto"/>
        <w:ind w:left="960" w:right="3097"/>
      </w:pPr>
      <w:r>
        <w:rPr/>
        <w:t>办公地址：上海市静安区南京西路 </w:t>
      </w:r>
      <w:r>
        <w:rPr>
          <w:rFonts w:ascii="Times New Roman" w:eastAsia="Times New Roman"/>
        </w:rPr>
        <w:t>768 </w:t>
      </w:r>
      <w:r>
        <w:rPr/>
        <w:t>号国泰君安大厦法定代表人：贺青</w:t>
      </w:r>
    </w:p>
    <w:p>
      <w:pPr>
        <w:pStyle w:val="BodyText"/>
        <w:spacing w:line="417" w:lineRule="auto"/>
        <w:ind w:left="960" w:right="634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960"/>
      </w:pPr>
      <w:r>
        <w:rPr/>
        <w:t>联系人：黄博铭</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97">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中信建投证券股份有限公司</w:t>
      </w:r>
    </w:p>
    <w:p>
      <w:pPr>
        <w:pStyle w:val="BodyText"/>
        <w:spacing w:before="7"/>
        <w:rPr>
          <w:sz w:val="15"/>
        </w:rPr>
      </w:pPr>
    </w:p>
    <w:p>
      <w:pPr>
        <w:pStyle w:val="BodyText"/>
        <w:ind w:left="96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6"/>
        <w:rPr>
          <w:sz w:val="15"/>
        </w:rPr>
      </w:pPr>
    </w:p>
    <w:p>
      <w:pPr>
        <w:pStyle w:val="BodyText"/>
        <w:spacing w:line="417" w:lineRule="auto" w:before="1"/>
        <w:ind w:left="960" w:right="462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ind w:left="960"/>
      </w:pPr>
      <w:r>
        <w:rPr/>
        <w:t>联系人：权唐</w:t>
      </w:r>
    </w:p>
    <w:p>
      <w:pPr>
        <w:pStyle w:val="BodyText"/>
        <w:spacing w:before="6"/>
        <w:rPr>
          <w:sz w:val="15"/>
        </w:rPr>
      </w:pPr>
    </w:p>
    <w:p>
      <w:pPr>
        <w:pStyle w:val="BodyText"/>
        <w:ind w:left="960"/>
        <w:rPr>
          <w:rFonts w:ascii="Times New Roman" w:eastAsia="Times New Roman"/>
        </w:rPr>
      </w:pPr>
      <w:r>
        <w:rPr/>
        <w:t>网址：</w:t>
      </w:r>
      <w:hyperlink r:id="rId98">
        <w:r>
          <w:rPr>
            <w:rFonts w:ascii="Times New Roman" w:eastAsia="Times New Roman"/>
          </w:rPr>
          <w:t>www.csc108.com</w:t>
        </w:r>
      </w:hyperlink>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国信证券股份有限公司</w:t>
      </w:r>
    </w:p>
    <w:p>
      <w:pPr>
        <w:pStyle w:val="BodyText"/>
        <w:spacing w:before="6"/>
        <w:rPr>
          <w:sz w:val="15"/>
        </w:rPr>
      </w:pPr>
    </w:p>
    <w:p>
      <w:pPr>
        <w:pStyle w:val="BodyText"/>
        <w:ind w:left="960"/>
      </w:pPr>
      <w:r>
        <w:rPr/>
        <w:t>住所：深圳市罗湖区红岭中路 </w:t>
      </w:r>
      <w:r>
        <w:rPr>
          <w:rFonts w:ascii="Times New Roman" w:eastAsia="Times New Roman"/>
        </w:rPr>
        <w:t>1012 </w:t>
      </w:r>
      <w:r>
        <w:rPr/>
        <w:t>号国信证券大厦十六层至二十六层</w:t>
      </w:r>
    </w:p>
    <w:p>
      <w:pPr>
        <w:pStyle w:val="BodyText"/>
        <w:spacing w:before="7"/>
        <w:rPr>
          <w:sz w:val="15"/>
        </w:rPr>
      </w:pPr>
    </w:p>
    <w:p>
      <w:pPr>
        <w:pStyle w:val="BodyText"/>
        <w:spacing w:line="417" w:lineRule="auto"/>
        <w:ind w:left="960" w:right="1313"/>
      </w:pPr>
      <w:r>
        <w:rPr/>
        <w:t>办公地址：深圳市罗湖区红岭中路 </w:t>
      </w:r>
      <w:r>
        <w:rPr>
          <w:rFonts w:ascii="Times New Roman" w:eastAsia="Times New Roman"/>
        </w:rPr>
        <w:t>1012 </w:t>
      </w:r>
      <w:r>
        <w:rPr/>
        <w:t>号国信证券大厦十六层至二十六层法定代表人：何如</w:t>
      </w:r>
    </w:p>
    <w:p>
      <w:pPr>
        <w:pStyle w:val="BodyText"/>
        <w:spacing w:line="417" w:lineRule="auto"/>
        <w:ind w:left="960" w:right="624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ind w:left="960"/>
      </w:pPr>
      <w:r>
        <w:rPr/>
        <w:t>联系人：李颖</w:t>
      </w:r>
    </w:p>
    <w:p>
      <w:pPr>
        <w:pStyle w:val="BodyText"/>
        <w:spacing w:before="7"/>
        <w:rPr>
          <w:sz w:val="15"/>
        </w:rPr>
      </w:pPr>
    </w:p>
    <w:p>
      <w:pPr>
        <w:pStyle w:val="BodyText"/>
        <w:spacing w:line="417" w:lineRule="auto"/>
        <w:ind w:left="960" w:right="5775"/>
        <w:rPr>
          <w:rFonts w:ascii="Times New Roman" w:eastAsia="Times New Roman"/>
        </w:rPr>
      </w:pPr>
      <w:r>
        <w:rPr/>
        <w:t>网址：</w:t>
      </w:r>
      <w:hyperlink r:id="rId99">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招商证券股份有限公司</w:t>
      </w:r>
    </w:p>
    <w:p>
      <w:pPr>
        <w:pStyle w:val="BodyText"/>
        <w:spacing w:before="6"/>
        <w:rPr>
          <w:sz w:val="15"/>
        </w:rPr>
      </w:pPr>
    </w:p>
    <w:p>
      <w:pPr>
        <w:pStyle w:val="BodyText"/>
        <w:ind w:left="960"/>
      </w:pPr>
      <w:r>
        <w:rPr/>
        <w:t>住所：深圳市福田区福田街道福华一路 </w:t>
      </w:r>
      <w:r>
        <w:rPr>
          <w:rFonts w:ascii="Times New Roman" w:eastAsia="Times New Roman"/>
        </w:rPr>
        <w:t>111 </w:t>
      </w:r>
      <w:r>
        <w:rPr/>
        <w:t>号</w:t>
      </w:r>
    </w:p>
    <w:p>
      <w:pPr>
        <w:pStyle w:val="BodyText"/>
        <w:spacing w:before="7"/>
        <w:rPr>
          <w:sz w:val="15"/>
        </w:rPr>
      </w:pPr>
    </w:p>
    <w:p>
      <w:pPr>
        <w:pStyle w:val="BodyText"/>
        <w:spacing w:line="417" w:lineRule="auto"/>
        <w:ind w:left="960" w:right="3526"/>
      </w:pPr>
      <w:r>
        <w:rPr/>
        <w:t>办公地址：深圳市福田区福田街道福华一路 </w:t>
      </w:r>
      <w:r>
        <w:rPr>
          <w:rFonts w:ascii="Times New Roman" w:eastAsia="Times New Roman"/>
        </w:rPr>
        <w:t>111 </w:t>
      </w:r>
      <w:r>
        <w:rPr/>
        <w:t>号法定代表人：霍达</w:t>
      </w:r>
    </w:p>
    <w:p>
      <w:pPr>
        <w:pStyle w:val="BodyText"/>
        <w:ind w:left="960"/>
        <w:rPr>
          <w:rFonts w:ascii="Times New Roman" w:eastAsia="Times New Roman"/>
        </w:rPr>
      </w:pPr>
      <w:r>
        <w:rPr/>
        <w:t>电话：</w:t>
      </w:r>
      <w:r>
        <w:rPr>
          <w:rFonts w:ascii="Times New Roman" w:eastAsia="Times New Roman"/>
        </w:rPr>
        <w:t>0755-82943666</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0755-82943636</w:t>
      </w:r>
    </w:p>
    <w:p>
      <w:pPr>
        <w:pStyle w:val="BodyText"/>
        <w:spacing w:before="3"/>
        <w:rPr>
          <w:rFonts w:ascii="Times New Roman"/>
          <w:sz w:val="17"/>
        </w:rPr>
      </w:pPr>
    </w:p>
    <w:p>
      <w:pPr>
        <w:pStyle w:val="BodyText"/>
        <w:ind w:left="960"/>
      </w:pPr>
      <w:r>
        <w:rPr/>
        <w:t>联系人：黄健</w:t>
      </w:r>
    </w:p>
    <w:p>
      <w:pPr>
        <w:pStyle w:val="BodyText"/>
        <w:spacing w:before="7"/>
        <w:rPr>
          <w:sz w:val="15"/>
        </w:rPr>
      </w:pPr>
    </w:p>
    <w:p>
      <w:pPr>
        <w:pStyle w:val="BodyText"/>
        <w:spacing w:line="417" w:lineRule="auto"/>
        <w:ind w:left="960" w:right="5717"/>
        <w:rPr>
          <w:rFonts w:ascii="Times New Roman" w:eastAsia="Times New Roman"/>
        </w:rPr>
      </w:pPr>
      <w:r>
        <w:rPr/>
        <w:t>网址：</w:t>
      </w:r>
      <w:hyperlink r:id="rId100">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广发证券股份有限公司</w:t>
      </w:r>
    </w:p>
    <w:p>
      <w:pPr>
        <w:pStyle w:val="BodyText"/>
        <w:spacing w:before="6"/>
        <w:rPr>
          <w:sz w:val="15"/>
        </w:rPr>
      </w:pPr>
    </w:p>
    <w:p>
      <w:pPr>
        <w:pStyle w:val="BodyText"/>
        <w:spacing w:before="1"/>
        <w:ind w:left="96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6"/>
        <w:rPr>
          <w:sz w:val="15"/>
        </w:rPr>
      </w:pPr>
    </w:p>
    <w:p>
      <w:pPr>
        <w:pStyle w:val="BodyText"/>
        <w:spacing w:line="417" w:lineRule="auto"/>
        <w:ind w:left="960" w:right="294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before="1"/>
        <w:ind w:left="960" w:right="634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960"/>
      </w:pPr>
      <w:r>
        <w:rPr/>
        <w:t>联系人：陈姗姗</w:t>
      </w:r>
    </w:p>
    <w:p>
      <w:pPr>
        <w:pStyle w:val="BodyText"/>
        <w:spacing w:before="6"/>
        <w:rPr>
          <w:sz w:val="15"/>
        </w:rPr>
      </w:pPr>
    </w:p>
    <w:p>
      <w:pPr>
        <w:pStyle w:val="BodyText"/>
        <w:ind w:left="960"/>
        <w:rPr>
          <w:rFonts w:ascii="Times New Roman" w:eastAsia="Times New Roman"/>
        </w:rPr>
      </w:pPr>
      <w:r>
        <w:rPr/>
        <w:t>网址：</w:t>
      </w:r>
      <w:hyperlink r:id="rId101">
        <w:r>
          <w:rPr>
            <w:rFonts w:ascii="Times New Roman" w:eastAsia="Times New Roman"/>
          </w:rPr>
          <w:t>www.gf.com.cn</w:t>
        </w:r>
      </w:hyperlink>
    </w:p>
    <w:p>
      <w:pPr>
        <w:pStyle w:val="BodyText"/>
        <w:spacing w:before="4"/>
        <w:rPr>
          <w:rFonts w:ascii="Times New Roman"/>
          <w:sz w:val="17"/>
        </w:rPr>
      </w:pPr>
    </w:p>
    <w:p>
      <w:pPr>
        <w:pStyle w:val="BodyText"/>
        <w:ind w:left="960"/>
      </w:pPr>
      <w:r>
        <w:rPr/>
        <w:t>客户服务电话：</w:t>
      </w:r>
      <w:r>
        <w:rPr>
          <w:rFonts w:ascii="Times New Roman" w:eastAsia="Times New Roman"/>
        </w:rPr>
        <w:t>95575 </w:t>
      </w:r>
      <w:r>
        <w:rPr/>
        <w:t>或致电各地营业网点</w:t>
      </w:r>
    </w:p>
    <w:p>
      <w:pPr>
        <w:pStyle w:val="BodyText"/>
        <w:spacing w:before="6"/>
        <w:rPr>
          <w:sz w:val="15"/>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中信证券股份有限公司</w:t>
      </w:r>
    </w:p>
    <w:p>
      <w:pPr>
        <w:pStyle w:val="BodyText"/>
        <w:spacing w:before="7"/>
        <w:rPr>
          <w:sz w:val="15"/>
        </w:rPr>
      </w:pPr>
    </w:p>
    <w:p>
      <w:pPr>
        <w:pStyle w:val="BodyText"/>
        <w:ind w:left="960"/>
      </w:pPr>
      <w:r>
        <w:rPr/>
        <w:t>住所：广东省深圳市福田区中心三路 </w:t>
      </w:r>
      <w:r>
        <w:rPr>
          <w:rFonts w:ascii="Times New Roman" w:eastAsia="Times New Roman"/>
        </w:rPr>
        <w:t>8 </w:t>
      </w:r>
      <w:r>
        <w:rPr/>
        <w:t>号卓越时代广场（二期）北座</w:t>
      </w:r>
    </w:p>
    <w:p>
      <w:pPr>
        <w:pStyle w:val="BodyText"/>
        <w:spacing w:before="6"/>
        <w:rPr>
          <w:sz w:val="15"/>
        </w:rPr>
      </w:pPr>
    </w:p>
    <w:p>
      <w:pPr>
        <w:pStyle w:val="BodyText"/>
        <w:spacing w:line="417" w:lineRule="auto" w:before="1"/>
        <w:ind w:left="960" w:right="320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960" w:right="634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960"/>
      </w:pPr>
      <w:r>
        <w:rPr/>
        <w:t>联系人：郑慧</w:t>
      </w:r>
    </w:p>
    <w:p>
      <w:pPr>
        <w:pStyle w:val="BodyText"/>
        <w:spacing w:before="6"/>
        <w:rPr>
          <w:sz w:val="15"/>
        </w:rPr>
      </w:pPr>
    </w:p>
    <w:p>
      <w:pPr>
        <w:pStyle w:val="BodyText"/>
        <w:spacing w:line="417" w:lineRule="auto"/>
        <w:ind w:left="960" w:right="5938"/>
        <w:rPr>
          <w:rFonts w:ascii="Times New Roman" w:eastAsia="Times New Roman"/>
        </w:rPr>
      </w:pPr>
      <w:r>
        <w:rPr/>
        <w:t>网址：</w:t>
      </w:r>
      <w:hyperlink r:id="rId102">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中国银河证券股份有限公司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ind w:left="960" w:right="281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17" w:lineRule="auto"/>
        <w:ind w:left="960" w:right="634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ind w:left="960"/>
      </w:pPr>
      <w:r>
        <w:rPr/>
        <w:t>联系人：辛国政</w:t>
      </w:r>
    </w:p>
    <w:p>
      <w:pPr>
        <w:pStyle w:val="BodyText"/>
        <w:spacing w:before="6"/>
        <w:rPr>
          <w:sz w:val="15"/>
        </w:rPr>
      </w:pPr>
    </w:p>
    <w:p>
      <w:pPr>
        <w:pStyle w:val="BodyText"/>
        <w:ind w:left="960"/>
        <w:rPr>
          <w:rFonts w:ascii="Times New Roman" w:eastAsia="Times New Roman"/>
        </w:rPr>
      </w:pPr>
      <w:r>
        <w:rPr/>
        <w:t>网址：</w:t>
      </w:r>
      <w:hyperlink r:id="rId103">
        <w:r>
          <w:rPr>
            <w:rFonts w:ascii="Times New Roman" w:eastAsia="Times New Roman"/>
          </w:rPr>
          <w:t>www.chinastock.com.cn</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海通证券股份有限公司</w:t>
      </w:r>
    </w:p>
    <w:p>
      <w:pPr>
        <w:pStyle w:val="BodyText"/>
        <w:spacing w:before="7"/>
        <w:rPr>
          <w:sz w:val="15"/>
        </w:rPr>
      </w:pPr>
    </w:p>
    <w:p>
      <w:pPr>
        <w:pStyle w:val="BodyText"/>
        <w:ind w:left="960"/>
      </w:pPr>
      <w:r>
        <w:rPr/>
        <w:t>住所：上海市黄浦区广东路 </w:t>
      </w:r>
      <w:r>
        <w:rPr>
          <w:rFonts w:ascii="Times New Roman" w:eastAsia="Times New Roman"/>
        </w:rPr>
        <w:t>689 </w:t>
      </w:r>
      <w:r>
        <w:rPr/>
        <w:t>号</w:t>
      </w:r>
    </w:p>
    <w:p>
      <w:pPr>
        <w:pStyle w:val="BodyText"/>
        <w:spacing w:before="6"/>
        <w:rPr>
          <w:sz w:val="15"/>
        </w:rPr>
      </w:pPr>
    </w:p>
    <w:p>
      <w:pPr>
        <w:pStyle w:val="BodyText"/>
        <w:spacing w:line="417" w:lineRule="auto" w:before="1"/>
        <w:ind w:left="960" w:right="4568"/>
      </w:pPr>
      <w:r>
        <w:rPr/>
        <w:t>办公地址：上海市黄浦区广东路 </w:t>
      </w:r>
      <w:r>
        <w:rPr>
          <w:rFonts w:ascii="Times New Roman" w:eastAsia="Times New Roman"/>
        </w:rPr>
        <w:t>689 </w:t>
      </w:r>
      <w:r>
        <w:rPr/>
        <w:t>号法定代表人：周杰</w:t>
      </w:r>
    </w:p>
    <w:p>
      <w:pPr>
        <w:pStyle w:val="BodyText"/>
        <w:spacing w:line="417" w:lineRule="auto"/>
        <w:ind w:left="960" w:right="634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960" w:right="6101"/>
        <w:rPr>
          <w:rFonts w:ascii="Times New Roman" w:eastAsia="Times New Roman"/>
        </w:rPr>
      </w:pPr>
      <w:r>
        <w:rPr/>
        <w:t>联系人：金芸、李笑鸣网址：</w:t>
      </w:r>
      <w:hyperlink r:id="rId104">
        <w:r>
          <w:rPr>
            <w:rFonts w:ascii="Times New Roman" w:eastAsia="Times New Roman"/>
          </w:rPr>
          <w:t>www.htsec.com</w:t>
        </w:r>
      </w:hyperlink>
    </w:p>
    <w:p>
      <w:pPr>
        <w:pStyle w:val="BodyText"/>
        <w:spacing w:line="269" w:lineRule="exact"/>
        <w:ind w:left="96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申万宏源证券有限公司</w:t>
      </w:r>
    </w:p>
    <w:p>
      <w:pPr>
        <w:pStyle w:val="BodyText"/>
        <w:spacing w:before="7"/>
        <w:rPr>
          <w:sz w:val="15"/>
        </w:rPr>
      </w:pPr>
    </w:p>
    <w:p>
      <w:pPr>
        <w:pStyle w:val="BodyText"/>
        <w:ind w:left="96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6"/>
        <w:rPr>
          <w:sz w:val="15"/>
        </w:rPr>
      </w:pPr>
    </w:p>
    <w:p>
      <w:pPr>
        <w:pStyle w:val="BodyText"/>
        <w:spacing w:line="417" w:lineRule="auto" w:before="1"/>
        <w:ind w:left="960" w:right="305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960" w:right="634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960"/>
      </w:pPr>
      <w:r>
        <w:rPr/>
        <w:t>联系人：陈宇</w:t>
      </w:r>
    </w:p>
    <w:p>
      <w:pPr>
        <w:pStyle w:val="BodyText"/>
        <w:spacing w:before="6"/>
        <w:rPr>
          <w:sz w:val="15"/>
        </w:rPr>
      </w:pPr>
    </w:p>
    <w:p>
      <w:pPr>
        <w:pStyle w:val="BodyText"/>
        <w:ind w:left="960"/>
        <w:rPr>
          <w:rFonts w:ascii="Times New Roman" w:eastAsia="Times New Roman"/>
        </w:rPr>
      </w:pPr>
      <w:r>
        <w:rPr/>
        <w:t>网址：</w:t>
      </w:r>
      <w:hyperlink r:id="rId105">
        <w:r>
          <w:rPr>
            <w:rFonts w:ascii="Times New Roman" w:eastAsia="Times New Roman"/>
          </w:rPr>
          <w:t>www.swhysc.com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8"/>
        </w:numPr>
        <w:tabs>
          <w:tab w:pos="1595" w:val="left" w:leader="none"/>
        </w:tabs>
        <w:spacing w:line="417" w:lineRule="auto" w:before="0" w:after="0"/>
        <w:ind w:left="960" w:right="5470" w:firstLine="0"/>
        <w:jc w:val="left"/>
        <w:rPr>
          <w:sz w:val="21"/>
        </w:rPr>
      </w:pPr>
      <w:r>
        <w:rPr>
          <w:spacing w:val="-5"/>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17" w:lineRule="auto" w:before="1"/>
        <w:ind w:left="960" w:right="4463"/>
      </w:pPr>
      <w:r>
        <w:rPr/>
        <w:t>办公地址：上海市浦东新区长柳路 </w:t>
      </w:r>
      <w:r>
        <w:rPr>
          <w:rFonts w:ascii="Times New Roman" w:eastAsia="Times New Roman"/>
        </w:rPr>
        <w:t>36 </w:t>
      </w:r>
      <w:r>
        <w:rPr/>
        <w:t>号法定代表人：杨华辉</w:t>
      </w:r>
    </w:p>
    <w:p>
      <w:pPr>
        <w:pStyle w:val="BodyText"/>
        <w:spacing w:line="417" w:lineRule="auto"/>
        <w:ind w:left="960" w:right="634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960"/>
      </w:pPr>
      <w:r>
        <w:rPr/>
        <w:t>联系人：乔琳雪</w:t>
      </w:r>
    </w:p>
    <w:p>
      <w:pPr>
        <w:pStyle w:val="BodyText"/>
        <w:spacing w:before="6"/>
        <w:rPr>
          <w:sz w:val="15"/>
        </w:rPr>
      </w:pPr>
    </w:p>
    <w:p>
      <w:pPr>
        <w:pStyle w:val="BodyText"/>
        <w:spacing w:line="417" w:lineRule="auto"/>
        <w:ind w:left="960" w:right="5963"/>
        <w:rPr>
          <w:rFonts w:ascii="Times New Roman" w:eastAsia="Times New Roman"/>
        </w:rPr>
      </w:pPr>
      <w:r>
        <w:rPr/>
        <w:t>网址：</w:t>
      </w:r>
      <w:hyperlink r:id="rId106">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长江证券股份有限公司</w:t>
      </w:r>
    </w:p>
    <w:p>
      <w:pPr>
        <w:pStyle w:val="BodyText"/>
        <w:spacing w:before="7"/>
        <w:rPr>
          <w:sz w:val="15"/>
        </w:rPr>
      </w:pPr>
    </w:p>
    <w:p>
      <w:pPr>
        <w:pStyle w:val="BodyText"/>
        <w:ind w:left="960"/>
      </w:pPr>
      <w:r>
        <w:rPr/>
        <w:t>住所：武汉市新华路特 </w:t>
      </w:r>
      <w:r>
        <w:rPr>
          <w:rFonts w:ascii="Times New Roman" w:eastAsia="Times New Roman"/>
        </w:rPr>
        <w:t>8 </w:t>
      </w:r>
      <w:r>
        <w:rPr/>
        <w:t>号长江证券大厦</w:t>
      </w:r>
    </w:p>
    <w:p>
      <w:pPr>
        <w:spacing w:after="0"/>
        <w:sectPr>
          <w:pgSz w:w="11910" w:h="16840"/>
          <w:pgMar w:header="877" w:footer="995" w:top="1420" w:bottom="1180" w:left="1260" w:right="1480"/>
        </w:sectPr>
      </w:pPr>
    </w:p>
    <w:p>
      <w:pPr>
        <w:pStyle w:val="BodyText"/>
        <w:spacing w:line="417" w:lineRule="auto" w:before="110"/>
        <w:ind w:left="960" w:right="3937"/>
      </w:pPr>
      <w:r>
        <w:rPr/>
        <w:t>办公地址：武汉市新华路特 </w:t>
      </w:r>
      <w:r>
        <w:rPr>
          <w:rFonts w:ascii="Times New Roman" w:eastAsia="Times New Roman"/>
        </w:rPr>
        <w:t>8 </w:t>
      </w:r>
      <w:r>
        <w:rPr/>
        <w:t>号长江证券大厦法定代表人：杨泽柱</w:t>
      </w:r>
    </w:p>
    <w:p>
      <w:pPr>
        <w:pStyle w:val="BodyText"/>
        <w:spacing w:line="417" w:lineRule="auto"/>
        <w:ind w:left="960" w:right="634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9" w:lineRule="exact"/>
        <w:ind w:left="960"/>
      </w:pPr>
      <w:r>
        <w:rPr/>
        <w:t>联系人：李良</w:t>
      </w:r>
    </w:p>
    <w:p>
      <w:pPr>
        <w:pStyle w:val="BodyText"/>
        <w:spacing w:before="6"/>
        <w:rPr>
          <w:sz w:val="15"/>
        </w:rPr>
      </w:pPr>
    </w:p>
    <w:p>
      <w:pPr>
        <w:pStyle w:val="BodyText"/>
        <w:ind w:left="960"/>
        <w:rPr>
          <w:rFonts w:ascii="Times New Roman" w:eastAsia="Times New Roman"/>
        </w:rPr>
      </w:pPr>
      <w:r>
        <w:rPr/>
        <w:t>网址：</w:t>
      </w:r>
      <w:hyperlink r:id="rId107">
        <w:r>
          <w:rPr>
            <w:rFonts w:ascii="Times New Roman" w:eastAsia="Times New Roman"/>
          </w:rPr>
          <w:t>www.95579.com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8"/>
        </w:numPr>
        <w:tabs>
          <w:tab w:pos="1595" w:val="left" w:leader="none"/>
        </w:tabs>
        <w:spacing w:line="240" w:lineRule="auto" w:before="1" w:after="0"/>
        <w:ind w:left="1595" w:right="0" w:hanging="635"/>
        <w:jc w:val="left"/>
        <w:rPr>
          <w:sz w:val="21"/>
        </w:rPr>
      </w:pPr>
      <w:r>
        <w:rPr>
          <w:spacing w:val="-3"/>
          <w:sz w:val="21"/>
        </w:rPr>
        <w:t>安信证券股份有限公司</w:t>
      </w:r>
    </w:p>
    <w:p>
      <w:pPr>
        <w:pStyle w:val="BodyText"/>
        <w:spacing w:before="6"/>
        <w:rPr>
          <w:sz w:val="15"/>
        </w:rPr>
      </w:pPr>
    </w:p>
    <w:p>
      <w:pPr>
        <w:pStyle w:val="BodyText"/>
        <w:ind w:left="96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7"/>
        <w:rPr>
          <w:sz w:val="15"/>
        </w:rPr>
      </w:pPr>
    </w:p>
    <w:p>
      <w:pPr>
        <w:pStyle w:val="BodyText"/>
        <w:spacing w:line="417" w:lineRule="auto"/>
        <w:ind w:left="960" w:right="159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960" w:right="624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960"/>
      </w:pPr>
      <w:r>
        <w:rPr/>
        <w:t>联系人：陈剑虹</w:t>
      </w:r>
    </w:p>
    <w:p>
      <w:pPr>
        <w:pStyle w:val="BodyText"/>
        <w:spacing w:before="7"/>
        <w:rPr>
          <w:sz w:val="15"/>
        </w:rPr>
      </w:pPr>
    </w:p>
    <w:p>
      <w:pPr>
        <w:pStyle w:val="BodyText"/>
        <w:spacing w:line="417" w:lineRule="auto"/>
        <w:ind w:left="960" w:right="5729"/>
        <w:rPr>
          <w:rFonts w:ascii="Times New Roman" w:eastAsia="Times New Roman"/>
        </w:rPr>
      </w:pPr>
      <w:r>
        <w:rPr/>
        <w:t>网址：</w:t>
      </w:r>
      <w:hyperlink r:id="rId108">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8"/>
        </w:numPr>
        <w:tabs>
          <w:tab w:pos="1595" w:val="left" w:leader="none"/>
        </w:tabs>
        <w:spacing w:line="417" w:lineRule="auto" w:before="0" w:after="0"/>
        <w:ind w:left="960" w:right="5258" w:firstLine="0"/>
        <w:jc w:val="left"/>
        <w:rPr>
          <w:sz w:val="21"/>
        </w:rPr>
      </w:pPr>
      <w:r>
        <w:rPr>
          <w:spacing w:val="-3"/>
          <w:sz w:val="21"/>
        </w:rPr>
        <w:t>西南证券股份有限公司 </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spacing w:line="417" w:lineRule="auto"/>
        <w:ind w:left="960" w:right="3517"/>
      </w:pPr>
      <w:r>
        <w:rPr/>
        <w:t>办公地址：重庆市江北区桥北苑 </w:t>
      </w:r>
      <w:r>
        <w:rPr>
          <w:rFonts w:ascii="Times New Roman" w:eastAsia="Times New Roman"/>
        </w:rPr>
        <w:t>8 </w:t>
      </w:r>
      <w:r>
        <w:rPr/>
        <w:t>号西南证券大厦法定代表人：廖庆轩</w:t>
      </w:r>
    </w:p>
    <w:p>
      <w:pPr>
        <w:pStyle w:val="BodyText"/>
        <w:spacing w:line="417" w:lineRule="auto"/>
        <w:ind w:left="960" w:right="634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ind w:left="960"/>
      </w:pPr>
      <w:r>
        <w:rPr/>
        <w:t>联系人：周青</w:t>
      </w:r>
    </w:p>
    <w:p>
      <w:pPr>
        <w:pStyle w:val="BodyText"/>
        <w:spacing w:before="6"/>
        <w:rPr>
          <w:sz w:val="15"/>
        </w:rPr>
      </w:pPr>
    </w:p>
    <w:p>
      <w:pPr>
        <w:pStyle w:val="BodyText"/>
        <w:ind w:left="960"/>
        <w:rPr>
          <w:rFonts w:ascii="Times New Roman" w:eastAsia="Times New Roman"/>
        </w:rPr>
      </w:pPr>
      <w:r>
        <w:rPr/>
        <w:t>网址：</w:t>
      </w:r>
      <w:hyperlink r:id="rId109">
        <w:r>
          <w:rPr>
            <w:rFonts w:ascii="Times New Roman" w:eastAsia="Times New Roman"/>
          </w:rPr>
          <w:t>www.swsc.com.cn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400-809-6096</w:t>
      </w:r>
    </w:p>
    <w:p>
      <w:pPr>
        <w:pStyle w:val="BodyText"/>
        <w:spacing w:before="4"/>
        <w:rPr>
          <w:rFonts w:ascii="Times New Roman"/>
          <w:sz w:val="17"/>
        </w:rPr>
      </w:pPr>
    </w:p>
    <w:p>
      <w:pPr>
        <w:pStyle w:val="ListParagraph"/>
        <w:numPr>
          <w:ilvl w:val="0"/>
          <w:numId w:val="8"/>
        </w:numPr>
        <w:tabs>
          <w:tab w:pos="1595" w:val="left" w:leader="none"/>
        </w:tabs>
        <w:spacing w:line="240" w:lineRule="auto" w:before="0" w:after="0"/>
        <w:ind w:left="1595" w:right="0" w:hanging="635"/>
        <w:jc w:val="left"/>
        <w:rPr>
          <w:sz w:val="21"/>
        </w:rPr>
      </w:pPr>
      <w:r>
        <w:rPr>
          <w:spacing w:val="-3"/>
          <w:sz w:val="21"/>
        </w:rPr>
        <w:t>万联证券股份有限公司</w:t>
      </w:r>
    </w:p>
    <w:p>
      <w:pPr>
        <w:pStyle w:val="BodyText"/>
        <w:spacing w:before="6"/>
        <w:rPr>
          <w:sz w:val="15"/>
        </w:rPr>
      </w:pPr>
    </w:p>
    <w:p>
      <w:pPr>
        <w:pStyle w:val="BodyText"/>
        <w:spacing w:before="1"/>
        <w:ind w:left="96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6"/>
        <w:rPr>
          <w:sz w:val="15"/>
        </w:rPr>
      </w:pPr>
    </w:p>
    <w:p>
      <w:pPr>
        <w:pStyle w:val="BodyText"/>
        <w:spacing w:line="417" w:lineRule="auto"/>
        <w:ind w:left="960" w:right="189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ind w:left="960"/>
        <w:rPr>
          <w:rFonts w:ascii="Times New Roman" w:eastAsia="Times New Roman"/>
        </w:rPr>
      </w:pPr>
      <w:r>
        <w:rPr>
          <w:spacing w:val="-1"/>
        </w:rPr>
        <w:t>电话：</w:t>
      </w:r>
      <w:r>
        <w:rPr>
          <w:rFonts w:ascii="Times New Roman" w:eastAsia="Times New Roman"/>
          <w:spacing w:val="-1"/>
        </w:rPr>
        <w:t>020-38286588</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ind w:left="960"/>
      </w:pPr>
      <w:r>
        <w:rPr/>
        <w:t>联系人：王鑫</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110">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8"/>
        </w:numPr>
        <w:tabs>
          <w:tab w:pos="1595" w:val="left" w:leader="none"/>
        </w:tabs>
        <w:spacing w:line="269" w:lineRule="exact" w:before="0" w:after="0"/>
        <w:ind w:left="1595" w:right="0" w:hanging="635"/>
        <w:jc w:val="left"/>
        <w:rPr>
          <w:sz w:val="21"/>
        </w:rPr>
      </w:pPr>
      <w:r>
        <w:rPr>
          <w:spacing w:val="-3"/>
          <w:sz w:val="21"/>
        </w:rPr>
        <w:t>民生证券股份有限公司</w:t>
      </w:r>
    </w:p>
    <w:p>
      <w:pPr>
        <w:pStyle w:val="BodyText"/>
        <w:spacing w:before="6"/>
        <w:rPr>
          <w:sz w:val="15"/>
        </w:rPr>
      </w:pPr>
    </w:p>
    <w:p>
      <w:pPr>
        <w:pStyle w:val="BodyText"/>
        <w:spacing w:before="1"/>
        <w:ind w:left="96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6"/>
        <w:rPr>
          <w:sz w:val="15"/>
        </w:rPr>
      </w:pPr>
    </w:p>
    <w:p>
      <w:pPr>
        <w:pStyle w:val="BodyText"/>
        <w:spacing w:line="417" w:lineRule="auto"/>
        <w:ind w:left="960" w:right="151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pStyle w:val="BodyText"/>
        <w:spacing w:line="417" w:lineRule="auto" w:before="1"/>
        <w:ind w:left="960" w:right="634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ind w:left="960"/>
      </w:pPr>
      <w:r>
        <w:rPr/>
        <w:t>联系人：韩秀萍</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111">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渤海证券股份有限公司</w:t>
      </w:r>
    </w:p>
    <w:p>
      <w:pPr>
        <w:pStyle w:val="BodyText"/>
        <w:spacing w:before="7"/>
        <w:rPr>
          <w:sz w:val="15"/>
        </w:rPr>
      </w:pPr>
    </w:p>
    <w:p>
      <w:pPr>
        <w:pStyle w:val="BodyText"/>
        <w:spacing w:before="1"/>
        <w:ind w:left="96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6"/>
        <w:rPr>
          <w:sz w:val="15"/>
        </w:rPr>
      </w:pPr>
    </w:p>
    <w:p>
      <w:pPr>
        <w:pStyle w:val="BodyText"/>
        <w:spacing w:line="417" w:lineRule="auto"/>
        <w:ind w:left="960" w:right="4568"/>
      </w:pPr>
      <w:r>
        <w:rPr/>
        <w:t>办公地址：天津市南开区滨水西道 </w:t>
      </w:r>
      <w:r>
        <w:rPr>
          <w:rFonts w:ascii="Times New Roman" w:eastAsia="Times New Roman"/>
        </w:rPr>
        <w:t>8 </w:t>
      </w:r>
      <w:r>
        <w:rPr/>
        <w:t>号法定代表人：王春峰</w:t>
      </w:r>
    </w:p>
    <w:p>
      <w:pPr>
        <w:pStyle w:val="BodyText"/>
        <w:spacing w:line="417" w:lineRule="auto"/>
        <w:ind w:left="960" w:right="634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960"/>
      </w:pPr>
      <w:r>
        <w:rPr/>
        <w:t>联系人：蔡霆</w:t>
      </w:r>
    </w:p>
    <w:p>
      <w:pPr>
        <w:pStyle w:val="BodyText"/>
        <w:spacing w:before="7"/>
        <w:rPr>
          <w:sz w:val="15"/>
        </w:rPr>
      </w:pPr>
    </w:p>
    <w:p>
      <w:pPr>
        <w:pStyle w:val="BodyText"/>
        <w:ind w:left="960"/>
        <w:rPr>
          <w:rFonts w:ascii="Times New Roman" w:eastAsia="Times New Roman"/>
        </w:rPr>
      </w:pPr>
      <w:r>
        <w:rPr/>
        <w:t>网址：</w:t>
      </w:r>
      <w:hyperlink r:id="rId112">
        <w:r>
          <w:rPr>
            <w:rFonts w:ascii="Times New Roman" w:eastAsia="Times New Roman"/>
          </w:rPr>
          <w:t>www.ewww.com.cn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山西证券股份有限公司</w:t>
      </w:r>
    </w:p>
    <w:p>
      <w:pPr>
        <w:pStyle w:val="BodyText"/>
        <w:spacing w:before="7"/>
        <w:rPr>
          <w:sz w:val="15"/>
        </w:rPr>
      </w:pPr>
    </w:p>
    <w:p>
      <w:pPr>
        <w:pStyle w:val="BodyText"/>
        <w:ind w:left="960"/>
      </w:pPr>
      <w:r>
        <w:rPr/>
        <w:t>住所：山西省太原市府西街 </w:t>
      </w:r>
      <w:r>
        <w:rPr>
          <w:rFonts w:ascii="Times New Roman" w:eastAsia="Times New Roman"/>
        </w:rPr>
        <w:t>69 </w:t>
      </w:r>
      <w:r>
        <w:rPr/>
        <w:t>号山西国贸中心东塔楼</w:t>
      </w:r>
    </w:p>
    <w:p>
      <w:pPr>
        <w:pStyle w:val="BodyText"/>
        <w:spacing w:before="7"/>
        <w:rPr>
          <w:sz w:val="15"/>
        </w:rPr>
      </w:pPr>
    </w:p>
    <w:p>
      <w:pPr>
        <w:pStyle w:val="BodyText"/>
        <w:spacing w:line="417" w:lineRule="auto"/>
        <w:ind w:left="960" w:right="2782"/>
      </w:pPr>
      <w:r>
        <w:rPr/>
        <w:t>办公地址：山西省太原市府西街 </w:t>
      </w:r>
      <w:r>
        <w:rPr>
          <w:rFonts w:ascii="Times New Roman" w:eastAsia="Times New Roman"/>
        </w:rPr>
        <w:t>69 </w:t>
      </w:r>
      <w:r>
        <w:rPr/>
        <w:t>号山西国贸中心东塔楼法定代表人：侯巍</w:t>
      </w:r>
    </w:p>
    <w:p>
      <w:pPr>
        <w:pStyle w:val="BodyText"/>
        <w:spacing w:line="417" w:lineRule="auto"/>
        <w:ind w:left="960" w:right="634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ind w:left="960"/>
      </w:pPr>
      <w:r>
        <w:rPr/>
        <w:t>联系人：张治国</w:t>
      </w:r>
    </w:p>
    <w:p>
      <w:pPr>
        <w:pStyle w:val="BodyText"/>
        <w:spacing w:before="6"/>
        <w:rPr>
          <w:sz w:val="15"/>
        </w:rPr>
      </w:pPr>
    </w:p>
    <w:p>
      <w:pPr>
        <w:pStyle w:val="BodyText"/>
        <w:ind w:left="960"/>
        <w:rPr>
          <w:rFonts w:ascii="Times New Roman" w:eastAsia="Times New Roman"/>
        </w:rPr>
      </w:pPr>
      <w:r>
        <w:rPr/>
        <w:t>网址：</w:t>
      </w:r>
      <w:hyperlink r:id="rId113">
        <w:r>
          <w:rPr>
            <w:rFonts w:ascii="Times New Roman" w:eastAsia="Times New Roman"/>
          </w:rPr>
          <w:t>www.i618.com.cn</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95573</w:t>
      </w:r>
    </w:p>
    <w:p>
      <w:pPr>
        <w:pStyle w:val="BodyText"/>
        <w:spacing w:before="3"/>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6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ind w:left="960" w:right="221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60" w:right="624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ind w:left="960"/>
      </w:pPr>
      <w:r>
        <w:rPr/>
        <w:t>联系人：刘晓明</w:t>
      </w:r>
    </w:p>
    <w:p>
      <w:pPr>
        <w:pStyle w:val="BodyText"/>
        <w:spacing w:before="7"/>
        <w:rPr>
          <w:sz w:val="15"/>
        </w:rPr>
      </w:pPr>
    </w:p>
    <w:p>
      <w:pPr>
        <w:pStyle w:val="BodyText"/>
        <w:spacing w:line="417" w:lineRule="auto"/>
        <w:ind w:left="960" w:right="5975"/>
        <w:rPr>
          <w:rFonts w:ascii="Times New Roman" w:eastAsia="Times New Roman"/>
        </w:rPr>
      </w:pPr>
      <w:r>
        <w:rPr/>
        <w:t>网址：</w:t>
      </w:r>
      <w:hyperlink r:id="rId114">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东吴证券股份有限公司</w:t>
      </w:r>
    </w:p>
    <w:p>
      <w:pPr>
        <w:pStyle w:val="BodyText"/>
        <w:spacing w:before="7"/>
        <w:rPr>
          <w:sz w:val="15"/>
        </w:rPr>
      </w:pPr>
    </w:p>
    <w:p>
      <w:pPr>
        <w:pStyle w:val="BodyText"/>
        <w:ind w:left="960"/>
      </w:pPr>
      <w:r>
        <w:rPr/>
        <w:t>住所：苏州工业园区翠园路 </w:t>
      </w:r>
      <w:r>
        <w:rPr>
          <w:rFonts w:ascii="Times New Roman" w:eastAsia="Times New Roman"/>
        </w:rPr>
        <w:t>181 </w:t>
      </w:r>
      <w:r>
        <w:rPr/>
        <w:t>号</w:t>
      </w:r>
    </w:p>
    <w:p>
      <w:pPr>
        <w:pStyle w:val="BodyText"/>
        <w:spacing w:before="6"/>
        <w:rPr>
          <w:sz w:val="15"/>
        </w:rPr>
      </w:pPr>
    </w:p>
    <w:p>
      <w:pPr>
        <w:pStyle w:val="BodyText"/>
        <w:spacing w:line="417" w:lineRule="auto" w:before="1"/>
        <w:ind w:left="960" w:right="4777"/>
      </w:pPr>
      <w:r>
        <w:rPr/>
        <w:t>办公地址：苏州工业园区星阳街 </w:t>
      </w:r>
      <w:r>
        <w:rPr>
          <w:rFonts w:ascii="Times New Roman" w:eastAsia="Times New Roman"/>
        </w:rPr>
        <w:t>5 </w:t>
      </w:r>
      <w:r>
        <w:rPr/>
        <w:t>号法定代表人：范力</w:t>
      </w:r>
    </w:p>
    <w:p>
      <w:pPr>
        <w:pStyle w:val="BodyText"/>
        <w:spacing w:line="417" w:lineRule="auto"/>
        <w:ind w:left="960" w:right="624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960"/>
      </w:pPr>
      <w:r>
        <w:rPr/>
        <w:t>联系人：方晓丹</w:t>
      </w:r>
    </w:p>
    <w:p>
      <w:pPr>
        <w:pStyle w:val="BodyText"/>
        <w:spacing w:before="6"/>
        <w:rPr>
          <w:sz w:val="15"/>
        </w:rPr>
      </w:pPr>
    </w:p>
    <w:p>
      <w:pPr>
        <w:pStyle w:val="BodyText"/>
        <w:spacing w:line="417" w:lineRule="auto"/>
        <w:ind w:left="960" w:right="5915"/>
        <w:rPr>
          <w:rFonts w:ascii="Times New Roman" w:eastAsia="Times New Roman"/>
        </w:rPr>
      </w:pPr>
      <w:r>
        <w:rPr/>
        <w:t>网址：</w:t>
      </w:r>
      <w:hyperlink r:id="rId115">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信达证券股份有限公司</w:t>
      </w:r>
    </w:p>
    <w:p>
      <w:pPr>
        <w:pStyle w:val="BodyText"/>
        <w:spacing w:before="7"/>
        <w:rPr>
          <w:sz w:val="15"/>
        </w:rPr>
      </w:pPr>
    </w:p>
    <w:p>
      <w:pPr>
        <w:pStyle w:val="BodyText"/>
        <w:ind w:left="96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7"/>
        <w:rPr>
          <w:sz w:val="15"/>
        </w:rPr>
      </w:pPr>
    </w:p>
    <w:p>
      <w:pPr>
        <w:pStyle w:val="BodyText"/>
        <w:spacing w:line="417" w:lineRule="auto"/>
        <w:ind w:left="960" w:right="357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17" w:lineRule="auto"/>
        <w:ind w:left="960" w:right="634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960"/>
      </w:pPr>
      <w:r>
        <w:rPr/>
        <w:t>联系人：付婷</w:t>
      </w:r>
    </w:p>
    <w:p>
      <w:pPr>
        <w:pStyle w:val="BodyText"/>
        <w:spacing w:before="7"/>
        <w:rPr>
          <w:sz w:val="15"/>
        </w:rPr>
      </w:pPr>
    </w:p>
    <w:p>
      <w:pPr>
        <w:pStyle w:val="BodyText"/>
        <w:spacing w:line="417" w:lineRule="auto"/>
        <w:ind w:left="960" w:right="5990"/>
        <w:rPr>
          <w:rFonts w:ascii="Times New Roman" w:eastAsia="Times New Roman"/>
        </w:rPr>
      </w:pPr>
      <w:r>
        <w:rPr/>
        <w:t>网址：</w:t>
      </w:r>
      <w:hyperlink r:id="rId116">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长城证券股份有限公司</w:t>
      </w:r>
    </w:p>
    <w:p>
      <w:pPr>
        <w:pStyle w:val="BodyText"/>
        <w:spacing w:before="6"/>
        <w:rPr>
          <w:sz w:val="15"/>
        </w:rPr>
      </w:pPr>
    </w:p>
    <w:p>
      <w:pPr>
        <w:pStyle w:val="BodyText"/>
        <w:spacing w:before="1"/>
        <w:ind w:left="96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spacing w:after="0"/>
        <w:sectPr>
          <w:pgSz w:w="11910" w:h="16840"/>
          <w:pgMar w:header="877" w:footer="995" w:top="1420" w:bottom="1180" w:left="1260" w:right="1480"/>
        </w:sectPr>
      </w:pPr>
    </w:p>
    <w:p>
      <w:pPr>
        <w:pStyle w:val="BodyText"/>
        <w:spacing w:line="417" w:lineRule="auto" w:before="110"/>
        <w:ind w:left="960" w:right="1411"/>
      </w:pPr>
      <w:r>
        <w:rPr>
          <w:spacing w:val="-6"/>
        </w:rPr>
        <w:t>办公地址：深圳市福田区福田街道金田路 </w:t>
      </w:r>
      <w:r>
        <w:rPr>
          <w:rFonts w:ascii="Times New Roman" w:eastAsia="Times New Roman"/>
        </w:rPr>
        <w:t>2026 </w:t>
      </w:r>
      <w:r>
        <w:rPr>
          <w:spacing w:val="-8"/>
        </w:rPr>
        <w:t>号能源大厦南塔楼 </w:t>
      </w:r>
      <w:r>
        <w:rPr>
          <w:rFonts w:ascii="Times New Roman" w:eastAsia="Times New Roman"/>
        </w:rPr>
        <w:t>10-19 </w:t>
      </w:r>
      <w:r>
        <w:rPr/>
        <w:t>层</w:t>
      </w:r>
      <w:r>
        <w:rPr>
          <w:spacing w:val="-3"/>
        </w:rPr>
        <w:t>法定代表人：曹宏</w:t>
      </w:r>
    </w:p>
    <w:p>
      <w:pPr>
        <w:pStyle w:val="BodyText"/>
        <w:spacing w:line="417" w:lineRule="auto"/>
        <w:ind w:left="960" w:right="624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960"/>
      </w:pPr>
      <w:r>
        <w:rPr/>
        <w:t>联系人：梁浩</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117">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光大证券股份有限公司</w:t>
      </w:r>
    </w:p>
    <w:p>
      <w:pPr>
        <w:pStyle w:val="BodyText"/>
        <w:spacing w:before="7"/>
        <w:rPr>
          <w:sz w:val="15"/>
        </w:rPr>
      </w:pPr>
    </w:p>
    <w:p>
      <w:pPr>
        <w:pStyle w:val="BodyText"/>
        <w:ind w:left="960"/>
      </w:pPr>
      <w:r>
        <w:rPr/>
        <w:t>住所：上海市静安区新闸路 </w:t>
      </w:r>
      <w:r>
        <w:rPr>
          <w:rFonts w:ascii="Times New Roman" w:eastAsia="Times New Roman"/>
        </w:rPr>
        <w:t>1508 </w:t>
      </w:r>
      <w:r>
        <w:rPr/>
        <w:t>号</w:t>
      </w:r>
    </w:p>
    <w:p>
      <w:pPr>
        <w:pStyle w:val="BodyText"/>
        <w:spacing w:before="7"/>
        <w:rPr>
          <w:sz w:val="15"/>
        </w:rPr>
      </w:pPr>
    </w:p>
    <w:p>
      <w:pPr>
        <w:pStyle w:val="BodyText"/>
        <w:spacing w:line="417" w:lineRule="auto"/>
        <w:ind w:left="960" w:right="4463"/>
      </w:pPr>
      <w:r>
        <w:rPr/>
        <w:t>办公地址：上海市静安区新闸路 </w:t>
      </w:r>
      <w:r>
        <w:rPr>
          <w:rFonts w:ascii="Times New Roman" w:eastAsia="Times New Roman"/>
        </w:rPr>
        <w:t>1508 </w:t>
      </w:r>
      <w:r>
        <w:rPr/>
        <w:t>号法定代表人：薛峰</w:t>
      </w:r>
    </w:p>
    <w:p>
      <w:pPr>
        <w:pStyle w:val="BodyText"/>
        <w:spacing w:line="417" w:lineRule="auto"/>
        <w:ind w:left="960" w:right="634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960"/>
      </w:pPr>
      <w:r>
        <w:rPr/>
        <w:t>联系人：刘晨</w:t>
      </w:r>
    </w:p>
    <w:p>
      <w:pPr>
        <w:pStyle w:val="BodyText"/>
        <w:spacing w:before="6"/>
        <w:rPr>
          <w:sz w:val="15"/>
        </w:rPr>
      </w:pPr>
    </w:p>
    <w:p>
      <w:pPr>
        <w:pStyle w:val="BodyText"/>
        <w:spacing w:before="1"/>
        <w:ind w:left="960"/>
        <w:rPr>
          <w:rFonts w:ascii="Times New Roman" w:eastAsia="Times New Roman"/>
        </w:rPr>
      </w:pPr>
      <w:r>
        <w:rPr/>
        <w:t>网址：</w:t>
      </w:r>
      <w:hyperlink r:id="rId118">
        <w:r>
          <w:rPr>
            <w:rFonts w:ascii="Times New Roman" w:eastAsia="Times New Roman"/>
          </w:rPr>
          <w:t>www.ebscn.com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8"/>
        </w:numPr>
        <w:tabs>
          <w:tab w:pos="1699" w:val="left" w:leader="none"/>
        </w:tabs>
        <w:spacing w:line="240" w:lineRule="auto" w:before="1" w:after="0"/>
        <w:ind w:left="1698" w:right="0" w:hanging="739"/>
        <w:jc w:val="left"/>
        <w:rPr>
          <w:sz w:val="21"/>
        </w:rPr>
      </w:pPr>
      <w:r>
        <w:rPr>
          <w:spacing w:val="-3"/>
          <w:sz w:val="21"/>
        </w:rPr>
        <w:t>中信证券华南股份有限公司</w:t>
      </w:r>
    </w:p>
    <w:p>
      <w:pPr>
        <w:pStyle w:val="BodyText"/>
        <w:spacing w:before="6"/>
        <w:rPr>
          <w:sz w:val="15"/>
        </w:rPr>
      </w:pPr>
    </w:p>
    <w:p>
      <w:pPr>
        <w:pStyle w:val="BodyText"/>
        <w:ind w:left="96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7"/>
        <w:rPr>
          <w:sz w:val="15"/>
        </w:rPr>
      </w:pPr>
    </w:p>
    <w:p>
      <w:pPr>
        <w:pStyle w:val="BodyText"/>
        <w:spacing w:line="417" w:lineRule="auto"/>
        <w:ind w:left="960" w:right="131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60" w:right="634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ind w:left="960"/>
      </w:pPr>
      <w:r>
        <w:rPr/>
        <w:t>联系人：陈靖</w:t>
      </w:r>
    </w:p>
    <w:p>
      <w:pPr>
        <w:pStyle w:val="BodyText"/>
        <w:spacing w:before="7"/>
        <w:rPr>
          <w:sz w:val="15"/>
        </w:rPr>
      </w:pPr>
    </w:p>
    <w:p>
      <w:pPr>
        <w:pStyle w:val="BodyText"/>
        <w:spacing w:line="417" w:lineRule="auto"/>
        <w:ind w:left="960" w:right="6091"/>
        <w:rPr>
          <w:rFonts w:ascii="Times New Roman" w:eastAsia="Times New Roman"/>
        </w:rPr>
      </w:pPr>
      <w:r>
        <w:rPr/>
        <w:t>网址：</w:t>
      </w:r>
      <w:hyperlink r:id="rId119">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8"/>
        </w:numPr>
        <w:tabs>
          <w:tab w:pos="1699" w:val="left" w:leader="none"/>
        </w:tabs>
        <w:spacing w:line="417" w:lineRule="auto" w:before="0" w:after="0"/>
        <w:ind w:left="960" w:right="5366" w:firstLine="0"/>
        <w:jc w:val="left"/>
        <w:rPr>
          <w:sz w:val="21"/>
        </w:rPr>
      </w:pPr>
      <w:r>
        <w:rPr>
          <w:spacing w:val="-4"/>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960" w:right="4883"/>
      </w:pPr>
      <w:r>
        <w:rPr/>
        <w:t>办公地址：长春市生态大街 </w:t>
      </w:r>
      <w:r>
        <w:rPr>
          <w:rFonts w:ascii="Times New Roman" w:eastAsia="Times New Roman"/>
        </w:rPr>
        <w:t>6666 </w:t>
      </w:r>
      <w:r>
        <w:rPr/>
        <w:t>号法定代表人：李福春</w:t>
      </w:r>
    </w:p>
    <w:p>
      <w:pPr>
        <w:pStyle w:val="BodyText"/>
        <w:ind w:left="960"/>
        <w:rPr>
          <w:rFonts w:ascii="Times New Roman" w:eastAsia="Times New Roman"/>
        </w:rPr>
      </w:pPr>
      <w:r>
        <w:rPr/>
        <w:t>电话：</w:t>
      </w:r>
      <w:r>
        <w:rPr>
          <w:rFonts w:ascii="Times New Roman" w:eastAsia="Times New Roman"/>
        </w:rPr>
        <w:t>0431-85096517</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0431-85096795</w:t>
      </w:r>
    </w:p>
    <w:p>
      <w:pPr>
        <w:pStyle w:val="BodyText"/>
        <w:spacing w:before="3"/>
        <w:rPr>
          <w:rFonts w:ascii="Times New Roman"/>
          <w:sz w:val="17"/>
        </w:rPr>
      </w:pPr>
    </w:p>
    <w:p>
      <w:pPr>
        <w:pStyle w:val="BodyText"/>
        <w:spacing w:line="417" w:lineRule="auto"/>
        <w:ind w:left="960" w:right="6454"/>
        <w:rPr>
          <w:rFonts w:ascii="Times New Roman" w:eastAsia="Times New Roman"/>
        </w:rPr>
      </w:pPr>
      <w:r>
        <w:rPr>
          <w:spacing w:val="-2"/>
        </w:rPr>
        <w:t>联系人：安岩岩 </w:t>
      </w:r>
      <w:r>
        <w:rPr>
          <w:spacing w:val="-3"/>
        </w:rPr>
        <w:t>网址：</w:t>
      </w:r>
      <w:hyperlink r:id="rId120">
        <w:r>
          <w:rPr>
            <w:rFonts w:ascii="Times New Roman" w:eastAsia="Times New Roman"/>
            <w:spacing w:val="-4"/>
          </w:rPr>
          <w:t>www.nesc.cn</w:t>
        </w:r>
      </w:hyperlink>
    </w:p>
    <w:p>
      <w:pPr>
        <w:pStyle w:val="BodyText"/>
        <w:spacing w:line="269" w:lineRule="exact"/>
        <w:ind w:left="960"/>
        <w:rPr>
          <w:rFonts w:ascii="Times New Roman" w:eastAsia="Times New Roman"/>
        </w:rPr>
      </w:pPr>
      <w:r>
        <w:rPr/>
        <w:t>客户服务电话：</w:t>
      </w:r>
      <w:r>
        <w:rPr>
          <w:rFonts w:ascii="Times New Roman" w:eastAsia="Times New Roman"/>
        </w:rPr>
        <w:t>95360</w:t>
      </w:r>
    </w:p>
    <w:p>
      <w:pPr>
        <w:pStyle w:val="BodyText"/>
        <w:spacing w:before="3"/>
        <w:rPr>
          <w:rFonts w:ascii="Times New Roman"/>
          <w:sz w:val="17"/>
        </w:rPr>
      </w:pPr>
    </w:p>
    <w:p>
      <w:pPr>
        <w:pStyle w:val="ListParagraph"/>
        <w:numPr>
          <w:ilvl w:val="0"/>
          <w:numId w:val="8"/>
        </w:numPr>
        <w:tabs>
          <w:tab w:pos="1699" w:val="left" w:leader="none"/>
        </w:tabs>
        <w:spacing w:line="240" w:lineRule="auto" w:before="1" w:after="0"/>
        <w:ind w:left="1698" w:right="0" w:hanging="739"/>
        <w:jc w:val="left"/>
        <w:rPr>
          <w:sz w:val="21"/>
        </w:rPr>
      </w:pPr>
      <w:r>
        <w:rPr>
          <w:spacing w:val="-3"/>
          <w:sz w:val="21"/>
        </w:rPr>
        <w:t>南京证券股份有限公司</w:t>
      </w:r>
    </w:p>
    <w:p>
      <w:pPr>
        <w:pStyle w:val="BodyText"/>
        <w:spacing w:before="6"/>
        <w:rPr>
          <w:sz w:val="15"/>
        </w:rPr>
      </w:pPr>
    </w:p>
    <w:p>
      <w:pPr>
        <w:pStyle w:val="BodyText"/>
        <w:ind w:left="960"/>
      </w:pPr>
      <w:r>
        <w:rPr/>
        <w:t>住所：江苏省南京市江东中路 </w:t>
      </w:r>
      <w:r>
        <w:rPr>
          <w:rFonts w:ascii="Times New Roman" w:eastAsia="Times New Roman"/>
        </w:rPr>
        <w:t>389 </w:t>
      </w:r>
      <w:r>
        <w:rPr/>
        <w:t>号</w:t>
      </w:r>
    </w:p>
    <w:p>
      <w:pPr>
        <w:pStyle w:val="BodyText"/>
        <w:spacing w:before="7"/>
        <w:rPr>
          <w:sz w:val="15"/>
        </w:rPr>
      </w:pPr>
    </w:p>
    <w:p>
      <w:pPr>
        <w:pStyle w:val="BodyText"/>
        <w:spacing w:line="417" w:lineRule="auto"/>
        <w:ind w:left="960" w:right="4357"/>
      </w:pPr>
      <w:r>
        <w:rPr/>
        <w:t>办公地址：江苏省南京市江东中路 </w:t>
      </w:r>
      <w:r>
        <w:rPr>
          <w:rFonts w:ascii="Times New Roman" w:eastAsia="Times New Roman"/>
        </w:rPr>
        <w:t>389 </w:t>
      </w:r>
      <w:r>
        <w:rPr/>
        <w:t>号法定代表人：李剑锋</w:t>
      </w:r>
    </w:p>
    <w:p>
      <w:pPr>
        <w:pStyle w:val="BodyText"/>
        <w:spacing w:line="417" w:lineRule="auto"/>
        <w:ind w:left="960" w:right="634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960"/>
      </w:pPr>
      <w:r>
        <w:rPr/>
        <w:t>联系人：王万君</w:t>
      </w:r>
    </w:p>
    <w:p>
      <w:pPr>
        <w:pStyle w:val="BodyText"/>
        <w:spacing w:before="7"/>
        <w:rPr>
          <w:sz w:val="15"/>
        </w:rPr>
      </w:pPr>
    </w:p>
    <w:p>
      <w:pPr>
        <w:pStyle w:val="BodyText"/>
        <w:spacing w:line="417" w:lineRule="auto"/>
        <w:ind w:left="960" w:right="6009"/>
        <w:rPr>
          <w:rFonts w:ascii="Times New Roman" w:eastAsia="Times New Roman"/>
        </w:rPr>
      </w:pPr>
      <w:r>
        <w:rPr/>
        <w:t>网址：</w:t>
      </w:r>
      <w:hyperlink r:id="rId121">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8"/>
        </w:numPr>
        <w:tabs>
          <w:tab w:pos="1691" w:val="left" w:leader="none"/>
        </w:tabs>
        <w:spacing w:line="417" w:lineRule="auto" w:before="0" w:after="0"/>
        <w:ind w:left="960" w:right="5374"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17" w:lineRule="auto"/>
        <w:ind w:left="960" w:right="4988"/>
      </w:pPr>
      <w:r>
        <w:rPr/>
        <w:t>办公地址：上海市西藏中路 </w:t>
      </w:r>
      <w:r>
        <w:rPr>
          <w:rFonts w:ascii="Times New Roman" w:eastAsia="Times New Roman"/>
        </w:rPr>
        <w:t>336 </w:t>
      </w:r>
      <w:r>
        <w:rPr/>
        <w:t>号法定代表人：龚德雄</w:t>
      </w:r>
    </w:p>
    <w:p>
      <w:pPr>
        <w:pStyle w:val="BodyText"/>
        <w:spacing w:line="417" w:lineRule="auto"/>
        <w:ind w:left="960" w:right="634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960"/>
      </w:pPr>
      <w:r>
        <w:rPr/>
        <w:t>联系人：张瑾</w:t>
      </w:r>
    </w:p>
    <w:p>
      <w:pPr>
        <w:pStyle w:val="BodyText"/>
        <w:spacing w:before="6"/>
        <w:rPr>
          <w:sz w:val="15"/>
        </w:rPr>
      </w:pPr>
    </w:p>
    <w:p>
      <w:pPr>
        <w:pStyle w:val="BodyText"/>
        <w:ind w:left="960"/>
        <w:rPr>
          <w:rFonts w:ascii="Times New Roman" w:eastAsia="Times New Roman"/>
        </w:rPr>
      </w:pPr>
      <w:r>
        <w:rPr/>
        <w:t>网址：</w:t>
      </w:r>
      <w:hyperlink r:id="rId122">
        <w:r>
          <w:rPr>
            <w:rFonts w:ascii="Times New Roman" w:eastAsia="Times New Roman"/>
          </w:rPr>
          <w:t>www.962518.com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400-891-8918</w:t>
      </w:r>
    </w:p>
    <w:p>
      <w:pPr>
        <w:pStyle w:val="BodyText"/>
        <w:spacing w:before="4"/>
        <w:rPr>
          <w:rFonts w:ascii="Times New Roman"/>
          <w:sz w:val="17"/>
        </w:rPr>
      </w:pPr>
    </w:p>
    <w:p>
      <w:pPr>
        <w:pStyle w:val="ListParagraph"/>
        <w:numPr>
          <w:ilvl w:val="0"/>
          <w:numId w:val="8"/>
        </w:numPr>
        <w:tabs>
          <w:tab w:pos="1684" w:val="left" w:leader="none"/>
        </w:tabs>
        <w:spacing w:line="240" w:lineRule="auto" w:before="0" w:after="0"/>
        <w:ind w:left="1683" w:right="0" w:hanging="724"/>
        <w:jc w:val="left"/>
        <w:rPr>
          <w:sz w:val="21"/>
        </w:rPr>
      </w:pPr>
      <w:r>
        <w:rPr>
          <w:spacing w:val="-3"/>
          <w:sz w:val="21"/>
        </w:rPr>
        <w:t>新时代证券股份有限公司</w:t>
      </w:r>
    </w:p>
    <w:p>
      <w:pPr>
        <w:pStyle w:val="BodyText"/>
        <w:spacing w:before="6"/>
        <w:rPr>
          <w:sz w:val="15"/>
        </w:rPr>
      </w:pPr>
    </w:p>
    <w:p>
      <w:pPr>
        <w:pStyle w:val="BodyText"/>
        <w:spacing w:before="1"/>
        <w:ind w:left="96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96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spacing w:line="417" w:lineRule="auto"/>
        <w:ind w:left="960" w:right="634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ind w:left="960"/>
      </w:pPr>
      <w:r>
        <w:rPr/>
        <w:t>联系人：田芳芳</w:t>
      </w:r>
    </w:p>
    <w:p>
      <w:pPr>
        <w:pStyle w:val="BodyText"/>
        <w:spacing w:before="7"/>
        <w:rPr>
          <w:sz w:val="15"/>
        </w:rPr>
      </w:pPr>
    </w:p>
    <w:p>
      <w:pPr>
        <w:pStyle w:val="BodyText"/>
        <w:ind w:left="960"/>
        <w:rPr>
          <w:rFonts w:ascii="Times New Roman" w:eastAsia="Times New Roman"/>
        </w:rPr>
      </w:pPr>
      <w:r>
        <w:rPr/>
        <w:t>网址：</w:t>
      </w:r>
      <w:hyperlink r:id="rId123">
        <w:r>
          <w:rPr>
            <w:rFonts w:ascii="Times New Roman" w:eastAsia="Times New Roman"/>
          </w:rPr>
          <w:t>www.xsdzq.cn</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95399</w:t>
      </w:r>
    </w:p>
    <w:p>
      <w:pPr>
        <w:pStyle w:val="BodyText"/>
        <w:spacing w:before="3"/>
        <w:rPr>
          <w:rFonts w:ascii="Times New Roman"/>
          <w:sz w:val="17"/>
        </w:rPr>
      </w:pP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大同证券有限责任公司</w:t>
      </w:r>
    </w:p>
    <w:p>
      <w:pPr>
        <w:pStyle w:val="BodyText"/>
        <w:spacing w:before="7"/>
        <w:rPr>
          <w:sz w:val="15"/>
        </w:rPr>
      </w:pPr>
    </w:p>
    <w:p>
      <w:pPr>
        <w:pStyle w:val="BodyText"/>
        <w:ind w:left="96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6"/>
        <w:rPr>
          <w:sz w:val="15"/>
        </w:rPr>
      </w:pPr>
    </w:p>
    <w:p>
      <w:pPr>
        <w:pStyle w:val="BodyText"/>
        <w:spacing w:before="1"/>
        <w:ind w:left="96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3"/>
        <w:rPr>
          <w:rFonts w:ascii="Times New Roman"/>
          <w:sz w:val="17"/>
        </w:rPr>
      </w:pPr>
    </w:p>
    <w:p>
      <w:pPr>
        <w:pStyle w:val="BodyText"/>
        <w:spacing w:line="417" w:lineRule="auto"/>
        <w:ind w:left="960" w:right="628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ind w:left="960"/>
      </w:pPr>
      <w:r>
        <w:rPr/>
        <w:t>联系人：薛津</w:t>
      </w:r>
    </w:p>
    <w:p>
      <w:pPr>
        <w:pStyle w:val="BodyText"/>
        <w:spacing w:before="7"/>
        <w:rPr>
          <w:sz w:val="15"/>
        </w:rPr>
      </w:pPr>
    </w:p>
    <w:p>
      <w:pPr>
        <w:pStyle w:val="BodyText"/>
        <w:ind w:left="960"/>
        <w:rPr>
          <w:rFonts w:ascii="Times New Roman" w:eastAsia="Times New Roman"/>
        </w:rPr>
      </w:pPr>
      <w:r>
        <w:rPr/>
        <w:t>网址：</w:t>
      </w:r>
      <w:hyperlink r:id="rId124">
        <w:r>
          <w:rPr>
            <w:rFonts w:ascii="Times New Roman" w:eastAsia="Times New Roman"/>
          </w:rPr>
          <w:t>www.dtsbc.com.cn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400-712-1212</w:t>
      </w:r>
    </w:p>
    <w:p>
      <w:pPr>
        <w:pStyle w:val="BodyText"/>
        <w:spacing w:before="4"/>
        <w:rPr>
          <w:rFonts w:ascii="Times New Roman"/>
          <w:sz w:val="17"/>
        </w:rPr>
      </w:pP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国联证券股份有限公司</w:t>
      </w:r>
    </w:p>
    <w:p>
      <w:pPr>
        <w:pStyle w:val="BodyText"/>
        <w:spacing w:before="6"/>
        <w:rPr>
          <w:sz w:val="15"/>
        </w:rPr>
      </w:pPr>
    </w:p>
    <w:p>
      <w:pPr>
        <w:pStyle w:val="BodyText"/>
        <w:spacing w:before="1"/>
        <w:ind w:left="960"/>
      </w:pPr>
      <w:r>
        <w:rPr/>
        <w:t>住所：无锡市太湖新城金融一街 </w:t>
      </w:r>
      <w:r>
        <w:rPr>
          <w:rFonts w:ascii="Times New Roman" w:eastAsia="Times New Roman"/>
        </w:rPr>
        <w:t>8 </w:t>
      </w:r>
      <w:r>
        <w:rPr/>
        <w:t>号国联金融大厦</w:t>
      </w:r>
    </w:p>
    <w:p>
      <w:pPr>
        <w:pStyle w:val="BodyText"/>
        <w:spacing w:before="6"/>
        <w:rPr>
          <w:sz w:val="15"/>
        </w:rPr>
      </w:pPr>
    </w:p>
    <w:p>
      <w:pPr>
        <w:pStyle w:val="BodyText"/>
        <w:spacing w:line="417" w:lineRule="auto"/>
        <w:ind w:left="960" w:right="309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960" w:right="624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spacing w:line="269" w:lineRule="exact"/>
        <w:ind w:left="960"/>
      </w:pPr>
      <w:r>
        <w:rPr/>
        <w:t>联系人：祁昊</w:t>
      </w:r>
    </w:p>
    <w:p>
      <w:pPr>
        <w:pStyle w:val="BodyText"/>
        <w:spacing w:before="7"/>
        <w:rPr>
          <w:sz w:val="15"/>
        </w:rPr>
      </w:pPr>
    </w:p>
    <w:p>
      <w:pPr>
        <w:pStyle w:val="BodyText"/>
        <w:spacing w:line="417" w:lineRule="auto"/>
        <w:ind w:left="960" w:right="6031"/>
        <w:rPr>
          <w:rFonts w:ascii="Times New Roman" w:eastAsia="Times New Roman"/>
        </w:rPr>
      </w:pPr>
      <w:r>
        <w:rPr/>
        <w:t>网址：</w:t>
      </w:r>
      <w:hyperlink r:id="rId125">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8"/>
        </w:numPr>
        <w:tabs>
          <w:tab w:pos="1691" w:val="left" w:leader="none"/>
        </w:tabs>
        <w:spacing w:line="269" w:lineRule="exact" w:before="0" w:after="0"/>
        <w:ind w:left="1691" w:right="0" w:hanging="731"/>
        <w:jc w:val="left"/>
        <w:rPr>
          <w:sz w:val="21"/>
        </w:rPr>
      </w:pPr>
      <w:r>
        <w:rPr>
          <w:spacing w:val="-3"/>
          <w:sz w:val="21"/>
        </w:rPr>
        <w:t>浙商证券股份有限公司</w:t>
      </w:r>
    </w:p>
    <w:p>
      <w:pPr>
        <w:pStyle w:val="BodyText"/>
        <w:spacing w:before="7"/>
        <w:rPr>
          <w:sz w:val="15"/>
        </w:rPr>
      </w:pPr>
    </w:p>
    <w:p>
      <w:pPr>
        <w:pStyle w:val="BodyText"/>
        <w:ind w:left="960"/>
      </w:pPr>
      <w:r>
        <w:rPr/>
        <w:t>住所：杭州市江干区五星路 </w:t>
      </w:r>
      <w:r>
        <w:rPr>
          <w:rFonts w:ascii="Times New Roman" w:eastAsia="Times New Roman"/>
        </w:rPr>
        <w:t>201 </w:t>
      </w:r>
      <w:r>
        <w:rPr/>
        <w:t>号</w:t>
      </w:r>
    </w:p>
    <w:p>
      <w:pPr>
        <w:pStyle w:val="BodyText"/>
        <w:spacing w:before="7"/>
        <w:rPr>
          <w:sz w:val="15"/>
        </w:rPr>
      </w:pPr>
    </w:p>
    <w:p>
      <w:pPr>
        <w:pStyle w:val="BodyText"/>
        <w:spacing w:line="417" w:lineRule="auto"/>
        <w:ind w:left="960" w:right="2947"/>
      </w:pPr>
      <w:r>
        <w:rPr>
          <w:spacing w:val="-6"/>
        </w:rPr>
        <w:t>办公地址：杭州市江干区五星路 </w:t>
      </w:r>
      <w:r>
        <w:rPr>
          <w:rFonts w:ascii="Times New Roman" w:eastAsia="Times New Roman"/>
        </w:rPr>
        <w:t>201 </w:t>
      </w:r>
      <w:r>
        <w:rPr>
          <w:spacing w:val="-9"/>
        </w:rPr>
        <w:t>号浙商证券大楼 </w:t>
      </w:r>
      <w:r>
        <w:rPr>
          <w:rFonts w:ascii="Times New Roman" w:eastAsia="Times New Roman"/>
        </w:rPr>
        <w:t>8 </w:t>
      </w:r>
      <w:r>
        <w:rPr/>
        <w:t>楼</w:t>
      </w:r>
      <w:r>
        <w:rPr>
          <w:spacing w:val="-3"/>
        </w:rPr>
        <w:t>法定代表人：吴承根</w:t>
      </w:r>
    </w:p>
    <w:p>
      <w:pPr>
        <w:pStyle w:val="BodyText"/>
        <w:spacing w:line="417" w:lineRule="auto"/>
        <w:ind w:left="960" w:right="624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9" w:lineRule="exact"/>
        <w:ind w:left="960"/>
      </w:pPr>
      <w:r>
        <w:rPr/>
        <w:t>联系人：谢相辉</w:t>
      </w:r>
    </w:p>
    <w:p>
      <w:pPr>
        <w:pStyle w:val="BodyText"/>
        <w:spacing w:before="6"/>
        <w:rPr>
          <w:sz w:val="15"/>
        </w:rPr>
      </w:pPr>
    </w:p>
    <w:p>
      <w:pPr>
        <w:pStyle w:val="BodyText"/>
        <w:spacing w:line="417" w:lineRule="auto" w:before="1"/>
        <w:ind w:left="960" w:right="5834"/>
        <w:rPr>
          <w:rFonts w:ascii="Times New Roman" w:eastAsia="Times New Roman"/>
        </w:rPr>
      </w:pPr>
      <w:r>
        <w:rPr/>
        <w:t>网址：</w:t>
      </w:r>
      <w:hyperlink r:id="rId126">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平安证券股份有限公司</w:t>
      </w:r>
    </w:p>
    <w:p>
      <w:pPr>
        <w:pStyle w:val="BodyText"/>
        <w:spacing w:before="6"/>
        <w:rPr>
          <w:sz w:val="15"/>
        </w:rPr>
      </w:pPr>
    </w:p>
    <w:p>
      <w:pPr>
        <w:pStyle w:val="BodyText"/>
        <w:ind w:left="960"/>
      </w:pPr>
      <w:r>
        <w:rPr/>
        <w:t>住所：深圳市福田区福田街道益田路 </w:t>
      </w:r>
      <w:r>
        <w:rPr>
          <w:rFonts w:ascii="Times New Roman" w:eastAsia="Times New Roman"/>
        </w:rPr>
        <w:t>5023 </w:t>
      </w:r>
      <w:r>
        <w:rPr/>
        <w:t>号平安金融中心 </w:t>
      </w:r>
      <w:r>
        <w:rPr>
          <w:rFonts w:ascii="Times New Roman" w:eastAsia="Times New Roman"/>
        </w:rPr>
        <w:t>B </w:t>
      </w:r>
      <w:r>
        <w:rPr/>
        <w:t>座第 </w:t>
      </w:r>
      <w:r>
        <w:rPr>
          <w:rFonts w:ascii="Times New Roman" w:eastAsia="Times New Roman"/>
        </w:rPr>
        <w:t>22-25 </w:t>
      </w:r>
      <w:r>
        <w:rPr/>
        <w:t>层</w:t>
      </w:r>
    </w:p>
    <w:p>
      <w:pPr>
        <w:spacing w:after="0"/>
        <w:sectPr>
          <w:pgSz w:w="11910" w:h="16840"/>
          <w:pgMar w:header="877" w:footer="995" w:top="1420" w:bottom="1180" w:left="1260" w:right="1480"/>
        </w:sectPr>
      </w:pPr>
    </w:p>
    <w:p>
      <w:pPr>
        <w:pStyle w:val="BodyText"/>
        <w:spacing w:line="417" w:lineRule="auto" w:before="110"/>
        <w:ind w:left="960" w:right="2459"/>
      </w:pPr>
      <w:r>
        <w:rPr>
          <w:spacing w:val="-6"/>
        </w:rPr>
        <w:t>办公地址：深圳市福田中心区金田路 </w:t>
      </w:r>
      <w:r>
        <w:rPr>
          <w:rFonts w:ascii="Times New Roman" w:eastAsia="Times New Roman"/>
        </w:rPr>
        <w:t>4036 </w:t>
      </w:r>
      <w:r>
        <w:rPr>
          <w:spacing w:val="-11"/>
        </w:rPr>
        <w:t>号荣超大厦 </w:t>
      </w:r>
      <w:r>
        <w:rPr>
          <w:rFonts w:ascii="Times New Roman" w:eastAsia="Times New Roman"/>
        </w:rPr>
        <w:t>16-20 </w:t>
      </w:r>
      <w:r>
        <w:rPr/>
        <w:t>层</w:t>
      </w:r>
      <w:r>
        <w:rPr>
          <w:spacing w:val="-3"/>
        </w:rPr>
        <w:t>法定代表人：何之江</w:t>
      </w:r>
    </w:p>
    <w:p>
      <w:pPr>
        <w:pStyle w:val="BodyText"/>
        <w:spacing w:line="417" w:lineRule="auto"/>
        <w:ind w:left="960" w:right="6346"/>
        <w:rPr>
          <w:rFonts w:ascii="Times New Roman" w:eastAsia="Times New Roman"/>
        </w:rPr>
      </w:pPr>
      <w:r>
        <w:rPr/>
        <w:t>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960"/>
      </w:pPr>
      <w:r>
        <w:rPr/>
        <w:t>联系人：王阳</w:t>
      </w:r>
    </w:p>
    <w:p>
      <w:pPr>
        <w:pStyle w:val="BodyText"/>
        <w:spacing w:before="6"/>
        <w:rPr>
          <w:sz w:val="15"/>
        </w:rPr>
      </w:pPr>
    </w:p>
    <w:p>
      <w:pPr>
        <w:pStyle w:val="BodyText"/>
        <w:spacing w:line="417" w:lineRule="auto"/>
        <w:ind w:left="960" w:right="6000"/>
        <w:rPr>
          <w:rFonts w:ascii="Times New Roman" w:eastAsia="Times New Roman"/>
        </w:rPr>
      </w:pPr>
      <w:r>
        <w:rPr/>
        <w:t>网址：</w:t>
      </w:r>
      <w:hyperlink r:id="rId127">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8"/>
        </w:numPr>
        <w:tabs>
          <w:tab w:pos="1691" w:val="left" w:leader="none"/>
        </w:tabs>
        <w:spacing w:line="240" w:lineRule="auto" w:before="0" w:after="0"/>
        <w:ind w:left="1691" w:right="0" w:hanging="731"/>
        <w:jc w:val="left"/>
        <w:rPr>
          <w:sz w:val="21"/>
        </w:rPr>
      </w:pPr>
      <w:r>
        <w:rPr>
          <w:spacing w:val="-3"/>
          <w:sz w:val="21"/>
        </w:rPr>
        <w:t>华安证券股份有限公司</w:t>
      </w:r>
    </w:p>
    <w:p>
      <w:pPr>
        <w:pStyle w:val="BodyText"/>
        <w:spacing w:before="7"/>
        <w:rPr>
          <w:sz w:val="15"/>
        </w:rPr>
      </w:pPr>
    </w:p>
    <w:p>
      <w:pPr>
        <w:pStyle w:val="BodyText"/>
        <w:ind w:left="960"/>
      </w:pPr>
      <w:r>
        <w:rPr/>
        <w:t>住所：安徽省合肥市政务文化新区天鹅湖路 </w:t>
      </w:r>
      <w:r>
        <w:rPr>
          <w:rFonts w:ascii="Times New Roman" w:eastAsia="Times New Roman"/>
        </w:rPr>
        <w:t>198 </w:t>
      </w:r>
      <w:r>
        <w:rPr/>
        <w:t>号</w:t>
      </w:r>
    </w:p>
    <w:p>
      <w:pPr>
        <w:pStyle w:val="BodyText"/>
        <w:spacing w:before="7"/>
        <w:rPr>
          <w:sz w:val="15"/>
        </w:rPr>
      </w:pPr>
    </w:p>
    <w:p>
      <w:pPr>
        <w:pStyle w:val="BodyText"/>
        <w:spacing w:line="417" w:lineRule="auto"/>
        <w:ind w:left="960" w:right="175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960" w:right="624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960"/>
      </w:pPr>
      <w:r>
        <w:rPr/>
        <w:t>联系人：范超</w:t>
      </w:r>
    </w:p>
    <w:p>
      <w:pPr>
        <w:pStyle w:val="BodyText"/>
        <w:spacing w:before="6"/>
        <w:rPr>
          <w:sz w:val="15"/>
        </w:rPr>
      </w:pPr>
    </w:p>
    <w:p>
      <w:pPr>
        <w:pStyle w:val="BodyText"/>
        <w:spacing w:line="417" w:lineRule="auto" w:before="1"/>
        <w:ind w:left="960" w:right="6207"/>
        <w:rPr>
          <w:rFonts w:ascii="Times New Roman" w:eastAsia="Times New Roman"/>
        </w:rPr>
      </w:pPr>
      <w:r>
        <w:rPr/>
        <w:t>网址：</w:t>
      </w:r>
      <w:hyperlink r:id="rId128">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8"/>
        </w:numPr>
        <w:tabs>
          <w:tab w:pos="1691" w:val="left" w:leader="none"/>
        </w:tabs>
        <w:spacing w:line="269" w:lineRule="exact" w:before="0" w:after="0"/>
        <w:ind w:left="1691" w:right="0" w:hanging="731"/>
        <w:jc w:val="left"/>
        <w:rPr>
          <w:sz w:val="21"/>
        </w:rPr>
      </w:pPr>
      <w:r>
        <w:rPr>
          <w:spacing w:val="-3"/>
          <w:sz w:val="21"/>
        </w:rPr>
        <w:t>东莞证券股份有限公司</w:t>
      </w:r>
    </w:p>
    <w:p>
      <w:pPr>
        <w:pStyle w:val="BodyText"/>
        <w:spacing w:before="6"/>
        <w:rPr>
          <w:sz w:val="15"/>
        </w:rPr>
      </w:pPr>
    </w:p>
    <w:p>
      <w:pPr>
        <w:pStyle w:val="BodyText"/>
        <w:ind w:left="960"/>
      </w:pPr>
      <w:r>
        <w:rPr/>
        <w:t>住所：东莞市莞城区可园南路 </w:t>
      </w:r>
      <w:r>
        <w:rPr>
          <w:rFonts w:ascii="Times New Roman" w:eastAsia="Times New Roman"/>
        </w:rPr>
        <w:t>1 </w:t>
      </w:r>
      <w:r>
        <w:rPr/>
        <w:t>号金源中心</w:t>
      </w:r>
    </w:p>
    <w:p>
      <w:pPr>
        <w:pStyle w:val="BodyText"/>
        <w:spacing w:before="7"/>
        <w:rPr>
          <w:sz w:val="15"/>
        </w:rPr>
      </w:pPr>
    </w:p>
    <w:p>
      <w:pPr>
        <w:pStyle w:val="BodyText"/>
        <w:spacing w:line="417" w:lineRule="auto"/>
        <w:ind w:left="960" w:right="326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17" w:lineRule="auto"/>
        <w:ind w:left="960" w:right="467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960" w:right="6005"/>
        <w:rPr>
          <w:rFonts w:ascii="Times New Roman" w:eastAsia="Times New Roman"/>
        </w:rPr>
      </w:pPr>
      <w:r>
        <w:rPr>
          <w:spacing w:val="-3"/>
        </w:rPr>
        <w:t>联系人：李荣、孙旭  网址：</w:t>
      </w:r>
      <w:hyperlink r:id="rId129">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8"/>
        </w:numPr>
        <w:tabs>
          <w:tab w:pos="1691" w:val="left" w:leader="none"/>
        </w:tabs>
        <w:spacing w:line="269" w:lineRule="exact" w:before="0" w:after="0"/>
        <w:ind w:left="1691" w:right="0" w:hanging="731"/>
        <w:jc w:val="left"/>
        <w:rPr>
          <w:sz w:val="21"/>
        </w:rPr>
      </w:pPr>
      <w:r>
        <w:rPr>
          <w:spacing w:val="-3"/>
          <w:sz w:val="21"/>
        </w:rPr>
        <w:t>中原证券股份有限公司</w:t>
      </w:r>
    </w:p>
    <w:p>
      <w:pPr>
        <w:pStyle w:val="BodyText"/>
        <w:spacing w:before="7"/>
        <w:rPr>
          <w:sz w:val="15"/>
        </w:rPr>
      </w:pPr>
    </w:p>
    <w:p>
      <w:pPr>
        <w:pStyle w:val="BodyText"/>
        <w:ind w:left="960"/>
      </w:pPr>
      <w:r>
        <w:rPr/>
        <w:t>住所：郑州市郑东新区商务外环路 </w:t>
      </w:r>
      <w:r>
        <w:rPr>
          <w:rFonts w:ascii="Times New Roman" w:eastAsia="Times New Roman"/>
        </w:rPr>
        <w:t>10 </w:t>
      </w:r>
      <w:r>
        <w:rPr/>
        <w:t>号</w:t>
      </w:r>
    </w:p>
    <w:p>
      <w:pPr>
        <w:pStyle w:val="BodyText"/>
        <w:spacing w:before="6"/>
        <w:rPr>
          <w:sz w:val="15"/>
        </w:rPr>
      </w:pPr>
    </w:p>
    <w:p>
      <w:pPr>
        <w:pStyle w:val="BodyText"/>
        <w:spacing w:line="417" w:lineRule="auto" w:before="1"/>
        <w:ind w:left="960" w:right="4043"/>
      </w:pPr>
      <w:r>
        <w:rPr/>
        <w:t>办公地址：郑州市郑东新区商务外环路 </w:t>
      </w:r>
      <w:r>
        <w:rPr>
          <w:rFonts w:ascii="Times New Roman" w:eastAsia="Times New Roman"/>
        </w:rPr>
        <w:t>10 </w:t>
      </w:r>
      <w:r>
        <w:rPr/>
        <w:t>号法定代表人：菅明军</w:t>
      </w:r>
    </w:p>
    <w:p>
      <w:pPr>
        <w:pStyle w:val="BodyText"/>
        <w:ind w:left="960"/>
        <w:rPr>
          <w:rFonts w:ascii="Times New Roman" w:eastAsia="Times New Roman"/>
        </w:rPr>
      </w:pPr>
      <w:r>
        <w:rPr/>
        <w:t>电话：</w:t>
      </w:r>
      <w:r>
        <w:rPr>
          <w:rFonts w:ascii="Times New Roman" w:eastAsia="Times New Roman"/>
        </w:rPr>
        <w:t>0371-69099882</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0371-65585899</w:t>
      </w:r>
    </w:p>
    <w:p>
      <w:pPr>
        <w:pStyle w:val="BodyText"/>
        <w:spacing w:before="3"/>
        <w:rPr>
          <w:rFonts w:ascii="Times New Roman"/>
          <w:sz w:val="17"/>
        </w:rPr>
      </w:pPr>
    </w:p>
    <w:p>
      <w:pPr>
        <w:pStyle w:val="BodyText"/>
        <w:spacing w:line="417" w:lineRule="auto"/>
        <w:ind w:left="960" w:right="5258"/>
        <w:rPr>
          <w:rFonts w:ascii="Times New Roman" w:eastAsia="Times New Roman"/>
        </w:rPr>
      </w:pPr>
      <w:r>
        <w:rPr/>
        <w:t>联系人：程月艳、李盼盼、党静网址：</w:t>
      </w:r>
      <w:hyperlink r:id="rId130">
        <w:r>
          <w:rPr>
            <w:rFonts w:ascii="Times New Roman" w:eastAsia="Times New Roman"/>
          </w:rPr>
          <w:t>www.ccnew.com</w:t>
        </w:r>
      </w:hyperlink>
    </w:p>
    <w:p>
      <w:pPr>
        <w:pStyle w:val="BodyText"/>
        <w:spacing w:line="269" w:lineRule="exact"/>
        <w:ind w:left="960"/>
        <w:rPr>
          <w:rFonts w:ascii="Times New Roman" w:eastAsia="Times New Roman"/>
        </w:rPr>
      </w:pPr>
      <w:r>
        <w:rPr/>
        <w:t>客户服务电话：</w:t>
      </w:r>
      <w:r>
        <w:rPr>
          <w:rFonts w:ascii="Times New Roman" w:eastAsia="Times New Roman"/>
        </w:rPr>
        <w:t>95377</w:t>
      </w:r>
    </w:p>
    <w:p>
      <w:pPr>
        <w:pStyle w:val="BodyText"/>
        <w:spacing w:before="3"/>
        <w:rPr>
          <w:rFonts w:ascii="Times New Roman"/>
          <w:sz w:val="17"/>
        </w:rPr>
      </w:pPr>
    </w:p>
    <w:p>
      <w:pPr>
        <w:pStyle w:val="ListParagraph"/>
        <w:numPr>
          <w:ilvl w:val="0"/>
          <w:numId w:val="8"/>
        </w:numPr>
        <w:tabs>
          <w:tab w:pos="1691" w:val="left" w:leader="none"/>
        </w:tabs>
        <w:spacing w:line="240" w:lineRule="auto" w:before="1" w:after="0"/>
        <w:ind w:left="1691" w:right="0" w:hanging="731"/>
        <w:jc w:val="left"/>
        <w:rPr>
          <w:sz w:val="21"/>
        </w:rPr>
      </w:pPr>
      <w:r>
        <w:rPr>
          <w:spacing w:val="-3"/>
          <w:sz w:val="21"/>
        </w:rPr>
        <w:t>国都证券股份有限公司</w:t>
      </w:r>
    </w:p>
    <w:p>
      <w:pPr>
        <w:pStyle w:val="BodyText"/>
        <w:spacing w:before="6"/>
        <w:rPr>
          <w:sz w:val="15"/>
        </w:rPr>
      </w:pPr>
    </w:p>
    <w:p>
      <w:pPr>
        <w:pStyle w:val="BodyText"/>
        <w:ind w:left="96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7"/>
        <w:rPr>
          <w:sz w:val="15"/>
        </w:rPr>
      </w:pPr>
    </w:p>
    <w:p>
      <w:pPr>
        <w:pStyle w:val="BodyText"/>
        <w:spacing w:line="417" w:lineRule="auto"/>
        <w:ind w:left="960" w:right="184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ind w:left="960"/>
        <w:rPr>
          <w:rFonts w:ascii="Times New Roman" w:eastAsia="Times New Roman"/>
        </w:rPr>
      </w:pPr>
      <w:r>
        <w:rPr>
          <w:spacing w:val="-1"/>
        </w:rPr>
        <w:t>电话：</w:t>
      </w:r>
      <w:r>
        <w:rPr>
          <w:rFonts w:ascii="Times New Roman" w:eastAsia="Times New Roman"/>
          <w:spacing w:val="-1"/>
        </w:rPr>
        <w:t>010-84183389</w:t>
      </w:r>
    </w:p>
    <w:p>
      <w:pPr>
        <w:pStyle w:val="BodyText"/>
        <w:spacing w:before="4"/>
        <w:rPr>
          <w:rFonts w:ascii="Times New Roman"/>
          <w:sz w:val="17"/>
        </w:rPr>
      </w:pPr>
    </w:p>
    <w:p>
      <w:pPr>
        <w:pStyle w:val="BodyText"/>
        <w:ind w:left="96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960"/>
      </w:pPr>
      <w:r>
        <w:rPr/>
        <w:t>联系人：黄静</w:t>
      </w:r>
    </w:p>
    <w:p>
      <w:pPr>
        <w:pStyle w:val="BodyText"/>
        <w:spacing w:before="7"/>
        <w:rPr>
          <w:sz w:val="15"/>
        </w:rPr>
      </w:pPr>
    </w:p>
    <w:p>
      <w:pPr>
        <w:pStyle w:val="BodyText"/>
        <w:ind w:left="960"/>
        <w:rPr>
          <w:rFonts w:ascii="Times New Roman" w:eastAsia="Times New Roman"/>
        </w:rPr>
      </w:pPr>
      <w:r>
        <w:rPr/>
        <w:t>网址：</w:t>
      </w:r>
      <w:hyperlink r:id="rId131">
        <w:r>
          <w:rPr>
            <w:rFonts w:ascii="Times New Roman" w:eastAsia="Times New Roman"/>
          </w:rPr>
          <w:t>www.guodu.com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400-818-8118</w:t>
      </w:r>
    </w:p>
    <w:p>
      <w:pPr>
        <w:pStyle w:val="BodyText"/>
        <w:spacing w:before="4"/>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东海证券股份有限公司</w:t>
      </w:r>
    </w:p>
    <w:p>
      <w:pPr>
        <w:pStyle w:val="BodyText"/>
        <w:spacing w:before="7"/>
        <w:rPr>
          <w:sz w:val="15"/>
        </w:rPr>
      </w:pPr>
    </w:p>
    <w:p>
      <w:pPr>
        <w:pStyle w:val="BodyText"/>
        <w:ind w:left="96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7"/>
        <w:rPr>
          <w:sz w:val="15"/>
        </w:rPr>
      </w:pPr>
    </w:p>
    <w:p>
      <w:pPr>
        <w:pStyle w:val="BodyText"/>
        <w:spacing w:line="417" w:lineRule="auto"/>
        <w:ind w:left="960" w:right="299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960" w:right="634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960"/>
      </w:pPr>
      <w:r>
        <w:rPr/>
        <w:t>联系人：王一彦</w:t>
      </w:r>
    </w:p>
    <w:p>
      <w:pPr>
        <w:pStyle w:val="BodyText"/>
        <w:spacing w:before="6"/>
        <w:rPr>
          <w:sz w:val="15"/>
        </w:rPr>
      </w:pPr>
    </w:p>
    <w:p>
      <w:pPr>
        <w:pStyle w:val="BodyText"/>
        <w:ind w:left="960"/>
        <w:rPr>
          <w:rFonts w:ascii="Times New Roman" w:eastAsia="Times New Roman"/>
        </w:rPr>
      </w:pPr>
      <w:r>
        <w:rPr/>
        <w:t>网址：</w:t>
      </w:r>
      <w:hyperlink r:id="rId132">
        <w:r>
          <w:rPr>
            <w:rFonts w:ascii="Times New Roman" w:eastAsia="Times New Roman"/>
          </w:rPr>
          <w:t>www.longone.com.cn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4"/>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中银国际证券股份有限公司</w:t>
      </w:r>
    </w:p>
    <w:p>
      <w:pPr>
        <w:pStyle w:val="BodyText"/>
        <w:spacing w:before="6"/>
        <w:rPr>
          <w:sz w:val="15"/>
        </w:rPr>
      </w:pPr>
    </w:p>
    <w:p>
      <w:pPr>
        <w:pStyle w:val="BodyText"/>
        <w:spacing w:before="1"/>
        <w:ind w:left="960"/>
      </w:pPr>
      <w:r>
        <w:rPr/>
        <w:t>住所：上海浦东新区银城中路 </w:t>
      </w:r>
      <w:r>
        <w:rPr>
          <w:rFonts w:ascii="Times New Roman" w:eastAsia="Times New Roman"/>
        </w:rPr>
        <w:t>200 </w:t>
      </w:r>
      <w:r>
        <w:rPr/>
        <w:t>号中银大厦 </w:t>
      </w:r>
      <w:r>
        <w:rPr>
          <w:rFonts w:ascii="Times New Roman" w:eastAsia="Times New Roman"/>
        </w:rPr>
        <w:t>39 </w:t>
      </w:r>
      <w:r>
        <w:rPr/>
        <w:t>层</w:t>
      </w:r>
    </w:p>
    <w:p>
      <w:pPr>
        <w:pStyle w:val="BodyText"/>
        <w:spacing w:before="6"/>
        <w:rPr>
          <w:sz w:val="15"/>
        </w:rPr>
      </w:pPr>
    </w:p>
    <w:p>
      <w:pPr>
        <w:pStyle w:val="BodyText"/>
        <w:spacing w:line="417" w:lineRule="auto"/>
        <w:ind w:left="960" w:right="305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960" w:right="634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ind w:left="960"/>
      </w:pPr>
      <w:r>
        <w:rPr/>
        <w:t>联系人：王炜哲</w:t>
      </w:r>
    </w:p>
    <w:p>
      <w:pPr>
        <w:pStyle w:val="BodyText"/>
        <w:spacing w:before="7"/>
        <w:rPr>
          <w:sz w:val="15"/>
        </w:rPr>
      </w:pPr>
    </w:p>
    <w:p>
      <w:pPr>
        <w:pStyle w:val="BodyText"/>
        <w:ind w:left="960"/>
        <w:rPr>
          <w:rFonts w:ascii="Times New Roman" w:eastAsia="Times New Roman"/>
        </w:rPr>
      </w:pPr>
      <w:r>
        <w:rPr/>
        <w:t>网址：</w:t>
      </w:r>
      <w:hyperlink r:id="rId133">
        <w:r>
          <w:rPr>
            <w:rFonts w:ascii="Times New Roman" w:eastAsia="Times New Roman"/>
          </w:rPr>
          <w:t>www.bocichina.com.cn</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400-620-8888</w:t>
      </w:r>
    </w:p>
    <w:p>
      <w:pPr>
        <w:pStyle w:val="BodyText"/>
        <w:spacing w:before="3"/>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国盛证券有限责任公司</w:t>
      </w:r>
    </w:p>
    <w:p>
      <w:pPr>
        <w:pStyle w:val="BodyText"/>
        <w:spacing w:before="7"/>
        <w:rPr>
          <w:sz w:val="15"/>
        </w:rPr>
      </w:pPr>
    </w:p>
    <w:p>
      <w:pPr>
        <w:pStyle w:val="BodyText"/>
        <w:ind w:left="960"/>
      </w:pPr>
      <w:r>
        <w:rPr/>
        <w:t>住所：南昌市北京西路 </w:t>
      </w:r>
      <w:r>
        <w:rPr>
          <w:rFonts w:ascii="Times New Roman" w:eastAsia="Times New Roman"/>
        </w:rPr>
        <w:t>88 </w:t>
      </w:r>
      <w:r>
        <w:rPr/>
        <w:t>号江信国际金融大厦</w:t>
      </w:r>
    </w:p>
    <w:p>
      <w:pPr>
        <w:pStyle w:val="BodyText"/>
        <w:spacing w:before="6"/>
        <w:rPr>
          <w:sz w:val="15"/>
        </w:rPr>
      </w:pPr>
    </w:p>
    <w:p>
      <w:pPr>
        <w:pStyle w:val="BodyText"/>
        <w:spacing w:line="417" w:lineRule="auto" w:before="1"/>
        <w:ind w:left="960" w:right="1740"/>
      </w:pPr>
      <w:r>
        <w:rPr/>
        <w:t>办公地址：江西省南昌市红谷滩新区凤凰中大道 </w:t>
      </w:r>
      <w:r>
        <w:rPr>
          <w:rFonts w:ascii="Times New Roman" w:eastAsia="Times New Roman"/>
        </w:rPr>
        <w:t>1115 </w:t>
      </w:r>
      <w:r>
        <w:rPr/>
        <w:t>号北京银行大楼法定代表人：徐丽峰</w:t>
      </w:r>
    </w:p>
    <w:p>
      <w:pPr>
        <w:pStyle w:val="BodyText"/>
        <w:spacing w:line="417" w:lineRule="auto"/>
        <w:ind w:left="960" w:right="487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ind w:left="960"/>
      </w:pPr>
      <w:r>
        <w:rPr/>
        <w:t>联系人：占文驰</w:t>
      </w:r>
    </w:p>
    <w:p>
      <w:pPr>
        <w:pStyle w:val="BodyText"/>
        <w:spacing w:before="6"/>
        <w:rPr>
          <w:sz w:val="15"/>
        </w:rPr>
      </w:pPr>
    </w:p>
    <w:p>
      <w:pPr>
        <w:pStyle w:val="BodyText"/>
        <w:spacing w:line="417" w:lineRule="auto"/>
        <w:ind w:left="960" w:right="6101"/>
        <w:rPr>
          <w:rFonts w:ascii="Times New Roman" w:eastAsia="Times New Roman"/>
        </w:rPr>
      </w:pPr>
      <w:r>
        <w:rPr/>
        <w:t>网址：</w:t>
      </w:r>
      <w:hyperlink r:id="rId134">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华西证券股份有限公司</w:t>
      </w:r>
    </w:p>
    <w:p>
      <w:pPr>
        <w:pStyle w:val="BodyText"/>
        <w:spacing w:before="7"/>
        <w:rPr>
          <w:sz w:val="15"/>
        </w:rPr>
      </w:pPr>
    </w:p>
    <w:p>
      <w:pPr>
        <w:pStyle w:val="BodyText"/>
        <w:ind w:left="960"/>
      </w:pPr>
      <w:r>
        <w:rPr/>
        <w:t>住所：四川省成都市高新区天府二街 </w:t>
      </w:r>
      <w:r>
        <w:rPr>
          <w:rFonts w:ascii="Times New Roman" w:eastAsia="Times New Roman"/>
        </w:rPr>
        <w:t>198 </w:t>
      </w:r>
      <w:r>
        <w:rPr/>
        <w:t>号</w:t>
      </w:r>
    </w:p>
    <w:p>
      <w:pPr>
        <w:pStyle w:val="BodyText"/>
        <w:spacing w:before="7"/>
        <w:rPr>
          <w:sz w:val="15"/>
        </w:rPr>
      </w:pPr>
    </w:p>
    <w:p>
      <w:pPr>
        <w:pStyle w:val="BodyText"/>
        <w:spacing w:line="417" w:lineRule="auto"/>
        <w:ind w:left="960" w:right="3728"/>
      </w:pPr>
      <w:r>
        <w:rPr/>
        <w:t>办公地址：四川省成都市高新区天府二街 </w:t>
      </w:r>
      <w:r>
        <w:rPr>
          <w:rFonts w:ascii="Times New Roman" w:eastAsia="Times New Roman"/>
        </w:rPr>
        <w:t>198 </w:t>
      </w:r>
      <w:r>
        <w:rPr/>
        <w:t>号法定代表人：杨炯洋</w:t>
      </w:r>
    </w:p>
    <w:p>
      <w:pPr>
        <w:pStyle w:val="BodyText"/>
        <w:spacing w:line="417" w:lineRule="auto"/>
        <w:ind w:left="960" w:right="634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960"/>
      </w:pPr>
      <w:r>
        <w:rPr/>
        <w:t>联系人：谢国梅</w:t>
      </w:r>
    </w:p>
    <w:p>
      <w:pPr>
        <w:pStyle w:val="BodyText"/>
        <w:spacing w:before="6"/>
        <w:rPr>
          <w:sz w:val="15"/>
        </w:rPr>
      </w:pPr>
    </w:p>
    <w:p>
      <w:pPr>
        <w:pStyle w:val="BodyText"/>
        <w:spacing w:line="417" w:lineRule="auto" w:before="1"/>
        <w:ind w:left="960" w:right="5844"/>
        <w:rPr>
          <w:rFonts w:ascii="Times New Roman" w:eastAsia="Times New Roman"/>
        </w:rPr>
      </w:pPr>
      <w:r>
        <w:rPr/>
        <w:t>网址：</w:t>
      </w:r>
      <w:hyperlink r:id="rId135">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8"/>
        </w:numPr>
        <w:tabs>
          <w:tab w:pos="1699" w:val="left" w:leader="none"/>
        </w:tabs>
        <w:spacing w:line="269" w:lineRule="exact" w:before="0" w:after="0"/>
        <w:ind w:left="1698" w:right="0" w:hanging="739"/>
        <w:jc w:val="left"/>
        <w:rPr>
          <w:sz w:val="21"/>
        </w:rPr>
      </w:pPr>
      <w:r>
        <w:rPr>
          <w:spacing w:val="-3"/>
          <w:sz w:val="21"/>
        </w:rPr>
        <w:t>申万宏源西部证券有限公司</w:t>
      </w:r>
    </w:p>
    <w:p>
      <w:pPr>
        <w:pStyle w:val="BodyText"/>
        <w:spacing w:before="6"/>
        <w:rPr>
          <w:sz w:val="15"/>
        </w:rPr>
      </w:pPr>
    </w:p>
    <w:p>
      <w:pPr>
        <w:pStyle w:val="BodyText"/>
        <w:ind w:left="96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8"/>
        <w:rPr>
          <w:sz w:val="15"/>
        </w:rPr>
      </w:pPr>
    </w:p>
    <w:p>
      <w:pPr>
        <w:pStyle w:val="BodyText"/>
        <w:ind w:left="96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3"/>
        <w:rPr>
          <w:rFonts w:ascii="Times New Roman"/>
          <w:sz w:val="17"/>
        </w:rPr>
      </w:pPr>
    </w:p>
    <w:p>
      <w:pPr>
        <w:pStyle w:val="BodyText"/>
        <w:ind w:left="540"/>
      </w:pPr>
      <w:r>
        <w:rPr/>
        <w:t>室（</w:t>
      </w:r>
      <w:r>
        <w:rPr>
          <w:rFonts w:ascii="Times New Roman" w:eastAsia="Times New Roman"/>
        </w:rPr>
        <w:t>830002</w:t>
      </w:r>
      <w:r>
        <w:rPr/>
        <w:t>）</w:t>
      </w:r>
    </w:p>
    <w:p>
      <w:pPr>
        <w:pStyle w:val="BodyText"/>
        <w:spacing w:before="7"/>
        <w:rPr>
          <w:sz w:val="15"/>
        </w:rPr>
      </w:pPr>
    </w:p>
    <w:p>
      <w:pPr>
        <w:pStyle w:val="BodyText"/>
        <w:spacing w:line="417" w:lineRule="auto"/>
        <w:ind w:left="960" w:right="631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960"/>
      </w:pPr>
      <w:r>
        <w:rPr/>
        <w:t>联系人：王怀春</w:t>
      </w:r>
    </w:p>
    <w:p>
      <w:pPr>
        <w:pStyle w:val="BodyText"/>
        <w:spacing w:before="7"/>
        <w:rPr>
          <w:sz w:val="15"/>
        </w:rPr>
      </w:pPr>
    </w:p>
    <w:p>
      <w:pPr>
        <w:pStyle w:val="BodyText"/>
        <w:ind w:left="960"/>
        <w:rPr>
          <w:rFonts w:ascii="Times New Roman" w:eastAsia="Times New Roman"/>
        </w:rPr>
      </w:pPr>
      <w:r>
        <w:rPr/>
        <w:t>网址：</w:t>
      </w:r>
      <w:hyperlink r:id="rId136">
        <w:r>
          <w:rPr>
            <w:rFonts w:ascii="Times New Roman" w:eastAsia="Times New Roman"/>
          </w:rPr>
          <w:t>www.hysec.com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中泰证券股份有限公司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住所：山东省济南市市中区经七路 </w:t>
      </w:r>
      <w:r>
        <w:rPr>
          <w:rFonts w:ascii="Times New Roman" w:eastAsia="Times New Roman"/>
        </w:rPr>
        <w:t>86 </w:t>
      </w:r>
      <w:r>
        <w:rPr/>
        <w:t>号</w:t>
      </w:r>
    </w:p>
    <w:p>
      <w:pPr>
        <w:pStyle w:val="BodyText"/>
        <w:spacing w:before="6"/>
        <w:rPr>
          <w:sz w:val="15"/>
        </w:rPr>
      </w:pPr>
    </w:p>
    <w:p>
      <w:pPr>
        <w:pStyle w:val="BodyText"/>
        <w:spacing w:line="417" w:lineRule="auto"/>
        <w:ind w:left="960" w:right="4043"/>
      </w:pPr>
      <w:r>
        <w:rPr/>
        <w:t>办公地址：山东省济南市市中区经七路 </w:t>
      </w:r>
      <w:r>
        <w:rPr>
          <w:rFonts w:ascii="Times New Roman" w:eastAsia="Times New Roman"/>
        </w:rPr>
        <w:t>86 </w:t>
      </w:r>
      <w:r>
        <w:rPr/>
        <w:t>号法定代表人：李玮</w:t>
      </w:r>
    </w:p>
    <w:p>
      <w:pPr>
        <w:pStyle w:val="BodyText"/>
        <w:spacing w:line="417" w:lineRule="auto"/>
        <w:ind w:left="960" w:right="634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960"/>
      </w:pPr>
      <w:r>
        <w:rPr/>
        <w:t>联系人：许曼华</w:t>
      </w:r>
    </w:p>
    <w:p>
      <w:pPr>
        <w:pStyle w:val="BodyText"/>
        <w:spacing w:before="7"/>
        <w:rPr>
          <w:sz w:val="15"/>
        </w:rPr>
      </w:pPr>
    </w:p>
    <w:p>
      <w:pPr>
        <w:pStyle w:val="BodyText"/>
        <w:spacing w:line="417" w:lineRule="auto"/>
        <w:ind w:left="960" w:right="6137"/>
        <w:rPr>
          <w:rFonts w:ascii="Times New Roman" w:eastAsia="Times New Roman"/>
        </w:rPr>
      </w:pPr>
      <w:r>
        <w:rPr/>
        <w:t>网址：</w:t>
      </w:r>
      <w:hyperlink r:id="rId137">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8"/>
        </w:numPr>
        <w:tabs>
          <w:tab w:pos="1699" w:val="left" w:leader="none"/>
        </w:tabs>
        <w:spacing w:line="240" w:lineRule="auto" w:before="0" w:after="0"/>
        <w:ind w:left="1698" w:right="0" w:hanging="739"/>
        <w:jc w:val="left"/>
        <w:rPr>
          <w:sz w:val="21"/>
        </w:rPr>
      </w:pPr>
      <w:r>
        <w:rPr>
          <w:spacing w:val="-3"/>
          <w:sz w:val="21"/>
        </w:rPr>
        <w:t>世纪证券有限责任公司</w:t>
      </w:r>
    </w:p>
    <w:p>
      <w:pPr>
        <w:pStyle w:val="BodyText"/>
        <w:spacing w:before="5"/>
        <w:rPr>
          <w:sz w:val="9"/>
        </w:rPr>
      </w:pPr>
    </w:p>
    <w:p>
      <w:pPr>
        <w:pStyle w:val="BodyText"/>
        <w:spacing w:before="79"/>
        <w:ind w:left="960"/>
      </w:pPr>
      <w:r>
        <w:rPr/>
        <w:t>住所：深圳市前海深港合作区南山街道桂湾五路 </w:t>
      </w:r>
      <w:r>
        <w:rPr>
          <w:rFonts w:ascii="Times New Roman" w:eastAsia="Times New Roman"/>
        </w:rPr>
        <w:t>128 </w:t>
      </w:r>
      <w:r>
        <w:rPr/>
        <w:t>号前海深港基金小镇对冲基金中心</w:t>
      </w:r>
    </w:p>
    <w:p>
      <w:pPr>
        <w:pStyle w:val="BodyText"/>
        <w:spacing w:before="5"/>
        <w:rPr>
          <w:sz w:val="16"/>
        </w:rPr>
      </w:pPr>
    </w:p>
    <w:p>
      <w:pPr>
        <w:pStyle w:val="BodyText"/>
        <w:ind w:left="54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960" w:right="2922"/>
      </w:pPr>
      <w:r>
        <w:rPr/>
        <w:t>办公地址：深圳市福田区深南大道招商银行大厦 </w:t>
      </w:r>
      <w:r>
        <w:rPr>
          <w:rFonts w:ascii="Times New Roman" w:eastAsia="Times New Roman"/>
        </w:rPr>
        <w:t>40-42 </w:t>
      </w:r>
      <w:r>
        <w:rPr/>
        <w:t>层法定代表人：李强</w:t>
      </w:r>
    </w:p>
    <w:p>
      <w:pPr>
        <w:pStyle w:val="BodyText"/>
        <w:spacing w:line="417" w:lineRule="auto"/>
        <w:ind w:left="960" w:right="554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ind w:left="960"/>
      </w:pPr>
      <w:r>
        <w:rPr/>
        <w:t>联系人：王雯</w:t>
      </w:r>
    </w:p>
    <w:p>
      <w:pPr>
        <w:pStyle w:val="BodyText"/>
        <w:spacing w:before="6"/>
        <w:rPr>
          <w:sz w:val="15"/>
        </w:rPr>
      </w:pPr>
    </w:p>
    <w:p>
      <w:pPr>
        <w:pStyle w:val="BodyText"/>
        <w:ind w:left="960"/>
        <w:rPr>
          <w:rFonts w:ascii="Times New Roman" w:eastAsia="Times New Roman"/>
        </w:rPr>
      </w:pPr>
      <w:r>
        <w:rPr/>
        <w:t>网址：</w:t>
      </w:r>
      <w:hyperlink r:id="rId138">
        <w:r>
          <w:rPr>
            <w:rFonts w:ascii="Times New Roman" w:eastAsia="Times New Roman"/>
          </w:rPr>
          <w:t>www.csco.com.cn</w:t>
        </w:r>
      </w:hyperlink>
    </w:p>
    <w:p>
      <w:pPr>
        <w:pStyle w:val="BodyText"/>
        <w:spacing w:before="3"/>
        <w:rPr>
          <w:rFonts w:ascii="Times New Roman"/>
          <w:sz w:val="17"/>
        </w:rPr>
      </w:pP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第一创业证券股份有限公司</w:t>
      </w:r>
    </w:p>
    <w:p>
      <w:pPr>
        <w:pStyle w:val="BodyText"/>
        <w:spacing w:before="6"/>
        <w:rPr>
          <w:sz w:val="15"/>
        </w:rPr>
      </w:pPr>
    </w:p>
    <w:p>
      <w:pPr>
        <w:pStyle w:val="BodyText"/>
        <w:ind w:left="960"/>
      </w:pPr>
      <w:r>
        <w:rPr/>
        <w:t>住所：深圳市福田区福华一路 </w:t>
      </w:r>
      <w:r>
        <w:rPr>
          <w:rFonts w:ascii="Times New Roman" w:eastAsia="Times New Roman"/>
        </w:rPr>
        <w:t>115 </w:t>
      </w:r>
      <w:r>
        <w:rPr/>
        <w:t>号投行大厦 </w:t>
      </w:r>
      <w:r>
        <w:rPr>
          <w:rFonts w:ascii="Times New Roman" w:eastAsia="Times New Roman"/>
        </w:rPr>
        <w:t>20 </w:t>
      </w:r>
      <w:r>
        <w:rPr/>
        <w:t>楼</w:t>
      </w:r>
    </w:p>
    <w:p>
      <w:pPr>
        <w:pStyle w:val="BodyText"/>
        <w:spacing w:before="7"/>
        <w:rPr>
          <w:sz w:val="15"/>
        </w:rPr>
      </w:pPr>
    </w:p>
    <w:p>
      <w:pPr>
        <w:pStyle w:val="BodyText"/>
        <w:spacing w:line="417" w:lineRule="auto"/>
        <w:ind w:left="960" w:right="306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960" w:right="624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960"/>
      </w:pPr>
      <w:r>
        <w:rPr/>
        <w:t>联系人：单晶</w:t>
      </w:r>
    </w:p>
    <w:p>
      <w:pPr>
        <w:pStyle w:val="BodyText"/>
        <w:spacing w:before="7"/>
        <w:rPr>
          <w:sz w:val="15"/>
        </w:rPr>
      </w:pPr>
    </w:p>
    <w:p>
      <w:pPr>
        <w:pStyle w:val="BodyText"/>
        <w:spacing w:line="417" w:lineRule="auto"/>
        <w:ind w:left="960" w:right="5472"/>
        <w:rPr>
          <w:rFonts w:ascii="Times New Roman" w:eastAsia="Times New Roman"/>
        </w:rPr>
      </w:pPr>
      <w:r>
        <w:rPr/>
        <w:t>网址：</w:t>
      </w:r>
      <w:hyperlink r:id="rId139">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金元证券股份有限公司</w:t>
      </w:r>
    </w:p>
    <w:p>
      <w:pPr>
        <w:pStyle w:val="BodyText"/>
        <w:spacing w:before="7"/>
        <w:rPr>
          <w:sz w:val="15"/>
        </w:rPr>
      </w:pPr>
    </w:p>
    <w:p>
      <w:pPr>
        <w:pStyle w:val="BodyText"/>
        <w:ind w:left="960"/>
      </w:pPr>
      <w:r>
        <w:rPr/>
        <w:t>住所：海口市南宝路 </w:t>
      </w:r>
      <w:r>
        <w:rPr>
          <w:rFonts w:ascii="Times New Roman" w:eastAsia="Times New Roman"/>
        </w:rPr>
        <w:t>36 </w:t>
      </w:r>
      <w:r>
        <w:rPr/>
        <w:t>号证券大厦 </w:t>
      </w:r>
      <w:r>
        <w:rPr>
          <w:rFonts w:ascii="Times New Roman" w:eastAsia="Times New Roman"/>
        </w:rPr>
        <w:t>4 </w:t>
      </w:r>
      <w:r>
        <w:rPr/>
        <w:t>楼</w:t>
      </w:r>
    </w:p>
    <w:p>
      <w:pPr>
        <w:pStyle w:val="BodyText"/>
        <w:spacing w:before="7"/>
        <w:rPr>
          <w:sz w:val="15"/>
        </w:rPr>
      </w:pPr>
    </w:p>
    <w:p>
      <w:pPr>
        <w:pStyle w:val="BodyText"/>
        <w:spacing w:line="417" w:lineRule="auto"/>
        <w:ind w:left="960" w:right="3160"/>
      </w:pPr>
      <w:r>
        <w:rPr>
          <w:spacing w:val="-7"/>
        </w:rPr>
        <w:t>办公地址：深圳市深南大道 </w:t>
      </w:r>
      <w:r>
        <w:rPr>
          <w:rFonts w:ascii="Times New Roman" w:eastAsia="Times New Roman"/>
        </w:rPr>
        <w:t>4001 </w:t>
      </w:r>
      <w:r>
        <w:rPr>
          <w:spacing w:val="-9"/>
        </w:rPr>
        <w:t>号时代金融中心 </w:t>
      </w:r>
      <w:r>
        <w:rPr>
          <w:rFonts w:ascii="Times New Roman" w:eastAsia="Times New Roman"/>
        </w:rPr>
        <w:t>17 </w:t>
      </w:r>
      <w:r>
        <w:rPr/>
        <w:t>层</w:t>
      </w:r>
      <w:r>
        <w:rPr>
          <w:spacing w:val="-3"/>
        </w:rPr>
        <w:t>法定代表人：陆涛</w:t>
      </w:r>
    </w:p>
    <w:p>
      <w:pPr>
        <w:spacing w:after="0" w:line="417" w:lineRule="auto"/>
        <w:sectPr>
          <w:pgSz w:w="11910" w:h="16840"/>
          <w:pgMar w:header="877" w:footer="995" w:top="1420" w:bottom="1180" w:left="1260" w:right="1480"/>
        </w:sectPr>
      </w:pPr>
    </w:p>
    <w:p>
      <w:pPr>
        <w:pStyle w:val="BodyText"/>
        <w:spacing w:line="417" w:lineRule="auto" w:before="110"/>
        <w:ind w:left="960" w:right="624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960" w:right="6468"/>
        <w:rPr>
          <w:rFonts w:ascii="Times New Roman" w:eastAsia="Times New Roman"/>
        </w:rPr>
      </w:pPr>
      <w:r>
        <w:rPr>
          <w:spacing w:val="-2"/>
        </w:rPr>
        <w:t>联系人：马贤清 </w:t>
      </w:r>
      <w:r>
        <w:rPr>
          <w:spacing w:val="-4"/>
        </w:rPr>
        <w:t>网址：</w:t>
      </w:r>
      <w:hyperlink r:id="rId140">
        <w:r>
          <w:rPr>
            <w:rFonts w:ascii="Times New Roman" w:eastAsia="Times New Roman"/>
            <w:spacing w:val="-5"/>
          </w:rPr>
          <w:t>www.jyzq.cn</w:t>
        </w:r>
      </w:hyperlink>
    </w:p>
    <w:p>
      <w:pPr>
        <w:pStyle w:val="BodyText"/>
        <w:spacing w:line="269" w:lineRule="exact"/>
        <w:ind w:left="96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中航证券有限公司</w:t>
      </w:r>
    </w:p>
    <w:p>
      <w:pPr>
        <w:pStyle w:val="BodyText"/>
        <w:spacing w:before="6"/>
        <w:rPr>
          <w:sz w:val="15"/>
        </w:rPr>
      </w:pPr>
    </w:p>
    <w:p>
      <w:pPr>
        <w:pStyle w:val="BodyText"/>
        <w:spacing w:before="1"/>
        <w:ind w:left="960"/>
      </w:pPr>
      <w:r>
        <w:rPr/>
        <w:t>住所：江西省南昌市红谷滩新区红谷中大道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w:t>
      </w:r>
    </w:p>
    <w:p>
      <w:pPr>
        <w:pStyle w:val="BodyText"/>
        <w:spacing w:before="7"/>
        <w:rPr>
          <w:sz w:val="15"/>
        </w:rPr>
      </w:pPr>
    </w:p>
    <w:p>
      <w:pPr>
        <w:pStyle w:val="BodyText"/>
        <w:spacing w:line="417" w:lineRule="auto"/>
        <w:ind w:left="960" w:right="321"/>
      </w:pPr>
      <w:r>
        <w:rPr/>
        <w:t>办公地址：江西省南昌市红谷滩新区红谷中大道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层法定代表人：王宜四</w:t>
      </w:r>
    </w:p>
    <w:p>
      <w:pPr>
        <w:pStyle w:val="BodyText"/>
        <w:spacing w:line="417" w:lineRule="auto"/>
        <w:ind w:left="960" w:right="624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spacing w:line="269" w:lineRule="exact"/>
        <w:ind w:left="960"/>
      </w:pPr>
      <w:r>
        <w:rPr/>
        <w:t>联系人：戴蕾</w:t>
      </w:r>
    </w:p>
    <w:p>
      <w:pPr>
        <w:pStyle w:val="BodyText"/>
        <w:spacing w:before="6"/>
        <w:rPr>
          <w:sz w:val="15"/>
        </w:rPr>
      </w:pPr>
    </w:p>
    <w:p>
      <w:pPr>
        <w:pStyle w:val="BodyText"/>
        <w:spacing w:line="417" w:lineRule="auto"/>
        <w:ind w:left="960" w:right="6002"/>
        <w:rPr>
          <w:rFonts w:ascii="Times New Roman" w:eastAsia="Times New Roman"/>
        </w:rPr>
      </w:pPr>
      <w:r>
        <w:rPr/>
        <w:t>网址：</w:t>
      </w:r>
      <w:hyperlink r:id="rId141">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西部证券股份有限公司</w:t>
      </w:r>
    </w:p>
    <w:p>
      <w:pPr>
        <w:pStyle w:val="BodyText"/>
        <w:spacing w:before="7"/>
        <w:rPr>
          <w:sz w:val="15"/>
        </w:rPr>
      </w:pPr>
    </w:p>
    <w:p>
      <w:pPr>
        <w:pStyle w:val="BodyText"/>
        <w:ind w:left="96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7"/>
        <w:rPr>
          <w:sz w:val="15"/>
        </w:rPr>
      </w:pPr>
    </w:p>
    <w:p>
      <w:pPr>
        <w:pStyle w:val="BodyText"/>
        <w:spacing w:line="417" w:lineRule="auto"/>
        <w:ind w:left="960" w:right="274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17" w:lineRule="auto"/>
        <w:ind w:left="960" w:right="634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960"/>
      </w:pPr>
      <w:r>
        <w:rPr/>
        <w:t>联系人：梁承华</w:t>
      </w:r>
    </w:p>
    <w:p>
      <w:pPr>
        <w:pStyle w:val="BodyText"/>
        <w:spacing w:before="7"/>
        <w:rPr>
          <w:sz w:val="15"/>
        </w:rPr>
      </w:pPr>
    </w:p>
    <w:p>
      <w:pPr>
        <w:pStyle w:val="BodyText"/>
        <w:spacing w:line="417" w:lineRule="auto"/>
        <w:ind w:left="960" w:right="5861"/>
        <w:rPr>
          <w:rFonts w:ascii="Times New Roman" w:eastAsia="Times New Roman"/>
        </w:rPr>
      </w:pPr>
      <w:r>
        <w:rPr/>
        <w:t>网址：</w:t>
      </w:r>
      <w:hyperlink r:id="rId142">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华福证券有限责任公司</w:t>
      </w:r>
    </w:p>
    <w:p>
      <w:pPr>
        <w:pStyle w:val="BodyText"/>
        <w:spacing w:before="6"/>
        <w:rPr>
          <w:sz w:val="15"/>
        </w:rPr>
      </w:pPr>
    </w:p>
    <w:p>
      <w:pPr>
        <w:pStyle w:val="BodyText"/>
        <w:spacing w:before="1"/>
        <w:ind w:left="960"/>
      </w:pPr>
      <w:r>
        <w:rPr/>
        <w:t>住所：福州市五四路 </w:t>
      </w:r>
      <w:r>
        <w:rPr>
          <w:rFonts w:ascii="Times New Roman" w:eastAsia="Times New Roman"/>
        </w:rPr>
        <w:t>157 </w:t>
      </w:r>
      <w:r>
        <w:rPr/>
        <w:t>号新天地大厦 </w:t>
      </w:r>
      <w:r>
        <w:rPr>
          <w:rFonts w:ascii="Times New Roman" w:eastAsia="Times New Roman"/>
        </w:rPr>
        <w:t>7</w:t>
      </w:r>
      <w:r>
        <w:rPr/>
        <w:t>、</w:t>
      </w:r>
      <w:r>
        <w:rPr>
          <w:rFonts w:ascii="Times New Roman" w:eastAsia="Times New Roman"/>
        </w:rPr>
        <w:t>8 </w:t>
      </w:r>
      <w:r>
        <w:rPr/>
        <w:t>层</w:t>
      </w:r>
    </w:p>
    <w:p>
      <w:pPr>
        <w:pStyle w:val="BodyText"/>
        <w:spacing w:before="6"/>
        <w:rPr>
          <w:sz w:val="15"/>
        </w:rPr>
      </w:pPr>
    </w:p>
    <w:p>
      <w:pPr>
        <w:pStyle w:val="BodyText"/>
        <w:spacing w:line="417" w:lineRule="auto"/>
        <w:ind w:left="960" w:right="326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17" w:lineRule="auto"/>
        <w:ind w:left="960" w:right="624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ind w:left="960"/>
      </w:pPr>
      <w:r>
        <w:rPr/>
        <w:t>联系人：张腾</w:t>
      </w:r>
    </w:p>
    <w:p>
      <w:pPr>
        <w:spacing w:after="0"/>
        <w:sectPr>
          <w:pgSz w:w="11910" w:h="16840"/>
          <w:pgMar w:header="877" w:footer="995" w:top="1420" w:bottom="1180" w:left="1260" w:right="1480"/>
        </w:sectPr>
      </w:pPr>
    </w:p>
    <w:p>
      <w:pPr>
        <w:pStyle w:val="BodyText"/>
        <w:spacing w:line="417" w:lineRule="auto" w:before="110"/>
        <w:ind w:left="960" w:right="5997"/>
        <w:rPr>
          <w:rFonts w:ascii="Times New Roman" w:eastAsia="Times New Roman"/>
        </w:rPr>
      </w:pPr>
      <w:r>
        <w:rPr/>
        <w:t>网址：</w:t>
      </w:r>
      <w:hyperlink r:id="rId143">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华龙证券股份有限公司</w:t>
      </w:r>
    </w:p>
    <w:p>
      <w:pPr>
        <w:pStyle w:val="BodyText"/>
        <w:spacing w:before="6"/>
        <w:rPr>
          <w:sz w:val="15"/>
        </w:rPr>
      </w:pPr>
    </w:p>
    <w:p>
      <w:pPr>
        <w:pStyle w:val="BodyText"/>
        <w:ind w:left="960"/>
      </w:pPr>
      <w:r>
        <w:rPr/>
        <w:t>住所：甘肃省兰州市静宁路 </w:t>
      </w:r>
      <w:r>
        <w:rPr>
          <w:rFonts w:ascii="Times New Roman" w:eastAsia="Times New Roman"/>
        </w:rPr>
        <w:t>308 </w:t>
      </w:r>
      <w:r>
        <w:rPr/>
        <w:t>号</w:t>
      </w:r>
    </w:p>
    <w:p>
      <w:pPr>
        <w:pStyle w:val="BodyText"/>
        <w:spacing w:before="7"/>
        <w:rPr>
          <w:sz w:val="15"/>
        </w:rPr>
      </w:pPr>
    </w:p>
    <w:p>
      <w:pPr>
        <w:pStyle w:val="BodyText"/>
        <w:spacing w:line="417" w:lineRule="auto"/>
        <w:ind w:left="960" w:right="462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0931-4890100</w:t>
      </w:r>
    </w:p>
    <w:p>
      <w:pPr>
        <w:pStyle w:val="BodyText"/>
        <w:spacing w:before="4"/>
        <w:rPr>
          <w:rFonts w:ascii="Times New Roman"/>
          <w:sz w:val="17"/>
        </w:rPr>
      </w:pPr>
    </w:p>
    <w:p>
      <w:pPr>
        <w:pStyle w:val="BodyText"/>
        <w:ind w:left="960"/>
      </w:pPr>
      <w:r>
        <w:rPr/>
        <w:t>联系人：李昕田</w:t>
      </w:r>
    </w:p>
    <w:p>
      <w:pPr>
        <w:pStyle w:val="BodyText"/>
        <w:spacing w:before="7"/>
        <w:rPr>
          <w:sz w:val="15"/>
        </w:rPr>
      </w:pPr>
    </w:p>
    <w:p>
      <w:pPr>
        <w:pStyle w:val="BodyText"/>
        <w:ind w:left="960"/>
        <w:rPr>
          <w:rFonts w:ascii="Times New Roman" w:eastAsia="Times New Roman"/>
        </w:rPr>
      </w:pPr>
      <w:r>
        <w:rPr/>
        <w:t>网址：</w:t>
      </w:r>
      <w:hyperlink r:id="rId144">
        <w:r>
          <w:rPr>
            <w:rFonts w:ascii="Times New Roman" w:eastAsia="Times New Roman"/>
          </w:rPr>
          <w:t>www.hlzqgs.com</w:t>
        </w:r>
      </w:hyperlink>
    </w:p>
    <w:p>
      <w:pPr>
        <w:pStyle w:val="BodyText"/>
        <w:spacing w:before="3"/>
        <w:rPr>
          <w:rFonts w:ascii="Times New Roman"/>
          <w:sz w:val="17"/>
        </w:rPr>
      </w:pPr>
    </w:p>
    <w:p>
      <w:pPr>
        <w:pStyle w:val="BodyText"/>
        <w:ind w:left="96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7"/>
        <w:rPr>
          <w:sz w:val="15"/>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中国国际金融股份有限公司</w:t>
      </w:r>
    </w:p>
    <w:p>
      <w:pPr>
        <w:pStyle w:val="BodyText"/>
        <w:spacing w:before="7"/>
        <w:rPr>
          <w:sz w:val="15"/>
        </w:rPr>
      </w:pPr>
    </w:p>
    <w:p>
      <w:pPr>
        <w:pStyle w:val="BodyText"/>
        <w:ind w:left="96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7"/>
        <w:rPr>
          <w:sz w:val="15"/>
        </w:rPr>
      </w:pPr>
    </w:p>
    <w:p>
      <w:pPr>
        <w:pStyle w:val="BodyText"/>
        <w:spacing w:line="417" w:lineRule="auto"/>
        <w:ind w:left="960" w:right="232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17" w:lineRule="auto"/>
        <w:ind w:left="960" w:right="634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960" w:right="5890"/>
        <w:rPr>
          <w:rFonts w:ascii="Times New Roman" w:eastAsia="Times New Roman"/>
        </w:rPr>
      </w:pPr>
      <w:r>
        <w:rPr/>
        <w:t>联系人：罗春蓉、武明明网址：</w:t>
      </w:r>
      <w:hyperlink r:id="rId145">
        <w:r>
          <w:rPr>
            <w:rFonts w:ascii="Times New Roman" w:eastAsia="Times New Roman"/>
          </w:rPr>
          <w:t>www.cicc.com.cn</w:t>
        </w:r>
      </w:hyperlink>
    </w:p>
    <w:p>
      <w:pPr>
        <w:pStyle w:val="BodyText"/>
        <w:spacing w:line="269" w:lineRule="exact"/>
        <w:ind w:left="96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上海华信证券有限责任公司</w:t>
      </w:r>
    </w:p>
    <w:p>
      <w:pPr>
        <w:pStyle w:val="BodyText"/>
        <w:spacing w:before="6"/>
        <w:rPr>
          <w:sz w:val="15"/>
        </w:rPr>
      </w:pPr>
    </w:p>
    <w:p>
      <w:pPr>
        <w:pStyle w:val="BodyText"/>
        <w:spacing w:before="1"/>
        <w:ind w:left="960"/>
      </w:pPr>
      <w:r>
        <w:rPr/>
        <w:t>住所：上海市浦东新区世纪大道 </w:t>
      </w:r>
      <w:r>
        <w:rPr>
          <w:rFonts w:ascii="Times New Roman" w:eastAsia="Times New Roman"/>
        </w:rPr>
        <w:t>100 </w:t>
      </w:r>
      <w:r>
        <w:rPr/>
        <w:t>号环球金融中心</w:t>
      </w:r>
    </w:p>
    <w:p>
      <w:pPr>
        <w:pStyle w:val="BodyText"/>
        <w:spacing w:before="7"/>
        <w:rPr>
          <w:sz w:val="15"/>
        </w:rPr>
      </w:pPr>
    </w:p>
    <w:p>
      <w:pPr>
        <w:pStyle w:val="BodyText"/>
        <w:spacing w:line="417" w:lineRule="auto"/>
        <w:ind w:left="960" w:right="305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021-63898427</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021-68776977-8427</w:t>
      </w:r>
    </w:p>
    <w:p>
      <w:pPr>
        <w:pStyle w:val="BodyText"/>
        <w:spacing w:before="4"/>
        <w:rPr>
          <w:rFonts w:ascii="Times New Roman"/>
          <w:sz w:val="17"/>
        </w:rPr>
      </w:pPr>
    </w:p>
    <w:p>
      <w:pPr>
        <w:pStyle w:val="BodyText"/>
        <w:ind w:left="960"/>
      </w:pPr>
      <w:r>
        <w:rPr/>
        <w:t>联系人：徐璐</w:t>
      </w:r>
    </w:p>
    <w:p>
      <w:pPr>
        <w:pStyle w:val="BodyText"/>
        <w:spacing w:before="6"/>
        <w:rPr>
          <w:sz w:val="15"/>
        </w:rPr>
      </w:pPr>
    </w:p>
    <w:p>
      <w:pPr>
        <w:pStyle w:val="BodyText"/>
        <w:spacing w:before="1"/>
        <w:ind w:left="960"/>
        <w:rPr>
          <w:rFonts w:ascii="Times New Roman" w:eastAsia="Times New Roman"/>
        </w:rPr>
      </w:pPr>
      <w:r>
        <w:rPr/>
        <w:t>网址：</w:t>
      </w:r>
      <w:hyperlink r:id="rId146">
        <w:r>
          <w:rPr>
            <w:rFonts w:ascii="Times New Roman" w:eastAsia="Times New Roman"/>
          </w:rPr>
          <w:t>www.shhxzq.com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400-820-5999</w:t>
      </w:r>
    </w:p>
    <w:p>
      <w:pPr>
        <w:pStyle w:val="BodyText"/>
        <w:spacing w:before="4"/>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华鑫证券有限责任公司</w:t>
      </w:r>
    </w:p>
    <w:p>
      <w:pPr>
        <w:pStyle w:val="BodyText"/>
        <w:spacing w:before="7"/>
        <w:rPr>
          <w:sz w:val="15"/>
        </w:rPr>
      </w:pPr>
    </w:p>
    <w:p>
      <w:pPr>
        <w:pStyle w:val="BodyText"/>
        <w:ind w:left="960"/>
      </w:pPr>
      <w:r>
        <w:rPr/>
        <w:t>住所：深圳市福田区莲花街道福中社区深南大道 </w:t>
      </w:r>
      <w:r>
        <w:rPr>
          <w:rFonts w:ascii="Times New Roman" w:eastAsia="Times New Roman"/>
        </w:rPr>
        <w:t>2008 </w:t>
      </w:r>
      <w:r>
        <w:rPr/>
        <w:t>号中国凤凰大厦 </w:t>
      </w:r>
      <w:r>
        <w:rPr>
          <w:rFonts w:ascii="Times New Roman" w:eastAsia="Times New Roman"/>
        </w:rPr>
        <w:t>1 </w:t>
      </w:r>
      <w:r>
        <w:rPr/>
        <w:t>栋 </w:t>
      </w:r>
      <w:r>
        <w:rPr>
          <w:rFonts w:ascii="Times New Roman" w:eastAsia="Times New Roman"/>
        </w:rPr>
        <w:t>20C-1 </w:t>
      </w:r>
      <w:r>
        <w:rPr/>
        <w:t>房</w:t>
      </w:r>
    </w:p>
    <w:p>
      <w:pPr>
        <w:spacing w:after="0"/>
        <w:sectPr>
          <w:pgSz w:w="11910" w:h="16840"/>
          <w:pgMar w:header="877" w:footer="995" w:top="1420" w:bottom="1180" w:left="1260" w:right="1480"/>
        </w:sectPr>
      </w:pPr>
    </w:p>
    <w:p>
      <w:pPr>
        <w:pStyle w:val="BodyText"/>
        <w:spacing w:line="417" w:lineRule="auto" w:before="110"/>
        <w:ind w:left="960" w:right="4568"/>
      </w:pPr>
      <w:r>
        <w:rPr/>
        <w:t>办公地址：上海市徐汇区宛平南路 </w:t>
      </w:r>
      <w:r>
        <w:rPr>
          <w:rFonts w:ascii="Times New Roman" w:eastAsia="Times New Roman"/>
        </w:rPr>
        <w:t>8 </w:t>
      </w:r>
      <w:r>
        <w:rPr/>
        <w:t>号法定代表人：俞洋</w:t>
      </w:r>
    </w:p>
    <w:p>
      <w:pPr>
        <w:pStyle w:val="BodyText"/>
        <w:spacing w:line="417" w:lineRule="auto"/>
        <w:ind w:left="960" w:right="6346"/>
        <w:rPr>
          <w:rFonts w:ascii="Times New Roman" w:eastAsia="Times New Roman"/>
        </w:rPr>
      </w:pPr>
      <w:r>
        <w:rPr/>
        <w:t>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960"/>
      </w:pPr>
      <w:r>
        <w:rPr/>
        <w:t>联系人：杨莉娟</w:t>
      </w:r>
    </w:p>
    <w:p>
      <w:pPr>
        <w:pStyle w:val="BodyText"/>
        <w:spacing w:before="6"/>
        <w:rPr>
          <w:sz w:val="15"/>
        </w:rPr>
      </w:pPr>
    </w:p>
    <w:p>
      <w:pPr>
        <w:pStyle w:val="BodyText"/>
        <w:ind w:left="960"/>
        <w:rPr>
          <w:rFonts w:ascii="Times New Roman" w:eastAsia="Times New Roman"/>
        </w:rPr>
      </w:pPr>
      <w:r>
        <w:rPr/>
        <w:t>网址：</w:t>
      </w:r>
      <w:hyperlink r:id="rId147">
        <w:r>
          <w:rPr>
            <w:rFonts w:ascii="Times New Roman" w:eastAsia="Times New Roman"/>
          </w:rPr>
          <w:t>www.cfsc.com.cn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中国中金财富证券有限公司</w:t>
      </w:r>
    </w:p>
    <w:p>
      <w:pPr>
        <w:pStyle w:val="BodyText"/>
        <w:spacing w:before="6"/>
        <w:rPr>
          <w:sz w:val="15"/>
        </w:rPr>
      </w:pPr>
    </w:p>
    <w:p>
      <w:pPr>
        <w:pStyle w:val="BodyText"/>
        <w:ind w:left="96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spacing w:before="7"/>
        <w:rPr>
          <w:sz w:val="15"/>
        </w:rPr>
      </w:pPr>
    </w:p>
    <w:p>
      <w:pPr>
        <w:pStyle w:val="BodyText"/>
        <w:ind w:left="540"/>
      </w:pPr>
      <w:r>
        <w:rPr>
          <w:rFonts w:ascii="Times New Roman" w:eastAsia="Times New Roman"/>
        </w:rPr>
        <w:t>01.02.03.05.11.12.13.15.16.18.19.20.21.22.23 </w:t>
      </w:r>
      <w:r>
        <w:rPr/>
        <w:t>单元</w:t>
      </w:r>
    </w:p>
    <w:p>
      <w:pPr>
        <w:pStyle w:val="BodyText"/>
        <w:spacing w:before="7"/>
        <w:rPr>
          <w:sz w:val="15"/>
        </w:rPr>
      </w:pPr>
    </w:p>
    <w:p>
      <w:pPr>
        <w:pStyle w:val="BodyText"/>
        <w:spacing w:line="417" w:lineRule="auto"/>
        <w:ind w:left="960" w:right="90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417" w:lineRule="auto"/>
        <w:ind w:left="960" w:right="624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ind w:left="960"/>
      </w:pPr>
      <w:r>
        <w:rPr/>
        <w:t>联系人：胡芷境</w:t>
      </w:r>
    </w:p>
    <w:p>
      <w:pPr>
        <w:pStyle w:val="BodyText"/>
        <w:spacing w:before="6"/>
        <w:rPr>
          <w:sz w:val="15"/>
        </w:rPr>
      </w:pPr>
    </w:p>
    <w:p>
      <w:pPr>
        <w:pStyle w:val="BodyText"/>
        <w:ind w:left="960"/>
        <w:rPr>
          <w:rFonts w:ascii="Times New Roman" w:eastAsia="Times New Roman"/>
        </w:rPr>
      </w:pPr>
      <w:r>
        <w:rPr/>
        <w:t>网址：</w:t>
      </w:r>
      <w:hyperlink r:id="rId148">
        <w:r>
          <w:rPr>
            <w:rFonts w:ascii="Times New Roman" w:eastAsia="Times New Roman"/>
          </w:rPr>
          <w:t>www.china-invs.cn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中山证券有限责任公司</w:t>
      </w:r>
    </w:p>
    <w:p>
      <w:pPr>
        <w:pStyle w:val="BodyText"/>
        <w:spacing w:before="7"/>
        <w:rPr>
          <w:sz w:val="15"/>
        </w:rPr>
      </w:pPr>
    </w:p>
    <w:p>
      <w:pPr>
        <w:pStyle w:val="BodyText"/>
        <w:ind w:left="96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7"/>
        <w:rPr>
          <w:sz w:val="15"/>
        </w:rPr>
      </w:pPr>
    </w:p>
    <w:p>
      <w:pPr>
        <w:pStyle w:val="BodyText"/>
        <w:spacing w:line="417" w:lineRule="auto"/>
        <w:ind w:left="960" w:right="232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960" w:right="624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960"/>
      </w:pPr>
      <w:r>
        <w:rPr/>
        <w:t>联系人：罗艺琳</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149">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国融证券股份有限公司</w:t>
      </w:r>
    </w:p>
    <w:p>
      <w:pPr>
        <w:pStyle w:val="BodyText"/>
        <w:spacing w:before="6"/>
        <w:rPr>
          <w:sz w:val="15"/>
        </w:rPr>
      </w:pPr>
    </w:p>
    <w:p>
      <w:pPr>
        <w:pStyle w:val="BodyText"/>
        <w:spacing w:before="1"/>
        <w:ind w:left="960"/>
      </w:pPr>
      <w:r>
        <w:rPr/>
        <w:t>住所：内蒙古自治区呼和浩特市武川县腾飞大道 </w:t>
      </w:r>
      <w:r>
        <w:rPr>
          <w:rFonts w:ascii="Times New Roman" w:eastAsia="Times New Roman"/>
        </w:rPr>
        <w:t>1 </w:t>
      </w:r>
      <w:r>
        <w:rPr/>
        <w:t>号 </w:t>
      </w:r>
      <w:r>
        <w:rPr>
          <w:rFonts w:ascii="Times New Roman" w:eastAsia="Times New Roman"/>
        </w:rPr>
        <w:t>4 </w:t>
      </w:r>
      <w:r>
        <w:rPr/>
        <w:t>楼</w:t>
      </w:r>
    </w:p>
    <w:p>
      <w:pPr>
        <w:pStyle w:val="BodyText"/>
        <w:spacing w:before="6"/>
        <w:rPr>
          <w:sz w:val="15"/>
        </w:rPr>
      </w:pPr>
    </w:p>
    <w:p>
      <w:pPr>
        <w:pStyle w:val="BodyText"/>
        <w:spacing w:line="417" w:lineRule="auto" w:before="1"/>
        <w:ind w:left="960" w:right="2219"/>
      </w:pPr>
      <w:r>
        <w:rPr>
          <w:spacing w:val="-6"/>
        </w:rPr>
        <w:t>办公地址：北京市西城区闹市口大街 </w:t>
      </w:r>
      <w:r>
        <w:rPr>
          <w:rFonts w:ascii="Times New Roman" w:eastAsia="Times New Roman"/>
        </w:rPr>
        <w:t>1 </w:t>
      </w:r>
      <w:r>
        <w:rPr>
          <w:spacing w:val="-8"/>
        </w:rPr>
        <w:t>号长安兴融中心西楼 </w:t>
      </w:r>
      <w:r>
        <w:rPr>
          <w:rFonts w:ascii="Times New Roman" w:eastAsia="Times New Roman"/>
          <w:spacing w:val="-4"/>
        </w:rPr>
        <w:t>11 </w:t>
      </w:r>
      <w:r>
        <w:rPr/>
        <w:t>层</w:t>
      </w:r>
      <w:r>
        <w:rPr>
          <w:spacing w:val="-3"/>
        </w:rPr>
        <w:t>法定代表人：张智河</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spacing w:line="269" w:lineRule="exact"/>
        <w:ind w:left="960"/>
      </w:pPr>
      <w:r>
        <w:rPr/>
        <w:t>联系人：叶密林</w:t>
      </w:r>
    </w:p>
    <w:p>
      <w:pPr>
        <w:pStyle w:val="BodyText"/>
        <w:spacing w:before="6"/>
        <w:rPr>
          <w:sz w:val="15"/>
        </w:rPr>
      </w:pPr>
    </w:p>
    <w:p>
      <w:pPr>
        <w:pStyle w:val="BodyText"/>
        <w:spacing w:line="417" w:lineRule="auto"/>
        <w:ind w:left="960" w:right="5665"/>
        <w:rPr>
          <w:rFonts w:ascii="Times New Roman" w:eastAsia="Times New Roman"/>
        </w:rPr>
      </w:pPr>
      <w:r>
        <w:rPr/>
        <w:t>网址：</w:t>
      </w:r>
      <w:r>
        <w:rPr>
          <w:rFonts w:ascii="Times New Roman" w:eastAsia="Times New Roman"/>
        </w:rPr>
        <w:t>https://</w:t>
      </w:r>
      <w:hyperlink r:id="rId150">
        <w:r>
          <w:rPr>
            <w:rFonts w:ascii="Times New Roman" w:eastAsia="Times New Roman"/>
          </w:rPr>
          <w:t>www.grzq.com </w:t>
        </w:r>
      </w:hyperlink>
      <w:r>
        <w:rPr/>
        <w:t>客户服务电话：</w:t>
      </w:r>
      <w:r>
        <w:rPr>
          <w:rFonts w:ascii="Times New Roman" w:eastAsia="Times New Roman"/>
        </w:rPr>
        <w:t>95385</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粤开证券股份有限公司</w:t>
      </w:r>
    </w:p>
    <w:p>
      <w:pPr>
        <w:pStyle w:val="BodyText"/>
        <w:spacing w:before="7"/>
        <w:rPr>
          <w:sz w:val="15"/>
        </w:rPr>
      </w:pPr>
    </w:p>
    <w:p>
      <w:pPr>
        <w:pStyle w:val="BodyText"/>
        <w:spacing w:line="417" w:lineRule="auto"/>
        <w:ind w:left="960" w:right="148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960" w:right="625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960"/>
      </w:pPr>
      <w:r>
        <w:rPr/>
        <w:t>联系人：彭莲</w:t>
      </w:r>
    </w:p>
    <w:p>
      <w:pPr>
        <w:pStyle w:val="BodyText"/>
        <w:spacing w:before="7"/>
        <w:rPr>
          <w:sz w:val="15"/>
        </w:rPr>
      </w:pPr>
    </w:p>
    <w:p>
      <w:pPr>
        <w:pStyle w:val="BodyText"/>
        <w:spacing w:line="417" w:lineRule="auto"/>
        <w:ind w:left="960" w:right="5711"/>
        <w:rPr>
          <w:rFonts w:ascii="Times New Roman" w:eastAsia="Times New Roman"/>
        </w:rPr>
      </w:pPr>
      <w:r>
        <w:rPr/>
        <w:t>网址：</w:t>
      </w:r>
      <w:hyperlink r:id="rId151">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江海证券有限公司</w:t>
      </w:r>
    </w:p>
    <w:p>
      <w:pPr>
        <w:pStyle w:val="BodyText"/>
        <w:spacing w:before="7"/>
        <w:rPr>
          <w:sz w:val="15"/>
        </w:rPr>
      </w:pPr>
    </w:p>
    <w:p>
      <w:pPr>
        <w:pStyle w:val="BodyText"/>
        <w:ind w:left="960"/>
      </w:pPr>
      <w:r>
        <w:rPr/>
        <w:t>住所：哈尔滨市香坊区赣水路 </w:t>
      </w:r>
      <w:r>
        <w:rPr>
          <w:rFonts w:ascii="Times New Roman" w:eastAsia="Times New Roman"/>
        </w:rPr>
        <w:t>56 </w:t>
      </w:r>
      <w:r>
        <w:rPr/>
        <w:t>号</w:t>
      </w:r>
    </w:p>
    <w:p>
      <w:pPr>
        <w:pStyle w:val="BodyText"/>
        <w:spacing w:before="7"/>
        <w:rPr>
          <w:sz w:val="15"/>
        </w:rPr>
      </w:pPr>
    </w:p>
    <w:p>
      <w:pPr>
        <w:pStyle w:val="BodyText"/>
        <w:spacing w:line="417" w:lineRule="auto"/>
        <w:ind w:left="960" w:right="4148"/>
      </w:pPr>
      <w:r>
        <w:rPr/>
        <w:t>办公地址：哈尔滨市松北区创新三路 </w:t>
      </w:r>
      <w:r>
        <w:rPr>
          <w:rFonts w:ascii="Times New Roman" w:eastAsia="Times New Roman"/>
        </w:rPr>
        <w:t>833 </w:t>
      </w:r>
      <w:r>
        <w:rPr/>
        <w:t>号法定代表人：赵洪波</w:t>
      </w:r>
    </w:p>
    <w:p>
      <w:pPr>
        <w:pStyle w:val="BodyText"/>
        <w:spacing w:line="417" w:lineRule="auto"/>
        <w:ind w:left="960" w:right="624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spacing w:line="269" w:lineRule="exact"/>
        <w:ind w:left="960"/>
      </w:pPr>
      <w:r>
        <w:rPr/>
        <w:t>联系人：姜志伟</w:t>
      </w:r>
    </w:p>
    <w:p>
      <w:pPr>
        <w:pStyle w:val="BodyText"/>
        <w:spacing w:before="6"/>
        <w:rPr>
          <w:sz w:val="15"/>
        </w:rPr>
      </w:pPr>
    </w:p>
    <w:p>
      <w:pPr>
        <w:pStyle w:val="BodyText"/>
        <w:spacing w:line="417" w:lineRule="auto" w:before="1"/>
        <w:ind w:left="960" w:right="6009"/>
        <w:rPr>
          <w:rFonts w:ascii="Times New Roman" w:eastAsia="Times New Roman"/>
        </w:rPr>
      </w:pPr>
      <w:r>
        <w:rPr/>
        <w:t>网址：</w:t>
      </w:r>
      <w:hyperlink r:id="rId152">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国金证券股份有限公司</w:t>
      </w:r>
    </w:p>
    <w:p>
      <w:pPr>
        <w:pStyle w:val="BodyText"/>
        <w:spacing w:before="6"/>
        <w:rPr>
          <w:sz w:val="15"/>
        </w:rPr>
      </w:pPr>
    </w:p>
    <w:p>
      <w:pPr>
        <w:pStyle w:val="BodyText"/>
        <w:spacing w:before="1"/>
        <w:ind w:left="960"/>
      </w:pPr>
      <w:r>
        <w:rPr/>
        <w:t>住所：成都市青羊区东城根上街 </w:t>
      </w:r>
      <w:r>
        <w:rPr>
          <w:rFonts w:ascii="Times New Roman" w:eastAsia="Times New Roman"/>
        </w:rPr>
        <w:t>95 </w:t>
      </w:r>
      <w:r>
        <w:rPr/>
        <w:t>号</w:t>
      </w:r>
    </w:p>
    <w:p>
      <w:pPr>
        <w:pStyle w:val="BodyText"/>
        <w:spacing w:before="6"/>
        <w:rPr>
          <w:sz w:val="15"/>
        </w:rPr>
      </w:pPr>
    </w:p>
    <w:p>
      <w:pPr>
        <w:pStyle w:val="BodyText"/>
        <w:spacing w:line="417" w:lineRule="auto"/>
        <w:ind w:left="960" w:right="4253"/>
      </w:pPr>
      <w:r>
        <w:rPr/>
        <w:t>办公地址：成都市青羊区东城根上街 </w:t>
      </w:r>
      <w:r>
        <w:rPr>
          <w:rFonts w:ascii="Times New Roman" w:eastAsia="Times New Roman"/>
        </w:rPr>
        <w:t>95 </w:t>
      </w:r>
      <w:r>
        <w:rPr/>
        <w:t>号法定代表人：冉云</w:t>
      </w:r>
    </w:p>
    <w:p>
      <w:pPr>
        <w:pStyle w:val="BodyText"/>
        <w:spacing w:line="417" w:lineRule="auto"/>
        <w:ind w:left="960" w:right="491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960" w:right="6009"/>
        <w:rPr>
          <w:rFonts w:ascii="Times New Roman" w:eastAsia="Times New Roman"/>
        </w:rPr>
      </w:pPr>
      <w:r>
        <w:rPr/>
        <w:t>联系人：刘婧漪、贾鹏网址：</w:t>
      </w:r>
      <w:hyperlink r:id="rId153">
        <w:r>
          <w:rPr>
            <w:rFonts w:ascii="Times New Roman" w:eastAsia="Times New Roman"/>
          </w:rPr>
          <w:t>www.gjzq.com.cn</w:t>
        </w:r>
      </w:hyperlink>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95310</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华宝证券有限责任公司</w:t>
      </w:r>
    </w:p>
    <w:p>
      <w:pPr>
        <w:pStyle w:val="BodyText"/>
        <w:spacing w:before="7"/>
        <w:rPr>
          <w:sz w:val="15"/>
        </w:rPr>
      </w:pPr>
    </w:p>
    <w:p>
      <w:pPr>
        <w:pStyle w:val="BodyText"/>
        <w:ind w:left="960"/>
      </w:pPr>
      <w:r>
        <w:rPr/>
        <w:t>住所：上海市陆家嘴环路 </w:t>
      </w:r>
      <w:r>
        <w:rPr>
          <w:rFonts w:ascii="Times New Roman" w:eastAsia="Times New Roman"/>
        </w:rPr>
        <w:t>166 </w:t>
      </w:r>
      <w:r>
        <w:rPr/>
        <w:t>号 </w:t>
      </w:r>
      <w:r>
        <w:rPr>
          <w:rFonts w:ascii="Times New Roman" w:eastAsia="Times New Roman"/>
        </w:rPr>
        <w:t>27 </w:t>
      </w:r>
      <w:r>
        <w:rPr/>
        <w:t>楼</w:t>
      </w:r>
    </w:p>
    <w:p>
      <w:pPr>
        <w:pStyle w:val="BodyText"/>
        <w:spacing w:before="6"/>
        <w:rPr>
          <w:sz w:val="15"/>
        </w:rPr>
      </w:pPr>
    </w:p>
    <w:p>
      <w:pPr>
        <w:pStyle w:val="BodyText"/>
        <w:spacing w:line="417" w:lineRule="auto" w:before="1"/>
        <w:ind w:left="960" w:right="4315"/>
      </w:pPr>
      <w:r>
        <w:rPr>
          <w:spacing w:val="-7"/>
        </w:rPr>
        <w:t>办公地址：上海市陆家嘴环路 </w:t>
      </w:r>
      <w:r>
        <w:rPr>
          <w:rFonts w:ascii="Times New Roman" w:eastAsia="Times New Roman"/>
        </w:rPr>
        <w:t>166 </w:t>
      </w:r>
      <w:r>
        <w:rPr>
          <w:spacing w:val="-25"/>
        </w:rPr>
        <w:t>号 </w:t>
      </w:r>
      <w:r>
        <w:rPr>
          <w:rFonts w:ascii="Times New Roman" w:eastAsia="Times New Roman"/>
        </w:rPr>
        <w:t>27 </w:t>
      </w:r>
      <w:r>
        <w:rPr>
          <w:spacing w:val="-11"/>
        </w:rPr>
        <w:t>楼</w:t>
      </w:r>
      <w:r>
        <w:rPr>
          <w:spacing w:val="-3"/>
        </w:rPr>
        <w:t>法定代表人：陈林</w:t>
      </w:r>
    </w:p>
    <w:p>
      <w:pPr>
        <w:pStyle w:val="BodyText"/>
        <w:spacing w:line="417" w:lineRule="auto"/>
        <w:ind w:left="960" w:right="634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ind w:left="960"/>
      </w:pPr>
      <w:r>
        <w:rPr/>
        <w:t>联系人：徐方亮</w:t>
      </w:r>
    </w:p>
    <w:p>
      <w:pPr>
        <w:pStyle w:val="BodyText"/>
        <w:spacing w:before="6"/>
        <w:rPr>
          <w:sz w:val="15"/>
        </w:rPr>
      </w:pPr>
    </w:p>
    <w:p>
      <w:pPr>
        <w:pStyle w:val="BodyText"/>
        <w:ind w:left="960"/>
        <w:rPr>
          <w:rFonts w:ascii="Times New Roman" w:eastAsia="Times New Roman"/>
        </w:rPr>
      </w:pPr>
      <w:r>
        <w:rPr/>
        <w:t>网址：</w:t>
      </w:r>
      <w:hyperlink r:id="rId154">
        <w:r>
          <w:rPr>
            <w:rFonts w:ascii="Times New Roman" w:eastAsia="Times New Roman"/>
          </w:rPr>
          <w:t>www.cnhbstock.com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400-820-9898</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爱建证券有限责任公司</w:t>
      </w:r>
    </w:p>
    <w:p>
      <w:pPr>
        <w:pStyle w:val="BodyText"/>
        <w:spacing w:before="7"/>
        <w:rPr>
          <w:sz w:val="15"/>
        </w:rPr>
      </w:pPr>
    </w:p>
    <w:p>
      <w:pPr>
        <w:pStyle w:val="BodyText"/>
        <w:ind w:left="96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7"/>
        <w:rPr>
          <w:sz w:val="15"/>
        </w:rPr>
      </w:pPr>
    </w:p>
    <w:p>
      <w:pPr>
        <w:pStyle w:val="BodyText"/>
        <w:spacing w:line="417" w:lineRule="auto"/>
        <w:ind w:left="960" w:right="190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17" w:lineRule="auto"/>
        <w:ind w:left="960" w:right="634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960"/>
      </w:pPr>
      <w:r>
        <w:rPr/>
        <w:t>联系人：庄丽珍</w:t>
      </w:r>
    </w:p>
    <w:p>
      <w:pPr>
        <w:pStyle w:val="BodyText"/>
        <w:spacing w:before="6"/>
        <w:rPr>
          <w:sz w:val="15"/>
        </w:rPr>
      </w:pPr>
    </w:p>
    <w:p>
      <w:pPr>
        <w:pStyle w:val="BodyText"/>
        <w:spacing w:before="1"/>
        <w:ind w:left="960"/>
        <w:rPr>
          <w:rFonts w:ascii="Times New Roman" w:eastAsia="Times New Roman"/>
        </w:rPr>
      </w:pPr>
      <w:r>
        <w:rPr/>
        <w:t>网址：</w:t>
      </w:r>
      <w:hyperlink r:id="rId155">
        <w:r>
          <w:rPr>
            <w:rFonts w:ascii="Times New Roman" w:eastAsia="Times New Roman"/>
          </w:rPr>
          <w:t>www.ajzq.com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华融证券股份有限公司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8 </w:t>
      </w:r>
      <w:r>
        <w:rPr/>
        <w:t>号</w:t>
      </w:r>
    </w:p>
    <w:p>
      <w:pPr>
        <w:pStyle w:val="BodyText"/>
        <w:spacing w:before="7"/>
        <w:rPr>
          <w:sz w:val="15"/>
        </w:rPr>
      </w:pPr>
    </w:p>
    <w:p>
      <w:pPr>
        <w:pStyle w:val="BodyText"/>
        <w:spacing w:line="417" w:lineRule="auto" w:before="1"/>
        <w:ind w:left="960" w:right="236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960" w:right="634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960"/>
      </w:pPr>
      <w:r>
        <w:rPr/>
        <w:t>联系人：孙燕波</w:t>
      </w:r>
    </w:p>
    <w:p>
      <w:pPr>
        <w:pStyle w:val="BodyText"/>
        <w:spacing w:before="6"/>
        <w:rPr>
          <w:sz w:val="15"/>
        </w:rPr>
      </w:pPr>
    </w:p>
    <w:p>
      <w:pPr>
        <w:pStyle w:val="BodyText"/>
        <w:spacing w:line="417" w:lineRule="auto"/>
        <w:ind w:left="960" w:right="5927"/>
        <w:rPr>
          <w:rFonts w:ascii="Times New Roman" w:eastAsia="Times New Roman"/>
        </w:rPr>
      </w:pPr>
      <w:r>
        <w:rPr/>
        <w:t>网址：</w:t>
      </w:r>
      <w:hyperlink r:id="rId156">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天风证券股份有限公司</w:t>
      </w:r>
    </w:p>
    <w:p>
      <w:pPr>
        <w:pStyle w:val="BodyText"/>
        <w:spacing w:before="7"/>
        <w:rPr>
          <w:sz w:val="15"/>
        </w:rPr>
      </w:pPr>
    </w:p>
    <w:p>
      <w:pPr>
        <w:pStyle w:val="BodyText"/>
        <w:ind w:left="960"/>
      </w:pPr>
      <w:r>
        <w:rPr/>
        <w:t>住所：湖北省武汉市东湖新技术开发区关东园路 </w:t>
      </w:r>
      <w:r>
        <w:rPr>
          <w:rFonts w:ascii="Times New Roman" w:eastAsia="Times New Roman"/>
        </w:rPr>
        <w:t>2 </w:t>
      </w:r>
      <w:r>
        <w:rPr/>
        <w:t>号高科大厦四楼</w:t>
      </w:r>
    </w:p>
    <w:p>
      <w:pPr>
        <w:spacing w:after="0"/>
        <w:sectPr>
          <w:pgSz w:w="11910" w:h="16840"/>
          <w:pgMar w:header="877" w:footer="995" w:top="1420" w:bottom="1180" w:left="1260" w:right="1480"/>
        </w:sectPr>
      </w:pPr>
    </w:p>
    <w:p>
      <w:pPr>
        <w:pStyle w:val="BodyText"/>
        <w:spacing w:line="417" w:lineRule="auto" w:before="110"/>
        <w:ind w:left="960" w:right="162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960" w:right="634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960"/>
      </w:pPr>
      <w:r>
        <w:rPr/>
        <w:t>联系人：翟璟</w:t>
      </w:r>
    </w:p>
    <w:p>
      <w:pPr>
        <w:pStyle w:val="BodyText"/>
        <w:spacing w:before="6"/>
        <w:rPr>
          <w:sz w:val="15"/>
        </w:rPr>
      </w:pPr>
    </w:p>
    <w:p>
      <w:pPr>
        <w:pStyle w:val="BodyText"/>
        <w:ind w:left="960"/>
        <w:rPr>
          <w:rFonts w:ascii="Times New Roman" w:eastAsia="Times New Roman"/>
        </w:rPr>
      </w:pPr>
      <w:r>
        <w:rPr/>
        <w:t>网址：</w:t>
      </w:r>
      <w:hyperlink r:id="rId157">
        <w:r>
          <w:rPr>
            <w:rFonts w:ascii="Times New Roman" w:eastAsia="Times New Roman"/>
          </w:rPr>
          <w:t>www.tfzq.com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9"/>
        </w:numPr>
        <w:tabs>
          <w:tab w:pos="1699" w:val="left" w:leader="none"/>
        </w:tabs>
        <w:spacing w:line="417" w:lineRule="auto" w:before="1" w:after="0"/>
        <w:ind w:left="960" w:right="5155" w:firstLine="0"/>
        <w:jc w:val="left"/>
        <w:rPr>
          <w:sz w:val="21"/>
        </w:rPr>
      </w:pPr>
      <w:r>
        <w:rPr>
          <w:spacing w:val="-3"/>
          <w:sz w:val="21"/>
        </w:rPr>
        <w:t>中天证券股份有限公司 </w:t>
      </w:r>
      <w:r>
        <w:rPr>
          <w:spacing w:val="-7"/>
          <w:sz w:val="21"/>
        </w:rPr>
        <w:t>住所：沈阳市和平区光荣街 </w:t>
      </w:r>
      <w:r>
        <w:rPr>
          <w:rFonts w:ascii="Times New Roman" w:eastAsia="Times New Roman"/>
          <w:sz w:val="21"/>
        </w:rPr>
        <w:t>23</w:t>
      </w:r>
      <w:r>
        <w:rPr>
          <w:rFonts w:ascii="Times New Roman" w:eastAsia="Times New Roman"/>
          <w:spacing w:val="3"/>
          <w:sz w:val="21"/>
        </w:rPr>
        <w:t> </w:t>
      </w:r>
      <w:r>
        <w:rPr>
          <w:spacing w:val="-13"/>
          <w:sz w:val="21"/>
        </w:rPr>
        <w:t>甲</w:t>
      </w:r>
    </w:p>
    <w:p>
      <w:pPr>
        <w:pStyle w:val="BodyText"/>
        <w:spacing w:line="417" w:lineRule="auto"/>
        <w:ind w:left="960" w:right="4673"/>
      </w:pPr>
      <w:r>
        <w:rPr/>
        <w:t>办公地址：沈阳市和平区光荣街 </w:t>
      </w:r>
      <w:r>
        <w:rPr>
          <w:rFonts w:ascii="Times New Roman" w:eastAsia="Times New Roman"/>
        </w:rPr>
        <w:t>23 </w:t>
      </w:r>
      <w:r>
        <w:rPr/>
        <w:t>甲法定代表人：马功勋</w:t>
      </w:r>
    </w:p>
    <w:p>
      <w:pPr>
        <w:pStyle w:val="BodyText"/>
        <w:spacing w:line="417" w:lineRule="auto"/>
        <w:ind w:left="960" w:right="6346"/>
        <w:rPr>
          <w:rFonts w:ascii="Times New Roman" w:eastAsia="Times New Roman"/>
        </w:rPr>
      </w:pPr>
      <w:r>
        <w:rPr/>
        <w:t>电话：</w:t>
      </w:r>
      <w:r>
        <w:rPr>
          <w:rFonts w:ascii="Times New Roman" w:eastAsia="Times New Roman"/>
        </w:rPr>
        <w:t>024-23280842 </w:t>
      </w:r>
      <w:r>
        <w:rPr/>
        <w:t>传真：</w:t>
      </w:r>
      <w:r>
        <w:rPr>
          <w:rFonts w:ascii="Times New Roman" w:eastAsia="Times New Roman"/>
        </w:rPr>
        <w:t>024-23280844</w:t>
      </w:r>
    </w:p>
    <w:p>
      <w:pPr>
        <w:pStyle w:val="BodyText"/>
        <w:spacing w:line="269" w:lineRule="exact"/>
        <w:ind w:left="960"/>
      </w:pPr>
      <w:r>
        <w:rPr/>
        <w:t>联系人：孙丹华</w:t>
      </w:r>
    </w:p>
    <w:p>
      <w:pPr>
        <w:pStyle w:val="BodyText"/>
        <w:spacing w:before="6"/>
        <w:rPr>
          <w:sz w:val="15"/>
        </w:rPr>
      </w:pPr>
    </w:p>
    <w:p>
      <w:pPr>
        <w:pStyle w:val="BodyText"/>
        <w:ind w:left="960"/>
        <w:rPr>
          <w:rFonts w:ascii="Times New Roman" w:eastAsia="Times New Roman"/>
        </w:rPr>
      </w:pPr>
      <w:r>
        <w:rPr/>
        <w:t>网址：</w:t>
      </w:r>
      <w:hyperlink r:id="rId158">
        <w:r>
          <w:rPr>
            <w:rFonts w:ascii="Times New Roman" w:eastAsia="Times New Roman"/>
          </w:rPr>
          <w:t>www.iztzq.com</w:t>
        </w:r>
      </w:hyperlink>
    </w:p>
    <w:p>
      <w:pPr>
        <w:pStyle w:val="BodyText"/>
        <w:spacing w:before="3"/>
        <w:rPr>
          <w:rFonts w:ascii="Times New Roman"/>
          <w:sz w:val="17"/>
        </w:rPr>
      </w:pPr>
    </w:p>
    <w:p>
      <w:pPr>
        <w:pStyle w:val="BodyText"/>
        <w:spacing w:before="1"/>
        <w:ind w:left="960"/>
        <w:rPr>
          <w:rFonts w:ascii="Times New Roman" w:eastAsia="Times New Roman"/>
        </w:rPr>
      </w:pPr>
      <w:r>
        <w:rPr>
          <w:spacing w:val="-18"/>
          <w:w w:val="100"/>
        </w:rPr>
        <w:t>客户服务电话：</w:t>
      </w:r>
      <w:r>
        <w:rPr>
          <w:spacing w:val="-1"/>
          <w:w w:val="100"/>
        </w:rPr>
        <w:t>（</w:t>
      </w:r>
      <w:r>
        <w:rPr>
          <w:rFonts w:ascii="Times New Roman" w:eastAsia="Times New Roman"/>
          <w:w w:val="100"/>
        </w:rPr>
        <w:t>02</w:t>
      </w:r>
      <w:r>
        <w:rPr>
          <w:rFonts w:ascii="Times New Roman" w:eastAsia="Times New Roman"/>
          <w:spacing w:val="-2"/>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万和证券股份有限公司</w:t>
      </w:r>
    </w:p>
    <w:p>
      <w:pPr>
        <w:pStyle w:val="BodyText"/>
        <w:spacing w:before="7"/>
        <w:rPr>
          <w:sz w:val="15"/>
        </w:rPr>
      </w:pPr>
    </w:p>
    <w:p>
      <w:pPr>
        <w:pStyle w:val="BodyText"/>
        <w:ind w:left="960"/>
      </w:pPr>
      <w:r>
        <w:rPr/>
        <w:t>住所：海口市南沙路 </w:t>
      </w:r>
      <w:r>
        <w:rPr>
          <w:rFonts w:ascii="Times New Roman" w:eastAsia="Times New Roman"/>
        </w:rPr>
        <w:t>49 </w:t>
      </w:r>
      <w:r>
        <w:rPr/>
        <w:t>号通信广场二楼</w:t>
      </w:r>
    </w:p>
    <w:p>
      <w:pPr>
        <w:pStyle w:val="BodyText"/>
        <w:spacing w:before="6"/>
        <w:rPr>
          <w:sz w:val="15"/>
        </w:rPr>
      </w:pPr>
    </w:p>
    <w:p>
      <w:pPr>
        <w:pStyle w:val="BodyText"/>
        <w:spacing w:line="417" w:lineRule="auto" w:before="1"/>
        <w:ind w:left="960" w:right="210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960" w:right="624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ind w:left="960"/>
      </w:pPr>
      <w:r>
        <w:rPr/>
        <w:t>联系人：王少峰</w:t>
      </w:r>
    </w:p>
    <w:p>
      <w:pPr>
        <w:pStyle w:val="BodyText"/>
        <w:spacing w:before="6"/>
        <w:rPr>
          <w:sz w:val="15"/>
        </w:rPr>
      </w:pPr>
    </w:p>
    <w:p>
      <w:pPr>
        <w:pStyle w:val="BodyText"/>
        <w:spacing w:line="417" w:lineRule="auto"/>
        <w:ind w:left="960" w:right="5053"/>
        <w:rPr>
          <w:rFonts w:ascii="Times New Roman" w:eastAsia="Times New Roman"/>
        </w:rPr>
      </w:pPr>
      <w:r>
        <w:rPr/>
        <w:t>网址：</w:t>
      </w:r>
      <w:hyperlink r:id="rId159">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宏信证券有限责任公司</w:t>
      </w:r>
    </w:p>
    <w:p>
      <w:pPr>
        <w:pStyle w:val="BodyText"/>
        <w:spacing w:before="7"/>
        <w:rPr>
          <w:sz w:val="15"/>
        </w:rPr>
      </w:pPr>
    </w:p>
    <w:p>
      <w:pPr>
        <w:pStyle w:val="BodyText"/>
        <w:ind w:left="96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6"/>
        <w:rPr>
          <w:sz w:val="15"/>
        </w:rPr>
      </w:pPr>
    </w:p>
    <w:p>
      <w:pPr>
        <w:pStyle w:val="BodyText"/>
        <w:spacing w:line="417" w:lineRule="auto" w:before="1"/>
        <w:ind w:left="960" w:right="2109"/>
      </w:pPr>
      <w:r>
        <w:rPr>
          <w:spacing w:val="-5"/>
        </w:rPr>
        <w:t>办公地址：四川省成都市锦江区人民南路二段 </w:t>
      </w:r>
      <w:r>
        <w:rPr>
          <w:rFonts w:ascii="Times New Roman" w:eastAsia="Times New Roman"/>
        </w:rPr>
        <w:t>18</w:t>
      </w:r>
      <w:r>
        <w:rPr>
          <w:rFonts w:ascii="Times New Roman" w:eastAsia="Times New Roman"/>
          <w:spacing w:val="4"/>
        </w:rPr>
        <w:t> </w:t>
      </w:r>
      <w:r>
        <w:rPr>
          <w:spacing w:val="-11"/>
        </w:rPr>
        <w:t>号川信大厦 </w:t>
      </w:r>
      <w:r>
        <w:rPr>
          <w:rFonts w:ascii="Times New Roman" w:eastAsia="Times New Roman"/>
        </w:rPr>
        <w:t>10</w:t>
      </w:r>
      <w:r>
        <w:rPr>
          <w:rFonts w:ascii="Times New Roman" w:eastAsia="Times New Roman"/>
          <w:spacing w:val="7"/>
        </w:rPr>
        <w:t> </w:t>
      </w:r>
      <w:r>
        <w:rPr/>
        <w:t>楼</w:t>
      </w:r>
      <w:r>
        <w:rPr>
          <w:spacing w:val="-3"/>
        </w:rPr>
        <w:t>法定代表人：吴玉明</w:t>
      </w:r>
    </w:p>
    <w:p>
      <w:pPr>
        <w:pStyle w:val="BodyText"/>
        <w:ind w:left="960"/>
        <w:rPr>
          <w:rFonts w:ascii="Times New Roman" w:eastAsia="Times New Roman"/>
        </w:rPr>
      </w:pPr>
      <w:r>
        <w:rPr>
          <w:spacing w:val="-1"/>
        </w:rPr>
        <w:t>电话：</w:t>
      </w:r>
      <w:r>
        <w:rPr>
          <w:rFonts w:ascii="Times New Roman" w:eastAsia="Times New Roman"/>
          <w:spacing w:val="-1"/>
        </w:rPr>
        <w:t>028-86199278</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028-86199382</w:t>
      </w:r>
    </w:p>
    <w:p>
      <w:pPr>
        <w:pStyle w:val="BodyText"/>
        <w:spacing w:before="3"/>
        <w:rPr>
          <w:rFonts w:ascii="Times New Roman"/>
          <w:sz w:val="17"/>
        </w:rPr>
      </w:pPr>
    </w:p>
    <w:p>
      <w:pPr>
        <w:pStyle w:val="BodyText"/>
        <w:spacing w:line="417" w:lineRule="auto"/>
        <w:ind w:left="960" w:right="6418"/>
        <w:rPr>
          <w:rFonts w:ascii="Times New Roman" w:eastAsia="Times New Roman"/>
        </w:rPr>
      </w:pPr>
      <w:r>
        <w:rPr>
          <w:spacing w:val="-2"/>
        </w:rPr>
        <w:t>联系人：郝俊杰  </w:t>
      </w:r>
      <w:r>
        <w:rPr>
          <w:spacing w:val="-3"/>
        </w:rPr>
        <w:t>网址：</w:t>
      </w:r>
      <w:hyperlink r:id="rId160">
        <w:r>
          <w:rPr>
            <w:rFonts w:ascii="Times New Roman" w:eastAsia="Times New Roman"/>
            <w:spacing w:val="-4"/>
          </w:rPr>
          <w:t>www.hxzq.cn</w:t>
        </w:r>
      </w:hyperlink>
    </w:p>
    <w:p>
      <w:pPr>
        <w:pStyle w:val="BodyText"/>
        <w:spacing w:line="269" w:lineRule="exact"/>
        <w:ind w:left="96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9"/>
        </w:numPr>
        <w:tabs>
          <w:tab w:pos="1699" w:val="left" w:leader="none"/>
        </w:tabs>
        <w:spacing w:line="240" w:lineRule="auto" w:before="1" w:after="0"/>
        <w:ind w:left="1698" w:right="0" w:hanging="739"/>
        <w:jc w:val="left"/>
        <w:rPr>
          <w:sz w:val="21"/>
        </w:rPr>
      </w:pPr>
      <w:r>
        <w:rPr>
          <w:spacing w:val="-3"/>
          <w:sz w:val="21"/>
        </w:rPr>
        <w:t>太平洋证券股份有限公司</w:t>
      </w:r>
    </w:p>
    <w:p>
      <w:pPr>
        <w:pStyle w:val="BodyText"/>
        <w:spacing w:before="6"/>
        <w:rPr>
          <w:sz w:val="15"/>
        </w:rPr>
      </w:pPr>
    </w:p>
    <w:p>
      <w:pPr>
        <w:pStyle w:val="BodyText"/>
        <w:ind w:left="960"/>
      </w:pPr>
      <w:r>
        <w:rPr/>
        <w:t>住所：云南省昆明市青年路 </w:t>
      </w:r>
      <w:r>
        <w:rPr>
          <w:rFonts w:ascii="Times New Roman" w:eastAsia="Times New Roman"/>
        </w:rPr>
        <w:t>389 </w:t>
      </w:r>
      <w:r>
        <w:rPr/>
        <w:t>号志远大厦 </w:t>
      </w:r>
      <w:r>
        <w:rPr>
          <w:rFonts w:ascii="Times New Roman" w:eastAsia="Times New Roman"/>
        </w:rPr>
        <w:t>18 </w:t>
      </w:r>
      <w:r>
        <w:rPr/>
        <w:t>层</w:t>
      </w:r>
    </w:p>
    <w:p>
      <w:pPr>
        <w:pStyle w:val="BodyText"/>
        <w:spacing w:before="7"/>
        <w:rPr>
          <w:sz w:val="15"/>
        </w:rPr>
      </w:pPr>
    </w:p>
    <w:p>
      <w:pPr>
        <w:pStyle w:val="BodyText"/>
        <w:spacing w:line="417" w:lineRule="auto"/>
        <w:ind w:left="960" w:right="248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6"/>
        </w:rPr>
        <w:t> </w:t>
      </w:r>
      <w:r>
        <w:rPr>
          <w:spacing w:val="-3"/>
        </w:rPr>
        <w:t>单元法定代表人：李长伟</w:t>
      </w:r>
    </w:p>
    <w:p>
      <w:pPr>
        <w:pStyle w:val="BodyText"/>
        <w:spacing w:line="417" w:lineRule="auto"/>
        <w:ind w:left="960" w:right="498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9" w:lineRule="exact"/>
        <w:ind w:left="960"/>
      </w:pPr>
      <w:r>
        <w:rPr/>
        <w:t>联系人：唐昌田</w:t>
      </w:r>
    </w:p>
    <w:p>
      <w:pPr>
        <w:pStyle w:val="BodyText"/>
        <w:spacing w:before="7"/>
        <w:rPr>
          <w:sz w:val="15"/>
        </w:rPr>
      </w:pPr>
    </w:p>
    <w:p>
      <w:pPr>
        <w:pStyle w:val="BodyText"/>
        <w:spacing w:line="417" w:lineRule="auto"/>
        <w:ind w:left="960" w:right="6154"/>
        <w:rPr>
          <w:rFonts w:ascii="Times New Roman" w:eastAsia="Times New Roman"/>
        </w:rPr>
      </w:pPr>
      <w:r>
        <w:rPr/>
        <w:t>网址：</w:t>
      </w:r>
      <w:hyperlink r:id="rId161">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开源证券股份有限公司</w:t>
      </w:r>
    </w:p>
    <w:p>
      <w:pPr>
        <w:pStyle w:val="BodyText"/>
        <w:spacing w:before="7"/>
        <w:rPr>
          <w:sz w:val="15"/>
        </w:rPr>
      </w:pPr>
    </w:p>
    <w:p>
      <w:pPr>
        <w:pStyle w:val="BodyText"/>
        <w:ind w:left="96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7"/>
        <w:rPr>
          <w:sz w:val="15"/>
        </w:rPr>
      </w:pPr>
    </w:p>
    <w:p>
      <w:pPr>
        <w:pStyle w:val="BodyText"/>
        <w:spacing w:line="417" w:lineRule="auto"/>
        <w:ind w:left="960" w:right="249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960" w:right="635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960"/>
      </w:pPr>
      <w:r>
        <w:rPr/>
        <w:t>联系人：曹欣</w:t>
      </w:r>
    </w:p>
    <w:p>
      <w:pPr>
        <w:pStyle w:val="BodyText"/>
        <w:spacing w:before="6"/>
        <w:rPr>
          <w:sz w:val="15"/>
        </w:rPr>
      </w:pPr>
    </w:p>
    <w:p>
      <w:pPr>
        <w:pStyle w:val="BodyText"/>
        <w:ind w:left="960"/>
        <w:rPr>
          <w:rFonts w:ascii="Times New Roman" w:eastAsia="Times New Roman"/>
        </w:rPr>
      </w:pPr>
      <w:r>
        <w:rPr/>
        <w:t>网址：</w:t>
      </w:r>
      <w:hyperlink r:id="rId162">
        <w:r>
          <w:rPr>
            <w:rFonts w:ascii="Times New Roman" w:eastAsia="Times New Roman"/>
          </w:rPr>
          <w:t>www.kysec.cn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4"/>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川财证券有限责任公司</w:t>
      </w:r>
    </w:p>
    <w:p>
      <w:pPr>
        <w:pStyle w:val="BodyText"/>
        <w:spacing w:before="7"/>
        <w:rPr>
          <w:sz w:val="15"/>
        </w:rPr>
      </w:pPr>
    </w:p>
    <w:p>
      <w:pPr>
        <w:pStyle w:val="BodyText"/>
        <w:spacing w:line="417" w:lineRule="auto"/>
        <w:ind w:left="960" w:right="24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60" w:right="631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960"/>
      </w:pPr>
      <w:r>
        <w:rPr/>
        <w:t>联系人：匡婷</w:t>
      </w:r>
    </w:p>
    <w:p>
      <w:pPr>
        <w:pStyle w:val="BodyText"/>
        <w:spacing w:before="6"/>
        <w:rPr>
          <w:sz w:val="15"/>
        </w:rPr>
      </w:pPr>
    </w:p>
    <w:p>
      <w:pPr>
        <w:pStyle w:val="BodyText"/>
        <w:ind w:left="960"/>
        <w:rPr>
          <w:rFonts w:ascii="Times New Roman" w:eastAsia="Times New Roman"/>
        </w:rPr>
      </w:pPr>
      <w:r>
        <w:rPr/>
        <w:t>网址：</w:t>
      </w:r>
      <w:hyperlink r:id="rId163">
        <w:r>
          <w:rPr>
            <w:rFonts w:ascii="Times New Roman" w:eastAsia="Times New Roman"/>
          </w:rPr>
          <w:t>http://www.cczp.com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联储证券有限责任公司</w:t>
      </w:r>
    </w:p>
    <w:p>
      <w:pPr>
        <w:pStyle w:val="BodyText"/>
        <w:spacing w:before="7"/>
        <w:rPr>
          <w:sz w:val="15"/>
        </w:rPr>
      </w:pPr>
    </w:p>
    <w:p>
      <w:pPr>
        <w:pStyle w:val="BodyText"/>
        <w:ind w:left="960"/>
      </w:pPr>
      <w:r>
        <w:rPr/>
        <w:t>住所：深圳市福田区福田街道岗厦社区深南大道南侧金地中心大厦 </w:t>
      </w:r>
      <w:r>
        <w:rPr>
          <w:rFonts w:ascii="Times New Roman" w:eastAsia="Times New Roman"/>
        </w:rPr>
        <w:t>9 </w:t>
      </w:r>
      <w:r>
        <w:rPr/>
        <w:t>楼</w:t>
      </w:r>
    </w:p>
    <w:p>
      <w:pPr>
        <w:pStyle w:val="BodyText"/>
        <w:spacing w:before="6"/>
        <w:rPr>
          <w:sz w:val="15"/>
        </w:rPr>
      </w:pPr>
    </w:p>
    <w:p>
      <w:pPr>
        <w:pStyle w:val="BodyText"/>
        <w:spacing w:line="417" w:lineRule="auto" w:before="1"/>
        <w:ind w:left="960" w:right="1792"/>
      </w:pPr>
      <w:r>
        <w:rPr>
          <w:spacing w:val="-6"/>
        </w:rPr>
        <w:t>办公地址：北京市朝阳区安定路 </w:t>
      </w:r>
      <w:r>
        <w:rPr>
          <w:rFonts w:ascii="Times New Roman" w:eastAsia="Times New Roman"/>
        </w:rPr>
        <w:t>5 </w:t>
      </w:r>
      <w:r>
        <w:rPr>
          <w:spacing w:val="-18"/>
        </w:rPr>
        <w:t>号院 </w:t>
      </w:r>
      <w:r>
        <w:rPr>
          <w:rFonts w:ascii="Times New Roman" w:eastAsia="Times New Roman"/>
        </w:rPr>
        <w:t>3 </w:t>
      </w:r>
      <w:r>
        <w:rPr>
          <w:spacing w:val="-8"/>
        </w:rPr>
        <w:t>号楼中建财富国际中心 </w:t>
      </w:r>
      <w:r>
        <w:rPr>
          <w:rFonts w:ascii="Times New Roman" w:eastAsia="Times New Roman"/>
        </w:rPr>
        <w:t>27 </w:t>
      </w:r>
      <w:r>
        <w:rPr/>
        <w:t>层</w:t>
      </w:r>
      <w:r>
        <w:rPr>
          <w:spacing w:val="-3"/>
        </w:rPr>
        <w:t>法定代表人：吕春卫</w:t>
      </w:r>
    </w:p>
    <w:p>
      <w:pPr>
        <w:pStyle w:val="BodyText"/>
        <w:spacing w:line="417" w:lineRule="auto"/>
        <w:ind w:left="960" w:right="634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ind w:left="960"/>
      </w:pPr>
      <w:r>
        <w:rPr/>
        <w:t>联系人：丁倩云</w:t>
      </w:r>
    </w:p>
    <w:p>
      <w:pPr>
        <w:pStyle w:val="BodyText"/>
        <w:spacing w:before="6"/>
        <w:rPr>
          <w:sz w:val="15"/>
        </w:rPr>
      </w:pPr>
    </w:p>
    <w:p>
      <w:pPr>
        <w:pStyle w:val="BodyText"/>
        <w:ind w:left="960"/>
        <w:rPr>
          <w:rFonts w:ascii="Times New Roman" w:eastAsia="Times New Roman"/>
        </w:rPr>
      </w:pPr>
      <w:r>
        <w:rPr/>
        <w:t>网址：</w:t>
      </w:r>
      <w:hyperlink r:id="rId164">
        <w:r>
          <w:rPr>
            <w:rFonts w:ascii="Times New Roman" w:eastAsia="Times New Roman"/>
          </w:rPr>
          <w:t>www.lczq.com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华瑞保险销售有限公司</w:t>
      </w:r>
    </w:p>
    <w:p>
      <w:pPr>
        <w:pStyle w:val="BodyText"/>
        <w:spacing w:before="7"/>
        <w:rPr>
          <w:sz w:val="15"/>
        </w:rPr>
      </w:pPr>
    </w:p>
    <w:p>
      <w:pPr>
        <w:pStyle w:val="BodyText"/>
        <w:spacing w:line="417" w:lineRule="auto"/>
        <w:ind w:left="960" w:right="918"/>
        <w:rPr>
          <w:rFonts w:ascii="Times New Roman" w:eastAsia="Times New Roman"/>
        </w:rPr>
      </w:pPr>
      <w:r>
        <w:rPr>
          <w:spacing w:val="-6"/>
        </w:rPr>
        <w:t>住所：上海市嘉定区南翔镇众仁路 </w:t>
      </w:r>
      <w:r>
        <w:rPr>
          <w:rFonts w:ascii="Times New Roman" w:eastAsia="Times New Roman"/>
        </w:rPr>
        <w:t>399 </w:t>
      </w:r>
      <w:r>
        <w:rPr>
          <w:spacing w:val="-9"/>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spacing w:line="417" w:lineRule="auto"/>
        <w:ind w:left="960" w:right="628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ind w:left="960"/>
      </w:pPr>
      <w:r>
        <w:rPr/>
        <w:t>联系人：茆勇强</w:t>
      </w:r>
    </w:p>
    <w:p>
      <w:pPr>
        <w:pStyle w:val="BodyText"/>
        <w:spacing w:before="6"/>
        <w:rPr>
          <w:sz w:val="15"/>
        </w:rPr>
      </w:pPr>
    </w:p>
    <w:p>
      <w:pPr>
        <w:pStyle w:val="BodyText"/>
        <w:spacing w:line="417" w:lineRule="auto"/>
        <w:ind w:left="960" w:right="5676"/>
        <w:rPr>
          <w:rFonts w:ascii="Times New Roman" w:eastAsia="Times New Roman"/>
        </w:rPr>
      </w:pPr>
      <w:r>
        <w:rPr/>
        <w:t>网址：</w:t>
      </w:r>
      <w:hyperlink r:id="rId165">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9"/>
        </w:numPr>
        <w:tabs>
          <w:tab w:pos="1699" w:val="left" w:leader="none"/>
        </w:tabs>
        <w:spacing w:line="269" w:lineRule="exact" w:before="0" w:after="0"/>
        <w:ind w:left="1698" w:right="0" w:hanging="739"/>
        <w:jc w:val="left"/>
        <w:rPr>
          <w:sz w:val="21"/>
        </w:rPr>
      </w:pPr>
      <w:r>
        <w:rPr>
          <w:spacing w:val="-3"/>
          <w:sz w:val="21"/>
        </w:rPr>
        <w:t>玄元保险代理有限公司</w:t>
      </w:r>
    </w:p>
    <w:p>
      <w:pPr>
        <w:pStyle w:val="BodyText"/>
        <w:spacing w:before="7"/>
        <w:rPr>
          <w:sz w:val="15"/>
        </w:rPr>
      </w:pPr>
    </w:p>
    <w:p>
      <w:pPr>
        <w:pStyle w:val="BodyText"/>
        <w:ind w:left="96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7"/>
        <w:rPr>
          <w:sz w:val="15"/>
        </w:rPr>
      </w:pPr>
    </w:p>
    <w:p>
      <w:pPr>
        <w:pStyle w:val="BodyText"/>
        <w:spacing w:line="417" w:lineRule="auto"/>
        <w:ind w:left="960" w:right="243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17" w:lineRule="auto"/>
        <w:ind w:left="960" w:right="634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960"/>
      </w:pPr>
      <w:r>
        <w:rPr/>
        <w:t>联系人：卢亚博</w:t>
      </w:r>
    </w:p>
    <w:p>
      <w:pPr>
        <w:pStyle w:val="BodyText"/>
        <w:spacing w:before="7"/>
        <w:rPr>
          <w:sz w:val="15"/>
        </w:rPr>
      </w:pPr>
    </w:p>
    <w:p>
      <w:pPr>
        <w:pStyle w:val="BodyText"/>
        <w:spacing w:line="417" w:lineRule="auto"/>
        <w:ind w:left="960" w:right="404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阳光人寿保险股份有限公司</w:t>
      </w:r>
    </w:p>
    <w:p>
      <w:pPr>
        <w:pStyle w:val="BodyText"/>
        <w:spacing w:before="6"/>
        <w:rPr>
          <w:sz w:val="15"/>
        </w:rPr>
      </w:pPr>
    </w:p>
    <w:p>
      <w:pPr>
        <w:pStyle w:val="BodyText"/>
        <w:spacing w:before="1"/>
        <w:ind w:left="96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spacing w:after="0"/>
        <w:sectPr>
          <w:pgSz w:w="11910" w:h="16840"/>
          <w:pgMar w:header="877" w:footer="995" w:top="1420" w:bottom="1180" w:left="1260" w:right="1480"/>
        </w:sectPr>
      </w:pPr>
    </w:p>
    <w:p>
      <w:pPr>
        <w:pStyle w:val="BodyText"/>
        <w:spacing w:line="417" w:lineRule="auto" w:before="110"/>
        <w:ind w:left="960" w:right="148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960" w:right="634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960"/>
      </w:pPr>
      <w:r>
        <w:rPr/>
        <w:t>联系人：王超</w:t>
      </w:r>
    </w:p>
    <w:p>
      <w:pPr>
        <w:pStyle w:val="BodyText"/>
        <w:spacing w:before="6"/>
        <w:rPr>
          <w:sz w:val="15"/>
        </w:rPr>
      </w:pPr>
    </w:p>
    <w:p>
      <w:pPr>
        <w:pStyle w:val="BodyText"/>
        <w:spacing w:line="417" w:lineRule="auto"/>
        <w:ind w:left="960" w:right="5570"/>
        <w:rPr>
          <w:rFonts w:ascii="Times New Roman" w:eastAsia="Times New Roman"/>
        </w:rPr>
      </w:pPr>
      <w:r>
        <w:rPr/>
        <w:t>网址：</w:t>
      </w:r>
      <w:hyperlink r:id="rId166">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9"/>
        </w:numPr>
        <w:tabs>
          <w:tab w:pos="1699" w:val="left" w:leader="none"/>
        </w:tabs>
        <w:spacing w:line="240" w:lineRule="auto" w:before="0" w:after="0"/>
        <w:ind w:left="1698" w:right="0" w:hanging="739"/>
        <w:jc w:val="left"/>
        <w:rPr>
          <w:sz w:val="21"/>
        </w:rPr>
      </w:pPr>
      <w:r>
        <w:rPr>
          <w:spacing w:val="-3"/>
          <w:sz w:val="21"/>
        </w:rPr>
        <w:t>中国人寿保险股份有限公司</w:t>
      </w:r>
    </w:p>
    <w:p>
      <w:pPr>
        <w:pStyle w:val="BodyText"/>
        <w:spacing w:before="7"/>
        <w:rPr>
          <w:sz w:val="15"/>
        </w:rPr>
      </w:pPr>
    </w:p>
    <w:p>
      <w:pPr>
        <w:pStyle w:val="BodyText"/>
        <w:ind w:left="960"/>
      </w:pPr>
      <w:r>
        <w:rPr/>
        <w:t>住所：中国北京市西城区金融大街 </w:t>
      </w:r>
      <w:r>
        <w:rPr>
          <w:rFonts w:ascii="Times New Roman" w:eastAsia="Times New Roman"/>
        </w:rPr>
        <w:t>16 </w:t>
      </w:r>
      <w:r>
        <w:rPr/>
        <w:t>号</w:t>
      </w:r>
    </w:p>
    <w:p>
      <w:pPr>
        <w:pStyle w:val="BodyText"/>
        <w:spacing w:before="7"/>
        <w:rPr>
          <w:sz w:val="15"/>
        </w:rPr>
      </w:pPr>
    </w:p>
    <w:p>
      <w:pPr>
        <w:pStyle w:val="BodyText"/>
        <w:spacing w:line="417" w:lineRule="auto"/>
        <w:ind w:left="960" w:right="4043"/>
      </w:pPr>
      <w:r>
        <w:rPr/>
        <w:t>办公地址：中国北京市西城区金融大街 </w:t>
      </w:r>
      <w:r>
        <w:rPr>
          <w:rFonts w:ascii="Times New Roman" w:eastAsia="Times New Roman"/>
        </w:rPr>
        <w:t>16 </w:t>
      </w:r>
      <w:r>
        <w:rPr/>
        <w:t>号法定代表人：王滨</w:t>
      </w:r>
    </w:p>
    <w:p>
      <w:pPr>
        <w:pStyle w:val="BodyText"/>
        <w:spacing w:line="417" w:lineRule="auto"/>
        <w:ind w:left="960" w:right="634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960"/>
      </w:pPr>
      <w:r>
        <w:rPr/>
        <w:t>联系人：柳亚卿</w:t>
      </w:r>
    </w:p>
    <w:p>
      <w:pPr>
        <w:pStyle w:val="BodyText"/>
        <w:spacing w:before="6"/>
        <w:rPr>
          <w:sz w:val="15"/>
        </w:rPr>
      </w:pPr>
    </w:p>
    <w:p>
      <w:pPr>
        <w:pStyle w:val="BodyText"/>
        <w:spacing w:line="417" w:lineRule="auto" w:before="1"/>
        <w:ind w:left="960" w:right="5723"/>
        <w:rPr>
          <w:rFonts w:ascii="Times New Roman" w:eastAsia="Times New Roman"/>
        </w:rPr>
      </w:pPr>
      <w:r>
        <w:rPr/>
        <w:t>网址：</w:t>
      </w:r>
      <w:hyperlink r:id="rId167">
        <w:r>
          <w:rPr>
            <w:rFonts w:ascii="Times New Roman" w:eastAsia="Times New Roman"/>
          </w:rPr>
          <w:t>www.e-chinalife.com </w:t>
        </w:r>
      </w:hyperlink>
      <w:r>
        <w:rPr/>
        <w:t>客户服务电话：</w:t>
      </w:r>
      <w:r>
        <w:rPr>
          <w:rFonts w:ascii="Times New Roman" w:eastAsia="Times New Roman"/>
        </w:rPr>
        <w:t>95519</w:t>
      </w:r>
    </w:p>
    <w:p>
      <w:pPr>
        <w:pStyle w:val="BodyText"/>
        <w:spacing w:line="417" w:lineRule="auto"/>
        <w:ind w:left="540" w:right="313" w:firstLine="419"/>
      </w:pPr>
      <w:r>
        <w:rPr>
          <w:rFonts w:ascii="Times New Roman" w:eastAsia="Times New Roman"/>
        </w:rPr>
        <w:t>3</w:t>
      </w:r>
      <w:r>
        <w:rPr/>
        <w:t>、本公司可以根据情况变化增加或者减少基金销售机构。基金销售机构可以根据情况增加或者减少其销售城市、网点。</w:t>
      </w:r>
    </w:p>
    <w:p>
      <w:pPr>
        <w:pStyle w:val="BodyText"/>
        <w:spacing w:line="269" w:lineRule="exact"/>
        <w:ind w:left="960"/>
      </w:pPr>
      <w:r>
        <w:rPr/>
        <w:t>（二）登记机构</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96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联系人：朱威</w:t>
      </w:r>
    </w:p>
    <w:p>
      <w:pPr>
        <w:pStyle w:val="BodyText"/>
        <w:spacing w:before="6"/>
        <w:rPr>
          <w:sz w:val="15"/>
        </w:rPr>
      </w:pPr>
    </w:p>
    <w:p>
      <w:pPr>
        <w:pStyle w:val="BodyText"/>
        <w:spacing w:before="1"/>
        <w:ind w:left="960"/>
      </w:pPr>
      <w:r>
        <w:rPr/>
        <w:t>（三）律师事务所</w:t>
      </w:r>
    </w:p>
    <w:p>
      <w:pPr>
        <w:pStyle w:val="BodyText"/>
        <w:spacing w:before="6"/>
        <w:rPr>
          <w:sz w:val="15"/>
        </w:rPr>
      </w:pPr>
    </w:p>
    <w:p>
      <w:pPr>
        <w:pStyle w:val="BodyText"/>
        <w:ind w:left="960"/>
      </w:pPr>
      <w:r>
        <w:rPr/>
        <w:t>名称：北京市天元律师事务所</w:t>
      </w:r>
    </w:p>
    <w:p>
      <w:pPr>
        <w:pStyle w:val="BodyText"/>
        <w:spacing w:before="7"/>
        <w:rPr>
          <w:sz w:val="15"/>
        </w:rPr>
      </w:pPr>
    </w:p>
    <w:p>
      <w:pPr>
        <w:pStyle w:val="BodyText"/>
        <w:spacing w:before="1"/>
        <w:ind w:left="96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6"/>
        <w:rPr>
          <w:sz w:val="15"/>
        </w:rPr>
      </w:pPr>
    </w:p>
    <w:p>
      <w:pPr>
        <w:pStyle w:val="BodyText"/>
        <w:ind w:left="960"/>
      </w:pPr>
      <w:r>
        <w:rPr/>
        <w:t>办公地址：北京市西城区丰盛胡同 </w:t>
      </w:r>
      <w:r>
        <w:rPr>
          <w:rFonts w:ascii="Times New Roman" w:eastAsia="Times New Roman"/>
        </w:rPr>
        <w:t>28 </w:t>
      </w:r>
      <w:r>
        <w:rPr/>
        <w:t>号太平洋保险大厦 </w:t>
      </w:r>
      <w:r>
        <w:rPr>
          <w:rFonts w:ascii="Times New Roman" w:eastAsia="Times New Roman"/>
        </w:rPr>
        <w:t>10 </w:t>
      </w:r>
      <w:r>
        <w:rPr/>
        <w:t>层</w:t>
      </w:r>
    </w:p>
    <w:p>
      <w:pPr>
        <w:spacing w:after="0"/>
        <w:sectPr>
          <w:pgSz w:w="11910" w:h="16840"/>
          <w:pgMar w:header="877" w:footer="995" w:top="1420" w:bottom="1180" w:left="1260" w:right="1480"/>
        </w:sectPr>
      </w:pPr>
    </w:p>
    <w:p>
      <w:pPr>
        <w:pStyle w:val="BodyText"/>
        <w:spacing w:before="110"/>
        <w:ind w:left="960"/>
      </w:pPr>
      <w:r>
        <w:rPr>
          <w:spacing w:val="-3"/>
        </w:rPr>
        <w:t>法定代表人：朱小辉</w:t>
      </w:r>
    </w:p>
    <w:p>
      <w:pPr>
        <w:pStyle w:val="BodyText"/>
        <w:spacing w:before="6"/>
        <w:rPr>
          <w:sz w:val="15"/>
        </w:rPr>
      </w:pPr>
    </w:p>
    <w:p>
      <w:pPr>
        <w:pStyle w:val="BodyText"/>
        <w:spacing w:line="417" w:lineRule="auto"/>
        <w:ind w:left="960" w:right="59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960"/>
      </w:pPr>
      <w:r>
        <w:rPr/>
        <w:t>联系人：李晗</w:t>
      </w:r>
    </w:p>
    <w:p>
      <w:pPr>
        <w:pStyle w:val="BodyText"/>
        <w:spacing w:before="7"/>
        <w:rPr>
          <w:sz w:val="15"/>
        </w:rPr>
      </w:pPr>
    </w:p>
    <w:p>
      <w:pPr>
        <w:pStyle w:val="BodyText"/>
        <w:ind w:left="960"/>
      </w:pPr>
      <w:r>
        <w:rPr/>
        <w:t>经办律师：吴冠雄、李晗</w:t>
      </w:r>
    </w:p>
    <w:p>
      <w:pPr>
        <w:pStyle w:val="BodyText"/>
        <w:spacing w:before="7"/>
        <w:rPr>
          <w:sz w:val="15"/>
        </w:rPr>
      </w:pPr>
    </w:p>
    <w:p>
      <w:pPr>
        <w:pStyle w:val="BodyText"/>
        <w:ind w:left="960"/>
      </w:pPr>
      <w:r>
        <w:rPr/>
        <w:t>（四）会计师事务所</w:t>
      </w:r>
    </w:p>
    <w:p>
      <w:pPr>
        <w:pStyle w:val="BodyText"/>
        <w:spacing w:before="7"/>
        <w:rPr>
          <w:sz w:val="15"/>
        </w:rPr>
      </w:pPr>
    </w:p>
    <w:p>
      <w:pPr>
        <w:pStyle w:val="BodyText"/>
        <w:ind w:left="960"/>
      </w:pPr>
      <w:r>
        <w:rPr/>
        <w:t>名称：安永华明会计师事务所（特殊普通合伙）</w:t>
      </w:r>
    </w:p>
    <w:p>
      <w:pPr>
        <w:pStyle w:val="BodyText"/>
        <w:spacing w:before="7"/>
        <w:rPr>
          <w:sz w:val="15"/>
        </w:rPr>
      </w:pPr>
    </w:p>
    <w:p>
      <w:pPr>
        <w:pStyle w:val="BodyText"/>
        <w:spacing w:line="417" w:lineRule="auto"/>
        <w:ind w:left="960" w:right="235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w:t>
      </w:r>
      <w:r>
        <w:rPr>
          <w:rFonts w:ascii="Times New Roman" w:eastAsia="Times New Roman"/>
        </w:rPr>
        <w:t>01-12</w:t>
      </w:r>
      <w:r>
        <w:rP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  </w:t>
      </w:r>
      <w:r>
        <w:rPr>
          <w:spacing w:val="-3"/>
        </w:rPr>
        <w:t>执行事务合伙人：毛鞍宁</w:t>
      </w:r>
    </w:p>
    <w:p>
      <w:pPr>
        <w:pStyle w:val="BodyText"/>
        <w:spacing w:line="417" w:lineRule="auto"/>
        <w:ind w:left="960" w:right="5926"/>
        <w:rPr>
          <w:rFonts w:ascii="Times New Roman" w:eastAsia="Times New Roman"/>
        </w:rPr>
      </w:pPr>
      <w:r>
        <w:rPr/>
        <w:t>联系电话：</w:t>
      </w:r>
      <w:r>
        <w:rPr>
          <w:rFonts w:ascii="Times New Roman" w:eastAsia="Times New Roman"/>
        </w:rPr>
        <w:t>010-58153000 </w:t>
      </w:r>
      <w:r>
        <w:rPr/>
        <w:t>传真：</w:t>
      </w:r>
      <w:r>
        <w:rPr>
          <w:rFonts w:ascii="Times New Roman" w:eastAsia="Times New Roman"/>
        </w:rPr>
        <w:t>010-85188298</w:t>
      </w:r>
    </w:p>
    <w:p>
      <w:pPr>
        <w:pStyle w:val="BodyText"/>
        <w:spacing w:line="269" w:lineRule="exact"/>
        <w:ind w:left="960"/>
      </w:pPr>
      <w:r>
        <w:rPr/>
        <w:t>联系人：王珊珊</w:t>
      </w:r>
    </w:p>
    <w:p>
      <w:pPr>
        <w:pStyle w:val="BodyText"/>
        <w:spacing w:before="6"/>
        <w:rPr>
          <w:sz w:val="15"/>
        </w:rPr>
      </w:pPr>
    </w:p>
    <w:p>
      <w:pPr>
        <w:pStyle w:val="BodyText"/>
        <w:ind w:left="960"/>
      </w:pPr>
      <w:r>
        <w:rPr/>
        <w:t>经办注册会计师：王珊珊、马剑英</w:t>
      </w:r>
    </w:p>
    <w:p>
      <w:pPr>
        <w:pStyle w:val="BodyText"/>
        <w:rPr>
          <w:sz w:val="20"/>
        </w:rPr>
      </w:pPr>
    </w:p>
    <w:p>
      <w:pPr>
        <w:pStyle w:val="BodyText"/>
        <w:rPr>
          <w:sz w:val="20"/>
        </w:rPr>
      </w:pPr>
    </w:p>
    <w:p>
      <w:pPr>
        <w:pStyle w:val="Heading1"/>
        <w:spacing w:before="170"/>
      </w:pPr>
      <w:bookmarkStart w:name="_bookmark5" w:id="6"/>
      <w:bookmarkEnd w:id="6"/>
      <w:r>
        <w:rPr>
          <w:b w:val="0"/>
        </w:rPr>
      </w:r>
      <w:r>
        <w:rPr/>
        <w:t>六、基金的募集</w:t>
      </w:r>
    </w:p>
    <w:p>
      <w:pPr>
        <w:pStyle w:val="BodyText"/>
        <w:rPr>
          <w:b/>
          <w:sz w:val="20"/>
        </w:rPr>
      </w:pPr>
    </w:p>
    <w:p>
      <w:pPr>
        <w:pStyle w:val="BodyText"/>
        <w:rPr>
          <w:b/>
          <w:sz w:val="20"/>
        </w:rPr>
      </w:pPr>
    </w:p>
    <w:p>
      <w:pPr>
        <w:pStyle w:val="BodyText"/>
        <w:spacing w:line="417" w:lineRule="auto" w:before="156"/>
        <w:ind w:left="540" w:right="314" w:firstLine="419"/>
      </w:pPr>
      <w:r>
        <w:rPr>
          <w:spacing w:val="-27"/>
        </w:rPr>
        <w:t>本基金由基金管理人依照《基金法》、《运作办法》、《销售办法》、基金合同及其他有关</w:t>
      </w:r>
      <w:r>
        <w:rPr>
          <w:spacing w:val="-13"/>
        </w:rPr>
        <w:t>规定募集。本基金募集申请已经中国证监会</w:t>
      </w:r>
      <w:r>
        <w:rPr>
          <w:rFonts w:ascii="Times New Roman" w:eastAsia="Times New Roman"/>
        </w:rPr>
        <w:t>2016 </w:t>
      </w:r>
      <w:r>
        <w:rPr>
          <w:spacing w:val="26"/>
        </w:rPr>
        <w:t>年</w:t>
      </w:r>
      <w:r>
        <w:rPr>
          <w:rFonts w:ascii="Times New Roman" w:eastAsia="Times New Roman"/>
        </w:rPr>
        <w:t>6 </w:t>
      </w:r>
      <w:r>
        <w:rPr>
          <w:spacing w:val="26"/>
        </w:rPr>
        <w:t>月</w:t>
      </w:r>
      <w:r>
        <w:rPr>
          <w:rFonts w:ascii="Times New Roman" w:eastAsia="Times New Roman"/>
        </w:rPr>
        <w:t>24 </w:t>
      </w:r>
      <w:r>
        <w:rPr>
          <w:spacing w:val="-3"/>
        </w:rPr>
        <w:t>日证监许可</w:t>
      </w:r>
      <w:r>
        <w:rPr>
          <w:rFonts w:ascii="Times New Roman" w:eastAsia="Times New Roman"/>
        </w:rPr>
        <w:t>[2016]1416 </w:t>
      </w:r>
      <w:r>
        <w:rPr>
          <w:spacing w:val="-3"/>
        </w:rPr>
        <w:t>号文注册。</w:t>
      </w:r>
    </w:p>
    <w:p>
      <w:pPr>
        <w:pStyle w:val="BodyText"/>
        <w:spacing w:line="269" w:lineRule="exact"/>
        <w:ind w:left="960"/>
      </w:pPr>
      <w:r>
        <w:rPr/>
        <w:t>本基金为契约型开放式基金，基金存续期间为不定期。</w:t>
      </w:r>
    </w:p>
    <w:p>
      <w:pPr>
        <w:pStyle w:val="BodyText"/>
        <w:spacing w:before="7"/>
        <w:rPr>
          <w:sz w:val="15"/>
        </w:rPr>
      </w:pPr>
    </w:p>
    <w:p>
      <w:pPr>
        <w:pStyle w:val="BodyText"/>
        <w:ind w:left="960"/>
      </w:pPr>
      <w:r>
        <w:rPr/>
        <w:t>本基金每份基金份额初始面值为 </w:t>
      </w:r>
      <w:r>
        <w:rPr>
          <w:rFonts w:ascii="Times New Roman" w:eastAsia="Times New Roman"/>
        </w:rPr>
        <w:t>1.00 </w:t>
      </w:r>
      <w:r>
        <w:rPr/>
        <w:t>元人民币，认购价格为 </w:t>
      </w:r>
      <w:r>
        <w:rPr>
          <w:rFonts w:ascii="Times New Roman" w:eastAsia="Times New Roman"/>
        </w:rPr>
        <w:t>1.00 </w:t>
      </w:r>
      <w:r>
        <w:rPr/>
        <w:t>元人民币。</w:t>
      </w:r>
    </w:p>
    <w:p>
      <w:pPr>
        <w:pStyle w:val="BodyText"/>
        <w:spacing w:before="7"/>
        <w:rPr>
          <w:sz w:val="15"/>
        </w:rPr>
      </w:pPr>
    </w:p>
    <w:p>
      <w:pPr>
        <w:pStyle w:val="BodyText"/>
        <w:ind w:left="960"/>
      </w:pPr>
      <w:r>
        <w:rPr/>
        <w:t>本基金自 </w:t>
      </w:r>
      <w:r>
        <w:rPr>
          <w:rFonts w:ascii="Times New Roman" w:eastAsia="Times New Roman"/>
        </w:rPr>
        <w:t>2016 </w:t>
      </w:r>
      <w:r>
        <w:rPr/>
        <w:t>年 </w:t>
      </w:r>
      <w:r>
        <w:rPr>
          <w:rFonts w:ascii="Times New Roman" w:eastAsia="Times New Roman"/>
        </w:rPr>
        <w:t>8 </w:t>
      </w:r>
      <w:r>
        <w:rPr/>
        <w:t>月 </w:t>
      </w:r>
      <w:r>
        <w:rPr>
          <w:rFonts w:ascii="Times New Roman" w:eastAsia="Times New Roman"/>
        </w:rPr>
        <w:t>8 </w:t>
      </w:r>
      <w:r>
        <w:rPr/>
        <w:t>日至 </w:t>
      </w:r>
      <w:r>
        <w:rPr>
          <w:rFonts w:ascii="Times New Roman" w:eastAsia="Times New Roman"/>
        </w:rPr>
        <w:t>2016 </w:t>
      </w:r>
      <w:r>
        <w:rPr/>
        <w:t>年 </w:t>
      </w:r>
      <w:r>
        <w:rPr>
          <w:rFonts w:ascii="Times New Roman" w:eastAsia="Times New Roman"/>
        </w:rPr>
        <w:t>9 </w:t>
      </w:r>
      <w:r>
        <w:rPr/>
        <w:t>月 </w:t>
      </w:r>
      <w:r>
        <w:rPr>
          <w:rFonts w:ascii="Times New Roman" w:eastAsia="Times New Roman"/>
        </w:rPr>
        <w:t>2 </w:t>
      </w:r>
      <w:r>
        <w:rPr/>
        <w:t>日进行发售。募集期间，本基金共募集</w:t>
      </w:r>
    </w:p>
    <w:p>
      <w:pPr>
        <w:pStyle w:val="BodyText"/>
        <w:spacing w:before="7"/>
        <w:rPr>
          <w:sz w:val="15"/>
        </w:rPr>
      </w:pPr>
    </w:p>
    <w:p>
      <w:pPr>
        <w:pStyle w:val="BodyText"/>
        <w:ind w:left="540"/>
      </w:pPr>
      <w:r>
        <w:rPr>
          <w:rFonts w:ascii="Times New Roman" w:eastAsia="Times New Roman"/>
        </w:rPr>
        <w:t>1,324,408,035.05 </w:t>
      </w:r>
      <w:r>
        <w:rPr/>
        <w:t>份基金份额，有效认购户数为 </w:t>
      </w:r>
      <w:r>
        <w:rPr>
          <w:rFonts w:ascii="Times New Roman" w:eastAsia="Times New Roman"/>
        </w:rPr>
        <w:t>17,505 </w:t>
      </w:r>
      <w:r>
        <w:rPr/>
        <w:t>户。</w:t>
      </w:r>
    </w:p>
    <w:p>
      <w:pPr>
        <w:pStyle w:val="BodyText"/>
        <w:rPr>
          <w:sz w:val="22"/>
        </w:rPr>
      </w:pPr>
    </w:p>
    <w:p>
      <w:pPr>
        <w:pStyle w:val="BodyText"/>
        <w:spacing w:before="2"/>
        <w:rPr>
          <w:sz w:val="31"/>
        </w:rPr>
      </w:pPr>
    </w:p>
    <w:p>
      <w:pPr>
        <w:pStyle w:val="Heading1"/>
      </w:pPr>
      <w:bookmarkStart w:name="_bookmark6" w:id="7"/>
      <w:bookmarkEnd w:id="7"/>
      <w:r>
        <w:rPr>
          <w:b w:val="0"/>
        </w:rPr>
      </w:r>
      <w:r>
        <w:rPr/>
        <w:t>七、基金合同的生效</w:t>
      </w:r>
    </w:p>
    <w:p>
      <w:pPr>
        <w:pStyle w:val="BodyText"/>
        <w:rPr>
          <w:b/>
          <w:sz w:val="20"/>
        </w:rPr>
      </w:pPr>
    </w:p>
    <w:p>
      <w:pPr>
        <w:pStyle w:val="BodyText"/>
        <w:rPr>
          <w:b/>
          <w:sz w:val="20"/>
        </w:rPr>
      </w:pPr>
    </w:p>
    <w:p>
      <w:pPr>
        <w:pStyle w:val="BodyText"/>
        <w:spacing w:line="417" w:lineRule="auto" w:before="157"/>
        <w:ind w:left="540" w:right="311" w:firstLine="419"/>
      </w:pPr>
      <w:r>
        <w:rPr>
          <w:spacing w:val="-19"/>
        </w:rPr>
        <w:t>根据有关规定，本基金满足基金合同生效条件，基金合同于 </w:t>
      </w:r>
      <w:r>
        <w:rPr>
          <w:rFonts w:ascii="Times New Roman" w:eastAsia="Times New Roman"/>
        </w:rPr>
        <w:t>2016 </w:t>
      </w:r>
      <w:r>
        <w:rPr>
          <w:spacing w:val="-23"/>
        </w:rPr>
        <w:t>年 </w:t>
      </w:r>
      <w:r>
        <w:rPr>
          <w:rFonts w:ascii="Times New Roman" w:eastAsia="Times New Roman"/>
        </w:rPr>
        <w:t>9 </w:t>
      </w:r>
      <w:r>
        <w:rPr>
          <w:spacing w:val="-23"/>
        </w:rPr>
        <w:t>月 </w:t>
      </w:r>
      <w:r>
        <w:rPr>
          <w:rFonts w:ascii="Times New Roman" w:eastAsia="Times New Roman"/>
        </w:rPr>
        <w:t>7 </w:t>
      </w:r>
      <w:r>
        <w:rPr>
          <w:spacing w:val="-3"/>
        </w:rPr>
        <w:t>日正式生效。自基金合同生效日起，本基金管理人正式开始管理本基金。</w:t>
      </w:r>
    </w:p>
    <w:p>
      <w:pPr>
        <w:pStyle w:val="BodyText"/>
        <w:ind w:left="960"/>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spacing w:after="0"/>
        <w:sectPr>
          <w:pgSz w:w="11910" w:h="16840"/>
          <w:pgMar w:header="877" w:footer="995" w:top="1420" w:bottom="1180" w:left="1260" w:right="1480"/>
        </w:sectPr>
      </w:pPr>
    </w:p>
    <w:p>
      <w:pPr>
        <w:pStyle w:val="BodyText"/>
        <w:spacing w:line="417" w:lineRule="auto" w:before="110"/>
        <w:ind w:left="540" w:right="31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其他基金合并或者终止基金合同等，并召开基金份额持有人大会进行表决。</w:t>
      </w:r>
    </w:p>
    <w:p>
      <w:pPr>
        <w:pStyle w:val="BodyText"/>
        <w:spacing w:line="269" w:lineRule="exact"/>
        <w:ind w:left="960"/>
      </w:pPr>
      <w:r>
        <w:rPr/>
        <w:t>法律法规另有规定时，从其规定。</w:t>
      </w:r>
    </w:p>
    <w:p>
      <w:pPr>
        <w:pStyle w:val="BodyText"/>
        <w:rPr>
          <w:sz w:val="20"/>
        </w:rPr>
      </w:pPr>
    </w:p>
    <w:p>
      <w:pPr>
        <w:pStyle w:val="BodyText"/>
        <w:spacing w:before="1"/>
        <w:rPr>
          <w:sz w:val="22"/>
        </w:rPr>
      </w:pPr>
    </w:p>
    <w:p>
      <w:pPr>
        <w:pStyle w:val="Heading1"/>
      </w:pPr>
      <w:bookmarkStart w:name="_bookmark7" w:id="8"/>
      <w:bookmarkEnd w:id="8"/>
      <w:r>
        <w:rPr>
          <w:b w:val="0"/>
        </w:rPr>
      </w:r>
      <w:r>
        <w:rPr/>
        <w:t>八、基金份额的申购、赎回与转换</w:t>
      </w:r>
    </w:p>
    <w:p>
      <w:pPr>
        <w:pStyle w:val="BodyText"/>
        <w:rPr>
          <w:b/>
          <w:sz w:val="20"/>
        </w:rPr>
      </w:pPr>
    </w:p>
    <w:p>
      <w:pPr>
        <w:pStyle w:val="BodyText"/>
        <w:spacing w:before="3"/>
        <w:rPr>
          <w:b/>
        </w:rPr>
      </w:pPr>
    </w:p>
    <w:p>
      <w:pPr>
        <w:pStyle w:val="BodyText"/>
        <w:ind w:left="960"/>
      </w:pPr>
      <w:r>
        <w:rPr/>
        <w:t>（一）申购和赎回场所</w:t>
      </w:r>
    </w:p>
    <w:p>
      <w:pPr>
        <w:pStyle w:val="BodyText"/>
        <w:spacing w:before="7"/>
        <w:rPr>
          <w:sz w:val="15"/>
        </w:rPr>
      </w:pPr>
    </w:p>
    <w:p>
      <w:pPr>
        <w:pStyle w:val="BodyText"/>
        <w:spacing w:line="417" w:lineRule="auto"/>
        <w:ind w:left="540" w:right="311" w:firstLine="419"/>
        <w:jc w:val="both"/>
      </w:pPr>
      <w:r>
        <w:rPr>
          <w:spacing w:val="-8"/>
        </w:rPr>
        <w:t>本基金的申购与赎回将通过销售机构进行。具体的销售网点将由基金管理人在招募说明</w:t>
      </w:r>
      <w:r>
        <w:rPr>
          <w:spacing w:val="-11"/>
        </w:rPr>
        <w:t>书或其他相关公告中列明。基金管理人可根据情况变更或增减销售机构。基金投资者应当在销售机构办理基金销售业务的营业场所或按销售机构提供的其他方式办理基金份额的申购</w:t>
      </w:r>
      <w:r>
        <w:rPr>
          <w:spacing w:val="-7"/>
        </w:rPr>
        <w:t>与赎回。</w:t>
      </w:r>
    </w:p>
    <w:p>
      <w:pPr>
        <w:pStyle w:val="BodyText"/>
        <w:spacing w:line="268" w:lineRule="exact"/>
        <w:ind w:left="960"/>
      </w:pPr>
      <w:r>
        <w:rPr>
          <w:rFonts w:ascii="Times New Roman" w:eastAsia="Times New Roman"/>
        </w:rPr>
        <w:t>1</w:t>
      </w:r>
      <w:r>
        <w:rPr/>
        <w:t>、直销机构</w:t>
      </w:r>
    </w:p>
    <w:p>
      <w:pPr>
        <w:pStyle w:val="BodyText"/>
        <w:spacing w:before="7"/>
        <w:rPr>
          <w:sz w:val="15"/>
        </w:rPr>
      </w:pPr>
    </w:p>
    <w:p>
      <w:pPr>
        <w:pStyle w:val="BodyText"/>
        <w:spacing w:line="417" w:lineRule="auto"/>
        <w:ind w:left="540" w:right="31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北京分公司</w:t>
      </w:r>
    </w:p>
    <w:p>
      <w:pPr>
        <w:pStyle w:val="BodyText"/>
        <w:spacing w:before="6"/>
        <w:rPr>
          <w:sz w:val="15"/>
        </w:rPr>
      </w:pPr>
    </w:p>
    <w:p>
      <w:pPr>
        <w:pStyle w:val="BodyText"/>
        <w:spacing w:line="417" w:lineRule="auto" w:before="1"/>
        <w:ind w:left="960" w:right="217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960" w:right="238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ind w:left="960"/>
        <w:rPr>
          <w:rFonts w:ascii="Times New Roman" w:eastAsia="Times New Roman"/>
        </w:rPr>
      </w:pPr>
      <w:r>
        <w:rPr>
          <w:spacing w:val="-1"/>
        </w:rPr>
        <w:t>传真：</w:t>
      </w:r>
      <w:r>
        <w:rPr>
          <w:rFonts w:ascii="Times New Roman" w:eastAsia="Times New Roman"/>
          <w:spacing w:val="-1"/>
        </w:rPr>
        <w:t>010-64185180</w:t>
      </w:r>
    </w:p>
    <w:p>
      <w:pPr>
        <w:pStyle w:val="BodyText"/>
        <w:spacing w:before="3"/>
        <w:rPr>
          <w:rFonts w:ascii="Times New Roman"/>
          <w:sz w:val="17"/>
        </w:rPr>
      </w:pPr>
    </w:p>
    <w:p>
      <w:pPr>
        <w:pStyle w:val="ListParagraph"/>
        <w:numPr>
          <w:ilvl w:val="0"/>
          <w:numId w:val="10"/>
        </w:numPr>
        <w:tabs>
          <w:tab w:pos="1490" w:val="left" w:leader="none"/>
        </w:tabs>
        <w:spacing w:line="240" w:lineRule="auto" w:before="1" w:after="0"/>
        <w:ind w:left="1489" w:right="0" w:hanging="530"/>
        <w:jc w:val="left"/>
        <w:rPr>
          <w:sz w:val="21"/>
        </w:rPr>
      </w:pPr>
      <w:r>
        <w:rPr>
          <w:spacing w:val="-3"/>
          <w:sz w:val="21"/>
        </w:rPr>
        <w:t>北京科学院南路投资理财中心</w:t>
      </w:r>
    </w:p>
    <w:p>
      <w:pPr>
        <w:pStyle w:val="BodyText"/>
        <w:spacing w:before="6"/>
        <w:rPr>
          <w:sz w:val="15"/>
        </w:rPr>
      </w:pPr>
    </w:p>
    <w:p>
      <w:pPr>
        <w:pStyle w:val="BodyText"/>
        <w:spacing w:line="417" w:lineRule="auto"/>
        <w:ind w:left="960" w:right="53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010-82523196</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6"/>
        <w:rPr>
          <w:sz w:val="15"/>
        </w:rPr>
      </w:pPr>
    </w:p>
    <w:p>
      <w:pPr>
        <w:pStyle w:val="BodyText"/>
        <w:spacing w:line="417" w:lineRule="auto" w:before="1"/>
        <w:ind w:left="960" w:right="745"/>
        <w:rPr>
          <w:rFonts w:ascii="Times New Roman" w:eastAsia="Times New Roman"/>
        </w:rPr>
      </w:pPr>
      <w:r>
        <w:rPr>
          <w:spacing w:val="-7"/>
        </w:rPr>
        <w:t>地址：北京市朝阳区八里庄西里 </w:t>
      </w:r>
      <w:r>
        <w:rPr>
          <w:rFonts w:ascii="Times New Roman" w:eastAsia="Times New Roman"/>
        </w:rPr>
        <w:t>100 </w:t>
      </w:r>
      <w:r>
        <w:rPr>
          <w:spacing w:val="-14"/>
        </w:rPr>
        <w:t>号住邦 </w:t>
      </w:r>
      <w:r>
        <w:rPr>
          <w:rFonts w:ascii="Times New Roman" w:eastAsia="Times New Roman"/>
        </w:rPr>
        <w:t>2000 </w:t>
      </w:r>
      <w:r>
        <w:rPr>
          <w:spacing w:val="-12"/>
        </w:rPr>
        <w:t>商务中心 </w:t>
      </w:r>
      <w:r>
        <w:rPr>
          <w:rFonts w:ascii="Times New Roman" w:eastAsia="Times New Roman"/>
        </w:rPr>
        <w:t>1 </w:t>
      </w:r>
      <w:r>
        <w:rPr>
          <w:spacing w:val="-3"/>
        </w:rPr>
        <w:t>号楼一层</w:t>
      </w:r>
      <w:r>
        <w:rPr/>
        <w:t>（</w:t>
      </w:r>
      <w:r>
        <w:rPr>
          <w:rFonts w:ascii="Times New Roman" w:eastAsia="Times New Roman"/>
        </w:rPr>
        <w:t>100025</w:t>
      </w:r>
      <w:r>
        <w:rPr/>
        <w:t>） 电话：</w:t>
      </w:r>
      <w:r>
        <w:rPr>
          <w:rFonts w:ascii="Times New Roman" w:eastAsia="Times New Roman"/>
        </w:rPr>
        <w:t>010-85869755</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010-85869575</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960" w:right="257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96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上海分公司</w:t>
      </w:r>
    </w:p>
    <w:p>
      <w:pPr>
        <w:pStyle w:val="BodyText"/>
        <w:spacing w:before="7"/>
        <w:rPr>
          <w:sz w:val="15"/>
        </w:rPr>
      </w:pPr>
    </w:p>
    <w:p>
      <w:pPr>
        <w:pStyle w:val="BodyText"/>
        <w:spacing w:line="417" w:lineRule="auto"/>
        <w:ind w:left="960" w:right="126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ind w:left="96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6"/>
        <w:rPr>
          <w:sz w:val="15"/>
        </w:rPr>
      </w:pPr>
    </w:p>
    <w:p>
      <w:pPr>
        <w:pStyle w:val="BodyText"/>
        <w:spacing w:line="417" w:lineRule="auto" w:before="1"/>
        <w:ind w:left="960" w:right="74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南京分公司</w:t>
      </w:r>
    </w:p>
    <w:p>
      <w:pPr>
        <w:pStyle w:val="BodyText"/>
        <w:spacing w:before="7"/>
        <w:rPr>
          <w:sz w:val="15"/>
        </w:rPr>
      </w:pPr>
    </w:p>
    <w:p>
      <w:pPr>
        <w:pStyle w:val="BodyText"/>
        <w:spacing w:line="417" w:lineRule="auto"/>
        <w:ind w:left="960" w:right="133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10"/>
        </w:numPr>
        <w:tabs>
          <w:tab w:pos="1490" w:val="left" w:leader="none"/>
        </w:tabs>
        <w:spacing w:line="240" w:lineRule="auto" w:before="1" w:after="0"/>
        <w:ind w:left="1489" w:right="0" w:hanging="530"/>
        <w:jc w:val="left"/>
        <w:rPr>
          <w:sz w:val="21"/>
        </w:rPr>
      </w:pPr>
      <w:r>
        <w:rPr>
          <w:spacing w:val="-3"/>
          <w:sz w:val="21"/>
        </w:rPr>
        <w:t>杭州分公司</w:t>
      </w:r>
    </w:p>
    <w:p>
      <w:pPr>
        <w:pStyle w:val="BodyText"/>
        <w:spacing w:before="6"/>
        <w:rPr>
          <w:sz w:val="15"/>
        </w:rPr>
      </w:pPr>
    </w:p>
    <w:p>
      <w:pPr>
        <w:pStyle w:val="BodyText"/>
        <w:spacing w:line="417" w:lineRule="auto"/>
        <w:ind w:left="960" w:right="31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96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广州分公司</w:t>
      </w:r>
    </w:p>
    <w:p>
      <w:pPr>
        <w:pStyle w:val="BodyText"/>
        <w:spacing w:before="7"/>
        <w:rPr>
          <w:sz w:val="15"/>
        </w:rPr>
      </w:pPr>
    </w:p>
    <w:p>
      <w:pPr>
        <w:pStyle w:val="BodyText"/>
        <w:spacing w:line="417" w:lineRule="auto"/>
        <w:ind w:left="960" w:right="53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586" w:val="left" w:leader="none"/>
        </w:tabs>
        <w:spacing w:line="240" w:lineRule="auto" w:before="1" w:after="0"/>
        <w:ind w:left="1585" w:right="0" w:hanging="626"/>
        <w:jc w:val="left"/>
        <w:rPr>
          <w:sz w:val="21"/>
        </w:rPr>
      </w:pPr>
      <w:r>
        <w:rPr>
          <w:spacing w:val="-3"/>
          <w:sz w:val="21"/>
        </w:rPr>
        <w:t>广州天河投资理财中心</w:t>
      </w:r>
    </w:p>
    <w:p>
      <w:pPr>
        <w:pStyle w:val="BodyText"/>
        <w:spacing w:before="6"/>
        <w:rPr>
          <w:sz w:val="15"/>
        </w:rPr>
      </w:pPr>
    </w:p>
    <w:p>
      <w:pPr>
        <w:pStyle w:val="BodyText"/>
        <w:spacing w:line="417" w:lineRule="auto"/>
        <w:ind w:left="960" w:right="326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ind w:left="96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成都分公司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ind w:left="540"/>
      </w:pPr>
      <w:r>
        <w:rPr/>
        <w:t>（</w:t>
      </w:r>
      <w:r>
        <w:rPr>
          <w:rFonts w:ascii="Times New Roman" w:eastAsia="Times New Roman"/>
        </w:rPr>
        <w:t>610000</w:t>
      </w:r>
      <w:r>
        <w:rPr/>
        <w:t>）</w:t>
      </w:r>
    </w:p>
    <w:p>
      <w:pPr>
        <w:pStyle w:val="BodyText"/>
        <w:spacing w:before="7"/>
        <w:rPr>
          <w:sz w:val="15"/>
        </w:rPr>
      </w:pPr>
    </w:p>
    <w:p>
      <w:pPr>
        <w:pStyle w:val="BodyText"/>
        <w:spacing w:line="417" w:lineRule="auto"/>
        <w:ind w:left="960" w:right="634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0"/>
        </w:numPr>
        <w:tabs>
          <w:tab w:pos="1595" w:val="left" w:leader="none"/>
        </w:tabs>
        <w:spacing w:line="269" w:lineRule="exact" w:before="0" w:after="0"/>
        <w:ind w:left="1595" w:right="0" w:hanging="635"/>
        <w:jc w:val="left"/>
        <w:rPr>
          <w:sz w:val="21"/>
        </w:rPr>
      </w:pPr>
      <w:r>
        <w:rPr>
          <w:spacing w:val="-2"/>
          <w:sz w:val="21"/>
        </w:rPr>
        <w:t>电子交易</w:t>
      </w:r>
    </w:p>
    <w:p>
      <w:pPr>
        <w:pStyle w:val="BodyText"/>
        <w:spacing w:before="7"/>
        <w:rPr>
          <w:sz w:val="15"/>
        </w:rPr>
      </w:pPr>
    </w:p>
    <w:p>
      <w:pPr>
        <w:pStyle w:val="BodyText"/>
        <w:spacing w:line="417" w:lineRule="auto"/>
        <w:ind w:left="540" w:right="31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68">
        <w:r>
          <w:rPr>
            <w:rFonts w:ascii="Times New Roman" w:eastAsia="Times New Roman"/>
          </w:rPr>
          <w:t>www.ChinaAMC.com</w:t>
        </w:r>
      </w:hyperlink>
      <w:r>
        <w:rPr/>
        <w:t>。</w:t>
      </w:r>
    </w:p>
    <w:p>
      <w:pPr>
        <w:pStyle w:val="BodyText"/>
        <w:ind w:left="960"/>
      </w:pPr>
      <w:r>
        <w:rPr>
          <w:rFonts w:ascii="Times New Roman" w:eastAsia="Times New Roman"/>
        </w:rPr>
        <w:t>2</w:t>
      </w:r>
      <w:r>
        <w:rPr/>
        <w:t>、代销机构</w:t>
      </w:r>
    </w:p>
    <w:p>
      <w:pPr>
        <w:pStyle w:val="BodyText"/>
        <w:spacing w:before="7"/>
        <w:rPr>
          <w:sz w:val="15"/>
        </w:rPr>
      </w:pPr>
    </w:p>
    <w:p>
      <w:pPr>
        <w:pStyle w:val="BodyText"/>
        <w:spacing w:line="417" w:lineRule="auto"/>
        <w:ind w:left="540" w:right="31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540" w:right="311" w:firstLine="419"/>
      </w:pPr>
      <w:r>
        <w:rPr>
          <w:spacing w:val="-8"/>
        </w:rPr>
        <w:t>基金管理人可以根据情况增加或者减少销售机构，并在管理人网站公示。销售机构可以</w:t>
      </w:r>
      <w:r>
        <w:rPr>
          <w:spacing w:val="-5"/>
        </w:rPr>
        <w:t>根据情况增加或者减少其销售城市、网点。</w:t>
      </w:r>
    </w:p>
    <w:p>
      <w:pPr>
        <w:pStyle w:val="BodyText"/>
        <w:spacing w:line="269" w:lineRule="exact"/>
        <w:ind w:left="960"/>
      </w:pPr>
      <w:r>
        <w:rPr/>
        <w:t>（二）申购和赎回的开放日及时间</w:t>
      </w:r>
    </w:p>
    <w:p>
      <w:pPr>
        <w:pStyle w:val="BodyText"/>
        <w:spacing w:before="6"/>
        <w:rPr>
          <w:sz w:val="15"/>
        </w:rPr>
      </w:pPr>
    </w:p>
    <w:p>
      <w:pPr>
        <w:pStyle w:val="BodyText"/>
        <w:spacing w:before="1"/>
        <w:ind w:left="960"/>
      </w:pPr>
      <w:r>
        <w:rPr>
          <w:rFonts w:ascii="Times New Roman" w:eastAsia="Times New Roman"/>
        </w:rPr>
        <w:t>1</w:t>
      </w:r>
      <w:r>
        <w:rPr/>
        <w:t>、开放日及开放时间</w:t>
      </w:r>
    </w:p>
    <w:p>
      <w:pPr>
        <w:pStyle w:val="BodyText"/>
        <w:spacing w:before="6"/>
        <w:rPr>
          <w:sz w:val="15"/>
        </w:rPr>
      </w:pPr>
    </w:p>
    <w:p>
      <w:pPr>
        <w:pStyle w:val="BodyText"/>
        <w:spacing w:line="417" w:lineRule="auto"/>
        <w:ind w:left="540" w:right="3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540" w:right="205" w:firstLine="419"/>
      </w:pPr>
      <w:r>
        <w:rPr>
          <w:spacing w:val="-17"/>
        </w:rPr>
        <w:t>基金合同生效后，若出现新的证券交易市场、证券交易所交易时间变更或其他特殊情况， </w:t>
      </w:r>
      <w:r>
        <w:rPr>
          <w:spacing w:val="-11"/>
        </w:rPr>
        <w:t>基金管理人将视情况对前述开放日及开放时间进行相应的调整，但应在实施日前依照《信息</w:t>
      </w:r>
      <w:r>
        <w:rPr>
          <w:spacing w:val="-6"/>
        </w:rPr>
        <w:t>披露办法》的有关规定在指定媒介上公告。</w:t>
      </w:r>
    </w:p>
    <w:p>
      <w:pPr>
        <w:pStyle w:val="BodyText"/>
        <w:ind w:left="960"/>
      </w:pPr>
      <w:r>
        <w:rPr>
          <w:rFonts w:ascii="Times New Roman" w:eastAsia="Times New Roman"/>
        </w:rPr>
        <w:t>2</w:t>
      </w:r>
      <w:r>
        <w:rPr/>
        <w:t>、申购、赎回开始日及业务办理时间</w:t>
      </w:r>
    </w:p>
    <w:p>
      <w:pPr>
        <w:pStyle w:val="BodyText"/>
        <w:spacing w:before="7"/>
        <w:rPr>
          <w:sz w:val="15"/>
        </w:rPr>
      </w:pPr>
    </w:p>
    <w:p>
      <w:pPr>
        <w:pStyle w:val="BodyText"/>
        <w:ind w:left="960"/>
        <w:jc w:val="both"/>
      </w:pPr>
      <w:r>
        <w:rPr/>
        <w:t>本基金已于 </w:t>
      </w:r>
      <w:r>
        <w:rPr>
          <w:rFonts w:ascii="Times New Roman" w:eastAsia="Times New Roman"/>
        </w:rPr>
        <w:t>2016 </w:t>
      </w:r>
      <w:r>
        <w:rPr/>
        <w:t>年 </w:t>
      </w:r>
      <w:r>
        <w:rPr>
          <w:rFonts w:ascii="Times New Roman" w:eastAsia="Times New Roman"/>
        </w:rPr>
        <w:t>10 </w:t>
      </w:r>
      <w:r>
        <w:rPr/>
        <w:t>月 </w:t>
      </w:r>
      <w:r>
        <w:rPr>
          <w:rFonts w:ascii="Times New Roman" w:eastAsia="Times New Roman"/>
        </w:rPr>
        <w:t>19 </w:t>
      </w:r>
      <w:r>
        <w:rPr/>
        <w:t>日开放日常申购、赎回、转换、定期定额申购业务。</w:t>
      </w:r>
    </w:p>
    <w:p>
      <w:pPr>
        <w:pStyle w:val="BodyText"/>
        <w:spacing w:before="6"/>
        <w:rPr>
          <w:sz w:val="15"/>
        </w:rPr>
      </w:pPr>
    </w:p>
    <w:p>
      <w:pPr>
        <w:pStyle w:val="BodyText"/>
        <w:spacing w:line="417" w:lineRule="auto"/>
        <w:ind w:left="540" w:right="311" w:firstLine="419"/>
        <w:jc w:val="both"/>
      </w:pPr>
      <w:r>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spacing w:val="-5"/>
        </w:rPr>
        <w:t>认接受的，其基金份额申购、赎回价格为下一开放日基金份额申购、赎回的价格。</w:t>
      </w:r>
    </w:p>
    <w:p>
      <w:pPr>
        <w:pStyle w:val="BodyText"/>
        <w:spacing w:line="269" w:lineRule="exact"/>
        <w:ind w:left="960"/>
      </w:pPr>
      <w:r>
        <w:rPr/>
        <w:t>（三）申购和赎回的原则</w:t>
      </w:r>
    </w:p>
    <w:p>
      <w:pPr>
        <w:pStyle w:val="BodyText"/>
        <w:spacing w:before="7"/>
        <w:rPr>
          <w:sz w:val="15"/>
        </w:rPr>
      </w:pPr>
    </w:p>
    <w:p>
      <w:pPr>
        <w:pStyle w:val="BodyText"/>
        <w:spacing w:line="417" w:lineRule="auto"/>
        <w:ind w:left="540" w:right="314" w:firstLine="419"/>
      </w:pPr>
      <w:r>
        <w:rPr>
          <w:rFonts w:ascii="Times New Roman" w:hAnsi="Times New Roman" w:eastAsia="Times New Roman"/>
        </w:rPr>
        <w:t>1</w:t>
      </w:r>
      <w:r>
        <w:rPr/>
        <w:t>、“未知价”原则，即申购、赎回价格以申请当日收市后计算的基金份额净值为基准进行计算。</w:t>
      </w:r>
    </w:p>
    <w:p>
      <w:pPr>
        <w:pStyle w:val="BodyText"/>
        <w:ind w:left="960"/>
      </w:pPr>
      <w:r>
        <w:rPr>
          <w:rFonts w:ascii="Times New Roman" w:hAnsi="Times New Roman" w:eastAsia="Times New Roman"/>
        </w:rPr>
        <w:t>2</w:t>
      </w:r>
      <w:r>
        <w:rPr/>
        <w:t>、“金额申购、份额赎回”原则，即申购以金额申请，赎回以份额申请。</w:t>
      </w:r>
    </w:p>
    <w:p>
      <w:pPr>
        <w:spacing w:after="0"/>
        <w:sectPr>
          <w:pgSz w:w="11910" w:h="16840"/>
          <w:pgMar w:header="877" w:footer="995" w:top="1420" w:bottom="1180" w:left="1260" w:right="1480"/>
        </w:sectPr>
      </w:pPr>
    </w:p>
    <w:p>
      <w:pPr>
        <w:pStyle w:val="BodyText"/>
        <w:spacing w:before="110"/>
        <w:ind w:left="960"/>
      </w:pPr>
      <w:r>
        <w:rPr>
          <w:rFonts w:ascii="Times New Roman" w:eastAsia="Times New Roman"/>
        </w:rPr>
        <w:t>3</w:t>
      </w:r>
      <w:r>
        <w:rPr/>
        <w:t>、当日的申购与赎回申请可以在基金管理人规定的时间以内撤销。</w:t>
      </w:r>
    </w:p>
    <w:p>
      <w:pPr>
        <w:pStyle w:val="BodyText"/>
        <w:spacing w:before="6"/>
        <w:rPr>
          <w:sz w:val="15"/>
        </w:rPr>
      </w:pPr>
    </w:p>
    <w:p>
      <w:pPr>
        <w:pStyle w:val="BodyText"/>
        <w:ind w:left="960"/>
      </w:pPr>
      <w:r>
        <w:rPr>
          <w:rFonts w:ascii="Times New Roman" w:hAnsi="Times New Roman" w:eastAsia="Times New Roman"/>
        </w:rPr>
        <w:t>4</w:t>
      </w:r>
      <w:r>
        <w:rPr/>
        <w:t>、赎回遵循“先进先出”原则，即按照投资人认购、申购的先后次序进行顺序赎回。</w:t>
      </w:r>
    </w:p>
    <w:p>
      <w:pPr>
        <w:pStyle w:val="BodyText"/>
        <w:spacing w:before="7"/>
        <w:rPr>
          <w:sz w:val="15"/>
        </w:rPr>
      </w:pPr>
    </w:p>
    <w:p>
      <w:pPr>
        <w:pStyle w:val="BodyText"/>
        <w:spacing w:line="417" w:lineRule="auto"/>
        <w:ind w:left="540" w:right="31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540" w:right="31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spacing w:line="269" w:lineRule="exact"/>
        <w:ind w:left="960"/>
      </w:pPr>
      <w:r>
        <w:rPr/>
        <w:t>（四）申购和赎回的数额限制</w:t>
      </w:r>
    </w:p>
    <w:p>
      <w:pPr>
        <w:pStyle w:val="BodyText"/>
        <w:spacing w:before="7"/>
        <w:rPr>
          <w:sz w:val="15"/>
        </w:rPr>
      </w:pPr>
    </w:p>
    <w:p>
      <w:pPr>
        <w:pStyle w:val="BodyText"/>
        <w:spacing w:line="417" w:lineRule="auto"/>
        <w:ind w:left="540" w:right="209" w:firstLine="419"/>
      </w:pPr>
      <w:r>
        <w:rPr>
          <w:rFonts w:ascii="Times New Roman" w:eastAsia="Times New Roman"/>
        </w:rPr>
        <w:t>1</w:t>
      </w:r>
      <w:r>
        <w:rPr>
          <w:spacing w:val="-3"/>
        </w:rPr>
        <w:t>、投资者通过直销机构或华夏财富办理本基金的申购及赎回业务，每次最低申购金额为</w:t>
      </w:r>
      <w:r>
        <w:rPr>
          <w:rFonts w:ascii="Times New Roman" w:eastAsia="Times New Roman"/>
          <w:spacing w:val="-3"/>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p>
    <w:p>
      <w:pPr>
        <w:pStyle w:val="BodyText"/>
        <w:spacing w:line="417" w:lineRule="auto"/>
        <w:ind w:left="540" w:right="311" w:firstLine="419"/>
        <w:jc w:val="both"/>
      </w:pPr>
      <w:r>
        <w:rPr>
          <w:rFonts w:ascii="Times New Roman" w:eastAsia="Times New Roman"/>
        </w:rPr>
        <w:t>2</w:t>
      </w:r>
      <w:r>
        <w:rPr>
          <w:spacing w:val="-3"/>
        </w:rPr>
        <w:t>、投资者通过其他代销机构办理本基金的申购及赎回业务，每次最低申购金额、每次</w:t>
      </w:r>
      <w:r>
        <w:rPr>
          <w:spacing w:val="-8"/>
        </w:rPr>
        <w:t>最低赎回份额、基金份额持有人赎回时或赎回后在该代销机构</w:t>
      </w:r>
      <w:r>
        <w:rPr>
          <w:spacing w:val="-3"/>
        </w:rPr>
        <w:t>（</w:t>
      </w:r>
      <w:r>
        <w:rPr>
          <w:spacing w:val="-2"/>
        </w:rPr>
        <w:t>网点</w:t>
      </w:r>
      <w:r>
        <w:rPr>
          <w:spacing w:val="-32"/>
        </w:rPr>
        <w:t>）</w:t>
      </w:r>
      <w:r>
        <w:rPr>
          <w:spacing w:val="-3"/>
        </w:rPr>
        <w:t>保留的最低基金份额余额以各代销机构的规定为准。具体业务办理请遵循各代销机构的相关规定。</w:t>
      </w:r>
    </w:p>
    <w:p>
      <w:pPr>
        <w:pStyle w:val="BodyText"/>
        <w:spacing w:line="417" w:lineRule="auto"/>
        <w:ind w:left="540" w:right="3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540" w:right="314" w:firstLine="419"/>
      </w:pPr>
      <w:r>
        <w:rPr>
          <w:rFonts w:ascii="Times New Roman" w:eastAsia="Times New Roman"/>
        </w:rPr>
        <w:t>4</w:t>
      </w:r>
      <w:r>
        <w:rPr/>
        <w:t>、基金管理人可在法律法规允许的情况下，调整上述规定申购金额和赎回份额的数量限制。基金管理人必须在调整前依照《信息披露办法》的有关规定在指定媒介上公告。</w:t>
      </w:r>
    </w:p>
    <w:p>
      <w:pPr>
        <w:pStyle w:val="BodyText"/>
        <w:spacing w:line="269" w:lineRule="exact"/>
        <w:ind w:left="960"/>
      </w:pPr>
      <w:r>
        <w:rPr/>
        <w:t>（五）申购和赎回的程序</w:t>
      </w:r>
    </w:p>
    <w:p>
      <w:pPr>
        <w:pStyle w:val="BodyText"/>
        <w:spacing w:before="5"/>
        <w:rPr>
          <w:sz w:val="15"/>
        </w:rPr>
      </w:pPr>
    </w:p>
    <w:p>
      <w:pPr>
        <w:pStyle w:val="BodyText"/>
        <w:spacing w:before="1"/>
        <w:ind w:left="960"/>
      </w:pPr>
      <w:r>
        <w:rPr>
          <w:rFonts w:ascii="Times New Roman" w:eastAsia="Times New Roman"/>
        </w:rPr>
        <w:t>1</w:t>
      </w:r>
      <w:r>
        <w:rPr/>
        <w:t>、申购和赎回的申请方式</w:t>
      </w:r>
    </w:p>
    <w:p>
      <w:pPr>
        <w:pStyle w:val="BodyText"/>
        <w:spacing w:before="7"/>
        <w:rPr>
          <w:sz w:val="15"/>
        </w:rPr>
      </w:pPr>
    </w:p>
    <w:p>
      <w:pPr>
        <w:pStyle w:val="BodyText"/>
        <w:spacing w:line="417" w:lineRule="auto"/>
        <w:ind w:left="540" w:right="31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96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540" w:right="31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540" w:right="31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ind w:left="960"/>
      </w:pPr>
      <w:r>
        <w:rPr>
          <w:rFonts w:ascii="Times New Roman" w:eastAsia="Times New Roman"/>
        </w:rPr>
        <w:t>3</w:t>
      </w:r>
      <w:r>
        <w:rPr/>
        <w:t>、申购和赎回申请的确认</w:t>
      </w:r>
    </w:p>
    <w:p>
      <w:pPr>
        <w:spacing w:after="0"/>
        <w:sectPr>
          <w:pgSz w:w="11910" w:h="16840"/>
          <w:pgMar w:header="877" w:footer="995" w:top="1420" w:bottom="1180" w:left="1260" w:right="1480"/>
        </w:sectPr>
      </w:pPr>
    </w:p>
    <w:p>
      <w:pPr>
        <w:pStyle w:val="BodyText"/>
        <w:spacing w:line="417" w:lineRule="auto" w:before="110"/>
        <w:ind w:left="540" w:right="31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540" w:right="208" w:firstLine="419"/>
      </w:pPr>
      <w:r>
        <w:rPr>
          <w:spacing w:val="-10"/>
        </w:rPr>
        <w:t>基金销售机构对申购、赎回申请的受理并不代表申请一定成功，而仅代表销售机构确实</w:t>
      </w:r>
      <w:r>
        <w:rPr>
          <w:spacing w:val="-5"/>
        </w:rPr>
        <w:t>接收到申请。申请的确认以登记机构或基金管理人的确认结果为准。对于申请的确认情况， </w:t>
      </w:r>
      <w:r>
        <w:rPr>
          <w:spacing w:val="-4"/>
        </w:rPr>
        <w:t>投资人应及时查询。</w:t>
      </w:r>
    </w:p>
    <w:p>
      <w:pPr>
        <w:pStyle w:val="BodyText"/>
        <w:spacing w:line="417" w:lineRule="auto"/>
        <w:ind w:left="540" w:right="31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960"/>
      </w:pPr>
      <w:r>
        <w:rPr/>
        <w:t>（六）申购费与赎回费</w:t>
      </w:r>
    </w:p>
    <w:p>
      <w:pPr>
        <w:pStyle w:val="BodyText"/>
        <w:spacing w:before="6"/>
        <w:rPr>
          <w:sz w:val="15"/>
        </w:rPr>
      </w:pPr>
    </w:p>
    <w:p>
      <w:pPr>
        <w:pStyle w:val="BodyText"/>
        <w:spacing w:line="417" w:lineRule="auto"/>
        <w:ind w:left="540" w:right="314" w:firstLine="419"/>
      </w:pPr>
      <w:r>
        <w:rPr/>
        <w:pict>
          <v:group style="position:absolute;margin-left:153.139999pt;margin-top:41.820015pt;width:288.45pt;height:115.25pt;mso-position-horizontal-relative:page;mso-position-vertical-relative:paragraph;z-index:-259995648" coordorigin="3063,836" coordsize="5769,2305">
            <v:line style="position:absolute" from="3077,851" to="7245,851" stroked="true" strokeweight="1.44pt" strokecolor="#000000">
              <v:stroke dashstyle="solid"/>
            </v:line>
            <v:shape style="position:absolute;left:7244;top:865;width:10;height:3" type="#_x0000_t75" stroked="false">
              <v:imagedata r:id="rId7" o:title=""/>
            </v:shape>
            <v:rect style="position:absolute;left:7244;top:836;width:29;height:29" filled="true" fillcolor="#000000" stroked="false">
              <v:fill type="solid"/>
            </v:rect>
            <v:line style="position:absolute" from="7273,851" to="8831,851" stroked="true" strokeweight="1.44pt" strokecolor="#000000">
              <v:stroke dashstyle="solid"/>
            </v:line>
            <v:shape style="position:absolute;left:7244;top:867;width:10;height:240" coordorigin="7245,868" coordsize="10,240" path="m7254,1060l7245,1060,7245,1108,7254,1108,7254,1060m7254,916l7245,916,7245,964,7245,1012,7245,1060,7254,1060,7254,1012,7254,964,7254,916m7254,868l7245,868,7245,916,7254,916,7254,868e" filled="true" fillcolor="#000000" stroked="false">
              <v:path arrowok="t"/>
              <v:fill type="solid"/>
            </v:shape>
            <v:shape style="position:absolute;left:7249;top:867;width:2;height:310" coordorigin="7249,868" coordsize="0,310" path="m7249,1177l7249,868,7249,1177xe" filled="true" fillcolor="#000000" stroked="false">
              <v:path arrowok="t"/>
              <v:fill type="solid"/>
            </v:shape>
            <v:line style="position:absolute" from="3077,1192" to="7245,1192" stroked="true" strokeweight="1.44pt" strokecolor="#000000">
              <v:stroke dashstyle="solid"/>
            </v:line>
            <v:shape style="position:absolute;left:7244;top:1177;width:10;height:32" type="#_x0000_t75" stroked="false">
              <v:imagedata r:id="rId169" o:title=""/>
            </v:shape>
            <v:line style="position:absolute" from="7254,1192" to="8831,1192" stroked="true" strokeweight="1.44pt" strokecolor="#000000">
              <v:stroke dashstyle="solid"/>
            </v:line>
            <v:shape style="position:absolute;left:3077;top:1208;width:5754;height:956" type="#_x0000_t75" stroked="false">
              <v:imagedata r:id="rId170" o:title=""/>
            </v:shape>
            <v:shape style="position:absolute;left:7244;top:2154;width:1587;height:10" type="#_x0000_t75" stroked="false">
              <v:imagedata r:id="rId171" o:title=""/>
            </v:shape>
            <v:shape style="position:absolute;left:7244;top:2164;width:10;height:432" coordorigin="7245,2164" coordsize="10,432" path="m7254,2548l7245,2548,7245,2596,7254,2596,7254,2548m7254,2452l7245,2452,7245,2500,7245,2548,7254,2548,7254,2500,7254,2452m7254,2308l7245,2308,7245,2356,7245,2404,7245,2452,7254,2452,7254,2404,7254,2356,7254,2308m7254,2212l7245,2212,7245,2260,7245,2308,7254,2308,7254,2260,7254,2212m7254,2164l7245,2164,7245,2212,7254,2212,7254,2164e" filled="true" fillcolor="#000000" stroked="false">
              <v:path arrowok="t"/>
              <v:fill type="solid"/>
            </v:shape>
            <v:shape style="position:absolute;left:3077;top:2632;width:4168;height:10" type="#_x0000_t75" stroked="false">
              <v:imagedata r:id="rId172" o:title=""/>
            </v:shape>
            <v:shape style="position:absolute;left:7244;top:2632;width:1587;height:10" type="#_x0000_t75" stroked="false">
              <v:imagedata r:id="rId173" o:title=""/>
            </v:shape>
            <v:shape style="position:absolute;left:7244;top:2641;width:10;height:384" coordorigin="7245,2642" coordsize="10,384" path="m7254,2930l7245,2930,7245,2978,7245,3026,7254,3026,7254,2978,7254,2930m7254,2786l7245,2786,7245,2834,7245,2882,7245,2930,7254,2930,7254,2882,7254,2834,7254,2786m7254,2690l7245,2690,7245,2738,7245,2786,7254,2786,7254,2738,7254,2690m7254,2642l7245,2642,7245,2690,7254,2690,7254,2642e" filled="true" fillcolor="#000000" stroked="false">
              <v:path arrowok="t"/>
              <v:fill type="solid"/>
            </v:shape>
            <v:line style="position:absolute" from="3063,3126" to="7245,3126" stroked="true" strokeweight="1.44pt" strokecolor="#000000">
              <v:stroke dashstyle="solid"/>
            </v:line>
            <v:shape style="position:absolute;left:7249;top:2164;width:2;height:948" coordorigin="7249,2164" coordsize="0,948" path="m7249,3112l7249,2164,7249,3112xe" filled="true" fillcolor="#000000" stroked="false">
              <v:path arrowok="t"/>
              <v:fill type="solid"/>
            </v:shape>
            <v:rect style="position:absolute;left:7244;top:3112;width:29;height:29" filled="true" fillcolor="#000000" stroked="false">
              <v:fill type="solid"/>
            </v:rect>
            <v:line style="position:absolute" from="7273,3126" to="8831,3126" stroked="true" strokeweight="1.44pt" strokecolor="#000000">
              <v:stroke dashstyle="solid"/>
            </v:line>
            <v:shape style="position:absolute;left:4109;top:916;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16;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611;top:1329;width:112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z w:val="21"/>
                      </w:rPr>
                      <w:t>万元以下</w:t>
                    </w:r>
                  </w:p>
                </w:txbxContent>
              </v:textbox>
              <w10:wrap type="none"/>
            </v:shape>
            <v:shape style="position:absolute;left:7820;top:132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3288;top:1807;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pacing w:val="-3"/>
                        <w:sz w:val="21"/>
                      </w:rPr>
                      <w:t>万元以上（</w:t>
                    </w:r>
                    <w:r>
                      <w:rPr>
                        <w:spacing w:val="-25"/>
                        <w:sz w:val="21"/>
                      </w:rPr>
                      <w:t>含 </w:t>
                    </w:r>
                    <w:r>
                      <w:rPr>
                        <w:rFonts w:ascii="Times New Roman" w:eastAsia="Times New Roman"/>
                        <w:sz w:val="21"/>
                      </w:rPr>
                      <w:t>50 </w:t>
                    </w:r>
                    <w:r>
                      <w:rPr>
                        <w:spacing w:val="-2"/>
                        <w:sz w:val="21"/>
                      </w:rPr>
                      <w:t>万元</w:t>
                    </w:r>
                    <w:r>
                      <w:rPr>
                        <w:sz w:val="21"/>
                      </w:rPr>
                      <w:t>）</w:t>
                    </w:r>
                    <w:r>
                      <w:rPr>
                        <w:rFonts w:ascii="Times New Roman" w:eastAsia="Times New Roman"/>
                        <w:sz w:val="21"/>
                      </w:rPr>
                      <w:t>-200 </w:t>
                    </w:r>
                    <w:r>
                      <w:rPr>
                        <w:spacing w:val="-2"/>
                        <w:sz w:val="21"/>
                      </w:rPr>
                      <w:t>万元以下</w:t>
                    </w:r>
                  </w:p>
                </w:txbxContent>
              </v:textbox>
              <w10:wrap type="none"/>
            </v:shape>
            <v:shape style="position:absolute;left:7820;top:180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185;top:2285;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20;top:228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3824;top:2763;width:270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2763;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、本基金申购费由申购人承担，用于市场推广、销售、登记结算等各项费用。投资者在申购本基金时需交纳前端申购费，费率按申购金额递减，具体如下：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ind w:right="314"/>
        <w:jc w:val="right"/>
      </w:pPr>
      <w:r>
        <w:rPr/>
        <w:pict>
          <v:group style="position:absolute;margin-left:160.940002pt;margin-top:43.379993pt;width:273.55pt;height:120.05pt;mso-position-horizontal-relative:page;mso-position-vertical-relative:paragraph;z-index:-259994624" coordorigin="3219,868" coordsize="5471,2401">
            <v:shape style="position:absolute;left:7623;top:867;width:10;height:466" type="#_x0000_t75" stroked="false">
              <v:imagedata r:id="rId174" o:title=""/>
            </v:shape>
            <v:shape style="position:absolute;left:7623;top:1333;width:10;height:32" type="#_x0000_t75" stroked="false">
              <v:imagedata r:id="rId175" o:title=""/>
            </v:shape>
            <v:shape style="position:absolute;left:3218;top:1364;width:5471;height:1904" type="#_x0000_t75" stroked="false">
              <v:imagedata r:id="rId176" o:title=""/>
            </v:shape>
            <w10:wrap type="none"/>
          </v:group>
        </w:pict>
      </w:r>
      <w:r>
        <w:rPr>
          <w:rFonts w:ascii="Times New Roman" w:eastAsia="Times New Roman"/>
        </w:rPr>
        <w:t>2</w:t>
      </w:r>
      <w:r>
        <w:rPr>
          <w:spacing w:val="-3"/>
        </w:rPr>
        <w:t>、本基金赎回费由赎回人承担，在投资者赎回基金份额时收取。费率随基金份额的持</w:t>
      </w:r>
    </w:p>
    <w:p>
      <w:pPr>
        <w:pStyle w:val="BodyText"/>
        <w:spacing w:before="10"/>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8"/>
        <w:gridCol w:w="1382"/>
      </w:tblGrid>
      <w:tr>
        <w:trPr>
          <w:trHeight w:val="339" w:hRule="atLeast"/>
        </w:trPr>
        <w:tc>
          <w:tcPr>
            <w:tcW w:w="5558" w:type="dxa"/>
            <w:tcBorders>
              <w:bottom w:val="single" w:sz="12" w:space="0" w:color="000000"/>
            </w:tcBorders>
          </w:tcPr>
          <w:p>
            <w:pPr>
              <w:pStyle w:val="TableParagraph"/>
              <w:spacing w:line="241" w:lineRule="exact" w:before="0"/>
              <w:ind w:left="50"/>
              <w:jc w:val="left"/>
              <w:rPr>
                <w:rFonts w:ascii="宋体" w:eastAsia="宋体" w:hint="eastAsia"/>
                <w:sz w:val="21"/>
              </w:rPr>
            </w:pPr>
            <w:r>
              <w:rPr>
                <w:rFonts w:ascii="宋体" w:eastAsia="宋体" w:hint="eastAsia"/>
                <w:sz w:val="21"/>
              </w:rPr>
              <w:t>有期限的增加而递减，具体如下：</w:t>
            </w:r>
          </w:p>
        </w:tc>
        <w:tc>
          <w:tcPr>
            <w:tcW w:w="1382" w:type="dxa"/>
            <w:tcBorders>
              <w:bottom w:val="single" w:sz="12" w:space="0" w:color="000000"/>
            </w:tcBorders>
          </w:tcPr>
          <w:p>
            <w:pPr>
              <w:pStyle w:val="TableParagraph"/>
              <w:spacing w:before="0"/>
              <w:jc w:val="left"/>
              <w:rPr>
                <w:sz w:val="20"/>
              </w:rPr>
            </w:pPr>
          </w:p>
        </w:tc>
      </w:tr>
      <w:tr>
        <w:trPr>
          <w:trHeight w:val="466" w:hRule="atLeast"/>
        </w:trPr>
        <w:tc>
          <w:tcPr>
            <w:tcW w:w="5558" w:type="dxa"/>
            <w:tcBorders>
              <w:top w:val="single" w:sz="12" w:space="0" w:color="000000"/>
              <w:bottom w:val="single" w:sz="12" w:space="0" w:color="000000"/>
            </w:tcBorders>
          </w:tcPr>
          <w:p>
            <w:pPr>
              <w:pStyle w:val="TableParagraph"/>
              <w:spacing w:before="99"/>
              <w:ind w:left="3252"/>
              <w:jc w:val="left"/>
              <w:rPr>
                <w:rFonts w:ascii="宋体" w:eastAsia="宋体" w:hint="eastAsia"/>
                <w:b/>
                <w:sz w:val="21"/>
              </w:rPr>
            </w:pPr>
            <w:r>
              <w:rPr>
                <w:rFonts w:ascii="宋体" w:eastAsia="宋体" w:hint="eastAsia"/>
                <w:b/>
                <w:sz w:val="21"/>
              </w:rPr>
              <w:t>持有期限</w:t>
            </w:r>
          </w:p>
        </w:tc>
        <w:tc>
          <w:tcPr>
            <w:tcW w:w="1382" w:type="dxa"/>
            <w:tcBorders>
              <w:top w:val="single" w:sz="12" w:space="0" w:color="000000"/>
              <w:bottom w:val="single" w:sz="12" w:space="0" w:color="000000"/>
            </w:tcBorders>
          </w:tcPr>
          <w:p>
            <w:pPr>
              <w:pStyle w:val="TableParagraph"/>
              <w:spacing w:before="99"/>
              <w:ind w:left="408" w:right="89"/>
              <w:jc w:val="center"/>
              <w:rPr>
                <w:rFonts w:ascii="宋体" w:eastAsia="宋体" w:hint="eastAsia"/>
                <w:b/>
                <w:sz w:val="21"/>
              </w:rPr>
            </w:pPr>
            <w:r>
              <w:rPr>
                <w:rFonts w:ascii="宋体" w:eastAsia="宋体" w:hint="eastAsia"/>
                <w:b/>
                <w:sz w:val="21"/>
              </w:rPr>
              <w:t>赎回费率</w:t>
            </w:r>
          </w:p>
        </w:tc>
      </w:tr>
      <w:tr>
        <w:trPr>
          <w:trHeight w:val="478" w:hRule="atLeast"/>
        </w:trPr>
        <w:tc>
          <w:tcPr>
            <w:tcW w:w="5558" w:type="dxa"/>
            <w:tcBorders>
              <w:top w:val="single" w:sz="12" w:space="0" w:color="000000"/>
            </w:tcBorders>
          </w:tcPr>
          <w:p>
            <w:pPr>
              <w:pStyle w:val="TableParagraph"/>
              <w:spacing w:before="101"/>
              <w:ind w:left="3278"/>
              <w:jc w:val="left"/>
              <w:rPr>
                <w:rFonts w:ascii="宋体" w:eastAsia="宋体" w:hint="eastAsia"/>
                <w:sz w:val="21"/>
              </w:rPr>
            </w:pPr>
            <w:r>
              <w:rPr>
                <w:sz w:val="21"/>
              </w:rPr>
              <w:t>7 </w:t>
            </w:r>
            <w:r>
              <w:rPr>
                <w:rFonts w:ascii="宋体" w:eastAsia="宋体" w:hint="eastAsia"/>
                <w:sz w:val="21"/>
              </w:rPr>
              <w:t>天以内</w:t>
            </w:r>
          </w:p>
        </w:tc>
        <w:tc>
          <w:tcPr>
            <w:tcW w:w="1382" w:type="dxa"/>
            <w:tcBorders>
              <w:top w:val="single" w:sz="12" w:space="0" w:color="000000"/>
            </w:tcBorders>
          </w:tcPr>
          <w:p>
            <w:pPr>
              <w:pStyle w:val="TableParagraph"/>
              <w:spacing w:before="113"/>
              <w:ind w:left="408" w:right="86"/>
              <w:jc w:val="center"/>
              <w:rPr>
                <w:sz w:val="21"/>
              </w:rPr>
            </w:pPr>
            <w:r>
              <w:rPr>
                <w:sz w:val="21"/>
              </w:rPr>
              <w:t>1.5%</w:t>
            </w:r>
          </w:p>
        </w:tc>
      </w:tr>
      <w:tr>
        <w:trPr>
          <w:trHeight w:val="477" w:hRule="atLeast"/>
        </w:trPr>
        <w:tc>
          <w:tcPr>
            <w:tcW w:w="5558" w:type="dxa"/>
          </w:tcPr>
          <w:p>
            <w:pPr>
              <w:pStyle w:val="TableParagraph"/>
              <w:spacing w:before="101"/>
              <w:ind w:right="479"/>
              <w:rPr>
                <w:rFonts w:ascii="宋体" w:eastAsia="宋体" w:hint="eastAsia"/>
                <w:sz w:val="21"/>
              </w:rPr>
            </w:pPr>
            <w:r>
              <w:rPr>
                <w:sz w:val="21"/>
              </w:rPr>
              <w:t>7 </w:t>
            </w:r>
            <w:r>
              <w:rPr>
                <w:rFonts w:ascii="宋体" w:eastAsia="宋体" w:hint="eastAsia"/>
                <w:sz w:val="21"/>
              </w:rPr>
              <w:t>天以上（含 </w:t>
            </w:r>
            <w:r>
              <w:rPr>
                <w:sz w:val="21"/>
              </w:rPr>
              <w:t>7 </w:t>
            </w:r>
            <w:r>
              <w:rPr>
                <w:rFonts w:ascii="宋体" w:eastAsia="宋体" w:hint="eastAsia"/>
                <w:sz w:val="21"/>
              </w:rPr>
              <w:t>天）</w:t>
            </w:r>
            <w:r>
              <w:rPr>
                <w:sz w:val="21"/>
              </w:rPr>
              <w:t>-30 </w:t>
            </w:r>
            <w:r>
              <w:rPr>
                <w:rFonts w:ascii="宋体" w:eastAsia="宋体" w:hint="eastAsia"/>
                <w:sz w:val="21"/>
              </w:rPr>
              <w:t>天以内</w:t>
            </w:r>
          </w:p>
        </w:tc>
        <w:tc>
          <w:tcPr>
            <w:tcW w:w="1382" w:type="dxa"/>
          </w:tcPr>
          <w:p>
            <w:pPr>
              <w:pStyle w:val="TableParagraph"/>
              <w:spacing w:before="113"/>
              <w:ind w:left="408" w:right="86"/>
              <w:jc w:val="center"/>
              <w:rPr>
                <w:sz w:val="21"/>
              </w:rPr>
            </w:pPr>
            <w:r>
              <w:rPr>
                <w:sz w:val="21"/>
              </w:rPr>
              <w:t>0.75%</w:t>
            </w:r>
          </w:p>
        </w:tc>
      </w:tr>
      <w:tr>
        <w:trPr>
          <w:trHeight w:val="477" w:hRule="atLeast"/>
        </w:trPr>
        <w:tc>
          <w:tcPr>
            <w:tcW w:w="5558" w:type="dxa"/>
          </w:tcPr>
          <w:p>
            <w:pPr>
              <w:pStyle w:val="TableParagraph"/>
              <w:spacing w:before="101"/>
              <w:ind w:right="427"/>
              <w:rPr>
                <w:rFonts w:ascii="宋体" w:eastAsia="宋体" w:hint="eastAsia"/>
                <w:sz w:val="21"/>
              </w:rPr>
            </w:pPr>
            <w:r>
              <w:rPr>
                <w:sz w:val="21"/>
              </w:rPr>
              <w:t>30</w:t>
            </w:r>
            <w:r>
              <w:rPr>
                <w:rFonts w:ascii="宋体" w:eastAsia="宋体" w:hint="eastAsia"/>
                <w:sz w:val="21"/>
              </w:rPr>
              <w:t>天以上（含</w:t>
            </w:r>
            <w:r>
              <w:rPr>
                <w:sz w:val="21"/>
              </w:rPr>
              <w:t>30</w:t>
            </w:r>
            <w:r>
              <w:rPr>
                <w:rFonts w:ascii="宋体" w:eastAsia="宋体" w:hint="eastAsia"/>
                <w:sz w:val="21"/>
              </w:rPr>
              <w:t>天）</w:t>
            </w:r>
            <w:r>
              <w:rPr>
                <w:sz w:val="21"/>
              </w:rPr>
              <w:t>-365</w:t>
            </w:r>
            <w:r>
              <w:rPr>
                <w:rFonts w:ascii="宋体" w:eastAsia="宋体" w:hint="eastAsia"/>
                <w:sz w:val="21"/>
              </w:rPr>
              <w:t>天以内</w:t>
            </w:r>
          </w:p>
        </w:tc>
        <w:tc>
          <w:tcPr>
            <w:tcW w:w="1382" w:type="dxa"/>
          </w:tcPr>
          <w:p>
            <w:pPr>
              <w:pStyle w:val="TableParagraph"/>
              <w:spacing w:before="113"/>
              <w:ind w:left="408" w:right="86"/>
              <w:jc w:val="center"/>
              <w:rPr>
                <w:sz w:val="21"/>
              </w:rPr>
            </w:pPr>
            <w:r>
              <w:rPr>
                <w:sz w:val="21"/>
              </w:rPr>
              <w:t>0.5%</w:t>
            </w:r>
          </w:p>
        </w:tc>
      </w:tr>
      <w:tr>
        <w:trPr>
          <w:trHeight w:val="471" w:hRule="atLeast"/>
        </w:trPr>
        <w:tc>
          <w:tcPr>
            <w:tcW w:w="5558" w:type="dxa"/>
            <w:tcBorders>
              <w:bottom w:val="single" w:sz="12" w:space="0" w:color="000000"/>
            </w:tcBorders>
          </w:tcPr>
          <w:p>
            <w:pPr>
              <w:pStyle w:val="TableParagraph"/>
              <w:spacing w:before="101"/>
              <w:ind w:left="2544"/>
              <w:jc w:val="left"/>
              <w:rPr>
                <w:rFonts w:ascii="宋体" w:eastAsia="宋体" w:hint="eastAsia"/>
                <w:sz w:val="21"/>
              </w:rPr>
            </w:pPr>
            <w:r>
              <w:rPr>
                <w:sz w:val="21"/>
              </w:rPr>
              <w:t>365 </w:t>
            </w:r>
            <w:r>
              <w:rPr>
                <w:rFonts w:ascii="宋体" w:eastAsia="宋体" w:hint="eastAsia"/>
                <w:sz w:val="21"/>
              </w:rPr>
              <w:t>天以上（含 </w:t>
            </w:r>
            <w:r>
              <w:rPr>
                <w:sz w:val="21"/>
              </w:rPr>
              <w:t>365 </w:t>
            </w:r>
            <w:r>
              <w:rPr>
                <w:rFonts w:ascii="宋体" w:eastAsia="宋体" w:hint="eastAsia"/>
                <w:sz w:val="21"/>
              </w:rPr>
              <w:t>天）</w:t>
            </w:r>
          </w:p>
        </w:tc>
        <w:tc>
          <w:tcPr>
            <w:tcW w:w="1382" w:type="dxa"/>
            <w:tcBorders>
              <w:bottom w:val="single" w:sz="12" w:space="0" w:color="000000"/>
            </w:tcBorders>
          </w:tcPr>
          <w:p>
            <w:pPr>
              <w:pStyle w:val="TableParagraph"/>
              <w:spacing w:before="113"/>
              <w:ind w:left="319"/>
              <w:jc w:val="center"/>
              <w:rPr>
                <w:sz w:val="21"/>
              </w:rPr>
            </w:pPr>
            <w:r>
              <w:rPr>
                <w:w w:val="100"/>
                <w:sz w:val="21"/>
              </w:rPr>
              <w:t>0</w:t>
            </w:r>
          </w:p>
        </w:tc>
      </w:tr>
    </w:tbl>
    <w:p>
      <w:pPr>
        <w:pStyle w:val="BodyText"/>
        <w:spacing w:before="85"/>
        <w:ind w:right="31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spacing w:before="1"/>
        <w:ind w:right="31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6"/>
        <w:rPr>
          <w:sz w:val="15"/>
        </w:rPr>
      </w:pPr>
    </w:p>
    <w:p>
      <w:pPr>
        <w:pStyle w:val="BodyText"/>
        <w:ind w:right="31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7"/>
        <w:rPr>
          <w:sz w:val="15"/>
        </w:rPr>
      </w:pPr>
    </w:p>
    <w:p>
      <w:pPr>
        <w:pStyle w:val="BodyText"/>
        <w:ind w:right="31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4"/>
        <w:rPr>
          <w:rFonts w:ascii="Times New Roman"/>
          <w:sz w:val="17"/>
        </w:rPr>
      </w:pPr>
    </w:p>
    <w:p>
      <w:pPr>
        <w:pStyle w:val="BodyText"/>
        <w:ind w:left="540"/>
      </w:pPr>
      <w:r>
        <w:rPr/>
        <w:t>计入基金财产。</w:t>
      </w:r>
    </w:p>
    <w:p>
      <w:pPr>
        <w:spacing w:after="0"/>
        <w:sectPr>
          <w:pgSz w:w="11910" w:h="16840"/>
          <w:pgMar w:header="877" w:footer="995" w:top="1420" w:bottom="1180" w:left="1260" w:right="1480"/>
        </w:sectPr>
      </w:pPr>
    </w:p>
    <w:p>
      <w:pPr>
        <w:pStyle w:val="BodyText"/>
        <w:spacing w:line="417" w:lineRule="auto" w:before="110"/>
        <w:ind w:left="540" w:right="31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40" w:right="31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资者定期或不定期地开展基金促销活动。在基金促销活动期间，按相关监管部门要求履行必</w:t>
      </w:r>
      <w:r>
        <w:rPr>
          <w:spacing w:val="-5"/>
        </w:rPr>
        <w:t>要手续后，基金管理人可以适当调低基金申购费率、赎回费率。</w:t>
      </w:r>
    </w:p>
    <w:p>
      <w:pPr>
        <w:pStyle w:val="BodyText"/>
        <w:spacing w:line="417" w:lineRule="auto"/>
        <w:ind w:left="540" w:right="211"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ind w:left="960"/>
      </w:pPr>
      <w:r>
        <w:rPr/>
        <w:t>（七）申购份额与赎回金额的计算方式</w:t>
      </w:r>
    </w:p>
    <w:p>
      <w:pPr>
        <w:pStyle w:val="BodyText"/>
        <w:spacing w:before="6"/>
        <w:rPr>
          <w:sz w:val="15"/>
        </w:rPr>
      </w:pPr>
    </w:p>
    <w:p>
      <w:pPr>
        <w:pStyle w:val="BodyText"/>
        <w:ind w:left="960"/>
      </w:pPr>
      <w:r>
        <w:rPr>
          <w:rFonts w:ascii="Times New Roman" w:eastAsia="Times New Roman"/>
        </w:rPr>
        <w:t>1</w:t>
      </w:r>
      <w:r>
        <w:rPr/>
        <w:t>、申购份额的计算</w:t>
      </w:r>
    </w:p>
    <w:p>
      <w:pPr>
        <w:pStyle w:val="BodyText"/>
        <w:spacing w:before="6"/>
        <w:rPr>
          <w:sz w:val="15"/>
        </w:rPr>
      </w:pPr>
    </w:p>
    <w:p>
      <w:pPr>
        <w:pStyle w:val="BodyText"/>
        <w:spacing w:line="417" w:lineRule="auto"/>
        <w:ind w:left="1380" w:right="3158" w:hanging="420"/>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w:t>
      </w:r>
    </w:p>
    <w:p>
      <w:pPr>
        <w:pStyle w:val="BodyText"/>
        <w:spacing w:line="417" w:lineRule="auto"/>
        <w:ind w:left="1380" w:right="4022"/>
      </w:pPr>
      <w:r>
        <w:rPr>
          <w:spacing w:val="-2"/>
        </w:rPr>
        <w:t>前端申购费用</w:t>
      </w:r>
      <w:r>
        <w:rPr>
          <w:spacing w:val="-3"/>
        </w:rPr>
        <w:t>＝申购金额－净申购金额 申购份额＝净申购金额</w:t>
      </w:r>
      <w:r>
        <w:rPr>
          <w:rFonts w:ascii="Times New Roman" w:eastAsia="Times New Roman"/>
        </w:rPr>
        <w:t>/T</w:t>
      </w:r>
      <w:r>
        <w:rPr>
          <w:spacing w:val="-4"/>
        </w:rPr>
        <w:t>日基金份额净值</w:t>
      </w:r>
    </w:p>
    <w:p>
      <w:pPr>
        <w:pStyle w:val="BodyText"/>
        <w:spacing w:line="417" w:lineRule="auto"/>
        <w:ind w:left="1380" w:right="3369" w:hanging="420"/>
      </w:pPr>
      <w:r>
        <w:rPr/>
        <w:t>申购费用为固定金额时，申购份额的计算方法如下： 前端申购费用＝固定金额</w:t>
      </w:r>
    </w:p>
    <w:p>
      <w:pPr>
        <w:pStyle w:val="BodyText"/>
        <w:spacing w:line="417" w:lineRule="auto"/>
        <w:ind w:left="1380" w:right="3969"/>
      </w:pPr>
      <w:r>
        <w:rPr/>
        <w:t>净申购金额</w:t>
      </w:r>
      <w:r>
        <w:rPr>
          <w:rFonts w:ascii="Times New Roman" w:eastAsia="Times New Roman"/>
        </w:rPr>
        <w:t>=</w:t>
      </w:r>
      <w:r>
        <w:rPr/>
        <w:t>申购金额－前端申购费用 申购份额＝净申购金额</w:t>
      </w:r>
      <w:r>
        <w:rPr>
          <w:rFonts w:ascii="Times New Roman" w:eastAsia="Times New Roman"/>
        </w:rPr>
        <w:t>/T</w:t>
      </w:r>
      <w:r>
        <w:rPr/>
        <w:t>日基金份额净值</w:t>
      </w:r>
    </w:p>
    <w:p>
      <w:pPr>
        <w:pStyle w:val="BodyText"/>
        <w:spacing w:line="417" w:lineRule="auto"/>
        <w:ind w:left="540" w:right="20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269" w:lineRule="exact"/>
        <w:ind w:left="960"/>
      </w:pPr>
      <w:r>
        <w:rPr/>
        <w:t>例一：假定</w:t>
      </w:r>
      <w:r>
        <w:rPr>
          <w:rFonts w:ascii="Times New Roman" w:eastAsia="Times New Roman"/>
        </w:rPr>
        <w:t>T</w:t>
      </w:r>
      <w:r>
        <w:rPr/>
        <w:t>日的基金份额净值为</w:t>
      </w:r>
      <w:r>
        <w:rPr>
          <w:rFonts w:ascii="Times New Roman" w:eastAsia="Times New Roman"/>
        </w:rPr>
        <w:t>1.230</w:t>
      </w:r>
      <w:r>
        <w:rPr/>
        <w:t>元，四笔申购金额分别为</w:t>
      </w:r>
      <w:r>
        <w:rPr>
          <w:rFonts w:ascii="Times New Roman" w:eastAsia="Times New Roman"/>
        </w:rPr>
        <w:t>1,000.00</w:t>
      </w:r>
      <w:r>
        <w:rPr/>
        <w:t>元、</w:t>
      </w:r>
      <w:r>
        <w:rPr>
          <w:rFonts w:ascii="Times New Roman" w:eastAsia="Times New Roman"/>
        </w:rPr>
        <w:t>50</w:t>
      </w:r>
      <w:r>
        <w:rPr/>
        <w:t>万元、</w:t>
      </w:r>
    </w:p>
    <w:p>
      <w:pPr>
        <w:pStyle w:val="BodyText"/>
        <w:spacing w:before="7"/>
        <w:rPr>
          <w:sz w:val="15"/>
        </w:rPr>
      </w:pPr>
    </w:p>
    <w:p>
      <w:pPr>
        <w:pStyle w:val="BodyText"/>
        <w:ind w:left="540"/>
      </w:pPr>
      <w:r>
        <w:rPr/>
        <w:pict>
          <v:group style="position:absolute;margin-left:121.580002pt;margin-top:19.860003pt;width:132.75pt;height:120.5pt;mso-position-horizontal-relative:page;mso-position-vertical-relative:paragraph;z-index:-259993600" coordorigin="2432,397" coordsize="2655,2410">
            <v:shape style="position:absolute;left:5077;top:397;width:10;height:3" type="#_x0000_t75" stroked="false">
              <v:imagedata r:id="rId7" o:title=""/>
            </v:shape>
            <v:shape style="position:absolute;left:2431;top:399;width:2655;height:975" type="#_x0000_t75" stroked="false">
              <v:imagedata r:id="rId177" o:title=""/>
            </v:shape>
            <v:shape style="position:absolute;left:2431;top:1374;width:2655;height:478" type="#_x0000_t75" stroked="false">
              <v:imagedata r:id="rId178" o:title=""/>
            </v:shape>
            <v:shape style="position:absolute;left:2431;top:1851;width:2655;height:478" type="#_x0000_t75" stroked="false">
              <v:imagedata r:id="rId179" o:title=""/>
            </v:shape>
            <v:shape style="position:absolute;left:2431;top:2329;width:2655;height:478" type="#_x0000_t75" stroked="false">
              <v:imagedata r:id="rId179" o:title=""/>
            </v:shape>
            <w10:wrap type="none"/>
          </v:group>
        </w:pict>
      </w:r>
      <w:r>
        <w:rPr/>
        <w:pict>
          <v:group style="position:absolute;margin-left:318.190002pt;margin-top:19.860003pt;width:78.5pt;height:120.5pt;mso-position-horizontal-relative:page;mso-position-vertical-relative:paragraph;z-index:-259992576" coordorigin="6364,397" coordsize="1570,2410">
            <v:shape style="position:absolute;left:6363;top:397;width:10;height:3" type="#_x0000_t75" stroked="false">
              <v:imagedata r:id="rId7" o:title=""/>
            </v:shape>
            <v:shape style="position:absolute;left:6363;top:399;width:10;height:466" type="#_x0000_t75" stroked="false">
              <v:imagedata r:id="rId174" o:title=""/>
            </v:shape>
            <v:shape style="position:absolute;left:6363;top:865;width:10;height:32" type="#_x0000_t75" stroked="false">
              <v:imagedata r:id="rId175" o:title=""/>
            </v:shape>
            <v:shape style="position:absolute;left:6363;top:896;width:10;height:468" type="#_x0000_t75" stroked="false">
              <v:imagedata r:id="rId180" o:title=""/>
            </v:shape>
            <v:shape style="position:absolute;left:7923;top:397;width:10;height:3" type="#_x0000_t75" stroked="false">
              <v:imagedata r:id="rId7" o:title=""/>
            </v:shape>
            <v:shape style="position:absolute;left:7923;top:399;width:10;height:466" type="#_x0000_t75" stroked="false">
              <v:imagedata r:id="rId174" o:title=""/>
            </v:shape>
            <v:shape style="position:absolute;left:7923;top:865;width:10;height:32" type="#_x0000_t75" stroked="false">
              <v:imagedata r:id="rId175" o:title=""/>
            </v:shape>
            <v:shape style="position:absolute;left:6373;top:896;width:1560;height:478" type="#_x0000_t75" stroked="false">
              <v:imagedata r:id="rId181" o:title=""/>
            </v:shape>
            <v:shape style="position:absolute;left:6363;top:1374;width:10;height:468" type="#_x0000_t75" stroked="false">
              <v:imagedata r:id="rId180" o:title=""/>
            </v:shape>
            <v:shape style="position:absolute;left:6373;top:1374;width:1560;height:478" type="#_x0000_t75" stroked="false">
              <v:imagedata r:id="rId182" o:title=""/>
            </v:shape>
            <v:shape style="position:absolute;left:6363;top:1851;width:1570;height:478" type="#_x0000_t75" stroked="false">
              <v:imagedata r:id="rId183" o:title=""/>
            </v:shape>
            <v:shape style="position:absolute;left:6363;top:2329;width:1570;height:478" type="#_x0000_t75" stroked="false">
              <v:imagedata r:id="rId183" o:title=""/>
            </v:shape>
            <w10:wrap type="none"/>
          </v:group>
        </w:pict>
      </w:r>
      <w:r>
        <w:rPr>
          <w:rFonts w:ascii="Times New Roman" w:eastAsia="Times New Roman"/>
        </w:rPr>
        <w:t>200</w:t>
      </w:r>
      <w:r>
        <w:rPr/>
        <w:t>万元和</w:t>
      </w:r>
      <w:r>
        <w:rPr>
          <w:rFonts w:ascii="Times New Roman" w:eastAsia="Times New Roman"/>
        </w:rPr>
        <w:t>500</w:t>
      </w:r>
      <w:r>
        <w:rPr/>
        <w:t>万元，则各笔申购负担的前端申购费用和获得的基金份额计算如下：</w:t>
      </w:r>
    </w:p>
    <w:p>
      <w:pPr>
        <w:pStyle w:val="BodyText"/>
        <w:spacing w:before="11"/>
        <w:rPr>
          <w:sz w:val="8"/>
        </w:rPr>
      </w:pP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6"/>
        <w:gridCol w:w="1290"/>
        <w:gridCol w:w="1555"/>
        <w:gridCol w:w="1549"/>
      </w:tblGrid>
      <w:tr>
        <w:trPr>
          <w:trHeight w:val="466" w:hRule="atLeast"/>
        </w:trPr>
        <w:tc>
          <w:tcPr>
            <w:tcW w:w="2656" w:type="dxa"/>
            <w:tcBorders>
              <w:top w:val="single" w:sz="12" w:space="0" w:color="000000"/>
              <w:bottom w:val="single" w:sz="12" w:space="0" w:color="000000"/>
            </w:tcBorders>
          </w:tcPr>
          <w:p>
            <w:pPr>
              <w:pStyle w:val="TableParagraph"/>
              <w:spacing w:before="0"/>
              <w:jc w:val="left"/>
              <w:rPr>
                <w:sz w:val="20"/>
              </w:rPr>
            </w:pPr>
          </w:p>
        </w:tc>
        <w:tc>
          <w:tcPr>
            <w:tcW w:w="1290" w:type="dxa"/>
            <w:tcBorders>
              <w:top w:val="single" w:sz="12" w:space="0" w:color="000000"/>
              <w:bottom w:val="single" w:sz="12" w:space="0" w:color="000000"/>
            </w:tcBorders>
          </w:tcPr>
          <w:p>
            <w:pPr>
              <w:pStyle w:val="TableParagraph"/>
              <w:spacing w:before="99"/>
              <w:ind w:left="380"/>
              <w:jc w:val="left"/>
              <w:rPr>
                <w:sz w:val="21"/>
              </w:rPr>
            </w:pPr>
            <w:r>
              <w:rPr>
                <w:rFonts w:ascii="宋体" w:eastAsia="宋体" w:hint="eastAsia"/>
                <w:sz w:val="21"/>
              </w:rPr>
              <w:t>申购</w:t>
            </w:r>
            <w:r>
              <w:rPr>
                <w:sz w:val="21"/>
              </w:rPr>
              <w:t>1</w:t>
            </w:r>
          </w:p>
        </w:tc>
        <w:tc>
          <w:tcPr>
            <w:tcW w:w="1555" w:type="dxa"/>
            <w:tcBorders>
              <w:top w:val="single" w:sz="12" w:space="0" w:color="000000"/>
              <w:bottom w:val="single" w:sz="12" w:space="0" w:color="000000"/>
            </w:tcBorders>
          </w:tcPr>
          <w:p>
            <w:pPr>
              <w:pStyle w:val="TableParagraph"/>
              <w:spacing w:before="99"/>
              <w:ind w:left="514"/>
              <w:jc w:val="left"/>
              <w:rPr>
                <w:sz w:val="21"/>
              </w:rPr>
            </w:pPr>
            <w:r>
              <w:rPr>
                <w:rFonts w:ascii="宋体" w:eastAsia="宋体" w:hint="eastAsia"/>
                <w:sz w:val="21"/>
              </w:rPr>
              <w:t>申购</w:t>
            </w:r>
            <w:r>
              <w:rPr>
                <w:sz w:val="21"/>
              </w:rPr>
              <w:t>2</w:t>
            </w:r>
          </w:p>
        </w:tc>
        <w:tc>
          <w:tcPr>
            <w:tcW w:w="1549" w:type="dxa"/>
            <w:tcBorders>
              <w:top w:val="single" w:sz="12" w:space="0" w:color="000000"/>
              <w:bottom w:val="single" w:sz="12" w:space="0" w:color="000000"/>
            </w:tcBorders>
          </w:tcPr>
          <w:p>
            <w:pPr>
              <w:pStyle w:val="TableParagraph"/>
              <w:spacing w:before="99"/>
              <w:ind w:left="512"/>
              <w:jc w:val="left"/>
              <w:rPr>
                <w:sz w:val="21"/>
              </w:rPr>
            </w:pPr>
            <w:r>
              <w:rPr>
                <w:rFonts w:ascii="宋体" w:eastAsia="宋体" w:hint="eastAsia"/>
                <w:sz w:val="21"/>
              </w:rPr>
              <w:t>申购</w:t>
            </w:r>
            <w:r>
              <w:rPr>
                <w:sz w:val="21"/>
              </w:rPr>
              <w:t>3</w:t>
            </w:r>
          </w:p>
        </w:tc>
      </w:tr>
      <w:tr>
        <w:trPr>
          <w:trHeight w:val="469" w:hRule="atLeast"/>
        </w:trPr>
        <w:tc>
          <w:tcPr>
            <w:tcW w:w="2656" w:type="dxa"/>
            <w:tcBorders>
              <w:top w:val="single" w:sz="12" w:space="0" w:color="000000"/>
            </w:tcBorders>
          </w:tcPr>
          <w:p>
            <w:pPr>
              <w:pStyle w:val="TableParagraph"/>
              <w:spacing w:before="101"/>
              <w:ind w:left="443"/>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0" w:type="dxa"/>
            <w:tcBorders>
              <w:top w:val="single" w:sz="12" w:space="0" w:color="000000"/>
              <w:bottom w:val="single" w:sz="4" w:space="0" w:color="000000"/>
            </w:tcBorders>
          </w:tcPr>
          <w:p>
            <w:pPr>
              <w:pStyle w:val="TableParagraph"/>
              <w:spacing w:before="113"/>
              <w:ind w:right="105"/>
              <w:rPr>
                <w:sz w:val="21"/>
              </w:rPr>
            </w:pPr>
            <w:r>
              <w:rPr>
                <w:sz w:val="21"/>
              </w:rPr>
              <w:t>1,000.00</w:t>
            </w:r>
          </w:p>
        </w:tc>
        <w:tc>
          <w:tcPr>
            <w:tcW w:w="1555" w:type="dxa"/>
            <w:tcBorders>
              <w:top w:val="single" w:sz="12" w:space="0" w:color="000000"/>
            </w:tcBorders>
          </w:tcPr>
          <w:p>
            <w:pPr>
              <w:pStyle w:val="TableParagraph"/>
              <w:spacing w:before="113"/>
              <w:ind w:right="100"/>
              <w:rPr>
                <w:sz w:val="21"/>
              </w:rPr>
            </w:pPr>
            <w:r>
              <w:rPr>
                <w:sz w:val="21"/>
              </w:rPr>
              <w:t>500,000.00</w:t>
            </w:r>
          </w:p>
        </w:tc>
        <w:tc>
          <w:tcPr>
            <w:tcW w:w="1549" w:type="dxa"/>
            <w:tcBorders>
              <w:top w:val="single" w:sz="12" w:space="0" w:color="000000"/>
              <w:bottom w:val="single" w:sz="4" w:space="0" w:color="000000"/>
            </w:tcBorders>
          </w:tcPr>
          <w:p>
            <w:pPr>
              <w:pStyle w:val="TableParagraph"/>
              <w:spacing w:before="113"/>
              <w:ind w:right="103"/>
              <w:rPr>
                <w:sz w:val="21"/>
              </w:rPr>
            </w:pPr>
            <w:r>
              <w:rPr>
                <w:sz w:val="21"/>
              </w:rPr>
              <w:t>2,000,000.00</w:t>
            </w:r>
          </w:p>
          <w:p>
            <w:pPr>
              <w:pStyle w:val="TableParagraph"/>
              <w:spacing w:before="0"/>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2999" cy="6000"/>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2999" cy="6000"/>
                          </a:xfrm>
                          <a:prstGeom prst="rect">
                            <a:avLst/>
                          </a:prstGeom>
                        </pic:spPr>
                      </pic:pic>
                    </a:graphicData>
                  </a:graphic>
                </wp:inline>
              </w:drawing>
            </w:r>
            <w:r>
              <w:rPr>
                <w:rFonts w:ascii="宋体"/>
                <w:sz w:val="2"/>
              </w:rPr>
            </w:r>
          </w:p>
        </w:tc>
      </w:tr>
      <w:tr>
        <w:trPr>
          <w:trHeight w:val="447" w:hRule="atLeast"/>
        </w:trPr>
        <w:tc>
          <w:tcPr>
            <w:tcW w:w="2656" w:type="dxa"/>
          </w:tcPr>
          <w:p>
            <w:pPr>
              <w:pStyle w:val="TableParagraph"/>
              <w:spacing w:before="79"/>
              <w:ind w:right="217"/>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5"/>
              <w:rPr>
                <w:sz w:val="21"/>
              </w:rPr>
            </w:pPr>
            <w:r>
              <w:rPr>
                <w:sz w:val="21"/>
              </w:rPr>
              <w:t>1.5%</w:t>
            </w:r>
          </w:p>
        </w:tc>
        <w:tc>
          <w:tcPr>
            <w:tcW w:w="1555" w:type="dxa"/>
          </w:tcPr>
          <w:p>
            <w:pPr>
              <w:pStyle w:val="TableParagraph"/>
              <w:spacing w:before="90"/>
              <w:ind w:right="99"/>
              <w:rPr>
                <w:sz w:val="21"/>
              </w:rPr>
            </w:pPr>
            <w:r>
              <w:rPr>
                <w:sz w:val="21"/>
              </w:rPr>
              <w:t>1.2%</w:t>
            </w:r>
          </w:p>
        </w:tc>
        <w:tc>
          <w:tcPr>
            <w:tcW w:w="1549" w:type="dxa"/>
            <w:tcBorders>
              <w:top w:val="single" w:sz="4" w:space="0" w:color="000000"/>
              <w:bottom w:val="single" w:sz="4" w:space="0" w:color="000000"/>
            </w:tcBorders>
          </w:tcPr>
          <w:p>
            <w:pPr>
              <w:pStyle w:val="TableParagraph"/>
              <w:spacing w:before="90"/>
              <w:ind w:right="102"/>
              <w:rPr>
                <w:sz w:val="21"/>
              </w:rPr>
            </w:pPr>
            <w:r>
              <w:rPr>
                <w:sz w:val="21"/>
              </w:rPr>
              <w:t>0.8%</w:t>
            </w:r>
          </w:p>
          <w:p>
            <w:pPr>
              <w:pStyle w:val="TableParagraph"/>
              <w:spacing w:before="0" w:after="1"/>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2999" cy="6000"/>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2999" cy="6000"/>
                          </a:xfrm>
                          <a:prstGeom prst="rect">
                            <a:avLst/>
                          </a:prstGeom>
                        </pic:spPr>
                      </pic:pic>
                    </a:graphicData>
                  </a:graphic>
                </wp:inline>
              </w:drawing>
            </w:r>
            <w:r>
              <w:rPr>
                <w:rFonts w:ascii="宋体"/>
                <w:sz w:val="2"/>
              </w:rPr>
            </w:r>
          </w:p>
        </w:tc>
      </w:tr>
      <w:tr>
        <w:trPr>
          <w:trHeight w:val="447" w:hRule="atLeast"/>
        </w:trPr>
        <w:tc>
          <w:tcPr>
            <w:tcW w:w="2656" w:type="dxa"/>
          </w:tcPr>
          <w:p>
            <w:pPr>
              <w:pStyle w:val="TableParagraph"/>
              <w:spacing w:before="79"/>
              <w:ind w:right="168"/>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0" w:type="dxa"/>
            <w:tcBorders>
              <w:top w:val="single" w:sz="4" w:space="0" w:color="000000"/>
              <w:bottom w:val="single" w:sz="4" w:space="0" w:color="000000"/>
            </w:tcBorders>
          </w:tcPr>
          <w:p>
            <w:pPr>
              <w:pStyle w:val="TableParagraph"/>
              <w:spacing w:before="90"/>
              <w:ind w:right="105"/>
              <w:rPr>
                <w:sz w:val="21"/>
              </w:rPr>
            </w:pPr>
            <w:r>
              <w:rPr>
                <w:sz w:val="21"/>
              </w:rPr>
              <w:t>985.22</w:t>
            </w:r>
          </w:p>
        </w:tc>
        <w:tc>
          <w:tcPr>
            <w:tcW w:w="1555" w:type="dxa"/>
          </w:tcPr>
          <w:p>
            <w:pPr>
              <w:pStyle w:val="TableParagraph"/>
              <w:spacing w:before="90"/>
              <w:ind w:right="102"/>
              <w:rPr>
                <w:sz w:val="21"/>
              </w:rPr>
            </w:pPr>
            <w:r>
              <w:rPr>
                <w:sz w:val="21"/>
              </w:rPr>
              <w:t>494,071.15</w:t>
            </w:r>
          </w:p>
        </w:tc>
        <w:tc>
          <w:tcPr>
            <w:tcW w:w="1549" w:type="dxa"/>
            <w:tcBorders>
              <w:top w:val="single" w:sz="4" w:space="0" w:color="000000"/>
              <w:bottom w:val="single" w:sz="4" w:space="0" w:color="000000"/>
            </w:tcBorders>
          </w:tcPr>
          <w:p>
            <w:pPr>
              <w:pStyle w:val="TableParagraph"/>
              <w:spacing w:before="90"/>
              <w:ind w:right="103"/>
              <w:rPr>
                <w:sz w:val="21"/>
              </w:rPr>
            </w:pPr>
            <w:r>
              <w:rPr>
                <w:sz w:val="21"/>
              </w:rPr>
              <w:t>1,984,126.98</w:t>
            </w:r>
          </w:p>
          <w:p>
            <w:pPr>
              <w:pStyle w:val="TableParagraph"/>
              <w:spacing w:before="0" w:after="1"/>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3000" cy="600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2656" w:type="dxa"/>
          </w:tcPr>
          <w:p>
            <w:pPr>
              <w:pStyle w:val="TableParagraph"/>
              <w:spacing w:before="79"/>
              <w:ind w:left="357"/>
              <w:jc w:val="left"/>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8"/>
              <w:rPr>
                <w:sz w:val="21"/>
              </w:rPr>
            </w:pPr>
            <w:r>
              <w:rPr>
                <w:sz w:val="21"/>
              </w:rPr>
              <w:t>14.78</w:t>
            </w:r>
          </w:p>
        </w:tc>
        <w:tc>
          <w:tcPr>
            <w:tcW w:w="1555" w:type="dxa"/>
          </w:tcPr>
          <w:p>
            <w:pPr>
              <w:pStyle w:val="TableParagraph"/>
              <w:spacing w:before="90"/>
              <w:ind w:right="102"/>
              <w:rPr>
                <w:sz w:val="21"/>
              </w:rPr>
            </w:pPr>
            <w:r>
              <w:rPr>
                <w:sz w:val="21"/>
              </w:rPr>
              <w:t>5,928.85</w:t>
            </w:r>
          </w:p>
        </w:tc>
        <w:tc>
          <w:tcPr>
            <w:tcW w:w="1549" w:type="dxa"/>
            <w:tcBorders>
              <w:top w:val="single" w:sz="4" w:space="0" w:color="000000"/>
              <w:bottom w:val="single" w:sz="4" w:space="0" w:color="000000"/>
            </w:tcBorders>
          </w:tcPr>
          <w:p>
            <w:pPr>
              <w:pStyle w:val="TableParagraph"/>
              <w:spacing w:before="90"/>
              <w:ind w:right="105"/>
              <w:rPr>
                <w:sz w:val="21"/>
              </w:rPr>
            </w:pPr>
            <w:r>
              <w:rPr>
                <w:sz w:val="21"/>
              </w:rPr>
              <w:t>15,873.02</w:t>
            </w:r>
          </w:p>
          <w:p>
            <w:pPr>
              <w:pStyle w:val="TableParagraph"/>
              <w:spacing w:before="0" w:after="1"/>
              <w:jc w:val="left"/>
              <w:rPr>
                <w:rFonts w:ascii="宋体"/>
                <w:sz w:val="9"/>
              </w:rPr>
            </w:pPr>
          </w:p>
          <w:p>
            <w:pPr>
              <w:pStyle w:val="TableParagraph"/>
              <w:spacing w:line="20" w:lineRule="exact" w:before="0"/>
              <w:ind w:left="1544" w:right="-44"/>
              <w:jc w:val="left"/>
              <w:rPr>
                <w:rFonts w:ascii="宋体"/>
                <w:sz w:val="2"/>
              </w:rPr>
            </w:pPr>
            <w:r>
              <w:rPr>
                <w:rFonts w:ascii="宋体"/>
                <w:sz w:val="2"/>
              </w:rPr>
              <w:drawing>
                <wp:inline distT="0" distB="0" distL="0" distR="0">
                  <wp:extent cx="3000" cy="6000"/>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50" w:hRule="atLeast"/>
        </w:trPr>
        <w:tc>
          <w:tcPr>
            <w:tcW w:w="2656" w:type="dxa"/>
            <w:tcBorders>
              <w:right w:val="single" w:sz="4" w:space="0" w:color="000000"/>
            </w:tcBorders>
          </w:tcPr>
          <w:p>
            <w:pPr>
              <w:pStyle w:val="TableParagraph"/>
              <w:spacing w:before="81"/>
              <w:ind w:right="217"/>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p>
            <w:pPr>
              <w:pStyle w:val="TableParagraph"/>
              <w:spacing w:before="10"/>
              <w:jc w:val="left"/>
              <w:rPr>
                <w:rFonts w:ascii="宋体"/>
                <w:sz w:val="7"/>
              </w:rPr>
            </w:pPr>
          </w:p>
          <w:p>
            <w:pPr>
              <w:pStyle w:val="TableParagraph"/>
              <w:spacing w:line="20" w:lineRule="exact" w:before="0"/>
              <w:ind w:left="7" w:right="-44"/>
              <w:jc w:val="left"/>
              <w:rPr>
                <w:rFonts w:ascii="宋体"/>
                <w:sz w:val="2"/>
              </w:rPr>
            </w:pPr>
            <w:r>
              <w:rPr>
                <w:rFonts w:ascii="宋体"/>
                <w:sz w:val="2"/>
              </w:rPr>
              <w:drawing>
                <wp:inline distT="0" distB="0" distL="0" distR="0">
                  <wp:extent cx="1676850" cy="6096"/>
                  <wp:effectExtent l="0" t="0" r="0" b="0"/>
                  <wp:docPr id="11" name="image24.png"/>
                  <wp:cNvGraphicFramePr>
                    <a:graphicFrameLocks noChangeAspect="1"/>
                  </wp:cNvGraphicFramePr>
                  <a:graphic>
                    <a:graphicData uri="http://schemas.openxmlformats.org/drawingml/2006/picture">
                      <pic:pic>
                        <pic:nvPicPr>
                          <pic:cNvPr id="12" name="image24.png"/>
                          <pic:cNvPicPr/>
                        </pic:nvPicPr>
                        <pic:blipFill>
                          <a:blip r:embed="rId184" cstate="print"/>
                          <a:stretch>
                            <a:fillRect/>
                          </a:stretch>
                        </pic:blipFill>
                        <pic:spPr>
                          <a:xfrm>
                            <a:off x="0" y="0"/>
                            <a:ext cx="1676850" cy="6096"/>
                          </a:xfrm>
                          <a:prstGeom prst="rect">
                            <a:avLst/>
                          </a:prstGeom>
                        </pic:spPr>
                      </pic:pic>
                    </a:graphicData>
                  </a:graphic>
                </wp:inline>
              </w:drawing>
            </w:r>
            <w:r>
              <w:rPr>
                <w:rFonts w:ascii="宋体"/>
                <w:sz w:val="2"/>
              </w:rPr>
            </w:r>
          </w:p>
        </w:tc>
        <w:tc>
          <w:tcPr>
            <w:tcW w:w="1290" w:type="dxa"/>
            <w:tcBorders>
              <w:top w:val="single" w:sz="4" w:space="0" w:color="000000"/>
              <w:left w:val="single" w:sz="4" w:space="0" w:color="000000"/>
              <w:bottom w:val="single" w:sz="4" w:space="0" w:color="000000"/>
              <w:right w:val="single" w:sz="4" w:space="0" w:color="000000"/>
            </w:tcBorders>
          </w:tcPr>
          <w:p>
            <w:pPr>
              <w:pStyle w:val="TableParagraph"/>
              <w:spacing w:before="93"/>
              <w:ind w:right="100"/>
              <w:rPr>
                <w:sz w:val="21"/>
              </w:rPr>
            </w:pPr>
            <w:r>
              <w:rPr>
                <w:sz w:val="21"/>
              </w:rPr>
              <w:t>1.230</w:t>
            </w:r>
          </w:p>
        </w:tc>
        <w:tc>
          <w:tcPr>
            <w:tcW w:w="1555" w:type="dxa"/>
            <w:tcBorders>
              <w:left w:val="single" w:sz="4" w:space="0" w:color="000000"/>
              <w:right w:val="single" w:sz="4" w:space="0" w:color="000000"/>
            </w:tcBorders>
          </w:tcPr>
          <w:p>
            <w:pPr>
              <w:pStyle w:val="TableParagraph"/>
              <w:spacing w:before="93"/>
              <w:ind w:right="95"/>
              <w:rPr>
                <w:sz w:val="21"/>
              </w:rPr>
            </w:pPr>
            <w:r>
              <w:rPr>
                <w:sz w:val="21"/>
              </w:rPr>
              <w:t>1.230</w:t>
            </w:r>
          </w:p>
          <w:p>
            <w:pPr>
              <w:pStyle w:val="TableParagraph"/>
              <w:spacing w:before="0"/>
              <w:jc w:val="left"/>
              <w:rPr>
                <w:rFonts w:ascii="宋体"/>
                <w:sz w:val="9"/>
              </w:rPr>
            </w:pPr>
          </w:p>
          <w:p>
            <w:pPr>
              <w:pStyle w:val="TableParagraph"/>
              <w:spacing w:line="20" w:lineRule="exact" w:before="0"/>
              <w:ind w:left="-2" w:right="-44"/>
              <w:jc w:val="left"/>
              <w:rPr>
                <w:rFonts w:ascii="宋体"/>
                <w:sz w:val="2"/>
              </w:rPr>
            </w:pPr>
            <w:r>
              <w:rPr>
                <w:rFonts w:ascii="宋体"/>
                <w:sz w:val="2"/>
              </w:rPr>
              <w:drawing>
                <wp:inline distT="0" distB="0" distL="0" distR="0">
                  <wp:extent cx="975400" cy="6096"/>
                  <wp:effectExtent l="0" t="0" r="0" b="0"/>
                  <wp:docPr id="13" name="image25.png"/>
                  <wp:cNvGraphicFramePr>
                    <a:graphicFrameLocks noChangeAspect="1"/>
                  </wp:cNvGraphicFramePr>
                  <a:graphic>
                    <a:graphicData uri="http://schemas.openxmlformats.org/drawingml/2006/picture">
                      <pic:pic>
                        <pic:nvPicPr>
                          <pic:cNvPr id="14" name="image25.png"/>
                          <pic:cNvPicPr/>
                        </pic:nvPicPr>
                        <pic:blipFill>
                          <a:blip r:embed="rId185" cstate="print"/>
                          <a:stretch>
                            <a:fillRect/>
                          </a:stretch>
                        </pic:blipFill>
                        <pic:spPr>
                          <a:xfrm>
                            <a:off x="0" y="0"/>
                            <a:ext cx="975400" cy="6096"/>
                          </a:xfrm>
                          <a:prstGeom prst="rect">
                            <a:avLst/>
                          </a:prstGeom>
                        </pic:spPr>
                      </pic:pic>
                    </a:graphicData>
                  </a:graphic>
                </wp:inline>
              </w:drawing>
            </w:r>
            <w:r>
              <w:rPr>
                <w:rFonts w:ascii="宋体"/>
                <w:sz w:val="2"/>
              </w:rPr>
            </w:r>
          </w:p>
        </w:tc>
        <w:tc>
          <w:tcPr>
            <w:tcW w:w="1549" w:type="dxa"/>
            <w:tcBorders>
              <w:top w:val="single" w:sz="4" w:space="0" w:color="000000"/>
              <w:left w:val="single" w:sz="4" w:space="0" w:color="000000"/>
              <w:bottom w:val="single" w:sz="4" w:space="0" w:color="000000"/>
            </w:tcBorders>
          </w:tcPr>
          <w:p>
            <w:pPr>
              <w:pStyle w:val="TableParagraph"/>
              <w:spacing w:before="93"/>
              <w:ind w:right="103"/>
              <w:rPr>
                <w:sz w:val="21"/>
              </w:rPr>
            </w:pPr>
            <w:r>
              <w:rPr>
                <w:sz w:val="21"/>
              </w:rPr>
              <w:t>1.230</w:t>
            </w:r>
          </w:p>
          <w:p>
            <w:pPr>
              <w:pStyle w:val="TableParagraph"/>
              <w:spacing w:before="0"/>
              <w:jc w:val="left"/>
              <w:rPr>
                <w:rFonts w:ascii="宋体"/>
                <w:sz w:val="9"/>
              </w:rPr>
            </w:pPr>
          </w:p>
          <w:p>
            <w:pPr>
              <w:pStyle w:val="TableParagraph"/>
              <w:spacing w:line="20" w:lineRule="exact" w:before="0"/>
              <w:ind w:left="1539" w:right="-44"/>
              <w:jc w:val="left"/>
              <w:rPr>
                <w:rFonts w:ascii="宋体"/>
                <w:sz w:val="2"/>
              </w:rPr>
            </w:pPr>
            <w:r>
              <w:rPr>
                <w:rFonts w:ascii="宋体"/>
                <w:sz w:val="2"/>
              </w:rPr>
              <w:drawing>
                <wp:inline distT="0" distB="0" distL="0" distR="0">
                  <wp:extent cx="3047" cy="6096"/>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6" w:type="dxa"/>
            <w:tcBorders>
              <w:bottom w:val="single" w:sz="12" w:space="0" w:color="000000"/>
              <w:right w:val="single" w:sz="4" w:space="0" w:color="000000"/>
            </w:tcBorders>
          </w:tcPr>
          <w:p>
            <w:pPr>
              <w:pStyle w:val="TableParagraph"/>
              <w:spacing w:before="79"/>
              <w:ind w:left="484"/>
              <w:jc w:val="left"/>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p>
            <w:pPr>
              <w:pStyle w:val="TableParagraph"/>
              <w:spacing w:before="12"/>
              <w:jc w:val="left"/>
              <w:rPr>
                <w:rFonts w:ascii="宋体"/>
                <w:sz w:val="4"/>
              </w:rPr>
            </w:pPr>
          </w:p>
          <w:p>
            <w:pPr>
              <w:pStyle w:val="TableParagraph"/>
              <w:spacing w:line="35" w:lineRule="exact" w:before="0"/>
              <w:ind w:left="2652" w:right="-58"/>
              <w:jc w:val="left"/>
              <w:rPr>
                <w:rFonts w:ascii="宋体"/>
                <w:sz w:val="3"/>
              </w:rPr>
            </w:pPr>
            <w:r>
              <w:rPr>
                <w:rFonts w:ascii="宋体"/>
                <w:position w:val="0"/>
                <w:sz w:val="3"/>
              </w:rPr>
              <w:drawing>
                <wp:inline distT="0" distB="0" distL="0" distR="0">
                  <wp:extent cx="6045" cy="22669"/>
                  <wp:effectExtent l="0" t="0" r="0" b="0"/>
                  <wp:docPr id="17" name="image26.png"/>
                  <wp:cNvGraphicFramePr>
                    <a:graphicFrameLocks noChangeAspect="1"/>
                  </wp:cNvGraphicFramePr>
                  <a:graphic>
                    <a:graphicData uri="http://schemas.openxmlformats.org/drawingml/2006/picture">
                      <pic:pic>
                        <pic:nvPicPr>
                          <pic:cNvPr id="18" name="image26.png"/>
                          <pic:cNvPicPr/>
                        </pic:nvPicPr>
                        <pic:blipFill>
                          <a:blip r:embed="rId186"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290" w:type="dxa"/>
            <w:tcBorders>
              <w:top w:val="single" w:sz="4" w:space="0" w:color="000000"/>
              <w:left w:val="single" w:sz="4" w:space="0" w:color="000000"/>
              <w:bottom w:val="single" w:sz="12" w:space="0" w:color="000000"/>
              <w:right w:val="single" w:sz="4" w:space="0" w:color="000000"/>
            </w:tcBorders>
          </w:tcPr>
          <w:p>
            <w:pPr>
              <w:pStyle w:val="TableParagraph"/>
              <w:spacing w:before="91"/>
              <w:ind w:right="100"/>
              <w:rPr>
                <w:sz w:val="21"/>
              </w:rPr>
            </w:pPr>
            <w:r>
              <w:rPr>
                <w:sz w:val="21"/>
              </w:rPr>
              <w:t>800.99</w:t>
            </w:r>
          </w:p>
          <w:p>
            <w:pPr>
              <w:pStyle w:val="TableParagraph"/>
              <w:spacing w:before="2"/>
              <w:jc w:val="left"/>
              <w:rPr>
                <w:rFonts w:ascii="宋体"/>
                <w:sz w:val="6"/>
              </w:rPr>
            </w:pPr>
          </w:p>
          <w:p>
            <w:pPr>
              <w:pStyle w:val="TableParagraph"/>
              <w:spacing w:line="35" w:lineRule="exact" w:before="0"/>
              <w:ind w:left="1278" w:right="-58"/>
              <w:jc w:val="left"/>
              <w:rPr>
                <w:rFonts w:ascii="宋体"/>
                <w:sz w:val="3"/>
              </w:rPr>
            </w:pPr>
            <w:r>
              <w:rPr>
                <w:rFonts w:ascii="宋体"/>
                <w:position w:val="0"/>
                <w:sz w:val="3"/>
              </w:rPr>
              <w:drawing>
                <wp:inline distT="0" distB="0" distL="0" distR="0">
                  <wp:extent cx="6045" cy="22669"/>
                  <wp:effectExtent l="0" t="0" r="0" b="0"/>
                  <wp:docPr id="19" name="image26.png"/>
                  <wp:cNvGraphicFramePr>
                    <a:graphicFrameLocks noChangeAspect="1"/>
                  </wp:cNvGraphicFramePr>
                  <a:graphic>
                    <a:graphicData uri="http://schemas.openxmlformats.org/drawingml/2006/picture">
                      <pic:pic>
                        <pic:nvPicPr>
                          <pic:cNvPr id="20" name="image26.png"/>
                          <pic:cNvPicPr/>
                        </pic:nvPicPr>
                        <pic:blipFill>
                          <a:blip r:embed="rId186"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555" w:type="dxa"/>
            <w:tcBorders>
              <w:left w:val="single" w:sz="4" w:space="0" w:color="000000"/>
              <w:bottom w:val="single" w:sz="12" w:space="0" w:color="000000"/>
              <w:right w:val="single" w:sz="4" w:space="0" w:color="000000"/>
            </w:tcBorders>
          </w:tcPr>
          <w:p>
            <w:pPr>
              <w:pStyle w:val="TableParagraph"/>
              <w:spacing w:before="91"/>
              <w:ind w:right="97"/>
              <w:rPr>
                <w:sz w:val="21"/>
              </w:rPr>
            </w:pPr>
            <w:r>
              <w:rPr>
                <w:sz w:val="21"/>
              </w:rPr>
              <w:t>401,683.86</w:t>
            </w:r>
          </w:p>
          <w:p>
            <w:pPr>
              <w:pStyle w:val="TableParagraph"/>
              <w:spacing w:before="2"/>
              <w:jc w:val="left"/>
              <w:rPr>
                <w:rFonts w:ascii="宋体"/>
                <w:sz w:val="6"/>
              </w:rPr>
            </w:pPr>
          </w:p>
          <w:p>
            <w:pPr>
              <w:pStyle w:val="TableParagraph"/>
              <w:spacing w:line="35" w:lineRule="exact" w:before="0"/>
              <w:ind w:left="1548" w:right="-58"/>
              <w:jc w:val="left"/>
              <w:rPr>
                <w:rFonts w:ascii="宋体"/>
                <w:sz w:val="3"/>
              </w:rPr>
            </w:pPr>
            <w:r>
              <w:rPr>
                <w:rFonts w:ascii="宋体"/>
                <w:position w:val="0"/>
                <w:sz w:val="3"/>
              </w:rPr>
              <w:drawing>
                <wp:inline distT="0" distB="0" distL="0" distR="0">
                  <wp:extent cx="6045" cy="22669"/>
                  <wp:effectExtent l="0" t="0" r="0" b="0"/>
                  <wp:docPr id="21" name="image26.png"/>
                  <wp:cNvGraphicFramePr>
                    <a:graphicFrameLocks noChangeAspect="1"/>
                  </wp:cNvGraphicFramePr>
                  <a:graphic>
                    <a:graphicData uri="http://schemas.openxmlformats.org/drawingml/2006/picture">
                      <pic:pic>
                        <pic:nvPicPr>
                          <pic:cNvPr id="22" name="image26.png"/>
                          <pic:cNvPicPr/>
                        </pic:nvPicPr>
                        <pic:blipFill>
                          <a:blip r:embed="rId186" cstate="print"/>
                          <a:stretch>
                            <a:fillRect/>
                          </a:stretch>
                        </pic:blipFill>
                        <pic:spPr>
                          <a:xfrm>
                            <a:off x="0" y="0"/>
                            <a:ext cx="6045" cy="22669"/>
                          </a:xfrm>
                          <a:prstGeom prst="rect">
                            <a:avLst/>
                          </a:prstGeom>
                        </pic:spPr>
                      </pic:pic>
                    </a:graphicData>
                  </a:graphic>
                </wp:inline>
              </w:drawing>
            </w:r>
            <w:r>
              <w:rPr>
                <w:rFonts w:ascii="宋体"/>
                <w:position w:val="0"/>
                <w:sz w:val="3"/>
              </w:rPr>
            </w:r>
          </w:p>
        </w:tc>
        <w:tc>
          <w:tcPr>
            <w:tcW w:w="1549" w:type="dxa"/>
            <w:tcBorders>
              <w:top w:val="single" w:sz="4" w:space="0" w:color="000000"/>
              <w:left w:val="single" w:sz="4" w:space="0" w:color="000000"/>
              <w:bottom w:val="single" w:sz="12" w:space="0" w:color="000000"/>
            </w:tcBorders>
          </w:tcPr>
          <w:p>
            <w:pPr>
              <w:pStyle w:val="TableParagraph"/>
              <w:spacing w:before="91"/>
              <w:ind w:right="106"/>
              <w:rPr>
                <w:sz w:val="21"/>
              </w:rPr>
            </w:pPr>
            <w:r>
              <w:rPr>
                <w:sz w:val="21"/>
              </w:rPr>
              <w:t>1,613,111.37</w:t>
            </w:r>
          </w:p>
        </w:tc>
      </w:tr>
    </w:tbl>
    <w:p>
      <w:pPr>
        <w:spacing w:after="0"/>
        <w:rPr>
          <w:sz w:val="21"/>
        </w:rPr>
        <w:sectPr>
          <w:pgSz w:w="11910" w:h="16840"/>
          <w:pgMar w:header="877" w:footer="995" w:top="1420" w:bottom="1180" w:left="1260" w:right="1480"/>
        </w:sectPr>
      </w:pPr>
    </w:p>
    <w:p>
      <w:pPr>
        <w:pStyle w:val="BodyText"/>
        <w:spacing w:before="110"/>
        <w:ind w:left="960"/>
      </w:pPr>
      <w:r>
        <w:rPr/>
        <w:pict>
          <v:group style="position:absolute;margin-left:307.369995pt;margin-top:48.759983pt;width:.5pt;height:48.4pt;mso-position-horizontal-relative:page;mso-position-vertical-relative:paragraph;z-index:-259991552" coordorigin="6147,975" coordsize="10,968">
            <v:shape style="position:absolute;left:6147;top:975;width:10;height:3" type="#_x0000_t75" stroked="false">
              <v:imagedata r:id="rId7" o:title=""/>
            </v:shape>
            <v:shape style="position:absolute;left:6147;top:977;width:10;height:466" type="#_x0000_t75" stroked="false">
              <v:imagedata r:id="rId174" o:title=""/>
            </v:shape>
            <v:shape style="position:absolute;left:6147;top:1443;width:10;height:500" type="#_x0000_t75" stroked="false">
              <v:imagedata r:id="rId187" o:title=""/>
            </v:shape>
            <w10:wrap type="none"/>
          </v:group>
        </w:pict>
      </w:r>
      <w:r>
        <w:rPr/>
        <w:t>若该投资者申购金额为</w:t>
      </w:r>
      <w:r>
        <w:rPr>
          <w:rFonts w:ascii="Times New Roman" w:eastAsia="Times New Roman"/>
        </w:rPr>
        <w:t>500</w:t>
      </w:r>
      <w:r>
        <w:rPr/>
        <w:t>万元，则申购负担的前端申购费用和获得的基金份额计算如</w:t>
      </w:r>
    </w:p>
    <w:p>
      <w:pPr>
        <w:pStyle w:val="BodyText"/>
        <w:spacing w:before="9"/>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391"/>
        <w:gridCol w:w="1369"/>
      </w:tblGrid>
      <w:tr>
        <w:trPr>
          <w:trHeight w:val="339" w:hRule="atLeast"/>
        </w:trPr>
        <w:tc>
          <w:tcPr>
            <w:tcW w:w="2321" w:type="dxa"/>
          </w:tcPr>
          <w:p>
            <w:pPr>
              <w:pStyle w:val="TableParagraph"/>
              <w:spacing w:line="241" w:lineRule="exact" w:before="0"/>
              <w:ind w:left="50"/>
              <w:jc w:val="left"/>
              <w:rPr>
                <w:rFonts w:ascii="宋体" w:eastAsia="宋体" w:hint="eastAsia"/>
                <w:sz w:val="21"/>
              </w:rPr>
            </w:pPr>
            <w:r>
              <w:rPr>
                <w:rFonts w:ascii="宋体" w:eastAsia="宋体" w:hint="eastAsia"/>
                <w:sz w:val="21"/>
              </w:rPr>
              <w:t>下：</w:t>
            </w:r>
          </w:p>
        </w:tc>
        <w:tc>
          <w:tcPr>
            <w:tcW w:w="3760" w:type="dxa"/>
            <w:gridSpan w:val="2"/>
            <w:tcBorders>
              <w:bottom w:val="single" w:sz="12" w:space="0" w:color="000000"/>
            </w:tcBorders>
          </w:tcPr>
          <w:p>
            <w:pPr>
              <w:pStyle w:val="TableParagraph"/>
              <w:spacing w:before="0"/>
              <w:jc w:val="left"/>
              <w:rPr>
                <w:sz w:val="20"/>
              </w:rPr>
            </w:pPr>
          </w:p>
        </w:tc>
      </w:tr>
      <w:tr>
        <w:trPr>
          <w:trHeight w:val="466" w:hRule="atLeast"/>
        </w:trPr>
        <w:tc>
          <w:tcPr>
            <w:tcW w:w="2321" w:type="dxa"/>
          </w:tcPr>
          <w:p>
            <w:pPr>
              <w:pStyle w:val="TableParagraph"/>
              <w:spacing w:before="0"/>
              <w:jc w:val="left"/>
              <w:rPr>
                <w:sz w:val="20"/>
              </w:rPr>
            </w:pPr>
          </w:p>
        </w:tc>
        <w:tc>
          <w:tcPr>
            <w:tcW w:w="2391" w:type="dxa"/>
            <w:tcBorders>
              <w:top w:val="single" w:sz="12" w:space="0" w:color="000000"/>
              <w:bottom w:val="single" w:sz="12" w:space="0" w:color="000000"/>
            </w:tcBorders>
          </w:tcPr>
          <w:p>
            <w:pPr>
              <w:pStyle w:val="TableParagraph"/>
              <w:spacing w:before="0"/>
              <w:jc w:val="left"/>
              <w:rPr>
                <w:sz w:val="20"/>
              </w:rPr>
            </w:pPr>
          </w:p>
        </w:tc>
        <w:tc>
          <w:tcPr>
            <w:tcW w:w="1369" w:type="dxa"/>
            <w:tcBorders>
              <w:top w:val="single" w:sz="12" w:space="0" w:color="000000"/>
              <w:bottom w:val="single" w:sz="12" w:space="0" w:color="000000"/>
            </w:tcBorders>
          </w:tcPr>
          <w:p>
            <w:pPr>
              <w:pStyle w:val="TableParagraph"/>
              <w:spacing w:before="99"/>
              <w:ind w:left="263"/>
              <w:jc w:val="left"/>
              <w:rPr>
                <w:sz w:val="21"/>
              </w:rPr>
            </w:pPr>
            <w:r>
              <w:rPr>
                <w:rFonts w:ascii="宋体" w:eastAsia="宋体" w:hint="eastAsia"/>
                <w:sz w:val="21"/>
              </w:rPr>
              <w:t>申购</w:t>
            </w:r>
            <w:r>
              <w:rPr>
                <w:sz w:val="21"/>
              </w:rPr>
              <w:t>4</w:t>
            </w:r>
          </w:p>
        </w:tc>
      </w:tr>
      <w:tr>
        <w:trPr>
          <w:trHeight w:val="451" w:hRule="atLeast"/>
        </w:trPr>
        <w:tc>
          <w:tcPr>
            <w:tcW w:w="2321" w:type="dxa"/>
          </w:tcPr>
          <w:p>
            <w:pPr>
              <w:pStyle w:val="TableParagraph"/>
              <w:spacing w:before="0"/>
              <w:jc w:val="left"/>
              <w:rPr>
                <w:sz w:val="20"/>
              </w:rPr>
            </w:pPr>
          </w:p>
        </w:tc>
        <w:tc>
          <w:tcPr>
            <w:tcW w:w="2391" w:type="dxa"/>
            <w:tcBorders>
              <w:top w:val="single" w:sz="12" w:space="0" w:color="000000"/>
              <w:bottom w:val="single" w:sz="4" w:space="0" w:color="000000"/>
            </w:tcBorders>
          </w:tcPr>
          <w:p>
            <w:pPr>
              <w:pStyle w:val="TableParagraph"/>
              <w:spacing w:before="101"/>
              <w:ind w:left="38"/>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69" w:type="dxa"/>
            <w:tcBorders>
              <w:top w:val="single" w:sz="12" w:space="0" w:color="000000"/>
              <w:bottom w:val="single" w:sz="4" w:space="0" w:color="000000"/>
            </w:tcBorders>
          </w:tcPr>
          <w:p>
            <w:pPr>
              <w:pStyle w:val="TableParagraph"/>
              <w:spacing w:before="113"/>
              <w:ind w:right="27"/>
              <w:rPr>
                <w:sz w:val="21"/>
              </w:rPr>
            </w:pPr>
            <w:r>
              <w:rPr>
                <w:sz w:val="21"/>
              </w:rPr>
              <w:t>5,000,000.00</w:t>
            </w:r>
          </w:p>
        </w:tc>
      </w:tr>
      <w:tr>
        <w:trPr>
          <w:trHeight w:val="485"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tabs>
                <w:tab w:pos="2075" w:val="left" w:leader="none"/>
              </w:tabs>
              <w:spacing w:line="448" w:lineRule="exact" w:before="17"/>
              <w:ind w:left="38"/>
              <w:jc w:val="left"/>
              <w:rPr>
                <w:rFonts w:ascii="宋体" w:eastAsia="宋体" w:hint="eastAsia"/>
                <w:sz w:val="21"/>
              </w:rPr>
            </w:pPr>
            <w:r>
              <w:rPr>
                <w:rFonts w:ascii="宋体" w:eastAsia="宋体" w:hint="eastAsia"/>
                <w:spacing w:val="-1"/>
                <w:sz w:val="21"/>
              </w:rPr>
              <w:t>前端</w:t>
            </w:r>
            <w:r>
              <w:rPr>
                <w:rFonts w:ascii="宋体" w:eastAsia="宋体" w:hint="eastAsia"/>
                <w:spacing w:val="-3"/>
                <w:sz w:val="21"/>
              </w:rPr>
              <w:t>申</w:t>
            </w:r>
            <w:r>
              <w:rPr>
                <w:rFonts w:ascii="宋体" w:eastAsia="宋体" w:hint="eastAsia"/>
                <w:spacing w:val="-1"/>
                <w:sz w:val="21"/>
              </w:rPr>
              <w:t>购</w:t>
            </w:r>
            <w:r>
              <w:rPr>
                <w:rFonts w:ascii="宋体" w:eastAsia="宋体" w:hint="eastAsia"/>
                <w:spacing w:val="-3"/>
                <w:sz w:val="21"/>
              </w:rPr>
              <w:t>费</w:t>
            </w:r>
            <w:r>
              <w:rPr>
                <w:rFonts w:ascii="宋体" w:eastAsia="宋体" w:hint="eastAsia"/>
                <w:spacing w:val="-1"/>
                <w:sz w:val="21"/>
              </w:rPr>
              <w:t>（</w:t>
            </w:r>
            <w:r>
              <w:rPr>
                <w:spacing w:val="-1"/>
                <w:sz w:val="21"/>
              </w:rPr>
              <w:t>b</w:t>
            </w:r>
            <w:r>
              <w:rPr>
                <w:rFonts w:ascii="宋体" w:eastAsia="宋体" w:hint="eastAsia"/>
                <w:spacing w:val="-1"/>
                <w:sz w:val="21"/>
              </w:rPr>
              <w:t>）</w:t>
              <w:tab/>
            </w:r>
            <w:r>
              <w:rPr>
                <w:rFonts w:ascii="宋体" w:eastAsia="宋体" w:hint="eastAsia"/>
                <w:position w:val="-15"/>
                <w:sz w:val="21"/>
              </w:rPr>
              <w:drawing>
                <wp:inline distT="0" distB="0" distL="0" distR="0">
                  <wp:extent cx="6095" cy="297179"/>
                  <wp:effectExtent l="0" t="0" r="0" b="0"/>
                  <wp:docPr id="23" name="image20.png"/>
                  <wp:cNvGraphicFramePr>
                    <a:graphicFrameLocks noChangeAspect="1"/>
                  </wp:cNvGraphicFramePr>
                  <a:graphic>
                    <a:graphicData uri="http://schemas.openxmlformats.org/drawingml/2006/picture">
                      <pic:pic>
                        <pic:nvPicPr>
                          <pic:cNvPr id="24" name="image20.png"/>
                          <pic:cNvPicPr/>
                        </pic:nvPicPr>
                        <pic:blipFill>
                          <a:blip r:embed="rId180" cstate="print"/>
                          <a:stretch>
                            <a:fillRect/>
                          </a:stretch>
                        </pic:blipFill>
                        <pic:spPr>
                          <a:xfrm>
                            <a:off x="0" y="0"/>
                            <a:ext cx="6095" cy="297179"/>
                          </a:xfrm>
                          <a:prstGeom prst="rect">
                            <a:avLst/>
                          </a:prstGeom>
                        </pic:spPr>
                      </pic:pic>
                    </a:graphicData>
                  </a:graphic>
                </wp:inline>
              </w:drawing>
            </w:r>
            <w:r>
              <w:rPr>
                <w:rFonts w:ascii="宋体" w:eastAsia="宋体" w:hint="eastAsia"/>
                <w:position w:val="-15"/>
                <w:sz w:val="21"/>
              </w:rPr>
            </w:r>
          </w:p>
        </w:tc>
        <w:tc>
          <w:tcPr>
            <w:tcW w:w="1369" w:type="dxa"/>
            <w:tcBorders>
              <w:top w:val="single" w:sz="4" w:space="0" w:color="000000"/>
              <w:bottom w:val="single" w:sz="4" w:space="0" w:color="000000"/>
            </w:tcBorders>
          </w:tcPr>
          <w:p>
            <w:pPr>
              <w:pStyle w:val="TableParagraph"/>
              <w:spacing w:before="129"/>
              <w:ind w:right="28"/>
              <w:rPr>
                <w:sz w:val="21"/>
              </w:rPr>
            </w:pPr>
            <w:r>
              <w:rPr>
                <w:sz w:val="21"/>
              </w:rPr>
              <w:t>1,000.00</w:t>
            </w:r>
          </w:p>
        </w:tc>
      </w:tr>
      <w:tr>
        <w:trPr>
          <w:trHeight w:val="467"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99"/>
              <w:ind w:left="38"/>
              <w:jc w:val="left"/>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1"/>
              <w:ind w:right="30"/>
              <w:rPr>
                <w:sz w:val="21"/>
              </w:rPr>
            </w:pPr>
            <w:r>
              <w:rPr>
                <w:sz w:val="21"/>
              </w:rPr>
              <w:t>4,999,000.00</w:t>
            </w:r>
          </w:p>
        </w:tc>
      </w:tr>
      <w:tr>
        <w:trPr>
          <w:trHeight w:val="467" w:hRule="atLeast"/>
        </w:trPr>
        <w:tc>
          <w:tcPr>
            <w:tcW w:w="2321" w:type="dxa"/>
          </w:tcPr>
          <w:p>
            <w:pPr>
              <w:pStyle w:val="TableParagraph"/>
              <w:spacing w:before="0"/>
              <w:jc w:val="left"/>
              <w:rPr>
                <w:sz w:val="20"/>
              </w:rPr>
            </w:pPr>
          </w:p>
        </w:tc>
        <w:tc>
          <w:tcPr>
            <w:tcW w:w="2391" w:type="dxa"/>
            <w:tcBorders>
              <w:top w:val="single" w:sz="4" w:space="0" w:color="000000"/>
              <w:bottom w:val="single" w:sz="4" w:space="0" w:color="000000"/>
            </w:tcBorders>
          </w:tcPr>
          <w:p>
            <w:pPr>
              <w:pStyle w:val="TableParagraph"/>
              <w:spacing w:before="99"/>
              <w:ind w:left="38"/>
              <w:jc w:val="left"/>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1"/>
              <w:ind w:right="28"/>
              <w:rPr>
                <w:sz w:val="21"/>
              </w:rPr>
            </w:pPr>
            <w:r>
              <w:rPr>
                <w:sz w:val="21"/>
              </w:rPr>
              <w:t>1.230</w:t>
            </w:r>
          </w:p>
        </w:tc>
      </w:tr>
      <w:tr>
        <w:trPr>
          <w:trHeight w:val="470" w:hRule="atLeast"/>
        </w:trPr>
        <w:tc>
          <w:tcPr>
            <w:tcW w:w="2321" w:type="dxa"/>
          </w:tcPr>
          <w:p>
            <w:pPr>
              <w:pStyle w:val="TableParagraph"/>
              <w:spacing w:before="0"/>
              <w:jc w:val="left"/>
              <w:rPr>
                <w:sz w:val="20"/>
              </w:rPr>
            </w:pPr>
          </w:p>
        </w:tc>
        <w:tc>
          <w:tcPr>
            <w:tcW w:w="2391" w:type="dxa"/>
            <w:tcBorders>
              <w:top w:val="single" w:sz="4" w:space="0" w:color="000000"/>
              <w:bottom w:val="single" w:sz="12" w:space="0" w:color="000000"/>
            </w:tcBorders>
          </w:tcPr>
          <w:p>
            <w:pPr>
              <w:pStyle w:val="TableParagraph"/>
              <w:spacing w:before="102"/>
              <w:ind w:left="38"/>
              <w:jc w:val="left"/>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69" w:type="dxa"/>
            <w:tcBorders>
              <w:top w:val="single" w:sz="4" w:space="0" w:color="000000"/>
              <w:bottom w:val="single" w:sz="12" w:space="0" w:color="000000"/>
            </w:tcBorders>
          </w:tcPr>
          <w:p>
            <w:pPr>
              <w:pStyle w:val="TableParagraph"/>
              <w:spacing w:before="114"/>
              <w:ind w:right="27"/>
              <w:rPr>
                <w:sz w:val="21"/>
              </w:rPr>
            </w:pPr>
            <w:r>
              <w:rPr>
                <w:sz w:val="21"/>
              </w:rPr>
              <w:t>4,064,227.64</w:t>
            </w:r>
          </w:p>
        </w:tc>
      </w:tr>
      <w:tr>
        <w:trPr>
          <w:trHeight w:val="354" w:hRule="atLeast"/>
        </w:trPr>
        <w:tc>
          <w:tcPr>
            <w:tcW w:w="2321" w:type="dxa"/>
          </w:tcPr>
          <w:p>
            <w:pPr>
              <w:pStyle w:val="TableParagraph"/>
              <w:spacing w:line="236" w:lineRule="exact" w:before="99"/>
              <w:ind w:left="469"/>
              <w:jc w:val="left"/>
              <w:rPr>
                <w:rFonts w:ascii="宋体" w:eastAsia="宋体" w:hint="eastAsia"/>
                <w:sz w:val="21"/>
              </w:rPr>
            </w:pPr>
            <w:r>
              <w:rPr>
                <w:sz w:val="21"/>
              </w:rPr>
              <w:t>2</w:t>
            </w:r>
            <w:r>
              <w:rPr>
                <w:rFonts w:ascii="宋体" w:eastAsia="宋体" w:hint="eastAsia"/>
                <w:sz w:val="21"/>
              </w:rPr>
              <w:t>、赎回金额的计算</w:t>
            </w:r>
          </w:p>
        </w:tc>
        <w:tc>
          <w:tcPr>
            <w:tcW w:w="2391" w:type="dxa"/>
            <w:tcBorders>
              <w:top w:val="single" w:sz="12" w:space="0" w:color="000000"/>
            </w:tcBorders>
          </w:tcPr>
          <w:p>
            <w:pPr>
              <w:pStyle w:val="TableParagraph"/>
              <w:spacing w:before="0"/>
              <w:jc w:val="left"/>
              <w:rPr>
                <w:sz w:val="20"/>
              </w:rPr>
            </w:pPr>
          </w:p>
        </w:tc>
        <w:tc>
          <w:tcPr>
            <w:tcW w:w="1369" w:type="dxa"/>
            <w:tcBorders>
              <w:top w:val="single" w:sz="12" w:space="0" w:color="000000"/>
            </w:tcBorders>
          </w:tcPr>
          <w:p>
            <w:pPr>
              <w:pStyle w:val="TableParagraph"/>
              <w:spacing w:before="0"/>
              <w:jc w:val="left"/>
              <w:rPr>
                <w:sz w:val="20"/>
              </w:rPr>
            </w:pPr>
          </w:p>
        </w:tc>
      </w:tr>
    </w:tbl>
    <w:p>
      <w:pPr>
        <w:pStyle w:val="BodyText"/>
        <w:spacing w:before="7"/>
        <w:rPr>
          <w:sz w:val="16"/>
        </w:rPr>
      </w:pPr>
    </w:p>
    <w:p>
      <w:pPr>
        <w:pStyle w:val="BodyText"/>
        <w:ind w:left="960"/>
      </w:pPr>
      <w:r>
        <w:rPr/>
        <w:drawing>
          <wp:anchor distT="0" distB="0" distL="0" distR="0" allowOverlap="1" layoutInCell="1" locked="0" behindDoc="1" simplePos="0" relativeHeight="243325952">
            <wp:simplePos x="0" y="0"/>
            <wp:positionH relativeFrom="page">
              <wp:posOffset>3903598</wp:posOffset>
            </wp:positionH>
            <wp:positionV relativeFrom="paragraph">
              <wp:posOffset>-1284351</wp:posOffset>
            </wp:positionV>
            <wp:extent cx="6095" cy="297179"/>
            <wp:effectExtent l="0" t="0" r="0" b="0"/>
            <wp:wrapNone/>
            <wp:docPr id="25" name="image20.png"/>
            <wp:cNvGraphicFramePr>
              <a:graphicFrameLocks noChangeAspect="1"/>
            </wp:cNvGraphicFramePr>
            <a:graphic>
              <a:graphicData uri="http://schemas.openxmlformats.org/drawingml/2006/picture">
                <pic:pic>
                  <pic:nvPicPr>
                    <pic:cNvPr id="26" name="image20.png"/>
                    <pic:cNvPicPr/>
                  </pic:nvPicPr>
                  <pic:blipFill>
                    <a:blip r:embed="rId180" cstate="print"/>
                    <a:stretch>
                      <a:fillRect/>
                    </a:stretch>
                  </pic:blipFill>
                  <pic:spPr>
                    <a:xfrm>
                      <a:off x="0" y="0"/>
                      <a:ext cx="6095" cy="297179"/>
                    </a:xfrm>
                    <a:prstGeom prst="rect">
                      <a:avLst/>
                    </a:prstGeom>
                  </pic:spPr>
                </pic:pic>
              </a:graphicData>
            </a:graphic>
          </wp:anchor>
        </w:drawing>
      </w:r>
      <w:r>
        <w:rPr/>
        <w:pict>
          <v:group style="position:absolute;margin-left:307.369995pt;margin-top:-77.25pt;width:.5pt;height:47.45pt;mso-position-horizontal-relative:page;mso-position-vertical-relative:paragraph;z-index:-259989504" coordorigin="6147,-1545" coordsize="10,949">
            <v:shape style="position:absolute;left:6147;top:-1545;width:10;height:468" type="#_x0000_t75" stroked="false">
              <v:imagedata r:id="rId180" o:title=""/>
            </v:shape>
            <v:shape style="position:absolute;left:6147;top:-1068;width:10;height:385" coordorigin="6147,-1067" coordsize="10,385" path="m6157,-923l6147,-923,6147,-875,6147,-827,6147,-779,6147,-731,6147,-683,6157,-683,6157,-731,6157,-779,6157,-827,6157,-875,6157,-923m6157,-1019l6147,-1019,6147,-971,6147,-923,6157,-923,6157,-971,6157,-1019m6157,-1067l6147,-1067,6147,-1019,6157,-1019,6157,-1067e" filled="true" fillcolor="#000000" stroked="false">
              <v:path arrowok="t"/>
              <v:fill type="solid"/>
            </v:shape>
            <v:shape style="position:absolute;left:6152;top:-1068;width:2;height:471" coordorigin="6152,-1067" coordsize="0,471" path="m6152,-596l6152,-1067,6152,-596xe" filled="true" fillcolor="#000000" stroked="false">
              <v:path arrowok="t"/>
              <v:fill type="solid"/>
            </v:shape>
            <w10:wrap type="none"/>
          </v:group>
        </w:pict>
      </w:r>
      <w:r>
        <w:rPr/>
        <w:t>赎回金额的计算方法如下：</w:t>
      </w:r>
    </w:p>
    <w:p>
      <w:pPr>
        <w:pStyle w:val="BodyText"/>
        <w:spacing w:before="7"/>
        <w:rPr>
          <w:sz w:val="15"/>
        </w:rPr>
      </w:pPr>
    </w:p>
    <w:p>
      <w:pPr>
        <w:pStyle w:val="BodyText"/>
        <w:spacing w:line="417" w:lineRule="auto"/>
        <w:ind w:left="1380" w:right="4111"/>
      </w:pPr>
      <w:r>
        <w:rPr/>
        <w:t>赎回金额＝赎回份额</w:t>
      </w:r>
      <w:r>
        <w:rPr>
          <w:rFonts w:ascii="Times New Roman" w:hAnsi="Times New Roman" w:eastAsia="Times New Roman"/>
        </w:rPr>
        <w:t>×T </w:t>
      </w:r>
      <w:r>
        <w:rPr/>
        <w:t>日基金份额净值赎回费用＝赎回金额</w:t>
      </w:r>
      <w:r>
        <w:rPr>
          <w:rFonts w:ascii="Times New Roman" w:hAnsi="Times New Roman" w:eastAsia="Times New Roman"/>
        </w:rPr>
        <w:t>×</w:t>
      </w:r>
      <w:r>
        <w:rPr/>
        <w:t>赎回费率</w:t>
      </w:r>
    </w:p>
    <w:p>
      <w:pPr>
        <w:pStyle w:val="BodyText"/>
        <w:spacing w:line="269" w:lineRule="exact"/>
        <w:ind w:left="1380"/>
      </w:pPr>
      <w:r>
        <w:rPr/>
        <w:t>净赎回金额＝赎回金额</w:t>
      </w:r>
      <w:r>
        <w:rPr>
          <w:rFonts w:ascii="Times New Roman" w:eastAsia="Times New Roman"/>
        </w:rPr>
        <w:t>-</w:t>
      </w:r>
      <w:r>
        <w:rPr/>
        <w:t>赎回费用</w:t>
      </w:r>
    </w:p>
    <w:p>
      <w:pPr>
        <w:pStyle w:val="BodyText"/>
        <w:spacing w:before="6"/>
        <w:rPr>
          <w:sz w:val="15"/>
        </w:rPr>
      </w:pPr>
    </w:p>
    <w:p>
      <w:pPr>
        <w:pStyle w:val="BodyText"/>
        <w:spacing w:line="417" w:lineRule="auto" w:before="1"/>
        <w:ind w:left="540" w:right="311" w:firstLine="419"/>
      </w:pPr>
      <w:r>
        <w:rPr>
          <w:spacing w:val="-6"/>
        </w:rPr>
        <w:t>例二：假定某投资者在</w:t>
      </w:r>
      <w:r>
        <w:rPr>
          <w:rFonts w:ascii="Times New Roman" w:eastAsia="Times New Roman"/>
        </w:rPr>
        <w:t>T</w:t>
      </w:r>
      <w:r>
        <w:rPr>
          <w:spacing w:val="-2"/>
        </w:rPr>
        <w:t>日赎回</w:t>
      </w:r>
      <w:r>
        <w:rPr>
          <w:rFonts w:ascii="Times New Roman" w:eastAsia="Times New Roman"/>
        </w:rPr>
        <w:t>10,000.00</w:t>
      </w:r>
      <w:r>
        <w:rPr>
          <w:spacing w:val="-8"/>
        </w:rPr>
        <w:t>份，持有期限半年，该日基金份额净值为</w:t>
      </w:r>
      <w:r>
        <w:rPr>
          <w:rFonts w:ascii="Times New Roman" w:eastAsia="Times New Roman"/>
        </w:rPr>
        <w:t>1.250 </w:t>
      </w:r>
      <w:r>
        <w:rPr>
          <w:spacing w:val="-3"/>
        </w:rPr>
        <w:t>元，则其获得的净赎回金额计算如下：</w:t>
      </w:r>
    </w:p>
    <w:p>
      <w:pPr>
        <w:pStyle w:val="BodyText"/>
        <w:spacing w:line="417" w:lineRule="auto"/>
        <w:ind w:left="1380" w:right="4160"/>
      </w:pPr>
      <w:r>
        <w:rPr/>
        <w:t>赎回金额</w:t>
      </w:r>
      <w:r>
        <w:rPr>
          <w:rFonts w:ascii="Times New Roman" w:hAnsi="Times New Roman" w:eastAsia="Times New Roman"/>
        </w:rPr>
        <w:t>=10,000.00×1.250=12,500.00 </w:t>
      </w:r>
      <w:r>
        <w:rPr/>
        <w:t>元赎回费用</w:t>
      </w:r>
      <w:r>
        <w:rPr>
          <w:rFonts w:ascii="Times New Roman" w:hAnsi="Times New Roman" w:eastAsia="Times New Roman"/>
        </w:rPr>
        <w:t>=12,500.00×0.5%=62.50 </w:t>
      </w:r>
      <w:r>
        <w:rPr/>
        <w:t>元</w:t>
      </w:r>
    </w:p>
    <w:p>
      <w:pPr>
        <w:pStyle w:val="BodyText"/>
        <w:spacing w:line="269" w:lineRule="exact"/>
        <w:ind w:left="1380"/>
      </w:pPr>
      <w:r>
        <w:rPr/>
        <w:t>净赎回金额</w:t>
      </w:r>
      <w:r>
        <w:rPr>
          <w:rFonts w:ascii="Times New Roman" w:eastAsia="Times New Roman"/>
        </w:rPr>
        <w:t>=12,500.00-62.50=12,437.50 </w:t>
      </w:r>
      <w:r>
        <w:rPr/>
        <w:t>元</w:t>
      </w:r>
    </w:p>
    <w:p>
      <w:pPr>
        <w:pStyle w:val="BodyText"/>
        <w:spacing w:before="6"/>
        <w:rPr>
          <w:sz w:val="15"/>
        </w:rPr>
      </w:pPr>
    </w:p>
    <w:p>
      <w:pPr>
        <w:pStyle w:val="BodyText"/>
        <w:spacing w:line="417" w:lineRule="auto"/>
        <w:ind w:left="540" w:right="313" w:firstLine="419"/>
        <w:jc w:val="both"/>
      </w:pPr>
      <w:r>
        <w:rPr>
          <w:rFonts w:ascii="Times New Roman" w:eastAsia="Times New Roman"/>
        </w:rPr>
        <w:t>3</w:t>
      </w:r>
      <w:r>
        <w:rPr>
          <w:spacing w:val="-17"/>
        </w:rPr>
        <w:t>、</w:t>
      </w:r>
      <w:r>
        <w:rPr>
          <w:rFonts w:ascii="Times New Roman" w:eastAsia="Times New Roman"/>
        </w:rPr>
        <w:t>T</w:t>
      </w:r>
      <w:r>
        <w:rPr>
          <w:spacing w:val="-4"/>
        </w:rPr>
        <w:t>日的基金份额净值在当日收市后计算，并在</w:t>
      </w:r>
      <w:r>
        <w:rPr>
          <w:rFonts w:ascii="Times New Roman" w:eastAsia="Times New Roman"/>
        </w:rPr>
        <w:t>T+1</w:t>
      </w:r>
      <w:r>
        <w:rPr>
          <w:spacing w:val="-5"/>
        </w:rPr>
        <w:t>日公告，计算公式为计算日基金资产净值除以计算日基金份额余额。基金份额净值的计算保留到小数点后</w:t>
      </w:r>
      <w:r>
        <w:rPr>
          <w:rFonts w:ascii="Times New Roman" w:eastAsia="Times New Roman"/>
        </w:rPr>
        <w:t>3</w:t>
      </w:r>
      <w:r>
        <w:rPr/>
        <w:t>位，小数点后第</w:t>
      </w:r>
      <w:r>
        <w:rPr>
          <w:rFonts w:ascii="Times New Roman" w:eastAsia="Times New Roman"/>
          <w:spacing w:val="-11"/>
        </w:rPr>
        <w:t>4 </w:t>
      </w:r>
      <w:r>
        <w:rPr>
          <w:spacing w:val="-3"/>
        </w:rPr>
        <w:t>位四舍五入。如遇特殊情况，经中国证监会同意，可以适当延迟计算或公告。</w:t>
      </w:r>
    </w:p>
    <w:p>
      <w:pPr>
        <w:pStyle w:val="BodyText"/>
        <w:ind w:left="960"/>
      </w:pPr>
      <w:r>
        <w:rPr/>
        <w:t>（八）拒绝或暂停申购的情形</w:t>
      </w:r>
    </w:p>
    <w:p>
      <w:pPr>
        <w:pStyle w:val="BodyText"/>
        <w:spacing w:before="7"/>
        <w:rPr>
          <w:sz w:val="15"/>
        </w:rPr>
      </w:pPr>
    </w:p>
    <w:p>
      <w:pPr>
        <w:pStyle w:val="BodyText"/>
        <w:ind w:left="960"/>
      </w:pPr>
      <w:r>
        <w:rPr/>
        <w:t>发生下列情况时，基金管理人可拒绝或暂停接受投资人的申购申请：</w:t>
      </w:r>
    </w:p>
    <w:p>
      <w:pPr>
        <w:pStyle w:val="BodyText"/>
        <w:spacing w:before="7"/>
        <w:rPr>
          <w:sz w:val="15"/>
        </w:rPr>
      </w:pPr>
    </w:p>
    <w:p>
      <w:pPr>
        <w:pStyle w:val="BodyText"/>
        <w:ind w:left="960"/>
      </w:pPr>
      <w:r>
        <w:rPr>
          <w:rFonts w:ascii="Times New Roman" w:eastAsia="Times New Roman"/>
        </w:rPr>
        <w:t>1</w:t>
      </w:r>
      <w:r>
        <w:rPr/>
        <w:t>、因不可抗力导致基金无法正常运作。</w:t>
      </w:r>
    </w:p>
    <w:p>
      <w:pPr>
        <w:pStyle w:val="BodyText"/>
        <w:spacing w:before="6"/>
        <w:rPr>
          <w:sz w:val="15"/>
        </w:rPr>
      </w:pPr>
    </w:p>
    <w:p>
      <w:pPr>
        <w:pStyle w:val="BodyText"/>
        <w:spacing w:line="417" w:lineRule="auto" w:before="1"/>
        <w:ind w:left="540" w:right="31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269" w:lineRule="exact"/>
        <w:ind w:left="960"/>
      </w:pPr>
      <w:r>
        <w:rPr>
          <w:rFonts w:ascii="Times New Roman" w:eastAsia="Times New Roman"/>
        </w:rPr>
        <w:t>3</w:t>
      </w:r>
      <w:r>
        <w:rPr/>
        <w:t>、证券、期货交易所交易时间非正常停市，导致基金管理人无法计算当日基金资产净</w:t>
      </w:r>
    </w:p>
    <w:p>
      <w:pPr>
        <w:spacing w:after="0" w:line="269" w:lineRule="exact"/>
        <w:sectPr>
          <w:pgSz w:w="11910" w:h="16840"/>
          <w:pgMar w:header="877" w:footer="995" w:top="1420" w:bottom="1180" w:left="1260" w:right="1480"/>
        </w:sectPr>
      </w:pPr>
    </w:p>
    <w:p>
      <w:pPr>
        <w:pStyle w:val="BodyText"/>
        <w:spacing w:before="110"/>
        <w:ind w:left="540"/>
      </w:pPr>
      <w:r>
        <w:rPr/>
        <w:t>值。</w:t>
      </w:r>
    </w:p>
    <w:p>
      <w:pPr>
        <w:pStyle w:val="BodyText"/>
        <w:spacing w:before="6"/>
        <w:rPr>
          <w:sz w:val="15"/>
        </w:rPr>
      </w:pPr>
    </w:p>
    <w:p>
      <w:pPr>
        <w:pStyle w:val="BodyText"/>
        <w:ind w:left="960"/>
      </w:pPr>
      <w:r>
        <w:rPr>
          <w:rFonts w:ascii="Times New Roman" w:eastAsia="Times New Roman"/>
        </w:rPr>
        <w:t>4</w:t>
      </w:r>
      <w:r>
        <w:rPr/>
        <w:t>、接受某笔或某些申购申请可能会影响或损害现有基金份额持有人利益时。</w:t>
      </w:r>
    </w:p>
    <w:p>
      <w:pPr>
        <w:pStyle w:val="BodyText"/>
        <w:spacing w:before="7"/>
        <w:rPr>
          <w:sz w:val="15"/>
        </w:rPr>
      </w:pPr>
    </w:p>
    <w:p>
      <w:pPr>
        <w:pStyle w:val="BodyText"/>
        <w:spacing w:line="417" w:lineRule="auto"/>
        <w:ind w:left="540" w:right="31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spacing w:line="269" w:lineRule="exact"/>
        <w:ind w:left="960"/>
      </w:pPr>
      <w:r>
        <w:rPr>
          <w:rFonts w:ascii="Times New Roman" w:eastAsia="Times New Roman"/>
        </w:rPr>
        <w:t>6</w:t>
      </w:r>
      <w:r>
        <w:rPr/>
        <w:t>、基金管理人、基金托管人、登记机构、销售机构等因异常情况无法办理申购业务。</w:t>
      </w:r>
    </w:p>
    <w:p>
      <w:pPr>
        <w:pStyle w:val="BodyText"/>
        <w:spacing w:before="7"/>
        <w:rPr>
          <w:sz w:val="15"/>
        </w:rPr>
      </w:pPr>
    </w:p>
    <w:p>
      <w:pPr>
        <w:pStyle w:val="BodyText"/>
        <w:spacing w:line="417" w:lineRule="auto"/>
        <w:ind w:left="540" w:right="31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ind w:left="960"/>
      </w:pPr>
      <w:r>
        <w:rPr>
          <w:rFonts w:ascii="Times New Roman" w:eastAsia="Times New Roman"/>
        </w:rPr>
        <w:t>8</w:t>
      </w:r>
      <w:r>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7"/>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5</w:t>
      </w:r>
      <w:r>
        <w:rPr>
          <w:spacing w:val="-3"/>
        </w:rPr>
        <w:t>、</w:t>
      </w:r>
      <w:r>
        <w:rPr>
          <w:rFonts w:ascii="Times New Roman" w:eastAsia="Times New Roman"/>
        </w:rPr>
        <w:t>6</w:t>
      </w:r>
      <w:r>
        <w:rPr/>
        <w:t>、</w:t>
      </w:r>
      <w:r>
        <w:rPr>
          <w:rFonts w:ascii="Times New Roman" w:eastAsia="Times New Roman"/>
        </w:rPr>
        <w:t>8 </w:t>
      </w:r>
      <w:r>
        <w:rPr>
          <w:spacing w:val="-3"/>
        </w:rPr>
        <w:t>项暂停申购情形且基金管理人决定暂停申购时，基金管</w:t>
      </w:r>
      <w:r>
        <w:rPr>
          <w:spacing w:val="-7"/>
        </w:rPr>
        <w:t>理人应当根据有关规定在指定媒介上刊登暂停申购公告。如果投资人的申购申请被拒绝，被</w:t>
      </w:r>
      <w:r>
        <w:rPr>
          <w:spacing w:val="-10"/>
        </w:rPr>
        <w:t>拒绝的申购款项将退还给投资人。在暂停申购的情况消除时，基金管理人应及时恢复申购业</w:t>
      </w:r>
      <w:r>
        <w:rPr>
          <w:spacing w:val="-5"/>
        </w:rPr>
        <w:t>务的办理。</w:t>
      </w:r>
    </w:p>
    <w:p>
      <w:pPr>
        <w:pStyle w:val="BodyText"/>
        <w:spacing w:line="268" w:lineRule="exact"/>
        <w:ind w:left="960"/>
      </w:pPr>
      <w:r>
        <w:rPr/>
        <w:t>（九）暂停赎回或延缓支付赎回款项的情形</w:t>
      </w:r>
    </w:p>
    <w:p>
      <w:pPr>
        <w:pStyle w:val="BodyText"/>
        <w:spacing w:before="7"/>
        <w:rPr>
          <w:sz w:val="15"/>
        </w:rPr>
      </w:pPr>
    </w:p>
    <w:p>
      <w:pPr>
        <w:pStyle w:val="BodyText"/>
        <w:ind w:left="960"/>
      </w:pPr>
      <w:r>
        <w:rPr/>
        <w:t>发生下列情形时，基金管理人可暂停接受投资人的赎回申请或延缓支付赎回款项：</w:t>
      </w:r>
    </w:p>
    <w:p>
      <w:pPr>
        <w:pStyle w:val="BodyText"/>
        <w:spacing w:before="7"/>
        <w:rPr>
          <w:sz w:val="15"/>
        </w:rPr>
      </w:pPr>
    </w:p>
    <w:p>
      <w:pPr>
        <w:pStyle w:val="BodyText"/>
        <w:ind w:left="96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before="1"/>
        <w:ind w:left="540" w:right="31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spacing w:line="417" w:lineRule="auto"/>
        <w:ind w:left="540" w:right="314" w:firstLine="419"/>
      </w:pPr>
      <w:r>
        <w:rPr>
          <w:rFonts w:ascii="Times New Roman" w:eastAsia="Times New Roman"/>
        </w:rPr>
        <w:t>3</w:t>
      </w:r>
      <w:r>
        <w:rPr/>
        <w:t>、证券、期货交易所交易时间非正常停市，导致基金管理人无法计算当日基金资产净值。</w:t>
      </w:r>
    </w:p>
    <w:p>
      <w:pPr>
        <w:pStyle w:val="BodyText"/>
        <w:ind w:left="960"/>
      </w:pPr>
      <w:r>
        <w:rPr>
          <w:rFonts w:ascii="Times New Roman" w:eastAsia="Times New Roman"/>
        </w:rPr>
        <w:t>4</w:t>
      </w:r>
      <w:r>
        <w:rPr/>
        <w:t>、连续两个或两个以上开放日发生巨额赎回。</w:t>
      </w:r>
    </w:p>
    <w:p>
      <w:pPr>
        <w:pStyle w:val="BodyText"/>
        <w:spacing w:before="6"/>
        <w:rPr>
          <w:sz w:val="15"/>
        </w:rPr>
      </w:pPr>
    </w:p>
    <w:p>
      <w:pPr>
        <w:pStyle w:val="BodyText"/>
        <w:ind w:left="960"/>
      </w:pPr>
      <w:r>
        <w:rPr>
          <w:rFonts w:ascii="Times New Roman" w:eastAsia="Times New Roman"/>
        </w:rPr>
        <w:t>5</w:t>
      </w:r>
      <w:r>
        <w:rPr/>
        <w:t>、继续接受赎回申请可能会影响或损害现有基金份额持有人利益时。</w:t>
      </w:r>
    </w:p>
    <w:p>
      <w:pPr>
        <w:pStyle w:val="BodyText"/>
        <w:spacing w:before="7"/>
        <w:rPr>
          <w:sz w:val="15"/>
        </w:rPr>
      </w:pPr>
    </w:p>
    <w:p>
      <w:pPr>
        <w:pStyle w:val="BodyText"/>
        <w:ind w:left="960"/>
      </w:pPr>
      <w:r>
        <w:rPr>
          <w:rFonts w:ascii="Times New Roman" w:eastAsia="Times New Roman"/>
        </w:rPr>
        <w:t>6</w:t>
      </w:r>
      <w:r>
        <w:rPr/>
        <w:t>、法律法规规定或中国证监会认定的其他情形。</w:t>
      </w:r>
    </w:p>
    <w:p>
      <w:pPr>
        <w:pStyle w:val="BodyText"/>
        <w:spacing w:before="6"/>
        <w:rPr>
          <w:sz w:val="15"/>
        </w:rPr>
      </w:pPr>
    </w:p>
    <w:p>
      <w:pPr>
        <w:pStyle w:val="BodyText"/>
        <w:spacing w:line="417" w:lineRule="auto"/>
        <w:ind w:left="540" w:right="311" w:firstLine="419"/>
        <w:jc w:val="both"/>
      </w:pPr>
      <w:r>
        <w:rPr>
          <w:spacing w:val="-7"/>
        </w:rPr>
        <w:t>发生上述情形且基金管理人决定暂停赎回或延缓支付赎回款项时，基金管理人应在当日</w:t>
      </w:r>
      <w:r>
        <w:rPr>
          <w:spacing w:val="-12"/>
        </w:rPr>
        <w:t>报中国证监会备案，已确认的赎回申请，基金管理人应足额支付；如暂时不能足额支付，应</w:t>
      </w:r>
      <w:r>
        <w:rPr>
          <w:spacing w:val="-9"/>
        </w:rPr>
        <w:t>将可支付部分按单个账户申请量占申请总量的比例分配给赎回申请人，未支付部分可延期支</w:t>
      </w:r>
      <w:r>
        <w:rPr>
          <w:spacing w:val="-10"/>
        </w:rPr>
        <w:t>付，并以后续开放日的基金份额净值为依据计算赎回金额。若出现上述第 </w:t>
      </w:r>
      <w:r>
        <w:rPr>
          <w:rFonts w:ascii="Times New Roman" w:eastAsia="Times New Roman"/>
        </w:rPr>
        <w:t>4 </w:t>
      </w:r>
      <w:r>
        <w:rPr>
          <w:spacing w:val="-7"/>
        </w:rPr>
        <w:t>项所述情形，按</w:t>
      </w:r>
      <w:r>
        <w:rPr>
          <w:spacing w:val="-12"/>
        </w:rPr>
        <w:t>基金合同的相关条款处理。基金份额持有人在申请赎回时可事先选择将当日可能未获受理部</w:t>
      </w:r>
      <w:r>
        <w:rPr>
          <w:spacing w:val="-6"/>
        </w:rPr>
        <w:t>分予以撤销。在暂停赎回的情况消除时，基金管理人应及时恢复赎回业务的办理并公告。</w:t>
      </w:r>
    </w:p>
    <w:p>
      <w:pPr>
        <w:spacing w:after="0" w:line="417" w:lineRule="auto"/>
        <w:jc w:val="both"/>
        <w:sectPr>
          <w:pgSz w:w="11910" w:h="16840"/>
          <w:pgMar w:header="877" w:footer="995" w:top="1420" w:bottom="1180" w:left="1260" w:right="1480"/>
        </w:sectPr>
      </w:pPr>
    </w:p>
    <w:p>
      <w:pPr>
        <w:pStyle w:val="BodyText"/>
        <w:spacing w:before="110"/>
        <w:ind w:left="960"/>
      </w:pPr>
      <w:r>
        <w:rPr/>
        <w:t>（十）巨额赎回的情形及处理方式</w:t>
      </w:r>
    </w:p>
    <w:p>
      <w:pPr>
        <w:pStyle w:val="BodyText"/>
        <w:spacing w:before="6"/>
        <w:rPr>
          <w:sz w:val="15"/>
        </w:rPr>
      </w:pPr>
    </w:p>
    <w:p>
      <w:pPr>
        <w:pStyle w:val="BodyText"/>
        <w:ind w:left="960"/>
      </w:pPr>
      <w:r>
        <w:rPr>
          <w:rFonts w:ascii="Times New Roman" w:eastAsia="Times New Roman"/>
        </w:rPr>
        <w:t>1</w:t>
      </w:r>
      <w:r>
        <w:rPr/>
        <w:t>、巨额赎回的认定</w:t>
      </w:r>
    </w:p>
    <w:p>
      <w:pPr>
        <w:pStyle w:val="BodyText"/>
        <w:spacing w:before="7"/>
        <w:rPr>
          <w:sz w:val="15"/>
        </w:rPr>
      </w:pPr>
    </w:p>
    <w:p>
      <w:pPr>
        <w:pStyle w:val="BodyText"/>
        <w:spacing w:line="417" w:lineRule="auto"/>
        <w:ind w:left="540" w:right="31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spacing w:line="269" w:lineRule="exact"/>
        <w:ind w:left="960"/>
      </w:pPr>
      <w:r>
        <w:rPr>
          <w:rFonts w:ascii="Times New Roman" w:eastAsia="Times New Roman"/>
        </w:rPr>
        <w:t>2</w:t>
      </w:r>
      <w:r>
        <w:rPr/>
        <w:t>、巨额赎回的处理方式</w:t>
      </w:r>
    </w:p>
    <w:p>
      <w:pPr>
        <w:pStyle w:val="BodyText"/>
        <w:spacing w:before="7"/>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1"/>
        </w:numPr>
        <w:tabs>
          <w:tab w:pos="1490" w:val="left" w:leader="none"/>
        </w:tabs>
        <w:spacing w:line="417" w:lineRule="auto" w:before="0" w:after="0"/>
        <w:ind w:left="540" w:right="313"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1"/>
        </w:numPr>
        <w:tabs>
          <w:tab w:pos="1490" w:val="left" w:leader="none"/>
        </w:tabs>
        <w:spacing w:line="417" w:lineRule="auto" w:before="0" w:after="0"/>
        <w:ind w:left="540" w:right="20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1"/>
        </w:numPr>
        <w:tabs>
          <w:tab w:pos="1490" w:val="left" w:leader="none"/>
        </w:tabs>
        <w:spacing w:line="417" w:lineRule="auto" w:before="0" w:after="0"/>
        <w:ind w:left="540" w:right="31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1"/>
        </w:numPr>
        <w:tabs>
          <w:tab w:pos="1487" w:val="left" w:leader="none"/>
        </w:tabs>
        <w:spacing w:line="417" w:lineRule="auto" w:before="0" w:after="0"/>
        <w:ind w:left="540" w:right="31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31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jc w:val="both"/>
      </w:pPr>
      <w:r>
        <w:rPr>
          <w:spacing w:val="-9"/>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540" w:right="314" w:firstLine="475"/>
        <w:jc w:val="both"/>
      </w:pPr>
      <w:r>
        <w:rPr/>
        <w:t>②如果基金管理人认为仅支付其他投资人的赎回申请也有困难时，则所有投资人的赎回申请（包括单个投资人超过基金总份额 </w:t>
      </w:r>
      <w:r>
        <w:rPr>
          <w:rFonts w:ascii="Times New Roman" w:hAnsi="Times New Roman" w:eastAsia="Times New Roman"/>
        </w:rPr>
        <w:t>20%</w:t>
      </w:r>
      <w:r>
        <w:rPr/>
        <w:t>以上的大额赎回申请和其他投资人的赎回申</w:t>
      </w:r>
      <w:r>
        <w:rPr>
          <w:w w:val="100"/>
        </w:rPr>
        <w:t>请）都按照上述“（</w:t>
      </w:r>
      <w:r>
        <w:rPr>
          <w:rFonts w:ascii="Times New Roman" w:hAnsi="Times New Roman" w:eastAsia="Times New Roman"/>
          <w:w w:val="100"/>
        </w:rPr>
        <w:t>2</w:t>
      </w:r>
      <w:r>
        <w:rPr>
          <w:w w:val="100"/>
        </w:rPr>
        <w:t>）部分延期赎回”的约定一并办理。</w:t>
      </w:r>
    </w:p>
    <w:p>
      <w:pPr>
        <w:pStyle w:val="BodyText"/>
        <w:spacing w:line="269" w:lineRule="exact"/>
        <w:ind w:left="960"/>
      </w:pPr>
      <w:r>
        <w:rPr>
          <w:rFonts w:ascii="Times New Roman" w:eastAsia="Times New Roman"/>
        </w:rPr>
        <w:t>3</w:t>
      </w:r>
      <w:r>
        <w:rPr/>
        <w:t>、巨额赎回的公告</w:t>
      </w:r>
    </w:p>
    <w:p>
      <w:pPr>
        <w:pStyle w:val="BodyText"/>
        <w:spacing w:before="6"/>
        <w:rPr>
          <w:sz w:val="15"/>
        </w:rPr>
      </w:pPr>
    </w:p>
    <w:p>
      <w:pPr>
        <w:pStyle w:val="BodyText"/>
        <w:spacing w:line="417" w:lineRule="auto" w:before="1"/>
        <w:ind w:left="540" w:right="31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spacing w:line="269" w:lineRule="exact"/>
        <w:ind w:left="960"/>
      </w:pPr>
      <w:r>
        <w:rPr/>
        <w:t>（十一）暂停申购或赎回的公告和重新开放申购或赎回的公告</w:t>
      </w:r>
    </w:p>
    <w:p>
      <w:pPr>
        <w:pStyle w:val="BodyText"/>
        <w:spacing w:before="6"/>
        <w:rPr>
          <w:sz w:val="15"/>
        </w:rPr>
      </w:pPr>
    </w:p>
    <w:p>
      <w:pPr>
        <w:pStyle w:val="BodyText"/>
        <w:spacing w:line="417" w:lineRule="auto"/>
        <w:ind w:left="540" w:right="31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540" w:right="25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540" w:right="31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960"/>
      </w:pPr>
      <w:r>
        <w:rPr/>
        <w:t>（十二）基金转换</w:t>
      </w:r>
    </w:p>
    <w:p>
      <w:pPr>
        <w:pStyle w:val="BodyText"/>
        <w:spacing w:before="7"/>
        <w:rPr>
          <w:sz w:val="15"/>
        </w:rPr>
      </w:pPr>
    </w:p>
    <w:p>
      <w:pPr>
        <w:pStyle w:val="BodyText"/>
        <w:ind w:left="960"/>
      </w:pPr>
      <w:r>
        <w:rPr>
          <w:rFonts w:ascii="Times New Roman" w:eastAsia="Times New Roman"/>
        </w:rPr>
        <w:t>1</w:t>
      </w:r>
      <w:r>
        <w:rPr/>
        <w:t>、基金转换的原则</w:t>
      </w:r>
    </w:p>
    <w:p>
      <w:pPr>
        <w:pStyle w:val="BodyText"/>
        <w:spacing w:before="6"/>
        <w:rPr>
          <w:sz w:val="15"/>
        </w:rPr>
      </w:pPr>
    </w:p>
    <w:p>
      <w:pPr>
        <w:pStyle w:val="ListParagraph"/>
        <w:numPr>
          <w:ilvl w:val="0"/>
          <w:numId w:val="12"/>
        </w:numPr>
        <w:tabs>
          <w:tab w:pos="1490" w:val="left" w:leader="none"/>
        </w:tabs>
        <w:spacing w:line="240" w:lineRule="auto" w:before="1" w:after="0"/>
        <w:ind w:left="148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2"/>
        </w:numPr>
        <w:tabs>
          <w:tab w:pos="1490" w:val="left" w:leader="none"/>
        </w:tabs>
        <w:spacing w:line="240" w:lineRule="auto" w:before="0" w:after="0"/>
        <w:ind w:left="1489" w:right="0" w:hanging="530"/>
        <w:jc w:val="left"/>
        <w:rPr>
          <w:sz w:val="21"/>
        </w:rPr>
      </w:pPr>
      <w:r>
        <w:rPr>
          <w:spacing w:val="-3"/>
          <w:sz w:val="21"/>
        </w:rPr>
        <w:t>基金转换以份额为单位进行申请。</w:t>
      </w:r>
    </w:p>
    <w:p>
      <w:pPr>
        <w:pStyle w:val="BodyText"/>
        <w:spacing w:before="6"/>
        <w:rPr>
          <w:sz w:val="15"/>
        </w:rPr>
      </w:pPr>
    </w:p>
    <w:p>
      <w:pPr>
        <w:pStyle w:val="ListParagraph"/>
        <w:numPr>
          <w:ilvl w:val="0"/>
          <w:numId w:val="12"/>
        </w:numPr>
        <w:tabs>
          <w:tab w:pos="1490" w:val="left" w:leader="none"/>
        </w:tabs>
        <w:spacing w:line="417" w:lineRule="auto" w:before="1" w:after="0"/>
        <w:ind w:left="540" w:right="314" w:firstLine="419"/>
        <w:jc w:val="left"/>
        <w:rPr>
          <w:sz w:val="21"/>
        </w:rPr>
      </w:pPr>
      <w:r>
        <w:rPr>
          <w:sz w:val="21"/>
        </w:rPr>
        <w:t>基金转换采取</w:t>
      </w:r>
      <w:r>
        <w:rPr>
          <w:rFonts w:ascii="Times New Roman" w:hAnsi="Times New Roman" w:eastAsia="Times New Roman"/>
          <w:sz w:val="21"/>
        </w:rPr>
        <w:t>“</w:t>
      </w:r>
      <w:r>
        <w:rPr>
          <w:spacing w:val="-2"/>
          <w:sz w:val="21"/>
        </w:rPr>
        <w:t>未知价</w:t>
      </w:r>
      <w:r>
        <w:rPr>
          <w:rFonts w:ascii="Times New Roman" w:hAnsi="Times New Roman" w:eastAsia="Times New Roman"/>
          <w:sz w:val="21"/>
        </w:rPr>
        <w:t>”</w:t>
      </w:r>
      <w:r>
        <w:rPr>
          <w:spacing w:val="-3"/>
          <w:sz w:val="21"/>
        </w:rPr>
        <w:t>法，即基金的转换价格以转换申请受理当日转出、转入基金的份额净值为基准进行计算。</w:t>
      </w:r>
    </w:p>
    <w:p>
      <w:pPr>
        <w:pStyle w:val="ListParagraph"/>
        <w:numPr>
          <w:ilvl w:val="0"/>
          <w:numId w:val="12"/>
        </w:numPr>
        <w:tabs>
          <w:tab w:pos="1490" w:val="left" w:leader="none"/>
        </w:tabs>
        <w:spacing w:line="269" w:lineRule="exact" w:before="0" w:after="0"/>
        <w:ind w:left="1489" w:right="0" w:hanging="530"/>
        <w:jc w:val="left"/>
        <w:rPr>
          <w:sz w:val="21"/>
        </w:rPr>
      </w:pPr>
      <w:r>
        <w:rPr>
          <w:spacing w:val="-3"/>
          <w:sz w:val="21"/>
        </w:rPr>
        <w:t>投资者Ｔ日申请基金转换后，</w:t>
      </w:r>
      <w:r>
        <w:rPr>
          <w:rFonts w:ascii="Times New Roman" w:eastAsia="Times New Roman"/>
          <w:sz w:val="21"/>
        </w:rPr>
        <w:t>T+1 </w:t>
      </w:r>
      <w:r>
        <w:rPr>
          <w:spacing w:val="-3"/>
          <w:sz w:val="21"/>
        </w:rPr>
        <w:t>日可获得确认。</w:t>
      </w:r>
    </w:p>
    <w:p>
      <w:pPr>
        <w:pStyle w:val="BodyText"/>
        <w:spacing w:before="6"/>
        <w:rPr>
          <w:sz w:val="15"/>
        </w:rPr>
      </w:pPr>
    </w:p>
    <w:p>
      <w:pPr>
        <w:pStyle w:val="ListParagraph"/>
        <w:numPr>
          <w:ilvl w:val="0"/>
          <w:numId w:val="12"/>
        </w:numPr>
        <w:tabs>
          <w:tab w:pos="1487" w:val="left" w:leader="none"/>
        </w:tabs>
        <w:spacing w:line="417" w:lineRule="auto" w:before="0" w:after="0"/>
        <w:ind w:left="540" w:right="31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2"/>
        </w:numPr>
        <w:tabs>
          <w:tab w:pos="1490" w:val="left" w:leader="none"/>
        </w:tabs>
        <w:spacing w:line="417" w:lineRule="auto" w:before="0" w:after="0"/>
        <w:ind w:left="540" w:right="31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p>
    <w:p>
      <w:pPr>
        <w:spacing w:after="0" w:line="417" w:lineRule="auto"/>
        <w:jc w:val="both"/>
        <w:rPr>
          <w:sz w:val="21"/>
        </w:rPr>
        <w:sectPr>
          <w:pgSz w:w="11910" w:h="16840"/>
          <w:pgMar w:header="877" w:footer="995" w:top="1420" w:bottom="1180" w:left="1260" w:right="1480"/>
        </w:sectPr>
      </w:pPr>
    </w:p>
    <w:p>
      <w:pPr>
        <w:pStyle w:val="BodyText"/>
        <w:spacing w:before="110"/>
        <w:ind w:left="540"/>
      </w:pPr>
      <w:r>
        <w:rPr/>
        <w:t>和代销机构的相关规定予以顺延或撤销基金转换。</w:t>
      </w:r>
    </w:p>
    <w:p>
      <w:pPr>
        <w:pStyle w:val="BodyText"/>
        <w:spacing w:before="6"/>
        <w:rPr>
          <w:sz w:val="15"/>
        </w:rPr>
      </w:pPr>
    </w:p>
    <w:p>
      <w:pPr>
        <w:pStyle w:val="ListParagraph"/>
        <w:numPr>
          <w:ilvl w:val="0"/>
          <w:numId w:val="12"/>
        </w:numPr>
        <w:tabs>
          <w:tab w:pos="1490" w:val="left" w:leader="none"/>
        </w:tabs>
        <w:spacing w:line="417" w:lineRule="auto" w:before="0" w:after="0"/>
        <w:ind w:left="540" w:right="31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540" w:right="31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269" w:lineRule="exact"/>
        <w:ind w:left="960"/>
        <w:rPr>
          <w:rFonts w:ascii="Times New Roman" w:eastAsia="Times New Roman"/>
        </w:rPr>
      </w:pPr>
      <w:r>
        <w:rPr/>
        <w:t>基金管理人有权根据市场情况调整转换的程序及有关限制，但应最迟在调整生效前 </w:t>
      </w:r>
      <w:r>
        <w:rPr>
          <w:rFonts w:ascii="Times New Roman" w:eastAsia="Times New Roman"/>
        </w:rPr>
        <w:t>2</w:t>
      </w:r>
    </w:p>
    <w:p>
      <w:pPr>
        <w:pStyle w:val="BodyText"/>
        <w:spacing w:before="3"/>
        <w:rPr>
          <w:rFonts w:ascii="Times New Roman"/>
          <w:sz w:val="17"/>
        </w:rPr>
      </w:pPr>
    </w:p>
    <w:p>
      <w:pPr>
        <w:pStyle w:val="BodyText"/>
        <w:spacing w:before="1"/>
        <w:ind w:left="540"/>
      </w:pPr>
      <w:r>
        <w:rPr/>
        <w:t>个工作日在至少一种中国证监会指定的信息披露媒介公告。</w:t>
      </w:r>
    </w:p>
    <w:p>
      <w:pPr>
        <w:pStyle w:val="BodyText"/>
        <w:spacing w:before="7"/>
        <w:rPr>
          <w:sz w:val="15"/>
        </w:rPr>
      </w:pPr>
    </w:p>
    <w:p>
      <w:pPr>
        <w:pStyle w:val="BodyText"/>
        <w:ind w:left="960"/>
      </w:pPr>
      <w:r>
        <w:rPr>
          <w:rFonts w:ascii="Times New Roman" w:eastAsia="Times New Roman"/>
        </w:rPr>
        <w:t>2</w:t>
      </w:r>
      <w:r>
        <w:rPr/>
        <w:t>、暂停基金转换的情形及处理</w:t>
      </w:r>
    </w:p>
    <w:p>
      <w:pPr>
        <w:pStyle w:val="BodyText"/>
        <w:spacing w:before="6"/>
        <w:rPr>
          <w:sz w:val="15"/>
        </w:rPr>
      </w:pPr>
    </w:p>
    <w:p>
      <w:pPr>
        <w:pStyle w:val="BodyText"/>
        <w:spacing w:before="1"/>
        <w:ind w:left="960"/>
      </w:pPr>
      <w:r>
        <w:rPr/>
        <w:t>出现下列情况之一时，基金管理人可以暂停基金转换业务：</w:t>
      </w:r>
    </w:p>
    <w:p>
      <w:pPr>
        <w:pStyle w:val="BodyText"/>
        <w:spacing w:before="6"/>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3"/>
        </w:numPr>
        <w:tabs>
          <w:tab w:pos="1490" w:val="left" w:leader="none"/>
        </w:tabs>
        <w:spacing w:line="417" w:lineRule="auto" w:before="0" w:after="0"/>
        <w:ind w:left="540" w:right="314" w:firstLine="419"/>
        <w:jc w:val="left"/>
        <w:rPr>
          <w:sz w:val="21"/>
        </w:rPr>
      </w:pPr>
      <w:r>
        <w:rPr>
          <w:spacing w:val="-3"/>
          <w:sz w:val="21"/>
        </w:rPr>
        <w:t>证券交易场所在交易时间非正常停市，导致基金管理人无法计算当日基金资产净值。</w:t>
      </w:r>
    </w:p>
    <w:p>
      <w:pPr>
        <w:pStyle w:val="ListParagraph"/>
        <w:numPr>
          <w:ilvl w:val="0"/>
          <w:numId w:val="13"/>
        </w:numPr>
        <w:tabs>
          <w:tab w:pos="1490" w:val="left" w:leader="none"/>
        </w:tabs>
        <w:spacing w:line="417" w:lineRule="auto" w:before="0" w:after="0"/>
        <w:ind w:left="540" w:right="31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3"/>
        </w:numPr>
        <w:tabs>
          <w:tab w:pos="1490" w:val="left" w:leader="none"/>
        </w:tabs>
        <w:spacing w:line="240" w:lineRule="auto" w:before="1" w:after="0"/>
        <w:ind w:left="1489" w:right="0" w:hanging="530"/>
        <w:jc w:val="left"/>
        <w:rPr>
          <w:sz w:val="21"/>
        </w:rPr>
      </w:pPr>
      <w:r>
        <w:rPr>
          <w:spacing w:val="-3"/>
          <w:sz w:val="21"/>
        </w:rPr>
        <w:t>基金管理人有正当理由认为需要拒绝或暂停接受基金转换申请的。</w:t>
      </w:r>
    </w:p>
    <w:p>
      <w:pPr>
        <w:pStyle w:val="BodyText"/>
        <w:spacing w:before="6"/>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ind w:left="960"/>
      </w:pPr>
      <w:r>
        <w:rPr>
          <w:rFonts w:ascii="Times New Roman" w:eastAsia="Times New Roman"/>
        </w:rPr>
        <w:t>3</w:t>
      </w:r>
      <w:r>
        <w:rPr/>
        <w:t>、基金转换费用</w:t>
      </w:r>
    </w:p>
    <w:p>
      <w:pPr>
        <w:pStyle w:val="BodyText"/>
        <w:spacing w:before="7"/>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基金转换费：无。</w:t>
      </w:r>
    </w:p>
    <w:p>
      <w:pPr>
        <w:pStyle w:val="BodyText"/>
        <w:spacing w:before="6"/>
        <w:rPr>
          <w:sz w:val="15"/>
        </w:rPr>
      </w:pPr>
    </w:p>
    <w:p>
      <w:pPr>
        <w:pStyle w:val="ListParagraph"/>
        <w:numPr>
          <w:ilvl w:val="0"/>
          <w:numId w:val="14"/>
        </w:numPr>
        <w:tabs>
          <w:tab w:pos="1490" w:val="left" w:leader="none"/>
        </w:tabs>
        <w:spacing w:line="417" w:lineRule="auto" w:before="0" w:after="0"/>
        <w:ind w:left="540" w:right="31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4"/>
        </w:numPr>
        <w:tabs>
          <w:tab w:pos="1490" w:val="left" w:leader="none"/>
        </w:tabs>
        <w:spacing w:line="269" w:lineRule="exact" w:before="0" w:after="0"/>
        <w:ind w:left="148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960"/>
      </w:pPr>
      <w:r>
        <w:rPr/>
        <w:t>①从前端（比例费率）收费基金转出，转入其他前端（比例费率）收费基金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中例一。</w:t>
      </w:r>
    </w:p>
    <w:p>
      <w:pPr>
        <w:pStyle w:val="BodyText"/>
        <w:spacing w:before="6"/>
        <w:rPr>
          <w:sz w:val="15"/>
        </w:rPr>
      </w:pPr>
    </w:p>
    <w:p>
      <w:pPr>
        <w:pStyle w:val="BodyText"/>
        <w:ind w:left="960"/>
      </w:pPr>
      <w:r>
        <w:rPr/>
        <w:t>②从前端（比例费率）收费基金转出，转入其他前端（固定费用）收费基金</w:t>
      </w:r>
    </w:p>
    <w:p>
      <w:pPr>
        <w:pStyle w:val="BodyText"/>
        <w:spacing w:before="7"/>
        <w:rPr>
          <w:sz w:val="15"/>
        </w:rPr>
      </w:pPr>
    </w:p>
    <w:p>
      <w:pPr>
        <w:pStyle w:val="BodyText"/>
        <w:spacing w:line="417" w:lineRule="auto"/>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中例二。</w:t>
      </w:r>
    </w:p>
    <w:p>
      <w:pPr>
        <w:pStyle w:val="BodyText"/>
        <w:spacing w:before="7"/>
        <w:rPr>
          <w:sz w:val="15"/>
        </w:rPr>
      </w:pPr>
    </w:p>
    <w:p>
      <w:pPr>
        <w:pStyle w:val="BodyText"/>
        <w:ind w:left="960"/>
      </w:pPr>
      <w:r>
        <w:rPr/>
        <w:t>③从前端（比例费率）收费基金转出，转入其他后端收费基金</w:t>
      </w:r>
    </w:p>
    <w:p>
      <w:pPr>
        <w:pStyle w:val="BodyText"/>
        <w:spacing w:before="6"/>
        <w:rPr>
          <w:sz w:val="15"/>
        </w:rPr>
      </w:pPr>
    </w:p>
    <w:p>
      <w:pPr>
        <w:pStyle w:val="BodyText"/>
        <w:spacing w:line="417" w:lineRule="auto" w:before="1"/>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中例三。</w:t>
      </w:r>
    </w:p>
    <w:p>
      <w:pPr>
        <w:pStyle w:val="BodyText"/>
        <w:spacing w:before="6"/>
        <w:rPr>
          <w:sz w:val="15"/>
        </w:rPr>
      </w:pPr>
    </w:p>
    <w:p>
      <w:pPr>
        <w:pStyle w:val="BodyText"/>
        <w:ind w:left="960"/>
      </w:pPr>
      <w:r>
        <w:rPr/>
        <w:t>④从前端（比例费率）收费基金转出，转入其他不收取申购费用的基金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960"/>
      </w:pPr>
      <w:r>
        <w:rPr/>
        <w:t>费用收取方式：不收取申购费用。</w:t>
      </w:r>
    </w:p>
    <w:p>
      <w:pPr>
        <w:pStyle w:val="BodyText"/>
        <w:spacing w:before="6"/>
        <w:rPr>
          <w:sz w:val="15"/>
        </w:rPr>
      </w:pPr>
    </w:p>
    <w:p>
      <w:pPr>
        <w:pStyle w:val="BodyText"/>
        <w:spacing w:before="1"/>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中例四。</w:t>
      </w:r>
    </w:p>
    <w:p>
      <w:pPr>
        <w:pStyle w:val="BodyText"/>
        <w:spacing w:before="6"/>
        <w:rPr>
          <w:sz w:val="15"/>
        </w:rPr>
      </w:pPr>
    </w:p>
    <w:p>
      <w:pPr>
        <w:pStyle w:val="BodyText"/>
        <w:ind w:left="960"/>
      </w:pPr>
      <w:r>
        <w:rPr/>
        <w:t>⑤从前端（固定费用）收费基金转出，转入其他前端（比例费率）收费基金</w:t>
      </w:r>
    </w:p>
    <w:p>
      <w:pPr>
        <w:pStyle w:val="BodyText"/>
        <w:spacing w:before="8"/>
        <w:rPr>
          <w:sz w:val="15"/>
        </w:rPr>
      </w:pPr>
    </w:p>
    <w:p>
      <w:pPr>
        <w:pStyle w:val="BodyText"/>
        <w:spacing w:line="417" w:lineRule="auto"/>
        <w:ind w:left="540" w:right="20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中例五。</w:t>
      </w:r>
    </w:p>
    <w:p>
      <w:pPr>
        <w:pStyle w:val="BodyText"/>
        <w:spacing w:before="6"/>
        <w:rPr>
          <w:sz w:val="15"/>
        </w:rPr>
      </w:pPr>
    </w:p>
    <w:p>
      <w:pPr>
        <w:pStyle w:val="BodyText"/>
        <w:ind w:left="960"/>
      </w:pPr>
      <w:r>
        <w:rPr/>
        <w:t>⑥从前端（固定费用）收费基金转出，转入其他前端（固定费用）收费基金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ind w:left="960"/>
      </w:pPr>
      <w:r>
        <w:rPr/>
        <w:t>费用收取方式：收取的申购费用＝转入基金申购费用－转出基金申购费用，最低为 </w:t>
      </w:r>
      <w:r>
        <w:rPr>
          <w:rFonts w:ascii="Times New Roman" w:eastAsia="Times New Roman"/>
        </w:rPr>
        <w:t>0</w:t>
      </w:r>
      <w:r>
        <w:rPr/>
        <w:t>。</w:t>
      </w:r>
    </w:p>
    <w:p>
      <w:pPr>
        <w:spacing w:after="0"/>
        <w:sectPr>
          <w:pgSz w:w="11910" w:h="16840"/>
          <w:pgMar w:header="877" w:footer="995" w:top="1420" w:bottom="1180" w:left="1260" w:right="1480"/>
        </w:sectPr>
      </w:pPr>
    </w:p>
    <w:p>
      <w:pPr>
        <w:pStyle w:val="BodyText"/>
        <w:spacing w:before="110"/>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中例六。</w:t>
      </w:r>
    </w:p>
    <w:p>
      <w:pPr>
        <w:pStyle w:val="BodyText"/>
        <w:spacing w:before="6"/>
        <w:rPr>
          <w:sz w:val="15"/>
        </w:rPr>
      </w:pPr>
    </w:p>
    <w:p>
      <w:pPr>
        <w:pStyle w:val="BodyText"/>
        <w:ind w:left="960"/>
      </w:pPr>
      <w:r>
        <w:rPr/>
        <w:t>⑦从前端（固定费用）收费基金转出，转入其他后端收费基金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中例七。</w:t>
      </w:r>
    </w:p>
    <w:p>
      <w:pPr>
        <w:pStyle w:val="BodyText"/>
        <w:spacing w:before="7"/>
        <w:rPr>
          <w:sz w:val="15"/>
        </w:rPr>
      </w:pPr>
    </w:p>
    <w:p>
      <w:pPr>
        <w:pStyle w:val="BodyText"/>
        <w:ind w:left="960"/>
      </w:pPr>
      <w:r>
        <w:rPr/>
        <w:t>⑧从前端（固定费用）收费基金转出，转入其他不收取申购费用的基金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中例八。</w:t>
      </w:r>
    </w:p>
    <w:p>
      <w:pPr>
        <w:pStyle w:val="BodyText"/>
        <w:spacing w:before="6"/>
        <w:rPr>
          <w:sz w:val="15"/>
        </w:rPr>
      </w:pPr>
    </w:p>
    <w:p>
      <w:pPr>
        <w:pStyle w:val="BodyText"/>
        <w:ind w:left="960"/>
      </w:pPr>
      <w:r>
        <w:rPr/>
        <w:t>⑨从后端收费基金转出，转入其他前端（比例费率）收费基金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中例九。</w:t>
      </w:r>
    </w:p>
    <w:p>
      <w:pPr>
        <w:pStyle w:val="BodyText"/>
        <w:spacing w:before="7"/>
        <w:rPr>
          <w:sz w:val="15"/>
        </w:rPr>
      </w:pPr>
    </w:p>
    <w:p>
      <w:pPr>
        <w:pStyle w:val="BodyText"/>
        <w:ind w:left="960"/>
      </w:pPr>
      <w:r>
        <w:rPr/>
        <w:t>⑩从后端收费基金转出，转入其他前端（固定费用）收费基金</w:t>
      </w:r>
    </w:p>
    <w:p>
      <w:pPr>
        <w:pStyle w:val="BodyText"/>
        <w:spacing w:before="7"/>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w:t>
      </w:r>
    </w:p>
    <w:p>
      <w:pPr>
        <w:pStyle w:val="BodyText"/>
        <w:spacing w:before="7"/>
        <w:rPr>
          <w:sz w:val="15"/>
        </w:rPr>
      </w:pPr>
    </w:p>
    <w:p>
      <w:pPr>
        <w:pStyle w:val="BodyText"/>
        <w:ind w:left="960"/>
      </w:pPr>
      <w:r>
        <w:rPr>
          <w:rFonts w:ascii="Cambria Math" w:hAnsi="Cambria Math" w:eastAsia="Cambria Math"/>
        </w:rPr>
        <w:t>⑪</w:t>
      </w:r>
      <w:r>
        <w:rPr/>
        <w:t>从后端收费基金转出，转入其他后端收费基金</w:t>
      </w:r>
    </w:p>
    <w:p>
      <w:pPr>
        <w:pStyle w:val="BodyText"/>
        <w:spacing w:line="417" w:lineRule="auto" w:before="199"/>
        <w:ind w:left="540" w:right="31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540" w:right="31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中例十一。</w:t>
      </w:r>
    </w:p>
    <w:p>
      <w:pPr>
        <w:spacing w:after="0"/>
        <w:sectPr>
          <w:pgSz w:w="11910" w:h="16840"/>
          <w:pgMar w:header="877" w:footer="995" w:top="1420" w:bottom="1180" w:left="1260" w:right="1480"/>
        </w:sectPr>
      </w:pPr>
    </w:p>
    <w:p>
      <w:pPr>
        <w:pStyle w:val="BodyText"/>
        <w:spacing w:before="110"/>
        <w:ind w:left="960"/>
      </w:pPr>
      <w:r>
        <w:rPr>
          <w:rFonts w:ascii="Cambria Math" w:hAnsi="Cambria Math" w:eastAsia="Cambria Math"/>
        </w:rPr>
        <w:t>⑫</w:t>
      </w:r>
      <w:r>
        <w:rPr/>
        <w:t>从后端收费基金转出，转入其他不收取申购费用的基金</w:t>
      </w:r>
    </w:p>
    <w:p>
      <w:pPr>
        <w:pStyle w:val="BodyText"/>
        <w:spacing w:line="417" w:lineRule="auto" w:before="199"/>
        <w:ind w:left="540" w:right="31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960"/>
      </w:pPr>
      <w:r>
        <w:rPr/>
        <w:t>费用收取方式：不收取申购费用。</w:t>
      </w:r>
    </w:p>
    <w:p>
      <w:pPr>
        <w:pStyle w:val="BodyText"/>
        <w:spacing w:before="6"/>
        <w:rPr>
          <w:sz w:val="15"/>
        </w:rPr>
      </w:pP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中例十二。</w:t>
      </w:r>
    </w:p>
    <w:p>
      <w:pPr>
        <w:pStyle w:val="BodyText"/>
        <w:spacing w:before="7"/>
        <w:rPr>
          <w:sz w:val="15"/>
        </w:rPr>
      </w:pPr>
    </w:p>
    <w:p>
      <w:pPr>
        <w:pStyle w:val="BodyText"/>
        <w:ind w:left="96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40" w:right="313" w:firstLine="419"/>
      </w:pPr>
      <w:r>
        <w:rPr/>
        <w:t>费用收取方式：收取的申购费率</w:t>
      </w:r>
      <w:r>
        <w:rPr>
          <w:rFonts w:ascii="Times New Roman" w:hAnsi="Times New Roman" w:eastAsia="Times New Roman"/>
        </w:rPr>
        <w:t>=</w:t>
      </w:r>
      <w:r>
        <w:rPr/>
        <w:t>转入基金的申购费率－转出基金的销售服务费率</w:t>
      </w:r>
      <w:r>
        <w:rPr>
          <w:rFonts w:ascii="Times New Roman" w:hAnsi="Times New Roman" w:eastAsia="Times New Roman"/>
        </w:rPr>
        <w:t>×</w:t>
      </w:r>
      <w:r>
        <w:rPr>
          <w:spacing w:val="-11"/>
        </w:rPr>
        <w:t>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中例十三。</w:t>
      </w:r>
    </w:p>
    <w:p>
      <w:pPr>
        <w:pStyle w:val="BodyText"/>
        <w:spacing w:before="7"/>
        <w:rPr>
          <w:sz w:val="15"/>
        </w:rPr>
      </w:pPr>
    </w:p>
    <w:p>
      <w:pPr>
        <w:pStyle w:val="BodyText"/>
        <w:ind w:left="960"/>
      </w:pPr>
      <w:r>
        <w:rPr>
          <w:rFonts w:ascii="Cambria Math" w:hAnsi="Cambria Math" w:eastAsia="Cambria Math"/>
        </w:rPr>
        <w:t>⑭</w:t>
      </w:r>
      <w:r>
        <w:rPr/>
        <w:t>从不收取申购费用基金转出，转入其他前端（固定费用）收费基金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40" w:right="313" w:firstLine="419"/>
      </w:pPr>
      <w:r>
        <w:rPr>
          <w:spacing w:val="-7"/>
        </w:rPr>
        <w:t>费用收取方式：收取的申购费用</w:t>
      </w:r>
      <w:r>
        <w:rPr>
          <w:rFonts w:ascii="Times New Roman" w:hAnsi="Times New Roman" w:eastAsia="Times New Roman"/>
        </w:rPr>
        <w:t>=</w:t>
      </w:r>
      <w:r>
        <w:rPr>
          <w:spacing w:val="-3"/>
        </w:rPr>
        <w:t>固定费用－转换金额</w:t>
      </w:r>
      <w:r>
        <w:rPr>
          <w:rFonts w:ascii="Times New Roman" w:hAnsi="Times New Roman" w:eastAsia="Times New Roman"/>
          <w:spacing w:val="-4"/>
        </w:rPr>
        <w:t>×</w:t>
      </w:r>
      <w:r>
        <w:rPr>
          <w:spacing w:val="-3"/>
        </w:rPr>
        <w:t>转出基金的销售服务费率</w:t>
      </w:r>
      <w:r>
        <w:rPr>
          <w:rFonts w:ascii="Times New Roman" w:hAnsi="Times New Roman" w:eastAsia="Times New Roman"/>
          <w:spacing w:val="-4"/>
        </w:rPr>
        <w:t>×</w:t>
      </w:r>
      <w:r>
        <w:rPr/>
        <w:t>转出</w:t>
      </w:r>
      <w:r>
        <w:rPr>
          <w:spacing w:val="-3"/>
          <w:w w:val="100"/>
        </w:rPr>
        <w:t>基金的持有时间</w:t>
      </w:r>
      <w:r>
        <w:rPr>
          <w:w w:val="100"/>
        </w:rPr>
        <w:t>（</w:t>
      </w:r>
      <w:r>
        <w:rPr>
          <w:spacing w:val="-3"/>
          <w:w w:val="100"/>
        </w:rPr>
        <w:t>单位为年</w:t>
      </w:r>
      <w:r>
        <w:rPr>
          <w:spacing w:val="-106"/>
          <w:w w:val="100"/>
        </w:rPr>
        <w:t>）</w:t>
      </w:r>
      <w:r>
        <w:rPr>
          <w:spacing w:val="-3"/>
          <w:w w:val="100"/>
        </w:rPr>
        <w:t>，最低为</w:t>
      </w:r>
      <w:r>
        <w:rPr>
          <w:spacing w:val="-3"/>
        </w:rPr>
        <w:t> </w:t>
      </w:r>
      <w:r>
        <w:rPr>
          <w:rFonts w:ascii="Times New Roman" w:hAnsi="Times New Roman" w:eastAsia="Times New Roman"/>
          <w:spacing w:val="-3"/>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中例十四。</w:t>
      </w:r>
    </w:p>
    <w:p>
      <w:pPr>
        <w:pStyle w:val="BodyText"/>
        <w:spacing w:before="7"/>
        <w:rPr>
          <w:sz w:val="15"/>
        </w:rPr>
      </w:pPr>
    </w:p>
    <w:p>
      <w:pPr>
        <w:pStyle w:val="BodyText"/>
        <w:ind w:left="960"/>
      </w:pPr>
      <w:r>
        <w:rPr>
          <w:rFonts w:ascii="Cambria Math" w:hAnsi="Cambria Math" w:eastAsia="Cambria Math"/>
        </w:rPr>
        <w:t>⑮</w:t>
      </w:r>
      <w:r>
        <w:rPr/>
        <w:t>从不收取申购费用的基金转出，转入其他后端收费基金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40" w:right="31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中例十五。</w:t>
      </w:r>
    </w:p>
    <w:p>
      <w:pPr>
        <w:pStyle w:val="BodyText"/>
        <w:spacing w:before="6"/>
        <w:rPr>
          <w:sz w:val="15"/>
        </w:rPr>
      </w:pPr>
    </w:p>
    <w:p>
      <w:pPr>
        <w:pStyle w:val="BodyText"/>
        <w:ind w:left="96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960"/>
      </w:pPr>
      <w:r>
        <w:rPr>
          <w:spacing w:val="-3"/>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w:t>
      </w:r>
      <w:r>
        <w:rPr>
          <w:rFonts w:ascii="Times New Roman" w:hAnsi="Times New Roman" w:eastAsia="Times New Roman"/>
        </w:rPr>
        <w:t>”</w:t>
      </w:r>
      <w:r>
        <w:rPr/>
        <w:t>中例十六。</w:t>
      </w:r>
    </w:p>
    <w:p>
      <w:pPr>
        <w:pStyle w:val="BodyText"/>
        <w:spacing w:before="7"/>
        <w:rPr>
          <w:sz w:val="15"/>
        </w:rPr>
      </w:pPr>
    </w:p>
    <w:p>
      <w:pPr>
        <w:pStyle w:val="BodyText"/>
        <w:ind w:left="960"/>
      </w:pPr>
      <w:r>
        <w:rPr>
          <w:rFonts w:ascii="Cambria Math" w:hAnsi="Cambria Math" w:eastAsia="Cambria Math"/>
        </w:rPr>
        <w:t>⑰</w:t>
      </w:r>
      <w:r>
        <w:rPr/>
        <w:t>对于货币基金的基金份额转出情况的补充说明</w:t>
      </w:r>
    </w:p>
    <w:p>
      <w:pPr>
        <w:pStyle w:val="BodyText"/>
        <w:spacing w:before="199"/>
        <w:ind w:left="960"/>
      </w:pPr>
      <w:r>
        <w:rPr/>
        <w:t>对于货币型基金，每当有基金新增份额时，均调整持有时间，计算方法如下：</w:t>
      </w:r>
    </w:p>
    <w:p>
      <w:pPr>
        <w:spacing w:after="0"/>
        <w:sectPr>
          <w:pgSz w:w="11910" w:h="16840"/>
          <w:pgMar w:header="877" w:footer="995" w:top="1420" w:bottom="1180" w:left="1260" w:right="1480"/>
        </w:sectPr>
      </w:pPr>
    </w:p>
    <w:p>
      <w:pPr>
        <w:pStyle w:val="BodyText"/>
        <w:spacing w:before="110"/>
        <w:ind w:left="960"/>
      </w:pPr>
      <w:r>
        <w:rPr/>
        <w:t>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BodyText"/>
        <w:spacing w:before="6"/>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上述费用另有优惠的，从其规定。</w:t>
      </w:r>
    </w:p>
    <w:p>
      <w:pPr>
        <w:pStyle w:val="BodyText"/>
        <w:spacing w:before="7"/>
        <w:rPr>
          <w:sz w:val="15"/>
        </w:rPr>
      </w:pPr>
    </w:p>
    <w:p>
      <w:pPr>
        <w:pStyle w:val="BodyText"/>
        <w:ind w:left="960"/>
      </w:pPr>
      <w:r>
        <w:rPr/>
        <w:t>基金管理人可以在法律法规和基金合同规定范围内调整基金转换的有关业务规则。</w:t>
      </w:r>
    </w:p>
    <w:p>
      <w:pPr>
        <w:pStyle w:val="BodyText"/>
        <w:spacing w:before="7"/>
        <w:rPr>
          <w:sz w:val="15"/>
        </w:rPr>
      </w:pPr>
    </w:p>
    <w:p>
      <w:pPr>
        <w:pStyle w:val="BodyText"/>
        <w:ind w:left="960"/>
      </w:pPr>
      <w:r>
        <w:rPr>
          <w:rFonts w:ascii="Times New Roman" w:eastAsia="Times New Roman"/>
        </w:rPr>
        <w:t>4</w:t>
      </w:r>
      <w:r>
        <w:rPr/>
        <w:t>、业务举例</w:t>
      </w:r>
    </w:p>
    <w:p>
      <w:pPr>
        <w:pStyle w:val="BodyText"/>
        <w:spacing w:before="7"/>
        <w:rPr>
          <w:sz w:val="15"/>
        </w:rPr>
      </w:pPr>
    </w:p>
    <w:p>
      <w:pPr>
        <w:pStyle w:val="BodyText"/>
        <w:spacing w:line="417" w:lineRule="auto"/>
        <w:ind w:left="540" w:right="31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5"/>
        </w:numPr>
        <w:tabs>
          <w:tab w:pos="1490" w:val="left" w:leader="none"/>
        </w:tabs>
        <w:spacing w:line="417" w:lineRule="auto" w:before="0" w:after="0"/>
        <w:ind w:left="540" w:right="208" w:firstLine="419"/>
        <w:jc w:val="left"/>
        <w:rPr>
          <w:sz w:val="21"/>
        </w:rPr>
      </w:pPr>
      <w:r>
        <w:rPr/>
        <w:pict>
          <v:shape style="position:absolute;margin-left:110.300003pt;margin-top:41.85004pt;width:375.1pt;height:193.7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before="34"/>
                          <w:ind w:right="94"/>
                          <w:rPr>
                            <w:sz w:val="21"/>
                          </w:rPr>
                        </w:pPr>
                        <w:r>
                          <w:rPr>
                            <w:sz w:val="21"/>
                          </w:rPr>
                          <w:t>1,000.00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before="34"/>
                          <w:ind w:right="93"/>
                          <w:rPr>
                            <w:sz w:val="21"/>
                          </w:rPr>
                        </w:pPr>
                        <w:r>
                          <w:rPr>
                            <w:sz w:val="21"/>
                          </w:rPr>
                          <w:t>1.200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rPr>
                            <w:sz w:val="21"/>
                          </w:rPr>
                        </w:pPr>
                        <w:r>
                          <w:rPr>
                            <w:sz w:val="21"/>
                          </w:rPr>
                          <w:t>1,200.00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before="34"/>
                          <w:ind w:right="92"/>
                          <w:rPr>
                            <w:sz w:val="21"/>
                          </w:rPr>
                        </w:pPr>
                        <w:r>
                          <w:rPr>
                            <w:sz w:val="21"/>
                          </w:rPr>
                          <w:t>0.5%</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34"/>
                          <w:ind w:right="93"/>
                          <w:rPr>
                            <w:sz w:val="21"/>
                          </w:rPr>
                        </w:pPr>
                        <w:r>
                          <w:rPr>
                            <w:sz w:val="21"/>
                          </w:rPr>
                          <w:t>6.00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before="34"/>
                          <w:ind w:right="94"/>
                          <w:rPr>
                            <w:sz w:val="21"/>
                          </w:rPr>
                        </w:pPr>
                        <w:r>
                          <w:rPr>
                            <w:sz w:val="21"/>
                          </w:rPr>
                          <w:t>1,194.00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before="34"/>
                          <w:ind w:right="93"/>
                          <w:rPr>
                            <w:sz w:val="21"/>
                          </w:rPr>
                        </w:pPr>
                        <w:r>
                          <w:rPr>
                            <w:sz w:val="21"/>
                          </w:rPr>
                          <w:t>2.0%-1.5%=0.5%</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6" w:type="dxa"/>
                      </w:tcPr>
                      <w:p>
                        <w:pPr>
                          <w:pStyle w:val="TableParagraph"/>
                          <w:spacing w:before="34"/>
                          <w:ind w:right="94"/>
                          <w:rPr>
                            <w:sz w:val="21"/>
                          </w:rPr>
                        </w:pPr>
                        <w:r>
                          <w:rPr>
                            <w:sz w:val="21"/>
                          </w:rPr>
                          <w:t>1,188.06</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7"/>
                          <w:ind w:right="93"/>
                          <w:rPr>
                            <w:sz w:val="21"/>
                          </w:rPr>
                        </w:pPr>
                        <w:r>
                          <w:rPr>
                            <w:sz w:val="21"/>
                          </w:rPr>
                          <w:t>5.94</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before="34"/>
                          <w:ind w:right="93"/>
                          <w:rPr>
                            <w:sz w:val="21"/>
                          </w:rPr>
                        </w:pPr>
                        <w:r>
                          <w:rPr>
                            <w:sz w:val="21"/>
                          </w:rPr>
                          <w:t>1.300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34"/>
                          <w:ind w:right="93"/>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5"/>
        </w:numPr>
        <w:tabs>
          <w:tab w:pos="1490" w:val="left" w:leader="none"/>
        </w:tabs>
        <w:spacing w:line="417" w:lineRule="auto" w:before="0" w:after="0"/>
        <w:ind w:left="540" w:right="208" w:firstLine="419"/>
        <w:jc w:val="left"/>
        <w:rPr>
          <w:sz w:val="21"/>
        </w:rPr>
      </w:pPr>
      <w:r>
        <w:rPr/>
        <w:pict>
          <v:shape style="position:absolute;margin-left:110.779999pt;margin-top:41.820011pt;width:374.15pt;height:193.75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4"/>
                          <w:ind w:right="94"/>
                          <w:rPr>
                            <w:sz w:val="21"/>
                          </w:rPr>
                        </w:pPr>
                        <w:r>
                          <w:rPr>
                            <w:sz w:val="21"/>
                          </w:rPr>
                          <w:t>1,000.00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rPr>
                            <w:sz w:val="21"/>
                          </w:rPr>
                        </w:pPr>
                        <w:r>
                          <w:rPr>
                            <w:sz w:val="21"/>
                          </w:rPr>
                          <w:t>1.200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4"/>
                          <w:rPr>
                            <w:sz w:val="21"/>
                          </w:rPr>
                        </w:pPr>
                        <w:r>
                          <w:rPr>
                            <w:sz w:val="21"/>
                          </w:rPr>
                          <w:t>1,200.00</w:t>
                        </w:r>
                      </w:p>
                    </w:tc>
                  </w:tr>
                  <w:tr>
                    <w:trPr>
                      <w:trHeight w:val="312"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3"/>
                          <w:rPr>
                            <w:sz w:val="21"/>
                          </w:rPr>
                        </w:pPr>
                        <w:r>
                          <w:rPr>
                            <w:sz w:val="21"/>
                          </w:rPr>
                          <w:t>0.5%</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spacing w:before="34"/>
                          <w:ind w:right="93"/>
                          <w:rPr>
                            <w:sz w:val="21"/>
                          </w:rPr>
                        </w:pPr>
                        <w:r>
                          <w:rPr>
                            <w:sz w:val="21"/>
                          </w:rPr>
                          <w:t>6.00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spacing w:before="34"/>
                          <w:ind w:right="94"/>
                          <w:rPr>
                            <w:sz w:val="21"/>
                          </w:rPr>
                        </w:pPr>
                        <w:r>
                          <w:rPr>
                            <w:sz w:val="21"/>
                          </w:rPr>
                          <w:t>1,194.00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spacing w:before="34"/>
                          <w:ind w:right="93"/>
                          <w:rPr>
                            <w:sz w:val="21"/>
                          </w:rPr>
                        </w:pPr>
                        <w:r>
                          <w:rPr>
                            <w:sz w:val="21"/>
                          </w:rPr>
                          <w:t>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07" w:type="dxa"/>
                      </w:tcPr>
                      <w:p>
                        <w:pPr>
                          <w:pStyle w:val="TableParagraph"/>
                          <w:spacing w:before="36"/>
                          <w:ind w:right="94"/>
                          <w:rPr>
                            <w:sz w:val="21"/>
                          </w:rPr>
                        </w:pPr>
                        <w:r>
                          <w:rPr>
                            <w:sz w:val="21"/>
                          </w:rPr>
                          <w:t>1,194.00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before="34"/>
                          <w:ind w:right="93"/>
                          <w:rPr>
                            <w:sz w:val="21"/>
                          </w:rPr>
                        </w:pPr>
                        <w:r>
                          <w:rPr>
                            <w:sz w:val="21"/>
                          </w:rPr>
                          <w:t>0.00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spacing w:before="34"/>
                          <w:ind w:right="93"/>
                          <w:rPr>
                            <w:sz w:val="21"/>
                          </w:rPr>
                        </w:pPr>
                        <w:r>
                          <w:rPr>
                            <w:sz w:val="21"/>
                          </w:rPr>
                          <w:t>1.300</w:t>
                        </w:r>
                      </w:p>
                    </w:tc>
                  </w:tr>
                  <w:tr>
                    <w:trPr>
                      <w:trHeight w:val="311" w:hRule="atLeast"/>
                    </w:trPr>
                    <w:tc>
                      <w:tcPr>
                        <w:tcW w:w="4261"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spacing w:before="34"/>
                          <w:ind w:right="93"/>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BodyText"/>
        <w:spacing w:line="417" w:lineRule="auto"/>
        <w:ind w:left="540" w:right="31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spacing w:after="0" w:line="417" w:lineRule="auto"/>
        <w:jc w:val="both"/>
        <w:sectPr>
          <w:pgSz w:w="11910" w:h="16840"/>
          <w:pgMar w:header="877" w:footer="995" w:top="1420" w:bottom="1180" w:left="1260" w:right="1480"/>
        </w:sectPr>
      </w:pPr>
    </w:p>
    <w:p>
      <w:pPr>
        <w:pStyle w:val="ListParagraph"/>
        <w:numPr>
          <w:ilvl w:val="0"/>
          <w:numId w:val="16"/>
        </w:numPr>
        <w:tabs>
          <w:tab w:pos="1490" w:val="left" w:leader="none"/>
        </w:tabs>
        <w:spacing w:line="417" w:lineRule="auto" w:before="110" w:after="0"/>
        <w:ind w:left="540" w:right="311" w:firstLine="419"/>
        <w:jc w:val="both"/>
        <w:rPr>
          <w:sz w:val="21"/>
        </w:rPr>
      </w:pPr>
      <w:r>
        <w:rPr/>
        <w:pict>
          <v:shape style="position:absolute;margin-left:111.5pt;margin-top:70.719986pt;width:372.7pt;height:177.65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ind w:left="1164" w:right="1156"/>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before="34"/>
                          <w:ind w:right="95"/>
                          <w:rPr>
                            <w:sz w:val="21"/>
                          </w:rPr>
                        </w:pPr>
                        <w:r>
                          <w:rPr>
                            <w:sz w:val="21"/>
                          </w:rPr>
                          <w:t>10,000,000.00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before="34"/>
                          <w:ind w:right="94"/>
                          <w:rPr>
                            <w:sz w:val="21"/>
                          </w:rPr>
                        </w:pPr>
                        <w:r>
                          <w:rPr>
                            <w:sz w:val="21"/>
                          </w:rPr>
                          <w:t>1.200</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before="36"/>
                          <w:ind w:right="95"/>
                          <w:rPr>
                            <w:sz w:val="21"/>
                          </w:rPr>
                        </w:pPr>
                        <w:r>
                          <w:rPr>
                            <w:sz w:val="21"/>
                          </w:rPr>
                          <w:t>12,000,000.00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spacing w:before="34"/>
                          <w:ind w:right="93"/>
                          <w:rPr>
                            <w:sz w:val="21"/>
                          </w:rPr>
                        </w:pPr>
                        <w:r>
                          <w:rPr>
                            <w:sz w:val="21"/>
                          </w:rPr>
                          <w:t>0.5%</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spacing w:before="34"/>
                          <w:ind w:right="95"/>
                          <w:rPr>
                            <w:sz w:val="21"/>
                          </w:rPr>
                        </w:pPr>
                        <w:r>
                          <w:rPr>
                            <w:sz w:val="21"/>
                          </w:rPr>
                          <w:t>60,000.00</w:t>
                        </w:r>
                      </w:p>
                    </w:tc>
                  </w:tr>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spacing w:before="34"/>
                          <w:ind w:right="95"/>
                          <w:rPr>
                            <w:sz w:val="21"/>
                          </w:rPr>
                        </w:pPr>
                        <w:r>
                          <w:rPr>
                            <w:sz w:val="21"/>
                          </w:rPr>
                          <w:t>11,940,000.00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spacing w:before="34"/>
                          <w:ind w:right="95"/>
                          <w:rPr>
                            <w:sz w:val="21"/>
                          </w:rPr>
                        </w:pPr>
                        <w:r>
                          <w:rPr>
                            <w:sz w:val="21"/>
                          </w:rPr>
                          <w:t>1,000.00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before="34"/>
                          <w:ind w:right="95"/>
                          <w:rPr>
                            <w:sz w:val="21"/>
                          </w:rPr>
                        </w:pPr>
                        <w:r>
                          <w:rPr>
                            <w:sz w:val="21"/>
                          </w:rPr>
                          <w:t>11,939,000.00</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spacing w:before="36"/>
                          <w:ind w:right="94"/>
                          <w:rPr>
                            <w:sz w:val="21"/>
                          </w:rPr>
                        </w:pPr>
                        <w:r>
                          <w:rPr>
                            <w:sz w:val="21"/>
                          </w:rPr>
                          <w:t>1.300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spacing w:before="34"/>
                          <w:ind w:right="95"/>
                          <w:rPr>
                            <w:sz w:val="21"/>
                          </w:rPr>
                        </w:pPr>
                        <w:r>
                          <w:rPr>
                            <w:sz w:val="21"/>
                          </w:rPr>
                          <w:t>9,183,846.15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6"/>
        </w:numPr>
        <w:tabs>
          <w:tab w:pos="1490" w:val="left" w:leader="none"/>
        </w:tabs>
        <w:spacing w:line="417" w:lineRule="auto" w:before="0" w:after="0"/>
        <w:ind w:left="540" w:right="311" w:firstLine="419"/>
        <w:jc w:val="both"/>
        <w:rPr>
          <w:sz w:val="21"/>
        </w:rPr>
      </w:pPr>
      <w:r>
        <w:rPr/>
        <w:pict>
          <v:shape style="position:absolute;margin-left:111.139999pt;margin-top:65.219986pt;width:373.4pt;height:177.65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4"/>
                          <w:ind w:right="94"/>
                          <w:rPr>
                            <w:sz w:val="21"/>
                          </w:rPr>
                        </w:pPr>
                        <w:r>
                          <w:rPr>
                            <w:sz w:val="21"/>
                          </w:rPr>
                          <w:t>11,940,000.00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before="34"/>
                          <w:ind w:right="94"/>
                          <w:rPr>
                            <w:sz w:val="21"/>
                          </w:rPr>
                        </w:pPr>
                        <w:r>
                          <w:rPr>
                            <w:sz w:val="21"/>
                          </w:rPr>
                          <w:t>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before="34"/>
                          <w:ind w:right="94"/>
                          <w:rPr>
                            <w:sz w:val="21"/>
                          </w:rPr>
                        </w:pPr>
                        <w:r>
                          <w:rPr>
                            <w:sz w:val="21"/>
                          </w:rPr>
                          <w:t>11,940,000.00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before="34"/>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pict>
          <v:shape style="position:absolute;margin-left:111.260002pt;margin-top:88.62001pt;width:373.2pt;height:104.4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4"/>
                          <w:ind w:right="93"/>
                          <w:rPr>
                            <w:sz w:val="21"/>
                          </w:rPr>
                        </w:pPr>
                        <w:r>
                          <w:rPr>
                            <w:sz w:val="21"/>
                          </w:rPr>
                          <w:t>1,000.00</w:t>
                        </w:r>
                      </w:p>
                    </w:tc>
                  </w:tr>
                  <w:tr>
                    <w:trPr>
                      <w:trHeight w:val="467"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111"/>
                          <w:ind w:right="92"/>
                          <w:rPr>
                            <w:sz w:val="21"/>
                          </w:rPr>
                        </w:pPr>
                        <w:r>
                          <w:rPr>
                            <w:sz w:val="21"/>
                          </w:rPr>
                          <w:t>1.200</w:t>
                        </w:r>
                      </w:p>
                    </w:tc>
                  </w:tr>
                  <w:tr>
                    <w:trPr>
                      <w:trHeight w:val="470" w:hRule="atLeast"/>
                    </w:trPr>
                    <w:tc>
                      <w:tcPr>
                        <w:tcW w:w="4235" w:type="dxa"/>
                      </w:tcPr>
                      <w:p>
                        <w:pPr>
                          <w:pStyle w:val="TableParagraph"/>
                          <w:spacing w:before="101"/>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113"/>
                          <w:ind w:right="93"/>
                          <w:rPr>
                            <w:sz w:val="21"/>
                          </w:rPr>
                        </w:pPr>
                        <w:r>
                          <w:rPr>
                            <w:sz w:val="21"/>
                          </w:rPr>
                          <w:t>1,200.00</w:t>
                        </w:r>
                      </w:p>
                    </w:tc>
                  </w:tr>
                  <w:tr>
                    <w:trPr>
                      <w:trHeight w:val="467" w:hRule="atLeast"/>
                    </w:trPr>
                    <w:tc>
                      <w:tcPr>
                        <w:tcW w:w="4235" w:type="dxa"/>
                      </w:tcPr>
                      <w:p>
                        <w:pPr>
                          <w:pStyle w:val="TableParagraph"/>
                          <w:spacing w:before="99"/>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111"/>
                          <w:ind w:right="91"/>
                          <w:rPr>
                            <w:sz w:val="21"/>
                          </w:rPr>
                        </w:pPr>
                        <w:r>
                          <w:rPr>
                            <w:sz w:val="21"/>
                          </w:rPr>
                          <w:t>0.5%</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spacing w:after="0" w:line="417" w:lineRule="auto"/>
        <w:jc w:val="both"/>
        <w:sectPr>
          <w:pgSz w:w="11910" w:h="16840"/>
          <w:pgMar w:header="877" w:footer="995" w:top="1420" w:bottom="1180" w:left="1260" w:right="1480"/>
        </w:sectPr>
      </w:pPr>
    </w:p>
    <w:tbl>
      <w:tblPr>
        <w:tblW w:w="0" w:type="auto"/>
        <w:jc w:val="left"/>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68" w:hRule="atLeast"/>
        </w:trPr>
        <w:tc>
          <w:tcPr>
            <w:tcW w:w="4235" w:type="dxa"/>
          </w:tcPr>
          <w:p>
            <w:pPr>
              <w:pStyle w:val="TableParagraph"/>
              <w:spacing w:before="99"/>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111"/>
              <w:ind w:right="92"/>
              <w:rPr>
                <w:sz w:val="21"/>
              </w:rPr>
            </w:pPr>
            <w:r>
              <w:rPr>
                <w:sz w:val="21"/>
              </w:rPr>
              <w:t>6.00</w:t>
            </w:r>
          </w:p>
        </w:tc>
      </w:tr>
      <w:tr>
        <w:trPr>
          <w:trHeight w:val="467" w:hRule="atLeast"/>
        </w:trPr>
        <w:tc>
          <w:tcPr>
            <w:tcW w:w="4235" w:type="dxa"/>
          </w:tcPr>
          <w:p>
            <w:pPr>
              <w:pStyle w:val="TableParagraph"/>
              <w:spacing w:before="99"/>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111"/>
              <w:ind w:right="93"/>
              <w:rPr>
                <w:sz w:val="21"/>
              </w:rPr>
            </w:pPr>
            <w:r>
              <w:rPr>
                <w:sz w:val="21"/>
              </w:rPr>
              <w:t>1,194.00</w:t>
            </w:r>
          </w:p>
        </w:tc>
      </w:tr>
      <w:tr>
        <w:trPr>
          <w:trHeight w:val="467" w:hRule="atLeast"/>
        </w:trPr>
        <w:tc>
          <w:tcPr>
            <w:tcW w:w="4235" w:type="dxa"/>
          </w:tcPr>
          <w:p>
            <w:pPr>
              <w:pStyle w:val="TableParagraph"/>
              <w:spacing w:before="99"/>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111"/>
              <w:ind w:right="92"/>
              <w:rPr>
                <w:sz w:val="21"/>
              </w:rPr>
            </w:pPr>
            <w:r>
              <w:rPr>
                <w:sz w:val="21"/>
              </w:rPr>
              <w:t>0.00</w:t>
            </w:r>
          </w:p>
        </w:tc>
      </w:tr>
      <w:tr>
        <w:trPr>
          <w:trHeight w:val="470" w:hRule="atLeast"/>
        </w:trPr>
        <w:tc>
          <w:tcPr>
            <w:tcW w:w="4235" w:type="dxa"/>
          </w:tcPr>
          <w:p>
            <w:pPr>
              <w:pStyle w:val="TableParagraph"/>
              <w:spacing w:before="10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113"/>
              <w:ind w:right="93"/>
              <w:rPr>
                <w:sz w:val="21"/>
              </w:rPr>
            </w:pPr>
            <w:r>
              <w:rPr>
                <w:sz w:val="21"/>
              </w:rPr>
              <w:t>1,194.00</w:t>
            </w:r>
          </w:p>
        </w:tc>
      </w:tr>
      <w:tr>
        <w:trPr>
          <w:trHeight w:val="467" w:hRule="atLeast"/>
        </w:trPr>
        <w:tc>
          <w:tcPr>
            <w:tcW w:w="4235" w:type="dxa"/>
          </w:tcPr>
          <w:p>
            <w:pPr>
              <w:pStyle w:val="TableParagraph"/>
              <w:spacing w:before="99"/>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111"/>
              <w:ind w:right="92"/>
              <w:rPr>
                <w:sz w:val="21"/>
              </w:rPr>
            </w:pPr>
            <w:r>
              <w:rPr>
                <w:sz w:val="21"/>
              </w:rPr>
              <w:t>1.500</w:t>
            </w:r>
          </w:p>
        </w:tc>
      </w:tr>
      <w:tr>
        <w:trPr>
          <w:trHeight w:val="467" w:hRule="atLeast"/>
        </w:trPr>
        <w:tc>
          <w:tcPr>
            <w:tcW w:w="4235" w:type="dxa"/>
          </w:tcPr>
          <w:p>
            <w:pPr>
              <w:pStyle w:val="TableParagraph"/>
              <w:spacing w:before="99"/>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111"/>
              <w:ind w:right="92"/>
              <w:rPr>
                <w:sz w:val="21"/>
              </w:rPr>
            </w:pPr>
            <w:r>
              <w:rPr>
                <w:sz w:val="21"/>
              </w:rPr>
              <w:t>796.00</w:t>
            </w:r>
          </w:p>
        </w:tc>
      </w:tr>
    </w:tbl>
    <w:p>
      <w:pPr>
        <w:pStyle w:val="BodyText"/>
        <w:spacing w:line="417" w:lineRule="auto" w:before="109"/>
        <w:ind w:left="540" w:right="311" w:firstLine="419"/>
        <w:jc w:val="both"/>
      </w:pPr>
      <w:r>
        <w:rPr/>
        <w:pict>
          <v:shape style="position:absolute;margin-left:111.379997pt;margin-top:70.699966pt;width:372.95pt;height:129.4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34"/>
                          <w:ind w:right="93"/>
                          <w:rPr>
                            <w:sz w:val="21"/>
                          </w:rPr>
                        </w:pPr>
                        <w:r>
                          <w:rPr>
                            <w:sz w:val="21"/>
                          </w:rPr>
                          <w:t>796.00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36"/>
                          <w:ind w:right="93"/>
                          <w:rPr>
                            <w:sz w:val="21"/>
                          </w:rPr>
                        </w:pPr>
                        <w:r>
                          <w:rPr>
                            <w:sz w:val="21"/>
                          </w:rPr>
                          <w:t>1.300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4"/>
                          <w:ind w:right="94"/>
                          <w:rPr>
                            <w:sz w:val="21"/>
                          </w:rPr>
                        </w:pPr>
                        <w:r>
                          <w:rPr>
                            <w:sz w:val="21"/>
                          </w:rPr>
                          <w:t>1,034.80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4"/>
                          <w:ind w:right="93"/>
                          <w:rPr>
                            <w:sz w:val="21"/>
                          </w:rPr>
                        </w:pPr>
                        <w:r>
                          <w:rPr>
                            <w:sz w:val="21"/>
                          </w:rPr>
                          <w:t>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34"/>
                          <w:ind w:right="93"/>
                          <w:rPr>
                            <w:sz w:val="21"/>
                          </w:rPr>
                        </w:pPr>
                        <w:r>
                          <w:rPr>
                            <w:sz w:val="21"/>
                          </w:rPr>
                          <w:t>1.2%</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34"/>
                          <w:ind w:right="93"/>
                          <w:rPr>
                            <w:sz w:val="21"/>
                          </w:rPr>
                        </w:pPr>
                        <w:r>
                          <w:rPr>
                            <w:sz w:val="21"/>
                          </w:rPr>
                          <w:t>14.16</w:t>
                        </w:r>
                      </w:p>
                    </w:tc>
                  </w:tr>
                  <w:tr>
                    <w:trPr>
                      <w:trHeight w:val="314"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34"/>
                          <w:ind w:right="94"/>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spacing w:line="417" w:lineRule="auto"/>
        <w:ind w:left="540" w:right="205" w:firstLine="419"/>
      </w:pPr>
      <w:r>
        <w:rPr/>
        <w:pict>
          <v:shape style="position:absolute;margin-left:110.779999pt;margin-top:65.219986pt;width:374.15pt;height:177.65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rPr>
                            <w:sz w:val="21"/>
                          </w:rPr>
                        </w:pPr>
                        <w:r>
                          <w:rPr>
                            <w:sz w:val="21"/>
                          </w:rPr>
                          <w:t>1,000.00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rPr>
                            <w:sz w:val="21"/>
                          </w:rPr>
                        </w:pPr>
                        <w:r>
                          <w:rPr>
                            <w:sz w:val="21"/>
                          </w:rPr>
                          <w:t>1.300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rPr>
                            <w:sz w:val="21"/>
                          </w:rPr>
                        </w:pPr>
                        <w:r>
                          <w:rPr>
                            <w:sz w:val="21"/>
                          </w:rPr>
                          <w:t>1,300.00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rPr>
                            <w:sz w:val="21"/>
                          </w:rPr>
                        </w:pPr>
                        <w:r>
                          <w:rPr>
                            <w:sz w:val="21"/>
                          </w:rPr>
                          <w:t>0.5%</w:t>
                        </w:r>
                      </w:p>
                    </w:tc>
                  </w:tr>
                  <w:tr>
                    <w:trPr>
                      <w:trHeight w:val="314" w:hRule="atLeast"/>
                    </w:trPr>
                    <w:tc>
                      <w:tcPr>
                        <w:tcW w:w="4244" w:type="dxa"/>
                      </w:tcPr>
                      <w:p>
                        <w:pPr>
                          <w:pStyle w:val="TableParagraph"/>
                          <w:spacing w:before="25"/>
                          <w:ind w:left="148"/>
                          <w:jc w:val="left"/>
                          <w:rPr>
                            <w:sz w:val="21"/>
                          </w:rPr>
                        </w:pPr>
                        <w:r>
                          <w:rPr>
                            <w:rFonts w:ascii="宋体" w:eastAsia="宋体" w:hint="eastAsia"/>
                            <w:sz w:val="21"/>
                          </w:rPr>
                          <w:t>转出基金费用</w:t>
                        </w:r>
                        <w:r>
                          <w:rPr>
                            <w:sz w:val="21"/>
                          </w:rPr>
                          <w:t>(E=C*D)</w:t>
                        </w:r>
                      </w:p>
                    </w:tc>
                    <w:tc>
                      <w:tcPr>
                        <w:tcW w:w="3224" w:type="dxa"/>
                      </w:tcPr>
                      <w:p>
                        <w:pPr>
                          <w:pStyle w:val="TableParagraph"/>
                          <w:spacing w:before="37"/>
                          <w:ind w:right="93"/>
                          <w:rPr>
                            <w:sz w:val="21"/>
                          </w:rPr>
                        </w:pPr>
                        <w:r>
                          <w:rPr>
                            <w:sz w:val="21"/>
                          </w:rPr>
                          <w:t>6.50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4"/>
                          <w:rPr>
                            <w:sz w:val="21"/>
                          </w:rPr>
                        </w:pPr>
                        <w:r>
                          <w:rPr>
                            <w:sz w:val="21"/>
                          </w:rPr>
                          <w:t>1,293.50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rPr>
                            <w:sz w:val="21"/>
                          </w:rPr>
                        </w:pPr>
                        <w:r>
                          <w:rPr>
                            <w:sz w:val="21"/>
                          </w:rPr>
                          <w:t>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rPr>
                            <w:sz w:val="21"/>
                          </w:rPr>
                        </w:pPr>
                        <w:r>
                          <w:rPr>
                            <w:sz w:val="21"/>
                          </w:rPr>
                          <w:t>1,293.50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4"/>
                          <w:ind w:right="93"/>
                          <w:rPr>
                            <w:sz w:val="21"/>
                          </w:rPr>
                        </w:pPr>
                        <w:r>
                          <w:rPr>
                            <w:sz w:val="21"/>
                          </w:rPr>
                          <w:t>1.500</w:t>
                        </w:r>
                      </w:p>
                    </w:tc>
                  </w:tr>
                  <w:tr>
                    <w:trPr>
                      <w:trHeight w:val="313"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7"/>
        </w:numPr>
        <w:tabs>
          <w:tab w:pos="1490" w:val="left" w:leader="none"/>
        </w:tabs>
        <w:spacing w:line="240" w:lineRule="auto" w:before="0" w:after="0"/>
        <w:ind w:left="1489" w:right="0" w:hanging="530"/>
        <w:jc w:val="both"/>
        <w:rPr>
          <w:sz w:val="21"/>
        </w:rPr>
      </w:pP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p>
    <w:p>
      <w:pPr>
        <w:spacing w:after="0" w:line="240" w:lineRule="auto"/>
        <w:jc w:val="both"/>
        <w:rPr>
          <w:sz w:val="21"/>
        </w:rPr>
        <w:sectPr>
          <w:pgSz w:w="11910" w:h="16840"/>
          <w:pgMar w:header="877" w:footer="995" w:top="1420" w:bottom="1180" w:left="1260" w:right="1480"/>
        </w:sectPr>
      </w:pPr>
    </w:p>
    <w:p>
      <w:pPr>
        <w:pStyle w:val="BodyText"/>
        <w:spacing w:line="417" w:lineRule="auto" w:before="110"/>
        <w:ind w:left="540" w:right="313"/>
      </w:pPr>
      <w:r>
        <w:rPr/>
        <w:pict>
          <v:shape style="position:absolute;margin-left:110.540001pt;margin-top:47.319984pt;width:374.6pt;height:193.75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1" w:hRule="atLeast"/>
                    </w:trPr>
                    <w:tc>
                      <w:tcPr>
                        <w:tcW w:w="4266" w:type="dxa"/>
                      </w:tcPr>
                      <w:p>
                        <w:pPr>
                          <w:pStyle w:val="TableParagraph"/>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4"/>
                          <w:ind w:right="94"/>
                          <w:rPr>
                            <w:sz w:val="21"/>
                          </w:rPr>
                        </w:pPr>
                        <w:r>
                          <w:rPr>
                            <w:sz w:val="21"/>
                          </w:rPr>
                          <w:t>10,000,000.00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4"/>
                          <w:rPr>
                            <w:sz w:val="21"/>
                          </w:rPr>
                        </w:pPr>
                        <w:r>
                          <w:rPr>
                            <w:sz w:val="21"/>
                          </w:rPr>
                          <w:t>1.200</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6"/>
                          <w:ind w:right="94"/>
                          <w:rPr>
                            <w:sz w:val="21"/>
                          </w:rPr>
                        </w:pPr>
                        <w:r>
                          <w:rPr>
                            <w:sz w:val="21"/>
                          </w:rPr>
                          <w:t>12,000,000.00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34"/>
                          <w:ind w:right="93"/>
                          <w:rPr>
                            <w:sz w:val="21"/>
                          </w:rPr>
                        </w:pPr>
                        <w:r>
                          <w:rPr>
                            <w:sz w:val="21"/>
                          </w:rPr>
                          <w:t>0.5%</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34"/>
                          <w:ind w:right="94"/>
                          <w:rPr>
                            <w:sz w:val="21"/>
                          </w:rPr>
                        </w:pPr>
                        <w:r>
                          <w:rPr>
                            <w:sz w:val="21"/>
                          </w:rPr>
                          <w:t>60,000.00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4"/>
                          <w:ind w:right="94"/>
                          <w:rPr>
                            <w:sz w:val="21"/>
                          </w:rPr>
                        </w:pPr>
                        <w:r>
                          <w:rPr>
                            <w:sz w:val="21"/>
                          </w:rPr>
                          <w:t>11,940,000.00</w:t>
                        </w:r>
                      </w:p>
                    </w:tc>
                  </w:tr>
                  <w:tr>
                    <w:trPr>
                      <w:trHeight w:val="312" w:hRule="atLeast"/>
                    </w:trPr>
                    <w:tc>
                      <w:tcPr>
                        <w:tcW w:w="4266" w:type="dxa"/>
                      </w:tcPr>
                      <w:p>
                        <w:pPr>
                          <w:pStyle w:val="TableParagraph"/>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34"/>
                          <w:ind w:right="94"/>
                          <w:rPr>
                            <w:sz w:val="21"/>
                          </w:rPr>
                        </w:pPr>
                        <w:r>
                          <w:rPr>
                            <w:sz w:val="21"/>
                          </w:rPr>
                          <w:t>1.5%-1.2%=0.3%</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12" w:type="dxa"/>
                      </w:tcPr>
                      <w:p>
                        <w:pPr>
                          <w:pStyle w:val="TableParagraph"/>
                          <w:spacing w:before="34"/>
                          <w:ind w:right="94"/>
                          <w:rPr>
                            <w:sz w:val="21"/>
                          </w:rPr>
                        </w:pPr>
                        <w:r>
                          <w:rPr>
                            <w:sz w:val="21"/>
                          </w:rPr>
                          <w:t>11,904,287.14</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6"/>
                          <w:ind w:right="94"/>
                          <w:rPr>
                            <w:sz w:val="21"/>
                          </w:rPr>
                        </w:pPr>
                        <w:r>
                          <w:rPr>
                            <w:sz w:val="21"/>
                          </w:rPr>
                          <w:t>35,712.86</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4"/>
                          <w:ind w:right="94"/>
                          <w:rPr>
                            <w:sz w:val="21"/>
                          </w:rPr>
                        </w:pPr>
                        <w:r>
                          <w:rPr>
                            <w:sz w:val="21"/>
                          </w:rPr>
                          <w:t>1.300</w:t>
                        </w:r>
                      </w:p>
                    </w:tc>
                  </w:tr>
                  <w:tr>
                    <w:trPr>
                      <w:trHeight w:val="311" w:hRule="atLeast"/>
                    </w:trPr>
                    <w:tc>
                      <w:tcPr>
                        <w:tcW w:w="4266" w:type="dxa"/>
                      </w:tcPr>
                      <w:p>
                        <w:pPr>
                          <w:pStyle w:val="TableParagraph"/>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spacing w:before="34"/>
                          <w:ind w:right="94"/>
                          <w:rPr>
                            <w:sz w:val="21"/>
                          </w:rPr>
                        </w:pPr>
                        <w:r>
                          <w:rPr>
                            <w:sz w:val="21"/>
                          </w:rPr>
                          <w:t>9,157,143.95</w:t>
                        </w:r>
                      </w:p>
                    </w:tc>
                  </w:tr>
                </w:tbl>
                <w:p>
                  <w:pPr>
                    <w:pStyle w:val="BodyText"/>
                  </w:pPr>
                </w:p>
              </w:txbxContent>
            </v:textbox>
            <w10:wrap type="none"/>
          </v:shape>
        </w:pict>
      </w:r>
      <w:r>
        <w:rPr/>
        <w:t>前端申购费率最高档为 </w:t>
      </w:r>
      <w:r>
        <w:rPr>
          <w:rFonts w:ascii="Times New Roman" w:eastAsia="Times New Roman"/>
        </w:rPr>
        <w:t>1.5%</w:t>
      </w:r>
      <w:r>
        <w:rPr/>
        <w:t>，该日乙基金基金份额净值为 </w:t>
      </w:r>
      <w:r>
        <w:rPr>
          <w:rFonts w:ascii="Times New Roman" w:eastAsia="Times New Roman"/>
        </w:rPr>
        <w:t>1.300 </w:t>
      </w:r>
      <w:r>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ListParagraph"/>
        <w:numPr>
          <w:ilvl w:val="0"/>
          <w:numId w:val="17"/>
        </w:numPr>
        <w:tabs>
          <w:tab w:pos="1490" w:val="left" w:leader="none"/>
        </w:tabs>
        <w:spacing w:line="417" w:lineRule="auto" w:before="0" w:after="0"/>
        <w:ind w:left="540" w:right="313" w:firstLine="419"/>
        <w:jc w:val="both"/>
        <w:rPr>
          <w:sz w:val="21"/>
        </w:rPr>
      </w:pPr>
      <w:r>
        <w:rPr/>
        <w:pict>
          <v:shape style="position:absolute;margin-left:110.779999pt;margin-top:65.219963pt;width:374.15pt;height:193.75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left="570" w:right="560"/>
                          <w:jc w:val="center"/>
                          <w:rPr>
                            <w:rFonts w:ascii="宋体" w:eastAsia="宋体" w:hint="eastAsia"/>
                            <w:sz w:val="21"/>
                          </w:rPr>
                        </w:pPr>
                        <w:r>
                          <w:rPr>
                            <w:rFonts w:ascii="宋体" w:eastAsia="宋体" w:hint="eastAsia"/>
                            <w:sz w:val="21"/>
                          </w:rPr>
                          <w:t>项目</w:t>
                        </w:r>
                      </w:p>
                    </w:tc>
                    <w:tc>
                      <w:tcPr>
                        <w:tcW w:w="3224" w:type="dxa"/>
                      </w:tcPr>
                      <w:p>
                        <w:pPr>
                          <w:pStyle w:val="TableParagraph"/>
                          <w:ind w:left="1171" w:right="1157"/>
                          <w:jc w:val="center"/>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1"/>
                          <w:rPr>
                            <w:sz w:val="21"/>
                          </w:rPr>
                        </w:pPr>
                        <w:r>
                          <w:rPr>
                            <w:sz w:val="21"/>
                          </w:rPr>
                          <w:t>10,000,000.00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1"/>
                          <w:rPr>
                            <w:sz w:val="21"/>
                          </w:rPr>
                        </w:pPr>
                        <w:r>
                          <w:rPr>
                            <w:sz w:val="21"/>
                          </w:rPr>
                          <w:t>1.200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1"/>
                          <w:rPr>
                            <w:sz w:val="21"/>
                          </w:rPr>
                        </w:pPr>
                        <w:r>
                          <w:rPr>
                            <w:sz w:val="21"/>
                          </w:rPr>
                          <w:t>12,000,000.00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0"/>
                          <w:rPr>
                            <w:sz w:val="21"/>
                          </w:rPr>
                        </w:pPr>
                        <w:r>
                          <w:rPr>
                            <w:sz w:val="21"/>
                          </w:rPr>
                          <w:t>0.5%</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34"/>
                          <w:ind w:right="91"/>
                          <w:rPr>
                            <w:sz w:val="21"/>
                          </w:rPr>
                        </w:pPr>
                        <w:r>
                          <w:rPr>
                            <w:sz w:val="21"/>
                          </w:rPr>
                          <w:t>60,000.00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4"/>
                          <w:ind w:right="91"/>
                          <w:rPr>
                            <w:sz w:val="21"/>
                          </w:rPr>
                        </w:pPr>
                        <w:r>
                          <w:rPr>
                            <w:sz w:val="21"/>
                          </w:rPr>
                          <w:t>11,940,000.00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before="34"/>
                          <w:ind w:right="90"/>
                          <w:rPr>
                            <w:sz w:val="21"/>
                          </w:rPr>
                        </w:pPr>
                        <w:r>
                          <w:rPr>
                            <w:sz w:val="21"/>
                          </w:rPr>
                          <w:t>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H=F/(1+G)</w:t>
                        </w:r>
                        <w:r>
                          <w:rPr>
                            <w:rFonts w:ascii="宋体" w:eastAsia="宋体" w:hint="eastAsia"/>
                            <w:sz w:val="21"/>
                          </w:rPr>
                          <w:t>）</w:t>
                        </w:r>
                      </w:p>
                    </w:tc>
                    <w:tc>
                      <w:tcPr>
                        <w:tcW w:w="3224" w:type="dxa"/>
                      </w:tcPr>
                      <w:p>
                        <w:pPr>
                          <w:pStyle w:val="TableParagraph"/>
                          <w:spacing w:before="36"/>
                          <w:ind w:right="91"/>
                          <w:rPr>
                            <w:sz w:val="21"/>
                          </w:rPr>
                        </w:pPr>
                        <w:r>
                          <w:rPr>
                            <w:sz w:val="21"/>
                          </w:rPr>
                          <w:t>11,940,000.00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spacing w:before="34"/>
                          <w:ind w:right="91"/>
                          <w:rPr>
                            <w:sz w:val="21"/>
                          </w:rPr>
                        </w:pPr>
                        <w:r>
                          <w:rPr>
                            <w:sz w:val="21"/>
                          </w:rPr>
                          <w:t>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spacing w:before="34"/>
                          <w:ind w:right="91"/>
                          <w:rPr>
                            <w:sz w:val="21"/>
                          </w:rPr>
                        </w:pPr>
                        <w:r>
                          <w:rPr>
                            <w:sz w:val="21"/>
                          </w:rPr>
                          <w:t>1.300</w:t>
                        </w:r>
                      </w:p>
                    </w:tc>
                  </w:tr>
                  <w:tr>
                    <w:trPr>
                      <w:trHeight w:val="312"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spacing w:before="34"/>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line="417" w:lineRule="auto"/>
        <w:ind w:left="540" w:right="31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8"/>
        </w:numPr>
        <w:tabs>
          <w:tab w:pos="1490" w:val="left" w:leader="none"/>
        </w:tabs>
        <w:spacing w:line="417" w:lineRule="auto" w:before="0" w:after="0"/>
        <w:ind w:left="540" w:right="311" w:firstLine="419"/>
        <w:jc w:val="both"/>
        <w:rPr>
          <w:sz w:val="21"/>
        </w:rPr>
      </w:pPr>
      <w:r>
        <w:rPr/>
        <w:pict>
          <v:shape style="position:absolute;margin-left:111.019997pt;margin-top:65.219955pt;width:373.65pt;height:64.95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6"/>
                          <w:ind w:right="93"/>
                          <w:rPr>
                            <w:sz w:val="21"/>
                          </w:rPr>
                        </w:pPr>
                        <w:r>
                          <w:rPr>
                            <w:sz w:val="21"/>
                          </w:rPr>
                          <w:t>10,000,000.00</w:t>
                        </w:r>
                      </w:p>
                    </w:tc>
                  </w:tr>
                  <w:tr>
                    <w:trPr>
                      <w:trHeight w:val="311" w:hRule="atLeast"/>
                    </w:trPr>
                    <w:tc>
                      <w:tcPr>
                        <w:tcW w:w="4239" w:type="dxa"/>
                      </w:tcPr>
                      <w:p>
                        <w:pPr>
                          <w:pStyle w:val="TableParagraph"/>
                          <w:spacing w:before="2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before="34"/>
                          <w:ind w:right="93"/>
                          <w:rPr>
                            <w:sz w:val="21"/>
                          </w:rPr>
                        </w:pPr>
                        <w:r>
                          <w:rPr>
                            <w:sz w:val="21"/>
                          </w:rPr>
                          <w:t>1.200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before="34"/>
                          <w:ind w:right="93"/>
                          <w:rPr>
                            <w:sz w:val="21"/>
                          </w:rPr>
                        </w:pPr>
                        <w:r>
                          <w:rPr>
                            <w:sz w:val="21"/>
                          </w:rPr>
                          <w:t>12,000,000.00</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2" w:hRule="atLeast"/>
        </w:trPr>
        <w:tc>
          <w:tcPr>
            <w:tcW w:w="4239"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34"/>
              <w:ind w:right="92"/>
              <w:rPr>
                <w:sz w:val="21"/>
              </w:rPr>
            </w:pPr>
            <w:r>
              <w:rPr>
                <w:sz w:val="21"/>
              </w:rPr>
              <w:t>0.5%</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spacing w:before="34"/>
              <w:ind w:right="93"/>
              <w:rPr>
                <w:sz w:val="21"/>
              </w:rPr>
            </w:pPr>
            <w:r>
              <w:rPr>
                <w:sz w:val="21"/>
              </w:rPr>
              <w:t>60,000.00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34"/>
              <w:ind w:right="93"/>
              <w:rPr>
                <w:sz w:val="21"/>
              </w:rPr>
            </w:pPr>
            <w:r>
              <w:rPr>
                <w:sz w:val="21"/>
              </w:rPr>
              <w:t>11,940,000.00</w:t>
            </w:r>
          </w:p>
        </w:tc>
      </w:tr>
      <w:tr>
        <w:trPr>
          <w:trHeight w:val="313"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before="36"/>
              <w:ind w:right="93"/>
              <w:rPr>
                <w:sz w:val="21"/>
              </w:rPr>
            </w:pPr>
            <w:r>
              <w:rPr>
                <w:sz w:val="21"/>
              </w:rPr>
              <w:t>1,000-500=500.00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before="34"/>
              <w:ind w:right="93"/>
              <w:rPr>
                <w:sz w:val="21"/>
              </w:rPr>
            </w:pPr>
            <w:r>
              <w:rPr>
                <w:sz w:val="21"/>
              </w:rPr>
              <w:t>11,939,500.00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before="34"/>
              <w:ind w:right="93"/>
              <w:rPr>
                <w:sz w:val="21"/>
              </w:rPr>
            </w:pPr>
            <w:r>
              <w:rPr>
                <w:sz w:val="21"/>
              </w:rPr>
              <w:t>1.300</w:t>
            </w:r>
          </w:p>
        </w:tc>
      </w:tr>
      <w:tr>
        <w:trPr>
          <w:trHeight w:val="311" w:hRule="atLeast"/>
        </w:trPr>
        <w:tc>
          <w:tcPr>
            <w:tcW w:w="4239"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34"/>
              <w:ind w:right="93"/>
              <w:rPr>
                <w:sz w:val="21"/>
              </w:rPr>
            </w:pPr>
            <w:r>
              <w:rPr>
                <w:sz w:val="21"/>
              </w:rPr>
              <w:t>9,184,230.77</w:t>
            </w:r>
          </w:p>
        </w:tc>
      </w:tr>
    </w:tbl>
    <w:p>
      <w:pPr>
        <w:pStyle w:val="ListParagraph"/>
        <w:numPr>
          <w:ilvl w:val="0"/>
          <w:numId w:val="18"/>
        </w:numPr>
        <w:tabs>
          <w:tab w:pos="1490" w:val="left" w:leader="none"/>
        </w:tabs>
        <w:spacing w:line="417" w:lineRule="auto" w:before="109" w:after="0"/>
        <w:ind w:left="540" w:right="311" w:firstLine="419"/>
        <w:jc w:val="both"/>
        <w:rPr>
          <w:sz w:val="21"/>
        </w:rPr>
      </w:pPr>
      <w:r>
        <w:rPr/>
        <w:pict>
          <v:shape style="position:absolute;margin-left:111.379997pt;margin-top:70.700012pt;width:372.8pt;height:232.25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ind w:left="1166" w:right="1152"/>
                          <w:jc w:val="center"/>
                          <w:rPr>
                            <w:rFonts w:ascii="宋体" w:eastAsia="宋体" w:hint="eastAsia"/>
                            <w:sz w:val="21"/>
                          </w:rPr>
                        </w:pPr>
                        <w:r>
                          <w:rPr>
                            <w:rFonts w:ascii="宋体" w:eastAsia="宋体" w:hint="eastAsia"/>
                            <w:sz w:val="21"/>
                          </w:rPr>
                          <w:t>费用计算</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before="36"/>
                          <w:ind w:right="91"/>
                          <w:rPr>
                            <w:sz w:val="21"/>
                          </w:rPr>
                        </w:pPr>
                        <w:r>
                          <w:rPr>
                            <w:sz w:val="21"/>
                          </w:rPr>
                          <w:t>10,000,000.00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before="34"/>
                          <w:ind w:right="90"/>
                          <w:rPr>
                            <w:sz w:val="21"/>
                          </w:rPr>
                        </w:pPr>
                        <w:r>
                          <w:rPr>
                            <w:sz w:val="21"/>
                          </w:rPr>
                          <w:t>1.200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4"/>
                          <w:ind w:right="91"/>
                          <w:rPr>
                            <w:sz w:val="21"/>
                          </w:rPr>
                        </w:pPr>
                        <w:r>
                          <w:rPr>
                            <w:sz w:val="21"/>
                          </w:rPr>
                          <w:t>12,000,000.00</w:t>
                        </w:r>
                      </w:p>
                    </w:tc>
                  </w:tr>
                  <w:tr>
                    <w:trPr>
                      <w:trHeight w:val="467"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111"/>
                          <w:ind w:right="90"/>
                          <w:rPr>
                            <w:sz w:val="21"/>
                          </w:rPr>
                        </w:pPr>
                        <w:r>
                          <w:rPr>
                            <w:sz w:val="21"/>
                          </w:rPr>
                          <w:t>0.5%</w:t>
                        </w:r>
                      </w:p>
                    </w:tc>
                  </w:tr>
                  <w:tr>
                    <w:trPr>
                      <w:trHeight w:val="467" w:hRule="atLeast"/>
                    </w:trPr>
                    <w:tc>
                      <w:tcPr>
                        <w:tcW w:w="4232" w:type="dxa"/>
                      </w:tcPr>
                      <w:p>
                        <w:pPr>
                          <w:pStyle w:val="TableParagraph"/>
                          <w:spacing w:before="99"/>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before="111"/>
                          <w:ind w:right="91"/>
                          <w:rPr>
                            <w:sz w:val="21"/>
                          </w:rPr>
                        </w:pPr>
                        <w:r>
                          <w:rPr>
                            <w:sz w:val="21"/>
                          </w:rPr>
                          <w:t>60,000.00</w:t>
                        </w:r>
                      </w:p>
                    </w:tc>
                  </w:tr>
                  <w:tr>
                    <w:trPr>
                      <w:trHeight w:val="467" w:hRule="atLeast"/>
                    </w:trPr>
                    <w:tc>
                      <w:tcPr>
                        <w:tcW w:w="4232" w:type="dxa"/>
                      </w:tcPr>
                      <w:p>
                        <w:pPr>
                          <w:pStyle w:val="TableParagraph"/>
                          <w:spacing w:before="99"/>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111"/>
                          <w:ind w:right="91"/>
                          <w:rPr>
                            <w:sz w:val="21"/>
                          </w:rPr>
                        </w:pPr>
                        <w:r>
                          <w:rPr>
                            <w:sz w:val="21"/>
                          </w:rPr>
                          <w:t>11,940,000.00</w:t>
                        </w:r>
                      </w:p>
                    </w:tc>
                  </w:tr>
                  <w:tr>
                    <w:trPr>
                      <w:trHeight w:val="470" w:hRule="atLeast"/>
                    </w:trPr>
                    <w:tc>
                      <w:tcPr>
                        <w:tcW w:w="4232" w:type="dxa"/>
                      </w:tcPr>
                      <w:p>
                        <w:pPr>
                          <w:pStyle w:val="TableParagraph"/>
                          <w:spacing w:before="101"/>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spacing w:before="113"/>
                          <w:ind w:right="90"/>
                          <w:rPr>
                            <w:sz w:val="21"/>
                          </w:rPr>
                        </w:pPr>
                        <w:r>
                          <w:rPr>
                            <w:sz w:val="21"/>
                          </w:rPr>
                          <w:t>0.00</w:t>
                        </w:r>
                      </w:p>
                    </w:tc>
                  </w:tr>
                  <w:tr>
                    <w:trPr>
                      <w:trHeight w:val="467" w:hRule="atLeast"/>
                    </w:trPr>
                    <w:tc>
                      <w:tcPr>
                        <w:tcW w:w="4232" w:type="dxa"/>
                      </w:tcPr>
                      <w:p>
                        <w:pPr>
                          <w:pStyle w:val="TableParagraph"/>
                          <w:spacing w:before="99"/>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spacing w:before="111"/>
                          <w:ind w:right="91"/>
                          <w:rPr>
                            <w:sz w:val="21"/>
                          </w:rPr>
                        </w:pPr>
                        <w:r>
                          <w:rPr>
                            <w:sz w:val="21"/>
                          </w:rPr>
                          <w:t>11,940,000.00</w:t>
                        </w:r>
                      </w:p>
                    </w:tc>
                  </w:tr>
                  <w:tr>
                    <w:trPr>
                      <w:trHeight w:val="467" w:hRule="atLeast"/>
                    </w:trPr>
                    <w:tc>
                      <w:tcPr>
                        <w:tcW w:w="4232" w:type="dxa"/>
                      </w:tcPr>
                      <w:p>
                        <w:pPr>
                          <w:pStyle w:val="TableParagraph"/>
                          <w:spacing w:before="99"/>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111"/>
                          <w:ind w:right="90"/>
                          <w:rPr>
                            <w:sz w:val="21"/>
                          </w:rPr>
                        </w:pPr>
                        <w:r>
                          <w:rPr>
                            <w:sz w:val="21"/>
                          </w:rPr>
                          <w:t>1.300</w:t>
                        </w:r>
                      </w:p>
                    </w:tc>
                  </w:tr>
                  <w:tr>
                    <w:trPr>
                      <w:trHeight w:val="467" w:hRule="atLeast"/>
                    </w:trPr>
                    <w:tc>
                      <w:tcPr>
                        <w:tcW w:w="4232" w:type="dxa"/>
                      </w:tcPr>
                      <w:p>
                        <w:pPr>
                          <w:pStyle w:val="TableParagraph"/>
                          <w:spacing w:before="99"/>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111"/>
                          <w:ind w:right="91"/>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pStyle w:val="BodyText"/>
        <w:spacing w:before="1"/>
        <w:ind w:left="96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ind w:left="540" w:right="312"/>
        <w:jc w:val="both"/>
      </w:pPr>
      <w:r>
        <w:rPr/>
        <w:pict>
          <v:shape style="position:absolute;margin-left:111.260002pt;margin-top:65.249962pt;width:373.2pt;height:177.65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ind w:left="1110" w:right="1215"/>
                          <w:jc w:val="center"/>
                          <w:rPr>
                            <w:rFonts w:ascii="宋体" w:eastAsia="宋体" w:hint="eastAsia"/>
                            <w:sz w:val="21"/>
                          </w:rPr>
                        </w:pPr>
                        <w:r>
                          <w:rPr>
                            <w:rFonts w:ascii="宋体" w:eastAsia="宋体" w:hint="eastAsia"/>
                            <w:sz w:val="21"/>
                          </w:rPr>
                          <w:t>费用计算</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6"/>
                          <w:ind w:right="93"/>
                          <w:rPr>
                            <w:sz w:val="21"/>
                          </w:rPr>
                        </w:pPr>
                        <w:r>
                          <w:rPr>
                            <w:sz w:val="21"/>
                          </w:rPr>
                          <w:t>10,000,000.00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before="34"/>
                          <w:ind w:right="92"/>
                          <w:rPr>
                            <w:sz w:val="21"/>
                          </w:rPr>
                        </w:pPr>
                        <w:r>
                          <w:rPr>
                            <w:sz w:val="21"/>
                          </w:rPr>
                          <w:t>1.200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4"/>
                          <w:ind w:right="93"/>
                          <w:rPr>
                            <w:sz w:val="21"/>
                          </w:rPr>
                        </w:pPr>
                        <w:r>
                          <w:rPr>
                            <w:sz w:val="21"/>
                          </w:rPr>
                          <w:t>12,000,000.00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4"/>
                          <w:ind w:right="91"/>
                          <w:rPr>
                            <w:sz w:val="21"/>
                          </w:rPr>
                        </w:pPr>
                        <w:r>
                          <w:rPr>
                            <w:sz w:val="21"/>
                          </w:rPr>
                          <w:t>0.5%</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before="34"/>
                          <w:ind w:right="93"/>
                          <w:rPr>
                            <w:sz w:val="21"/>
                          </w:rPr>
                        </w:pPr>
                        <w:r>
                          <w:rPr>
                            <w:sz w:val="21"/>
                          </w:rPr>
                          <w:t>60,000.00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4"/>
                          <w:ind w:right="93"/>
                          <w:rPr>
                            <w:sz w:val="21"/>
                          </w:rPr>
                        </w:pPr>
                        <w:r>
                          <w:rPr>
                            <w:sz w:val="21"/>
                          </w:rPr>
                          <w:t>11,940,000.00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36"/>
                          <w:ind w:right="92"/>
                          <w:rPr>
                            <w:sz w:val="21"/>
                          </w:rPr>
                        </w:pPr>
                        <w:r>
                          <w:rPr>
                            <w:sz w:val="21"/>
                          </w:rPr>
                          <w:t>0.00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before="34"/>
                          <w:ind w:right="93"/>
                          <w:rPr>
                            <w:sz w:val="21"/>
                          </w:rPr>
                        </w:pPr>
                        <w:r>
                          <w:rPr>
                            <w:sz w:val="21"/>
                          </w:rPr>
                          <w:t>11,940,000.00</w:t>
                        </w:r>
                      </w:p>
                    </w:tc>
                  </w:tr>
                  <w:tr>
                    <w:trPr>
                      <w:trHeight w:val="311" w:hRule="atLeast"/>
                    </w:trPr>
                    <w:tc>
                      <w:tcPr>
                        <w:tcW w:w="4235"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4"/>
                          <w:ind w:right="92"/>
                          <w:rPr>
                            <w:sz w:val="21"/>
                          </w:rPr>
                        </w:pPr>
                        <w:r>
                          <w:rPr>
                            <w:sz w:val="21"/>
                          </w:rPr>
                          <w:t>1.500</w:t>
                        </w:r>
                      </w:p>
                    </w:tc>
                  </w:tr>
                  <w:tr>
                    <w:trPr>
                      <w:trHeight w:val="311" w:hRule="atLeast"/>
                    </w:trPr>
                    <w:tc>
                      <w:tcPr>
                        <w:tcW w:w="4235"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4"/>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pict>
          <v:shape style="position:absolute;margin-left:111.379997pt;margin-top:70.719986pt;width:372.95pt;height:129.3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before="34"/>
                          <w:ind w:right="94"/>
                          <w:rPr>
                            <w:sz w:val="21"/>
                          </w:rPr>
                        </w:pPr>
                        <w:r>
                          <w:rPr>
                            <w:sz w:val="21"/>
                          </w:rPr>
                          <w:t>7,960,000.00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before="34"/>
                          <w:ind w:right="93"/>
                          <w:rPr>
                            <w:sz w:val="21"/>
                          </w:rPr>
                        </w:pPr>
                        <w:r>
                          <w:rPr>
                            <w:sz w:val="21"/>
                          </w:rPr>
                          <w:t>1.300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rPr>
                            <w:sz w:val="21"/>
                          </w:rPr>
                        </w:pPr>
                        <w:r>
                          <w:rPr>
                            <w:sz w:val="21"/>
                          </w:rPr>
                          <w:t>10,348,000.00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4"/>
                          <w:ind w:right="93"/>
                          <w:rPr>
                            <w:sz w:val="21"/>
                          </w:rPr>
                        </w:pPr>
                        <w:r>
                          <w:rPr>
                            <w:sz w:val="21"/>
                          </w:rPr>
                          <w:t>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before="34"/>
                          <w:ind w:right="93"/>
                          <w:rPr>
                            <w:sz w:val="21"/>
                          </w:rPr>
                        </w:pPr>
                        <w:r>
                          <w:rPr>
                            <w:sz w:val="21"/>
                          </w:rPr>
                          <w:t>1.2%</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后端申购费（</w:t>
                        </w:r>
                        <w:r>
                          <w:rPr>
                            <w:sz w:val="21"/>
                          </w:rPr>
                          <w:t>P=K*I*O/(1+O)</w:t>
                        </w:r>
                        <w:r>
                          <w:rPr>
                            <w:rFonts w:ascii="宋体" w:eastAsia="宋体" w:hint="eastAsia"/>
                            <w:sz w:val="21"/>
                          </w:rPr>
                          <w:t>）</w:t>
                        </w:r>
                      </w:p>
                    </w:tc>
                    <w:tc>
                      <w:tcPr>
                        <w:tcW w:w="3212" w:type="dxa"/>
                      </w:tcPr>
                      <w:p>
                        <w:pPr>
                          <w:pStyle w:val="TableParagraph"/>
                          <w:spacing w:before="34"/>
                          <w:ind w:right="94"/>
                          <w:rPr>
                            <w:sz w:val="21"/>
                          </w:rPr>
                        </w:pPr>
                        <w:r>
                          <w:rPr>
                            <w:sz w:val="21"/>
                          </w:rPr>
                          <w:t>141,581.03</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before="34"/>
                          <w:ind w:right="94"/>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ind w:left="540" w:right="311" w:firstLine="419"/>
        <w:jc w:val="both"/>
      </w:pPr>
      <w:r>
        <w:rPr/>
        <w:pict>
          <v:shape style="position:absolute;margin-left:110.779999pt;margin-top:65.220001pt;width:374.15pt;height:177.65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3" w:hRule="atLeast"/>
                    </w:trPr>
                    <w:tc>
                      <w:tcPr>
                        <w:tcW w:w="4244" w:type="dxa"/>
                      </w:tcPr>
                      <w:p>
                        <w:pPr>
                          <w:pStyle w:val="TableParagraph"/>
                          <w:spacing w:before="25"/>
                          <w:ind w:left="571" w:right="139"/>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4"/>
                          <w:ind w:right="94"/>
                          <w:rPr>
                            <w:sz w:val="21"/>
                          </w:rPr>
                        </w:pPr>
                        <w:r>
                          <w:rPr>
                            <w:sz w:val="21"/>
                          </w:rPr>
                          <w:t>10,000,000.00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4"/>
                          <w:ind w:right="93"/>
                          <w:rPr>
                            <w:sz w:val="21"/>
                          </w:rPr>
                        </w:pPr>
                        <w:r>
                          <w:rPr>
                            <w:sz w:val="21"/>
                          </w:rPr>
                          <w:t>1.300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4"/>
                          <w:ind w:right="94"/>
                          <w:rPr>
                            <w:sz w:val="21"/>
                          </w:rPr>
                        </w:pPr>
                        <w:r>
                          <w:rPr>
                            <w:sz w:val="21"/>
                          </w:rPr>
                          <w:t>13,000,000.00</w:t>
                        </w:r>
                      </w:p>
                    </w:tc>
                  </w:tr>
                  <w:tr>
                    <w:trPr>
                      <w:trHeight w:val="312" w:hRule="atLeast"/>
                    </w:trPr>
                    <w:tc>
                      <w:tcPr>
                        <w:tcW w:w="4244" w:type="dxa"/>
                      </w:tcPr>
                      <w:p>
                        <w:pPr>
                          <w:pStyle w:val="TableParagraph"/>
                          <w:spacing w:before="23"/>
                          <w:ind w:left="148"/>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4"/>
                          <w:ind w:right="93"/>
                          <w:rPr>
                            <w:sz w:val="21"/>
                          </w:rPr>
                        </w:pPr>
                        <w:r>
                          <w:rPr>
                            <w:sz w:val="21"/>
                          </w:rPr>
                          <w:t>0.5%</w:t>
                        </w:r>
                      </w:p>
                    </w:tc>
                  </w:tr>
                  <w:tr>
                    <w:trPr>
                      <w:trHeight w:val="311" w:hRule="atLeast"/>
                    </w:trPr>
                    <w:tc>
                      <w:tcPr>
                        <w:tcW w:w="4244" w:type="dxa"/>
                      </w:tcPr>
                      <w:p>
                        <w:pPr>
                          <w:pStyle w:val="TableParagraph"/>
                          <w:ind w:left="148"/>
                          <w:jc w:val="left"/>
                          <w:rPr>
                            <w:sz w:val="21"/>
                          </w:rPr>
                        </w:pPr>
                        <w:r>
                          <w:rPr>
                            <w:rFonts w:ascii="宋体" w:eastAsia="宋体" w:hint="eastAsia"/>
                            <w:sz w:val="21"/>
                          </w:rPr>
                          <w:t>转出基金费用</w:t>
                        </w:r>
                        <w:r>
                          <w:rPr>
                            <w:sz w:val="21"/>
                          </w:rPr>
                          <w:t>(E=C*D)</w:t>
                        </w:r>
                      </w:p>
                    </w:tc>
                    <w:tc>
                      <w:tcPr>
                        <w:tcW w:w="3224" w:type="dxa"/>
                      </w:tcPr>
                      <w:p>
                        <w:pPr>
                          <w:pStyle w:val="TableParagraph"/>
                          <w:spacing w:before="34"/>
                          <w:ind w:right="94"/>
                          <w:rPr>
                            <w:sz w:val="21"/>
                          </w:rPr>
                        </w:pPr>
                        <w:r>
                          <w:rPr>
                            <w:sz w:val="21"/>
                          </w:rPr>
                          <w:t>65,000.00</w:t>
                        </w:r>
                      </w:p>
                    </w:tc>
                  </w:tr>
                  <w:tr>
                    <w:trPr>
                      <w:trHeight w:val="313" w:hRule="atLeast"/>
                    </w:trPr>
                    <w:tc>
                      <w:tcPr>
                        <w:tcW w:w="4244" w:type="dxa"/>
                      </w:tcPr>
                      <w:p>
                        <w:pPr>
                          <w:pStyle w:val="TableParagraph"/>
                          <w:spacing w:before="25"/>
                          <w:ind w:left="148"/>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rPr>
                            <w:sz w:val="21"/>
                          </w:rPr>
                        </w:pPr>
                        <w:r>
                          <w:rPr>
                            <w:sz w:val="21"/>
                          </w:rPr>
                          <w:t>12,935,000.00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before="34"/>
                          <w:ind w:right="93"/>
                          <w:rPr>
                            <w:sz w:val="21"/>
                          </w:rPr>
                        </w:pPr>
                        <w:r>
                          <w:rPr>
                            <w:sz w:val="21"/>
                          </w:rPr>
                          <w:t>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before="34"/>
                          <w:ind w:right="94"/>
                          <w:rPr>
                            <w:sz w:val="21"/>
                          </w:rPr>
                        </w:pPr>
                        <w:r>
                          <w:rPr>
                            <w:sz w:val="21"/>
                          </w:rPr>
                          <w:t>12,935,000.00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4"/>
                          <w:ind w:right="93"/>
                          <w:rPr>
                            <w:sz w:val="21"/>
                          </w:rPr>
                        </w:pPr>
                        <w:r>
                          <w:rPr>
                            <w:sz w:val="21"/>
                          </w:rPr>
                          <w:t>1.500</w:t>
                        </w:r>
                      </w:p>
                    </w:tc>
                  </w:tr>
                  <w:tr>
                    <w:trPr>
                      <w:trHeight w:val="311" w:hRule="atLeast"/>
                    </w:trPr>
                    <w:tc>
                      <w:tcPr>
                        <w:tcW w:w="4244" w:type="dxa"/>
                      </w:tcPr>
                      <w:p>
                        <w:pPr>
                          <w:pStyle w:val="TableParagraph"/>
                          <w:ind w:left="148"/>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4"/>
                          <w:ind w:right="94"/>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540" w:right="20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19"/>
        </w:numPr>
        <w:tabs>
          <w:tab w:pos="1490" w:val="left" w:leader="none"/>
        </w:tabs>
        <w:spacing w:line="417" w:lineRule="auto" w:before="0" w:after="0"/>
        <w:ind w:left="540" w:right="208" w:firstLine="419"/>
        <w:jc w:val="left"/>
        <w:rPr>
          <w:sz w:val="21"/>
        </w:rPr>
      </w:pPr>
      <w:r>
        <w:rPr/>
        <w:pict>
          <v:shape style="position:absolute;margin-left:111.139999pt;margin-top:41.820015pt;width:373.4pt;height:129.4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3" w:hRule="atLeast"/>
                    </w:trPr>
                    <w:tc>
                      <w:tcPr>
                        <w:tcW w:w="4237" w:type="dxa"/>
                      </w:tcPr>
                      <w:p>
                        <w:pPr>
                          <w:pStyle w:val="TableParagraph"/>
                          <w:spacing w:before="25"/>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rPr>
                            <w:sz w:val="21"/>
                          </w:rPr>
                        </w:pPr>
                        <w:r>
                          <w:rPr>
                            <w:sz w:val="21"/>
                          </w:rPr>
                          <w:t>1,200.00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7"/>
                          <w:ind w:right="94"/>
                          <w:rPr>
                            <w:sz w:val="21"/>
                          </w:rPr>
                        </w:pPr>
                        <w:r>
                          <w:rPr>
                            <w:sz w:val="21"/>
                          </w:rPr>
                          <w:t>1.100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1.8%</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rPr>
                <w:sz w:val="21"/>
              </w:rPr>
            </w:pPr>
            <w:r>
              <w:rPr>
                <w:sz w:val="21"/>
              </w:rPr>
              <w:t>19.45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rPr>
                <w:sz w:val="21"/>
              </w:rPr>
            </w:pPr>
            <w:r>
              <w:rPr>
                <w:sz w:val="21"/>
              </w:rPr>
              <w:t>25.45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rPr>
                <w:sz w:val="21"/>
              </w:rPr>
            </w:pPr>
            <w:r>
              <w:rPr>
                <w:sz w:val="21"/>
              </w:rPr>
              <w:t>1,174.55</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2.0%-1.5%=0.5%</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17" w:type="dxa"/>
          </w:tcPr>
          <w:p>
            <w:pPr>
              <w:pStyle w:val="TableParagraph"/>
              <w:spacing w:before="34"/>
              <w:ind w:right="94"/>
              <w:rPr>
                <w:sz w:val="21"/>
              </w:rPr>
            </w:pPr>
            <w:r>
              <w:rPr>
                <w:sz w:val="21"/>
              </w:rPr>
              <w:t>1,168.71</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before="34"/>
              <w:ind w:right="94"/>
              <w:rPr>
                <w:sz w:val="21"/>
              </w:rPr>
            </w:pPr>
            <w:r>
              <w:rPr>
                <w:sz w:val="21"/>
              </w:rPr>
              <w:t>5.84</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4"/>
              <w:ind w:right="94"/>
              <w:rPr>
                <w:sz w:val="21"/>
              </w:rPr>
            </w:pPr>
            <w:r>
              <w:rPr>
                <w:sz w:val="21"/>
              </w:rPr>
              <w:t>899.01</w:t>
            </w:r>
          </w:p>
        </w:tc>
      </w:tr>
    </w:tbl>
    <w:p>
      <w:pPr>
        <w:pStyle w:val="ListParagraph"/>
        <w:numPr>
          <w:ilvl w:val="0"/>
          <w:numId w:val="19"/>
        </w:numPr>
        <w:tabs>
          <w:tab w:pos="1490" w:val="left" w:leader="none"/>
        </w:tabs>
        <w:spacing w:line="417" w:lineRule="auto" w:before="109" w:after="0"/>
        <w:ind w:left="540" w:right="208" w:firstLine="419"/>
        <w:jc w:val="left"/>
        <w:rPr>
          <w:sz w:val="21"/>
        </w:rPr>
      </w:pPr>
      <w:r>
        <w:rPr/>
        <w:pict>
          <v:shape style="position:absolute;margin-left:111.739998pt;margin-top:47.299984pt;width:372.2pt;height:258.1500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4" w:hRule="atLeast"/>
                    </w:trPr>
                    <w:tc>
                      <w:tcPr>
                        <w:tcW w:w="4225" w:type="dxa"/>
                      </w:tcPr>
                      <w:p>
                        <w:pPr>
                          <w:pStyle w:val="TableParagraph"/>
                          <w:spacing w:before="25"/>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5"/>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spacing w:before="34"/>
                          <w:ind w:right="92"/>
                          <w:rPr>
                            <w:sz w:val="21"/>
                          </w:rPr>
                        </w:pPr>
                        <w:r>
                          <w:rPr>
                            <w:sz w:val="21"/>
                          </w:rPr>
                          <w:t>1,000.00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spacing w:before="34"/>
                          <w:ind w:right="91"/>
                          <w:rPr>
                            <w:sz w:val="21"/>
                          </w:rPr>
                        </w:pPr>
                        <w:r>
                          <w:rPr>
                            <w:sz w:val="21"/>
                          </w:rPr>
                          <w:t>1.200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before="34"/>
                          <w:ind w:right="92"/>
                          <w:rPr>
                            <w:sz w:val="21"/>
                          </w:rPr>
                        </w:pPr>
                        <w:r>
                          <w:rPr>
                            <w:sz w:val="21"/>
                          </w:rPr>
                          <w:t>1,200.00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before="34"/>
                          <w:ind w:right="91"/>
                          <w:rPr>
                            <w:sz w:val="21"/>
                          </w:rPr>
                        </w:pPr>
                        <w:r>
                          <w:rPr>
                            <w:sz w:val="21"/>
                          </w:rPr>
                          <w:t>0.5%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before="34"/>
                          <w:ind w:right="91"/>
                          <w:rPr>
                            <w:sz w:val="21"/>
                          </w:rPr>
                        </w:pPr>
                        <w:r>
                          <w:rPr>
                            <w:sz w:val="21"/>
                          </w:rPr>
                          <w:t>6.00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spacing w:before="36"/>
                          <w:ind w:right="91"/>
                          <w:rPr>
                            <w:sz w:val="21"/>
                          </w:rPr>
                        </w:pPr>
                        <w:r>
                          <w:rPr>
                            <w:sz w:val="21"/>
                          </w:rPr>
                          <w:t>1.100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spacing w:before="34"/>
                          <w:ind w:right="91"/>
                          <w:rPr>
                            <w:sz w:val="21"/>
                          </w:rPr>
                        </w:pPr>
                        <w:r>
                          <w:rPr>
                            <w:sz w:val="21"/>
                          </w:rPr>
                          <w:t>1.8%</w:t>
                        </w:r>
                      </w:p>
                    </w:tc>
                  </w:tr>
                  <w:tr>
                    <w:trPr>
                      <w:trHeight w:val="311" w:hRule="atLeast"/>
                    </w:trPr>
                    <w:tc>
                      <w:tcPr>
                        <w:tcW w:w="4225" w:type="dxa"/>
                      </w:tcPr>
                      <w:p>
                        <w:pPr>
                          <w:pStyle w:val="TableParagraph"/>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spacing w:before="34"/>
                          <w:ind w:right="91"/>
                          <w:rPr>
                            <w:sz w:val="21"/>
                          </w:rPr>
                        </w:pPr>
                        <w:r>
                          <w:rPr>
                            <w:sz w:val="21"/>
                          </w:rPr>
                          <w:t>19.45</w:t>
                        </w:r>
                      </w:p>
                    </w:tc>
                  </w:tr>
                  <w:tr>
                    <w:trPr>
                      <w:trHeight w:val="312" w:hRule="atLeast"/>
                    </w:trPr>
                    <w:tc>
                      <w:tcPr>
                        <w:tcW w:w="4225" w:type="dxa"/>
                      </w:tcPr>
                      <w:p>
                        <w:pPr>
                          <w:pStyle w:val="TableParagraph"/>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before="34"/>
                          <w:ind w:right="91"/>
                          <w:rPr>
                            <w:sz w:val="21"/>
                          </w:rPr>
                        </w:pPr>
                        <w:r>
                          <w:rPr>
                            <w:sz w:val="21"/>
                          </w:rPr>
                          <w:t>25.45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4"/>
                          <w:ind w:right="92"/>
                          <w:rPr>
                            <w:sz w:val="21"/>
                          </w:rPr>
                        </w:pPr>
                        <w:r>
                          <w:rPr>
                            <w:sz w:val="21"/>
                          </w:rPr>
                          <w:t>1,174.55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spacing w:before="34"/>
                          <w:ind w:right="91"/>
                          <w:rPr>
                            <w:sz w:val="21"/>
                          </w:rPr>
                        </w:pPr>
                        <w:r>
                          <w:rPr>
                            <w:sz w:val="21"/>
                          </w:rPr>
                          <w:t>0.00%</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净转入金额（</w:t>
                        </w:r>
                        <w:r>
                          <w:rPr>
                            <w:sz w:val="21"/>
                          </w:rPr>
                          <w:t>L=J/(1+K)</w:t>
                        </w:r>
                        <w:r>
                          <w:rPr>
                            <w:rFonts w:ascii="宋体" w:eastAsia="宋体" w:hint="eastAsia"/>
                            <w:sz w:val="21"/>
                          </w:rPr>
                          <w:t>）</w:t>
                        </w:r>
                      </w:p>
                    </w:tc>
                    <w:tc>
                      <w:tcPr>
                        <w:tcW w:w="3205" w:type="dxa"/>
                      </w:tcPr>
                      <w:p>
                        <w:pPr>
                          <w:pStyle w:val="TableParagraph"/>
                          <w:spacing w:before="36"/>
                          <w:ind w:right="92"/>
                          <w:rPr>
                            <w:sz w:val="21"/>
                          </w:rPr>
                        </w:pPr>
                        <w:r>
                          <w:rPr>
                            <w:sz w:val="21"/>
                          </w:rPr>
                          <w:t>1,174.55</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before="34"/>
                          <w:ind w:right="91"/>
                          <w:rPr>
                            <w:sz w:val="21"/>
                          </w:rPr>
                        </w:pPr>
                        <w:r>
                          <w:rPr>
                            <w:sz w:val="21"/>
                          </w:rPr>
                          <w:t>0.00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before="34"/>
                          <w:ind w:right="91"/>
                          <w:rPr>
                            <w:sz w:val="21"/>
                          </w:rPr>
                        </w:pPr>
                        <w:r>
                          <w:rPr>
                            <w:sz w:val="21"/>
                          </w:rPr>
                          <w:t>1.300</w:t>
                        </w:r>
                      </w:p>
                    </w:tc>
                  </w:tr>
                  <w:tr>
                    <w:trPr>
                      <w:trHeight w:val="311" w:hRule="atLeast"/>
                    </w:trPr>
                    <w:tc>
                      <w:tcPr>
                        <w:tcW w:w="4225" w:type="dxa"/>
                      </w:tcPr>
                      <w:p>
                        <w:pPr>
                          <w:pStyle w:val="TableParagraph"/>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before="34"/>
                          <w:ind w:right="91"/>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BodyText"/>
        <w:spacing w:line="417" w:lineRule="auto"/>
        <w:ind w:left="540" w:right="20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0"/>
        </w:numPr>
        <w:tabs>
          <w:tab w:pos="1490" w:val="left" w:leader="none"/>
        </w:tabs>
        <w:spacing w:line="417" w:lineRule="auto" w:before="0" w:after="0"/>
        <w:ind w:left="540" w:right="311" w:firstLine="419"/>
        <w:jc w:val="both"/>
        <w:rPr>
          <w:sz w:val="21"/>
        </w:rPr>
      </w:pPr>
      <w:r>
        <w:rPr/>
        <w:pict>
          <v:shape style="position:absolute;margin-left:111.5pt;margin-top:65.220024pt;width:372.6pt;height:97.1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ind w:left="1164" w:right="1153"/>
                          <w:jc w:val="center"/>
                          <w:rPr>
                            <w:rFonts w:ascii="宋体" w:eastAsia="宋体" w:hint="eastAsia"/>
                            <w:sz w:val="21"/>
                          </w:rPr>
                        </w:pPr>
                        <w:r>
                          <w:rPr>
                            <w:rFonts w:ascii="宋体" w:eastAsia="宋体" w:hint="eastAsia"/>
                            <w:sz w:val="21"/>
                          </w:rPr>
                          <w:t>费用计算</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before="36"/>
                          <w:ind w:right="92"/>
                          <w:rPr>
                            <w:sz w:val="21"/>
                          </w:rPr>
                        </w:pPr>
                        <w:r>
                          <w:rPr>
                            <w:sz w:val="21"/>
                          </w:rPr>
                          <w:t>10,000,000.00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4"/>
                          <w:ind w:right="91"/>
                          <w:rPr>
                            <w:sz w:val="21"/>
                          </w:rPr>
                        </w:pPr>
                        <w:r>
                          <w:rPr>
                            <w:sz w:val="21"/>
                          </w:rPr>
                          <w:t>1.200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before="34"/>
                          <w:ind w:right="92"/>
                          <w:rPr>
                            <w:sz w:val="21"/>
                          </w:rPr>
                        </w:pPr>
                        <w:r>
                          <w:rPr>
                            <w:sz w:val="21"/>
                          </w:rPr>
                          <w:t>12,000,000.00</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before="34"/>
                          <w:ind w:right="90"/>
                          <w:rPr>
                            <w:sz w:val="21"/>
                          </w:rPr>
                        </w:pPr>
                        <w:r>
                          <w:rPr>
                            <w:sz w:val="21"/>
                          </w:rPr>
                          <w:t>0.5%</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4"/>
                          <w:ind w:right="92"/>
                          <w:rPr>
                            <w:sz w:val="21"/>
                          </w:rPr>
                        </w:pPr>
                        <w:r>
                          <w:rPr>
                            <w:sz w:val="21"/>
                          </w:rPr>
                          <w:t>60,000.00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before="34"/>
              <w:ind w:right="91"/>
              <w:rPr>
                <w:sz w:val="21"/>
              </w:rPr>
            </w:pPr>
            <w:r>
              <w:rPr>
                <w:sz w:val="21"/>
              </w:rPr>
              <w:t>1.100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before="34"/>
              <w:ind w:right="90"/>
              <w:rPr>
                <w:sz w:val="21"/>
              </w:rPr>
            </w:pPr>
            <w:r>
              <w:rPr>
                <w:sz w:val="21"/>
              </w:rPr>
              <w:t>1.8%</w:t>
            </w:r>
          </w:p>
        </w:tc>
      </w:tr>
      <w:tr>
        <w:trPr>
          <w:trHeight w:val="311" w:hRule="atLeast"/>
        </w:trPr>
        <w:tc>
          <w:tcPr>
            <w:tcW w:w="4230" w:type="dxa"/>
          </w:tcPr>
          <w:p>
            <w:pPr>
              <w:pStyle w:val="TableParagraph"/>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before="34"/>
              <w:ind w:right="92"/>
              <w:rPr>
                <w:sz w:val="21"/>
              </w:rPr>
            </w:pPr>
            <w:r>
              <w:rPr>
                <w:sz w:val="21"/>
              </w:rPr>
              <w:t>194,499.02</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before="36"/>
              <w:ind w:right="92"/>
              <w:rPr>
                <w:sz w:val="21"/>
              </w:rPr>
            </w:pPr>
            <w:r>
              <w:rPr>
                <w:sz w:val="21"/>
              </w:rPr>
              <w:t>254,499.02</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before="34"/>
              <w:ind w:right="92"/>
              <w:rPr>
                <w:sz w:val="21"/>
              </w:rPr>
            </w:pPr>
            <w:r>
              <w:rPr>
                <w:sz w:val="21"/>
              </w:rPr>
              <w:t>11,745,500.98</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4"/>
              <w:ind w:right="92"/>
              <w:rPr>
                <w:sz w:val="21"/>
              </w:rPr>
            </w:pPr>
            <w:r>
              <w:rPr>
                <w:sz w:val="21"/>
              </w:rPr>
              <w:t>1,000.00</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spacing w:before="34"/>
              <w:ind w:right="92"/>
              <w:rPr>
                <w:sz w:val="21"/>
              </w:rPr>
            </w:pPr>
            <w:r>
              <w:rPr>
                <w:sz w:val="21"/>
              </w:rPr>
              <w:t>11,744,500.98</w:t>
            </w:r>
          </w:p>
        </w:tc>
      </w:tr>
      <w:tr>
        <w:trPr>
          <w:trHeight w:val="311"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spacing w:before="34"/>
              <w:ind w:right="91"/>
              <w:rPr>
                <w:sz w:val="21"/>
              </w:rPr>
            </w:pPr>
            <w:r>
              <w:rPr>
                <w:sz w:val="21"/>
              </w:rPr>
              <w:t>1.300</w:t>
            </w:r>
          </w:p>
        </w:tc>
      </w:tr>
      <w:tr>
        <w:trPr>
          <w:trHeight w:val="314" w:hRule="atLeast"/>
        </w:trPr>
        <w:tc>
          <w:tcPr>
            <w:tcW w:w="4230"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before="34"/>
              <w:ind w:right="92"/>
              <w:rPr>
                <w:sz w:val="21"/>
              </w:rPr>
            </w:pPr>
            <w:r>
              <w:rPr>
                <w:sz w:val="21"/>
              </w:rPr>
              <w:t>9,034,231.52</w:t>
            </w:r>
          </w:p>
        </w:tc>
      </w:tr>
    </w:tbl>
    <w:p>
      <w:pPr>
        <w:pStyle w:val="ListParagraph"/>
        <w:numPr>
          <w:ilvl w:val="0"/>
          <w:numId w:val="20"/>
        </w:numPr>
        <w:tabs>
          <w:tab w:pos="1490" w:val="left" w:leader="none"/>
        </w:tabs>
        <w:spacing w:line="417" w:lineRule="auto" w:before="109" w:after="0"/>
        <w:ind w:left="540" w:right="311" w:firstLine="419"/>
        <w:jc w:val="both"/>
        <w:rPr>
          <w:sz w:val="21"/>
        </w:rPr>
      </w:pPr>
      <w:r>
        <w:rPr/>
        <w:pict>
          <v:shape style="position:absolute;margin-left:111.139999pt;margin-top:70.699974pt;width:373.4pt;height:241.95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10,000,000.00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rPr>
                            <w:sz w:val="21"/>
                          </w:rPr>
                        </w:pPr>
                        <w:r>
                          <w:rPr>
                            <w:sz w:val="21"/>
                          </w:rPr>
                          <w:t>12,000,000.00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6"/>
                          <w:ind w:right="94"/>
                          <w:rPr>
                            <w:sz w:val="21"/>
                          </w:rPr>
                        </w:pPr>
                        <w:r>
                          <w:rPr>
                            <w:sz w:val="21"/>
                          </w:rPr>
                          <w:t>60,000.00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rPr>
                            <w:sz w:val="21"/>
                          </w:rPr>
                        </w:pPr>
                        <w:r>
                          <w:rPr>
                            <w:sz w:val="21"/>
                          </w:rPr>
                          <w:t>1.100</w:t>
                        </w:r>
                      </w:p>
                    </w:tc>
                  </w:tr>
                  <w:tr>
                    <w:trPr>
                      <w:trHeight w:val="311"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1.8%</w:t>
                        </w:r>
                      </w:p>
                    </w:tc>
                  </w:tr>
                  <w:tr>
                    <w:trPr>
                      <w:trHeight w:val="311" w:hRule="atLeast"/>
                    </w:trPr>
                    <w:tc>
                      <w:tcPr>
                        <w:tcW w:w="4237" w:type="dxa"/>
                      </w:tcPr>
                      <w:p>
                        <w:pPr>
                          <w:pStyle w:val="TableParagraph"/>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rPr>
                            <w:sz w:val="21"/>
                          </w:rPr>
                        </w:pPr>
                        <w:r>
                          <w:rPr>
                            <w:sz w:val="21"/>
                          </w:rPr>
                          <w:t>194,499.02</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rPr>
                            <w:sz w:val="21"/>
                          </w:rPr>
                        </w:pPr>
                        <w:r>
                          <w:rPr>
                            <w:sz w:val="21"/>
                          </w:rPr>
                          <w:t>254,499.02</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4"/>
                          <w:ind w:right="94"/>
                          <w:rPr>
                            <w:sz w:val="21"/>
                          </w:rPr>
                        </w:pPr>
                        <w:r>
                          <w:rPr>
                            <w:sz w:val="21"/>
                          </w:rPr>
                          <w:t>11,745,500.98</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6"/>
                          <w:ind w:right="94"/>
                          <w:rPr>
                            <w:sz w:val="21"/>
                          </w:rPr>
                        </w:pPr>
                        <w:r>
                          <w:rPr>
                            <w:sz w:val="21"/>
                          </w:rPr>
                          <w:t>0.00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4"/>
                          <w:ind w:right="94"/>
                          <w:rPr>
                            <w:sz w:val="21"/>
                          </w:rPr>
                        </w:pPr>
                        <w:r>
                          <w:rPr>
                            <w:sz w:val="21"/>
                          </w:rPr>
                          <w:t>11,745,500.98</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4"/>
                          <w:ind w:right="94"/>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BodyText"/>
        <w:ind w:left="96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3"/>
        <w:rPr>
          <w:rFonts w:ascii="Times New Roman"/>
          <w:sz w:val="17"/>
        </w:rPr>
      </w:pPr>
    </w:p>
    <w:p>
      <w:pPr>
        <w:pStyle w:val="BodyText"/>
        <w:spacing w:line="417" w:lineRule="auto"/>
        <w:ind w:left="540" w:right="313"/>
        <w:jc w:val="both"/>
      </w:pPr>
      <w:r>
        <w:rPr/>
        <w:pict>
          <v:shape style="position:absolute;margin-left:111.139999pt;margin-top:88.650024pt;width:373.4pt;height:113.3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rPr>
                            <w:sz w:val="21"/>
                          </w:rPr>
                        </w:pPr>
                        <w:r>
                          <w:rPr>
                            <w:sz w:val="21"/>
                          </w:rPr>
                          <w:t>1,000.00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4"/>
                          <w:ind w:right="94"/>
                          <w:rPr>
                            <w:sz w:val="21"/>
                          </w:rPr>
                        </w:pPr>
                        <w:r>
                          <w:rPr>
                            <w:sz w:val="21"/>
                          </w:rPr>
                          <w:t>1,300.00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4"/>
                          <w:ind w:right="93"/>
                          <w:rPr>
                            <w:sz w:val="21"/>
                          </w:rPr>
                        </w:pPr>
                        <w:r>
                          <w:rPr>
                            <w:sz w:val="21"/>
                          </w:rPr>
                          <w:t>0.5%</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6.50</w:t>
                        </w:r>
                      </w:p>
                    </w:tc>
                  </w:tr>
                  <w:tr>
                    <w:trPr>
                      <w:trHeight w:val="313" w:hRule="atLeast"/>
                    </w:trPr>
                    <w:tc>
                      <w:tcPr>
                        <w:tcW w:w="4237" w:type="dxa"/>
                      </w:tcPr>
                      <w:p>
                        <w:pPr>
                          <w:pStyle w:val="TableParagraph"/>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4"/>
                          <w:ind w:right="94"/>
                          <w:rPr>
                            <w:sz w:val="21"/>
                          </w:rPr>
                        </w:pPr>
                        <w:r>
                          <w:rPr>
                            <w:sz w:val="21"/>
                          </w:rPr>
                          <w:t>1.100</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1.0%</w:t>
            </w:r>
          </w:p>
        </w:tc>
      </w:tr>
      <w:tr>
        <w:trPr>
          <w:trHeight w:val="311" w:hRule="atLeast"/>
        </w:trPr>
        <w:tc>
          <w:tcPr>
            <w:tcW w:w="4237" w:type="dxa"/>
          </w:tcPr>
          <w:p>
            <w:pPr>
              <w:pStyle w:val="TableParagraph"/>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before="34"/>
              <w:ind w:right="94"/>
              <w:rPr>
                <w:sz w:val="21"/>
              </w:rPr>
            </w:pPr>
            <w:r>
              <w:rPr>
                <w:sz w:val="21"/>
              </w:rPr>
              <w:t>10.89</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4"/>
              <w:ind w:right="94"/>
              <w:rPr>
                <w:sz w:val="21"/>
              </w:rPr>
            </w:pPr>
            <w:r>
              <w:rPr>
                <w:sz w:val="21"/>
              </w:rPr>
              <w:t>17.39</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6"/>
              <w:ind w:right="94"/>
              <w:rPr>
                <w:sz w:val="21"/>
              </w:rPr>
            </w:pPr>
            <w:r>
              <w:rPr>
                <w:sz w:val="21"/>
              </w:rPr>
              <w:t>1,282.61</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4"/>
              <w:ind w:right="94"/>
              <w:rPr>
                <w:sz w:val="21"/>
              </w:rPr>
            </w:pPr>
            <w:r>
              <w:rPr>
                <w:sz w:val="21"/>
              </w:rPr>
              <w:t>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4"/>
              <w:ind w:right="94"/>
              <w:rPr>
                <w:sz w:val="21"/>
              </w:rPr>
            </w:pPr>
            <w:r>
              <w:rPr>
                <w:sz w:val="21"/>
              </w:rPr>
              <w:t>1,282.61</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4"/>
              <w:ind w:right="94"/>
              <w:rPr>
                <w:sz w:val="21"/>
              </w:rPr>
            </w:pPr>
            <w:r>
              <w:rPr>
                <w:sz w:val="21"/>
              </w:rPr>
              <w:t>1.500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before="34"/>
              <w:ind w:right="94"/>
              <w:rPr>
                <w:sz w:val="21"/>
              </w:rPr>
            </w:pPr>
            <w:r>
              <w:rPr>
                <w:sz w:val="21"/>
              </w:rPr>
              <w:t>855.07</w:t>
            </w:r>
          </w:p>
        </w:tc>
      </w:tr>
    </w:tbl>
    <w:p>
      <w:pPr>
        <w:pStyle w:val="BodyText"/>
        <w:spacing w:line="417" w:lineRule="auto" w:before="109"/>
        <w:ind w:left="540" w:right="311" w:firstLine="419"/>
        <w:jc w:val="both"/>
      </w:pPr>
      <w:r>
        <w:rPr/>
        <w:pict>
          <v:shape style="position:absolute;margin-left:110.540001pt;margin-top:70.699982pt;width:374.6pt;height:145.5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4" w:hRule="atLeast"/>
                    </w:trPr>
                    <w:tc>
                      <w:tcPr>
                        <w:tcW w:w="4249" w:type="dxa"/>
                      </w:tcPr>
                      <w:p>
                        <w:pPr>
                          <w:pStyle w:val="TableParagraph"/>
                          <w:spacing w:before="25"/>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spacing w:before="25"/>
                          <w:ind w:left="1173" w:right="1165"/>
                          <w:jc w:val="center"/>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before="34"/>
                          <w:ind w:right="94"/>
                          <w:rPr>
                            <w:sz w:val="21"/>
                          </w:rPr>
                        </w:pPr>
                        <w:r>
                          <w:rPr>
                            <w:sz w:val="21"/>
                          </w:rPr>
                          <w:t>855.07</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34"/>
                          <w:ind w:right="94"/>
                          <w:rPr>
                            <w:sz w:val="21"/>
                          </w:rPr>
                        </w:pPr>
                        <w:r>
                          <w:rPr>
                            <w:sz w:val="21"/>
                          </w:rPr>
                          <w:t>1.300</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34"/>
                          <w:ind w:right="94"/>
                          <w:rPr>
                            <w:sz w:val="21"/>
                          </w:rPr>
                        </w:pPr>
                        <w:r>
                          <w:rPr>
                            <w:sz w:val="21"/>
                          </w:rPr>
                          <w:t>1,111.59</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before="34"/>
                          <w:ind w:right="93"/>
                          <w:rPr>
                            <w:sz w:val="21"/>
                          </w:rPr>
                        </w:pPr>
                        <w:r>
                          <w:rPr>
                            <w:sz w:val="21"/>
                          </w:rPr>
                          <w:t>0.5%</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34"/>
                          <w:ind w:right="94"/>
                          <w:rPr>
                            <w:sz w:val="21"/>
                          </w:rPr>
                        </w:pPr>
                        <w:r>
                          <w:rPr>
                            <w:sz w:val="21"/>
                          </w:rPr>
                          <w:t>5.56</w:t>
                        </w:r>
                      </w:p>
                    </w:tc>
                  </w:tr>
                  <w:tr>
                    <w:trPr>
                      <w:trHeight w:val="313"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before="36"/>
                          <w:ind w:right="93"/>
                          <w:rPr>
                            <w:sz w:val="21"/>
                          </w:rPr>
                        </w:pPr>
                        <w:r>
                          <w:rPr>
                            <w:sz w:val="21"/>
                          </w:rPr>
                          <w:t>1.2%</w:t>
                        </w:r>
                      </w:p>
                    </w:tc>
                  </w:tr>
                  <w:tr>
                    <w:trPr>
                      <w:trHeight w:val="311" w:hRule="atLeast"/>
                    </w:trPr>
                    <w:tc>
                      <w:tcPr>
                        <w:tcW w:w="4249" w:type="dxa"/>
                      </w:tcPr>
                      <w:p>
                        <w:pPr>
                          <w:pStyle w:val="TableParagraph"/>
                          <w:ind w:left="107"/>
                          <w:jc w:val="left"/>
                          <w:rPr>
                            <w:rFonts w:ascii="宋体" w:eastAsia="宋体" w:hint="eastAsia"/>
                            <w:sz w:val="21"/>
                          </w:rPr>
                        </w:pPr>
                        <w:r>
                          <w:rPr>
                            <w:rFonts w:ascii="宋体" w:eastAsia="宋体" w:hint="eastAsia"/>
                            <w:sz w:val="21"/>
                          </w:rPr>
                          <w:t>后端申购费（</w:t>
                        </w:r>
                        <w:r>
                          <w:rPr>
                            <w:sz w:val="21"/>
                          </w:rPr>
                          <w:t>U=O*M*T/(1+T)</w:t>
                        </w:r>
                        <w:r>
                          <w:rPr>
                            <w:rFonts w:ascii="宋体" w:eastAsia="宋体" w:hint="eastAsia"/>
                            <w:sz w:val="21"/>
                          </w:rPr>
                          <w:t>）</w:t>
                        </w:r>
                      </w:p>
                    </w:tc>
                    <w:tc>
                      <w:tcPr>
                        <w:tcW w:w="3229" w:type="dxa"/>
                      </w:tcPr>
                      <w:p>
                        <w:pPr>
                          <w:pStyle w:val="TableParagraph"/>
                          <w:spacing w:before="34"/>
                          <w:ind w:right="94"/>
                          <w:rPr>
                            <w:sz w:val="21"/>
                          </w:rPr>
                        </w:pPr>
                        <w:r>
                          <w:rPr>
                            <w:sz w:val="21"/>
                          </w:rPr>
                          <w:t>15.21</w:t>
                        </w:r>
                      </w:p>
                    </w:tc>
                  </w:tr>
                  <w:tr>
                    <w:trPr>
                      <w:trHeight w:val="311" w:hRule="atLeast"/>
                    </w:trPr>
                    <w:tc>
                      <w:tcPr>
                        <w:tcW w:w="4249" w:type="dxa"/>
                      </w:tcPr>
                      <w:p>
                        <w:pPr>
                          <w:pStyle w:val="TableParagraph"/>
                          <w:spacing w:before="23"/>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34"/>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pStyle w:val="BodyText"/>
        <w:spacing w:line="417" w:lineRule="auto"/>
        <w:ind w:left="540" w:right="311" w:firstLine="419"/>
        <w:jc w:val="both"/>
      </w:pPr>
      <w:r>
        <w:rPr/>
        <w:pict>
          <v:shape style="position:absolute;margin-left:110.779999pt;margin-top:88.61998pt;width:374pt;height:242.1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4"/>
                          <w:ind w:right="91"/>
                          <w:rPr>
                            <w:sz w:val="21"/>
                          </w:rPr>
                        </w:pPr>
                        <w:r>
                          <w:rPr>
                            <w:sz w:val="21"/>
                          </w:rPr>
                          <w:t>1,000.00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6"/>
                          <w:ind w:right="90"/>
                          <w:rPr>
                            <w:sz w:val="21"/>
                          </w:rPr>
                        </w:pPr>
                        <w:r>
                          <w:rPr>
                            <w:sz w:val="21"/>
                          </w:rPr>
                          <w:t>1.200</w:t>
                        </w:r>
                      </w:p>
                    </w:tc>
                  </w:tr>
                  <w:tr>
                    <w:trPr>
                      <w:trHeight w:val="312"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4"/>
                          <w:ind w:right="91"/>
                          <w:rPr>
                            <w:sz w:val="21"/>
                          </w:rPr>
                        </w:pPr>
                        <w:r>
                          <w:rPr>
                            <w:sz w:val="21"/>
                          </w:rPr>
                          <w:t>1,200.00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4"/>
                          <w:ind w:right="90"/>
                          <w:rPr>
                            <w:sz w:val="21"/>
                          </w:rPr>
                        </w:pPr>
                        <w:r>
                          <w:rPr>
                            <w:sz w:val="21"/>
                          </w:rPr>
                          <w:t>0.5%</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spacing w:before="34"/>
                          <w:ind w:right="90"/>
                          <w:rPr>
                            <w:sz w:val="21"/>
                          </w:rPr>
                        </w:pPr>
                        <w:r>
                          <w:rPr>
                            <w:sz w:val="21"/>
                          </w:rPr>
                          <w:t>6.00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spacing w:before="34"/>
                          <w:ind w:right="90"/>
                          <w:rPr>
                            <w:sz w:val="21"/>
                          </w:rPr>
                        </w:pPr>
                        <w:r>
                          <w:rPr>
                            <w:sz w:val="21"/>
                          </w:rPr>
                          <w:t>1.100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spacing w:before="34"/>
                          <w:ind w:right="90"/>
                          <w:rPr>
                            <w:sz w:val="21"/>
                          </w:rPr>
                        </w:pPr>
                        <w:r>
                          <w:rPr>
                            <w:sz w:val="21"/>
                          </w:rPr>
                          <w:t>1.0%</w:t>
                        </w:r>
                      </w:p>
                    </w:tc>
                  </w:tr>
                  <w:tr>
                    <w:trPr>
                      <w:trHeight w:val="313" w:hRule="atLeast"/>
                    </w:trPr>
                    <w:tc>
                      <w:tcPr>
                        <w:tcW w:w="4244" w:type="dxa"/>
                      </w:tcPr>
                      <w:p>
                        <w:pPr>
                          <w:pStyle w:val="TableParagraph"/>
                          <w:spacing w:before="25"/>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spacing w:before="36"/>
                          <w:ind w:right="90"/>
                          <w:rPr>
                            <w:sz w:val="21"/>
                          </w:rPr>
                        </w:pPr>
                        <w:r>
                          <w:rPr>
                            <w:sz w:val="21"/>
                          </w:rPr>
                          <w:t>10.89</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before="34"/>
                          <w:ind w:right="90"/>
                          <w:rPr>
                            <w:sz w:val="21"/>
                          </w:rPr>
                        </w:pPr>
                        <w:r>
                          <w:rPr>
                            <w:sz w:val="21"/>
                          </w:rPr>
                          <w:t>16.89</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34"/>
                          <w:ind w:right="91"/>
                          <w:rPr>
                            <w:sz w:val="21"/>
                          </w:rPr>
                        </w:pPr>
                        <w:r>
                          <w:rPr>
                            <w:sz w:val="21"/>
                          </w:rPr>
                          <w:t>1,183.11</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spacing w:before="34"/>
                          <w:ind w:right="90"/>
                          <w:rPr>
                            <w:sz w:val="21"/>
                          </w:rPr>
                        </w:pPr>
                        <w:r>
                          <w:rPr>
                            <w:sz w:val="21"/>
                          </w:rPr>
                          <w:t>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spacing w:before="34"/>
                          <w:ind w:right="91"/>
                          <w:rPr>
                            <w:sz w:val="21"/>
                          </w:rPr>
                        </w:pPr>
                        <w:r>
                          <w:rPr>
                            <w:sz w:val="21"/>
                          </w:rPr>
                          <w:t>1,183.11</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spacing w:before="34"/>
                          <w:ind w:right="90"/>
                          <w:rPr>
                            <w:sz w:val="21"/>
                          </w:rPr>
                        </w:pPr>
                        <w:r>
                          <w:rPr>
                            <w:sz w:val="21"/>
                          </w:rPr>
                          <w:t>1.500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spacing w:before="36"/>
                          <w:ind w:right="90"/>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pict>
          <v:shape style="position:absolute;margin-left:111.139999pt;margin-top:94.11998pt;width:373.4pt;height:225.4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4"/>
                          <w:ind w:right="94"/>
                          <w:rPr>
                            <w:sz w:val="21"/>
                          </w:rPr>
                        </w:pPr>
                        <w:r>
                          <w:rPr>
                            <w:sz w:val="21"/>
                          </w:rPr>
                          <w:t>1,000.00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before="34"/>
                          <w:ind w:right="94"/>
                          <w:rPr>
                            <w:sz w:val="21"/>
                          </w:rPr>
                        </w:pPr>
                        <w:r>
                          <w:rPr>
                            <w:sz w:val="21"/>
                          </w:rPr>
                          <w:t>1.200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1,200.00</w:t>
                        </w:r>
                      </w:p>
                    </w:tc>
                  </w:tr>
                  <w:tr>
                    <w:trPr>
                      <w:trHeight w:val="312" w:hRule="atLeast"/>
                    </w:trPr>
                    <w:tc>
                      <w:tcPr>
                        <w:tcW w:w="4237"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spacing w:before="34"/>
                          <w:ind w:right="94"/>
                          <w:rPr>
                            <w:sz w:val="21"/>
                          </w:rPr>
                        </w:pPr>
                        <w:r>
                          <w:rPr>
                            <w:sz w:val="21"/>
                          </w:rPr>
                          <w:t>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before="34"/>
                          <w:ind w:right="94"/>
                          <w:rPr>
                            <w:sz w:val="21"/>
                          </w:rPr>
                        </w:pPr>
                        <w:r>
                          <w:rPr>
                            <w:sz w:val="21"/>
                          </w:rPr>
                          <w:t>1,200.00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before="34"/>
                          <w:ind w:right="93"/>
                          <w:rPr>
                            <w:sz w:val="21"/>
                          </w:rPr>
                        </w:pPr>
                        <w:r>
                          <w:rPr>
                            <w:sz w:val="21"/>
                          </w:rPr>
                          <w:t>0.3%</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spacing w:before="34"/>
                          <w:ind w:right="93"/>
                          <w:rPr>
                            <w:sz w:val="21"/>
                          </w:rPr>
                        </w:pPr>
                        <w:r>
                          <w:rPr>
                            <w:sz w:val="21"/>
                          </w:rPr>
                          <w:t>2.0%</w:t>
                        </w:r>
                      </w:p>
                    </w:tc>
                  </w:tr>
                  <w:tr>
                    <w:trPr>
                      <w:trHeight w:val="623" w:hRule="atLeast"/>
                    </w:trPr>
                    <w:tc>
                      <w:tcPr>
                        <w:tcW w:w="4237" w:type="dxa"/>
                      </w:tcPr>
                      <w:p>
                        <w:pPr>
                          <w:pStyle w:val="TableParagraph"/>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净转入金额（</w:t>
                        </w:r>
                        <w:r>
                          <w:rPr>
                            <w:sz w:val="21"/>
                          </w:rPr>
                          <w:t>I=E/(1+H)</w:t>
                        </w:r>
                        <w:r>
                          <w:rPr>
                            <w:rFonts w:ascii="宋体" w:eastAsia="宋体" w:hint="eastAsia"/>
                            <w:sz w:val="21"/>
                          </w:rPr>
                          <w:t>）</w:t>
                        </w:r>
                      </w:p>
                    </w:tc>
                    <w:tc>
                      <w:tcPr>
                        <w:tcW w:w="3217" w:type="dxa"/>
                      </w:tcPr>
                      <w:p>
                        <w:pPr>
                          <w:pStyle w:val="TableParagraph"/>
                          <w:spacing w:before="36"/>
                          <w:ind w:right="94"/>
                          <w:rPr>
                            <w:sz w:val="21"/>
                          </w:rPr>
                        </w:pPr>
                        <w:r>
                          <w:rPr>
                            <w:sz w:val="21"/>
                          </w:rPr>
                          <w:t>1,177.86</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before="34"/>
                          <w:ind w:right="94"/>
                          <w:rPr>
                            <w:sz w:val="21"/>
                          </w:rPr>
                        </w:pPr>
                        <w:r>
                          <w:rPr>
                            <w:sz w:val="21"/>
                          </w:rPr>
                          <w:t>22.14</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before="34"/>
                          <w:ind w:right="94"/>
                          <w:rPr>
                            <w:sz w:val="21"/>
                          </w:rPr>
                        </w:pPr>
                        <w:r>
                          <w:rPr>
                            <w:sz w:val="21"/>
                          </w:rPr>
                          <w:t>1.300</w:t>
                        </w:r>
                      </w:p>
                    </w:tc>
                  </w:tr>
                  <w:tr>
                    <w:trPr>
                      <w:trHeight w:val="311" w:hRule="atLeast"/>
                    </w:trPr>
                    <w:tc>
                      <w:tcPr>
                        <w:tcW w:w="4237"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spacing w:before="34"/>
                          <w:ind w:right="94"/>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2"/>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1"/>
        <w:ind w:left="540" w:right="311" w:firstLine="419"/>
        <w:jc w:val="both"/>
      </w:pPr>
      <w:r>
        <w:rPr/>
        <w:pict>
          <v:shape style="position:absolute;margin-left:111.379997pt;margin-top:96.19001pt;width:372.95pt;height:209.35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ind w:left="1108" w:right="1097"/>
                          <w:jc w:val="center"/>
                          <w:rPr>
                            <w:rFonts w:ascii="宋体" w:eastAsia="宋体" w:hint="eastAsia"/>
                            <w:sz w:val="21"/>
                          </w:rPr>
                        </w:pPr>
                        <w:r>
                          <w:rPr>
                            <w:rFonts w:ascii="宋体" w:eastAsia="宋体" w:hint="eastAsia"/>
                            <w:sz w:val="21"/>
                          </w:rPr>
                          <w:t>费用计算</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6"/>
                          <w:ind w:right="94"/>
                          <w:rPr>
                            <w:sz w:val="21"/>
                          </w:rPr>
                        </w:pPr>
                        <w:r>
                          <w:rPr>
                            <w:sz w:val="21"/>
                          </w:rPr>
                          <w:t>10,000,000.00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4"/>
                          <w:ind w:right="93"/>
                          <w:rPr>
                            <w:sz w:val="21"/>
                          </w:rPr>
                        </w:pPr>
                        <w:r>
                          <w:rPr>
                            <w:sz w:val="21"/>
                          </w:rPr>
                          <w:t>1.200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34"/>
                          <w:ind w:right="94"/>
                          <w:rPr>
                            <w:sz w:val="21"/>
                          </w:rPr>
                        </w:pPr>
                        <w:r>
                          <w:rPr>
                            <w:sz w:val="21"/>
                          </w:rPr>
                          <w:t>12,000,000.00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spacing w:before="34"/>
                          <w:ind w:right="93"/>
                          <w:rPr>
                            <w:sz w:val="21"/>
                          </w:rPr>
                        </w:pPr>
                        <w:r>
                          <w:rPr>
                            <w:sz w:val="21"/>
                          </w:rPr>
                          <w:t>0.00</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spacing w:before="34"/>
                          <w:ind w:right="94"/>
                          <w:rPr>
                            <w:sz w:val="21"/>
                          </w:rPr>
                        </w:pPr>
                        <w:r>
                          <w:rPr>
                            <w:sz w:val="21"/>
                          </w:rPr>
                          <w:t>12,000,000.00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34"/>
                          <w:ind w:right="93"/>
                          <w:rPr>
                            <w:sz w:val="21"/>
                          </w:rPr>
                        </w:pPr>
                        <w:r>
                          <w:rPr>
                            <w:sz w:val="21"/>
                          </w:rPr>
                          <w:t>0.3%</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36"/>
                          <w:ind w:right="93"/>
                          <w:rPr>
                            <w:sz w:val="21"/>
                          </w:rPr>
                        </w:pPr>
                        <w:r>
                          <w:rPr>
                            <w:sz w:val="21"/>
                          </w:rPr>
                          <w:t>1000</w:t>
                        </w:r>
                      </w:p>
                    </w:tc>
                  </w:tr>
                  <w:tr>
                    <w:trPr>
                      <w:trHeight w:val="623"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34"/>
                          <w:ind w:right="94"/>
                          <w:rPr>
                            <w:sz w:val="21"/>
                          </w:rPr>
                        </w:pPr>
                        <w:r>
                          <w:rPr>
                            <w:sz w:val="21"/>
                          </w:rPr>
                          <w:t>11,999,986.30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34"/>
                          <w:ind w:right="93"/>
                          <w:rPr>
                            <w:sz w:val="21"/>
                          </w:rPr>
                        </w:pPr>
                        <w:r>
                          <w:rPr>
                            <w:sz w:val="21"/>
                          </w:rPr>
                          <w:t>1.300</w:t>
                        </w:r>
                      </w:p>
                    </w:tc>
                  </w:tr>
                  <w:tr>
                    <w:trPr>
                      <w:trHeight w:val="311"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34"/>
                          <w:ind w:right="94"/>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4"/>
          <w:w w:val="100"/>
        </w:rPr>
        <w:t>务费率为</w:t>
      </w:r>
      <w:r>
        <w:rPr>
          <w:spacing w:val="-4"/>
        </w:rPr>
        <w:t> </w:t>
      </w:r>
      <w:r>
        <w:rPr>
          <w:rFonts w:ascii="Times New Roman" w:eastAsia="Times New Roman"/>
          <w:w w:val="100"/>
        </w:rPr>
        <w:t>0</w:t>
      </w:r>
      <w:r>
        <w:rPr>
          <w:rFonts w:ascii="Times New Roman" w:eastAsia="Times New Roman"/>
          <w:spacing w:val="-3"/>
          <w:w w:val="100"/>
        </w:rPr>
        <w:t>.</w:t>
      </w:r>
      <w:r>
        <w:rPr>
          <w:rFonts w:ascii="Times New Roman" w:eastAsia="Times New Roman"/>
          <w:w w:val="100"/>
        </w:rPr>
        <w:t>3</w:t>
      </w:r>
      <w:r>
        <w:rPr>
          <w:rFonts w:ascii="Times New Roman" w:eastAsia="Times New Roman"/>
          <w:spacing w:val="-4"/>
          <w:w w:val="100"/>
        </w:rPr>
        <w:t>%</w:t>
      </w:r>
      <w:r>
        <w:rPr>
          <w:spacing w:val="-16"/>
          <w:w w:val="100"/>
        </w:rPr>
        <w:t>，此时转出不收取赎回费。乙基金适用固定申购费</w:t>
      </w:r>
      <w:r>
        <w:rPr>
          <w:spacing w:val="-16"/>
        </w:rPr>
        <w:t> </w:t>
      </w:r>
      <w:r>
        <w:rPr>
          <w:rFonts w:ascii="Times New Roman" w:eastAsia="Times New Roman"/>
          <w:w w:val="100"/>
        </w:rPr>
        <w:t>10</w:t>
      </w:r>
      <w:r>
        <w:rPr>
          <w:rFonts w:ascii="Times New Roman" w:eastAsia="Times New Roman"/>
          <w:spacing w:val="-3"/>
          <w:w w:val="100"/>
        </w:rPr>
        <w:t>0</w:t>
      </w:r>
      <w:r>
        <w:rPr>
          <w:rFonts w:ascii="Times New Roman" w:eastAsia="Times New Roman"/>
          <w:w w:val="100"/>
        </w:rPr>
        <w:t>0</w:t>
      </w:r>
      <w:r>
        <w:rPr>
          <w:rFonts w:ascii="Times New Roman" w:eastAsia="Times New Roman"/>
        </w:rPr>
        <w:t> </w:t>
      </w:r>
      <w:r>
        <w:rPr>
          <w:spacing w:val="-12"/>
          <w:w w:val="100"/>
        </w:rPr>
        <w:t>元。则转出基金费用、</w:t>
      </w:r>
      <w:r>
        <w:rPr>
          <w:spacing w:val="-6"/>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before="1"/>
        <w:ind w:left="96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ind w:left="540" w:right="20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w:t>
      </w:r>
    </w:p>
    <w:p>
      <w:pPr>
        <w:spacing w:after="0" w:line="417" w:lineRule="auto"/>
        <w:sectPr>
          <w:pgSz w:w="11910" w:h="16840"/>
          <w:pgMar w:header="877" w:footer="995" w:top="1420" w:bottom="1180" w:left="1260" w:right="1480"/>
        </w:sectPr>
      </w:pPr>
    </w:p>
    <w:p>
      <w:pPr>
        <w:pStyle w:val="BodyText"/>
        <w:spacing w:before="110"/>
        <w:ind w:left="540"/>
      </w:pPr>
      <w:r>
        <w:rPr/>
        <w:t>则转出基金费用、转入基金费用及份额计算如下：</w:t>
      </w:r>
    </w:p>
    <w:p>
      <w:pPr>
        <w:pStyle w:val="BodyText"/>
        <w:spacing w:before="9"/>
        <w:rPr>
          <w:sz w:val="7"/>
        </w:r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1" w:hRule="atLeast"/>
        </w:trPr>
        <w:tc>
          <w:tcPr>
            <w:tcW w:w="4242" w:type="dxa"/>
          </w:tcPr>
          <w:p>
            <w:pPr>
              <w:pStyle w:val="TableParagraph"/>
              <w:ind w:right="936"/>
              <w:rPr>
                <w:rFonts w:ascii="宋体" w:eastAsia="宋体" w:hint="eastAsia"/>
                <w:sz w:val="21"/>
              </w:rPr>
            </w:pPr>
            <w:r>
              <w:rPr>
                <w:rFonts w:ascii="宋体" w:eastAsia="宋体" w:hint="eastAsia"/>
                <w:sz w:val="21"/>
              </w:rPr>
              <w:t>项目</w:t>
            </w:r>
          </w:p>
        </w:tc>
        <w:tc>
          <w:tcPr>
            <w:tcW w:w="3222" w:type="dxa"/>
          </w:tcPr>
          <w:p>
            <w:pPr>
              <w:pStyle w:val="TableParagraph"/>
              <w:ind w:left="1171" w:right="1161"/>
              <w:jc w:val="center"/>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before="34"/>
              <w:ind w:right="92"/>
              <w:rPr>
                <w:sz w:val="21"/>
              </w:rPr>
            </w:pPr>
            <w:r>
              <w:rPr>
                <w:sz w:val="21"/>
              </w:rPr>
              <w:t>1,000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before="34"/>
              <w:ind w:right="92"/>
              <w:rPr>
                <w:sz w:val="21"/>
              </w:rPr>
            </w:pPr>
            <w:r>
              <w:rPr>
                <w:sz w:val="21"/>
              </w:rPr>
              <w:t>1.200</w:t>
            </w:r>
          </w:p>
        </w:tc>
      </w:tr>
      <w:tr>
        <w:trPr>
          <w:trHeight w:val="313"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36"/>
              <w:ind w:right="92"/>
              <w:rPr>
                <w:sz w:val="21"/>
              </w:rPr>
            </w:pPr>
            <w:r>
              <w:rPr>
                <w:sz w:val="21"/>
              </w:rPr>
              <w:t>1,200.00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before="34"/>
              <w:ind w:right="92"/>
              <w:rPr>
                <w:sz w:val="21"/>
              </w:rPr>
            </w:pPr>
            <w:r>
              <w:rPr>
                <w:sz w:val="21"/>
              </w:rPr>
              <w:t>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before="34"/>
              <w:ind w:right="92"/>
              <w:rPr>
                <w:sz w:val="21"/>
              </w:rPr>
            </w:pPr>
            <w:r>
              <w:rPr>
                <w:sz w:val="21"/>
              </w:rPr>
              <w:t>1,200.00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spacing w:before="34"/>
              <w:ind w:right="92"/>
              <w:rPr>
                <w:sz w:val="21"/>
              </w:rPr>
            </w:pPr>
            <w:r>
              <w:rPr>
                <w:sz w:val="21"/>
              </w:rPr>
              <w:t>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before="34"/>
              <w:ind w:right="92"/>
              <w:rPr>
                <w:sz w:val="21"/>
              </w:rPr>
            </w:pPr>
            <w:r>
              <w:rPr>
                <w:sz w:val="21"/>
              </w:rPr>
              <w:t>1,200.00</w:t>
            </w:r>
          </w:p>
        </w:tc>
      </w:tr>
      <w:tr>
        <w:trPr>
          <w:trHeight w:val="311" w:hRule="atLeast"/>
        </w:trPr>
        <w:tc>
          <w:tcPr>
            <w:tcW w:w="4242" w:type="dxa"/>
          </w:tcPr>
          <w:p>
            <w:pPr>
              <w:pStyle w:val="TableParagraph"/>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before="34"/>
              <w:ind w:right="92"/>
              <w:rPr>
                <w:sz w:val="21"/>
              </w:rPr>
            </w:pPr>
            <w:r>
              <w:rPr>
                <w:sz w:val="21"/>
              </w:rPr>
              <w:t>1.500</w:t>
            </w:r>
          </w:p>
        </w:tc>
      </w:tr>
      <w:tr>
        <w:trPr>
          <w:trHeight w:val="314"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37"/>
              <w:ind w:right="92"/>
              <w:rPr>
                <w:sz w:val="21"/>
              </w:rPr>
            </w:pPr>
            <w:r>
              <w:rPr>
                <w:sz w:val="21"/>
              </w:rPr>
              <w:t>800.00</w:t>
            </w:r>
          </w:p>
        </w:tc>
      </w:tr>
    </w:tbl>
    <w:p>
      <w:pPr>
        <w:pStyle w:val="BodyText"/>
        <w:spacing w:line="417" w:lineRule="auto" w:before="100"/>
        <w:ind w:left="540" w:right="313" w:firstLine="419"/>
        <w:jc w:val="both"/>
      </w:pPr>
      <w:r>
        <w:rPr/>
        <w:pict>
          <v:shape style="position:absolute;margin-left:110.779999pt;margin-top:70.219963pt;width:374.15pt;height:145.35pt;mso-position-horizontal-relative:page;mso-position-vertical-relative:paragraph;z-index:251704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ind w:right="938"/>
                          <w:rPr>
                            <w:rFonts w:ascii="宋体" w:eastAsia="宋体" w:hint="eastAsia"/>
                            <w:sz w:val="21"/>
                          </w:rPr>
                        </w:pPr>
                        <w:r>
                          <w:rPr>
                            <w:rFonts w:ascii="宋体" w:eastAsia="宋体" w:hint="eastAsia"/>
                            <w:sz w:val="21"/>
                          </w:rPr>
                          <w:t>项目</w:t>
                        </w:r>
                      </w:p>
                    </w:tc>
                    <w:tc>
                      <w:tcPr>
                        <w:tcW w:w="3224" w:type="dxa"/>
                      </w:tcPr>
                      <w:p>
                        <w:pPr>
                          <w:pStyle w:val="TableParagraph"/>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spacing w:before="34"/>
                          <w:ind w:right="93"/>
                          <w:rPr>
                            <w:sz w:val="21"/>
                          </w:rPr>
                        </w:pPr>
                        <w:r>
                          <w:rPr>
                            <w:sz w:val="21"/>
                          </w:rPr>
                          <w:t>800.00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spacing w:before="34"/>
                          <w:ind w:right="93"/>
                          <w:rPr>
                            <w:sz w:val="21"/>
                          </w:rPr>
                        </w:pPr>
                        <w:r>
                          <w:rPr>
                            <w:sz w:val="21"/>
                          </w:rPr>
                          <w:t>1.300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before="34"/>
                          <w:ind w:right="94"/>
                          <w:rPr>
                            <w:sz w:val="21"/>
                          </w:rPr>
                        </w:pPr>
                        <w:r>
                          <w:rPr>
                            <w:sz w:val="21"/>
                          </w:rPr>
                          <w:t>1,040.00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6"/>
                          <w:ind w:right="93"/>
                          <w:rPr>
                            <w:sz w:val="21"/>
                          </w:rPr>
                        </w:pPr>
                        <w:r>
                          <w:rPr>
                            <w:sz w:val="21"/>
                          </w:rPr>
                          <w:t>0.5%</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before="34"/>
                          <w:ind w:right="93"/>
                          <w:rPr>
                            <w:sz w:val="21"/>
                          </w:rPr>
                        </w:pPr>
                        <w:r>
                          <w:rPr>
                            <w:sz w:val="21"/>
                          </w:rPr>
                          <w:t>5.20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spacing w:before="34"/>
                          <w:ind w:right="93"/>
                          <w:rPr>
                            <w:sz w:val="21"/>
                          </w:rPr>
                        </w:pPr>
                        <w:r>
                          <w:rPr>
                            <w:sz w:val="21"/>
                          </w:rPr>
                          <w:t>1.0%</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后端申购费（</w:t>
                        </w:r>
                        <w:r>
                          <w:rPr>
                            <w:sz w:val="21"/>
                          </w:rPr>
                          <w:t>P=J*H*O/(1+O)</w:t>
                        </w:r>
                        <w:r>
                          <w:rPr>
                            <w:rFonts w:ascii="宋体" w:eastAsia="宋体" w:hint="eastAsia"/>
                            <w:sz w:val="21"/>
                          </w:rPr>
                          <w:t>）</w:t>
                        </w:r>
                      </w:p>
                    </w:tc>
                    <w:tc>
                      <w:tcPr>
                        <w:tcW w:w="3224" w:type="dxa"/>
                      </w:tcPr>
                      <w:p>
                        <w:pPr>
                          <w:pStyle w:val="TableParagraph"/>
                          <w:spacing w:before="34"/>
                          <w:ind w:right="93"/>
                          <w:rPr>
                            <w:sz w:val="21"/>
                          </w:rPr>
                        </w:pPr>
                        <w:r>
                          <w:rPr>
                            <w:sz w:val="21"/>
                          </w:rPr>
                          <w:t>11.88</w:t>
                        </w:r>
                      </w:p>
                    </w:tc>
                  </w:tr>
                  <w:tr>
                    <w:trPr>
                      <w:trHeight w:val="311" w:hRule="atLeast"/>
                    </w:trPr>
                    <w:tc>
                      <w:tcPr>
                        <w:tcW w:w="4244" w:type="dxa"/>
                      </w:tcPr>
                      <w:p>
                        <w:pPr>
                          <w:pStyle w:val="TableParagraph"/>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spacing w:before="34"/>
                          <w:ind w:right="94"/>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BodyText"/>
        <w:spacing w:line="417" w:lineRule="auto" w:before="1"/>
        <w:ind w:left="540" w:right="311" w:firstLine="419"/>
        <w:jc w:val="both"/>
      </w:pPr>
      <w:r>
        <w:rPr/>
        <w:pict>
          <v:shape style="position:absolute;margin-left:110.779999pt;margin-top:65.269951pt;width:374pt;height:177.65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4" w:hRule="atLeast"/>
                    </w:trPr>
                    <w:tc>
                      <w:tcPr>
                        <w:tcW w:w="4244" w:type="dxa"/>
                      </w:tcPr>
                      <w:p>
                        <w:pPr>
                          <w:pStyle w:val="TableParagraph"/>
                          <w:spacing w:before="25"/>
                          <w:ind w:left="570" w:right="560"/>
                          <w:jc w:val="center"/>
                          <w:rPr>
                            <w:rFonts w:ascii="宋体" w:eastAsia="宋体" w:hint="eastAsia"/>
                            <w:sz w:val="21"/>
                          </w:rPr>
                        </w:pPr>
                        <w:r>
                          <w:rPr>
                            <w:rFonts w:ascii="宋体" w:eastAsia="宋体" w:hint="eastAsia"/>
                            <w:sz w:val="21"/>
                          </w:rPr>
                          <w:t>项目</w:t>
                        </w:r>
                      </w:p>
                    </w:tc>
                    <w:tc>
                      <w:tcPr>
                        <w:tcW w:w="3221" w:type="dxa"/>
                      </w:tcPr>
                      <w:p>
                        <w:pPr>
                          <w:pStyle w:val="TableParagraph"/>
                          <w:spacing w:before="25"/>
                          <w:ind w:left="1171" w:right="1159"/>
                          <w:jc w:val="center"/>
                          <w:rPr>
                            <w:rFonts w:ascii="宋体" w:eastAsia="宋体" w:hint="eastAsia"/>
                            <w:sz w:val="21"/>
                          </w:rPr>
                        </w:pPr>
                        <w:r>
                          <w:rPr>
                            <w:rFonts w:ascii="宋体" w:eastAsia="宋体" w:hint="eastAsia"/>
                            <w:sz w:val="21"/>
                          </w:rPr>
                          <w:t>费用计算</w:t>
                        </w:r>
                      </w:p>
                    </w:tc>
                  </w:tr>
                  <w:tr>
                    <w:trPr>
                      <w:trHeight w:val="312"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1,000.00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1.300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1,300.00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0.1%</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1.30</w:t>
                        </w:r>
                      </w:p>
                    </w:tc>
                  </w:tr>
                  <w:tr>
                    <w:trPr>
                      <w:trHeight w:val="313" w:hRule="atLeast"/>
                    </w:trPr>
                    <w:tc>
                      <w:tcPr>
                        <w:tcW w:w="4244" w:type="dxa"/>
                      </w:tcPr>
                      <w:p>
                        <w:pPr>
                          <w:pStyle w:val="TableParagraph"/>
                          <w:spacing w:before="25"/>
                          <w:ind w:left="571" w:right="560"/>
                          <w:jc w:val="center"/>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left="1171" w:right="1159"/>
                          <w:jc w:val="center"/>
                          <w:rPr>
                            <w:sz w:val="21"/>
                          </w:rPr>
                        </w:pPr>
                        <w:r>
                          <w:rPr>
                            <w:sz w:val="21"/>
                          </w:rPr>
                          <w:t>1,298.70</w:t>
                        </w:r>
                      </w:p>
                    </w:tc>
                  </w:tr>
                  <w:tr>
                    <w:trPr>
                      <w:trHeight w:val="311" w:hRule="atLeast"/>
                    </w:trPr>
                    <w:tc>
                      <w:tcPr>
                        <w:tcW w:w="4244" w:type="dxa"/>
                      </w:tcPr>
                      <w:p>
                        <w:pPr>
                          <w:pStyle w:val="TableParagraph"/>
                          <w:ind w:left="567" w:right="560"/>
                          <w:jc w:val="center"/>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0.00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spacing w:before="34"/>
                          <w:ind w:left="1171" w:right="1159"/>
                          <w:jc w:val="center"/>
                          <w:rPr>
                            <w:sz w:val="21"/>
                          </w:rPr>
                        </w:pPr>
                        <w:r>
                          <w:rPr>
                            <w:sz w:val="21"/>
                          </w:rPr>
                          <w:t>1,298.70</w:t>
                        </w:r>
                      </w:p>
                    </w:tc>
                  </w:tr>
                  <w:tr>
                    <w:trPr>
                      <w:trHeight w:val="311" w:hRule="atLeast"/>
                    </w:trPr>
                    <w:tc>
                      <w:tcPr>
                        <w:tcW w:w="4244" w:type="dxa"/>
                      </w:tcPr>
                      <w:p>
                        <w:pPr>
                          <w:pStyle w:val="TableParagraph"/>
                          <w:ind w:left="571" w:right="560"/>
                          <w:jc w:val="center"/>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1.500</w:t>
                        </w:r>
                      </w:p>
                    </w:tc>
                  </w:tr>
                  <w:tr>
                    <w:trPr>
                      <w:trHeight w:val="311" w:hRule="atLeast"/>
                    </w:trPr>
                    <w:tc>
                      <w:tcPr>
                        <w:tcW w:w="4244" w:type="dxa"/>
                      </w:tcPr>
                      <w:p>
                        <w:pPr>
                          <w:pStyle w:val="TableParagraph"/>
                          <w:ind w:left="569" w:right="560"/>
                          <w:jc w:val="center"/>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spacing w:before="34"/>
                          <w:ind w:left="1171" w:right="1157"/>
                          <w:jc w:val="center"/>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ind w:left="960"/>
      </w:pPr>
      <w:r>
        <w:rPr/>
        <w:t>（十三）基金的非交易过户</w:t>
      </w:r>
    </w:p>
    <w:p>
      <w:pPr>
        <w:pStyle w:val="BodyText"/>
        <w:spacing w:before="7"/>
        <w:rPr>
          <w:sz w:val="15"/>
        </w:rPr>
      </w:pPr>
    </w:p>
    <w:p>
      <w:pPr>
        <w:pStyle w:val="BodyText"/>
        <w:ind w:left="960"/>
      </w:pPr>
      <w:r>
        <w:rPr/>
        <w:t>基金的非交易过户是指基金登记机构受理继承、捐赠和司法强制执行等情形而产生的非</w:t>
      </w:r>
    </w:p>
    <w:p>
      <w:pPr>
        <w:spacing w:after="0"/>
        <w:sectPr>
          <w:pgSz w:w="11910" w:h="16840"/>
          <w:pgMar w:header="877" w:footer="995" w:top="1420" w:bottom="1180" w:left="1260" w:right="1480"/>
        </w:sectPr>
      </w:pPr>
    </w:p>
    <w:p>
      <w:pPr>
        <w:pStyle w:val="BodyText"/>
        <w:spacing w:line="417" w:lineRule="auto" w:before="110"/>
        <w:ind w:left="540" w:right="311"/>
      </w:pPr>
      <w:r>
        <w:rPr>
          <w:spacing w:val="-8"/>
        </w:rPr>
        <w:t>交易过户以及登记机构认可、符合法律法规的其它非交易过户。无论在上述何种情况下，接</w:t>
      </w:r>
      <w:r>
        <w:rPr>
          <w:spacing w:val="-5"/>
        </w:rPr>
        <w:t>受划转的主体必须是依法可以持有本基金基金份额的投资人。</w:t>
      </w:r>
    </w:p>
    <w:p>
      <w:pPr>
        <w:pStyle w:val="BodyText"/>
        <w:spacing w:line="417" w:lineRule="auto"/>
        <w:ind w:left="540" w:right="3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960"/>
      </w:pPr>
      <w:r>
        <w:rPr/>
        <w:t>（十四）基金的转托管</w:t>
      </w:r>
    </w:p>
    <w:p>
      <w:pPr>
        <w:pStyle w:val="BodyText"/>
        <w:spacing w:before="6"/>
        <w:rPr>
          <w:sz w:val="15"/>
        </w:rPr>
      </w:pPr>
    </w:p>
    <w:p>
      <w:pPr>
        <w:pStyle w:val="BodyText"/>
        <w:spacing w:line="417" w:lineRule="auto"/>
        <w:ind w:left="540" w:right="3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960"/>
      </w:pPr>
      <w:r>
        <w:rPr/>
        <w:t>（十五）定期定额投资计划</w:t>
      </w:r>
    </w:p>
    <w:p>
      <w:pPr>
        <w:pStyle w:val="BodyText"/>
        <w:spacing w:before="7"/>
        <w:rPr>
          <w:sz w:val="15"/>
        </w:rPr>
      </w:pPr>
    </w:p>
    <w:p>
      <w:pPr>
        <w:pStyle w:val="BodyText"/>
        <w:spacing w:line="417" w:lineRule="auto"/>
        <w:ind w:left="540" w:right="3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ind w:left="960"/>
      </w:pPr>
      <w:r>
        <w:rPr/>
        <w:t>（十六）基金的冻结和解冻</w:t>
      </w:r>
    </w:p>
    <w:p>
      <w:pPr>
        <w:pStyle w:val="BodyText"/>
        <w:spacing w:before="6"/>
        <w:rPr>
          <w:sz w:val="15"/>
        </w:rPr>
      </w:pPr>
    </w:p>
    <w:p>
      <w:pPr>
        <w:pStyle w:val="BodyText"/>
        <w:spacing w:line="417" w:lineRule="auto" w:before="1"/>
        <w:ind w:left="540" w:right="31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960"/>
      </w:pPr>
      <w:r>
        <w:rPr/>
        <w:t>（十七）基金份额的转让</w:t>
      </w:r>
    </w:p>
    <w:p>
      <w:pPr>
        <w:pStyle w:val="BodyText"/>
        <w:spacing w:before="6"/>
        <w:rPr>
          <w:sz w:val="15"/>
        </w:rPr>
      </w:pPr>
    </w:p>
    <w:p>
      <w:pPr>
        <w:pStyle w:val="BodyText"/>
        <w:spacing w:line="417" w:lineRule="auto"/>
        <w:ind w:left="540" w:right="104"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540" w:right="31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BodyText"/>
        <w:spacing w:before="8"/>
        <w:rPr>
          <w:sz w:val="26"/>
        </w:rPr>
      </w:pPr>
    </w:p>
    <w:p>
      <w:pPr>
        <w:pStyle w:val="Heading1"/>
      </w:pPr>
      <w:bookmarkStart w:name="_bookmark8" w:id="9"/>
      <w:bookmarkEnd w:id="9"/>
      <w:r>
        <w:rPr>
          <w:b w:val="0"/>
        </w:rPr>
      </w:r>
      <w:r>
        <w:rPr/>
        <w:t>九、基金的投资</w:t>
      </w:r>
    </w:p>
    <w:p>
      <w:pPr>
        <w:pStyle w:val="BodyText"/>
        <w:rPr>
          <w:b/>
          <w:sz w:val="20"/>
        </w:rPr>
      </w:pPr>
    </w:p>
    <w:p>
      <w:pPr>
        <w:pStyle w:val="BodyText"/>
        <w:spacing w:before="2"/>
        <w:rPr>
          <w:b/>
        </w:rPr>
      </w:pPr>
    </w:p>
    <w:p>
      <w:pPr>
        <w:pStyle w:val="BodyText"/>
        <w:ind w:left="960"/>
      </w:pPr>
      <w:r>
        <w:rPr/>
        <w:t>（一）投资目标</w:t>
      </w:r>
    </w:p>
    <w:p>
      <w:pPr>
        <w:pStyle w:val="BodyText"/>
        <w:spacing w:before="7"/>
        <w:rPr>
          <w:sz w:val="15"/>
        </w:rPr>
      </w:pPr>
    </w:p>
    <w:p>
      <w:pPr>
        <w:pStyle w:val="BodyText"/>
        <w:ind w:left="960"/>
      </w:pPr>
      <w:r>
        <w:rPr/>
        <w:t>把握市场发展趋势，在有效控制风险的前提下，力求基金资产的长期稳健增值。</w:t>
      </w:r>
    </w:p>
    <w:p>
      <w:pPr>
        <w:pStyle w:val="BodyText"/>
        <w:spacing w:before="7"/>
        <w:rPr>
          <w:sz w:val="15"/>
        </w:rPr>
      </w:pPr>
    </w:p>
    <w:p>
      <w:pPr>
        <w:pStyle w:val="BodyText"/>
        <w:ind w:left="960"/>
      </w:pPr>
      <w:r>
        <w:rPr/>
        <w:t>（二）投资范围</w:t>
      </w:r>
    </w:p>
    <w:p>
      <w:pPr>
        <w:pStyle w:val="BodyText"/>
        <w:spacing w:before="6"/>
        <w:rPr>
          <w:sz w:val="15"/>
        </w:rPr>
      </w:pPr>
    </w:p>
    <w:p>
      <w:pPr>
        <w:pStyle w:val="BodyText"/>
        <w:spacing w:line="417" w:lineRule="auto" w:before="1"/>
        <w:ind w:left="540" w:right="311" w:firstLine="419"/>
      </w:pPr>
      <w:r>
        <w:rPr>
          <w:spacing w:val="-8"/>
        </w:rPr>
        <w:t>本基金的投资范围为具有良好流动性的金融工具，包括国内依法发行上市的股票</w:t>
      </w:r>
      <w:r>
        <w:rPr>
          <w:spacing w:val="-3"/>
        </w:rPr>
        <w:t>（</w:t>
      </w:r>
      <w:r>
        <w:rPr/>
        <w:t>包括</w:t>
      </w:r>
      <w:r>
        <w:rPr>
          <w:spacing w:val="-3"/>
        </w:rPr>
        <w:t>创业板、中小板、存托凭证及其他经中国证监会核准上市的股票</w:t>
      </w:r>
      <w:r>
        <w:rPr>
          <w:spacing w:val="-108"/>
        </w:rPr>
        <w:t>）</w:t>
      </w:r>
      <w:r>
        <w:rPr>
          <w:spacing w:val="-2"/>
        </w:rPr>
        <w:t>、债券</w:t>
      </w:r>
      <w:r>
        <w:rPr/>
        <w:t>（</w:t>
      </w:r>
      <w:r>
        <w:rPr>
          <w:spacing w:val="-3"/>
        </w:rPr>
        <w:t>包括国债、央行</w:t>
      </w:r>
    </w:p>
    <w:p>
      <w:pPr>
        <w:spacing w:after="0" w:line="417" w:lineRule="auto"/>
        <w:sectPr>
          <w:pgSz w:w="11910" w:h="16840"/>
          <w:pgMar w:header="877" w:footer="995" w:top="1420" w:bottom="1180" w:left="1260" w:right="1480"/>
        </w:sectPr>
      </w:pPr>
    </w:p>
    <w:p>
      <w:pPr>
        <w:pStyle w:val="BodyText"/>
        <w:spacing w:line="417" w:lineRule="auto" w:before="110"/>
        <w:ind w:left="540" w:right="311"/>
        <w:jc w:val="both"/>
      </w:pPr>
      <w:r>
        <w:rPr>
          <w:spacing w:val="-20"/>
        </w:rPr>
        <w:t>票据、金融债券、企业债券、公司债券、中期票据、短期融资券、超短期融资券、次级债券、</w:t>
      </w:r>
      <w:r>
        <w:rPr>
          <w:spacing w:val="-13"/>
        </w:rPr>
        <w:t>政府支持机构债券、政府支持债券、地方政府债券、中小企业私募债券、可转换债券、可交</w:t>
      </w:r>
      <w:r>
        <w:rPr>
          <w:spacing w:val="-6"/>
        </w:rPr>
        <w:t>换债券及其他经中国证监会允许投资的债券</w:t>
      </w:r>
      <w:r>
        <w:rPr>
          <w:spacing w:val="-106"/>
        </w:rPr>
        <w:t>）</w:t>
      </w:r>
      <w:r>
        <w:rPr>
          <w:spacing w:val="-11"/>
        </w:rPr>
        <w:t>、货币市场工具</w:t>
      </w:r>
      <w:r>
        <w:rPr>
          <w:spacing w:val="-3"/>
        </w:rPr>
        <w:t>（含同业存单</w:t>
      </w:r>
      <w:r>
        <w:rPr>
          <w:spacing w:val="-106"/>
        </w:rPr>
        <w:t>）</w:t>
      </w:r>
      <w:r>
        <w:rPr>
          <w:spacing w:val="-10"/>
        </w:rPr>
        <w:t>、权证、资产支</w:t>
      </w:r>
      <w:r>
        <w:rPr>
          <w:spacing w:val="-13"/>
        </w:rPr>
        <w:t>持证券、股指期货、国债期货、股票期权以及法律法规或中国证监会允许基金投资的其他金</w:t>
      </w:r>
      <w:r>
        <w:rPr>
          <w:spacing w:val="-10"/>
        </w:rPr>
        <w:t>融工具</w:t>
      </w:r>
      <w:r>
        <w:rPr/>
        <w:t>（</w:t>
      </w:r>
      <w:r>
        <w:rPr>
          <w:spacing w:val="-3"/>
        </w:rPr>
        <w:t>但须符合中国证监会相关规定</w:t>
      </w:r>
      <w:r>
        <w:rPr>
          <w:spacing w:val="-108"/>
        </w:rPr>
        <w:t>）</w:t>
      </w:r>
      <w:r>
        <w:rPr/>
        <w:t>。</w:t>
      </w: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40" w:right="311" w:firstLine="419"/>
        <w:jc w:val="both"/>
      </w:pPr>
      <w:r>
        <w:rPr>
          <w:spacing w:val="-7"/>
        </w:rPr>
        <w:t>基金的投资组合比例为：股票资产占基金资产的比例为 </w:t>
      </w:r>
      <w:r>
        <w:rPr>
          <w:rFonts w:ascii="Times New Roman" w:hAnsi="Times New Roman" w:eastAsia="Times New Roman"/>
          <w:spacing w:val="-5"/>
        </w:rPr>
        <w:t>80%</w:t>
      </w:r>
      <w:r>
        <w:rPr>
          <w:spacing w:val="-5"/>
        </w:rPr>
        <w:t>–</w:t>
      </w:r>
      <w:r>
        <w:rPr>
          <w:rFonts w:ascii="Times New Roman" w:hAnsi="Times New Roman" w:eastAsia="Times New Roman"/>
          <w:spacing w:val="-5"/>
        </w:rPr>
        <w:t>95%</w:t>
      </w:r>
      <w:r>
        <w:rPr>
          <w:spacing w:val="-6"/>
        </w:rPr>
        <w:t>，其中，创新前沿主</w:t>
      </w:r>
      <w:r>
        <w:rPr>
          <w:spacing w:val="-4"/>
        </w:rPr>
        <w:t>题相关股票比例不低于非现金基金资产的 </w:t>
      </w:r>
      <w:r>
        <w:rPr>
          <w:rFonts w:ascii="Times New Roman" w:hAnsi="Times New Roman" w:eastAsia="Times New Roman"/>
        </w:rPr>
        <w:t>80%</w:t>
      </w:r>
      <w:r>
        <w:rPr>
          <w:spacing w:val="-1"/>
        </w:rPr>
        <w:t>。每个交易日日终在扣除股指期货、国债期</w:t>
      </w:r>
      <w:r>
        <w:rPr>
          <w:spacing w:val="-5"/>
        </w:rPr>
        <w:t>货和股票期权合约需缴纳的交易保证金后，保持不低于基金资产净值 </w:t>
      </w:r>
      <w:r>
        <w:rPr>
          <w:rFonts w:ascii="Times New Roman" w:hAnsi="Times New Roman" w:eastAsia="Times New Roman"/>
        </w:rPr>
        <w:t>5%</w:t>
      </w:r>
      <w:r>
        <w:rPr>
          <w:spacing w:val="-3"/>
        </w:rPr>
        <w:t>的现金或者到期日在一年以内的政府债券。</w:t>
      </w:r>
    </w:p>
    <w:p>
      <w:pPr>
        <w:pStyle w:val="BodyText"/>
        <w:spacing w:line="268" w:lineRule="exact"/>
        <w:ind w:left="960"/>
      </w:pPr>
      <w:r>
        <w:rPr/>
        <w:t>（三）投资策略</w:t>
      </w:r>
    </w:p>
    <w:p>
      <w:pPr>
        <w:pStyle w:val="BodyText"/>
        <w:spacing w:before="6"/>
        <w:rPr>
          <w:sz w:val="15"/>
        </w:rPr>
      </w:pPr>
    </w:p>
    <w:p>
      <w:pPr>
        <w:pStyle w:val="BodyText"/>
        <w:ind w:left="960"/>
      </w:pPr>
      <w:r>
        <w:rPr>
          <w:rFonts w:ascii="Times New Roman" w:eastAsia="Times New Roman"/>
        </w:rPr>
        <w:t>1</w:t>
      </w:r>
      <w:r>
        <w:rPr/>
        <w:t>、资产配置策略</w:t>
      </w:r>
    </w:p>
    <w:p>
      <w:pPr>
        <w:pStyle w:val="BodyText"/>
        <w:spacing w:before="6"/>
        <w:rPr>
          <w:sz w:val="15"/>
        </w:rPr>
      </w:pPr>
    </w:p>
    <w:p>
      <w:pPr>
        <w:pStyle w:val="BodyText"/>
        <w:spacing w:line="417" w:lineRule="auto" w:before="1"/>
        <w:ind w:left="540" w:right="210" w:firstLine="419"/>
        <w:jc w:val="both"/>
      </w:pPr>
      <w:r>
        <w:rPr>
          <w:spacing w:val="-8"/>
        </w:rPr>
        <w:t>本基金通过对宏观经济环境的研究、结合国家财政政策、货币政策形势以及证券市场走</w:t>
      </w:r>
      <w:r>
        <w:rPr>
          <w:spacing w:val="-12"/>
        </w:rPr>
        <w:t>势的综合分析，主动判断市场时机，进行积极的资产配置，合理确定基金在股票、债券等各</w:t>
      </w:r>
      <w:r>
        <w:rPr>
          <w:spacing w:val="-6"/>
        </w:rPr>
        <w:t>类资产类别上的投资比例，并随着各类资产风险收益特征的相对变化，适时进行动态调整。</w:t>
      </w:r>
    </w:p>
    <w:p>
      <w:pPr>
        <w:pStyle w:val="BodyText"/>
        <w:ind w:left="960"/>
      </w:pPr>
      <w:r>
        <w:rPr>
          <w:rFonts w:ascii="Times New Roman" w:eastAsia="Times New Roman"/>
        </w:rPr>
        <w:t>2</w:t>
      </w:r>
      <w:r>
        <w:rPr/>
        <w:t>、股票投资策略</w:t>
      </w:r>
    </w:p>
    <w:p>
      <w:pPr>
        <w:pStyle w:val="BodyText"/>
        <w:spacing w:before="6"/>
        <w:rPr>
          <w:sz w:val="15"/>
        </w:rPr>
      </w:pPr>
    </w:p>
    <w:p>
      <w:pPr>
        <w:pStyle w:val="BodyText"/>
        <w:ind w:left="960"/>
      </w:pPr>
      <w:r>
        <w:rPr/>
        <w:t>①创新前沿主题定义</w:t>
      </w:r>
    </w:p>
    <w:p>
      <w:pPr>
        <w:pStyle w:val="BodyText"/>
        <w:spacing w:before="7"/>
        <w:rPr>
          <w:sz w:val="15"/>
        </w:rPr>
      </w:pPr>
    </w:p>
    <w:p>
      <w:pPr>
        <w:pStyle w:val="BodyText"/>
        <w:spacing w:line="417" w:lineRule="auto"/>
        <w:ind w:left="540" w:right="208" w:firstLine="419"/>
      </w:pPr>
      <w:r>
        <w:rPr>
          <w:spacing w:val="-8"/>
        </w:rPr>
        <w:t>创新是国家和企业的经济发展的最核心驱动力，面对日益激烈的竞争环境，只有不断保</w:t>
      </w:r>
      <w:r>
        <w:rPr>
          <w:spacing w:val="-10"/>
        </w:rPr>
        <w:t>持创新才能获得和保持竞争优势。创新是推动人类社会进步的重要力量，创新是推动社会经</w:t>
      </w:r>
      <w:r>
        <w:rPr>
          <w:spacing w:val="-12"/>
        </w:rPr>
        <w:t>济发展的重要动力，我国的经济发展目前处于科技快速发展、创新不断涌现和经济转型的背景下，未来的发展需要创新来推动，国家高度重视，把科技创新摆在更加重要位置，面向世界科技前沿、面向经济主战场、面向国家重大需求，加快各领域科技创新，掌握全球科技竞争先机，因此本基金重点关注创新前沿主题公司所带来的投资机遇，所指的创新前沿主题主要指对人们的生活、企业的发展和社会的生产力具有促进作用的技术变革、科技创新以及各</w:t>
      </w:r>
      <w:r>
        <w:rPr>
          <w:spacing w:val="-13"/>
        </w:rPr>
        <w:t>类推动企业发展的创新，包括科技创新、技术创新、产品创新、服务创新、营销创新、流程</w:t>
      </w:r>
      <w:r>
        <w:rPr>
          <w:spacing w:val="-6"/>
        </w:rPr>
        <w:t>创新、制度创新、管理模式创新、商业模式创新、市场创新等多个维度，以科学技术驱动， </w:t>
      </w:r>
      <w:r>
        <w:rPr>
          <w:spacing w:val="-4"/>
        </w:rPr>
        <w:t>创造新技术、新工艺和新产品，采用新的生产方式和管理模式，开发新领域，提供新服务， </w:t>
      </w:r>
      <w:r>
        <w:rPr>
          <w:spacing w:val="-3"/>
        </w:rPr>
        <w:t>在市场竞争中掌握主动权。与创新前沿主题相关的行业包括但不限于计算机、通信、电子、</w:t>
      </w:r>
      <w:r>
        <w:rPr>
          <w:spacing w:val="-13"/>
        </w:rPr>
        <w:t>机械设备、新材料、新能源、汽车、家电、国防军工、医药、化工、电力设备等以技术为核</w:t>
      </w:r>
    </w:p>
    <w:p>
      <w:pPr>
        <w:spacing w:after="0" w:line="417" w:lineRule="auto"/>
        <w:sectPr>
          <w:pgSz w:w="11910" w:h="16840"/>
          <w:pgMar w:header="877" w:footer="995" w:top="1420" w:bottom="1180" w:left="1260" w:right="1480"/>
        </w:sectPr>
      </w:pPr>
    </w:p>
    <w:p>
      <w:pPr>
        <w:pStyle w:val="BodyText"/>
        <w:spacing w:line="417" w:lineRule="auto" w:before="110"/>
        <w:ind w:left="540" w:right="314"/>
      </w:pPr>
      <w:r>
        <w:rPr>
          <w:spacing w:val="-19"/>
        </w:rPr>
        <w:t>心的行业和商业、纺织服装、食品饮料、休闲服务、交通运输、建筑装饰、建筑材料、银行、</w:t>
      </w:r>
      <w:r>
        <w:rPr>
          <w:spacing w:val="-8"/>
        </w:rPr>
        <w:t>非银金融、农林牧渔、公用事业等积极改变业务结构的行业。</w:t>
      </w:r>
    </w:p>
    <w:p>
      <w:pPr>
        <w:pStyle w:val="BodyText"/>
        <w:spacing w:line="417" w:lineRule="auto"/>
        <w:ind w:left="540" w:right="311" w:firstLine="419"/>
      </w:pPr>
      <w:r>
        <w:rPr>
          <w:spacing w:val="-7"/>
        </w:rPr>
        <w:t>未来如果基金管理人认为有更适当的创新前沿主题的界定方法，基金管理人有权对创新</w:t>
      </w:r>
      <w:r>
        <w:rPr>
          <w:spacing w:val="-5"/>
        </w:rPr>
        <w:t>前沿主题的界定方法进行变更，并在招募说明书更新中公告，不需召开持有人大会。</w:t>
      </w:r>
    </w:p>
    <w:p>
      <w:pPr>
        <w:pStyle w:val="BodyText"/>
        <w:spacing w:line="269" w:lineRule="exact"/>
        <w:ind w:left="960"/>
      </w:pPr>
      <w:r>
        <w:rPr/>
        <w:t>②个股投资策略</w:t>
      </w:r>
    </w:p>
    <w:p>
      <w:pPr>
        <w:pStyle w:val="BodyText"/>
        <w:spacing w:before="6"/>
        <w:rPr>
          <w:sz w:val="15"/>
        </w:rPr>
      </w:pPr>
    </w:p>
    <w:p>
      <w:pPr>
        <w:pStyle w:val="BodyText"/>
        <w:spacing w:line="417" w:lineRule="auto"/>
        <w:ind w:left="540" w:right="311" w:firstLine="419"/>
        <w:jc w:val="both"/>
      </w:pPr>
      <w:r>
        <w:rPr>
          <w:spacing w:val="-11"/>
        </w:rPr>
        <w:t>基金主要通过定性分析、定量分析、实地调研和持续跟踪相结合的方式来考察和筛选具有比较优势的个股。定性分析包括公司在行业中的地位、可持续的核心竞争优势、良好的经</w:t>
      </w:r>
      <w:r>
        <w:rPr>
          <w:spacing w:val="-12"/>
        </w:rPr>
        <w:t>营理念及战略、完善的公司治理等。定量分析包括公司的盈利能力分析、财务能力分析、估值分析等。实地调研包括上市公司，竞争对手以及行业上下游的实地调研，了解并评估公司的治理结构、公司战略、所处行业的竞争实力、公司的财务能力等。持续跟踪包括在全面分</w:t>
      </w:r>
      <w:r>
        <w:rPr>
          <w:spacing w:val="-6"/>
        </w:rPr>
        <w:t>析的基础上，继续保持跟踪，不断完善和修正对上市公司的评价。</w:t>
      </w:r>
    </w:p>
    <w:p>
      <w:pPr>
        <w:pStyle w:val="BodyText"/>
        <w:spacing w:line="417" w:lineRule="auto"/>
        <w:ind w:left="540" w:right="311" w:firstLine="419"/>
        <w:jc w:val="both"/>
      </w:pPr>
      <w:r>
        <w:rPr>
          <w:spacing w:val="-9"/>
        </w:rPr>
        <w:t>基金将组建创新前沿跟踪团队，力求在创新萌芽阶段开始追踪，对重点关注的创新领域</w:t>
      </w:r>
      <w:r>
        <w:rPr>
          <w:spacing w:val="-11"/>
        </w:rPr>
        <w:t>及其产业化应用做出深度研究，建立全产业链跟踪体系，通过当前该创新领域的现行阶段处</w:t>
      </w:r>
      <w:r>
        <w:rPr>
          <w:spacing w:val="-6"/>
        </w:rPr>
        <w:t>于创新产业链的不同位置来设定投资权重，同时通过对创新发展趋势判断动态调整权重。</w:t>
      </w:r>
    </w:p>
    <w:p>
      <w:pPr>
        <w:pStyle w:val="BodyText"/>
        <w:spacing w:line="417" w:lineRule="auto"/>
        <w:ind w:left="540" w:right="31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spacing w:line="269" w:lineRule="exact"/>
        <w:ind w:left="960"/>
      </w:pPr>
      <w:r>
        <w:rPr>
          <w:rFonts w:ascii="Times New Roman" w:eastAsia="Times New Roman"/>
        </w:rPr>
        <w:t>3</w:t>
      </w:r>
      <w:r>
        <w:rPr/>
        <w:t>、固定收益品种投资策略</w:t>
      </w:r>
    </w:p>
    <w:p>
      <w:pPr>
        <w:pStyle w:val="BodyText"/>
        <w:spacing w:before="6"/>
        <w:rPr>
          <w:sz w:val="15"/>
        </w:rPr>
      </w:pPr>
    </w:p>
    <w:p>
      <w:pPr>
        <w:pStyle w:val="BodyText"/>
        <w:ind w:left="960"/>
      </w:pPr>
      <w:r>
        <w:rPr/>
        <w:t>①债券投资策略</w:t>
      </w:r>
    </w:p>
    <w:p>
      <w:pPr>
        <w:pStyle w:val="BodyText"/>
        <w:spacing w:before="7"/>
        <w:rPr>
          <w:sz w:val="15"/>
        </w:rPr>
      </w:pPr>
    </w:p>
    <w:p>
      <w:pPr>
        <w:pStyle w:val="BodyText"/>
        <w:spacing w:line="417" w:lineRule="auto"/>
        <w:ind w:left="540" w:right="102" w:firstLine="419"/>
      </w:pPr>
      <w:r>
        <w:rPr>
          <w:spacing w:val="-12"/>
        </w:rPr>
        <w:t>结合对未来市场利率预期运用久期调整策略、收益率曲线配置策略、债券类属配置策略、利差轮动策略等多种积极管理策略，通过严谨的研究发现价值被低估的债券和市场投资机会， </w:t>
      </w:r>
      <w:r>
        <w:rPr>
          <w:spacing w:val="-6"/>
        </w:rPr>
        <w:t>构建收益稳定、流动性良好的债券组合。</w:t>
      </w:r>
    </w:p>
    <w:p>
      <w:pPr>
        <w:pStyle w:val="BodyText"/>
        <w:ind w:left="960"/>
      </w:pPr>
      <w:r>
        <w:rPr/>
        <w:t>②可转换公司债券投资策略</w:t>
      </w:r>
    </w:p>
    <w:p>
      <w:pPr>
        <w:pStyle w:val="BodyText"/>
        <w:spacing w:before="7"/>
        <w:rPr>
          <w:sz w:val="15"/>
        </w:rPr>
      </w:pPr>
    </w:p>
    <w:p>
      <w:pPr>
        <w:pStyle w:val="BodyText"/>
        <w:spacing w:line="417" w:lineRule="auto"/>
        <w:ind w:left="540" w:right="208" w:firstLine="419"/>
      </w:pPr>
      <w:r>
        <w:rPr>
          <w:spacing w:val="-7"/>
        </w:rPr>
        <w:t>本基金将着重对可转债对应的基础股票进行分析与研究，对那些有着较好盈利能力或成</w:t>
      </w:r>
      <w:r>
        <w:rPr>
          <w:spacing w:val="-10"/>
        </w:rPr>
        <w:t>长前景的上市公司的可转债进行重点选择，并在对应可转债估值合理的前提下集中投资，以</w:t>
      </w:r>
      <w:r>
        <w:rPr>
          <w:spacing w:val="-5"/>
        </w:rPr>
        <w:t>分享正股上涨带来的收益。同时，本基金还将密切跟踪上市公司的经营状况，从财务压力、</w:t>
      </w:r>
      <w:r>
        <w:rPr>
          <w:spacing w:val="-12"/>
        </w:rPr>
        <w:t>融资安排、未来的投资计划等方面推测、并通过实地调研等方式确认上市公司对转股价的修</w:t>
      </w:r>
      <w:r>
        <w:rPr>
          <w:spacing w:val="-6"/>
        </w:rPr>
        <w:t>正和转股意愿。</w:t>
      </w:r>
    </w:p>
    <w:p>
      <w:pPr>
        <w:pStyle w:val="BodyText"/>
        <w:spacing w:line="268" w:lineRule="exact"/>
        <w:ind w:left="960"/>
      </w:pPr>
      <w:r>
        <w:rPr/>
        <w:t>③中小企业私募债券投资策略</w:t>
      </w:r>
    </w:p>
    <w:p>
      <w:pPr>
        <w:pStyle w:val="BodyText"/>
        <w:spacing w:before="7"/>
        <w:rPr>
          <w:sz w:val="15"/>
        </w:rPr>
      </w:pPr>
    </w:p>
    <w:p>
      <w:pPr>
        <w:pStyle w:val="BodyText"/>
        <w:spacing w:line="417" w:lineRule="auto"/>
        <w:ind w:left="540" w:right="311" w:firstLine="419"/>
      </w:pPr>
      <w:r>
        <w:rPr>
          <w:spacing w:val="-9"/>
        </w:rPr>
        <w:t>在严格控制风险的前提下，通过严谨的研究，综合考虑中小企业私募债券的安全性、收</w:t>
      </w:r>
      <w:r>
        <w:rPr>
          <w:spacing w:val="-12"/>
        </w:rPr>
        <w:t>益性和流动性等特征，并与其他投资品种进行对比后，选择具有相对优势的类属和个券进行</w:t>
      </w:r>
    </w:p>
    <w:p>
      <w:pPr>
        <w:spacing w:after="0" w:line="417" w:lineRule="auto"/>
        <w:sectPr>
          <w:pgSz w:w="11910" w:h="16840"/>
          <w:pgMar w:header="877" w:footer="995" w:top="1420" w:bottom="1180" w:left="1260" w:right="1480"/>
        </w:sectPr>
      </w:pPr>
    </w:p>
    <w:p>
      <w:pPr>
        <w:pStyle w:val="BodyText"/>
        <w:spacing w:line="417" w:lineRule="auto" w:before="110"/>
        <w:ind w:left="540" w:right="313"/>
      </w:pPr>
      <w:r>
        <w:rPr>
          <w:spacing w:val="-11"/>
        </w:rPr>
        <w:t>投资。同时，通过期限和品种的分散投资降低基金投资中小企业私募债券的信用风险、利率</w:t>
      </w:r>
      <w:r>
        <w:rPr>
          <w:spacing w:val="-6"/>
        </w:rPr>
        <w:t>风险和流动性风险。</w:t>
      </w:r>
    </w:p>
    <w:p>
      <w:pPr>
        <w:pStyle w:val="BodyText"/>
        <w:spacing w:line="269" w:lineRule="exact"/>
        <w:ind w:left="960"/>
      </w:pPr>
      <w:r>
        <w:rPr/>
        <w:t>④资产支持证券投资策略</w:t>
      </w:r>
    </w:p>
    <w:p>
      <w:pPr>
        <w:pStyle w:val="BodyText"/>
        <w:spacing w:before="6"/>
        <w:rPr>
          <w:sz w:val="15"/>
        </w:rPr>
      </w:pPr>
    </w:p>
    <w:p>
      <w:pPr>
        <w:pStyle w:val="BodyText"/>
        <w:spacing w:line="417" w:lineRule="auto"/>
        <w:ind w:left="540" w:right="20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ind w:left="960"/>
      </w:pPr>
      <w:r>
        <w:rPr>
          <w:rFonts w:ascii="Times New Roman" w:eastAsia="Times New Roman"/>
        </w:rPr>
        <w:t>4</w:t>
      </w:r>
      <w:r>
        <w:rPr/>
        <w:t>、权证投资策略</w:t>
      </w:r>
    </w:p>
    <w:p>
      <w:pPr>
        <w:pStyle w:val="BodyText"/>
        <w:spacing w:before="7"/>
        <w:rPr>
          <w:sz w:val="15"/>
        </w:rPr>
      </w:pPr>
    </w:p>
    <w:p>
      <w:pPr>
        <w:pStyle w:val="BodyText"/>
        <w:spacing w:line="417" w:lineRule="auto"/>
        <w:ind w:left="540" w:right="208" w:firstLine="419"/>
      </w:pPr>
      <w:r>
        <w:rPr>
          <w:spacing w:val="-8"/>
        </w:rPr>
        <w:t>本基金将在严格控制风险的前提下，主动进行权证投资。基金权证投资将以价值分析为</w:t>
      </w:r>
      <w:r>
        <w:rPr>
          <w:spacing w:val="-5"/>
        </w:rPr>
        <w:t>基础，在采用数量化模型分析其合理定价的基础上，把握市场的短期波动，进行积极操作， </w:t>
      </w:r>
      <w:r>
        <w:rPr>
          <w:spacing w:val="-4"/>
        </w:rPr>
        <w:t>追求在风险可控的前提下实现稳健的超额收益。</w:t>
      </w:r>
    </w:p>
    <w:p>
      <w:pPr>
        <w:pStyle w:val="BodyText"/>
        <w:spacing w:line="269" w:lineRule="exact"/>
        <w:ind w:left="960"/>
      </w:pPr>
      <w:r>
        <w:rPr>
          <w:rFonts w:ascii="Times New Roman" w:eastAsia="Times New Roman"/>
        </w:rPr>
        <w:t>5</w:t>
      </w:r>
      <w:r>
        <w:rPr/>
        <w:t>、股指期货和股票期权投资策略</w:t>
      </w:r>
    </w:p>
    <w:p>
      <w:pPr>
        <w:pStyle w:val="BodyText"/>
        <w:spacing w:before="7"/>
        <w:rPr>
          <w:sz w:val="15"/>
        </w:rPr>
      </w:pPr>
    </w:p>
    <w:p>
      <w:pPr>
        <w:pStyle w:val="BodyText"/>
        <w:spacing w:line="417" w:lineRule="auto"/>
        <w:ind w:left="540" w:right="311" w:firstLine="419"/>
        <w:jc w:val="both"/>
      </w:pPr>
      <w:r>
        <w:rPr>
          <w:spacing w:val="-8"/>
        </w:rPr>
        <w:t>本基金将在风险可控的前提下，本着谨慎原则，适度参与股指期货、股票期权投资。通</w:t>
      </w:r>
      <w:r>
        <w:rPr>
          <w:spacing w:val="-12"/>
        </w:rPr>
        <w:t>过对现货市场和期货、股票期权市场运行趋势的研究，结合基金股票组合的实际情况及对股指期货、股票期权的估值水平、基差水平、流动性等因素的分析，选择合适的期货、股票期权合约构建相应的头寸，以调整投资组合的风险暴露，降低系统性风险。基金还将利用股指期货、股票期权作为组合流动性管理工具，降低现货市场流动性不足导致的冲击成本过高的</w:t>
      </w:r>
      <w:r>
        <w:rPr>
          <w:spacing w:val="-6"/>
        </w:rPr>
        <w:t>风险，提高基金的建仓或变现效率。</w:t>
      </w:r>
    </w:p>
    <w:p>
      <w:pPr>
        <w:pStyle w:val="BodyText"/>
        <w:spacing w:line="417" w:lineRule="auto"/>
        <w:ind w:left="540" w:right="205" w:firstLine="419"/>
      </w:pPr>
      <w:r>
        <w:rPr>
          <w:spacing w:val="-16"/>
        </w:rPr>
        <w:t>本基金投资股票期权，基金管理人将根据审慎原则，建立股票期权交易决策部门或小组， </w:t>
      </w:r>
      <w:r>
        <w:rPr>
          <w:spacing w:val="-7"/>
        </w:rPr>
        <w:t>授权特定的管理人员负责股票期权的投资审批事项，以防范股票期权投资的风险。</w:t>
      </w:r>
    </w:p>
    <w:p>
      <w:pPr>
        <w:pStyle w:val="BodyText"/>
        <w:spacing w:line="269" w:lineRule="exact"/>
        <w:ind w:left="960"/>
      </w:pPr>
      <w:r>
        <w:rPr>
          <w:rFonts w:ascii="Times New Roman" w:eastAsia="Times New Roman"/>
        </w:rPr>
        <w:t>6</w:t>
      </w:r>
      <w:r>
        <w:rPr/>
        <w:t>、国债期货投资策略</w:t>
      </w:r>
    </w:p>
    <w:p>
      <w:pPr>
        <w:pStyle w:val="BodyText"/>
        <w:spacing w:before="6"/>
        <w:rPr>
          <w:sz w:val="15"/>
        </w:rPr>
      </w:pPr>
    </w:p>
    <w:p>
      <w:pPr>
        <w:pStyle w:val="BodyText"/>
        <w:spacing w:line="417" w:lineRule="auto" w:before="1"/>
        <w:ind w:left="540" w:right="31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417" w:lineRule="auto"/>
        <w:ind w:left="540" w:right="311" w:firstLine="419"/>
      </w:pPr>
      <w:r>
        <w:rPr>
          <w:spacing w:val="-11"/>
        </w:rPr>
        <w:t>未来，根据市场情况，基金可相应调整和更新相关投资策略，并在招募说明书更新中公告。</w:t>
      </w:r>
    </w:p>
    <w:p>
      <w:pPr>
        <w:pStyle w:val="BodyText"/>
        <w:spacing w:line="269" w:lineRule="exact"/>
        <w:ind w:left="960"/>
      </w:pPr>
      <w:r>
        <w:rPr/>
        <w:t>（四）投资限制</w:t>
      </w:r>
    </w:p>
    <w:p>
      <w:pPr>
        <w:pStyle w:val="BodyText"/>
        <w:spacing w:before="6"/>
        <w:rPr>
          <w:sz w:val="15"/>
        </w:rPr>
      </w:pPr>
    </w:p>
    <w:p>
      <w:pPr>
        <w:pStyle w:val="BodyText"/>
        <w:ind w:left="960"/>
      </w:pPr>
      <w:r>
        <w:rPr>
          <w:rFonts w:ascii="Times New Roman" w:eastAsia="Times New Roman"/>
        </w:rPr>
        <w:t>1</w:t>
      </w:r>
      <w:r>
        <w:rPr/>
        <w:t>、组合限制</w:t>
      </w:r>
    </w:p>
    <w:p>
      <w:pPr>
        <w:pStyle w:val="BodyText"/>
        <w:spacing w:before="7"/>
        <w:rPr>
          <w:sz w:val="15"/>
        </w:rPr>
      </w:pPr>
    </w:p>
    <w:p>
      <w:pPr>
        <w:pStyle w:val="BodyText"/>
        <w:ind w:left="960"/>
      </w:pPr>
      <w:r>
        <w:rPr/>
        <w:t>基金的投资组合应遵循以下限制：</w:t>
      </w:r>
    </w:p>
    <w:p>
      <w:pPr>
        <w:pStyle w:val="BodyText"/>
        <w:spacing w:before="7"/>
        <w:rPr>
          <w:sz w:val="15"/>
        </w:rPr>
      </w:pPr>
    </w:p>
    <w:p>
      <w:pPr>
        <w:pStyle w:val="ListParagraph"/>
        <w:numPr>
          <w:ilvl w:val="0"/>
          <w:numId w:val="21"/>
        </w:numPr>
        <w:tabs>
          <w:tab w:pos="1490" w:val="left" w:leader="none"/>
        </w:tabs>
        <w:spacing w:line="417" w:lineRule="auto" w:before="0" w:after="0"/>
        <w:ind w:left="540" w:right="311" w:firstLine="419"/>
        <w:jc w:val="left"/>
        <w:rPr>
          <w:sz w:val="21"/>
        </w:rPr>
      </w:pPr>
      <w:r>
        <w:rPr>
          <w:spacing w:val="-4"/>
          <w:sz w:val="21"/>
        </w:rPr>
        <w:t>本基金股票投资比例为基金资产的 </w:t>
      </w:r>
      <w:r>
        <w:rPr>
          <w:rFonts w:ascii="Times New Roman" w:eastAsia="Times New Roman"/>
          <w:spacing w:val="-4"/>
          <w:sz w:val="21"/>
        </w:rPr>
        <w:t>80%-95%</w:t>
      </w:r>
      <w:r>
        <w:rPr>
          <w:spacing w:val="-3"/>
          <w:sz w:val="21"/>
        </w:rPr>
        <w:t>，投资于创新前沿主题相关股票比例</w:t>
      </w:r>
      <w:r>
        <w:rPr>
          <w:spacing w:val="-8"/>
          <w:sz w:val="21"/>
        </w:rPr>
        <w:t>不低于非现金基金资产的 </w:t>
      </w:r>
      <w:r>
        <w:rPr>
          <w:rFonts w:ascii="Times New Roman" w:eastAsia="Times New Roman"/>
          <w:sz w:val="21"/>
        </w:rPr>
        <w:t>80%</w:t>
      </w:r>
      <w:r>
        <w:rPr>
          <w:sz w:val="21"/>
        </w:rPr>
        <w:t>。</w:t>
      </w:r>
    </w:p>
    <w:p>
      <w:pPr>
        <w:spacing w:after="0" w:line="417" w:lineRule="auto"/>
        <w:jc w:val="left"/>
        <w:rPr>
          <w:sz w:val="21"/>
        </w:rPr>
        <w:sectPr>
          <w:pgSz w:w="11910" w:h="16840"/>
          <w:pgMar w:header="877" w:footer="995" w:top="1420" w:bottom="1180" w:left="1260" w:right="1480"/>
        </w:sectPr>
      </w:pPr>
    </w:p>
    <w:p>
      <w:pPr>
        <w:pStyle w:val="ListParagraph"/>
        <w:numPr>
          <w:ilvl w:val="0"/>
          <w:numId w:val="21"/>
        </w:numPr>
        <w:tabs>
          <w:tab w:pos="1490" w:val="left" w:leader="none"/>
        </w:tabs>
        <w:spacing w:line="417" w:lineRule="auto" w:before="110" w:after="0"/>
        <w:ind w:left="540" w:right="311" w:firstLine="419"/>
        <w:jc w:val="both"/>
        <w:rPr>
          <w:sz w:val="21"/>
        </w:rPr>
      </w:pPr>
      <w:r>
        <w:rPr>
          <w:spacing w:val="-3"/>
          <w:sz w:val="21"/>
        </w:rPr>
        <w:t>每个交易日日终在扣除股指期货、国债期货和股票期权合约需缴纳的交易保证金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w:t>
      </w:r>
    </w:p>
    <w:p>
      <w:pPr>
        <w:pStyle w:val="ListParagraph"/>
        <w:numPr>
          <w:ilvl w:val="0"/>
          <w:numId w:val="21"/>
        </w:numPr>
        <w:tabs>
          <w:tab w:pos="1490" w:val="left" w:leader="none"/>
        </w:tabs>
        <w:spacing w:line="269" w:lineRule="exact" w:before="0" w:after="0"/>
        <w:ind w:left="148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1"/>
        </w:numPr>
        <w:tabs>
          <w:tab w:pos="1495" w:val="left" w:leader="none"/>
        </w:tabs>
        <w:spacing w:line="240" w:lineRule="auto" w:before="0" w:after="0"/>
        <w:ind w:left="1494" w:right="0" w:hanging="535"/>
        <w:jc w:val="left"/>
        <w:rPr>
          <w:sz w:val="21"/>
        </w:rPr>
      </w:pPr>
      <w:r>
        <w:rPr>
          <w:spacing w:val="-1"/>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7"/>
        <w:rPr>
          <w:sz w:val="15"/>
        </w:rPr>
      </w:pPr>
    </w:p>
    <w:p>
      <w:pPr>
        <w:pStyle w:val="ListParagraph"/>
        <w:numPr>
          <w:ilvl w:val="0"/>
          <w:numId w:val="21"/>
        </w:numPr>
        <w:tabs>
          <w:tab w:pos="1490" w:val="left" w:leader="none"/>
        </w:tabs>
        <w:spacing w:line="240" w:lineRule="auto" w:before="0" w:after="0"/>
        <w:ind w:left="148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21"/>
        </w:numPr>
        <w:tabs>
          <w:tab w:pos="1490" w:val="left" w:leader="none"/>
        </w:tabs>
        <w:spacing w:line="240" w:lineRule="auto" w:before="0" w:after="0"/>
        <w:ind w:left="1489" w:right="0" w:hanging="530"/>
        <w:jc w:val="left"/>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7"/>
        <w:rPr>
          <w:sz w:val="15"/>
        </w:rPr>
      </w:pPr>
    </w:p>
    <w:p>
      <w:pPr>
        <w:pStyle w:val="ListParagraph"/>
        <w:numPr>
          <w:ilvl w:val="0"/>
          <w:numId w:val="21"/>
        </w:numPr>
        <w:tabs>
          <w:tab w:pos="1505" w:val="left" w:leader="none"/>
        </w:tabs>
        <w:spacing w:line="240" w:lineRule="auto" w:before="0" w:after="0"/>
        <w:ind w:left="1504" w:right="0" w:hanging="545"/>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540"/>
      </w:pPr>
      <w:r>
        <w:rPr>
          <w:rFonts w:ascii="Times New Roman" w:eastAsia="Times New Roman"/>
        </w:rPr>
        <w:t>0.5%</w:t>
      </w:r>
      <w:r>
        <w:rPr/>
        <w:t>。</w:t>
      </w:r>
    </w:p>
    <w:p>
      <w:pPr>
        <w:pStyle w:val="BodyText"/>
        <w:spacing w:before="7"/>
        <w:rPr>
          <w:sz w:val="15"/>
        </w:rPr>
      </w:pPr>
    </w:p>
    <w:p>
      <w:pPr>
        <w:pStyle w:val="ListParagraph"/>
        <w:numPr>
          <w:ilvl w:val="0"/>
          <w:numId w:val="21"/>
        </w:numPr>
        <w:tabs>
          <w:tab w:pos="1490" w:val="left" w:leader="none"/>
        </w:tabs>
        <w:spacing w:line="417" w:lineRule="auto" w:before="0" w:after="0"/>
        <w:ind w:left="540" w:right="31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1"/>
        </w:numPr>
        <w:tabs>
          <w:tab w:pos="1490" w:val="left" w:leader="none"/>
        </w:tabs>
        <w:spacing w:line="269" w:lineRule="exact"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21"/>
        </w:numPr>
        <w:tabs>
          <w:tab w:pos="1595" w:val="left" w:leader="none"/>
        </w:tabs>
        <w:spacing w:line="417" w:lineRule="auto" w:before="1" w:after="0"/>
        <w:ind w:left="540" w:right="311" w:firstLine="419"/>
        <w:jc w:val="both"/>
        <w:rPr>
          <w:sz w:val="21"/>
        </w:rPr>
      </w:pPr>
      <w:r>
        <w:rPr>
          <w:spacing w:val="-6"/>
          <w:sz w:val="21"/>
        </w:rPr>
        <w:t>本基金持有的同一</w:t>
      </w:r>
      <w:r>
        <w:rPr>
          <w:sz w:val="21"/>
        </w:rPr>
        <w:t>（</w:t>
      </w:r>
      <w:r>
        <w:rPr>
          <w:spacing w:val="-3"/>
          <w:sz w:val="21"/>
        </w:rPr>
        <w:t>指同一信用级别</w:t>
      </w:r>
      <w:r>
        <w:rPr>
          <w:spacing w:val="-27"/>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21"/>
        </w:numPr>
        <w:tabs>
          <w:tab w:pos="1586" w:val="left" w:leader="none"/>
        </w:tabs>
        <w:spacing w:line="417" w:lineRule="auto" w:before="0" w:after="0"/>
        <w:ind w:left="540" w:right="31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1"/>
        </w:numPr>
        <w:tabs>
          <w:tab w:pos="1593" w:val="left" w:leader="none"/>
        </w:tabs>
        <w:spacing w:line="417" w:lineRule="auto" w:before="0" w:after="0"/>
        <w:ind w:left="540" w:right="31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6"/>
          <w:sz w:val="21"/>
        </w:rPr>
        <w:t> </w:t>
      </w:r>
      <w:r>
        <w:rPr>
          <w:spacing w:val="-7"/>
          <w:sz w:val="21"/>
        </w:rPr>
        <w:t>以上</w:t>
      </w:r>
      <w:r>
        <w:rPr>
          <w:spacing w:val="-3"/>
          <w:sz w:val="21"/>
        </w:rPr>
        <w:t>（</w:t>
      </w:r>
      <w:r>
        <w:rPr>
          <w:spacing w:val="-17"/>
          <w:sz w:val="21"/>
        </w:rPr>
        <w:t>含 </w:t>
      </w:r>
      <w:r>
        <w:rPr>
          <w:rFonts w:ascii="Times New Roman" w:eastAsia="Times New Roman"/>
          <w:spacing w:val="-5"/>
          <w:sz w:val="21"/>
        </w:rPr>
        <w:t>BBB</w:t>
      </w:r>
      <w:r>
        <w:rPr>
          <w:spacing w:val="-5"/>
          <w:sz w:val="21"/>
        </w:rPr>
        <w:t>）</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21"/>
        </w:numPr>
        <w:tabs>
          <w:tab w:pos="1593" w:val="left" w:leader="none"/>
        </w:tabs>
        <w:spacing w:line="417" w:lineRule="auto" w:before="0" w:after="0"/>
        <w:ind w:left="54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1"/>
        </w:numPr>
        <w:tabs>
          <w:tab w:pos="1593" w:val="left" w:leader="none"/>
        </w:tabs>
        <w:spacing w:line="417" w:lineRule="auto" w:before="0" w:after="0"/>
        <w:ind w:left="540" w:right="31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pacing w:val="-8"/>
          <w:sz w:val="21"/>
        </w:rPr>
        <w:t>，债券回购最长期限为 </w:t>
      </w:r>
      <w:r>
        <w:rPr>
          <w:rFonts w:ascii="Times New Roman" w:eastAsia="Times New Roman"/>
          <w:sz w:val="21"/>
        </w:rPr>
        <w:t>1</w:t>
      </w:r>
      <w:r>
        <w:rPr>
          <w:rFonts w:ascii="Times New Roman" w:eastAsia="Times New Roman"/>
          <w:spacing w:val="-3"/>
          <w:sz w:val="21"/>
        </w:rPr>
        <w:t> </w:t>
      </w:r>
      <w:r>
        <w:rPr>
          <w:spacing w:val="-3"/>
          <w:sz w:val="21"/>
        </w:rPr>
        <w:t>年，债券回购到期后不得展期。</w:t>
      </w:r>
    </w:p>
    <w:p>
      <w:pPr>
        <w:pStyle w:val="ListParagraph"/>
        <w:numPr>
          <w:ilvl w:val="0"/>
          <w:numId w:val="21"/>
        </w:numPr>
        <w:tabs>
          <w:tab w:pos="1595" w:val="left" w:leader="none"/>
        </w:tabs>
        <w:spacing w:line="269" w:lineRule="exact" w:before="0" w:after="0"/>
        <w:ind w:left="159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1"/>
        </w:numPr>
        <w:tabs>
          <w:tab w:pos="1595" w:val="left" w:leader="none"/>
        </w:tabs>
        <w:spacing w:line="240" w:lineRule="auto" w:before="0" w:after="0"/>
        <w:ind w:left="159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21"/>
        </w:numPr>
        <w:tabs>
          <w:tab w:pos="1593" w:val="left" w:leader="none"/>
        </w:tabs>
        <w:spacing w:line="417" w:lineRule="auto" w:before="1" w:after="0"/>
        <w:ind w:left="540" w:right="31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1"/>
        </w:numPr>
        <w:tabs>
          <w:tab w:pos="1593" w:val="left" w:leader="none"/>
        </w:tabs>
        <w:spacing w:line="269" w:lineRule="exact" w:before="0" w:after="0"/>
        <w:ind w:left="1592" w:right="0" w:hanging="633"/>
        <w:jc w:val="left"/>
        <w:rPr>
          <w:sz w:val="21"/>
        </w:rPr>
      </w:pPr>
      <w:r>
        <w:rPr>
          <w:spacing w:val="-8"/>
          <w:sz w:val="21"/>
        </w:rPr>
        <w:t>基金在任何交易日日终，持有的买入国债期货合约价值，不得超过基金资产净值</w:t>
      </w:r>
    </w:p>
    <w:p>
      <w:pPr>
        <w:spacing w:after="0" w:line="269" w:lineRule="exact"/>
        <w:jc w:val="left"/>
        <w:rPr>
          <w:sz w:val="21"/>
        </w:rPr>
        <w:sectPr>
          <w:pgSz w:w="11910" w:h="16840"/>
          <w:pgMar w:header="877" w:footer="995" w:top="1420" w:bottom="1180" w:left="1260" w:right="1480"/>
        </w:sectPr>
      </w:pPr>
    </w:p>
    <w:p>
      <w:pPr>
        <w:pStyle w:val="BodyText"/>
        <w:spacing w:line="417" w:lineRule="auto" w:before="110"/>
        <w:ind w:left="540" w:right="314"/>
        <w:jc w:val="both"/>
      </w:pPr>
      <w:r>
        <w:rPr/>
        <w:t>的 </w:t>
      </w:r>
      <w:r>
        <w:rPr>
          <w:rFonts w:ascii="Times New Roman" w:eastAsia="Times New Roman"/>
        </w:rPr>
        <w:t>15%</w:t>
      </w:r>
      <w:r>
        <w:rPr/>
        <w:t>；基金在任何交易日日终，持有的卖出国债期货合约价值不得超过基金持有的债券总市值的 </w:t>
      </w:r>
      <w:r>
        <w:rPr>
          <w:rFonts w:ascii="Times New Roman" w:eastAsia="Times New Roman"/>
        </w:rPr>
        <w:t>30%</w:t>
      </w:r>
      <w:r>
        <w:rPr/>
        <w:t>；基金在任何交易日内交易（不包括平仓）的国债期货合约的成交金额不得超过上一交易日基金资产净值的 </w:t>
      </w:r>
      <w:r>
        <w:rPr>
          <w:rFonts w:ascii="Times New Roman" w:eastAsia="Times New Roman"/>
        </w:rPr>
        <w:t>30%</w:t>
      </w:r>
      <w:r>
        <w:rPr/>
        <w:t>。</w:t>
      </w:r>
    </w:p>
    <w:p>
      <w:pPr>
        <w:pStyle w:val="ListParagraph"/>
        <w:numPr>
          <w:ilvl w:val="0"/>
          <w:numId w:val="21"/>
        </w:numPr>
        <w:tabs>
          <w:tab w:pos="1595" w:val="left" w:leader="none"/>
        </w:tabs>
        <w:spacing w:line="417" w:lineRule="auto" w:before="0" w:after="0"/>
        <w:ind w:left="540" w:right="311" w:firstLine="419"/>
        <w:jc w:val="both"/>
        <w:rPr>
          <w:sz w:val="21"/>
        </w:rPr>
      </w:pPr>
      <w:r>
        <w:rPr>
          <w:spacing w:val="-7"/>
          <w:sz w:val="21"/>
        </w:rPr>
        <w:t>开放式基金在任何交易日日终，持有的买入国债期货和股指期货合约价值与有 </w:t>
      </w:r>
      <w:r>
        <w:rPr>
          <w:spacing w:val="-5"/>
          <w:sz w:val="21"/>
        </w:rPr>
        <w:t>价证券市值之和，不得超过基金资产净值的 </w:t>
      </w:r>
      <w:r>
        <w:rPr>
          <w:rFonts w:ascii="Times New Roman" w:eastAsia="Times New Roman"/>
          <w:sz w:val="21"/>
        </w:rPr>
        <w:t>95%</w:t>
      </w:r>
      <w:r>
        <w:rPr>
          <w:sz w:val="21"/>
        </w:rPr>
        <w:t>。其中，有价证券指股票、债券（不含到</w:t>
      </w:r>
      <w:r>
        <w:rPr>
          <w:spacing w:val="-4"/>
          <w:sz w:val="21"/>
        </w:rPr>
        <w:t>期日在一年以内的政府债券</w:t>
      </w:r>
      <w:r>
        <w:rPr>
          <w:spacing w:val="-108"/>
          <w:sz w:val="21"/>
        </w:rPr>
        <w:t>）</w:t>
      </w:r>
      <w:r>
        <w:rPr>
          <w:spacing w:val="-3"/>
          <w:sz w:val="21"/>
        </w:rPr>
        <w:t>、权证、资产支持证券、买入返售金融资产（不含质押式回购）等。</w:t>
      </w:r>
    </w:p>
    <w:p>
      <w:pPr>
        <w:pStyle w:val="ListParagraph"/>
        <w:numPr>
          <w:ilvl w:val="0"/>
          <w:numId w:val="21"/>
        </w:numPr>
        <w:tabs>
          <w:tab w:pos="1593" w:val="left" w:leader="none"/>
        </w:tabs>
        <w:spacing w:line="417" w:lineRule="auto" w:before="0" w:after="0"/>
        <w:ind w:left="540" w:right="311" w:firstLine="419"/>
        <w:jc w:val="both"/>
        <w:rPr>
          <w:sz w:val="21"/>
        </w:rPr>
      </w:pPr>
      <w:r>
        <w:rPr>
          <w:spacing w:val="-7"/>
          <w:sz w:val="21"/>
        </w:rPr>
        <w:t>本基金投资流通受限证券，基金管理人应根据中国证监会相关规定进行投资。 基金管理人应制订严格的投资决策流程和风险控制制度，防范流动性风险、法律风险和操作</w:t>
      </w:r>
      <w:r>
        <w:rPr>
          <w:spacing w:val="-2"/>
          <w:sz w:val="21"/>
        </w:rPr>
        <w:t>风险等各种风险。</w:t>
      </w:r>
    </w:p>
    <w:p>
      <w:pPr>
        <w:pStyle w:val="ListParagraph"/>
        <w:numPr>
          <w:ilvl w:val="0"/>
          <w:numId w:val="21"/>
        </w:numPr>
        <w:tabs>
          <w:tab w:pos="1595" w:val="left" w:leader="none"/>
        </w:tabs>
        <w:spacing w:line="417" w:lineRule="auto" w:before="0" w:after="0"/>
        <w:ind w:left="540" w:right="10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1"/>
        </w:numPr>
        <w:tabs>
          <w:tab w:pos="1595" w:val="left" w:leader="none"/>
        </w:tabs>
        <w:spacing w:line="417" w:lineRule="auto" w:before="0" w:after="0"/>
        <w:ind w:left="540" w:right="311" w:firstLine="419"/>
        <w:jc w:val="left"/>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21"/>
        </w:numPr>
        <w:tabs>
          <w:tab w:pos="1595" w:val="left" w:leader="none"/>
        </w:tabs>
        <w:spacing w:line="417" w:lineRule="auto" w:before="0" w:after="0"/>
        <w:ind w:left="540" w:right="311" w:firstLine="419"/>
        <w:jc w:val="left"/>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21"/>
        </w:numPr>
        <w:tabs>
          <w:tab w:pos="1595" w:val="left" w:leader="none"/>
        </w:tabs>
        <w:spacing w:line="417" w:lineRule="auto" w:before="0"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符合前述所规定比例限制的，基金管理人不得主动新增流动性受限资产的投资。</w:t>
      </w:r>
    </w:p>
    <w:p>
      <w:pPr>
        <w:pStyle w:val="ListParagraph"/>
        <w:numPr>
          <w:ilvl w:val="0"/>
          <w:numId w:val="21"/>
        </w:numPr>
        <w:tabs>
          <w:tab w:pos="1593"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1"/>
        </w:numPr>
        <w:tabs>
          <w:tab w:pos="1595" w:val="left" w:leader="none"/>
        </w:tabs>
        <w:spacing w:line="417" w:lineRule="auto" w:before="0" w:after="0"/>
        <w:ind w:left="540" w:right="31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1"/>
        </w:numPr>
        <w:tabs>
          <w:tab w:pos="1595" w:val="left" w:leader="none"/>
        </w:tabs>
        <w:spacing w:line="269" w:lineRule="exact" w:before="0" w:after="0"/>
        <w:ind w:left="1595" w:right="0" w:hanging="635"/>
        <w:jc w:val="left"/>
        <w:rPr>
          <w:sz w:val="21"/>
        </w:rPr>
      </w:pPr>
      <w:r>
        <w:rPr>
          <w:spacing w:val="-3"/>
          <w:sz w:val="21"/>
        </w:rPr>
        <w:t>法律法规及中国证监会规定的和《基金合同》约定的其他投资限制。</w:t>
      </w:r>
    </w:p>
    <w:p>
      <w:pPr>
        <w:pStyle w:val="BodyText"/>
        <w:spacing w:line="417" w:lineRule="auto" w:before="196"/>
        <w:ind w:left="540" w:right="311" w:firstLine="419"/>
        <w:jc w:val="both"/>
      </w:pPr>
      <w:r>
        <w:rPr>
          <w:w w:val="100"/>
        </w:rPr>
        <w:t>除第（</w:t>
      </w:r>
      <w:r>
        <w:rPr>
          <w:rFonts w:ascii="Times New Roman" w:eastAsia="Times New Roman"/>
          <w:w w:val="100"/>
        </w:rPr>
        <w:t>2</w:t>
      </w:r>
      <w:r>
        <w:rPr>
          <w:spacing w:val="-108"/>
          <w:w w:val="100"/>
        </w:rPr>
        <w:t>）</w:t>
      </w:r>
      <w:r>
        <w:rPr>
          <w:spacing w:val="-106"/>
          <w:w w:val="100"/>
        </w:rPr>
        <w:t>、</w:t>
      </w:r>
      <w:r>
        <w:rPr>
          <w:spacing w:val="-1"/>
          <w:w w:val="100"/>
        </w:rPr>
        <w:t>（</w:t>
      </w:r>
      <w:r>
        <w:rPr>
          <w:rFonts w:ascii="Times New Roman" w:eastAsia="Times New Roman"/>
          <w:w w:val="100"/>
        </w:rPr>
        <w:t>12</w:t>
      </w:r>
      <w:r>
        <w:rPr>
          <w:spacing w:val="-108"/>
          <w:w w:val="100"/>
        </w:rPr>
        <w:t>）</w:t>
      </w:r>
      <w:r>
        <w:rPr>
          <w:spacing w:val="-106"/>
          <w:w w:val="100"/>
        </w:rPr>
        <w:t>、</w:t>
      </w:r>
      <w:r>
        <w:rPr>
          <w:w w:val="100"/>
        </w:rPr>
        <w:t>（</w:t>
      </w:r>
      <w:r>
        <w:rPr>
          <w:rFonts w:ascii="Times New Roman" w:eastAsia="Times New Roman"/>
          <w:w w:val="100"/>
        </w:rPr>
        <w:t>24</w:t>
      </w:r>
      <w:r>
        <w:rPr>
          <w:spacing w:val="-108"/>
          <w:w w:val="100"/>
        </w:rPr>
        <w:t>）</w:t>
      </w:r>
      <w:r>
        <w:rPr>
          <w:spacing w:val="-106"/>
          <w:w w:val="100"/>
        </w:rPr>
        <w:t>、</w:t>
      </w:r>
      <w:r>
        <w:rPr>
          <w:spacing w:val="-3"/>
          <w:w w:val="100"/>
        </w:rPr>
        <w:t>（</w:t>
      </w:r>
      <w:r>
        <w:rPr>
          <w:rFonts w:ascii="Times New Roman" w:eastAsia="Times New Roman"/>
          <w:w w:val="100"/>
        </w:rPr>
        <w:t>25</w:t>
      </w:r>
      <w:r>
        <w:rPr>
          <w:w w:val="100"/>
        </w:rPr>
        <w:t>）</w:t>
      </w:r>
      <w:r>
        <w:rPr>
          <w:spacing w:val="-3"/>
          <w:w w:val="100"/>
        </w:rPr>
        <w:t>项另有约定外，因证券期货市场波动、上市公司合并、</w:t>
      </w:r>
      <w:r>
        <w:rPr>
          <w:spacing w:val="-6"/>
        </w:rPr>
        <w:t>基金规模变动等基金管理人之外的因素致使基金投资比例不符合上述规定投资比例的，基金</w:t>
      </w:r>
      <w:r>
        <w:rPr>
          <w:spacing w:val="-11"/>
        </w:rPr>
        <w:t>管理人应当在 </w:t>
      </w:r>
      <w:r>
        <w:rPr>
          <w:rFonts w:ascii="Times New Roman" w:eastAsia="Times New Roman"/>
        </w:rPr>
        <w:t>10 </w:t>
      </w:r>
      <w:r>
        <w:rPr>
          <w:spacing w:val="-3"/>
        </w:rPr>
        <w:t>个交易日内进行调整。</w:t>
      </w:r>
    </w:p>
    <w:p>
      <w:pPr>
        <w:pStyle w:val="BodyText"/>
        <w:ind w:left="960"/>
        <w:jc w:val="both"/>
      </w:pPr>
      <w:r>
        <w:rPr/>
        <w:t>基金管理人自基金合同生效之日起 </w:t>
      </w:r>
      <w:r>
        <w:rPr>
          <w:rFonts w:ascii="Times New Roman" w:eastAsia="Times New Roman"/>
        </w:rPr>
        <w:t>6 </w:t>
      </w:r>
      <w:r>
        <w:rPr/>
        <w:t>个月内使基金的投资组合比例符合基金合同的有</w:t>
      </w:r>
    </w:p>
    <w:p>
      <w:pPr>
        <w:spacing w:after="0"/>
        <w:jc w:val="both"/>
        <w:sectPr>
          <w:pgSz w:w="11910" w:h="16840"/>
          <w:pgMar w:header="877" w:footer="995" w:top="1420" w:bottom="1180" w:left="1260" w:right="1480"/>
        </w:sectPr>
      </w:pPr>
    </w:p>
    <w:p>
      <w:pPr>
        <w:pStyle w:val="BodyText"/>
        <w:spacing w:line="417" w:lineRule="auto" w:before="110"/>
        <w:ind w:left="540" w:right="311"/>
      </w:pPr>
      <w:r>
        <w:rPr>
          <w:spacing w:val="-11"/>
        </w:rPr>
        <w:t>关约定。期间，基金的投资范围、投资策略应当符合基金合同的约定。基金托管人对基金的</w:t>
      </w:r>
      <w:r>
        <w:rPr>
          <w:spacing w:val="-6"/>
        </w:rPr>
        <w:t>投资的监督与检查自基金合同生效之日起开始。</w:t>
      </w:r>
    </w:p>
    <w:p>
      <w:pPr>
        <w:pStyle w:val="BodyText"/>
        <w:spacing w:line="417" w:lineRule="auto"/>
        <w:ind w:left="540" w:right="208" w:firstLine="419"/>
      </w:pPr>
      <w:r>
        <w:rPr/>
        <w:t>法律法规或监管部门取消上述限制，如适用于本基金，基金管理人在履行适当程序后， 则本基金投资不再受相关限制。</w:t>
      </w:r>
    </w:p>
    <w:p>
      <w:pPr>
        <w:pStyle w:val="BodyText"/>
        <w:spacing w:line="269" w:lineRule="exact"/>
        <w:ind w:left="960"/>
      </w:pPr>
      <w:r>
        <w:rPr>
          <w:rFonts w:ascii="Times New Roman" w:eastAsia="Times New Roman"/>
        </w:rPr>
        <w:t>2</w:t>
      </w:r>
      <w:r>
        <w:rPr/>
        <w:t>、禁止行为</w:t>
      </w:r>
    </w:p>
    <w:p>
      <w:pPr>
        <w:pStyle w:val="BodyText"/>
        <w:spacing w:before="6"/>
        <w:rPr>
          <w:sz w:val="15"/>
        </w:rPr>
      </w:pPr>
    </w:p>
    <w:p>
      <w:pPr>
        <w:pStyle w:val="BodyText"/>
        <w:ind w:left="960"/>
      </w:pPr>
      <w:r>
        <w:rPr/>
        <w:t>为维护基金份额持有人的合法权益，基金财产不得用于下列投资或者活动：</w:t>
      </w:r>
    </w:p>
    <w:p>
      <w:pPr>
        <w:pStyle w:val="BodyText"/>
        <w:spacing w:before="7"/>
        <w:rPr>
          <w:sz w:val="15"/>
        </w:rPr>
      </w:pPr>
    </w:p>
    <w:p>
      <w:pPr>
        <w:pStyle w:val="ListParagraph"/>
        <w:numPr>
          <w:ilvl w:val="0"/>
          <w:numId w:val="22"/>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22"/>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2"/>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2"/>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22"/>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2"/>
        </w:numPr>
        <w:tabs>
          <w:tab w:pos="1490" w:val="left" w:leader="none"/>
        </w:tabs>
        <w:spacing w:line="240" w:lineRule="auto" w:before="0" w:after="0"/>
        <w:ind w:left="1489" w:right="0" w:hanging="530"/>
        <w:jc w:val="left"/>
        <w:rPr>
          <w:sz w:val="21"/>
        </w:rPr>
      </w:pPr>
      <w:r>
        <w:rPr>
          <w:spacing w:val="-3"/>
          <w:sz w:val="21"/>
        </w:rPr>
        <w:t>依照法律法规有关规定，由中国证监会规定禁止的其他活动。</w:t>
      </w:r>
    </w:p>
    <w:p>
      <w:pPr>
        <w:pStyle w:val="BodyText"/>
        <w:spacing w:before="7"/>
        <w:rPr>
          <w:sz w:val="15"/>
        </w:rPr>
      </w:pPr>
    </w:p>
    <w:p>
      <w:pPr>
        <w:pStyle w:val="BodyText"/>
        <w:spacing w:line="417" w:lineRule="auto"/>
        <w:ind w:left="540" w:right="10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540" w:right="311" w:firstLine="419"/>
      </w:pPr>
      <w:r>
        <w:rPr>
          <w:spacing w:val="-8"/>
        </w:rPr>
        <w:t>法律法规或监管部门修改或取消上述禁止性规定，基金管理人在履行适当程序后可相应</w:t>
      </w:r>
      <w:r>
        <w:rPr>
          <w:spacing w:val="-5"/>
        </w:rPr>
        <w:t>调整投资禁止行为的规定，不受上述规定的限制。</w:t>
      </w:r>
    </w:p>
    <w:p>
      <w:pPr>
        <w:pStyle w:val="BodyText"/>
        <w:spacing w:line="269" w:lineRule="exact"/>
        <w:ind w:left="960"/>
      </w:pPr>
      <w:r>
        <w:rPr/>
        <w:t>（五）业绩比较基准</w:t>
      </w:r>
    </w:p>
    <w:p>
      <w:pPr>
        <w:pStyle w:val="BodyText"/>
        <w:spacing w:before="7"/>
        <w:rPr>
          <w:sz w:val="15"/>
        </w:rPr>
      </w:pPr>
    </w:p>
    <w:p>
      <w:pPr>
        <w:pStyle w:val="BodyText"/>
        <w:ind w:left="960"/>
        <w:rPr>
          <w:rFonts w:ascii="Times New Roman" w:eastAsia="Times New Roman"/>
        </w:rPr>
      </w:pPr>
      <w:r>
        <w:rPr/>
        <w:t>本基金的业绩比较基准：中证 </w:t>
      </w:r>
      <w:r>
        <w:rPr>
          <w:rFonts w:ascii="Times New Roman" w:eastAsia="Times New Roman"/>
        </w:rPr>
        <w:t>800 </w:t>
      </w:r>
      <w:r>
        <w:rPr/>
        <w:t>指数收益率</w:t>
      </w:r>
      <w:r>
        <w:rPr>
          <w:rFonts w:ascii="Times New Roman" w:eastAsia="Times New Roman"/>
        </w:rPr>
        <w:t>*90%+</w:t>
      </w:r>
      <w:r>
        <w:rPr/>
        <w:t>上证国债指数收益率</w:t>
      </w:r>
      <w:r>
        <w:rPr>
          <w:rFonts w:ascii="Times New Roman" w:eastAsia="Times New Roman"/>
        </w:rPr>
        <w:t>*10%</w:t>
      </w:r>
    </w:p>
    <w:p>
      <w:pPr>
        <w:pStyle w:val="BodyText"/>
        <w:spacing w:before="3"/>
        <w:rPr>
          <w:rFonts w:ascii="Times New Roman"/>
          <w:sz w:val="17"/>
        </w:rPr>
      </w:pPr>
    </w:p>
    <w:p>
      <w:pPr>
        <w:pStyle w:val="BodyText"/>
        <w:ind w:left="960"/>
      </w:pPr>
      <w:r>
        <w:rPr>
          <w:spacing w:val="-5"/>
        </w:rPr>
        <w:t>如果中证指数有限公司变更或停止中证 </w:t>
      </w:r>
      <w:r>
        <w:rPr>
          <w:rFonts w:ascii="Times New Roman" w:eastAsia="Times New Roman"/>
        </w:rPr>
        <w:t>800</w:t>
      </w:r>
      <w:r>
        <w:rPr>
          <w:rFonts w:ascii="Times New Roman" w:eastAsia="Times New Roman"/>
          <w:spacing w:val="21"/>
        </w:rPr>
        <w:t> </w:t>
      </w:r>
      <w:r>
        <w:rPr>
          <w:spacing w:val="-9"/>
        </w:rPr>
        <w:t>指数或上证国债指数的编制及发布、或中证</w:t>
      </w:r>
    </w:p>
    <w:p>
      <w:pPr>
        <w:pStyle w:val="BodyText"/>
        <w:spacing w:before="7"/>
        <w:rPr>
          <w:sz w:val="15"/>
        </w:rPr>
      </w:pPr>
    </w:p>
    <w:p>
      <w:pPr>
        <w:pStyle w:val="BodyText"/>
        <w:ind w:left="540"/>
      </w:pPr>
      <w:r>
        <w:rPr>
          <w:rFonts w:ascii="Times New Roman" w:eastAsia="Times New Roman"/>
        </w:rPr>
        <w:t>800</w:t>
      </w:r>
      <w:r>
        <w:rPr>
          <w:rFonts w:ascii="Times New Roman" w:eastAsia="Times New Roman"/>
          <w:spacing w:val="47"/>
        </w:rPr>
        <w:t> </w:t>
      </w:r>
      <w:r>
        <w:rPr>
          <w:spacing w:val="-6"/>
        </w:rPr>
        <w:t>指数或上证国债指数由其他指数替代、或由于指数编制方法发生重大变更等原因导致中</w:t>
      </w:r>
    </w:p>
    <w:p>
      <w:pPr>
        <w:pStyle w:val="BodyText"/>
        <w:spacing w:before="6"/>
        <w:rPr>
          <w:sz w:val="15"/>
        </w:rPr>
      </w:pPr>
    </w:p>
    <w:p>
      <w:pPr>
        <w:pStyle w:val="BodyText"/>
        <w:spacing w:line="417" w:lineRule="auto" w:before="1"/>
        <w:ind w:left="540" w:right="205"/>
      </w:pPr>
      <w:r>
        <w:rPr>
          <w:spacing w:val="-22"/>
        </w:rPr>
        <w:t>证 </w:t>
      </w:r>
      <w:r>
        <w:rPr>
          <w:rFonts w:ascii="Times New Roman" w:eastAsia="Times New Roman"/>
        </w:rPr>
        <w:t>800</w:t>
      </w:r>
      <w:r>
        <w:rPr>
          <w:rFonts w:ascii="Times New Roman" w:eastAsia="Times New Roman"/>
          <w:spacing w:val="8"/>
        </w:rPr>
        <w:t> </w:t>
      </w:r>
      <w:r>
        <w:rPr>
          <w:spacing w:val="-8"/>
        </w:rPr>
        <w:t>指数或上证国债指数不宜继续作为基准指数，或市场有其他代表性更强、更适合投资</w:t>
      </w:r>
      <w:r>
        <w:rPr>
          <w:spacing w:val="-16"/>
        </w:rPr>
        <w:t>的指数推出时，本基金管理人可以依据维护投资者合法权益的原则，取得基金托管人同意后， </w:t>
      </w:r>
      <w:r>
        <w:rPr>
          <w:spacing w:val="-7"/>
        </w:rPr>
        <w:t>变更本基金的基准指数。</w:t>
      </w:r>
    </w:p>
    <w:p>
      <w:pPr>
        <w:pStyle w:val="BodyText"/>
        <w:spacing w:line="269" w:lineRule="exact"/>
        <w:ind w:left="960"/>
      </w:pPr>
      <w:r>
        <w:rPr/>
        <w:t>（六</w:t>
      </w:r>
      <w:r>
        <w:rPr>
          <w:spacing w:val="-3"/>
        </w:rPr>
        <w:t>）风险收益特征</w:t>
      </w:r>
    </w:p>
    <w:p>
      <w:pPr>
        <w:pStyle w:val="BodyText"/>
        <w:spacing w:before="7"/>
        <w:rPr>
          <w:sz w:val="15"/>
        </w:rPr>
      </w:pPr>
    </w:p>
    <w:p>
      <w:pPr>
        <w:pStyle w:val="BodyText"/>
        <w:spacing w:line="417" w:lineRule="auto"/>
        <w:ind w:left="540" w:right="311" w:firstLine="419"/>
      </w:pPr>
      <w:r>
        <w:rPr>
          <w:spacing w:val="-9"/>
        </w:rPr>
        <w:t>本基金属于股票基金，风险与收益高于混合基金、债券基金与货币市场基金，属于高风</w:t>
      </w:r>
      <w:r>
        <w:rPr>
          <w:spacing w:val="-5"/>
        </w:rPr>
        <w:t>险、高收益的品种。</w:t>
      </w:r>
    </w:p>
    <w:p>
      <w:pPr>
        <w:spacing w:after="0" w:line="417" w:lineRule="auto"/>
        <w:sectPr>
          <w:pgSz w:w="11910" w:h="16840"/>
          <w:pgMar w:header="877" w:footer="995" w:top="1420" w:bottom="1180" w:left="1260" w:right="1480"/>
        </w:sectPr>
      </w:pPr>
    </w:p>
    <w:p>
      <w:pPr>
        <w:pStyle w:val="BodyText"/>
        <w:spacing w:before="110"/>
        <w:ind w:left="960"/>
      </w:pPr>
      <w:r>
        <w:rPr/>
        <w:t>（七）投资组合报告</w:t>
      </w:r>
    </w:p>
    <w:p>
      <w:pPr>
        <w:pStyle w:val="BodyText"/>
        <w:spacing w:before="6"/>
        <w:rPr>
          <w:sz w:val="18"/>
        </w:rPr>
      </w:pPr>
    </w:p>
    <w:p>
      <w:pPr>
        <w:pStyle w:val="BodyText"/>
        <w:ind w:left="958"/>
      </w:pP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3"/>
        </w:numPr>
        <w:tabs>
          <w:tab w:pos="937" w:val="left" w:leader="none"/>
        </w:tabs>
        <w:spacing w:line="240" w:lineRule="auto" w:before="0" w:after="0"/>
        <w:ind w:left="936" w:right="0" w:hanging="397"/>
        <w:jc w:val="left"/>
        <w:rPr>
          <w:rFonts w:ascii="Arial" w:eastAsia="Arial"/>
          <w:sz w:val="21"/>
        </w:rPr>
      </w:pPr>
      <w:r>
        <w:rPr>
          <w:spacing w:val="-3"/>
          <w:sz w:val="21"/>
        </w:rPr>
        <w:t>报告期末基金资产组合情况</w:t>
      </w:r>
    </w:p>
    <w:p>
      <w:pPr>
        <w:pStyle w:val="BodyText"/>
        <w:spacing w:before="7" w:after="1"/>
        <w:rPr>
          <w:sz w:val="10"/>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4"/>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4"/>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4"/>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jc w:val="left"/>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rPr>
                <w:sz w:val="21"/>
              </w:rPr>
            </w:pPr>
            <w:r>
              <w:rPr>
                <w:sz w:val="21"/>
              </w:rPr>
              <w:t>1,600,070,000.62</w:t>
            </w:r>
          </w:p>
        </w:tc>
        <w:tc>
          <w:tcPr>
            <w:tcW w:w="2103" w:type="dxa"/>
          </w:tcPr>
          <w:p>
            <w:pPr>
              <w:pStyle w:val="TableParagraph"/>
              <w:spacing w:before="142"/>
              <w:ind w:right="94"/>
              <w:rPr>
                <w:sz w:val="21"/>
              </w:rPr>
            </w:pPr>
            <w:r>
              <w:rPr>
                <w:sz w:val="21"/>
              </w:rPr>
              <w:t>88.96</w:t>
            </w:r>
          </w:p>
        </w:tc>
      </w:tr>
      <w:tr>
        <w:trPr>
          <w:trHeight w:val="497"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rPr>
                <w:sz w:val="21"/>
              </w:rPr>
            </w:pPr>
            <w:r>
              <w:rPr>
                <w:sz w:val="21"/>
              </w:rPr>
              <w:t>1,600,070,000.62</w:t>
            </w:r>
          </w:p>
        </w:tc>
        <w:tc>
          <w:tcPr>
            <w:tcW w:w="2103" w:type="dxa"/>
          </w:tcPr>
          <w:p>
            <w:pPr>
              <w:pStyle w:val="TableParagraph"/>
              <w:spacing w:before="142"/>
              <w:ind w:right="94"/>
              <w:rPr>
                <w:sz w:val="21"/>
              </w:rPr>
            </w:pPr>
            <w:r>
              <w:rPr>
                <w:sz w:val="21"/>
              </w:rPr>
              <w:t>88.96</w:t>
            </w:r>
          </w:p>
        </w:tc>
      </w:tr>
      <w:tr>
        <w:trPr>
          <w:trHeight w:val="498"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1"/>
              <w:ind w:left="124"/>
              <w:jc w:val="left"/>
              <w:rPr>
                <w:rFonts w:ascii="宋体" w:eastAsia="宋体" w:hint="eastAsia"/>
                <w:sz w:val="21"/>
              </w:rPr>
            </w:pPr>
            <w:r>
              <w:rPr>
                <w:rFonts w:ascii="宋体" w:eastAsia="宋体" w:hint="eastAsia"/>
                <w:sz w:val="21"/>
              </w:rPr>
              <w:t>其中：买断式回购的买入返售</w:t>
            </w:r>
          </w:p>
          <w:p>
            <w:pPr>
              <w:pStyle w:val="TableParagraph"/>
              <w:spacing w:before="4"/>
              <w:jc w:val="left"/>
              <w:rPr>
                <w:rFonts w:ascii="宋体"/>
                <w:sz w:val="15"/>
              </w:rPr>
            </w:pPr>
          </w:p>
          <w:p>
            <w:pPr>
              <w:pStyle w:val="TableParagraph"/>
              <w:spacing w:before="0"/>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6"/>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6"/>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179,344,725.29</w:t>
            </w:r>
          </w:p>
        </w:tc>
        <w:tc>
          <w:tcPr>
            <w:tcW w:w="2103" w:type="dxa"/>
          </w:tcPr>
          <w:p>
            <w:pPr>
              <w:pStyle w:val="TableParagraph"/>
              <w:spacing w:before="142"/>
              <w:ind w:right="94"/>
              <w:rPr>
                <w:sz w:val="21"/>
              </w:rPr>
            </w:pPr>
            <w:r>
              <w:rPr>
                <w:sz w:val="21"/>
              </w:rPr>
              <w:t>9.97</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19,244,506.00</w:t>
            </w:r>
          </w:p>
        </w:tc>
        <w:tc>
          <w:tcPr>
            <w:tcW w:w="2103" w:type="dxa"/>
          </w:tcPr>
          <w:p>
            <w:pPr>
              <w:pStyle w:val="TableParagraph"/>
              <w:spacing w:before="127"/>
              <w:ind w:right="94"/>
              <w:rPr>
                <w:sz w:val="21"/>
              </w:rPr>
            </w:pPr>
            <w:r>
              <w:rPr>
                <w:sz w:val="21"/>
              </w:rPr>
              <w:t>1.07</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3"/>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1,798,659,231.91</w:t>
            </w:r>
          </w:p>
        </w:tc>
        <w:tc>
          <w:tcPr>
            <w:tcW w:w="2103" w:type="dxa"/>
          </w:tcPr>
          <w:p>
            <w:pPr>
              <w:pStyle w:val="TableParagraph"/>
              <w:spacing w:before="125"/>
              <w:ind w:right="94"/>
              <w:rPr>
                <w:sz w:val="21"/>
              </w:rPr>
            </w:pPr>
            <w:r>
              <w:rPr>
                <w:sz w:val="21"/>
              </w:rPr>
              <w:t>100.00</w:t>
            </w:r>
          </w:p>
        </w:tc>
      </w:tr>
    </w:tbl>
    <w:p>
      <w:pPr>
        <w:pStyle w:val="ListParagraph"/>
        <w:numPr>
          <w:ilvl w:val="1"/>
          <w:numId w:val="23"/>
        </w:numPr>
        <w:tabs>
          <w:tab w:pos="910" w:val="left" w:leader="none"/>
        </w:tabs>
        <w:spacing w:line="240" w:lineRule="auto" w:before="99" w:after="0"/>
        <w:ind w:left="910" w:right="0" w:hanging="370"/>
        <w:jc w:val="left"/>
        <w:rPr>
          <w:rFonts w:ascii="Times New Roman" w:eastAsia="Times New Roman"/>
          <w:sz w:val="21"/>
        </w:rPr>
      </w:pPr>
      <w:r>
        <w:rPr>
          <w:spacing w:val="-3"/>
          <w:sz w:val="21"/>
        </w:rPr>
        <w:t>报告期末按行业分类的股票投资组合</w:t>
      </w:r>
    </w:p>
    <w:p>
      <w:pPr>
        <w:pStyle w:val="BodyText"/>
        <w:spacing w:before="7"/>
        <w:rPr>
          <w:sz w:val="15"/>
        </w:rPr>
      </w:pPr>
    </w:p>
    <w:p>
      <w:pPr>
        <w:pStyle w:val="ListParagraph"/>
        <w:numPr>
          <w:ilvl w:val="2"/>
          <w:numId w:val="23"/>
        </w:numPr>
        <w:tabs>
          <w:tab w:pos="1066" w:val="left" w:leader="none"/>
        </w:tabs>
        <w:spacing w:line="240" w:lineRule="auto" w:before="0" w:after="0"/>
        <w:ind w:left="106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4"/>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4"/>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4"/>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rPr>
                <w:sz w:val="21"/>
              </w:rPr>
            </w:pPr>
            <w:r>
              <w:rPr>
                <w:w w:val="100"/>
                <w:sz w:val="21"/>
              </w:rPr>
              <w:t>-</w:t>
            </w:r>
          </w:p>
        </w:tc>
        <w:tc>
          <w:tcPr>
            <w:tcW w:w="2076" w:type="dxa"/>
          </w:tcPr>
          <w:p>
            <w:pPr>
              <w:pStyle w:val="TableParagraph"/>
              <w:spacing w:before="156"/>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rPr>
                <w:sz w:val="21"/>
              </w:rPr>
            </w:pPr>
            <w:r>
              <w:rPr>
                <w:sz w:val="21"/>
              </w:rPr>
              <w:t>937,262,507.09</w:t>
            </w:r>
          </w:p>
        </w:tc>
        <w:tc>
          <w:tcPr>
            <w:tcW w:w="2076" w:type="dxa"/>
          </w:tcPr>
          <w:p>
            <w:pPr>
              <w:pStyle w:val="TableParagraph"/>
              <w:spacing w:before="137"/>
              <w:rPr>
                <w:sz w:val="21"/>
              </w:rPr>
            </w:pPr>
            <w:r>
              <w:rPr>
                <w:sz w:val="21"/>
              </w:rPr>
              <w:t>53.20</w:t>
            </w:r>
          </w:p>
        </w:tc>
      </w:tr>
      <w:tr>
        <w:trPr>
          <w:trHeight w:val="417" w:hRule="atLeast"/>
        </w:trPr>
        <w:tc>
          <w:tcPr>
            <w:tcW w:w="710" w:type="dxa"/>
          </w:tcPr>
          <w:p>
            <w:pPr>
              <w:pStyle w:val="TableParagraph"/>
              <w:spacing w:before="139"/>
              <w:ind w:left="13"/>
              <w:jc w:val="center"/>
              <w:rPr>
                <w:sz w:val="21"/>
              </w:rPr>
            </w:pPr>
            <w:r>
              <w:rPr>
                <w:w w:val="100"/>
                <w:sz w:val="21"/>
              </w:rPr>
              <w:t>D</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rPr>
                <w:sz w:val="21"/>
              </w:rPr>
            </w:pPr>
            <w:r>
              <w:rPr>
                <w:sz w:val="21"/>
              </w:rPr>
              <w:t>12,766.32</w:t>
            </w:r>
          </w:p>
        </w:tc>
        <w:tc>
          <w:tcPr>
            <w:tcW w:w="2076" w:type="dxa"/>
          </w:tcPr>
          <w:p>
            <w:pPr>
              <w:pStyle w:val="TableParagraph"/>
              <w:spacing w:before="94"/>
              <w:rPr>
                <w:sz w:val="21"/>
              </w:rPr>
            </w:pPr>
            <w:r>
              <w:rPr>
                <w:sz w:val="21"/>
              </w:rPr>
              <w:t>0.00</w:t>
            </w:r>
          </w:p>
        </w:tc>
      </w:tr>
      <w:tr>
        <w:trPr>
          <w:trHeight w:val="414" w:hRule="atLeast"/>
        </w:trPr>
        <w:tc>
          <w:tcPr>
            <w:tcW w:w="710" w:type="dxa"/>
          </w:tcPr>
          <w:p>
            <w:pPr>
              <w:pStyle w:val="TableParagraph"/>
              <w:spacing w:before="137"/>
              <w:ind w:left="14"/>
              <w:jc w:val="center"/>
              <w:rPr>
                <w:sz w:val="21"/>
              </w:rPr>
            </w:pPr>
            <w:r>
              <w:rPr>
                <w:w w:val="100"/>
                <w:sz w:val="21"/>
              </w:rPr>
              <w:t>E</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5" w:hRule="atLeast"/>
        </w:trPr>
        <w:tc>
          <w:tcPr>
            <w:tcW w:w="710" w:type="dxa"/>
          </w:tcPr>
          <w:p>
            <w:pPr>
              <w:pStyle w:val="TableParagraph"/>
              <w:spacing w:before="137"/>
              <w:ind w:left="12"/>
              <w:jc w:val="center"/>
              <w:rPr>
                <w:sz w:val="21"/>
              </w:rPr>
            </w:pPr>
            <w:r>
              <w:rPr>
                <w:w w:val="100"/>
                <w:sz w:val="21"/>
              </w:rPr>
              <w:t>F</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92"/>
              <w:ind w:right="-15"/>
              <w:rPr>
                <w:sz w:val="21"/>
              </w:rPr>
            </w:pPr>
            <w:r>
              <w:rPr>
                <w:sz w:val="21"/>
              </w:rPr>
              <w:t>52,592,258.00</w:t>
            </w:r>
          </w:p>
        </w:tc>
        <w:tc>
          <w:tcPr>
            <w:tcW w:w="2076" w:type="dxa"/>
          </w:tcPr>
          <w:p>
            <w:pPr>
              <w:pStyle w:val="TableParagraph"/>
              <w:spacing w:before="92"/>
              <w:rPr>
                <w:sz w:val="21"/>
              </w:rPr>
            </w:pPr>
            <w:r>
              <w:rPr>
                <w:sz w:val="21"/>
              </w:rPr>
              <w:t>2.99</w:t>
            </w:r>
          </w:p>
        </w:tc>
      </w:tr>
      <w:tr>
        <w:trPr>
          <w:trHeight w:val="414" w:hRule="atLeast"/>
        </w:trPr>
        <w:tc>
          <w:tcPr>
            <w:tcW w:w="710" w:type="dxa"/>
          </w:tcPr>
          <w:p>
            <w:pPr>
              <w:pStyle w:val="TableParagraph"/>
              <w:spacing w:before="137"/>
              <w:ind w:left="13"/>
              <w:jc w:val="center"/>
              <w:rPr>
                <w:sz w:val="21"/>
              </w:rPr>
            </w:pPr>
            <w:r>
              <w:rPr>
                <w:w w:val="100"/>
                <w:sz w:val="21"/>
              </w:rPr>
              <w:t>G</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bl>
    <w:p>
      <w:pPr>
        <w:spacing w:after="0"/>
        <w:rPr>
          <w:sz w:val="21"/>
        </w:rPr>
        <w:sectPr>
          <w:pgSz w:w="11910" w:h="16840"/>
          <w:pgMar w:header="877" w:footer="995" w:top="1420" w:bottom="1180" w:left="1260" w:right="148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415" w:hRule="atLeast"/>
        </w:trPr>
        <w:tc>
          <w:tcPr>
            <w:tcW w:w="710" w:type="dxa"/>
          </w:tcPr>
          <w:p>
            <w:pPr>
              <w:pStyle w:val="TableParagraph"/>
              <w:spacing w:before="137"/>
              <w:ind w:left="280"/>
              <w:jc w:val="left"/>
              <w:rPr>
                <w:sz w:val="21"/>
              </w:rPr>
            </w:pPr>
            <w:r>
              <w:rPr>
                <w:w w:val="100"/>
                <w:sz w:val="21"/>
              </w:rPr>
              <w:t>H</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321"/>
              <w:jc w:val="left"/>
              <w:rPr>
                <w:sz w:val="21"/>
              </w:rPr>
            </w:pPr>
            <w:r>
              <w:rPr>
                <w:w w:val="100"/>
                <w:sz w:val="21"/>
              </w:rPr>
              <w:t>I</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rPr>
                <w:sz w:val="21"/>
              </w:rPr>
            </w:pPr>
            <w:r>
              <w:rPr>
                <w:sz w:val="21"/>
              </w:rPr>
              <w:t>441,995,497.01</w:t>
            </w:r>
          </w:p>
        </w:tc>
        <w:tc>
          <w:tcPr>
            <w:tcW w:w="2076" w:type="dxa"/>
          </w:tcPr>
          <w:p>
            <w:pPr>
              <w:pStyle w:val="TableParagraph"/>
              <w:spacing w:before="94"/>
              <w:rPr>
                <w:sz w:val="21"/>
              </w:rPr>
            </w:pPr>
            <w:r>
              <w:rPr>
                <w:sz w:val="21"/>
              </w:rPr>
              <w:t>25.09</w:t>
            </w:r>
          </w:p>
        </w:tc>
      </w:tr>
      <w:tr>
        <w:trPr>
          <w:trHeight w:val="414" w:hRule="atLeast"/>
        </w:trPr>
        <w:tc>
          <w:tcPr>
            <w:tcW w:w="710" w:type="dxa"/>
          </w:tcPr>
          <w:p>
            <w:pPr>
              <w:pStyle w:val="TableParagraph"/>
              <w:spacing w:before="139"/>
              <w:ind w:left="314"/>
              <w:jc w:val="left"/>
              <w:rPr>
                <w:sz w:val="21"/>
              </w:rPr>
            </w:pPr>
            <w:r>
              <w:rPr>
                <w:w w:val="100"/>
                <w:sz w:val="21"/>
              </w:rPr>
              <w:t>J</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280"/>
              <w:jc w:val="left"/>
              <w:rPr>
                <w:sz w:val="21"/>
              </w:rPr>
            </w:pPr>
            <w:r>
              <w:rPr>
                <w:w w:val="100"/>
                <w:sz w:val="21"/>
              </w:rPr>
              <w:t>K</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292"/>
              <w:jc w:val="left"/>
              <w:rPr>
                <w:sz w:val="21"/>
              </w:rPr>
            </w:pPr>
            <w:r>
              <w:rPr>
                <w:w w:val="100"/>
                <w:sz w:val="21"/>
              </w:rPr>
              <w:t>L</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rPr>
                <w:sz w:val="21"/>
              </w:rPr>
            </w:pPr>
            <w:r>
              <w:rPr>
                <w:sz w:val="21"/>
              </w:rPr>
              <w:t>26,364,692.50</w:t>
            </w:r>
          </w:p>
        </w:tc>
        <w:tc>
          <w:tcPr>
            <w:tcW w:w="2076" w:type="dxa"/>
          </w:tcPr>
          <w:p>
            <w:pPr>
              <w:pStyle w:val="TableParagraph"/>
              <w:spacing w:before="94"/>
              <w:rPr>
                <w:sz w:val="21"/>
              </w:rPr>
            </w:pPr>
            <w:r>
              <w:rPr>
                <w:sz w:val="21"/>
              </w:rPr>
              <w:t>1.50</w:t>
            </w:r>
          </w:p>
        </w:tc>
      </w:tr>
      <w:tr>
        <w:trPr>
          <w:trHeight w:val="417" w:hRule="atLeast"/>
        </w:trPr>
        <w:tc>
          <w:tcPr>
            <w:tcW w:w="710" w:type="dxa"/>
          </w:tcPr>
          <w:p>
            <w:pPr>
              <w:pStyle w:val="TableParagraph"/>
              <w:spacing w:before="139"/>
              <w:ind w:left="261"/>
              <w:jc w:val="left"/>
              <w:rPr>
                <w:sz w:val="21"/>
              </w:rPr>
            </w:pPr>
            <w:r>
              <w:rPr>
                <w:w w:val="100"/>
                <w:sz w:val="21"/>
              </w:rPr>
              <w:t>M</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rPr>
                <w:sz w:val="21"/>
              </w:rPr>
            </w:pPr>
            <w:r>
              <w:rPr>
                <w:sz w:val="21"/>
              </w:rPr>
              <w:t>51,160,935.70</w:t>
            </w:r>
          </w:p>
        </w:tc>
        <w:tc>
          <w:tcPr>
            <w:tcW w:w="2076" w:type="dxa"/>
          </w:tcPr>
          <w:p>
            <w:pPr>
              <w:pStyle w:val="TableParagraph"/>
              <w:spacing w:before="94"/>
              <w:rPr>
                <w:sz w:val="21"/>
              </w:rPr>
            </w:pPr>
            <w:r>
              <w:rPr>
                <w:sz w:val="21"/>
              </w:rPr>
              <w:t>2.90</w:t>
            </w:r>
          </w:p>
        </w:tc>
      </w:tr>
      <w:tr>
        <w:trPr>
          <w:trHeight w:val="414" w:hRule="atLeast"/>
        </w:trPr>
        <w:tc>
          <w:tcPr>
            <w:tcW w:w="710" w:type="dxa"/>
          </w:tcPr>
          <w:p>
            <w:pPr>
              <w:pStyle w:val="TableParagraph"/>
              <w:spacing w:before="137"/>
              <w:ind w:left="280"/>
              <w:jc w:val="left"/>
              <w:rPr>
                <w:sz w:val="21"/>
              </w:rPr>
            </w:pPr>
            <w:r>
              <w:rPr>
                <w:w w:val="100"/>
                <w:sz w:val="21"/>
              </w:rPr>
              <w:t>N</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1"/>
              <w:ind w:right="-15"/>
              <w:rPr>
                <w:sz w:val="21"/>
              </w:rPr>
            </w:pPr>
            <w:r>
              <w:rPr>
                <w:sz w:val="21"/>
              </w:rPr>
              <w:t>18,098,116.00</w:t>
            </w:r>
          </w:p>
        </w:tc>
        <w:tc>
          <w:tcPr>
            <w:tcW w:w="2076" w:type="dxa"/>
          </w:tcPr>
          <w:p>
            <w:pPr>
              <w:pStyle w:val="TableParagraph"/>
              <w:spacing w:before="91"/>
              <w:rPr>
                <w:sz w:val="21"/>
              </w:rPr>
            </w:pPr>
            <w:r>
              <w:rPr>
                <w:sz w:val="21"/>
              </w:rPr>
              <w:t>1.03</w:t>
            </w:r>
          </w:p>
        </w:tc>
      </w:tr>
      <w:tr>
        <w:trPr>
          <w:trHeight w:val="414" w:hRule="atLeast"/>
        </w:trPr>
        <w:tc>
          <w:tcPr>
            <w:tcW w:w="710" w:type="dxa"/>
          </w:tcPr>
          <w:p>
            <w:pPr>
              <w:pStyle w:val="TableParagraph"/>
              <w:spacing w:before="137"/>
              <w:ind w:left="280"/>
              <w:jc w:val="left"/>
              <w:rPr>
                <w:sz w:val="21"/>
              </w:rPr>
            </w:pPr>
            <w:r>
              <w:rPr>
                <w:w w:val="100"/>
                <w:sz w:val="21"/>
              </w:rPr>
              <w:t>O</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5" w:hRule="atLeast"/>
        </w:trPr>
        <w:tc>
          <w:tcPr>
            <w:tcW w:w="710" w:type="dxa"/>
          </w:tcPr>
          <w:p>
            <w:pPr>
              <w:pStyle w:val="TableParagraph"/>
              <w:spacing w:before="138"/>
              <w:ind w:left="297"/>
              <w:jc w:val="left"/>
              <w:rPr>
                <w:sz w:val="21"/>
              </w:rPr>
            </w:pPr>
            <w:r>
              <w:rPr>
                <w:w w:val="100"/>
                <w:sz w:val="21"/>
              </w:rPr>
              <w:t>P</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92"/>
              <w:ind w:right="-15"/>
              <w:rPr>
                <w:sz w:val="21"/>
              </w:rPr>
            </w:pPr>
            <w:r>
              <w:rPr>
                <w:w w:val="100"/>
                <w:sz w:val="21"/>
              </w:rPr>
              <w:t>-</w:t>
            </w:r>
          </w:p>
        </w:tc>
        <w:tc>
          <w:tcPr>
            <w:tcW w:w="2076" w:type="dxa"/>
          </w:tcPr>
          <w:p>
            <w:pPr>
              <w:pStyle w:val="TableParagraph"/>
              <w:spacing w:before="92"/>
              <w:rPr>
                <w:sz w:val="21"/>
              </w:rPr>
            </w:pPr>
            <w:r>
              <w:rPr>
                <w:w w:val="100"/>
                <w:sz w:val="21"/>
              </w:rPr>
              <w:t>-</w:t>
            </w:r>
          </w:p>
        </w:tc>
      </w:tr>
      <w:tr>
        <w:trPr>
          <w:trHeight w:val="414" w:hRule="atLeast"/>
        </w:trPr>
        <w:tc>
          <w:tcPr>
            <w:tcW w:w="710" w:type="dxa"/>
          </w:tcPr>
          <w:p>
            <w:pPr>
              <w:pStyle w:val="TableParagraph"/>
              <w:spacing w:before="137"/>
              <w:ind w:left="280"/>
              <w:jc w:val="left"/>
              <w:rPr>
                <w:sz w:val="21"/>
              </w:rPr>
            </w:pPr>
            <w:r>
              <w:rPr>
                <w:w w:val="100"/>
                <w:sz w:val="21"/>
              </w:rPr>
              <w:t>Q</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1"/>
              <w:ind w:right="-15"/>
              <w:rPr>
                <w:sz w:val="21"/>
              </w:rPr>
            </w:pPr>
            <w:r>
              <w:rPr>
                <w:sz w:val="21"/>
              </w:rPr>
              <w:t>58,720,068.00</w:t>
            </w:r>
          </w:p>
        </w:tc>
        <w:tc>
          <w:tcPr>
            <w:tcW w:w="2076" w:type="dxa"/>
          </w:tcPr>
          <w:p>
            <w:pPr>
              <w:pStyle w:val="TableParagraph"/>
              <w:spacing w:before="91"/>
              <w:rPr>
                <w:sz w:val="21"/>
              </w:rPr>
            </w:pPr>
            <w:r>
              <w:rPr>
                <w:sz w:val="21"/>
              </w:rPr>
              <w:t>3.33</w:t>
            </w:r>
          </w:p>
        </w:tc>
      </w:tr>
      <w:tr>
        <w:trPr>
          <w:trHeight w:val="414" w:hRule="atLeast"/>
        </w:trPr>
        <w:tc>
          <w:tcPr>
            <w:tcW w:w="710" w:type="dxa"/>
          </w:tcPr>
          <w:p>
            <w:pPr>
              <w:pStyle w:val="TableParagraph"/>
              <w:spacing w:before="137"/>
              <w:ind w:left="285"/>
              <w:jc w:val="left"/>
              <w:rPr>
                <w:sz w:val="21"/>
              </w:rPr>
            </w:pPr>
            <w:r>
              <w:rPr>
                <w:w w:val="100"/>
                <w:sz w:val="21"/>
              </w:rPr>
              <w:t>R</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4"/>
              <w:ind w:right="-15"/>
              <w:rPr>
                <w:sz w:val="21"/>
              </w:rPr>
            </w:pPr>
            <w:r>
              <w:rPr>
                <w:sz w:val="21"/>
              </w:rPr>
              <w:t>13,863,160.00</w:t>
            </w:r>
          </w:p>
        </w:tc>
        <w:tc>
          <w:tcPr>
            <w:tcW w:w="2076" w:type="dxa"/>
          </w:tcPr>
          <w:p>
            <w:pPr>
              <w:pStyle w:val="TableParagraph"/>
              <w:spacing w:before="94"/>
              <w:rPr>
                <w:sz w:val="21"/>
              </w:rPr>
            </w:pPr>
            <w:r>
              <w:rPr>
                <w:sz w:val="21"/>
              </w:rPr>
              <w:t>0.79</w:t>
            </w:r>
          </w:p>
        </w:tc>
      </w:tr>
      <w:tr>
        <w:trPr>
          <w:trHeight w:val="414" w:hRule="atLeast"/>
        </w:trPr>
        <w:tc>
          <w:tcPr>
            <w:tcW w:w="710" w:type="dxa"/>
          </w:tcPr>
          <w:p>
            <w:pPr>
              <w:pStyle w:val="TableParagraph"/>
              <w:spacing w:before="137"/>
              <w:ind w:left="297"/>
              <w:jc w:val="left"/>
              <w:rPr>
                <w:sz w:val="21"/>
              </w:rPr>
            </w:pPr>
            <w:r>
              <w:rPr>
                <w:w w:val="100"/>
                <w:sz w:val="21"/>
              </w:rPr>
              <w:t>S</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0"/>
              <w:jc w:val="left"/>
              <w:rPr>
                <w:sz w:val="20"/>
              </w:rPr>
            </w:pP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94"/>
              <w:ind w:right="-15"/>
              <w:rPr>
                <w:sz w:val="21"/>
              </w:rPr>
            </w:pPr>
            <w:r>
              <w:rPr>
                <w:sz w:val="21"/>
              </w:rPr>
              <w:t>1,600,070,000.62</w:t>
            </w:r>
          </w:p>
        </w:tc>
        <w:tc>
          <w:tcPr>
            <w:tcW w:w="2076" w:type="dxa"/>
          </w:tcPr>
          <w:p>
            <w:pPr>
              <w:pStyle w:val="TableParagraph"/>
              <w:spacing w:before="94"/>
              <w:rPr>
                <w:sz w:val="21"/>
              </w:rPr>
            </w:pPr>
            <w:r>
              <w:rPr>
                <w:sz w:val="21"/>
              </w:rPr>
              <w:t>90.82</w:t>
            </w:r>
          </w:p>
        </w:tc>
      </w:tr>
    </w:tbl>
    <w:p>
      <w:pPr>
        <w:pStyle w:val="ListParagraph"/>
        <w:numPr>
          <w:ilvl w:val="1"/>
          <w:numId w:val="23"/>
        </w:numPr>
        <w:tabs>
          <w:tab w:pos="910" w:val="left" w:leader="none"/>
        </w:tabs>
        <w:spacing w:line="240" w:lineRule="auto" w:before="109" w:after="0"/>
        <w:ind w:left="91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jc w:val="left"/>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jc w:val="left"/>
              <w:rPr>
                <w:rFonts w:ascii="宋体"/>
                <w:sz w:val="28"/>
              </w:rPr>
            </w:pPr>
          </w:p>
          <w:p>
            <w:pPr>
              <w:pStyle w:val="TableParagraph"/>
              <w:spacing w:before="0"/>
              <w:ind w:left="111" w:right="85"/>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jc w:val="left"/>
              <w:rPr>
                <w:rFonts w:ascii="宋体"/>
                <w:sz w:val="28"/>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jc w:val="left"/>
              <w:rPr>
                <w:rFonts w:ascii="宋体"/>
                <w:sz w:val="28"/>
              </w:rPr>
            </w:pPr>
          </w:p>
          <w:p>
            <w:pPr>
              <w:pStyle w:val="TableParagraph"/>
              <w:spacing w:before="0"/>
              <w:ind w:left="261"/>
              <w:jc w:val="left"/>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jc w:val="left"/>
              <w:rPr>
                <w:rFonts w:ascii="宋体"/>
                <w:sz w:val="2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5"/>
              <w:jc w:val="left"/>
              <w:rPr>
                <w:rFonts w:ascii="宋体"/>
                <w:sz w:val="15"/>
              </w:rPr>
            </w:pPr>
          </w:p>
          <w:p>
            <w:pPr>
              <w:pStyle w:val="TableParagraph"/>
              <w:spacing w:before="0"/>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3" w:hRule="atLeast"/>
        </w:trPr>
        <w:tc>
          <w:tcPr>
            <w:tcW w:w="708" w:type="dxa"/>
          </w:tcPr>
          <w:p>
            <w:pPr>
              <w:pStyle w:val="TableParagraph"/>
              <w:spacing w:before="36"/>
              <w:ind w:left="7"/>
              <w:jc w:val="center"/>
              <w:rPr>
                <w:sz w:val="21"/>
              </w:rPr>
            </w:pPr>
            <w:r>
              <w:rPr>
                <w:w w:val="100"/>
                <w:sz w:val="21"/>
              </w:rPr>
              <w:t>1</w:t>
            </w:r>
          </w:p>
        </w:tc>
        <w:tc>
          <w:tcPr>
            <w:tcW w:w="1277" w:type="dxa"/>
          </w:tcPr>
          <w:p>
            <w:pPr>
              <w:pStyle w:val="TableParagraph"/>
              <w:spacing w:before="36"/>
              <w:ind w:left="108" w:right="99"/>
              <w:jc w:val="center"/>
              <w:rPr>
                <w:sz w:val="21"/>
              </w:rPr>
            </w:pPr>
            <w:r>
              <w:rPr>
                <w:sz w:val="21"/>
              </w:rPr>
              <w:t>300750</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宁德时代</w:t>
            </w:r>
          </w:p>
        </w:tc>
        <w:tc>
          <w:tcPr>
            <w:tcW w:w="1277" w:type="dxa"/>
          </w:tcPr>
          <w:p>
            <w:pPr>
              <w:pStyle w:val="TableParagraph"/>
              <w:spacing w:before="36"/>
              <w:ind w:right="94"/>
              <w:rPr>
                <w:sz w:val="21"/>
              </w:rPr>
            </w:pPr>
            <w:r>
              <w:rPr>
                <w:sz w:val="21"/>
              </w:rPr>
              <w:t>606,600</w:t>
            </w:r>
          </w:p>
        </w:tc>
        <w:tc>
          <w:tcPr>
            <w:tcW w:w="1841" w:type="dxa"/>
          </w:tcPr>
          <w:p>
            <w:pPr>
              <w:pStyle w:val="TableParagraph"/>
              <w:spacing w:before="36"/>
              <w:ind w:right="91"/>
              <w:rPr>
                <w:sz w:val="21"/>
              </w:rPr>
            </w:pPr>
            <w:r>
              <w:rPr>
                <w:sz w:val="21"/>
              </w:rPr>
              <w:t>105,766,776.00</w:t>
            </w:r>
          </w:p>
        </w:tc>
        <w:tc>
          <w:tcPr>
            <w:tcW w:w="1561" w:type="dxa"/>
          </w:tcPr>
          <w:p>
            <w:pPr>
              <w:pStyle w:val="TableParagraph"/>
              <w:spacing w:before="36"/>
              <w:ind w:right="94"/>
              <w:rPr>
                <w:sz w:val="21"/>
              </w:rPr>
            </w:pPr>
            <w:r>
              <w:rPr>
                <w:sz w:val="21"/>
              </w:rPr>
              <w:t>6.00</w:t>
            </w:r>
          </w:p>
        </w:tc>
      </w:tr>
      <w:tr>
        <w:trPr>
          <w:trHeight w:val="311" w:hRule="atLeast"/>
        </w:trPr>
        <w:tc>
          <w:tcPr>
            <w:tcW w:w="708" w:type="dxa"/>
          </w:tcPr>
          <w:p>
            <w:pPr>
              <w:pStyle w:val="TableParagraph"/>
              <w:spacing w:before="34"/>
              <w:ind w:left="7"/>
              <w:jc w:val="center"/>
              <w:rPr>
                <w:sz w:val="21"/>
              </w:rPr>
            </w:pPr>
            <w:r>
              <w:rPr>
                <w:w w:val="100"/>
                <w:sz w:val="21"/>
              </w:rPr>
              <w:t>2</w:t>
            </w:r>
          </w:p>
        </w:tc>
        <w:tc>
          <w:tcPr>
            <w:tcW w:w="1277" w:type="dxa"/>
          </w:tcPr>
          <w:p>
            <w:pPr>
              <w:pStyle w:val="TableParagraph"/>
              <w:spacing w:before="34"/>
              <w:ind w:left="108" w:right="99"/>
              <w:jc w:val="center"/>
              <w:rPr>
                <w:sz w:val="21"/>
              </w:rPr>
            </w:pPr>
            <w:r>
              <w:rPr>
                <w:sz w:val="21"/>
              </w:rPr>
              <w:t>300760</w:t>
            </w:r>
          </w:p>
        </w:tc>
        <w:tc>
          <w:tcPr>
            <w:tcW w:w="1702" w:type="dxa"/>
          </w:tcPr>
          <w:p>
            <w:pPr>
              <w:pStyle w:val="TableParagraph"/>
              <w:ind w:left="400" w:right="391"/>
              <w:jc w:val="center"/>
              <w:rPr>
                <w:rFonts w:ascii="宋体" w:eastAsia="宋体" w:hint="eastAsia"/>
                <w:sz w:val="21"/>
              </w:rPr>
            </w:pPr>
            <w:r>
              <w:rPr>
                <w:rFonts w:ascii="宋体" w:eastAsia="宋体" w:hint="eastAsia"/>
                <w:sz w:val="21"/>
              </w:rPr>
              <w:t>迈瑞医疗</w:t>
            </w:r>
          </w:p>
        </w:tc>
        <w:tc>
          <w:tcPr>
            <w:tcW w:w="1277" w:type="dxa"/>
          </w:tcPr>
          <w:p>
            <w:pPr>
              <w:pStyle w:val="TableParagraph"/>
              <w:spacing w:before="34"/>
              <w:ind w:right="94"/>
              <w:rPr>
                <w:sz w:val="21"/>
              </w:rPr>
            </w:pPr>
            <w:r>
              <w:rPr>
                <w:sz w:val="21"/>
              </w:rPr>
              <w:t>309,135</w:t>
            </w:r>
          </w:p>
        </w:tc>
        <w:tc>
          <w:tcPr>
            <w:tcW w:w="1841" w:type="dxa"/>
          </w:tcPr>
          <w:p>
            <w:pPr>
              <w:pStyle w:val="TableParagraph"/>
              <w:spacing w:before="34"/>
              <w:ind w:right="91"/>
              <w:rPr>
                <w:sz w:val="21"/>
              </w:rPr>
            </w:pPr>
            <w:r>
              <w:rPr>
                <w:sz w:val="21"/>
              </w:rPr>
              <w:t>94,502,569.50</w:t>
            </w:r>
          </w:p>
        </w:tc>
        <w:tc>
          <w:tcPr>
            <w:tcW w:w="1561" w:type="dxa"/>
          </w:tcPr>
          <w:p>
            <w:pPr>
              <w:pStyle w:val="TableParagraph"/>
              <w:spacing w:before="34"/>
              <w:ind w:right="94"/>
              <w:rPr>
                <w:sz w:val="21"/>
              </w:rPr>
            </w:pPr>
            <w:r>
              <w:rPr>
                <w:sz w:val="21"/>
              </w:rPr>
              <w:t>5.36</w:t>
            </w:r>
          </w:p>
        </w:tc>
      </w:tr>
      <w:tr>
        <w:trPr>
          <w:trHeight w:val="311" w:hRule="atLeast"/>
        </w:trPr>
        <w:tc>
          <w:tcPr>
            <w:tcW w:w="708" w:type="dxa"/>
          </w:tcPr>
          <w:p>
            <w:pPr>
              <w:pStyle w:val="TableParagraph"/>
              <w:spacing w:before="34"/>
              <w:ind w:left="7"/>
              <w:jc w:val="center"/>
              <w:rPr>
                <w:sz w:val="21"/>
              </w:rPr>
            </w:pPr>
            <w:r>
              <w:rPr>
                <w:w w:val="100"/>
                <w:sz w:val="21"/>
              </w:rPr>
              <w:t>3</w:t>
            </w:r>
          </w:p>
        </w:tc>
        <w:tc>
          <w:tcPr>
            <w:tcW w:w="1277" w:type="dxa"/>
          </w:tcPr>
          <w:p>
            <w:pPr>
              <w:pStyle w:val="TableParagraph"/>
              <w:spacing w:before="34"/>
              <w:ind w:left="108" w:right="99"/>
              <w:jc w:val="center"/>
              <w:rPr>
                <w:sz w:val="21"/>
              </w:rPr>
            </w:pPr>
            <w:r>
              <w:rPr>
                <w:sz w:val="21"/>
              </w:rPr>
              <w:t>688169</w:t>
            </w:r>
          </w:p>
        </w:tc>
        <w:tc>
          <w:tcPr>
            <w:tcW w:w="1702" w:type="dxa"/>
          </w:tcPr>
          <w:p>
            <w:pPr>
              <w:pStyle w:val="TableParagraph"/>
              <w:ind w:left="400" w:right="391"/>
              <w:jc w:val="center"/>
              <w:rPr>
                <w:rFonts w:ascii="宋体" w:eastAsia="宋体" w:hint="eastAsia"/>
                <w:sz w:val="21"/>
              </w:rPr>
            </w:pPr>
            <w:r>
              <w:rPr>
                <w:rFonts w:ascii="宋体" w:eastAsia="宋体" w:hint="eastAsia"/>
                <w:sz w:val="21"/>
              </w:rPr>
              <w:t>石头科技</w:t>
            </w:r>
          </w:p>
        </w:tc>
        <w:tc>
          <w:tcPr>
            <w:tcW w:w="1277" w:type="dxa"/>
          </w:tcPr>
          <w:p>
            <w:pPr>
              <w:pStyle w:val="TableParagraph"/>
              <w:spacing w:before="34"/>
              <w:ind w:right="94"/>
              <w:rPr>
                <w:sz w:val="21"/>
              </w:rPr>
            </w:pPr>
            <w:r>
              <w:rPr>
                <w:sz w:val="21"/>
              </w:rPr>
              <w:t>164,311</w:t>
            </w:r>
          </w:p>
        </w:tc>
        <w:tc>
          <w:tcPr>
            <w:tcW w:w="1841" w:type="dxa"/>
          </w:tcPr>
          <w:p>
            <w:pPr>
              <w:pStyle w:val="TableParagraph"/>
              <w:spacing w:before="34"/>
              <w:ind w:right="91"/>
              <w:rPr>
                <w:sz w:val="21"/>
              </w:rPr>
            </w:pPr>
            <w:r>
              <w:rPr>
                <w:sz w:val="21"/>
              </w:rPr>
              <w:t>61,928,815.90</w:t>
            </w:r>
          </w:p>
        </w:tc>
        <w:tc>
          <w:tcPr>
            <w:tcW w:w="1561" w:type="dxa"/>
          </w:tcPr>
          <w:p>
            <w:pPr>
              <w:pStyle w:val="TableParagraph"/>
              <w:spacing w:before="34"/>
              <w:ind w:right="94"/>
              <w:rPr>
                <w:sz w:val="21"/>
              </w:rPr>
            </w:pPr>
            <w:r>
              <w:rPr>
                <w:sz w:val="21"/>
              </w:rPr>
              <w:t>3.52</w:t>
            </w:r>
          </w:p>
        </w:tc>
      </w:tr>
      <w:tr>
        <w:trPr>
          <w:trHeight w:val="311" w:hRule="atLeast"/>
        </w:trPr>
        <w:tc>
          <w:tcPr>
            <w:tcW w:w="708" w:type="dxa"/>
          </w:tcPr>
          <w:p>
            <w:pPr>
              <w:pStyle w:val="TableParagraph"/>
              <w:spacing w:before="34"/>
              <w:ind w:left="7"/>
              <w:jc w:val="center"/>
              <w:rPr>
                <w:sz w:val="21"/>
              </w:rPr>
            </w:pPr>
            <w:r>
              <w:rPr>
                <w:w w:val="100"/>
                <w:sz w:val="21"/>
              </w:rPr>
              <w:t>4</w:t>
            </w:r>
          </w:p>
        </w:tc>
        <w:tc>
          <w:tcPr>
            <w:tcW w:w="1277" w:type="dxa"/>
          </w:tcPr>
          <w:p>
            <w:pPr>
              <w:pStyle w:val="TableParagraph"/>
              <w:spacing w:before="34"/>
              <w:ind w:left="108" w:right="99"/>
              <w:jc w:val="center"/>
              <w:rPr>
                <w:sz w:val="21"/>
              </w:rPr>
            </w:pPr>
            <w:r>
              <w:rPr>
                <w:sz w:val="21"/>
              </w:rPr>
              <w:t>300015</w:t>
            </w:r>
          </w:p>
        </w:tc>
        <w:tc>
          <w:tcPr>
            <w:tcW w:w="1702" w:type="dxa"/>
          </w:tcPr>
          <w:p>
            <w:pPr>
              <w:pStyle w:val="TableParagraph"/>
              <w:ind w:left="400" w:right="391"/>
              <w:jc w:val="center"/>
              <w:rPr>
                <w:rFonts w:ascii="宋体" w:eastAsia="宋体" w:hint="eastAsia"/>
                <w:sz w:val="21"/>
              </w:rPr>
            </w:pPr>
            <w:r>
              <w:rPr>
                <w:rFonts w:ascii="宋体" w:eastAsia="宋体" w:hint="eastAsia"/>
                <w:sz w:val="21"/>
              </w:rPr>
              <w:t>爱尔眼科</w:t>
            </w:r>
          </w:p>
        </w:tc>
        <w:tc>
          <w:tcPr>
            <w:tcW w:w="1277" w:type="dxa"/>
          </w:tcPr>
          <w:p>
            <w:pPr>
              <w:pStyle w:val="TableParagraph"/>
              <w:spacing w:before="34"/>
              <w:ind w:right="94"/>
              <w:rPr>
                <w:sz w:val="21"/>
              </w:rPr>
            </w:pPr>
            <w:r>
              <w:rPr>
                <w:sz w:val="21"/>
              </w:rPr>
              <w:t>1,351,440</w:t>
            </w:r>
          </w:p>
        </w:tc>
        <w:tc>
          <w:tcPr>
            <w:tcW w:w="1841" w:type="dxa"/>
          </w:tcPr>
          <w:p>
            <w:pPr>
              <w:pStyle w:val="TableParagraph"/>
              <w:spacing w:before="34"/>
              <w:ind w:right="91"/>
              <w:rPr>
                <w:sz w:val="21"/>
              </w:rPr>
            </w:pPr>
            <w:r>
              <w:rPr>
                <w:sz w:val="21"/>
              </w:rPr>
              <w:t>58,720,068.00</w:t>
            </w:r>
          </w:p>
        </w:tc>
        <w:tc>
          <w:tcPr>
            <w:tcW w:w="1561" w:type="dxa"/>
          </w:tcPr>
          <w:p>
            <w:pPr>
              <w:pStyle w:val="TableParagraph"/>
              <w:spacing w:before="34"/>
              <w:ind w:right="94"/>
              <w:rPr>
                <w:sz w:val="21"/>
              </w:rPr>
            </w:pPr>
            <w:r>
              <w:rPr>
                <w:sz w:val="21"/>
              </w:rPr>
              <w:t>3.33</w:t>
            </w:r>
          </w:p>
        </w:tc>
      </w:tr>
      <w:tr>
        <w:trPr>
          <w:trHeight w:val="311" w:hRule="atLeast"/>
        </w:trPr>
        <w:tc>
          <w:tcPr>
            <w:tcW w:w="708" w:type="dxa"/>
          </w:tcPr>
          <w:p>
            <w:pPr>
              <w:pStyle w:val="TableParagraph"/>
              <w:spacing w:before="34"/>
              <w:ind w:left="7"/>
              <w:jc w:val="center"/>
              <w:rPr>
                <w:sz w:val="21"/>
              </w:rPr>
            </w:pPr>
            <w:r>
              <w:rPr>
                <w:w w:val="100"/>
                <w:sz w:val="21"/>
              </w:rPr>
              <w:t>5</w:t>
            </w:r>
          </w:p>
        </w:tc>
        <w:tc>
          <w:tcPr>
            <w:tcW w:w="1277" w:type="dxa"/>
          </w:tcPr>
          <w:p>
            <w:pPr>
              <w:pStyle w:val="TableParagraph"/>
              <w:spacing w:before="34"/>
              <w:ind w:left="108" w:right="99"/>
              <w:jc w:val="center"/>
              <w:rPr>
                <w:sz w:val="21"/>
              </w:rPr>
            </w:pPr>
            <w:r>
              <w:rPr>
                <w:sz w:val="21"/>
              </w:rPr>
              <w:t>300142</w:t>
            </w:r>
          </w:p>
        </w:tc>
        <w:tc>
          <w:tcPr>
            <w:tcW w:w="1702" w:type="dxa"/>
          </w:tcPr>
          <w:p>
            <w:pPr>
              <w:pStyle w:val="TableParagraph"/>
              <w:ind w:left="400" w:right="391"/>
              <w:jc w:val="center"/>
              <w:rPr>
                <w:rFonts w:ascii="宋体" w:eastAsia="宋体" w:hint="eastAsia"/>
                <w:sz w:val="21"/>
              </w:rPr>
            </w:pPr>
            <w:r>
              <w:rPr>
                <w:rFonts w:ascii="宋体" w:eastAsia="宋体" w:hint="eastAsia"/>
                <w:sz w:val="21"/>
              </w:rPr>
              <w:t>沃森生物</w:t>
            </w:r>
          </w:p>
        </w:tc>
        <w:tc>
          <w:tcPr>
            <w:tcW w:w="1277" w:type="dxa"/>
          </w:tcPr>
          <w:p>
            <w:pPr>
              <w:pStyle w:val="TableParagraph"/>
              <w:spacing w:before="34"/>
              <w:ind w:right="94"/>
              <w:rPr>
                <w:sz w:val="21"/>
              </w:rPr>
            </w:pPr>
            <w:r>
              <w:rPr>
                <w:sz w:val="21"/>
              </w:rPr>
              <w:t>1,091,567</w:t>
            </w:r>
          </w:p>
        </w:tc>
        <w:tc>
          <w:tcPr>
            <w:tcW w:w="1841" w:type="dxa"/>
          </w:tcPr>
          <w:p>
            <w:pPr>
              <w:pStyle w:val="TableParagraph"/>
              <w:spacing w:before="34"/>
              <w:ind w:right="91"/>
              <w:rPr>
                <w:sz w:val="21"/>
              </w:rPr>
            </w:pPr>
            <w:r>
              <w:rPr>
                <w:sz w:val="21"/>
              </w:rPr>
              <w:t>57,154,448.12</w:t>
            </w:r>
          </w:p>
        </w:tc>
        <w:tc>
          <w:tcPr>
            <w:tcW w:w="1561" w:type="dxa"/>
          </w:tcPr>
          <w:p>
            <w:pPr>
              <w:pStyle w:val="TableParagraph"/>
              <w:spacing w:before="34"/>
              <w:ind w:right="94"/>
              <w:rPr>
                <w:sz w:val="21"/>
              </w:rPr>
            </w:pPr>
            <w:r>
              <w:rPr>
                <w:sz w:val="21"/>
              </w:rPr>
              <w:t>3.24</w:t>
            </w:r>
          </w:p>
        </w:tc>
      </w:tr>
      <w:tr>
        <w:trPr>
          <w:trHeight w:val="311" w:hRule="atLeast"/>
        </w:trPr>
        <w:tc>
          <w:tcPr>
            <w:tcW w:w="708" w:type="dxa"/>
          </w:tcPr>
          <w:p>
            <w:pPr>
              <w:pStyle w:val="TableParagraph"/>
              <w:spacing w:before="34"/>
              <w:ind w:left="7"/>
              <w:jc w:val="center"/>
              <w:rPr>
                <w:sz w:val="21"/>
              </w:rPr>
            </w:pPr>
            <w:r>
              <w:rPr>
                <w:w w:val="100"/>
                <w:sz w:val="21"/>
              </w:rPr>
              <w:t>6</w:t>
            </w:r>
          </w:p>
        </w:tc>
        <w:tc>
          <w:tcPr>
            <w:tcW w:w="1277" w:type="dxa"/>
          </w:tcPr>
          <w:p>
            <w:pPr>
              <w:pStyle w:val="TableParagraph"/>
              <w:spacing w:before="34"/>
              <w:ind w:left="108" w:right="99"/>
              <w:jc w:val="center"/>
              <w:rPr>
                <w:sz w:val="21"/>
              </w:rPr>
            </w:pPr>
            <w:r>
              <w:rPr>
                <w:sz w:val="21"/>
              </w:rPr>
              <w:t>300253</w:t>
            </w:r>
          </w:p>
        </w:tc>
        <w:tc>
          <w:tcPr>
            <w:tcW w:w="1702" w:type="dxa"/>
          </w:tcPr>
          <w:p>
            <w:pPr>
              <w:pStyle w:val="TableParagraph"/>
              <w:ind w:left="400" w:right="391"/>
              <w:jc w:val="center"/>
              <w:rPr>
                <w:rFonts w:ascii="宋体" w:eastAsia="宋体" w:hint="eastAsia"/>
                <w:sz w:val="21"/>
              </w:rPr>
            </w:pPr>
            <w:r>
              <w:rPr>
                <w:rFonts w:ascii="宋体" w:eastAsia="宋体" w:hint="eastAsia"/>
                <w:sz w:val="21"/>
              </w:rPr>
              <w:t>卫宁健康</w:t>
            </w:r>
          </w:p>
        </w:tc>
        <w:tc>
          <w:tcPr>
            <w:tcW w:w="1277" w:type="dxa"/>
          </w:tcPr>
          <w:p>
            <w:pPr>
              <w:pStyle w:val="TableParagraph"/>
              <w:spacing w:before="34"/>
              <w:ind w:right="94"/>
              <w:rPr>
                <w:sz w:val="21"/>
              </w:rPr>
            </w:pPr>
            <w:r>
              <w:rPr>
                <w:sz w:val="21"/>
              </w:rPr>
              <w:t>2,042,180</w:t>
            </w:r>
          </w:p>
        </w:tc>
        <w:tc>
          <w:tcPr>
            <w:tcW w:w="1841" w:type="dxa"/>
          </w:tcPr>
          <w:p>
            <w:pPr>
              <w:pStyle w:val="TableParagraph"/>
              <w:spacing w:before="34"/>
              <w:ind w:right="91"/>
              <w:rPr>
                <w:sz w:val="21"/>
              </w:rPr>
            </w:pPr>
            <w:r>
              <w:rPr>
                <w:sz w:val="21"/>
              </w:rPr>
              <w:t>46,216,714.00</w:t>
            </w:r>
          </w:p>
        </w:tc>
        <w:tc>
          <w:tcPr>
            <w:tcW w:w="1561" w:type="dxa"/>
          </w:tcPr>
          <w:p>
            <w:pPr>
              <w:pStyle w:val="TableParagraph"/>
              <w:spacing w:before="34"/>
              <w:ind w:right="94"/>
              <w:rPr>
                <w:sz w:val="21"/>
              </w:rPr>
            </w:pPr>
            <w:r>
              <w:rPr>
                <w:sz w:val="21"/>
              </w:rPr>
              <w:t>2.62</w:t>
            </w:r>
          </w:p>
        </w:tc>
      </w:tr>
      <w:tr>
        <w:trPr>
          <w:trHeight w:val="313" w:hRule="atLeast"/>
        </w:trPr>
        <w:tc>
          <w:tcPr>
            <w:tcW w:w="708" w:type="dxa"/>
          </w:tcPr>
          <w:p>
            <w:pPr>
              <w:pStyle w:val="TableParagraph"/>
              <w:spacing w:before="36"/>
              <w:ind w:left="7"/>
              <w:jc w:val="center"/>
              <w:rPr>
                <w:sz w:val="21"/>
              </w:rPr>
            </w:pPr>
            <w:r>
              <w:rPr>
                <w:w w:val="100"/>
                <w:sz w:val="21"/>
              </w:rPr>
              <w:t>7</w:t>
            </w:r>
          </w:p>
        </w:tc>
        <w:tc>
          <w:tcPr>
            <w:tcW w:w="1277" w:type="dxa"/>
          </w:tcPr>
          <w:p>
            <w:pPr>
              <w:pStyle w:val="TableParagraph"/>
              <w:spacing w:before="36"/>
              <w:ind w:left="108" w:right="99"/>
              <w:jc w:val="center"/>
              <w:rPr>
                <w:sz w:val="21"/>
              </w:rPr>
            </w:pPr>
            <w:r>
              <w:rPr>
                <w:sz w:val="21"/>
              </w:rPr>
              <w:t>603444</w:t>
            </w:r>
          </w:p>
        </w:tc>
        <w:tc>
          <w:tcPr>
            <w:tcW w:w="1702" w:type="dxa"/>
          </w:tcPr>
          <w:p>
            <w:pPr>
              <w:pStyle w:val="TableParagraph"/>
              <w:spacing w:before="25"/>
              <w:ind w:left="403" w:right="391"/>
              <w:jc w:val="center"/>
              <w:rPr>
                <w:rFonts w:ascii="宋体" w:eastAsia="宋体" w:hint="eastAsia"/>
                <w:sz w:val="21"/>
              </w:rPr>
            </w:pPr>
            <w:r>
              <w:rPr>
                <w:rFonts w:ascii="宋体" w:eastAsia="宋体" w:hint="eastAsia"/>
                <w:sz w:val="21"/>
              </w:rPr>
              <w:t>吉比特</w:t>
            </w:r>
          </w:p>
        </w:tc>
        <w:tc>
          <w:tcPr>
            <w:tcW w:w="1277" w:type="dxa"/>
          </w:tcPr>
          <w:p>
            <w:pPr>
              <w:pStyle w:val="TableParagraph"/>
              <w:spacing w:before="36"/>
              <w:ind w:right="94"/>
              <w:rPr>
                <w:sz w:val="21"/>
              </w:rPr>
            </w:pPr>
            <w:r>
              <w:rPr>
                <w:sz w:val="21"/>
              </w:rPr>
              <w:t>76,498</w:t>
            </w:r>
          </w:p>
        </w:tc>
        <w:tc>
          <w:tcPr>
            <w:tcW w:w="1841" w:type="dxa"/>
          </w:tcPr>
          <w:p>
            <w:pPr>
              <w:pStyle w:val="TableParagraph"/>
              <w:spacing w:before="36"/>
              <w:ind w:right="91"/>
              <w:rPr>
                <w:sz w:val="21"/>
              </w:rPr>
            </w:pPr>
            <w:r>
              <w:rPr>
                <w:sz w:val="21"/>
              </w:rPr>
              <w:t>41,998,166.98</w:t>
            </w:r>
          </w:p>
        </w:tc>
        <w:tc>
          <w:tcPr>
            <w:tcW w:w="1561" w:type="dxa"/>
          </w:tcPr>
          <w:p>
            <w:pPr>
              <w:pStyle w:val="TableParagraph"/>
              <w:spacing w:before="36"/>
              <w:ind w:right="94"/>
              <w:rPr>
                <w:sz w:val="21"/>
              </w:rPr>
            </w:pPr>
            <w:r>
              <w:rPr>
                <w:sz w:val="21"/>
              </w:rPr>
              <w:t>2.38</w:t>
            </w:r>
          </w:p>
        </w:tc>
      </w:tr>
      <w:tr>
        <w:trPr>
          <w:trHeight w:val="311" w:hRule="atLeast"/>
        </w:trPr>
        <w:tc>
          <w:tcPr>
            <w:tcW w:w="708" w:type="dxa"/>
          </w:tcPr>
          <w:p>
            <w:pPr>
              <w:pStyle w:val="TableParagraph"/>
              <w:spacing w:before="34"/>
              <w:ind w:left="7"/>
              <w:jc w:val="center"/>
              <w:rPr>
                <w:sz w:val="21"/>
              </w:rPr>
            </w:pPr>
            <w:r>
              <w:rPr>
                <w:w w:val="100"/>
                <w:sz w:val="21"/>
              </w:rPr>
              <w:t>8</w:t>
            </w:r>
          </w:p>
        </w:tc>
        <w:tc>
          <w:tcPr>
            <w:tcW w:w="1277" w:type="dxa"/>
          </w:tcPr>
          <w:p>
            <w:pPr>
              <w:pStyle w:val="TableParagraph"/>
              <w:spacing w:before="34"/>
              <w:ind w:left="108" w:right="99"/>
              <w:jc w:val="center"/>
              <w:rPr>
                <w:sz w:val="21"/>
              </w:rPr>
            </w:pPr>
            <w:r>
              <w:rPr>
                <w:sz w:val="21"/>
              </w:rPr>
              <w:t>002475</w:t>
            </w:r>
          </w:p>
        </w:tc>
        <w:tc>
          <w:tcPr>
            <w:tcW w:w="1702" w:type="dxa"/>
          </w:tcPr>
          <w:p>
            <w:pPr>
              <w:pStyle w:val="TableParagraph"/>
              <w:ind w:left="400" w:right="391"/>
              <w:jc w:val="center"/>
              <w:rPr>
                <w:rFonts w:ascii="宋体" w:eastAsia="宋体" w:hint="eastAsia"/>
                <w:sz w:val="21"/>
              </w:rPr>
            </w:pPr>
            <w:r>
              <w:rPr>
                <w:rFonts w:ascii="宋体" w:eastAsia="宋体" w:hint="eastAsia"/>
                <w:sz w:val="21"/>
              </w:rPr>
              <w:t>立讯精密</w:t>
            </w:r>
          </w:p>
        </w:tc>
        <w:tc>
          <w:tcPr>
            <w:tcW w:w="1277" w:type="dxa"/>
          </w:tcPr>
          <w:p>
            <w:pPr>
              <w:pStyle w:val="TableParagraph"/>
              <w:spacing w:before="34"/>
              <w:ind w:right="94"/>
              <w:rPr>
                <w:sz w:val="21"/>
              </w:rPr>
            </w:pPr>
            <w:r>
              <w:rPr>
                <w:sz w:val="21"/>
              </w:rPr>
              <w:t>808,766</w:t>
            </w:r>
          </w:p>
        </w:tc>
        <w:tc>
          <w:tcPr>
            <w:tcW w:w="1841" w:type="dxa"/>
          </w:tcPr>
          <w:p>
            <w:pPr>
              <w:pStyle w:val="TableParagraph"/>
              <w:spacing w:before="34"/>
              <w:ind w:right="91"/>
              <w:rPr>
                <w:sz w:val="21"/>
              </w:rPr>
            </w:pPr>
            <w:r>
              <w:rPr>
                <w:sz w:val="21"/>
              </w:rPr>
              <w:t>41,530,134.10</w:t>
            </w:r>
          </w:p>
        </w:tc>
        <w:tc>
          <w:tcPr>
            <w:tcW w:w="1561" w:type="dxa"/>
          </w:tcPr>
          <w:p>
            <w:pPr>
              <w:pStyle w:val="TableParagraph"/>
              <w:spacing w:before="34"/>
              <w:ind w:right="94"/>
              <w:rPr>
                <w:sz w:val="21"/>
              </w:rPr>
            </w:pPr>
            <w:r>
              <w:rPr>
                <w:sz w:val="21"/>
              </w:rPr>
              <w:t>2.36</w:t>
            </w:r>
          </w:p>
        </w:tc>
      </w:tr>
      <w:tr>
        <w:trPr>
          <w:trHeight w:val="311" w:hRule="atLeast"/>
        </w:trPr>
        <w:tc>
          <w:tcPr>
            <w:tcW w:w="708" w:type="dxa"/>
          </w:tcPr>
          <w:p>
            <w:pPr>
              <w:pStyle w:val="TableParagraph"/>
              <w:spacing w:before="34"/>
              <w:ind w:left="7"/>
              <w:jc w:val="center"/>
              <w:rPr>
                <w:sz w:val="21"/>
              </w:rPr>
            </w:pPr>
            <w:r>
              <w:rPr>
                <w:w w:val="100"/>
                <w:sz w:val="21"/>
              </w:rPr>
              <w:t>9</w:t>
            </w:r>
          </w:p>
        </w:tc>
        <w:tc>
          <w:tcPr>
            <w:tcW w:w="1277" w:type="dxa"/>
          </w:tcPr>
          <w:p>
            <w:pPr>
              <w:pStyle w:val="TableParagraph"/>
              <w:spacing w:before="34"/>
              <w:ind w:left="108" w:right="99"/>
              <w:jc w:val="center"/>
              <w:rPr>
                <w:sz w:val="21"/>
              </w:rPr>
            </w:pPr>
            <w:r>
              <w:rPr>
                <w:sz w:val="21"/>
              </w:rPr>
              <w:t>600570</w:t>
            </w:r>
          </w:p>
        </w:tc>
        <w:tc>
          <w:tcPr>
            <w:tcW w:w="1702" w:type="dxa"/>
          </w:tcPr>
          <w:p>
            <w:pPr>
              <w:pStyle w:val="TableParagraph"/>
              <w:ind w:left="400" w:right="391"/>
              <w:jc w:val="center"/>
              <w:rPr>
                <w:rFonts w:ascii="宋体" w:eastAsia="宋体" w:hint="eastAsia"/>
                <w:sz w:val="21"/>
              </w:rPr>
            </w:pPr>
            <w:r>
              <w:rPr>
                <w:rFonts w:ascii="宋体" w:eastAsia="宋体" w:hint="eastAsia"/>
                <w:sz w:val="21"/>
              </w:rPr>
              <w:t>恒生电子</w:t>
            </w:r>
          </w:p>
        </w:tc>
        <w:tc>
          <w:tcPr>
            <w:tcW w:w="1277" w:type="dxa"/>
          </w:tcPr>
          <w:p>
            <w:pPr>
              <w:pStyle w:val="TableParagraph"/>
              <w:spacing w:before="34"/>
              <w:ind w:right="94"/>
              <w:rPr>
                <w:sz w:val="21"/>
              </w:rPr>
            </w:pPr>
            <w:r>
              <w:rPr>
                <w:sz w:val="21"/>
              </w:rPr>
              <w:t>367,948</w:t>
            </w:r>
          </w:p>
        </w:tc>
        <w:tc>
          <w:tcPr>
            <w:tcW w:w="1841" w:type="dxa"/>
          </w:tcPr>
          <w:p>
            <w:pPr>
              <w:pStyle w:val="TableParagraph"/>
              <w:spacing w:before="34"/>
              <w:ind w:right="91"/>
              <w:rPr>
                <w:sz w:val="21"/>
              </w:rPr>
            </w:pPr>
            <w:r>
              <w:rPr>
                <w:sz w:val="21"/>
              </w:rPr>
              <w:t>39,627,999.60</w:t>
            </w:r>
          </w:p>
        </w:tc>
        <w:tc>
          <w:tcPr>
            <w:tcW w:w="1561" w:type="dxa"/>
          </w:tcPr>
          <w:p>
            <w:pPr>
              <w:pStyle w:val="TableParagraph"/>
              <w:spacing w:before="34"/>
              <w:ind w:right="94"/>
              <w:rPr>
                <w:sz w:val="21"/>
              </w:rPr>
            </w:pPr>
            <w:r>
              <w:rPr>
                <w:sz w:val="21"/>
              </w:rPr>
              <w:t>2.25</w:t>
            </w:r>
          </w:p>
        </w:tc>
      </w:tr>
      <w:tr>
        <w:trPr>
          <w:trHeight w:val="312" w:hRule="atLeast"/>
        </w:trPr>
        <w:tc>
          <w:tcPr>
            <w:tcW w:w="708" w:type="dxa"/>
          </w:tcPr>
          <w:p>
            <w:pPr>
              <w:pStyle w:val="TableParagraph"/>
              <w:spacing w:before="34"/>
              <w:ind w:left="113" w:right="106"/>
              <w:jc w:val="center"/>
              <w:rPr>
                <w:sz w:val="21"/>
              </w:rPr>
            </w:pPr>
            <w:r>
              <w:rPr>
                <w:sz w:val="21"/>
              </w:rPr>
              <w:t>10</w:t>
            </w:r>
          </w:p>
        </w:tc>
        <w:tc>
          <w:tcPr>
            <w:tcW w:w="1277" w:type="dxa"/>
          </w:tcPr>
          <w:p>
            <w:pPr>
              <w:pStyle w:val="TableParagraph"/>
              <w:spacing w:before="34"/>
              <w:ind w:left="108" w:right="99"/>
              <w:jc w:val="center"/>
              <w:rPr>
                <w:sz w:val="21"/>
              </w:rPr>
            </w:pPr>
            <w:r>
              <w:rPr>
                <w:sz w:val="21"/>
              </w:rPr>
              <w:t>300454</w:t>
            </w:r>
          </w:p>
        </w:tc>
        <w:tc>
          <w:tcPr>
            <w:tcW w:w="1702" w:type="dxa"/>
          </w:tcPr>
          <w:p>
            <w:pPr>
              <w:pStyle w:val="TableParagraph"/>
              <w:spacing w:before="23"/>
              <w:ind w:left="403" w:right="391"/>
              <w:jc w:val="center"/>
              <w:rPr>
                <w:rFonts w:ascii="宋体" w:eastAsia="宋体" w:hint="eastAsia"/>
                <w:sz w:val="21"/>
              </w:rPr>
            </w:pPr>
            <w:r>
              <w:rPr>
                <w:rFonts w:ascii="宋体" w:eastAsia="宋体" w:hint="eastAsia"/>
                <w:sz w:val="21"/>
              </w:rPr>
              <w:t>深信服</w:t>
            </w:r>
          </w:p>
        </w:tc>
        <w:tc>
          <w:tcPr>
            <w:tcW w:w="1277" w:type="dxa"/>
          </w:tcPr>
          <w:p>
            <w:pPr>
              <w:pStyle w:val="TableParagraph"/>
              <w:spacing w:before="34"/>
              <w:ind w:right="94"/>
              <w:rPr>
                <w:sz w:val="21"/>
              </w:rPr>
            </w:pPr>
            <w:r>
              <w:rPr>
                <w:sz w:val="21"/>
              </w:rPr>
              <w:t>191,600</w:t>
            </w:r>
          </w:p>
        </w:tc>
        <w:tc>
          <w:tcPr>
            <w:tcW w:w="1841" w:type="dxa"/>
          </w:tcPr>
          <w:p>
            <w:pPr>
              <w:pStyle w:val="TableParagraph"/>
              <w:spacing w:before="34"/>
              <w:ind w:right="91"/>
              <w:rPr>
                <w:sz w:val="21"/>
              </w:rPr>
            </w:pPr>
            <w:r>
              <w:rPr>
                <w:sz w:val="21"/>
              </w:rPr>
              <w:t>39,461,936.00</w:t>
            </w:r>
          </w:p>
        </w:tc>
        <w:tc>
          <w:tcPr>
            <w:tcW w:w="1561" w:type="dxa"/>
          </w:tcPr>
          <w:p>
            <w:pPr>
              <w:pStyle w:val="TableParagraph"/>
              <w:spacing w:before="34"/>
              <w:ind w:right="94"/>
              <w:rPr>
                <w:sz w:val="21"/>
              </w:rPr>
            </w:pPr>
            <w:r>
              <w:rPr>
                <w:sz w:val="21"/>
              </w:rPr>
              <w:t>2.24</w:t>
            </w:r>
          </w:p>
        </w:tc>
      </w:tr>
    </w:tbl>
    <w:p>
      <w:pPr>
        <w:pStyle w:val="ListParagraph"/>
        <w:numPr>
          <w:ilvl w:val="1"/>
          <w:numId w:val="23"/>
        </w:numPr>
        <w:tabs>
          <w:tab w:pos="910" w:val="left" w:leader="none"/>
        </w:tabs>
        <w:spacing w:line="417" w:lineRule="auto" w:before="100" w:after="0"/>
        <w:ind w:left="960" w:right="4471" w:hanging="420"/>
        <w:jc w:val="left"/>
        <w:rPr>
          <w:rFonts w:ascii="Times New Roman" w:eastAsia="Times New Roman"/>
          <w:sz w:val="21"/>
        </w:rPr>
      </w:pPr>
      <w:r>
        <w:rPr>
          <w:spacing w:val="-4"/>
          <w:sz w:val="21"/>
        </w:rPr>
        <w:t>报告期末按债券品种分类的债券投资组合</w:t>
      </w:r>
      <w:r>
        <w:rPr>
          <w:spacing w:val="-3"/>
          <w:sz w:val="21"/>
        </w:rPr>
        <w:t>本基金本报告期末未持有债券。</w:t>
      </w:r>
    </w:p>
    <w:p>
      <w:pPr>
        <w:pStyle w:val="ListParagraph"/>
        <w:numPr>
          <w:ilvl w:val="1"/>
          <w:numId w:val="23"/>
        </w:numPr>
        <w:tabs>
          <w:tab w:pos="910" w:val="left" w:leader="none"/>
        </w:tabs>
        <w:spacing w:line="417" w:lineRule="auto" w:before="0" w:after="0"/>
        <w:ind w:left="960" w:right="1530" w:hanging="420"/>
        <w:jc w:val="left"/>
        <w:rPr>
          <w:rFonts w:ascii="Times New Roman" w:eastAsia="Times New Roman"/>
          <w:sz w:val="21"/>
        </w:rPr>
      </w:pPr>
      <w:r>
        <w:rPr>
          <w:spacing w:val="-3"/>
          <w:sz w:val="21"/>
        </w:rPr>
        <w:t>报告期末按公允价值占基金资产净值比例大小排序的前五名债券投资明细本基金本报告期末未持有债券。</w:t>
      </w:r>
    </w:p>
    <w:p>
      <w:pPr>
        <w:pStyle w:val="ListParagraph"/>
        <w:numPr>
          <w:ilvl w:val="1"/>
          <w:numId w:val="23"/>
        </w:numPr>
        <w:tabs>
          <w:tab w:pos="910" w:val="left" w:leader="none"/>
        </w:tabs>
        <w:spacing w:line="417" w:lineRule="auto" w:before="0" w:after="0"/>
        <w:ind w:left="960" w:right="68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3"/>
        </w:numPr>
        <w:tabs>
          <w:tab w:pos="910" w:val="left" w:leader="none"/>
        </w:tabs>
        <w:spacing w:line="417" w:lineRule="auto" w:before="0" w:after="0"/>
        <w:ind w:left="960" w:right="131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spacing w:after="0" w:line="417" w:lineRule="auto"/>
        <w:jc w:val="left"/>
        <w:rPr>
          <w:rFonts w:ascii="Times New Roman" w:eastAsia="Times New Roman"/>
          <w:sz w:val="21"/>
        </w:rPr>
        <w:sectPr>
          <w:pgSz w:w="11910" w:h="16840"/>
          <w:pgMar w:header="877" w:footer="995" w:top="1420" w:bottom="1180" w:left="1260" w:right="1480"/>
        </w:sectPr>
      </w:pPr>
    </w:p>
    <w:p>
      <w:pPr>
        <w:pStyle w:val="ListParagraph"/>
        <w:numPr>
          <w:ilvl w:val="1"/>
          <w:numId w:val="23"/>
        </w:numPr>
        <w:tabs>
          <w:tab w:pos="858" w:val="left" w:leader="none"/>
        </w:tabs>
        <w:spacing w:line="417" w:lineRule="auto" w:before="110" w:after="0"/>
        <w:ind w:left="960" w:right="158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3"/>
        </w:numPr>
        <w:tabs>
          <w:tab w:pos="858" w:val="left" w:leader="none"/>
        </w:tabs>
        <w:spacing w:line="269" w:lineRule="exact" w:before="0" w:after="0"/>
        <w:ind w:left="85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3"/>
        </w:numPr>
        <w:tabs>
          <w:tab w:pos="1014" w:val="left" w:leader="none"/>
        </w:tabs>
        <w:spacing w:line="417" w:lineRule="auto" w:before="0" w:after="0"/>
        <w:ind w:left="960" w:right="3739" w:hanging="420"/>
        <w:jc w:val="left"/>
        <w:rPr>
          <w:sz w:val="21"/>
        </w:rPr>
      </w:pPr>
      <w:r>
        <w:rPr>
          <w:spacing w:val="-3"/>
          <w:sz w:val="21"/>
        </w:rPr>
        <w:t>报告期末本基金投资的股指期货持仓和损益明细本基金本报告期末无股指期货投资。</w:t>
      </w:r>
    </w:p>
    <w:p>
      <w:pPr>
        <w:pStyle w:val="ListParagraph"/>
        <w:numPr>
          <w:ilvl w:val="2"/>
          <w:numId w:val="23"/>
        </w:numPr>
        <w:tabs>
          <w:tab w:pos="1014" w:val="left" w:leader="none"/>
        </w:tabs>
        <w:spacing w:line="269" w:lineRule="exact" w:before="0" w:after="0"/>
        <w:ind w:left="1013" w:right="0" w:hanging="474"/>
        <w:jc w:val="left"/>
        <w:rPr>
          <w:sz w:val="21"/>
        </w:rPr>
      </w:pPr>
      <w:r>
        <w:rPr>
          <w:spacing w:val="-3"/>
          <w:sz w:val="21"/>
        </w:rPr>
        <w:t>本基金投资股指期货的投资政策</w:t>
      </w:r>
    </w:p>
    <w:p>
      <w:pPr>
        <w:pStyle w:val="BodyText"/>
        <w:spacing w:before="7"/>
        <w:rPr>
          <w:sz w:val="15"/>
        </w:rPr>
      </w:pPr>
    </w:p>
    <w:p>
      <w:pPr>
        <w:pStyle w:val="BodyText"/>
        <w:ind w:left="960"/>
      </w:pPr>
      <w:r>
        <w:rPr/>
        <w:t>本基金本报告期末无股指期货投资。</w:t>
      </w:r>
    </w:p>
    <w:p>
      <w:pPr>
        <w:pStyle w:val="BodyText"/>
        <w:spacing w:before="7"/>
        <w:rPr>
          <w:sz w:val="15"/>
        </w:rPr>
      </w:pPr>
    </w:p>
    <w:p>
      <w:pPr>
        <w:pStyle w:val="ListParagraph"/>
        <w:numPr>
          <w:ilvl w:val="1"/>
          <w:numId w:val="23"/>
        </w:numPr>
        <w:tabs>
          <w:tab w:pos="963" w:val="left" w:leader="none"/>
        </w:tabs>
        <w:spacing w:line="240" w:lineRule="auto" w:before="1" w:after="0"/>
        <w:ind w:left="96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3"/>
        </w:numPr>
        <w:tabs>
          <w:tab w:pos="1172" w:val="left" w:leader="none"/>
        </w:tabs>
        <w:spacing w:line="240" w:lineRule="auto" w:before="0" w:after="0"/>
        <w:ind w:left="1171" w:right="0" w:hanging="632"/>
        <w:jc w:val="left"/>
        <w:rPr>
          <w:sz w:val="21"/>
        </w:rPr>
      </w:pPr>
      <w:r>
        <w:rPr>
          <w:spacing w:val="-3"/>
          <w:sz w:val="21"/>
        </w:rPr>
        <w:t>本期国债期货投资政策</w:t>
      </w:r>
    </w:p>
    <w:p>
      <w:pPr>
        <w:pStyle w:val="BodyText"/>
        <w:spacing w:before="7"/>
        <w:rPr>
          <w:sz w:val="15"/>
        </w:rPr>
      </w:pPr>
    </w:p>
    <w:p>
      <w:pPr>
        <w:pStyle w:val="BodyText"/>
        <w:ind w:left="960"/>
      </w:pPr>
      <w:r>
        <w:rPr/>
        <w:t>本基金本报告期末无国债期货投资。</w:t>
      </w:r>
    </w:p>
    <w:p>
      <w:pPr>
        <w:pStyle w:val="BodyText"/>
        <w:spacing w:before="7"/>
        <w:rPr>
          <w:sz w:val="15"/>
        </w:rPr>
      </w:pPr>
    </w:p>
    <w:p>
      <w:pPr>
        <w:pStyle w:val="ListParagraph"/>
        <w:numPr>
          <w:ilvl w:val="2"/>
          <w:numId w:val="23"/>
        </w:numPr>
        <w:tabs>
          <w:tab w:pos="1172" w:val="left" w:leader="none"/>
        </w:tabs>
        <w:spacing w:line="417" w:lineRule="auto" w:before="0" w:after="0"/>
        <w:ind w:left="960" w:right="357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3"/>
        </w:numPr>
        <w:tabs>
          <w:tab w:pos="1172" w:val="left" w:leader="none"/>
        </w:tabs>
        <w:spacing w:line="269" w:lineRule="exact" w:before="0" w:after="0"/>
        <w:ind w:left="1171" w:right="0" w:hanging="632"/>
        <w:jc w:val="left"/>
        <w:rPr>
          <w:sz w:val="21"/>
        </w:rPr>
      </w:pPr>
      <w:r>
        <w:rPr>
          <w:spacing w:val="-3"/>
          <w:sz w:val="21"/>
        </w:rPr>
        <w:t>本期国债期货投资评价</w:t>
      </w:r>
    </w:p>
    <w:p>
      <w:pPr>
        <w:pStyle w:val="BodyText"/>
        <w:spacing w:before="6"/>
        <w:rPr>
          <w:sz w:val="15"/>
        </w:rPr>
      </w:pPr>
    </w:p>
    <w:p>
      <w:pPr>
        <w:pStyle w:val="BodyText"/>
        <w:spacing w:before="1"/>
        <w:ind w:left="960"/>
      </w:pPr>
      <w:r>
        <w:rPr/>
        <w:t>本基金本报告期末无国债期货投资。</w:t>
      </w:r>
    </w:p>
    <w:p>
      <w:pPr>
        <w:pStyle w:val="BodyText"/>
        <w:spacing w:before="7"/>
        <w:rPr>
          <w:sz w:val="15"/>
        </w:rPr>
      </w:pPr>
    </w:p>
    <w:p>
      <w:pPr>
        <w:pStyle w:val="ListParagraph"/>
        <w:numPr>
          <w:ilvl w:val="1"/>
          <w:numId w:val="23"/>
        </w:numPr>
        <w:tabs>
          <w:tab w:pos="954" w:val="left" w:leader="none"/>
        </w:tabs>
        <w:spacing w:line="240" w:lineRule="auto" w:before="0" w:after="0"/>
        <w:ind w:left="953" w:right="0" w:hanging="414"/>
        <w:jc w:val="left"/>
        <w:rPr>
          <w:rFonts w:ascii="Times New Roman" w:eastAsia="Times New Roman"/>
          <w:sz w:val="21"/>
        </w:rPr>
      </w:pPr>
      <w:r>
        <w:rPr>
          <w:spacing w:val="-3"/>
          <w:sz w:val="21"/>
        </w:rPr>
        <w:t>投资组合报告附注</w:t>
      </w:r>
    </w:p>
    <w:p>
      <w:pPr>
        <w:pStyle w:val="BodyText"/>
        <w:spacing w:before="6"/>
        <w:rPr>
          <w:sz w:val="15"/>
        </w:rPr>
      </w:pPr>
    </w:p>
    <w:p>
      <w:pPr>
        <w:pStyle w:val="ListParagraph"/>
        <w:numPr>
          <w:ilvl w:val="2"/>
          <w:numId w:val="23"/>
        </w:numPr>
        <w:tabs>
          <w:tab w:pos="1119" w:val="left" w:leader="none"/>
        </w:tabs>
        <w:spacing w:line="417" w:lineRule="auto" w:before="0" w:after="0"/>
        <w:ind w:left="540" w:right="21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3"/>
        </w:numPr>
        <w:tabs>
          <w:tab w:pos="1119" w:val="left" w:leader="none"/>
        </w:tabs>
        <w:spacing w:line="269" w:lineRule="exact" w:before="0" w:after="0"/>
        <w:ind w:left="1118" w:right="0" w:hanging="579"/>
        <w:jc w:val="left"/>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23"/>
        </w:numPr>
        <w:tabs>
          <w:tab w:pos="1112" w:val="left" w:leader="none"/>
        </w:tabs>
        <w:spacing w:line="240" w:lineRule="auto" w:before="0" w:after="0"/>
        <w:ind w:left="1111" w:right="0" w:hanging="572"/>
        <w:jc w:val="left"/>
        <w:rPr>
          <w:sz w:val="21"/>
        </w:rPr>
      </w:pPr>
      <w:r>
        <w:rPr>
          <w:spacing w:val="-3"/>
          <w:sz w:val="21"/>
        </w:rPr>
        <w:t>其他资产构成</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1"/>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473,126.60</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1"/>
              <w:rPr>
                <w:sz w:val="21"/>
              </w:rPr>
            </w:pPr>
            <w:r>
              <w:rPr>
                <w:sz w:val="21"/>
              </w:rPr>
              <w:t>25,243.90</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rPr>
                <w:sz w:val="21"/>
              </w:rPr>
            </w:pPr>
            <w:r>
              <w:rPr>
                <w:sz w:val="21"/>
              </w:rPr>
              <w:t>36,888.14</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18,709,247.36</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bl>
    <w:p>
      <w:pPr>
        <w:spacing w:after="0"/>
        <w:rPr>
          <w:sz w:val="21"/>
        </w:rPr>
        <w:sectPr>
          <w:pgSz w:w="11910" w:h="16840"/>
          <w:pgMar w:header="877" w:footer="995" w:top="1420" w:bottom="1180" w:left="1260" w:right="148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1"/>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rPr>
                <w:sz w:val="21"/>
              </w:rPr>
            </w:pPr>
            <w:r>
              <w:rPr>
                <w:sz w:val="21"/>
              </w:rPr>
              <w:t>19,244,506.00</w:t>
            </w:r>
          </w:p>
        </w:tc>
      </w:tr>
    </w:tbl>
    <w:p>
      <w:pPr>
        <w:pStyle w:val="ListParagraph"/>
        <w:numPr>
          <w:ilvl w:val="2"/>
          <w:numId w:val="23"/>
        </w:numPr>
        <w:tabs>
          <w:tab w:pos="1112" w:val="left" w:leader="none"/>
        </w:tabs>
        <w:spacing w:line="240" w:lineRule="auto" w:before="109" w:after="0"/>
        <w:ind w:left="111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960"/>
      </w:pPr>
      <w:r>
        <w:rPr/>
        <w:t>本基金本报告期末未持有处于转股期的可转换债券。</w:t>
      </w:r>
    </w:p>
    <w:p>
      <w:pPr>
        <w:pStyle w:val="BodyText"/>
        <w:spacing w:before="7"/>
        <w:rPr>
          <w:sz w:val="15"/>
        </w:rPr>
      </w:pPr>
    </w:p>
    <w:p>
      <w:pPr>
        <w:pStyle w:val="ListParagraph"/>
        <w:numPr>
          <w:ilvl w:val="2"/>
          <w:numId w:val="23"/>
        </w:numPr>
        <w:tabs>
          <w:tab w:pos="1112" w:val="left" w:leader="none"/>
        </w:tabs>
        <w:spacing w:line="240" w:lineRule="auto" w:before="0" w:after="0"/>
        <w:ind w:left="1111" w:right="0" w:hanging="572"/>
        <w:jc w:val="left"/>
        <w:rPr>
          <w:sz w:val="21"/>
        </w:rPr>
      </w:pPr>
      <w:r>
        <w:rPr>
          <w:spacing w:val="-3"/>
          <w:sz w:val="21"/>
        </w:rPr>
        <w:t>报告期末前十名股票中存在流通受限情况的说明</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1301"/>
        <w:gridCol w:w="1300"/>
        <w:gridCol w:w="1804"/>
        <w:gridCol w:w="1655"/>
        <w:gridCol w:w="1310"/>
      </w:tblGrid>
      <w:tr>
        <w:trPr>
          <w:trHeight w:val="966" w:hRule="atLeast"/>
        </w:trPr>
        <w:tc>
          <w:tcPr>
            <w:tcW w:w="991" w:type="dxa"/>
          </w:tcPr>
          <w:p>
            <w:pPr>
              <w:pStyle w:val="TableParagraph"/>
              <w:spacing w:before="7"/>
              <w:jc w:val="left"/>
              <w:rPr>
                <w:rFonts w:ascii="宋体"/>
                <w:sz w:val="28"/>
              </w:rPr>
            </w:pPr>
          </w:p>
          <w:p>
            <w:pPr>
              <w:pStyle w:val="TableParagraph"/>
              <w:spacing w:before="0"/>
              <w:ind w:left="273" w:right="247"/>
              <w:jc w:val="center"/>
              <w:rPr>
                <w:rFonts w:ascii="宋体" w:eastAsia="宋体" w:hint="eastAsia"/>
                <w:sz w:val="21"/>
              </w:rPr>
            </w:pPr>
            <w:r>
              <w:rPr>
                <w:rFonts w:ascii="宋体" w:eastAsia="宋体" w:hint="eastAsia"/>
                <w:sz w:val="21"/>
              </w:rPr>
              <w:t>序号</w:t>
            </w:r>
          </w:p>
        </w:tc>
        <w:tc>
          <w:tcPr>
            <w:tcW w:w="1301" w:type="dxa"/>
          </w:tcPr>
          <w:p>
            <w:pPr>
              <w:pStyle w:val="TableParagraph"/>
              <w:spacing w:before="7"/>
              <w:jc w:val="left"/>
              <w:rPr>
                <w:rFonts w:ascii="宋体"/>
                <w:sz w:val="28"/>
              </w:rPr>
            </w:pPr>
          </w:p>
          <w:p>
            <w:pPr>
              <w:pStyle w:val="TableParagraph"/>
              <w:spacing w:before="0"/>
              <w:ind w:left="218" w:right="192"/>
              <w:jc w:val="center"/>
              <w:rPr>
                <w:rFonts w:ascii="宋体" w:eastAsia="宋体" w:hint="eastAsia"/>
                <w:sz w:val="21"/>
              </w:rPr>
            </w:pPr>
            <w:r>
              <w:rPr>
                <w:rFonts w:ascii="宋体" w:eastAsia="宋体" w:hint="eastAsia"/>
                <w:sz w:val="21"/>
              </w:rPr>
              <w:t>股票代码</w:t>
            </w:r>
          </w:p>
        </w:tc>
        <w:tc>
          <w:tcPr>
            <w:tcW w:w="1300" w:type="dxa"/>
          </w:tcPr>
          <w:p>
            <w:pPr>
              <w:pStyle w:val="TableParagraph"/>
              <w:spacing w:before="7"/>
              <w:jc w:val="left"/>
              <w:rPr>
                <w:rFonts w:ascii="宋体"/>
                <w:sz w:val="28"/>
              </w:rPr>
            </w:pPr>
          </w:p>
          <w:p>
            <w:pPr>
              <w:pStyle w:val="TableParagraph"/>
              <w:spacing w:before="0"/>
              <w:ind w:right="207"/>
              <w:rPr>
                <w:rFonts w:ascii="宋体" w:eastAsia="宋体" w:hint="eastAsia"/>
                <w:sz w:val="21"/>
              </w:rPr>
            </w:pPr>
            <w:r>
              <w:rPr>
                <w:rFonts w:ascii="宋体" w:eastAsia="宋体" w:hint="eastAsia"/>
                <w:sz w:val="21"/>
              </w:rPr>
              <w:t>股票名称</w:t>
            </w:r>
          </w:p>
        </w:tc>
        <w:tc>
          <w:tcPr>
            <w:tcW w:w="1804" w:type="dxa"/>
          </w:tcPr>
          <w:p>
            <w:pPr>
              <w:pStyle w:val="TableParagraph"/>
              <w:spacing w:before="133"/>
              <w:ind w:left="158" w:right="126"/>
              <w:jc w:val="center"/>
              <w:rPr>
                <w:rFonts w:ascii="宋体" w:eastAsia="宋体" w:hint="eastAsia"/>
                <w:sz w:val="21"/>
              </w:rPr>
            </w:pPr>
            <w:r>
              <w:rPr>
                <w:rFonts w:ascii="宋体" w:eastAsia="宋体" w:hint="eastAsia"/>
                <w:sz w:val="21"/>
              </w:rPr>
              <w:t>流通受限部分的</w:t>
            </w:r>
          </w:p>
          <w:p>
            <w:pPr>
              <w:pStyle w:val="TableParagraph"/>
              <w:spacing w:before="4"/>
              <w:jc w:val="left"/>
              <w:rPr>
                <w:rFonts w:ascii="宋体"/>
                <w:sz w:val="15"/>
              </w:rPr>
            </w:pPr>
          </w:p>
          <w:p>
            <w:pPr>
              <w:pStyle w:val="TableParagraph"/>
              <w:spacing w:before="0"/>
              <w:ind w:left="156" w:right="126"/>
              <w:jc w:val="center"/>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655" w:type="dxa"/>
          </w:tcPr>
          <w:p>
            <w:pPr>
              <w:pStyle w:val="TableParagraph"/>
              <w:spacing w:before="133"/>
              <w:ind w:left="189" w:right="155"/>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0"/>
              <w:ind w:left="187" w:right="155"/>
              <w:jc w:val="center"/>
              <w:rPr>
                <w:sz w:val="21"/>
              </w:rPr>
            </w:pPr>
            <w:r>
              <w:rPr>
                <w:rFonts w:ascii="宋体" w:eastAsia="宋体" w:hint="eastAsia"/>
                <w:sz w:val="21"/>
              </w:rPr>
              <w:t>值比例</w:t>
            </w:r>
            <w:r>
              <w:rPr>
                <w:sz w:val="21"/>
              </w:rPr>
              <w:t>(%)</w:t>
            </w:r>
          </w:p>
        </w:tc>
        <w:tc>
          <w:tcPr>
            <w:tcW w:w="1310" w:type="dxa"/>
          </w:tcPr>
          <w:p>
            <w:pPr>
              <w:pStyle w:val="TableParagraph"/>
              <w:spacing w:before="133"/>
              <w:ind w:left="122" w:right="87"/>
              <w:jc w:val="center"/>
              <w:rPr>
                <w:rFonts w:ascii="宋体" w:eastAsia="宋体" w:hint="eastAsia"/>
                <w:sz w:val="21"/>
              </w:rPr>
            </w:pPr>
            <w:r>
              <w:rPr>
                <w:rFonts w:ascii="宋体" w:eastAsia="宋体" w:hint="eastAsia"/>
                <w:sz w:val="21"/>
              </w:rPr>
              <w:t>流通受限情</w:t>
            </w:r>
          </w:p>
          <w:p>
            <w:pPr>
              <w:pStyle w:val="TableParagraph"/>
              <w:spacing w:before="4"/>
              <w:jc w:val="left"/>
              <w:rPr>
                <w:rFonts w:ascii="宋体"/>
                <w:sz w:val="15"/>
              </w:rPr>
            </w:pPr>
          </w:p>
          <w:p>
            <w:pPr>
              <w:pStyle w:val="TableParagraph"/>
              <w:spacing w:before="0"/>
              <w:ind w:left="122" w:right="85"/>
              <w:jc w:val="center"/>
              <w:rPr>
                <w:rFonts w:ascii="宋体" w:eastAsia="宋体" w:hint="eastAsia"/>
                <w:sz w:val="21"/>
              </w:rPr>
            </w:pPr>
            <w:r>
              <w:rPr>
                <w:rFonts w:ascii="宋体" w:eastAsia="宋体" w:hint="eastAsia"/>
                <w:sz w:val="21"/>
              </w:rPr>
              <w:t>况说明</w:t>
            </w:r>
          </w:p>
        </w:tc>
      </w:tr>
      <w:tr>
        <w:trPr>
          <w:trHeight w:val="624" w:hRule="atLeast"/>
        </w:trPr>
        <w:tc>
          <w:tcPr>
            <w:tcW w:w="991" w:type="dxa"/>
          </w:tcPr>
          <w:p>
            <w:pPr>
              <w:pStyle w:val="TableParagraph"/>
              <w:spacing w:before="190"/>
              <w:ind w:left="7"/>
              <w:jc w:val="center"/>
              <w:rPr>
                <w:sz w:val="21"/>
              </w:rPr>
            </w:pPr>
            <w:r>
              <w:rPr>
                <w:w w:val="100"/>
                <w:sz w:val="21"/>
              </w:rPr>
              <w:t>1</w:t>
            </w:r>
          </w:p>
        </w:tc>
        <w:tc>
          <w:tcPr>
            <w:tcW w:w="1301" w:type="dxa"/>
          </w:tcPr>
          <w:p>
            <w:pPr>
              <w:pStyle w:val="TableParagraph"/>
              <w:spacing w:before="190"/>
              <w:ind w:left="201" w:right="192"/>
              <w:jc w:val="center"/>
              <w:rPr>
                <w:sz w:val="21"/>
              </w:rPr>
            </w:pPr>
            <w:r>
              <w:rPr>
                <w:sz w:val="21"/>
              </w:rPr>
              <w:t>300253</w:t>
            </w:r>
          </w:p>
        </w:tc>
        <w:tc>
          <w:tcPr>
            <w:tcW w:w="1300" w:type="dxa"/>
          </w:tcPr>
          <w:p>
            <w:pPr>
              <w:pStyle w:val="TableParagraph"/>
              <w:spacing w:before="178"/>
              <w:ind w:right="214"/>
              <w:rPr>
                <w:rFonts w:ascii="宋体" w:eastAsia="宋体" w:hint="eastAsia"/>
                <w:sz w:val="21"/>
              </w:rPr>
            </w:pPr>
            <w:r>
              <w:rPr>
                <w:rFonts w:ascii="宋体" w:eastAsia="宋体" w:hint="eastAsia"/>
                <w:sz w:val="21"/>
              </w:rPr>
              <w:t>卫宁健康</w:t>
            </w:r>
          </w:p>
        </w:tc>
        <w:tc>
          <w:tcPr>
            <w:tcW w:w="1804" w:type="dxa"/>
          </w:tcPr>
          <w:p>
            <w:pPr>
              <w:pStyle w:val="TableParagraph"/>
              <w:spacing w:before="190"/>
              <w:ind w:left="596"/>
              <w:jc w:val="left"/>
              <w:rPr>
                <w:sz w:val="21"/>
              </w:rPr>
            </w:pPr>
            <w:r>
              <w:rPr>
                <w:sz w:val="21"/>
              </w:rPr>
              <w:t>5,977,660.00</w:t>
            </w:r>
          </w:p>
        </w:tc>
        <w:tc>
          <w:tcPr>
            <w:tcW w:w="1655" w:type="dxa"/>
          </w:tcPr>
          <w:p>
            <w:pPr>
              <w:pStyle w:val="TableParagraph"/>
              <w:spacing w:before="190"/>
              <w:ind w:right="90"/>
              <w:rPr>
                <w:sz w:val="21"/>
              </w:rPr>
            </w:pPr>
            <w:r>
              <w:rPr>
                <w:sz w:val="21"/>
              </w:rPr>
              <w:t>0.34</w:t>
            </w:r>
          </w:p>
        </w:tc>
        <w:tc>
          <w:tcPr>
            <w:tcW w:w="1310" w:type="dxa"/>
          </w:tcPr>
          <w:p>
            <w:pPr>
              <w:pStyle w:val="TableParagraph"/>
              <w:ind w:right="89"/>
              <w:rPr>
                <w:rFonts w:ascii="宋体" w:eastAsia="宋体" w:hint="eastAsia"/>
                <w:sz w:val="21"/>
              </w:rPr>
            </w:pPr>
            <w:r>
              <w:rPr>
                <w:rFonts w:ascii="宋体" w:eastAsia="宋体" w:hint="eastAsia"/>
                <w:spacing w:val="-1"/>
                <w:sz w:val="21"/>
              </w:rPr>
              <w:t>非公开发行</w:t>
            </w:r>
          </w:p>
          <w:p>
            <w:pPr>
              <w:pStyle w:val="TableParagraph"/>
              <w:spacing w:before="43"/>
              <w:ind w:right="89"/>
              <w:rPr>
                <w:rFonts w:ascii="宋体" w:eastAsia="宋体" w:hint="eastAsia"/>
                <w:sz w:val="21"/>
              </w:rPr>
            </w:pPr>
            <w:r>
              <w:rPr>
                <w:rFonts w:ascii="宋体" w:eastAsia="宋体" w:hint="eastAsia"/>
                <w:spacing w:val="-1"/>
                <w:sz w:val="21"/>
              </w:rPr>
              <w:t>流通受限</w:t>
            </w:r>
          </w:p>
        </w:tc>
      </w:tr>
    </w:tbl>
    <w:p>
      <w:pPr>
        <w:pStyle w:val="ListParagraph"/>
        <w:numPr>
          <w:ilvl w:val="2"/>
          <w:numId w:val="23"/>
        </w:numPr>
        <w:tabs>
          <w:tab w:pos="1112" w:val="left" w:leader="none"/>
        </w:tabs>
        <w:spacing w:line="240" w:lineRule="auto" w:before="100" w:after="0"/>
        <w:ind w:left="1111" w:right="0" w:hanging="572"/>
        <w:jc w:val="left"/>
        <w:rPr>
          <w:sz w:val="21"/>
        </w:rPr>
      </w:pPr>
      <w:r>
        <w:rPr>
          <w:spacing w:val="-3"/>
          <w:sz w:val="21"/>
        </w:rPr>
        <w:t>投资组合报告附注的其他文字描述部分</w:t>
      </w:r>
    </w:p>
    <w:p>
      <w:pPr>
        <w:pStyle w:val="BodyText"/>
        <w:spacing w:before="7"/>
        <w:rPr>
          <w:sz w:val="15"/>
        </w:rPr>
      </w:pPr>
    </w:p>
    <w:p>
      <w:pPr>
        <w:pStyle w:val="BodyText"/>
        <w:ind w:left="960"/>
      </w:pPr>
      <w:r>
        <w:rPr/>
        <w:t>由于四舍五入的原因，分项之和与合计项之间可能存在尾差。</w:t>
      </w:r>
    </w:p>
    <w:p>
      <w:pPr>
        <w:pStyle w:val="BodyText"/>
        <w:rPr>
          <w:sz w:val="20"/>
        </w:rPr>
      </w:pPr>
    </w:p>
    <w:p>
      <w:pPr>
        <w:pStyle w:val="BodyText"/>
        <w:spacing w:before="8"/>
        <w:rPr>
          <w:sz w:val="20"/>
        </w:rPr>
      </w:pPr>
    </w:p>
    <w:p>
      <w:pPr>
        <w:pStyle w:val="Heading1"/>
      </w:pPr>
      <w:bookmarkStart w:name="_bookmark9" w:id="10"/>
      <w:bookmarkEnd w:id="10"/>
      <w:r>
        <w:rPr>
          <w:b w:val="0"/>
        </w:rPr>
      </w:r>
      <w:r>
        <w:rPr/>
        <w:t>十、基金的业绩</w:t>
      </w:r>
    </w:p>
    <w:p>
      <w:pPr>
        <w:pStyle w:val="BodyText"/>
        <w:rPr>
          <w:b/>
          <w:sz w:val="20"/>
        </w:rPr>
      </w:pPr>
    </w:p>
    <w:p>
      <w:pPr>
        <w:pStyle w:val="BodyText"/>
        <w:spacing w:before="8"/>
        <w:rPr>
          <w:b/>
          <w:sz w:val="19"/>
        </w:rPr>
      </w:pPr>
    </w:p>
    <w:p>
      <w:pPr>
        <w:pStyle w:val="BodyText"/>
        <w:spacing w:line="417" w:lineRule="auto" w:before="1"/>
        <w:ind w:left="540" w:right="31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311" w:firstLine="419"/>
      </w:pPr>
      <w:r>
        <w:rPr/>
        <w:pict>
          <v:shape style="position:absolute;margin-left:68.424004pt;margin-top:41.819992pt;width:442.05pt;height:206.45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1136"/>
                    <w:gridCol w:w="1275"/>
                    <w:gridCol w:w="1275"/>
                    <w:gridCol w:w="1277"/>
                    <w:gridCol w:w="992"/>
                    <w:gridCol w:w="886"/>
                  </w:tblGrid>
                  <w:tr>
                    <w:trPr>
                      <w:trHeight w:val="938" w:hRule="atLeast"/>
                    </w:trPr>
                    <w:tc>
                      <w:tcPr>
                        <w:tcW w:w="1987" w:type="dxa"/>
                      </w:tcPr>
                      <w:p>
                        <w:pPr>
                          <w:pStyle w:val="TableParagraph"/>
                          <w:spacing w:before="3"/>
                          <w:jc w:val="left"/>
                          <w:rPr>
                            <w:rFonts w:ascii="宋体"/>
                            <w:sz w:val="26"/>
                          </w:rPr>
                        </w:pPr>
                      </w:p>
                      <w:p>
                        <w:pPr>
                          <w:pStyle w:val="TableParagraph"/>
                          <w:spacing w:before="1"/>
                          <w:ind w:left="763" w:right="754"/>
                          <w:jc w:val="center"/>
                          <w:rPr>
                            <w:rFonts w:ascii="宋体" w:eastAsia="宋体" w:hint="eastAsia"/>
                            <w:sz w:val="21"/>
                          </w:rPr>
                        </w:pPr>
                        <w:r>
                          <w:rPr>
                            <w:rFonts w:ascii="宋体" w:eastAsia="宋体" w:hint="eastAsia"/>
                            <w:sz w:val="21"/>
                          </w:rPr>
                          <w:t>阶段</w:t>
                        </w:r>
                      </w:p>
                    </w:tc>
                    <w:tc>
                      <w:tcPr>
                        <w:tcW w:w="1136" w:type="dxa"/>
                      </w:tcPr>
                      <w:p>
                        <w:pPr>
                          <w:pStyle w:val="TableParagraph"/>
                          <w:spacing w:before="1"/>
                          <w:jc w:val="left"/>
                          <w:rPr>
                            <w:rFonts w:ascii="宋体"/>
                            <w:sz w:val="14"/>
                          </w:rPr>
                        </w:pPr>
                      </w:p>
                      <w:p>
                        <w:pPr>
                          <w:pStyle w:val="TableParagraph"/>
                          <w:spacing w:line="278" w:lineRule="auto" w:before="0"/>
                          <w:ind w:left="146" w:right="134" w:firstLine="208"/>
                          <w:jc w:val="left"/>
                          <w:rPr>
                            <w:rFonts w:ascii="宋体" w:hAnsi="宋体" w:eastAsia="宋体" w:hint="eastAsia"/>
                            <w:sz w:val="21"/>
                          </w:rPr>
                        </w:pPr>
                        <w:r>
                          <w:rPr>
                            <w:rFonts w:ascii="宋体" w:hAnsi="宋体" w:eastAsia="宋体" w:hint="eastAsia"/>
                            <w:sz w:val="21"/>
                          </w:rPr>
                          <w:t>净 值 增长率①</w:t>
                        </w:r>
                      </w:p>
                    </w:tc>
                    <w:tc>
                      <w:tcPr>
                        <w:tcW w:w="1275" w:type="dxa"/>
                      </w:tcPr>
                      <w:p>
                        <w:pPr>
                          <w:pStyle w:val="TableParagraph"/>
                          <w:spacing w:before="1"/>
                          <w:jc w:val="left"/>
                          <w:rPr>
                            <w:rFonts w:ascii="宋体"/>
                            <w:sz w:val="14"/>
                          </w:rPr>
                        </w:pPr>
                      </w:p>
                      <w:p>
                        <w:pPr>
                          <w:pStyle w:val="TableParagraph"/>
                          <w:spacing w:line="278" w:lineRule="auto" w:before="0"/>
                          <w:ind w:left="213" w:right="101" w:hanging="106"/>
                          <w:jc w:val="left"/>
                          <w:rPr>
                            <w:rFonts w:ascii="宋体" w:hAnsi="宋体" w:eastAsia="宋体" w:hint="eastAsia"/>
                            <w:sz w:val="21"/>
                          </w:rPr>
                        </w:pPr>
                        <w:r>
                          <w:rPr>
                            <w:rFonts w:ascii="宋体" w:hAnsi="宋体" w:eastAsia="宋体" w:hint="eastAsia"/>
                            <w:sz w:val="21"/>
                          </w:rPr>
                          <w:t>净值增长率标准差②</w:t>
                        </w:r>
                      </w:p>
                    </w:tc>
                    <w:tc>
                      <w:tcPr>
                        <w:tcW w:w="1275" w:type="dxa"/>
                      </w:tcPr>
                      <w:p>
                        <w:pPr>
                          <w:pStyle w:val="TableParagraph"/>
                          <w:spacing w:before="1"/>
                          <w:jc w:val="left"/>
                          <w:rPr>
                            <w:rFonts w:ascii="宋体"/>
                            <w:sz w:val="14"/>
                          </w:rPr>
                        </w:pPr>
                      </w:p>
                      <w:p>
                        <w:pPr>
                          <w:pStyle w:val="TableParagraph"/>
                          <w:spacing w:line="278" w:lineRule="auto" w:before="0"/>
                          <w:ind w:left="111" w:right="97"/>
                          <w:jc w:val="left"/>
                          <w:rPr>
                            <w:rFonts w:ascii="宋体" w:hAnsi="宋体" w:eastAsia="宋体" w:hint="eastAsia"/>
                            <w:sz w:val="21"/>
                          </w:rPr>
                        </w:pPr>
                        <w:r>
                          <w:rPr>
                            <w:rFonts w:ascii="宋体" w:hAnsi="宋体" w:eastAsia="宋体" w:hint="eastAsia"/>
                            <w:sz w:val="21"/>
                          </w:rPr>
                          <w:t>业绩比较基准收益率③</w:t>
                        </w:r>
                      </w:p>
                    </w:tc>
                    <w:tc>
                      <w:tcPr>
                        <w:tcW w:w="1277" w:type="dxa"/>
                      </w:tcPr>
                      <w:p>
                        <w:pPr>
                          <w:pStyle w:val="TableParagraph"/>
                          <w:spacing w:line="278" w:lineRule="auto" w:before="25"/>
                          <w:ind w:left="111" w:right="99"/>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06" w:right="99"/>
                          <w:jc w:val="center"/>
                          <w:rPr>
                            <w:rFonts w:ascii="宋体" w:hAnsi="宋体" w:eastAsia="宋体" w:hint="eastAsia"/>
                            <w:sz w:val="21"/>
                          </w:rPr>
                        </w:pPr>
                        <w:r>
                          <w:rPr>
                            <w:rFonts w:ascii="宋体" w:hAnsi="宋体" w:eastAsia="宋体" w:hint="eastAsia"/>
                            <w:sz w:val="21"/>
                          </w:rPr>
                          <w:t>准差④</w:t>
                        </w:r>
                      </w:p>
                    </w:tc>
                    <w:tc>
                      <w:tcPr>
                        <w:tcW w:w="992" w:type="dxa"/>
                      </w:tcPr>
                      <w:p>
                        <w:pPr>
                          <w:pStyle w:val="TableParagraph"/>
                          <w:spacing w:before="3"/>
                          <w:jc w:val="left"/>
                          <w:rPr>
                            <w:rFonts w:ascii="宋体"/>
                            <w:sz w:val="26"/>
                          </w:rPr>
                        </w:pPr>
                      </w:p>
                      <w:p>
                        <w:pPr>
                          <w:pStyle w:val="TableParagraph"/>
                          <w:spacing w:before="1"/>
                          <w:ind w:left="178"/>
                          <w:jc w:val="left"/>
                          <w:rPr>
                            <w:rFonts w:ascii="宋体" w:hAnsi="宋体" w:eastAsia="宋体" w:hint="eastAsia"/>
                            <w:sz w:val="21"/>
                          </w:rPr>
                        </w:pPr>
                        <w:r>
                          <w:rPr>
                            <w:rFonts w:ascii="宋体" w:hAnsi="宋体" w:eastAsia="宋体" w:hint="eastAsia"/>
                            <w:sz w:val="21"/>
                          </w:rPr>
                          <w:t>①－③</w:t>
                        </w:r>
                      </w:p>
                    </w:tc>
                    <w:tc>
                      <w:tcPr>
                        <w:tcW w:w="886" w:type="dxa"/>
                      </w:tcPr>
                      <w:p>
                        <w:pPr>
                          <w:pStyle w:val="TableParagraph"/>
                          <w:spacing w:before="3"/>
                          <w:jc w:val="left"/>
                          <w:rPr>
                            <w:rFonts w:ascii="宋体"/>
                            <w:sz w:val="26"/>
                          </w:rPr>
                        </w:pPr>
                      </w:p>
                      <w:p>
                        <w:pPr>
                          <w:pStyle w:val="TableParagraph"/>
                          <w:spacing w:before="1"/>
                          <w:ind w:right="117"/>
                          <w:rPr>
                            <w:rFonts w:ascii="宋体" w:hAnsi="宋体" w:eastAsia="宋体" w:hint="eastAsia"/>
                            <w:sz w:val="21"/>
                          </w:rPr>
                        </w:pPr>
                        <w:r>
                          <w:rPr>
                            <w:rFonts w:ascii="宋体" w:hAnsi="宋体" w:eastAsia="宋体" w:hint="eastAsia"/>
                            <w:sz w:val="21"/>
                          </w:rPr>
                          <w:t>②－④</w:t>
                        </w:r>
                      </w:p>
                    </w:tc>
                  </w:tr>
                  <w:tr>
                    <w:trPr>
                      <w:trHeight w:val="623" w:hRule="atLeast"/>
                    </w:trPr>
                    <w:tc>
                      <w:tcPr>
                        <w:tcW w:w="1987" w:type="dxa"/>
                      </w:tcPr>
                      <w:p>
                        <w:pPr>
                          <w:pStyle w:val="TableParagraph"/>
                          <w:ind w:left="107"/>
                          <w:jc w:val="left"/>
                          <w:rPr>
                            <w:rFonts w:ascii="宋体" w:eastAsia="宋体" w:hint="eastAsia"/>
                            <w:sz w:val="21"/>
                          </w:rPr>
                        </w:pPr>
                        <w:r>
                          <w:rPr>
                            <w:sz w:val="21"/>
                          </w:rPr>
                          <w:t>2016 </w:t>
                        </w:r>
                        <w:r>
                          <w:rPr>
                            <w:rFonts w:ascii="宋体" w:eastAsia="宋体" w:hint="eastAsia"/>
                            <w:sz w:val="21"/>
                          </w:rPr>
                          <w:t>年 </w:t>
                        </w:r>
                        <w:r>
                          <w:rPr>
                            <w:sz w:val="21"/>
                          </w:rPr>
                          <w:t>9 </w:t>
                        </w:r>
                        <w:r>
                          <w:rPr>
                            <w:rFonts w:ascii="宋体" w:eastAsia="宋体" w:hint="eastAsia"/>
                            <w:sz w:val="21"/>
                          </w:rPr>
                          <w:t>月 </w:t>
                        </w:r>
                        <w:r>
                          <w:rPr>
                            <w:sz w:val="21"/>
                          </w:rPr>
                          <w:t>7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2016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7"/>
                          <w:rPr>
                            <w:sz w:val="21"/>
                          </w:rPr>
                        </w:pPr>
                        <w:r>
                          <w:rPr>
                            <w:sz w:val="21"/>
                          </w:rPr>
                          <w:t>-1.90%</w:t>
                        </w:r>
                      </w:p>
                    </w:tc>
                    <w:tc>
                      <w:tcPr>
                        <w:tcW w:w="1275" w:type="dxa"/>
                      </w:tcPr>
                      <w:p>
                        <w:pPr>
                          <w:pStyle w:val="TableParagraph"/>
                          <w:spacing w:before="190"/>
                          <w:ind w:right="96"/>
                          <w:rPr>
                            <w:sz w:val="21"/>
                          </w:rPr>
                        </w:pPr>
                        <w:r>
                          <w:rPr>
                            <w:sz w:val="21"/>
                          </w:rPr>
                          <w:t>0.35%</w:t>
                        </w:r>
                      </w:p>
                    </w:tc>
                    <w:tc>
                      <w:tcPr>
                        <w:tcW w:w="1275" w:type="dxa"/>
                      </w:tcPr>
                      <w:p>
                        <w:pPr>
                          <w:pStyle w:val="TableParagraph"/>
                          <w:spacing w:before="190"/>
                          <w:ind w:right="93"/>
                          <w:rPr>
                            <w:sz w:val="21"/>
                          </w:rPr>
                        </w:pPr>
                        <w:r>
                          <w:rPr>
                            <w:sz w:val="21"/>
                          </w:rPr>
                          <w:t>-1.53%</w:t>
                        </w:r>
                      </w:p>
                    </w:tc>
                    <w:tc>
                      <w:tcPr>
                        <w:tcW w:w="1277" w:type="dxa"/>
                      </w:tcPr>
                      <w:p>
                        <w:pPr>
                          <w:pStyle w:val="TableParagraph"/>
                          <w:spacing w:before="190"/>
                          <w:ind w:right="94"/>
                          <w:rPr>
                            <w:sz w:val="21"/>
                          </w:rPr>
                        </w:pPr>
                        <w:r>
                          <w:rPr>
                            <w:sz w:val="21"/>
                          </w:rPr>
                          <w:t>0.66%</w:t>
                        </w:r>
                      </w:p>
                    </w:tc>
                    <w:tc>
                      <w:tcPr>
                        <w:tcW w:w="992" w:type="dxa"/>
                      </w:tcPr>
                      <w:p>
                        <w:pPr>
                          <w:pStyle w:val="TableParagraph"/>
                          <w:spacing w:before="190"/>
                          <w:ind w:right="97"/>
                          <w:rPr>
                            <w:sz w:val="21"/>
                          </w:rPr>
                        </w:pPr>
                        <w:r>
                          <w:rPr>
                            <w:sz w:val="21"/>
                          </w:rPr>
                          <w:t>-0.37%</w:t>
                        </w:r>
                      </w:p>
                    </w:tc>
                    <w:tc>
                      <w:tcPr>
                        <w:tcW w:w="886" w:type="dxa"/>
                      </w:tcPr>
                      <w:p>
                        <w:pPr>
                          <w:pStyle w:val="TableParagraph"/>
                          <w:spacing w:before="190"/>
                          <w:ind w:right="99"/>
                          <w:rPr>
                            <w:sz w:val="21"/>
                          </w:rPr>
                        </w:pPr>
                        <w:r>
                          <w:rPr>
                            <w:sz w:val="21"/>
                          </w:rPr>
                          <w:t>-0.31%</w:t>
                        </w:r>
                      </w:p>
                    </w:tc>
                  </w:tr>
                  <w:tr>
                    <w:trPr>
                      <w:trHeight w:val="624" w:hRule="atLeast"/>
                    </w:trPr>
                    <w:tc>
                      <w:tcPr>
                        <w:tcW w:w="1987" w:type="dxa"/>
                      </w:tcPr>
                      <w:p>
                        <w:pPr>
                          <w:pStyle w:val="TableParagraph"/>
                          <w:ind w:left="107"/>
                          <w:jc w:val="left"/>
                          <w:rPr>
                            <w:rFonts w:ascii="宋体" w:eastAsia="宋体" w:hint="eastAsia"/>
                            <w:sz w:val="21"/>
                          </w:rPr>
                        </w:pPr>
                        <w:r>
                          <w:rPr>
                            <w:sz w:val="21"/>
                          </w:rPr>
                          <w:t>2017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4"/>
                          <w:ind w:left="107"/>
                          <w:jc w:val="left"/>
                          <w:rPr>
                            <w:rFonts w:ascii="宋体" w:eastAsia="宋体" w:hint="eastAsia"/>
                            <w:sz w:val="21"/>
                          </w:rPr>
                        </w:pPr>
                        <w:r>
                          <w:rPr>
                            <w:sz w:val="21"/>
                          </w:rPr>
                          <w:t>2017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5"/>
                          <w:rPr>
                            <w:sz w:val="21"/>
                          </w:rPr>
                        </w:pPr>
                        <w:r>
                          <w:rPr>
                            <w:sz w:val="21"/>
                          </w:rPr>
                          <w:t>1.73%</w:t>
                        </w:r>
                      </w:p>
                    </w:tc>
                    <w:tc>
                      <w:tcPr>
                        <w:tcW w:w="1275" w:type="dxa"/>
                      </w:tcPr>
                      <w:p>
                        <w:pPr>
                          <w:pStyle w:val="TableParagraph"/>
                          <w:spacing w:before="190"/>
                          <w:ind w:right="96"/>
                          <w:rPr>
                            <w:sz w:val="21"/>
                          </w:rPr>
                        </w:pPr>
                        <w:r>
                          <w:rPr>
                            <w:sz w:val="21"/>
                          </w:rPr>
                          <w:t>0.89%</w:t>
                        </w:r>
                      </w:p>
                    </w:tc>
                    <w:tc>
                      <w:tcPr>
                        <w:tcW w:w="1275" w:type="dxa"/>
                      </w:tcPr>
                      <w:p>
                        <w:pPr>
                          <w:pStyle w:val="TableParagraph"/>
                          <w:spacing w:before="190"/>
                          <w:ind w:right="91"/>
                          <w:rPr>
                            <w:sz w:val="21"/>
                          </w:rPr>
                        </w:pPr>
                        <w:r>
                          <w:rPr>
                            <w:sz w:val="21"/>
                          </w:rPr>
                          <w:t>13.68%</w:t>
                        </w:r>
                      </w:p>
                    </w:tc>
                    <w:tc>
                      <w:tcPr>
                        <w:tcW w:w="1277" w:type="dxa"/>
                      </w:tcPr>
                      <w:p>
                        <w:pPr>
                          <w:pStyle w:val="TableParagraph"/>
                          <w:spacing w:before="190"/>
                          <w:ind w:right="94"/>
                          <w:rPr>
                            <w:sz w:val="21"/>
                          </w:rPr>
                        </w:pPr>
                        <w:r>
                          <w:rPr>
                            <w:sz w:val="21"/>
                          </w:rPr>
                          <w:t>0.58%</w:t>
                        </w:r>
                      </w:p>
                    </w:tc>
                    <w:tc>
                      <w:tcPr>
                        <w:tcW w:w="992" w:type="dxa"/>
                      </w:tcPr>
                      <w:p>
                        <w:pPr>
                          <w:pStyle w:val="TableParagraph"/>
                          <w:spacing w:before="190"/>
                          <w:ind w:right="97"/>
                          <w:rPr>
                            <w:sz w:val="21"/>
                          </w:rPr>
                        </w:pPr>
                        <w:r>
                          <w:rPr>
                            <w:sz w:val="21"/>
                          </w:rPr>
                          <w:t>-11.95%</w:t>
                        </w:r>
                      </w:p>
                    </w:tc>
                    <w:tc>
                      <w:tcPr>
                        <w:tcW w:w="886" w:type="dxa"/>
                      </w:tcPr>
                      <w:p>
                        <w:pPr>
                          <w:pStyle w:val="TableParagraph"/>
                          <w:spacing w:before="190"/>
                          <w:ind w:right="97"/>
                          <w:rPr>
                            <w:sz w:val="21"/>
                          </w:rPr>
                        </w:pPr>
                        <w:r>
                          <w:rPr>
                            <w:sz w:val="21"/>
                          </w:rPr>
                          <w:t>0.31%</w:t>
                        </w:r>
                      </w:p>
                    </w:tc>
                  </w:tr>
                  <w:tr>
                    <w:trPr>
                      <w:trHeight w:val="623" w:hRule="atLeast"/>
                    </w:trPr>
                    <w:tc>
                      <w:tcPr>
                        <w:tcW w:w="1987" w:type="dxa"/>
                      </w:tcPr>
                      <w:p>
                        <w:pPr>
                          <w:pStyle w:val="TableParagraph"/>
                          <w:ind w:left="107"/>
                          <w:jc w:val="left"/>
                          <w:rPr>
                            <w:rFonts w:ascii="宋体" w:eastAsia="宋体" w:hint="eastAsia"/>
                            <w:sz w:val="21"/>
                          </w:rPr>
                        </w:pPr>
                        <w:r>
                          <w:rPr>
                            <w:sz w:val="21"/>
                          </w:rPr>
                          <w:t>2018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8"/>
                          <w:rPr>
                            <w:sz w:val="21"/>
                          </w:rPr>
                        </w:pPr>
                        <w:r>
                          <w:rPr>
                            <w:sz w:val="21"/>
                          </w:rPr>
                          <w:t>-19.04%</w:t>
                        </w:r>
                      </w:p>
                    </w:tc>
                    <w:tc>
                      <w:tcPr>
                        <w:tcW w:w="1275" w:type="dxa"/>
                      </w:tcPr>
                      <w:p>
                        <w:pPr>
                          <w:pStyle w:val="TableParagraph"/>
                          <w:spacing w:before="190"/>
                          <w:ind w:right="96"/>
                          <w:rPr>
                            <w:sz w:val="21"/>
                          </w:rPr>
                        </w:pPr>
                        <w:r>
                          <w:rPr>
                            <w:sz w:val="21"/>
                          </w:rPr>
                          <w:t>1.65%</w:t>
                        </w:r>
                      </w:p>
                    </w:tc>
                    <w:tc>
                      <w:tcPr>
                        <w:tcW w:w="1275" w:type="dxa"/>
                      </w:tcPr>
                      <w:p>
                        <w:pPr>
                          <w:pStyle w:val="TableParagraph"/>
                          <w:spacing w:before="190"/>
                          <w:ind w:right="94"/>
                          <w:rPr>
                            <w:sz w:val="21"/>
                          </w:rPr>
                        </w:pPr>
                        <w:r>
                          <w:rPr>
                            <w:sz w:val="21"/>
                          </w:rPr>
                          <w:t>-24.46%</w:t>
                        </w:r>
                      </w:p>
                    </w:tc>
                    <w:tc>
                      <w:tcPr>
                        <w:tcW w:w="1277" w:type="dxa"/>
                      </w:tcPr>
                      <w:p>
                        <w:pPr>
                          <w:pStyle w:val="TableParagraph"/>
                          <w:spacing w:before="190"/>
                          <w:ind w:right="94"/>
                          <w:rPr>
                            <w:sz w:val="21"/>
                          </w:rPr>
                        </w:pPr>
                        <w:r>
                          <w:rPr>
                            <w:sz w:val="21"/>
                          </w:rPr>
                          <w:t>1.21%</w:t>
                        </w:r>
                      </w:p>
                    </w:tc>
                    <w:tc>
                      <w:tcPr>
                        <w:tcW w:w="992" w:type="dxa"/>
                      </w:tcPr>
                      <w:p>
                        <w:pPr>
                          <w:pStyle w:val="TableParagraph"/>
                          <w:spacing w:before="190"/>
                          <w:ind w:right="94"/>
                          <w:rPr>
                            <w:sz w:val="21"/>
                          </w:rPr>
                        </w:pPr>
                        <w:r>
                          <w:rPr>
                            <w:sz w:val="21"/>
                          </w:rPr>
                          <w:t>5.42%</w:t>
                        </w:r>
                      </w:p>
                    </w:tc>
                    <w:tc>
                      <w:tcPr>
                        <w:tcW w:w="886" w:type="dxa"/>
                      </w:tcPr>
                      <w:p>
                        <w:pPr>
                          <w:pStyle w:val="TableParagraph"/>
                          <w:spacing w:before="190"/>
                          <w:ind w:right="97"/>
                          <w:rPr>
                            <w:sz w:val="21"/>
                          </w:rPr>
                        </w:pPr>
                        <w:r>
                          <w:rPr>
                            <w:sz w:val="21"/>
                          </w:rPr>
                          <w:t>0.44%</w:t>
                        </w:r>
                      </w:p>
                    </w:tc>
                  </w:tr>
                  <w:tr>
                    <w:trPr>
                      <w:trHeight w:val="623" w:hRule="atLeast"/>
                    </w:trPr>
                    <w:tc>
                      <w:tcPr>
                        <w:tcW w:w="1987" w:type="dxa"/>
                      </w:tcPr>
                      <w:p>
                        <w:pPr>
                          <w:pStyle w:val="TableParagraph"/>
                          <w:ind w:left="107"/>
                          <w:jc w:val="left"/>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1136" w:type="dxa"/>
                      </w:tcPr>
                      <w:p>
                        <w:pPr>
                          <w:pStyle w:val="TableParagraph"/>
                          <w:spacing w:before="190"/>
                          <w:ind w:right="96"/>
                          <w:rPr>
                            <w:sz w:val="21"/>
                          </w:rPr>
                        </w:pPr>
                        <w:r>
                          <w:rPr>
                            <w:sz w:val="21"/>
                          </w:rPr>
                          <w:t>65.84%</w:t>
                        </w:r>
                      </w:p>
                    </w:tc>
                    <w:tc>
                      <w:tcPr>
                        <w:tcW w:w="1275" w:type="dxa"/>
                      </w:tcPr>
                      <w:p>
                        <w:pPr>
                          <w:pStyle w:val="TableParagraph"/>
                          <w:spacing w:before="190"/>
                          <w:ind w:right="96"/>
                          <w:rPr>
                            <w:sz w:val="21"/>
                          </w:rPr>
                        </w:pPr>
                        <w:r>
                          <w:rPr>
                            <w:sz w:val="21"/>
                          </w:rPr>
                          <w:t>1.46%</w:t>
                        </w:r>
                      </w:p>
                    </w:tc>
                    <w:tc>
                      <w:tcPr>
                        <w:tcW w:w="1275" w:type="dxa"/>
                      </w:tcPr>
                      <w:p>
                        <w:pPr>
                          <w:pStyle w:val="TableParagraph"/>
                          <w:spacing w:before="190"/>
                          <w:ind w:right="91"/>
                          <w:rPr>
                            <w:sz w:val="21"/>
                          </w:rPr>
                        </w:pPr>
                        <w:r>
                          <w:rPr>
                            <w:sz w:val="21"/>
                          </w:rPr>
                          <w:t>30.66%</w:t>
                        </w:r>
                      </w:p>
                    </w:tc>
                    <w:tc>
                      <w:tcPr>
                        <w:tcW w:w="1277" w:type="dxa"/>
                      </w:tcPr>
                      <w:p>
                        <w:pPr>
                          <w:pStyle w:val="TableParagraph"/>
                          <w:spacing w:before="190"/>
                          <w:ind w:right="94"/>
                          <w:rPr>
                            <w:sz w:val="21"/>
                          </w:rPr>
                        </w:pPr>
                        <w:r>
                          <w:rPr>
                            <w:sz w:val="21"/>
                          </w:rPr>
                          <w:t>1.14%</w:t>
                        </w:r>
                      </w:p>
                    </w:tc>
                    <w:tc>
                      <w:tcPr>
                        <w:tcW w:w="992" w:type="dxa"/>
                      </w:tcPr>
                      <w:p>
                        <w:pPr>
                          <w:pStyle w:val="TableParagraph"/>
                          <w:spacing w:before="190"/>
                          <w:ind w:right="94"/>
                          <w:rPr>
                            <w:sz w:val="21"/>
                          </w:rPr>
                        </w:pPr>
                        <w:r>
                          <w:rPr>
                            <w:sz w:val="21"/>
                          </w:rPr>
                          <w:t>35.18%</w:t>
                        </w:r>
                      </w:p>
                    </w:tc>
                    <w:tc>
                      <w:tcPr>
                        <w:tcW w:w="886" w:type="dxa"/>
                      </w:tcPr>
                      <w:p>
                        <w:pPr>
                          <w:pStyle w:val="TableParagraph"/>
                          <w:spacing w:before="190"/>
                          <w:ind w:right="97"/>
                          <w:rPr>
                            <w:sz w:val="21"/>
                          </w:rPr>
                        </w:pPr>
                        <w:r>
                          <w:rPr>
                            <w:sz w:val="21"/>
                          </w:rPr>
                          <w:t>0.32%</w:t>
                        </w:r>
                      </w:p>
                    </w:tc>
                  </w:tr>
                  <w:tr>
                    <w:trPr>
                      <w:trHeight w:val="626" w:hRule="atLeast"/>
                    </w:trPr>
                    <w:tc>
                      <w:tcPr>
                        <w:tcW w:w="1987" w:type="dxa"/>
                      </w:tcPr>
                      <w:p>
                        <w:pPr>
                          <w:pStyle w:val="TableParagraph"/>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90"/>
                          <w:ind w:right="96"/>
                          <w:rPr>
                            <w:sz w:val="21"/>
                          </w:rPr>
                        </w:pPr>
                        <w:r>
                          <w:rPr>
                            <w:sz w:val="21"/>
                          </w:rPr>
                          <w:t>48.06%</w:t>
                        </w:r>
                      </w:p>
                    </w:tc>
                    <w:tc>
                      <w:tcPr>
                        <w:tcW w:w="1275" w:type="dxa"/>
                      </w:tcPr>
                      <w:p>
                        <w:pPr>
                          <w:pStyle w:val="TableParagraph"/>
                          <w:spacing w:before="190"/>
                          <w:ind w:right="96"/>
                          <w:rPr>
                            <w:sz w:val="21"/>
                          </w:rPr>
                        </w:pPr>
                        <w:r>
                          <w:rPr>
                            <w:sz w:val="21"/>
                          </w:rPr>
                          <w:t>1.88%</w:t>
                        </w:r>
                      </w:p>
                    </w:tc>
                    <w:tc>
                      <w:tcPr>
                        <w:tcW w:w="1275" w:type="dxa"/>
                      </w:tcPr>
                      <w:p>
                        <w:pPr>
                          <w:pStyle w:val="TableParagraph"/>
                          <w:spacing w:before="190"/>
                          <w:ind w:right="91"/>
                          <w:rPr>
                            <w:sz w:val="21"/>
                          </w:rPr>
                        </w:pPr>
                        <w:r>
                          <w:rPr>
                            <w:sz w:val="21"/>
                          </w:rPr>
                          <w:t>3.98%</w:t>
                        </w:r>
                      </w:p>
                    </w:tc>
                    <w:tc>
                      <w:tcPr>
                        <w:tcW w:w="1277" w:type="dxa"/>
                      </w:tcPr>
                      <w:p>
                        <w:pPr>
                          <w:pStyle w:val="TableParagraph"/>
                          <w:spacing w:before="190"/>
                          <w:ind w:right="94"/>
                          <w:rPr>
                            <w:sz w:val="21"/>
                          </w:rPr>
                        </w:pPr>
                        <w:r>
                          <w:rPr>
                            <w:sz w:val="21"/>
                          </w:rPr>
                          <w:t>1.40%</w:t>
                        </w:r>
                      </w:p>
                    </w:tc>
                    <w:tc>
                      <w:tcPr>
                        <w:tcW w:w="992" w:type="dxa"/>
                      </w:tcPr>
                      <w:p>
                        <w:pPr>
                          <w:pStyle w:val="TableParagraph"/>
                          <w:spacing w:before="190"/>
                          <w:ind w:right="94"/>
                          <w:rPr>
                            <w:sz w:val="21"/>
                          </w:rPr>
                        </w:pPr>
                        <w:r>
                          <w:rPr>
                            <w:sz w:val="21"/>
                          </w:rPr>
                          <w:t>44.08%</w:t>
                        </w:r>
                      </w:p>
                    </w:tc>
                    <w:tc>
                      <w:tcPr>
                        <w:tcW w:w="886" w:type="dxa"/>
                      </w:tcPr>
                      <w:p>
                        <w:pPr>
                          <w:pStyle w:val="TableParagraph"/>
                          <w:spacing w:before="190"/>
                          <w:ind w:right="97"/>
                          <w:rPr>
                            <w:sz w:val="21"/>
                          </w:rPr>
                        </w:pPr>
                        <w:r>
                          <w:rPr>
                            <w:sz w:val="21"/>
                          </w:rPr>
                          <w:t>0.48%</w:t>
                        </w:r>
                      </w:p>
                    </w:tc>
                  </w:tr>
                </w:tbl>
                <w:p>
                  <w:pPr>
                    <w:pStyle w:val="BodyText"/>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p>
    <w:p>
      <w:pPr>
        <w:pStyle w:val="Heading1"/>
        <w:spacing w:before="1"/>
      </w:pPr>
      <w:bookmarkStart w:name="_bookmark10" w:id="11"/>
      <w:bookmarkEnd w:id="11"/>
      <w:r>
        <w:rPr>
          <w:b w:val="0"/>
        </w:rPr>
      </w:r>
      <w:r>
        <w:rPr/>
        <w:t>十一、基金的财产</w:t>
      </w:r>
    </w:p>
    <w:p>
      <w:pPr>
        <w:pStyle w:val="BodyText"/>
        <w:rPr>
          <w:b/>
          <w:sz w:val="20"/>
        </w:rPr>
      </w:pPr>
    </w:p>
    <w:p>
      <w:pPr>
        <w:pStyle w:val="BodyText"/>
        <w:spacing w:before="9"/>
        <w:rPr>
          <w:b/>
          <w:sz w:val="19"/>
        </w:rPr>
      </w:pPr>
    </w:p>
    <w:p>
      <w:pPr>
        <w:pStyle w:val="BodyText"/>
        <w:ind w:left="960"/>
      </w:pPr>
      <w:r>
        <w:rPr/>
        <w:t>（一）基金资产总值</w:t>
      </w:r>
    </w:p>
    <w:p>
      <w:pPr>
        <w:spacing w:after="0"/>
        <w:sectPr>
          <w:pgSz w:w="11910" w:h="16840"/>
          <w:pgMar w:header="877" w:footer="995" w:top="1420" w:bottom="1180" w:left="1260" w:right="1480"/>
        </w:sectPr>
      </w:pPr>
    </w:p>
    <w:p>
      <w:pPr>
        <w:pStyle w:val="BodyText"/>
        <w:spacing w:line="417" w:lineRule="auto" w:before="110"/>
        <w:ind w:left="540" w:right="311" w:firstLine="419"/>
      </w:pPr>
      <w:r>
        <w:rPr>
          <w:spacing w:val="-8"/>
        </w:rPr>
        <w:t>基金资产总值是指购买的各类证券、期货及票据价值、银行存款本息和基金应收的申购</w:t>
      </w:r>
      <w:r>
        <w:rPr>
          <w:spacing w:val="-5"/>
        </w:rPr>
        <w:t>基金款以及其他投资所形成的价值总和。</w:t>
      </w:r>
    </w:p>
    <w:p>
      <w:pPr>
        <w:pStyle w:val="BodyText"/>
        <w:spacing w:line="269" w:lineRule="exact"/>
        <w:ind w:left="960"/>
      </w:pPr>
      <w:r>
        <w:rPr/>
        <w:t>（二）基金资产净值</w:t>
      </w:r>
    </w:p>
    <w:p>
      <w:pPr>
        <w:pStyle w:val="BodyText"/>
        <w:spacing w:before="6"/>
        <w:rPr>
          <w:sz w:val="15"/>
        </w:rPr>
      </w:pPr>
    </w:p>
    <w:p>
      <w:pPr>
        <w:pStyle w:val="BodyText"/>
        <w:ind w:left="960"/>
      </w:pPr>
      <w:r>
        <w:rPr/>
        <w:t>基金资产净值是指基金资产总值减去基金负债后的价值。</w:t>
      </w:r>
    </w:p>
    <w:p>
      <w:pPr>
        <w:pStyle w:val="BodyText"/>
        <w:spacing w:before="7"/>
        <w:rPr>
          <w:sz w:val="15"/>
        </w:rPr>
      </w:pPr>
    </w:p>
    <w:p>
      <w:pPr>
        <w:pStyle w:val="BodyText"/>
        <w:ind w:left="960"/>
      </w:pPr>
      <w:r>
        <w:rPr/>
        <w:t>（三）基金财产的账户</w:t>
      </w:r>
    </w:p>
    <w:p>
      <w:pPr>
        <w:pStyle w:val="BodyText"/>
        <w:spacing w:before="7"/>
        <w:rPr>
          <w:sz w:val="15"/>
        </w:rPr>
      </w:pPr>
    </w:p>
    <w:p>
      <w:pPr>
        <w:pStyle w:val="BodyText"/>
        <w:spacing w:line="417" w:lineRule="auto"/>
        <w:ind w:left="540" w:right="3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ind w:left="960"/>
      </w:pPr>
      <w:r>
        <w:rPr/>
        <w:t>（四）基金财产的保管和处分</w:t>
      </w:r>
    </w:p>
    <w:p>
      <w:pPr>
        <w:pStyle w:val="BodyText"/>
        <w:spacing w:before="7"/>
        <w:rPr>
          <w:sz w:val="15"/>
        </w:rPr>
      </w:pPr>
    </w:p>
    <w:p>
      <w:pPr>
        <w:pStyle w:val="BodyText"/>
        <w:spacing w:line="417" w:lineRule="auto"/>
        <w:ind w:left="540" w:right="3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40" w:right="3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BodyText"/>
        <w:spacing w:before="6"/>
        <w:rPr>
          <w:sz w:val="26"/>
        </w:rPr>
      </w:pPr>
    </w:p>
    <w:p>
      <w:pPr>
        <w:pStyle w:val="Heading1"/>
        <w:spacing w:before="1"/>
        <w:ind w:left="222"/>
      </w:pPr>
      <w:bookmarkStart w:name="_bookmark11" w:id="12"/>
      <w:bookmarkEnd w:id="12"/>
      <w:r>
        <w:rPr>
          <w:b w:val="0"/>
        </w:rPr>
      </w:r>
      <w:r>
        <w:rPr/>
        <w:t>十二、基金资产的估值</w:t>
      </w:r>
    </w:p>
    <w:p>
      <w:pPr>
        <w:pStyle w:val="BodyText"/>
        <w:rPr>
          <w:b/>
          <w:sz w:val="20"/>
        </w:rPr>
      </w:pPr>
    </w:p>
    <w:p>
      <w:pPr>
        <w:pStyle w:val="BodyText"/>
        <w:spacing w:before="2"/>
        <w:rPr>
          <w:b/>
        </w:rPr>
      </w:pPr>
    </w:p>
    <w:p>
      <w:pPr>
        <w:pStyle w:val="BodyText"/>
        <w:ind w:left="960"/>
      </w:pPr>
      <w:r>
        <w:rPr/>
        <w:t>（一）估值日</w:t>
      </w:r>
    </w:p>
    <w:p>
      <w:pPr>
        <w:pStyle w:val="BodyText"/>
        <w:spacing w:before="7"/>
        <w:rPr>
          <w:sz w:val="15"/>
        </w:rPr>
      </w:pPr>
    </w:p>
    <w:p>
      <w:pPr>
        <w:pStyle w:val="BodyText"/>
        <w:spacing w:line="417" w:lineRule="auto"/>
        <w:ind w:left="540" w:right="311" w:firstLine="419"/>
      </w:pPr>
      <w:r>
        <w:rPr>
          <w:spacing w:val="-9"/>
        </w:rPr>
        <w:t>本基金的估值日为本基金相关的证券、期货交易场所的交易日以及国家法律法规规定需</w:t>
      </w:r>
      <w:r>
        <w:rPr>
          <w:spacing w:val="-5"/>
        </w:rPr>
        <w:t>要对外披露基金净值的非交易日。</w:t>
      </w:r>
    </w:p>
    <w:p>
      <w:pPr>
        <w:pStyle w:val="BodyText"/>
        <w:ind w:left="960"/>
      </w:pPr>
      <w:r>
        <w:rPr/>
        <w:t>（二）估值对象</w:t>
      </w:r>
    </w:p>
    <w:p>
      <w:pPr>
        <w:pStyle w:val="BodyText"/>
        <w:spacing w:before="7"/>
        <w:rPr>
          <w:sz w:val="15"/>
        </w:rPr>
      </w:pPr>
    </w:p>
    <w:p>
      <w:pPr>
        <w:pStyle w:val="BodyText"/>
        <w:spacing w:line="417" w:lineRule="auto"/>
        <w:ind w:left="540" w:right="311" w:firstLine="419"/>
      </w:pPr>
      <w:r>
        <w:rPr>
          <w:spacing w:val="-20"/>
        </w:rPr>
        <w:t>基金所拥有的股票、权证、债券、货币市场工具、资产支持证券、股指期货、国债期货、</w:t>
      </w:r>
      <w:r>
        <w:rPr>
          <w:spacing w:val="-8"/>
        </w:rPr>
        <w:t>股票期权和银行存款本息、应收款项、其它投资等资产及负债。</w:t>
      </w:r>
    </w:p>
    <w:p>
      <w:pPr>
        <w:pStyle w:val="BodyText"/>
        <w:spacing w:line="269" w:lineRule="exact"/>
        <w:ind w:left="960"/>
      </w:pPr>
      <w:r>
        <w:rPr/>
        <w:t>（三）估值方法</w:t>
      </w:r>
    </w:p>
    <w:p>
      <w:pPr>
        <w:pStyle w:val="BodyText"/>
        <w:spacing w:before="6"/>
        <w:rPr>
          <w:sz w:val="15"/>
        </w:rPr>
      </w:pPr>
    </w:p>
    <w:p>
      <w:pPr>
        <w:pStyle w:val="BodyText"/>
        <w:ind w:left="960"/>
      </w:pPr>
      <w:r>
        <w:rPr>
          <w:rFonts w:ascii="Times New Roman" w:eastAsia="Times New Roman"/>
        </w:rPr>
        <w:t>1</w:t>
      </w:r>
      <w:r>
        <w:rPr/>
        <w:t>、证券交易所上市的有价证券的估值</w:t>
      </w:r>
    </w:p>
    <w:p>
      <w:pPr>
        <w:pStyle w:val="BodyText"/>
        <w:spacing w:before="7"/>
        <w:rPr>
          <w:sz w:val="15"/>
        </w:rPr>
      </w:pPr>
    </w:p>
    <w:p>
      <w:pPr>
        <w:pStyle w:val="ListParagraph"/>
        <w:numPr>
          <w:ilvl w:val="3"/>
          <w:numId w:val="23"/>
        </w:numPr>
        <w:tabs>
          <w:tab w:pos="1490" w:val="left" w:leader="none"/>
        </w:tabs>
        <w:spacing w:line="417" w:lineRule="auto" w:before="0" w:after="0"/>
        <w:ind w:left="540" w:right="311" w:firstLine="419"/>
        <w:jc w:val="left"/>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z w:val="21"/>
        </w:rPr>
        <w:t>行</w:t>
      </w:r>
    </w:p>
    <w:p>
      <w:pPr>
        <w:spacing w:after="0" w:line="417" w:lineRule="auto"/>
        <w:jc w:val="left"/>
        <w:rPr>
          <w:sz w:val="21"/>
        </w:rPr>
        <w:sectPr>
          <w:pgSz w:w="11910" w:h="16840"/>
          <w:pgMar w:header="877" w:footer="995" w:top="1420" w:bottom="1180" w:left="1260" w:right="1480"/>
        </w:sectPr>
      </w:pPr>
    </w:p>
    <w:p>
      <w:pPr>
        <w:pStyle w:val="BodyText"/>
        <w:spacing w:line="417" w:lineRule="auto" w:before="110"/>
        <w:ind w:left="540" w:right="311"/>
        <w:jc w:val="both"/>
      </w:pPr>
      <w:r>
        <w:rPr>
          <w:spacing w:val="-6"/>
        </w:rPr>
        <w:t>机构未发生影响证券价格的重大事件的，以最近交易日的市价</w:t>
      </w:r>
      <w:r>
        <w:rPr/>
        <w:t>（</w:t>
      </w:r>
      <w:r>
        <w:rPr>
          <w:spacing w:val="-3"/>
        </w:rPr>
        <w:t>收盘价</w:t>
      </w:r>
      <w:r>
        <w:rPr>
          <w:spacing w:val="-25"/>
        </w:rPr>
        <w:t>）</w:t>
      </w:r>
      <w:r>
        <w:rPr>
          <w:spacing w:val="-7"/>
        </w:rPr>
        <w:t>估值；如最近交易</w:t>
      </w:r>
      <w:r>
        <w:rPr>
          <w:spacing w:val="-8"/>
        </w:rPr>
        <w:t>日后经济环境发生了重大变化或证券发行机构发生影响证券价格的重大事件的，可参考类似</w:t>
      </w:r>
      <w:r>
        <w:rPr>
          <w:spacing w:val="-5"/>
        </w:rPr>
        <w:t>投资品种的现行市价及重大变化因素，调整最近交易市价，确定公允价格。</w:t>
      </w:r>
    </w:p>
    <w:p>
      <w:pPr>
        <w:pStyle w:val="ListParagraph"/>
        <w:numPr>
          <w:ilvl w:val="3"/>
          <w:numId w:val="23"/>
        </w:numPr>
        <w:tabs>
          <w:tab w:pos="1490" w:val="left" w:leader="none"/>
        </w:tabs>
        <w:spacing w:line="417" w:lineRule="auto" w:before="0" w:after="0"/>
        <w:ind w:left="540" w:right="313" w:firstLine="419"/>
        <w:jc w:val="left"/>
        <w:rPr>
          <w:sz w:val="21"/>
        </w:rPr>
      </w:pPr>
      <w:r>
        <w:rPr>
          <w:spacing w:val="-5"/>
          <w:sz w:val="21"/>
        </w:rPr>
        <w:t>在交易所市场上市交易或挂牌转让的固定收益品种</w:t>
      </w:r>
      <w:r>
        <w:rPr>
          <w:sz w:val="21"/>
        </w:rPr>
        <w:t>（</w:t>
      </w:r>
      <w:r>
        <w:rPr>
          <w:spacing w:val="-3"/>
          <w:sz w:val="21"/>
        </w:rPr>
        <w:t>另有规定的除外</w:t>
      </w:r>
      <w:r>
        <w:rPr>
          <w:spacing w:val="-71"/>
          <w:sz w:val="21"/>
        </w:rPr>
        <w:t>）</w:t>
      </w:r>
      <w:r>
        <w:rPr>
          <w:spacing w:val="-19"/>
          <w:sz w:val="21"/>
        </w:rPr>
        <w:t>，选取第 </w:t>
      </w:r>
      <w:r>
        <w:rPr>
          <w:spacing w:val="-3"/>
          <w:sz w:val="21"/>
        </w:rPr>
        <w:t>三方估值机构提供的相应品种当日的估值净价估值。</w:t>
      </w:r>
    </w:p>
    <w:p>
      <w:pPr>
        <w:pStyle w:val="ListParagraph"/>
        <w:numPr>
          <w:ilvl w:val="3"/>
          <w:numId w:val="23"/>
        </w:numPr>
        <w:tabs>
          <w:tab w:pos="1490" w:val="left" w:leader="none"/>
        </w:tabs>
        <w:spacing w:line="269" w:lineRule="exact" w:before="0" w:after="0"/>
        <w:ind w:left="1489" w:right="0" w:hanging="530"/>
        <w:jc w:val="left"/>
        <w:rPr>
          <w:sz w:val="21"/>
        </w:rPr>
      </w:pPr>
      <w:r>
        <w:rPr>
          <w:spacing w:val="-3"/>
          <w:sz w:val="21"/>
        </w:rPr>
        <w:t>对在交易所市场上市交易的可转换债券，选取每日收盘价作为估值全价。</w:t>
      </w:r>
    </w:p>
    <w:p>
      <w:pPr>
        <w:pStyle w:val="BodyText"/>
        <w:spacing w:before="6"/>
        <w:rPr>
          <w:sz w:val="15"/>
        </w:rPr>
      </w:pPr>
    </w:p>
    <w:p>
      <w:pPr>
        <w:pStyle w:val="ListParagraph"/>
        <w:numPr>
          <w:ilvl w:val="3"/>
          <w:numId w:val="23"/>
        </w:numPr>
        <w:tabs>
          <w:tab w:pos="1490" w:val="left" w:leader="none"/>
        </w:tabs>
        <w:spacing w:line="417" w:lineRule="auto" w:before="0" w:after="0"/>
        <w:ind w:left="540" w:right="314" w:firstLine="419"/>
        <w:jc w:val="left"/>
        <w:rPr>
          <w:sz w:val="21"/>
        </w:rPr>
      </w:pPr>
      <w:r>
        <w:rPr>
          <w:spacing w:val="-3"/>
          <w:sz w:val="21"/>
        </w:rPr>
        <w:t>对在交易所市场挂牌转让的资产支持证券和私募债券，估值日不存在活跃市场时采用估值技术确定其公允价值进行估值。在成本能够近似体现公允价值时按成本估值。</w:t>
      </w:r>
    </w:p>
    <w:p>
      <w:pPr>
        <w:pStyle w:val="BodyText"/>
        <w:ind w:left="960"/>
      </w:pPr>
      <w:r>
        <w:rPr>
          <w:rFonts w:ascii="Times New Roman" w:eastAsia="Times New Roman"/>
        </w:rPr>
        <w:t>2</w:t>
      </w:r>
      <w:r>
        <w:rPr/>
        <w:t>、处于未上市期间的有价证券应区分如下情况处理：</w:t>
      </w:r>
    </w:p>
    <w:p>
      <w:pPr>
        <w:pStyle w:val="BodyText"/>
        <w:spacing w:before="7"/>
        <w:rPr>
          <w:sz w:val="15"/>
        </w:rPr>
      </w:pPr>
    </w:p>
    <w:p>
      <w:pPr>
        <w:pStyle w:val="ListParagraph"/>
        <w:numPr>
          <w:ilvl w:val="0"/>
          <w:numId w:val="24"/>
        </w:numPr>
        <w:tabs>
          <w:tab w:pos="1490" w:val="left" w:leader="none"/>
        </w:tabs>
        <w:spacing w:line="417" w:lineRule="auto" w:before="0" w:after="0"/>
        <w:ind w:left="540" w:right="31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4"/>
        </w:numPr>
        <w:tabs>
          <w:tab w:pos="1490" w:val="left" w:leader="none"/>
        </w:tabs>
        <w:spacing w:line="417" w:lineRule="auto" w:before="0" w:after="0"/>
        <w:ind w:left="540" w:right="31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4"/>
        </w:numPr>
        <w:tabs>
          <w:tab w:pos="1490" w:val="left" w:leader="none"/>
        </w:tabs>
        <w:spacing w:line="417" w:lineRule="auto" w:before="0" w:after="0"/>
        <w:ind w:left="540" w:right="31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以活跃市场上未经调整的报价作为计量日的公允价值进行估值；对于活跃市场报价未能代表</w:t>
      </w:r>
      <w:r>
        <w:rPr>
          <w:spacing w:val="-11"/>
          <w:sz w:val="21"/>
        </w:rPr>
        <w:t>计量日公允价值的情况下，应对市场报价进行调整，确认计量日的公允价值；对于不存在市</w:t>
      </w:r>
      <w:r>
        <w:rPr>
          <w:spacing w:val="-6"/>
          <w:sz w:val="21"/>
        </w:rPr>
        <w:t>场活动或市场活动很少的情况下，则采用估值技术确定公允价值。</w:t>
      </w:r>
    </w:p>
    <w:p>
      <w:pPr>
        <w:pStyle w:val="ListParagraph"/>
        <w:numPr>
          <w:ilvl w:val="0"/>
          <w:numId w:val="24"/>
        </w:numPr>
        <w:tabs>
          <w:tab w:pos="1490" w:val="left" w:leader="none"/>
        </w:tabs>
        <w:spacing w:line="417" w:lineRule="auto" w:before="0" w:after="0"/>
        <w:ind w:left="540" w:right="31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540" w:right="311" w:firstLine="419"/>
        <w:jc w:val="both"/>
      </w:pPr>
      <w:r>
        <w:rPr>
          <w:rFonts w:ascii="Times New Roman" w:eastAsia="Times New Roman"/>
        </w:rPr>
        <w:t>3</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当日的估值净价估值。对银行间市场上含权的固定收益品种，按照第三方估值机构提供的相应品种当日的唯一估值净价或推荐估值净价估值。对于含投资人回售权的固定收益品种，回</w:t>
      </w:r>
      <w:r>
        <w:rPr>
          <w:spacing w:val="-11"/>
        </w:rPr>
        <w:t>售登记截止日</w:t>
      </w:r>
      <w:r>
        <w:rPr/>
        <w:t>（</w:t>
      </w:r>
      <w:r>
        <w:rPr>
          <w:spacing w:val="-3"/>
        </w:rPr>
        <w:t>含当日</w:t>
      </w:r>
      <w:r>
        <w:rPr>
          <w:spacing w:val="-34"/>
        </w:rPr>
        <w:t>）</w:t>
      </w:r>
      <w:r>
        <w:rPr>
          <w:spacing w:val="-5"/>
        </w:rPr>
        <w:t>后未行使回售权的按照长待偿期所对应的价格进行估值。对银行间</w:t>
      </w:r>
      <w:r>
        <w:rPr>
          <w:spacing w:val="-11"/>
        </w:rPr>
        <w:t>市场未上市，且第三方估值机构未提供估值价格的债券，在发行利率与二级市场利率不存在</w:t>
      </w:r>
      <w:r>
        <w:rPr>
          <w:spacing w:val="-6"/>
        </w:rPr>
        <w:t>明显差异，未上市期间市场利率没有发生大的变动的情况下，按成本估值。</w:t>
      </w:r>
    </w:p>
    <w:p>
      <w:pPr>
        <w:pStyle w:val="BodyText"/>
        <w:spacing w:line="269" w:lineRule="exact"/>
        <w:ind w:left="960"/>
      </w:pPr>
      <w:r>
        <w:rPr>
          <w:rFonts w:ascii="Times New Roman" w:eastAsia="Times New Roman"/>
        </w:rPr>
        <w:t>4</w:t>
      </w:r>
      <w:r>
        <w:rPr/>
        <w:t>、存款的估值方法</w:t>
      </w:r>
    </w:p>
    <w:p>
      <w:pPr>
        <w:pStyle w:val="BodyText"/>
        <w:spacing w:before="197"/>
        <w:ind w:left="960"/>
      </w:pPr>
      <w:r>
        <w:rPr/>
        <w:t>持有的银行定期存款或通知存款以本金列示，按协议或合同利率逐日确认利息收入。</w:t>
      </w:r>
    </w:p>
    <w:p>
      <w:pPr>
        <w:pStyle w:val="BodyText"/>
        <w:spacing w:before="7"/>
        <w:rPr>
          <w:sz w:val="15"/>
        </w:rPr>
      </w:pPr>
    </w:p>
    <w:p>
      <w:pPr>
        <w:pStyle w:val="BodyText"/>
        <w:spacing w:before="1"/>
        <w:ind w:left="960"/>
      </w:pPr>
      <w:r>
        <w:rPr>
          <w:rFonts w:ascii="Times New Roman" w:eastAsia="Times New Roman"/>
        </w:rPr>
        <w:t>5</w:t>
      </w:r>
      <w:r>
        <w:rPr/>
        <w:t>、投资证券衍生品的估值方法</w:t>
      </w:r>
    </w:p>
    <w:p>
      <w:pPr>
        <w:pStyle w:val="BodyText"/>
        <w:spacing w:before="6"/>
        <w:rPr>
          <w:sz w:val="15"/>
        </w:rPr>
      </w:pPr>
    </w:p>
    <w:p>
      <w:pPr>
        <w:pStyle w:val="ListParagraph"/>
        <w:numPr>
          <w:ilvl w:val="0"/>
          <w:numId w:val="25"/>
        </w:numPr>
        <w:tabs>
          <w:tab w:pos="1490" w:val="left" w:leader="none"/>
        </w:tabs>
        <w:spacing w:line="240" w:lineRule="auto" w:before="0" w:after="0"/>
        <w:ind w:left="1489" w:right="0" w:hanging="530"/>
        <w:jc w:val="left"/>
        <w:rPr>
          <w:sz w:val="21"/>
        </w:rPr>
      </w:pPr>
      <w:r>
        <w:rPr>
          <w:spacing w:val="-3"/>
          <w:sz w:val="21"/>
        </w:rPr>
        <w:t>从持有确认日起到卖出日或行权日止，上市交易的权证按估值日在证券交易所挂</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208"/>
      </w:pPr>
      <w:r>
        <w:rPr>
          <w:spacing w:val="-3"/>
        </w:rPr>
        <w:t>牌的该权证的收盘价估值；估值日没有交易的，且最近交易日后经济环境未发生重大变化， </w:t>
      </w:r>
      <w:r>
        <w:rPr>
          <w:spacing w:val="-9"/>
        </w:rPr>
        <w:t>按最近交易日的收盘价估值；如最近交易日后经济环境发生了重大变化的，将参考监管机构</w:t>
      </w:r>
      <w:r>
        <w:rPr>
          <w:spacing w:val="-5"/>
        </w:rPr>
        <w:t>或行业协会有关规定，或者类似投资品种的现行市价及重大变化因素，调整最近交易市价， </w:t>
      </w:r>
      <w:r>
        <w:rPr>
          <w:spacing w:val="-4"/>
        </w:rPr>
        <w:t>确定公允价值。</w:t>
      </w:r>
    </w:p>
    <w:p>
      <w:pPr>
        <w:pStyle w:val="ListParagraph"/>
        <w:numPr>
          <w:ilvl w:val="0"/>
          <w:numId w:val="25"/>
        </w:numPr>
        <w:tabs>
          <w:tab w:pos="1490" w:val="left" w:leader="none"/>
        </w:tabs>
        <w:spacing w:line="417" w:lineRule="auto" w:before="0" w:after="0"/>
        <w:ind w:left="540" w:right="313" w:firstLine="419"/>
        <w:jc w:val="left"/>
        <w:rPr>
          <w:sz w:val="21"/>
        </w:rPr>
      </w:pPr>
      <w:r>
        <w:rPr>
          <w:spacing w:val="-3"/>
          <w:sz w:val="21"/>
        </w:rPr>
        <w:t>首次发行未上市的权证，采用估值技术确定公允价值，在估值技术难以可靠计量公允价值的情况下，按成本估值。</w:t>
      </w:r>
    </w:p>
    <w:p>
      <w:pPr>
        <w:pStyle w:val="ListParagraph"/>
        <w:numPr>
          <w:ilvl w:val="0"/>
          <w:numId w:val="25"/>
        </w:numPr>
        <w:tabs>
          <w:tab w:pos="1490" w:val="left" w:leader="none"/>
        </w:tabs>
        <w:spacing w:line="417" w:lineRule="auto" w:before="0" w:after="0"/>
        <w:ind w:left="540" w:right="314" w:firstLine="419"/>
        <w:jc w:val="left"/>
        <w:rPr>
          <w:sz w:val="21"/>
        </w:rPr>
      </w:pPr>
      <w:r>
        <w:rPr>
          <w:spacing w:val="-3"/>
          <w:sz w:val="21"/>
        </w:rPr>
        <w:t>因持有股票而享有的配股权，以及停止交易但未行权的权证，采用估值技术确定公允价值进行估值。在估值技术难以可靠计量公允价值的情况下，按成本进行估值。</w:t>
      </w:r>
    </w:p>
    <w:p>
      <w:pPr>
        <w:pStyle w:val="ListParagraph"/>
        <w:numPr>
          <w:ilvl w:val="0"/>
          <w:numId w:val="25"/>
        </w:numPr>
        <w:tabs>
          <w:tab w:pos="1490" w:val="left" w:leader="none"/>
        </w:tabs>
        <w:spacing w:line="417" w:lineRule="auto" w:before="0" w:after="0"/>
        <w:ind w:left="540" w:right="314" w:firstLine="419"/>
        <w:jc w:val="left"/>
        <w:rPr>
          <w:sz w:val="21"/>
        </w:rPr>
      </w:pPr>
      <w:r>
        <w:rPr>
          <w:spacing w:val="-3"/>
          <w:sz w:val="21"/>
        </w:rPr>
        <w:t>股指期货、国债期货合约，一般以估值当日结算价进行估值，估值当日无结算价的，且最近交易日后经济环境未发生重大变化的，采用最近交易日结算价估值。</w:t>
      </w:r>
    </w:p>
    <w:p>
      <w:pPr>
        <w:pStyle w:val="ListParagraph"/>
        <w:numPr>
          <w:ilvl w:val="0"/>
          <w:numId w:val="25"/>
        </w:numPr>
        <w:tabs>
          <w:tab w:pos="1490" w:val="left" w:leader="none"/>
        </w:tabs>
        <w:spacing w:line="269" w:lineRule="exact" w:before="0" w:after="0"/>
        <w:ind w:left="1489" w:right="0" w:hanging="530"/>
        <w:jc w:val="left"/>
        <w:rPr>
          <w:sz w:val="21"/>
        </w:rPr>
      </w:pPr>
      <w:r>
        <w:rPr>
          <w:spacing w:val="-3"/>
          <w:sz w:val="21"/>
        </w:rPr>
        <w:t>本基金投资股票期权，根据相关法律法规以及监管部门的规定估值。</w:t>
      </w:r>
    </w:p>
    <w:p>
      <w:pPr>
        <w:pStyle w:val="BodyText"/>
        <w:spacing w:before="6"/>
        <w:rPr>
          <w:sz w:val="15"/>
        </w:rPr>
      </w:pPr>
    </w:p>
    <w:p>
      <w:pPr>
        <w:pStyle w:val="BodyText"/>
        <w:spacing w:line="417" w:lineRule="auto"/>
        <w:ind w:left="540" w:right="313" w:firstLine="419"/>
      </w:pPr>
      <w:r>
        <w:rPr>
          <w:rFonts w:ascii="Times New Roman" w:eastAsia="Times New Roman"/>
        </w:rPr>
        <w:t>6</w:t>
      </w:r>
      <w:r>
        <w:rPr/>
        <w:t>、中小企业私募债券，采用估值技术确定公允价值，在估值技术难以可靠计量公允价值的情况下，按成本估值。</w:t>
      </w:r>
    </w:p>
    <w:p>
      <w:pPr>
        <w:pStyle w:val="BodyText"/>
        <w:spacing w:line="269" w:lineRule="exact"/>
        <w:ind w:left="960"/>
      </w:pPr>
      <w:r>
        <w:rPr>
          <w:rFonts w:ascii="Times New Roman" w:eastAsia="Times New Roman"/>
        </w:rPr>
        <w:t>7</w:t>
      </w:r>
      <w:r>
        <w:rPr/>
        <w:t>、本基金可以采用第三方估值机构按照上述公允价值确定原则提供的估值价格数据。</w:t>
      </w:r>
    </w:p>
    <w:p>
      <w:pPr>
        <w:pStyle w:val="BodyText"/>
        <w:spacing w:before="7"/>
        <w:rPr>
          <w:sz w:val="15"/>
        </w:rPr>
      </w:pPr>
    </w:p>
    <w:p>
      <w:pPr>
        <w:pStyle w:val="BodyText"/>
        <w:ind w:left="960"/>
      </w:pPr>
      <w:r>
        <w:rPr>
          <w:rFonts w:ascii="Times New Roman" w:eastAsia="Times New Roman"/>
        </w:rPr>
        <w:t>8</w:t>
      </w:r>
      <w:r>
        <w:rPr/>
        <w:t>、本基金投资存托凭证的估值核算，依照境内上市交易的股票执行。</w:t>
      </w:r>
    </w:p>
    <w:p>
      <w:pPr>
        <w:pStyle w:val="BodyText"/>
        <w:spacing w:before="6"/>
        <w:rPr>
          <w:sz w:val="15"/>
        </w:rPr>
      </w:pPr>
    </w:p>
    <w:p>
      <w:pPr>
        <w:pStyle w:val="BodyText"/>
        <w:spacing w:line="417" w:lineRule="auto" w:before="1"/>
        <w:ind w:left="540" w:right="31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540" w:right="311" w:firstLine="419"/>
      </w:pPr>
      <w:r>
        <w:rPr>
          <w:rFonts w:ascii="Times New Roman" w:eastAsia="Times New Roman"/>
        </w:rPr>
        <w:t>10</w:t>
      </w:r>
      <w:r>
        <w:rPr>
          <w:spacing w:val="-10"/>
        </w:rPr>
        <w:t>、当发生大额申购或赎回情形时，基金管理人可以采用摆动定价机制，以确保基金估</w:t>
      </w:r>
      <w:r>
        <w:rPr>
          <w:spacing w:val="-5"/>
        </w:rPr>
        <w:t>值的公平性。</w:t>
      </w:r>
    </w:p>
    <w:p>
      <w:pPr>
        <w:pStyle w:val="BodyText"/>
        <w:spacing w:line="269" w:lineRule="exact"/>
        <w:ind w:left="960"/>
      </w:pPr>
      <w:r>
        <w:rPr>
          <w:rFonts w:ascii="Times New Roman" w:eastAsia="Times New Roman"/>
        </w:rPr>
        <w:t>11</w:t>
      </w:r>
      <w:r>
        <w:rPr/>
        <w:t>、其他资产按法律法规或监管机构有关规定进行估值。</w:t>
      </w:r>
    </w:p>
    <w:p>
      <w:pPr>
        <w:pStyle w:val="BodyText"/>
        <w:spacing w:before="6"/>
        <w:rPr>
          <w:sz w:val="15"/>
        </w:rPr>
      </w:pPr>
    </w:p>
    <w:p>
      <w:pPr>
        <w:pStyle w:val="BodyText"/>
        <w:spacing w:line="417" w:lineRule="auto"/>
        <w:ind w:left="540" w:right="31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17" w:lineRule="auto"/>
        <w:ind w:left="540" w:right="20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540" w:right="3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9" w:lineRule="exact"/>
        <w:ind w:left="960"/>
      </w:pPr>
      <w:r>
        <w:rPr/>
        <w:t>（四</w:t>
      </w:r>
      <w:r>
        <w:rPr>
          <w:spacing w:val="-3"/>
        </w:rPr>
        <w:t>）</w:t>
      </w:r>
      <w:r>
        <w:rPr>
          <w:spacing w:val="-2"/>
        </w:rPr>
        <w:t>估值程序</w:t>
      </w:r>
    </w:p>
    <w:p>
      <w:pPr>
        <w:spacing w:after="0" w:line="269" w:lineRule="exact"/>
        <w:sectPr>
          <w:pgSz w:w="11910" w:h="16840"/>
          <w:pgMar w:header="877" w:footer="995" w:top="1420" w:bottom="1180" w:left="1260" w:right="1480"/>
        </w:sectPr>
      </w:pPr>
    </w:p>
    <w:p>
      <w:pPr>
        <w:pStyle w:val="BodyText"/>
        <w:spacing w:line="417" w:lineRule="auto" w:before="110"/>
        <w:ind w:left="540" w:right="314" w:firstLine="419"/>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0.001 </w:t>
      </w:r>
      <w:r>
        <w:rPr/>
        <w:t>元，小数点后第 </w:t>
      </w:r>
      <w:r>
        <w:rPr>
          <w:rFonts w:ascii="Times New Roman" w:eastAsia="Times New Roman"/>
        </w:rPr>
        <w:t>4 </w:t>
      </w:r>
      <w:r>
        <w:rPr/>
        <w:t>位四舍五入。国家另有规定的，从其规定。</w:t>
      </w:r>
    </w:p>
    <w:p>
      <w:pPr>
        <w:pStyle w:val="BodyText"/>
        <w:spacing w:line="269" w:lineRule="exact"/>
        <w:ind w:left="960"/>
      </w:pPr>
      <w:r>
        <w:rPr/>
        <w:t>每个工作日计算基金资产净值及基金份额净值，并按规定公告。</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spacing w:line="269" w:lineRule="exact"/>
        <w:ind w:left="960"/>
      </w:pPr>
      <w:r>
        <w:rPr/>
        <w:t>（五）估值错误的处理</w:t>
      </w:r>
    </w:p>
    <w:p>
      <w:pPr>
        <w:pStyle w:val="BodyText"/>
        <w:spacing w:before="8"/>
        <w:rPr>
          <w:sz w:val="15"/>
        </w:rPr>
      </w:pPr>
    </w:p>
    <w:p>
      <w:pPr>
        <w:pStyle w:val="BodyText"/>
        <w:spacing w:line="417" w:lineRule="auto"/>
        <w:ind w:left="540" w:right="208" w:firstLine="419"/>
      </w:pPr>
      <w:r>
        <w:rPr>
          <w:spacing w:val="-3"/>
        </w:rPr>
        <w:t>基金管理人和基金托管人将采取必要、适当、合理的措施确保基金资产估值的准确性、</w:t>
      </w:r>
      <w:r>
        <w:rPr>
          <w:spacing w:val="-10"/>
        </w:rPr>
        <w:t>及时性。当基金份额净值小数点后 </w:t>
      </w:r>
      <w:r>
        <w:rPr>
          <w:rFonts w:ascii="Times New Roman" w:eastAsia="Times New Roman"/>
        </w:rPr>
        <w:t>3 </w:t>
      </w:r>
      <w:r>
        <w:rPr>
          <w:spacing w:val="-10"/>
        </w:rPr>
        <w:t>位以内</w:t>
      </w:r>
      <w:r>
        <w:rPr>
          <w:spacing w:val="-3"/>
        </w:rPr>
        <w:t>（</w:t>
      </w:r>
      <w:r>
        <w:rPr>
          <w:spacing w:val="-16"/>
        </w:rPr>
        <w:t>含第 </w:t>
      </w:r>
      <w:r>
        <w:rPr>
          <w:rFonts w:ascii="Times New Roman" w:eastAsia="Times New Roman"/>
        </w:rPr>
        <w:t>3 </w:t>
      </w:r>
      <w:r>
        <w:rPr/>
        <w:t>位</w:t>
      </w:r>
      <w:r>
        <w:rPr>
          <w:spacing w:val="-27"/>
        </w:rPr>
        <w:t>）</w:t>
      </w:r>
      <w:r>
        <w:rPr>
          <w:spacing w:val="-6"/>
        </w:rPr>
        <w:t>发生估值错误时，视为基金份额净</w:t>
      </w:r>
      <w:r>
        <w:rPr>
          <w:spacing w:val="-4"/>
        </w:rPr>
        <w:t>值错误。</w:t>
      </w:r>
    </w:p>
    <w:p>
      <w:pPr>
        <w:pStyle w:val="BodyText"/>
        <w:spacing w:line="269" w:lineRule="exact"/>
        <w:ind w:left="960"/>
      </w:pPr>
      <w:r>
        <w:rPr/>
        <w:t>基金合同的当事人应按照以下约定处理：</w:t>
      </w:r>
    </w:p>
    <w:p>
      <w:pPr>
        <w:pStyle w:val="BodyText"/>
        <w:spacing w:before="6"/>
        <w:rPr>
          <w:sz w:val="15"/>
        </w:rPr>
      </w:pPr>
    </w:p>
    <w:p>
      <w:pPr>
        <w:pStyle w:val="BodyText"/>
        <w:spacing w:before="1"/>
        <w:ind w:left="960"/>
      </w:pPr>
      <w:r>
        <w:rPr>
          <w:rFonts w:ascii="Times New Roman" w:eastAsia="Times New Roman"/>
        </w:rPr>
        <w:t>1</w:t>
      </w:r>
      <w:r>
        <w:rPr/>
        <w:t>、估值错误类型</w:t>
      </w:r>
    </w:p>
    <w:p>
      <w:pPr>
        <w:pStyle w:val="BodyText"/>
        <w:spacing w:before="6"/>
        <w:rPr>
          <w:sz w:val="15"/>
        </w:rPr>
      </w:pPr>
    </w:p>
    <w:p>
      <w:pPr>
        <w:pStyle w:val="BodyText"/>
        <w:spacing w:line="417" w:lineRule="auto"/>
        <w:ind w:left="540" w:right="205"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投资人自身的过错造成估值错误，导致其他当事人遭受损失的，过错的责任人应当对由于该估值错误遭受损失当事人</w:t>
      </w:r>
      <w:r>
        <w:rPr/>
        <w:t>（“受损方”）</w:t>
      </w:r>
      <w:r>
        <w:rPr>
          <w:spacing w:val="-1"/>
        </w:rPr>
        <w:t>的直接损失按下述</w:t>
      </w:r>
      <w:r>
        <w:rPr>
          <w:rFonts w:ascii="Times New Roman" w:hAnsi="Times New Roman" w:eastAsia="Times New Roman"/>
        </w:rPr>
        <w:t>“</w:t>
      </w:r>
      <w:r>
        <w:rPr>
          <w:spacing w:val="-1"/>
        </w:rPr>
        <w:t>估值错误处理原则</w:t>
      </w:r>
      <w:r>
        <w:rPr>
          <w:rFonts w:ascii="Times New Roman" w:hAnsi="Times New Roman" w:eastAsia="Times New Roman"/>
        </w:rPr>
        <w:t>”</w:t>
      </w:r>
      <w:r>
        <w:rPr>
          <w:spacing w:val="-3"/>
        </w:rPr>
        <w:t>给予赔偿， </w:t>
      </w:r>
      <w:r>
        <w:rPr>
          <w:spacing w:val="-2"/>
        </w:rPr>
        <w:t>承担赔偿责任。</w:t>
      </w:r>
    </w:p>
    <w:p>
      <w:pPr>
        <w:pStyle w:val="BodyText"/>
        <w:spacing w:line="417" w:lineRule="auto"/>
        <w:ind w:left="540" w:right="31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Times New Roman" w:eastAsia="Times New Roman"/>
        </w:rPr>
        <w:t>2</w:t>
      </w:r>
      <w:r>
        <w:rPr/>
        <w:t>、估值错误处理原则</w:t>
      </w:r>
    </w:p>
    <w:p>
      <w:pPr>
        <w:pStyle w:val="BodyText"/>
        <w:spacing w:before="7"/>
        <w:rPr>
          <w:sz w:val="15"/>
        </w:rPr>
      </w:pPr>
    </w:p>
    <w:p>
      <w:pPr>
        <w:pStyle w:val="ListParagraph"/>
        <w:numPr>
          <w:ilvl w:val="0"/>
          <w:numId w:val="26"/>
        </w:numPr>
        <w:tabs>
          <w:tab w:pos="1490" w:val="left" w:leader="none"/>
        </w:tabs>
        <w:spacing w:line="417" w:lineRule="auto" w:before="0" w:after="0"/>
        <w:ind w:left="540" w:right="31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6"/>
        </w:numPr>
        <w:tabs>
          <w:tab w:pos="1490" w:val="left" w:leader="none"/>
        </w:tabs>
        <w:spacing w:line="417" w:lineRule="auto" w:before="0" w:after="0"/>
        <w:ind w:left="540" w:right="31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490" w:val="left" w:leader="none"/>
        </w:tabs>
        <w:spacing w:line="417" w:lineRule="auto" w:before="0" w:after="0"/>
        <w:ind w:left="540" w:right="311"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w w:val="100"/>
          <w:sz w:val="21"/>
        </w:rPr>
        <w:t>造成其他当事人的利益损失</w:t>
      </w:r>
      <w:r>
        <w:rPr>
          <w:w w:val="100"/>
          <w:sz w:val="21"/>
        </w:rPr>
        <w:t>（</w:t>
      </w:r>
      <w:r>
        <w:rPr>
          <w:spacing w:val="-3"/>
          <w:w w:val="100"/>
          <w:sz w:val="21"/>
        </w:rPr>
        <w:t>“受损方”</w:t>
      </w:r>
      <w:r>
        <w:rPr>
          <w:spacing w:val="-106"/>
          <w:w w:val="100"/>
          <w:sz w:val="21"/>
        </w:rPr>
        <w:t>）</w:t>
      </w:r>
      <w:r>
        <w:rPr>
          <w:spacing w:val="-3"/>
          <w:w w:val="100"/>
          <w:sz w:val="21"/>
        </w:rPr>
        <w:t>，则估值错误责任方应赔偿受损方的损失，并在</w:t>
      </w:r>
      <w:r>
        <w:rPr>
          <w:spacing w:val="-6"/>
          <w:sz w:val="21"/>
        </w:rPr>
        <w:t>其支付的赔偿金额的范围内对获得不当得利的当事人享有要求交付不当得利的权利；如果获</w:t>
      </w:r>
    </w:p>
    <w:p>
      <w:pPr>
        <w:spacing w:after="0" w:line="417" w:lineRule="auto"/>
        <w:jc w:val="both"/>
        <w:rPr>
          <w:sz w:val="21"/>
        </w:rPr>
        <w:sectPr>
          <w:pgSz w:w="11910" w:h="16840"/>
          <w:pgMar w:header="877" w:footer="995" w:top="1420" w:bottom="1180" w:left="1260" w:right="1480"/>
        </w:sectPr>
      </w:pPr>
    </w:p>
    <w:p>
      <w:pPr>
        <w:pStyle w:val="BodyText"/>
        <w:spacing w:line="417" w:lineRule="auto" w:before="110"/>
        <w:ind w:left="540" w:right="313"/>
        <w:jc w:val="both"/>
      </w:pPr>
      <w:r>
        <w:rPr>
          <w:spacing w:val="-7"/>
        </w:rPr>
        <w:t>得不当得利的当事人已经将此部分不当得利返还给受损方，则受损方应当将其已经获得的赔</w:t>
      </w:r>
      <w:r>
        <w:rPr/>
        <w:t>偿额加上已经获得的不当得利返还的总和超过其实际损失的差额部分支付给估值错误责任方。</w:t>
      </w:r>
    </w:p>
    <w:p>
      <w:pPr>
        <w:pStyle w:val="ListParagraph"/>
        <w:numPr>
          <w:ilvl w:val="0"/>
          <w:numId w:val="26"/>
        </w:numPr>
        <w:tabs>
          <w:tab w:pos="1490" w:val="left" w:leader="none"/>
        </w:tabs>
        <w:spacing w:line="269" w:lineRule="exact" w:before="0" w:after="0"/>
        <w:ind w:left="148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960"/>
      </w:pPr>
      <w:r>
        <w:rPr>
          <w:rFonts w:ascii="Times New Roman" w:eastAsia="Times New Roman"/>
        </w:rPr>
        <w:t>3</w:t>
      </w:r>
      <w:r>
        <w:rPr/>
        <w:t>、估值错误处理程序</w:t>
      </w:r>
    </w:p>
    <w:p>
      <w:pPr>
        <w:pStyle w:val="BodyText"/>
        <w:spacing w:before="7"/>
        <w:rPr>
          <w:sz w:val="15"/>
        </w:rPr>
      </w:pPr>
    </w:p>
    <w:p>
      <w:pPr>
        <w:pStyle w:val="BodyText"/>
        <w:ind w:left="960"/>
      </w:pPr>
      <w:r>
        <w:rPr/>
        <w:t>估值错误被发现后，有关的当事人应当及时进行处理，处理的程序如下：</w:t>
      </w:r>
    </w:p>
    <w:p>
      <w:pPr>
        <w:pStyle w:val="BodyText"/>
        <w:spacing w:before="7"/>
        <w:rPr>
          <w:sz w:val="15"/>
        </w:rPr>
      </w:pP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490" w:val="left" w:leader="none"/>
        </w:tabs>
        <w:spacing w:line="240" w:lineRule="auto" w:before="0" w:after="0"/>
        <w:ind w:left="148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96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28"/>
        </w:numPr>
        <w:tabs>
          <w:tab w:pos="1490" w:val="left" w:leader="none"/>
        </w:tabs>
        <w:spacing w:line="417" w:lineRule="auto" w:before="0" w:after="0"/>
        <w:ind w:left="540" w:right="3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490" w:val="left" w:leader="none"/>
        </w:tabs>
        <w:spacing w:line="417" w:lineRule="auto" w:before="0" w:after="0"/>
        <w:ind w:left="540" w:right="31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时，基金管理人应当公告，并报证监会备案。</w:t>
      </w:r>
    </w:p>
    <w:p>
      <w:pPr>
        <w:pStyle w:val="ListParagraph"/>
        <w:numPr>
          <w:ilvl w:val="0"/>
          <w:numId w:val="28"/>
        </w:numPr>
        <w:tabs>
          <w:tab w:pos="1490" w:val="left" w:leader="none"/>
        </w:tabs>
        <w:spacing w:line="269" w:lineRule="exact" w:before="0" w:after="0"/>
        <w:ind w:left="148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960"/>
      </w:pPr>
      <w:r>
        <w:rPr/>
        <w:t>（六）暂停估值的情形</w:t>
      </w:r>
    </w:p>
    <w:p>
      <w:pPr>
        <w:pStyle w:val="BodyText"/>
        <w:spacing w:before="7"/>
        <w:rPr>
          <w:sz w:val="15"/>
        </w:rPr>
      </w:pPr>
    </w:p>
    <w:p>
      <w:pPr>
        <w:pStyle w:val="BodyText"/>
        <w:spacing w:before="1"/>
        <w:ind w:left="960"/>
      </w:pPr>
      <w:r>
        <w:rPr>
          <w:rFonts w:ascii="Times New Roman" w:eastAsia="Times New Roman"/>
        </w:rPr>
        <w:t>1</w:t>
      </w:r>
      <w:r>
        <w:rPr/>
        <w:t>、基金投资所涉及的证券、期货交易市场遇法定节假日或因其他原因暂停营业时。</w:t>
      </w:r>
    </w:p>
    <w:p>
      <w:pPr>
        <w:pStyle w:val="BodyText"/>
        <w:spacing w:before="6"/>
        <w:rPr>
          <w:sz w:val="15"/>
        </w:rPr>
      </w:pPr>
    </w:p>
    <w:p>
      <w:pPr>
        <w:pStyle w:val="BodyText"/>
        <w:ind w:left="96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960"/>
      </w:pPr>
      <w:r>
        <w:rPr>
          <w:rFonts w:ascii="Times New Roman" w:eastAsia="Times New Roman"/>
        </w:rPr>
        <w:t>4</w:t>
      </w:r>
      <w:r>
        <w:rPr/>
        <w:t>、中国证监会和基金合同认定的其它情形。</w:t>
      </w:r>
    </w:p>
    <w:p>
      <w:pPr>
        <w:pStyle w:val="BodyText"/>
        <w:spacing w:before="7"/>
        <w:rPr>
          <w:sz w:val="15"/>
        </w:rPr>
      </w:pPr>
    </w:p>
    <w:p>
      <w:pPr>
        <w:pStyle w:val="BodyText"/>
        <w:ind w:left="960"/>
      </w:pPr>
      <w:r>
        <w:rPr/>
        <w:t>（七）基金净值的确认</w:t>
      </w:r>
    </w:p>
    <w:p>
      <w:pPr>
        <w:pStyle w:val="BodyText"/>
        <w:spacing w:before="7"/>
        <w:rPr>
          <w:sz w:val="15"/>
        </w:rPr>
      </w:pPr>
    </w:p>
    <w:p>
      <w:pPr>
        <w:pStyle w:val="BodyText"/>
        <w:spacing w:line="417" w:lineRule="auto"/>
        <w:ind w:left="540" w:right="208" w:firstLine="419"/>
      </w:pPr>
      <w:r>
        <w:rPr/>
        <w:t>用于基金信息披露的基金净值信息由基金管理人负责计算，基金托管人负责进行复核。基金管理人应于每个开放日交易结束后计算当日的基金资产净值和基金份额净值并发送给</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10"/>
        </w:rPr>
        <w:t>基金托管人。基金托管人对净值计算结果复核确认后发送给基金管理人，由基金管理人对基</w:t>
      </w:r>
      <w:r>
        <w:rPr>
          <w:spacing w:val="-5"/>
        </w:rPr>
        <w:t>金净值予以公布。</w:t>
      </w:r>
    </w:p>
    <w:p>
      <w:pPr>
        <w:pStyle w:val="BodyText"/>
        <w:spacing w:line="269" w:lineRule="exact"/>
        <w:ind w:left="960"/>
      </w:pPr>
      <w:r>
        <w:rPr/>
        <w:t>（八）特殊情况的处理</w:t>
      </w:r>
    </w:p>
    <w:p>
      <w:pPr>
        <w:pStyle w:val="BodyText"/>
        <w:spacing w:before="6"/>
        <w:rPr>
          <w:sz w:val="15"/>
        </w:rPr>
      </w:pPr>
    </w:p>
    <w:p>
      <w:pPr>
        <w:pStyle w:val="BodyText"/>
        <w:spacing w:line="417" w:lineRule="auto"/>
        <w:ind w:left="540" w:right="313" w:firstLine="419"/>
        <w:jc w:val="both"/>
      </w:pPr>
      <w:r>
        <w:rPr>
          <w:rFonts w:ascii="Times New Roman" w:eastAsia="Times New Roman"/>
        </w:rPr>
        <w:t>1</w:t>
      </w:r>
      <w:r>
        <w:rPr>
          <w:spacing w:val="-5"/>
        </w:rPr>
        <w:t>、基金管理人或基金托管人按估值方法的第 </w:t>
      </w:r>
      <w:r>
        <w:rPr>
          <w:rFonts w:ascii="Times New Roman" w:eastAsia="Times New Roman"/>
        </w:rPr>
        <w:t>9 </w:t>
      </w:r>
      <w:r>
        <w:rPr>
          <w:spacing w:val="-3"/>
        </w:rPr>
        <w:t>项进行估值时，所造成的误差不作为基金资产估值错误处理。</w:t>
      </w:r>
    </w:p>
    <w:p>
      <w:pPr>
        <w:pStyle w:val="BodyText"/>
        <w:spacing w:line="417" w:lineRule="auto"/>
        <w:ind w:left="540" w:right="311" w:firstLine="419"/>
        <w:jc w:val="both"/>
      </w:pPr>
      <w:r>
        <w:rPr>
          <w:rFonts w:ascii="Times New Roman" w:eastAsia="Times New Roman"/>
        </w:rPr>
        <w:t>2</w:t>
      </w:r>
      <w:r>
        <w:rPr>
          <w:spacing w:val="-3"/>
        </w:rPr>
        <w:t>、由于证券、期货交易所及登记结算公司发送的数据错误或由于其他不可抗力原因， </w:t>
      </w:r>
      <w:r>
        <w:rPr>
          <w:spacing w:val="-8"/>
        </w:rPr>
        <w:t>基金管理人和基金托管人虽然已经采取必要、适当、合理的措施进行检查，但是未能发现该</w:t>
      </w:r>
      <w:r>
        <w:rPr>
          <w:spacing w:val="-10"/>
        </w:rPr>
        <w:t>错误而造成的基金份额净值计算错误，基金管理人、基金托管人免除赔偿责任。但基金管理</w:t>
      </w:r>
      <w:r>
        <w:rPr>
          <w:spacing w:val="-5"/>
        </w:rPr>
        <w:t>人、基金托管人应积极采取必要的措施减轻或消除由此造成的影响。</w:t>
      </w:r>
    </w:p>
    <w:p>
      <w:pPr>
        <w:pStyle w:val="BodyText"/>
        <w:spacing w:before="8"/>
        <w:rPr>
          <w:sz w:val="26"/>
        </w:rPr>
      </w:pPr>
    </w:p>
    <w:p>
      <w:pPr>
        <w:pStyle w:val="Heading1"/>
        <w:ind w:left="222"/>
      </w:pPr>
      <w:bookmarkStart w:name="_bookmark12" w:id="13"/>
      <w:bookmarkEnd w:id="13"/>
      <w:r>
        <w:rPr>
          <w:b w:val="0"/>
        </w:rPr>
      </w:r>
      <w:r>
        <w:rPr/>
        <w:t>十三、基金的收益与分配</w:t>
      </w:r>
    </w:p>
    <w:p>
      <w:pPr>
        <w:pStyle w:val="BodyText"/>
        <w:rPr>
          <w:b/>
          <w:sz w:val="20"/>
        </w:rPr>
      </w:pPr>
    </w:p>
    <w:p>
      <w:pPr>
        <w:pStyle w:val="BodyText"/>
        <w:spacing w:before="2"/>
        <w:rPr>
          <w:b/>
        </w:rPr>
      </w:pPr>
    </w:p>
    <w:p>
      <w:pPr>
        <w:pStyle w:val="BodyText"/>
        <w:ind w:left="1013"/>
      </w:pPr>
      <w:r>
        <w:rPr/>
        <w:t>（一）基金利润的构成</w:t>
      </w:r>
    </w:p>
    <w:p>
      <w:pPr>
        <w:pStyle w:val="BodyText"/>
        <w:spacing w:before="7"/>
        <w:rPr>
          <w:sz w:val="15"/>
        </w:rPr>
      </w:pPr>
    </w:p>
    <w:p>
      <w:pPr>
        <w:pStyle w:val="BodyText"/>
        <w:spacing w:line="417" w:lineRule="auto"/>
        <w:ind w:left="540" w:right="315" w:firstLine="472"/>
      </w:pPr>
      <w:r>
        <w:rPr/>
        <w:t>基金利润指基金利息收入、投资收益、公允价值变动收益和其他收入扣除相关费用后的余额，基金已实现收益指基金利润减去公允价值变动收益后的余额。</w:t>
      </w:r>
    </w:p>
    <w:p>
      <w:pPr>
        <w:pStyle w:val="BodyText"/>
        <w:ind w:left="1013"/>
      </w:pPr>
      <w:r>
        <w:rPr/>
        <w:t>（二）基金可供分配利润</w:t>
      </w:r>
    </w:p>
    <w:p>
      <w:pPr>
        <w:pStyle w:val="BodyText"/>
        <w:spacing w:before="7"/>
        <w:rPr>
          <w:sz w:val="15"/>
        </w:rPr>
      </w:pPr>
    </w:p>
    <w:p>
      <w:pPr>
        <w:pStyle w:val="BodyText"/>
        <w:spacing w:line="417" w:lineRule="auto"/>
        <w:ind w:left="540" w:right="315" w:firstLine="472"/>
      </w:pPr>
      <w:r>
        <w:rPr/>
        <w:t>基金可供分配利润指截至收益分配基准日基金未分配利润与未分配利润中已实现收益的孰低数。</w:t>
      </w:r>
    </w:p>
    <w:p>
      <w:pPr>
        <w:pStyle w:val="BodyText"/>
        <w:spacing w:line="269" w:lineRule="exact"/>
        <w:ind w:left="1013"/>
      </w:pPr>
      <w:r>
        <w:rPr/>
        <w:t>（三）基金收益分配原则</w:t>
      </w:r>
    </w:p>
    <w:p>
      <w:pPr>
        <w:pStyle w:val="BodyText"/>
        <w:spacing w:before="6"/>
        <w:rPr>
          <w:sz w:val="15"/>
        </w:rPr>
      </w:pPr>
    </w:p>
    <w:p>
      <w:pPr>
        <w:pStyle w:val="BodyText"/>
        <w:spacing w:line="417" w:lineRule="auto"/>
        <w:ind w:left="540" w:right="31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before="1"/>
        <w:ind w:left="540" w:right="311" w:firstLine="472"/>
        <w:jc w:val="both"/>
      </w:pPr>
      <w:r>
        <w:rPr>
          <w:rFonts w:ascii="Times New Roman" w:eastAsia="Times New Roman"/>
        </w:rPr>
        <w:t>2</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540" w:right="311" w:firstLine="472"/>
      </w:pPr>
      <w:r>
        <w:rPr>
          <w:rFonts w:ascii="Times New Roman" w:eastAsia="Times New Roman"/>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269" w:lineRule="exact"/>
        <w:ind w:left="1013"/>
      </w:pPr>
      <w:r>
        <w:rPr>
          <w:rFonts w:ascii="Times New Roman" w:eastAsia="Times New Roman"/>
        </w:rPr>
        <w:t>4</w:t>
      </w:r>
      <w:r>
        <w:rPr/>
        <w:t>、每一基金份额享有同等分配权。</w:t>
      </w:r>
    </w:p>
    <w:p>
      <w:pPr>
        <w:pStyle w:val="BodyText"/>
        <w:spacing w:before="6"/>
        <w:rPr>
          <w:sz w:val="15"/>
        </w:rPr>
      </w:pPr>
    </w:p>
    <w:p>
      <w:pPr>
        <w:pStyle w:val="BodyText"/>
        <w:ind w:left="1013"/>
      </w:pPr>
      <w:r>
        <w:rPr>
          <w:rFonts w:ascii="Times New Roman" w:eastAsia="Times New Roman"/>
        </w:rPr>
        <w:t>5</w:t>
      </w:r>
      <w:r>
        <w:rPr/>
        <w:t>、法律法规或监管机关另有规定的，从其规定。</w:t>
      </w:r>
    </w:p>
    <w:p>
      <w:pPr>
        <w:pStyle w:val="BodyText"/>
        <w:spacing w:before="7"/>
        <w:rPr>
          <w:sz w:val="15"/>
        </w:rPr>
      </w:pPr>
    </w:p>
    <w:p>
      <w:pPr>
        <w:pStyle w:val="BodyText"/>
        <w:ind w:left="1013"/>
      </w:pPr>
      <w:r>
        <w:rPr/>
        <w:t>在不违反法律法规且对基金份额持有人利益无实质不利影响的情况下，基金管理人、</w:t>
      </w:r>
    </w:p>
    <w:p>
      <w:pPr>
        <w:spacing w:after="0"/>
        <w:sectPr>
          <w:pgSz w:w="11910" w:h="16840"/>
          <w:pgMar w:header="877" w:footer="995" w:top="1420" w:bottom="1180" w:left="1260" w:right="1480"/>
        </w:sectPr>
      </w:pPr>
    </w:p>
    <w:p>
      <w:pPr>
        <w:pStyle w:val="BodyText"/>
        <w:spacing w:before="110"/>
        <w:ind w:left="540"/>
      </w:pPr>
      <w:r>
        <w:rPr/>
        <w:t>登记机构可对基金收益分配原则进行调整，不需召开基金份额持有人大会。</w:t>
      </w:r>
    </w:p>
    <w:p>
      <w:pPr>
        <w:pStyle w:val="BodyText"/>
        <w:spacing w:before="6"/>
        <w:rPr>
          <w:sz w:val="15"/>
        </w:rPr>
      </w:pPr>
    </w:p>
    <w:p>
      <w:pPr>
        <w:pStyle w:val="BodyText"/>
        <w:ind w:left="1013"/>
      </w:pPr>
      <w:r>
        <w:rPr/>
        <w:t>（四）收益分配方案</w:t>
      </w:r>
    </w:p>
    <w:p>
      <w:pPr>
        <w:pStyle w:val="BodyText"/>
        <w:spacing w:before="7"/>
        <w:rPr>
          <w:sz w:val="15"/>
        </w:rPr>
      </w:pPr>
    </w:p>
    <w:p>
      <w:pPr>
        <w:pStyle w:val="BodyText"/>
        <w:spacing w:line="417" w:lineRule="auto"/>
        <w:ind w:left="540" w:right="170" w:firstLine="472"/>
      </w:pPr>
      <w:r>
        <w:rPr/>
        <w:t>基金收益分配方案中应载明截止收益分配基准日的可供分配利润、基金收益分配对象、分配时间、分配数额及比例、分配方式等内容。</w:t>
      </w:r>
    </w:p>
    <w:p>
      <w:pPr>
        <w:pStyle w:val="BodyText"/>
        <w:spacing w:line="269" w:lineRule="exact"/>
        <w:ind w:left="1013"/>
      </w:pPr>
      <w:r>
        <w:rPr/>
        <w:t>（五）收益分配方案的确定、公告与实施</w:t>
      </w:r>
    </w:p>
    <w:p>
      <w:pPr>
        <w:pStyle w:val="BodyText"/>
        <w:spacing w:before="7"/>
        <w:rPr>
          <w:sz w:val="15"/>
        </w:rPr>
      </w:pPr>
    </w:p>
    <w:p>
      <w:pPr>
        <w:pStyle w:val="BodyText"/>
        <w:spacing w:line="417" w:lineRule="auto"/>
        <w:ind w:left="540" w:right="311"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w:t>
      </w:r>
    </w:p>
    <w:p>
      <w:pPr>
        <w:pStyle w:val="BodyText"/>
        <w:ind w:left="1013"/>
      </w:pPr>
      <w:r>
        <w:rPr/>
        <w:t>基金红利发放日距离收益分配基准日（即可供分配利润计算截止日）的时间不得超过</w:t>
      </w:r>
    </w:p>
    <w:p>
      <w:pPr>
        <w:pStyle w:val="BodyText"/>
        <w:spacing w:before="7"/>
        <w:rPr>
          <w:sz w:val="15"/>
        </w:rPr>
      </w:pPr>
    </w:p>
    <w:p>
      <w:pPr>
        <w:pStyle w:val="BodyText"/>
        <w:ind w:left="540"/>
      </w:pPr>
      <w:r>
        <w:rPr>
          <w:rFonts w:ascii="Times New Roman" w:eastAsia="Times New Roman"/>
        </w:rPr>
        <w:t>15 </w:t>
      </w:r>
      <w:r>
        <w:rPr/>
        <w:t>个工作日。</w:t>
      </w:r>
    </w:p>
    <w:p>
      <w:pPr>
        <w:pStyle w:val="BodyText"/>
        <w:spacing w:before="7"/>
        <w:rPr>
          <w:sz w:val="15"/>
        </w:rPr>
      </w:pPr>
    </w:p>
    <w:p>
      <w:pPr>
        <w:pStyle w:val="BodyText"/>
        <w:ind w:left="1013"/>
      </w:pPr>
      <w:r>
        <w:rPr/>
        <w:t>（六）基金收益分配中发生的费用</w:t>
      </w:r>
    </w:p>
    <w:p>
      <w:pPr>
        <w:pStyle w:val="BodyText"/>
        <w:spacing w:before="6"/>
        <w:rPr>
          <w:sz w:val="15"/>
        </w:rPr>
      </w:pPr>
    </w:p>
    <w:p>
      <w:pPr>
        <w:pStyle w:val="BodyText"/>
        <w:spacing w:line="417" w:lineRule="auto"/>
        <w:ind w:left="540" w:right="311" w:firstLine="472"/>
        <w:jc w:val="both"/>
      </w:pPr>
      <w:r>
        <w:rPr>
          <w:spacing w:val="-1"/>
        </w:rPr>
        <w:t>基金收益分配时所发生的银行转账或其他手续费用由投资者自行承担。当投资者的现</w:t>
      </w:r>
      <w:r>
        <w:rPr>
          <w:spacing w:val="-10"/>
        </w:rPr>
        <w:t>金红利小于一定金额，不足于支付银行转账或其他手续费用时，基金登记机构可将基金份额</w:t>
      </w:r>
      <w:r>
        <w:rPr>
          <w:spacing w:val="-5"/>
        </w:rPr>
        <w:t>持有人的现金红利自动转为基金份额。红利再投资的计算方法，依照《业务规则》执行。</w:t>
      </w:r>
    </w:p>
    <w:p>
      <w:pPr>
        <w:pStyle w:val="BodyText"/>
        <w:spacing w:before="8"/>
        <w:rPr>
          <w:sz w:val="26"/>
        </w:rPr>
      </w:pPr>
    </w:p>
    <w:p>
      <w:pPr>
        <w:pStyle w:val="Heading1"/>
        <w:ind w:left="222"/>
      </w:pPr>
      <w:bookmarkStart w:name="_bookmark13" w:id="14"/>
      <w:bookmarkEnd w:id="14"/>
      <w:r>
        <w:rPr>
          <w:b w:val="0"/>
        </w:rPr>
      </w:r>
      <w:r>
        <w:rPr/>
        <w:t>十四、基金的费用与税收</w:t>
      </w:r>
    </w:p>
    <w:p>
      <w:pPr>
        <w:pStyle w:val="BodyText"/>
        <w:rPr>
          <w:b/>
          <w:sz w:val="20"/>
        </w:rPr>
      </w:pPr>
    </w:p>
    <w:p>
      <w:pPr>
        <w:pStyle w:val="BodyText"/>
        <w:spacing w:before="2"/>
        <w:rPr>
          <w:b/>
        </w:rPr>
      </w:pPr>
    </w:p>
    <w:p>
      <w:pPr>
        <w:pStyle w:val="BodyText"/>
        <w:ind w:left="960"/>
      </w:pPr>
      <w:r>
        <w:rPr/>
        <w:t>（一）基金运作费用</w:t>
      </w:r>
    </w:p>
    <w:p>
      <w:pPr>
        <w:pStyle w:val="BodyText"/>
        <w:spacing w:before="7"/>
        <w:rPr>
          <w:sz w:val="15"/>
        </w:rPr>
      </w:pPr>
    </w:p>
    <w:p>
      <w:pPr>
        <w:pStyle w:val="BodyText"/>
        <w:ind w:left="960"/>
      </w:pPr>
      <w:r>
        <w:rPr>
          <w:rFonts w:ascii="Times New Roman" w:eastAsia="Times New Roman"/>
        </w:rPr>
        <w:t>1</w:t>
      </w:r>
      <w:r>
        <w:rPr/>
        <w:t>、基金费用的种类</w:t>
      </w:r>
    </w:p>
    <w:p>
      <w:pPr>
        <w:pStyle w:val="BodyText"/>
        <w:spacing w:before="7"/>
        <w:rPr>
          <w:sz w:val="15"/>
        </w:rPr>
      </w:pP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7"/>
        <w:rPr>
          <w:sz w:val="15"/>
        </w:rPr>
      </w:pP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基金托管人的托管费。</w:t>
      </w:r>
    </w:p>
    <w:p>
      <w:pPr>
        <w:pStyle w:val="BodyText"/>
        <w:spacing w:before="6"/>
        <w:rPr>
          <w:sz w:val="15"/>
        </w:rPr>
      </w:pPr>
    </w:p>
    <w:p>
      <w:pPr>
        <w:pStyle w:val="ListParagraph"/>
        <w:numPr>
          <w:ilvl w:val="0"/>
          <w:numId w:val="29"/>
        </w:numPr>
        <w:tabs>
          <w:tab w:pos="1490" w:val="left" w:leader="none"/>
        </w:tabs>
        <w:spacing w:line="417" w:lineRule="auto" w:before="0" w:after="0"/>
        <w:ind w:left="540" w:right="31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0"/>
          <w:numId w:val="29"/>
        </w:numPr>
        <w:tabs>
          <w:tab w:pos="1490" w:val="left" w:leader="none"/>
        </w:tabs>
        <w:spacing w:line="240" w:lineRule="auto" w:before="1" w:after="0"/>
        <w:ind w:left="1489" w:right="0" w:hanging="530"/>
        <w:jc w:val="left"/>
        <w:rPr>
          <w:sz w:val="21"/>
        </w:rPr>
      </w:pPr>
      <w:r>
        <w:rPr>
          <w:spacing w:val="-3"/>
          <w:sz w:val="21"/>
        </w:rPr>
        <w:t>《基金合同》生效后与基金相关的会计师费、律师费和诉讼费。</w:t>
      </w:r>
    </w:p>
    <w:p>
      <w:pPr>
        <w:pStyle w:val="BodyText"/>
        <w:spacing w:before="6"/>
        <w:rPr>
          <w:sz w:val="15"/>
        </w:rPr>
      </w:pP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29"/>
        </w:numPr>
        <w:tabs>
          <w:tab w:pos="1490" w:val="left" w:leader="none"/>
        </w:tabs>
        <w:spacing w:line="417" w:lineRule="auto" w:before="0" w:after="0"/>
        <w:ind w:left="540" w:right="313" w:firstLine="419"/>
        <w:jc w:val="left"/>
        <w:rPr>
          <w:sz w:val="21"/>
        </w:rPr>
      </w:pPr>
      <w:r>
        <w:rPr>
          <w:spacing w:val="-3"/>
          <w:sz w:val="21"/>
        </w:rPr>
        <w:t>基金的证券、期货交易费用（包括但不限于经手费、印花税、证管费、过户费、手续费、券商佣金、权证交易的结算费、相关账户费用及其他类似性质的费用等</w:t>
      </w:r>
      <w:r>
        <w:rPr>
          <w:spacing w:val="-108"/>
          <w:sz w:val="21"/>
        </w:rPr>
        <w:t>）</w:t>
      </w:r>
      <w:r>
        <w:rPr>
          <w:sz w:val="21"/>
        </w:rPr>
        <w:t>。</w:t>
      </w:r>
    </w:p>
    <w:p>
      <w:pPr>
        <w:pStyle w:val="ListParagraph"/>
        <w:numPr>
          <w:ilvl w:val="0"/>
          <w:numId w:val="29"/>
        </w:numPr>
        <w:tabs>
          <w:tab w:pos="1490" w:val="left" w:leader="none"/>
        </w:tabs>
        <w:spacing w:line="269" w:lineRule="exact" w:before="0" w:after="0"/>
        <w:ind w:left="1489" w:right="0" w:hanging="530"/>
        <w:jc w:val="left"/>
        <w:rPr>
          <w:sz w:val="21"/>
        </w:rPr>
      </w:pPr>
      <w:r>
        <w:rPr>
          <w:spacing w:val="-3"/>
          <w:sz w:val="21"/>
        </w:rPr>
        <w:t>基金的银行汇划费用。</w:t>
      </w:r>
    </w:p>
    <w:p>
      <w:pPr>
        <w:pStyle w:val="BodyText"/>
        <w:spacing w:before="7"/>
        <w:rPr>
          <w:sz w:val="15"/>
        </w:rPr>
      </w:pP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基金上市初费及年费</w:t>
      </w:r>
      <w:r>
        <w:rPr>
          <w:sz w:val="21"/>
        </w:rPr>
        <w:t>（</w:t>
      </w:r>
      <w:r>
        <w:rPr>
          <w:spacing w:val="-2"/>
          <w:sz w:val="21"/>
        </w:rPr>
        <w:t>如有</w:t>
      </w:r>
      <w:r>
        <w:rPr>
          <w:spacing w:val="-106"/>
          <w:sz w:val="21"/>
        </w:rPr>
        <w:t>）</w:t>
      </w:r>
      <w:r>
        <w:rPr>
          <w:sz w:val="21"/>
        </w:rPr>
        <w:t>。</w:t>
      </w:r>
    </w:p>
    <w:p>
      <w:pPr>
        <w:pStyle w:val="BodyText"/>
        <w:spacing w:before="7"/>
        <w:rPr>
          <w:sz w:val="15"/>
        </w:rPr>
      </w:pPr>
    </w:p>
    <w:p>
      <w:pPr>
        <w:pStyle w:val="ListParagraph"/>
        <w:numPr>
          <w:ilvl w:val="0"/>
          <w:numId w:val="29"/>
        </w:numPr>
        <w:tabs>
          <w:tab w:pos="1490" w:val="left" w:leader="none"/>
        </w:tabs>
        <w:spacing w:line="417" w:lineRule="auto" w:before="0" w:after="0"/>
        <w:ind w:left="960" w:right="311" w:firstLine="0"/>
        <w:jc w:val="left"/>
        <w:rPr>
          <w:sz w:val="21"/>
        </w:rPr>
      </w:pPr>
      <w:r>
        <w:rPr>
          <w:spacing w:val="-3"/>
          <w:sz w:val="21"/>
        </w:rPr>
        <w:t>按照国家有关规定和《基金合同》约定，可以在基金财产中列支的其他费用。 </w:t>
      </w:r>
      <w:r>
        <w:rPr>
          <w:spacing w:val="-9"/>
          <w:sz w:val="21"/>
        </w:rPr>
        <w:t>在中国证监会允许的前提下，本基金可以从基金财产中计提销售服务费，不需召开持有</w:t>
      </w:r>
    </w:p>
    <w:p>
      <w:pPr>
        <w:spacing w:after="0" w:line="417" w:lineRule="auto"/>
        <w:jc w:val="left"/>
        <w:rPr>
          <w:sz w:val="21"/>
        </w:rPr>
        <w:sectPr>
          <w:pgSz w:w="11910" w:h="16840"/>
          <w:pgMar w:header="877" w:footer="995" w:top="1420" w:bottom="1180" w:left="1260" w:right="1480"/>
        </w:sectPr>
      </w:pPr>
    </w:p>
    <w:p>
      <w:pPr>
        <w:pStyle w:val="BodyText"/>
        <w:spacing w:before="110"/>
        <w:ind w:left="540"/>
      </w:pPr>
      <w:r>
        <w:rPr/>
        <w:t>人大会，具体计提方法、计提标准在招募说明书或相关公告中载明。</w:t>
      </w:r>
    </w:p>
    <w:p>
      <w:pPr>
        <w:pStyle w:val="BodyText"/>
        <w:spacing w:before="6"/>
        <w:rPr>
          <w:sz w:val="15"/>
        </w:rPr>
      </w:pPr>
    </w:p>
    <w:p>
      <w:pPr>
        <w:pStyle w:val="BodyText"/>
        <w:ind w:left="960"/>
      </w:pPr>
      <w:r>
        <w:rPr>
          <w:rFonts w:ascii="Times New Roman" w:eastAsia="Times New Roman"/>
        </w:rPr>
        <w:t>2</w:t>
      </w:r>
      <w:r>
        <w:rPr/>
        <w:t>、基金费用计提方法、计提标准和支付方式</w:t>
      </w:r>
    </w:p>
    <w:p>
      <w:pPr>
        <w:pStyle w:val="BodyText"/>
        <w:spacing w:before="7"/>
        <w:rPr>
          <w:sz w:val="15"/>
        </w:rPr>
      </w:pPr>
    </w:p>
    <w:p>
      <w:pPr>
        <w:pStyle w:val="ListParagraph"/>
        <w:numPr>
          <w:ilvl w:val="0"/>
          <w:numId w:val="30"/>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960" w:right="296"/>
      </w:pPr>
      <w:r>
        <w:rPr/>
        <w:t>本基金的管理费按前一日基金资产净值的 </w:t>
      </w:r>
      <w:r>
        <w:rPr>
          <w:rFonts w:ascii="Times New Roman" w:hAnsi="Times New Roman" w:eastAsia="Times New Roman"/>
        </w:rPr>
        <w:t>1.5%</w:t>
      </w:r>
      <w:r>
        <w:rPr/>
        <w:t>年费率计提。管理费的计算方法如下： </w:t>
      </w:r>
      <w:r>
        <w:rPr>
          <w:rFonts w:ascii="Times New Roman" w:hAnsi="Times New Roman" w:eastAsia="Times New Roman"/>
        </w:rPr>
        <w:t>H</w:t>
      </w:r>
      <w:r>
        <w:rPr/>
        <w:t>＝</w:t>
      </w:r>
      <w:r>
        <w:rPr>
          <w:rFonts w:ascii="Times New Roman" w:hAnsi="Times New Roman" w:eastAsia="Times New Roman"/>
        </w:rPr>
        <w:t>E×1.5%÷</w:t>
      </w:r>
      <w:r>
        <w:rPr/>
        <w:t>当年天数</w:t>
      </w:r>
    </w:p>
    <w:p>
      <w:pPr>
        <w:pStyle w:val="BodyText"/>
        <w:spacing w:line="269" w:lineRule="exact"/>
        <w:ind w:left="960"/>
      </w:pPr>
      <w:r>
        <w:rPr>
          <w:rFonts w:ascii="Times New Roman" w:eastAsia="Times New Roman"/>
        </w:rPr>
        <w:t>H </w:t>
      </w:r>
      <w:r>
        <w:rPr/>
        <w:t>为每日应计提的基金管理费</w:t>
      </w:r>
    </w:p>
    <w:p>
      <w:pPr>
        <w:pStyle w:val="BodyText"/>
        <w:spacing w:before="7"/>
        <w:rPr>
          <w:sz w:val="15"/>
        </w:rPr>
      </w:pPr>
    </w:p>
    <w:p>
      <w:pPr>
        <w:pStyle w:val="BodyText"/>
        <w:ind w:left="96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40" w:right="205" w:firstLine="419"/>
      </w:pPr>
      <w:r>
        <w:rPr>
          <w:spacing w:val="-17"/>
        </w:rPr>
        <w:t>基金管理费每日计提，按月支付。由基金托管人根据与基金管理人核对一致的财务数据，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划拨指令。若遇法定节假日、休息日等，支付日期顺延。费用自动扣划后，基金管理人应进</w:t>
      </w:r>
      <w:r>
        <w:rPr>
          <w:spacing w:val="-6"/>
        </w:rPr>
        <w:t>行核对，如发现数据不符，及时联系基金托管人协商解决。</w:t>
      </w:r>
    </w:p>
    <w:p>
      <w:pPr>
        <w:pStyle w:val="ListParagraph"/>
        <w:numPr>
          <w:ilvl w:val="0"/>
          <w:numId w:val="30"/>
        </w:numPr>
        <w:tabs>
          <w:tab w:pos="1490" w:val="left" w:leader="none"/>
        </w:tabs>
        <w:spacing w:line="268" w:lineRule="exact" w:before="0" w:after="0"/>
        <w:ind w:left="1489" w:right="0" w:hanging="530"/>
        <w:jc w:val="left"/>
        <w:rPr>
          <w:sz w:val="21"/>
        </w:rPr>
      </w:pPr>
      <w:r>
        <w:rPr>
          <w:spacing w:val="-3"/>
          <w:sz w:val="21"/>
        </w:rPr>
        <w:t>基金托管人的托管费</w:t>
      </w:r>
    </w:p>
    <w:p>
      <w:pPr>
        <w:pStyle w:val="BodyText"/>
        <w:spacing w:before="7"/>
        <w:rPr>
          <w:sz w:val="15"/>
        </w:rPr>
      </w:pPr>
    </w:p>
    <w:p>
      <w:pPr>
        <w:pStyle w:val="BodyText"/>
        <w:spacing w:line="417" w:lineRule="auto"/>
        <w:ind w:left="960" w:right="104"/>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ind w:left="960"/>
      </w:pPr>
      <w:r>
        <w:rPr>
          <w:rFonts w:ascii="Times New Roman" w:eastAsia="Times New Roman"/>
        </w:rPr>
        <w:t>H </w:t>
      </w:r>
      <w:r>
        <w:rPr/>
        <w:t>为每日应计提的基金托管费</w:t>
      </w:r>
    </w:p>
    <w:p>
      <w:pPr>
        <w:pStyle w:val="BodyText"/>
        <w:spacing w:before="6"/>
        <w:rPr>
          <w:sz w:val="15"/>
        </w:rPr>
      </w:pPr>
    </w:p>
    <w:p>
      <w:pPr>
        <w:pStyle w:val="BodyText"/>
        <w:spacing w:before="1"/>
        <w:ind w:left="960"/>
      </w:pPr>
      <w:r>
        <w:rPr>
          <w:rFonts w:ascii="Times New Roman" w:eastAsia="Times New Roman"/>
        </w:rPr>
        <w:t>E </w:t>
      </w:r>
      <w:r>
        <w:rPr/>
        <w:t>为前一日的基金资产净值</w:t>
      </w:r>
    </w:p>
    <w:p>
      <w:pPr>
        <w:pStyle w:val="BodyText"/>
        <w:spacing w:before="6"/>
        <w:rPr>
          <w:sz w:val="15"/>
        </w:rPr>
      </w:pPr>
    </w:p>
    <w:p>
      <w:pPr>
        <w:pStyle w:val="BodyText"/>
        <w:spacing w:line="417" w:lineRule="auto"/>
        <w:ind w:left="540" w:right="205" w:firstLine="419"/>
      </w:pPr>
      <w:r>
        <w:rPr>
          <w:spacing w:val="-17"/>
        </w:rPr>
        <w:t>基金托管费每日计提，按月支付。由基金托管人根据与基金管理人核对一致的财务数据，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划拨指令。若遇法定节假日、休息日等，支付日期顺延。费用自动扣划后，基金管理人应进</w:t>
      </w:r>
      <w:r>
        <w:rPr>
          <w:spacing w:val="-6"/>
        </w:rPr>
        <w:t>行核对，如发现数据不符，及时联系基金托管人协商解决。</w:t>
      </w:r>
    </w:p>
    <w:p>
      <w:pPr>
        <w:pStyle w:val="BodyText"/>
        <w:spacing w:line="417" w:lineRule="auto"/>
        <w:ind w:left="540" w:right="313" w:firstLine="419"/>
      </w:pPr>
      <w:r>
        <w:rPr/>
        <w:t>上述“</w:t>
      </w:r>
      <w:r>
        <w:rPr>
          <w:rFonts w:ascii="Times New Roman" w:hAnsi="Times New Roman" w:eastAsia="Times New Roman"/>
        </w:rPr>
        <w:t>1</w:t>
      </w:r>
      <w:r>
        <w:rPr>
          <w:spacing w:val="-12"/>
        </w:rPr>
        <w:t>、基金费用的种类”中第</w:t>
      </w:r>
      <w:r>
        <w:rPr>
          <w:spacing w:val="-14"/>
        </w:rPr>
        <w:t>（</w:t>
      </w:r>
      <w:r>
        <w:rPr>
          <w:rFonts w:ascii="Times New Roman" w:hAnsi="Times New Roman" w:eastAsia="Times New Roman"/>
          <w:spacing w:val="-14"/>
        </w:rPr>
        <w:t>3</w:t>
      </w:r>
      <w:r>
        <w:rPr>
          <w:spacing w:val="-14"/>
        </w:rPr>
        <w:t>）－（</w:t>
      </w:r>
      <w:r>
        <w:rPr>
          <w:rFonts w:ascii="Times New Roman" w:hAnsi="Times New Roman" w:eastAsia="Times New Roman"/>
          <w:spacing w:val="-14"/>
        </w:rPr>
        <w:t>9</w:t>
      </w:r>
      <w:r>
        <w:rPr>
          <w:spacing w:val="-14"/>
        </w:rPr>
        <w:t>）</w:t>
      </w:r>
      <w:r>
        <w:rPr>
          <w:spacing w:val="-7"/>
        </w:rPr>
        <w:t>项费用，根据有关法规及相应协议规定， </w:t>
      </w:r>
      <w:r>
        <w:rPr>
          <w:spacing w:val="-5"/>
        </w:rPr>
        <w:t>按费用实际支出金额列入当期费用，由基金托管人从基金财产中支付。</w:t>
      </w:r>
    </w:p>
    <w:p>
      <w:pPr>
        <w:pStyle w:val="BodyText"/>
        <w:ind w:left="960"/>
      </w:pPr>
      <w:r>
        <w:rPr/>
        <w:t>（二）基金销售费用</w:t>
      </w:r>
    </w:p>
    <w:p>
      <w:pPr>
        <w:pStyle w:val="BodyText"/>
        <w:spacing w:before="7"/>
        <w:rPr>
          <w:sz w:val="15"/>
        </w:rPr>
      </w:pPr>
    </w:p>
    <w:p>
      <w:pPr>
        <w:pStyle w:val="BodyText"/>
        <w:spacing w:line="417" w:lineRule="auto"/>
        <w:ind w:left="540" w:right="311" w:firstLine="419"/>
        <w:jc w:val="both"/>
      </w:pPr>
      <w:r>
        <w:rPr>
          <w:spacing w:val="-11"/>
        </w:rPr>
        <w:t>本基金申购费、赎回费的费率水平、计算公式、收取方式和使用方式请详见本招募说明</w:t>
      </w:r>
      <w:r>
        <w:rPr>
          <w:spacing w:val="-3"/>
        </w:rPr>
        <w:t>书 “八、基金份额的申购、赎回与转换”中的“</w:t>
      </w:r>
      <w:r>
        <w:rPr/>
        <w:t>（六）</w:t>
      </w:r>
      <w:r>
        <w:rPr>
          <w:spacing w:val="-3"/>
        </w:rPr>
        <w:t>申购费与赎回费”与</w:t>
      </w:r>
      <w:r>
        <w:rPr/>
        <w:t>“（</w:t>
      </w:r>
      <w:r>
        <w:rPr>
          <w:spacing w:val="-3"/>
        </w:rPr>
        <w:t>七</w:t>
      </w:r>
      <w:r>
        <w:rPr/>
        <w:t>）申购</w:t>
      </w:r>
      <w:r>
        <w:rPr>
          <w:spacing w:val="-3"/>
        </w:rPr>
        <w:t>份额与赎回金额的计算方式”中的相关规定。</w:t>
      </w:r>
    </w:p>
    <w:p>
      <w:pPr>
        <w:pStyle w:val="BodyText"/>
        <w:spacing w:line="417" w:lineRule="auto"/>
        <w:ind w:left="540" w:right="208" w:firstLine="419"/>
      </w:pPr>
      <w:r>
        <w:rPr/>
        <w:t>本基金转换费的费率水平、计算公式、收取方式和使用方式请详见本招募说明书“八、基金份额的申购、赎回与转换”中的“（十二）基金转换”中的相关规定。</w:t>
      </w:r>
    </w:p>
    <w:p>
      <w:pPr>
        <w:pStyle w:val="BodyText"/>
        <w:spacing w:line="417" w:lineRule="auto"/>
        <w:ind w:left="960" w:right="5470"/>
      </w:pPr>
      <w:r>
        <w:rPr/>
        <w:t>（三）不列入基金费用的项目下列费用不列入基金费用：</w:t>
      </w:r>
    </w:p>
    <w:p>
      <w:pPr>
        <w:spacing w:after="0" w:line="417" w:lineRule="auto"/>
        <w:sectPr>
          <w:footerReference w:type="default" r:id="rId188"/>
          <w:pgSz w:w="11910" w:h="16840"/>
          <w:pgMar w:footer="995" w:header="877" w:top="1420" w:bottom="1180" w:left="1260" w:right="1480"/>
          <w:pgNumType w:start="110"/>
        </w:sectPr>
      </w:pPr>
    </w:p>
    <w:p>
      <w:pPr>
        <w:pStyle w:val="BodyText"/>
        <w:spacing w:line="417" w:lineRule="auto" w:before="110"/>
        <w:ind w:left="540" w:right="31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96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960"/>
      </w:pPr>
      <w:r>
        <w:rPr>
          <w:rFonts w:ascii="Times New Roman" w:eastAsia="Times New Roman"/>
        </w:rPr>
        <w:t>3</w:t>
      </w:r>
      <w:r>
        <w:rPr/>
        <w:t>、《基金合同》生效前的相关费用。</w:t>
      </w:r>
    </w:p>
    <w:p>
      <w:pPr>
        <w:pStyle w:val="BodyText"/>
        <w:spacing w:before="7"/>
        <w:rPr>
          <w:sz w:val="15"/>
        </w:rPr>
      </w:pPr>
    </w:p>
    <w:p>
      <w:pPr>
        <w:pStyle w:val="BodyText"/>
        <w:ind w:left="960"/>
      </w:pPr>
      <w:r>
        <w:rPr>
          <w:rFonts w:ascii="Times New Roman" w:eastAsia="Times New Roman"/>
        </w:rPr>
        <w:t>4</w:t>
      </w:r>
      <w:r>
        <w:rPr/>
        <w:t>、其他根据相关法律法规及中国证监会的有关规定不得列入基金费用的项目。</w:t>
      </w:r>
    </w:p>
    <w:p>
      <w:pPr>
        <w:pStyle w:val="BodyText"/>
        <w:spacing w:before="7"/>
        <w:rPr>
          <w:sz w:val="15"/>
        </w:rPr>
      </w:pPr>
    </w:p>
    <w:p>
      <w:pPr>
        <w:pStyle w:val="BodyText"/>
        <w:ind w:left="960"/>
      </w:pPr>
      <w:r>
        <w:rPr/>
        <w:t>（四）税收</w:t>
      </w:r>
    </w:p>
    <w:p>
      <w:pPr>
        <w:pStyle w:val="BodyText"/>
        <w:spacing w:before="7"/>
        <w:rPr>
          <w:sz w:val="15"/>
        </w:rPr>
      </w:pPr>
    </w:p>
    <w:p>
      <w:pPr>
        <w:spacing w:line="525" w:lineRule="auto" w:before="0"/>
        <w:ind w:left="3533" w:right="794" w:hanging="2521"/>
        <w:jc w:val="left"/>
        <w:rPr>
          <w:b/>
          <w:sz w:val="21"/>
        </w:rPr>
      </w:pPr>
      <w:r>
        <w:rPr>
          <w:sz w:val="21"/>
        </w:rPr>
        <w:t>本基金运作过程中涉及的各纳税主体，其纳税义务按国家税收法律、法规执行。</w:t>
      </w:r>
      <w:bookmarkStart w:name="_bookmark14" w:id="15"/>
      <w:bookmarkEnd w:id="15"/>
      <w:r>
        <w:rPr>
          <w:sz w:val="21"/>
        </w:rPr>
      </w:r>
      <w:r>
        <w:rPr>
          <w:b/>
          <w:sz w:val="21"/>
        </w:rPr>
        <w:t>十五、基金的会计与审计</w:t>
      </w:r>
    </w:p>
    <w:p>
      <w:pPr>
        <w:pStyle w:val="BodyText"/>
        <w:spacing w:line="267" w:lineRule="exact"/>
        <w:ind w:left="960"/>
      </w:pPr>
      <w:r>
        <w:rPr/>
        <w:t>（一）基金会计政策</w:t>
      </w:r>
    </w:p>
    <w:p>
      <w:pPr>
        <w:pStyle w:val="BodyText"/>
        <w:spacing w:before="6"/>
        <w:rPr>
          <w:sz w:val="15"/>
        </w:rPr>
      </w:pPr>
    </w:p>
    <w:p>
      <w:pPr>
        <w:pStyle w:val="BodyText"/>
        <w:ind w:left="960"/>
      </w:pPr>
      <w:r>
        <w:rPr>
          <w:rFonts w:ascii="Times New Roman" w:eastAsia="Times New Roman"/>
        </w:rPr>
        <w:t>1</w:t>
      </w:r>
      <w:r>
        <w:rPr/>
        <w:t>、基金管理人为本基金的基金会计责任方。</w:t>
      </w:r>
    </w:p>
    <w:p>
      <w:pPr>
        <w:pStyle w:val="BodyText"/>
        <w:spacing w:before="7"/>
        <w:rPr>
          <w:sz w:val="15"/>
        </w:rPr>
      </w:pPr>
    </w:p>
    <w:p>
      <w:pPr>
        <w:pStyle w:val="BodyText"/>
        <w:ind w:left="9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7"/>
        <w:rPr>
          <w:sz w:val="15"/>
        </w:rPr>
      </w:pPr>
    </w:p>
    <w:p>
      <w:pPr>
        <w:pStyle w:val="BodyText"/>
        <w:ind w:left="96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960"/>
      </w:pPr>
      <w:r>
        <w:rPr>
          <w:rFonts w:ascii="Times New Roman" w:eastAsia="Times New Roman"/>
        </w:rPr>
        <w:t>4</w:t>
      </w:r>
      <w:r>
        <w:rPr/>
        <w:t>、会计制度执行国家有关会计制度。</w:t>
      </w:r>
    </w:p>
    <w:p>
      <w:pPr>
        <w:pStyle w:val="BodyText"/>
        <w:spacing w:before="6"/>
        <w:rPr>
          <w:sz w:val="15"/>
        </w:rPr>
      </w:pPr>
    </w:p>
    <w:p>
      <w:pPr>
        <w:pStyle w:val="BodyText"/>
        <w:ind w:left="960"/>
      </w:pPr>
      <w:r>
        <w:rPr>
          <w:rFonts w:ascii="Times New Roman" w:eastAsia="Times New Roman"/>
        </w:rPr>
        <w:t>5</w:t>
      </w:r>
      <w:r>
        <w:rPr/>
        <w:t>、本基金独立建账、独立核算。</w:t>
      </w:r>
    </w:p>
    <w:p>
      <w:pPr>
        <w:pStyle w:val="BodyText"/>
        <w:spacing w:before="7"/>
        <w:rPr>
          <w:sz w:val="15"/>
        </w:rPr>
      </w:pPr>
    </w:p>
    <w:p>
      <w:pPr>
        <w:pStyle w:val="BodyText"/>
        <w:spacing w:line="417" w:lineRule="auto" w:before="1"/>
        <w:ind w:left="540" w:right="3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540" w:right="31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960"/>
      </w:pPr>
      <w:r>
        <w:rPr/>
        <w:t>（二）基金的年度审计</w:t>
      </w:r>
    </w:p>
    <w:p>
      <w:pPr>
        <w:pStyle w:val="BodyText"/>
        <w:spacing w:before="6"/>
        <w:rPr>
          <w:sz w:val="15"/>
        </w:rPr>
      </w:pPr>
    </w:p>
    <w:p>
      <w:pPr>
        <w:pStyle w:val="BodyText"/>
        <w:spacing w:line="417" w:lineRule="auto"/>
        <w:ind w:left="540" w:right="31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ind w:left="96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line="417" w:lineRule="auto"/>
        <w:ind w:left="540" w:right="31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Heading1"/>
        <w:spacing w:before="120"/>
        <w:ind w:left="3639"/>
        <w:jc w:val="left"/>
      </w:pPr>
      <w:bookmarkStart w:name="_bookmark15" w:id="16"/>
      <w:bookmarkEnd w:id="16"/>
      <w:r>
        <w:rPr>
          <w:b w:val="0"/>
        </w:rPr>
      </w:r>
      <w:r>
        <w:rPr/>
        <w:t>十六、基金的信息披露</w:t>
      </w:r>
    </w:p>
    <w:p>
      <w:pPr>
        <w:pStyle w:val="BodyText"/>
        <w:spacing w:before="11"/>
        <w:rPr>
          <w:b/>
          <w:sz w:val="24"/>
        </w:rPr>
      </w:pPr>
    </w:p>
    <w:p>
      <w:pPr>
        <w:pStyle w:val="BodyText"/>
        <w:spacing w:line="417" w:lineRule="auto"/>
        <w:ind w:left="540" w:right="316" w:firstLine="419"/>
      </w:pPr>
      <w:r>
        <w:rPr/>
        <w:t>（</w:t>
      </w:r>
      <w:r>
        <w:rPr>
          <w:spacing w:val="-3"/>
        </w:rPr>
        <w:t>一</w:t>
      </w:r>
      <w:r>
        <w:rPr>
          <w:spacing w:val="-61"/>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ind w:left="960"/>
      </w:pPr>
      <w:r>
        <w:rPr/>
        <w:t>（二）信息披露义务人</w:t>
      </w:r>
    </w:p>
    <w:p>
      <w:pPr>
        <w:pStyle w:val="BodyText"/>
        <w:spacing w:before="7"/>
        <w:rPr>
          <w:sz w:val="15"/>
        </w:rPr>
      </w:pPr>
    </w:p>
    <w:p>
      <w:pPr>
        <w:pStyle w:val="BodyText"/>
        <w:ind w:left="960"/>
      </w:pPr>
      <w:r>
        <w:rPr/>
        <w:t>本基金信息披露义务人包括基金管理人、基金托管人、召集基金份额持有人大会的基金</w:t>
      </w:r>
    </w:p>
    <w:p>
      <w:pPr>
        <w:spacing w:after="0"/>
        <w:sectPr>
          <w:pgSz w:w="11910" w:h="16840"/>
          <w:pgMar w:header="877" w:footer="995" w:top="1420" w:bottom="1180" w:left="1260" w:right="1480"/>
        </w:sectPr>
      </w:pPr>
    </w:p>
    <w:p>
      <w:pPr>
        <w:pStyle w:val="BodyText"/>
        <w:spacing w:before="110"/>
        <w:ind w:right="1266"/>
        <w:jc w:val="right"/>
      </w:pPr>
      <w:r>
        <w:rPr/>
        <w:t>份额持有人等法律、行政法规和中国证监会规定的自然人、法人和非法人组织。</w:t>
      </w:r>
    </w:p>
    <w:p>
      <w:pPr>
        <w:pStyle w:val="BodyText"/>
        <w:spacing w:before="6"/>
        <w:rPr>
          <w:sz w:val="15"/>
        </w:rPr>
      </w:pPr>
    </w:p>
    <w:p>
      <w:pPr>
        <w:pStyle w:val="BodyText"/>
        <w:spacing w:line="417" w:lineRule="auto"/>
        <w:ind w:left="540" w:right="311" w:firstLine="419"/>
        <w:jc w:val="both"/>
      </w:pPr>
      <w:r>
        <w:rPr>
          <w:spacing w:val="-7"/>
        </w:rPr>
        <w:t>本基金信息披露义务人应当以保护基金份额持有人利益为根本出发点，按照法律、行政</w:t>
      </w:r>
      <w:r>
        <w:rPr>
          <w:spacing w:val="-11"/>
        </w:rPr>
        <w:t>法规和中国证监会的规定披露基金信息，并保证所披露信息的真实性、准确性、完整性、及</w:t>
      </w:r>
      <w:r>
        <w:rPr>
          <w:spacing w:val="-3"/>
        </w:rPr>
        <w:t>时性、简明性和易得性。</w:t>
      </w:r>
    </w:p>
    <w:p>
      <w:pPr>
        <w:pStyle w:val="BodyText"/>
        <w:spacing w:line="417" w:lineRule="auto"/>
        <w:ind w:left="540" w:right="31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ind w:right="1267"/>
        <w:jc w:val="right"/>
      </w:pPr>
      <w:r>
        <w:rPr/>
        <w:t>（三）本基金信息披露义务人承诺公开披露的基金信息，不得有下列行为：</w:t>
      </w:r>
    </w:p>
    <w:p>
      <w:pPr>
        <w:pStyle w:val="BodyText"/>
        <w:spacing w:before="7"/>
        <w:rPr>
          <w:sz w:val="15"/>
        </w:rPr>
      </w:pPr>
    </w:p>
    <w:p>
      <w:pPr>
        <w:pStyle w:val="BodyText"/>
        <w:ind w:left="960"/>
      </w:pPr>
      <w:r>
        <w:rPr>
          <w:rFonts w:ascii="Times New Roman" w:eastAsia="Times New Roman"/>
        </w:rPr>
        <w:t>1</w:t>
      </w:r>
      <w:r>
        <w:rPr/>
        <w:t>、虚假记载、误导性陈述或者重大遗漏。</w:t>
      </w:r>
    </w:p>
    <w:p>
      <w:pPr>
        <w:pStyle w:val="BodyText"/>
        <w:spacing w:before="6"/>
        <w:rPr>
          <w:sz w:val="15"/>
        </w:rPr>
      </w:pPr>
    </w:p>
    <w:p>
      <w:pPr>
        <w:pStyle w:val="BodyText"/>
        <w:spacing w:before="1"/>
        <w:ind w:left="960"/>
      </w:pPr>
      <w:r>
        <w:rPr>
          <w:rFonts w:ascii="Times New Roman" w:eastAsia="Times New Roman"/>
        </w:rPr>
        <w:t>2</w:t>
      </w:r>
      <w:r>
        <w:rPr/>
        <w:t>、对证券投资业绩进行预测。</w:t>
      </w:r>
    </w:p>
    <w:p>
      <w:pPr>
        <w:pStyle w:val="BodyText"/>
        <w:spacing w:before="6"/>
        <w:rPr>
          <w:sz w:val="15"/>
        </w:rPr>
      </w:pPr>
    </w:p>
    <w:p>
      <w:pPr>
        <w:pStyle w:val="BodyText"/>
        <w:ind w:left="960"/>
      </w:pPr>
      <w:r>
        <w:rPr>
          <w:rFonts w:ascii="Times New Roman" w:eastAsia="Times New Roman"/>
        </w:rPr>
        <w:t>3</w:t>
      </w:r>
      <w:r>
        <w:rPr/>
        <w:t>、违规承诺收益或者承担损失。</w:t>
      </w:r>
    </w:p>
    <w:p>
      <w:pPr>
        <w:pStyle w:val="BodyText"/>
        <w:spacing w:before="7"/>
        <w:rPr>
          <w:sz w:val="15"/>
        </w:rPr>
      </w:pPr>
    </w:p>
    <w:p>
      <w:pPr>
        <w:pStyle w:val="BodyText"/>
        <w:ind w:left="96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960"/>
      </w:pPr>
      <w:r>
        <w:rPr>
          <w:rFonts w:ascii="Times New Roman" w:eastAsia="Times New Roman"/>
        </w:rPr>
        <w:t>5</w:t>
      </w:r>
      <w:r>
        <w:rPr/>
        <w:t>、登载任何自然人、法人和非法人组织的祝贺性、恭维性或推荐性文字。</w:t>
      </w:r>
    </w:p>
    <w:p>
      <w:pPr>
        <w:pStyle w:val="BodyText"/>
        <w:spacing w:before="6"/>
        <w:rPr>
          <w:sz w:val="15"/>
        </w:rPr>
      </w:pPr>
    </w:p>
    <w:p>
      <w:pPr>
        <w:pStyle w:val="BodyText"/>
        <w:spacing w:before="1"/>
        <w:ind w:left="960"/>
      </w:pPr>
      <w:r>
        <w:rPr>
          <w:rFonts w:ascii="Times New Roman" w:eastAsia="Times New Roman"/>
        </w:rPr>
        <w:t>6</w:t>
      </w:r>
      <w:r>
        <w:rPr/>
        <w:t>、中国证监会禁止的其他行为。</w:t>
      </w:r>
    </w:p>
    <w:p>
      <w:pPr>
        <w:pStyle w:val="BodyText"/>
        <w:spacing w:before="6"/>
        <w:rPr>
          <w:sz w:val="15"/>
        </w:rPr>
      </w:pPr>
    </w:p>
    <w:p>
      <w:pPr>
        <w:pStyle w:val="BodyText"/>
        <w:spacing w:line="417" w:lineRule="auto" w:before="1"/>
        <w:ind w:left="540" w:right="3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960"/>
      </w:pPr>
      <w:r>
        <w:rPr/>
        <w:t>本基金公开披露的信息采用阿拉伯数字；除特别说明外，货币单位为人民币元。</w:t>
      </w:r>
    </w:p>
    <w:p>
      <w:pPr>
        <w:pStyle w:val="BodyText"/>
        <w:spacing w:before="6"/>
        <w:rPr>
          <w:sz w:val="15"/>
        </w:rPr>
      </w:pPr>
    </w:p>
    <w:p>
      <w:pPr>
        <w:pStyle w:val="BodyText"/>
        <w:spacing w:line="417" w:lineRule="auto"/>
        <w:ind w:left="960" w:right="5681"/>
      </w:pPr>
      <w:r>
        <w:rPr/>
        <w:t>（五）公开披露的基金信息公开披露的基金信息包括：</w:t>
      </w:r>
    </w:p>
    <w:p>
      <w:pPr>
        <w:pStyle w:val="BodyText"/>
        <w:spacing w:line="269" w:lineRule="exact"/>
        <w:ind w:left="960"/>
      </w:pPr>
      <w:r>
        <w:rPr>
          <w:rFonts w:ascii="Times New Roman" w:eastAsia="Times New Roman"/>
        </w:rPr>
        <w:t>1</w:t>
      </w:r>
      <w:r>
        <w:rPr/>
        <w:t>、基金招募说明书、《基金合同》、基金托管协议</w:t>
      </w:r>
    </w:p>
    <w:p>
      <w:pPr>
        <w:pStyle w:val="BodyText"/>
        <w:spacing w:before="7"/>
        <w:rPr>
          <w:sz w:val="15"/>
        </w:rPr>
      </w:pPr>
    </w:p>
    <w:p>
      <w:pPr>
        <w:pStyle w:val="ListParagraph"/>
        <w:numPr>
          <w:ilvl w:val="0"/>
          <w:numId w:val="31"/>
        </w:numPr>
        <w:tabs>
          <w:tab w:pos="1490" w:val="left" w:leader="none"/>
        </w:tabs>
        <w:spacing w:line="417" w:lineRule="auto" w:before="0" w:after="0"/>
        <w:ind w:left="540" w:right="31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1"/>
        </w:numPr>
        <w:tabs>
          <w:tab w:pos="1490" w:val="left" w:leader="none"/>
        </w:tabs>
        <w:spacing w:line="417" w:lineRule="auto" w:before="0" w:after="0"/>
        <w:ind w:left="540" w:right="31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1"/>
        </w:numPr>
        <w:tabs>
          <w:tab w:pos="1490" w:val="left" w:leader="none"/>
        </w:tabs>
        <w:spacing w:line="417" w:lineRule="auto" w:before="0" w:after="0"/>
        <w:ind w:left="540" w:right="314" w:firstLine="419"/>
        <w:jc w:val="left"/>
        <w:rPr>
          <w:sz w:val="21"/>
        </w:rPr>
      </w:pPr>
      <w:r>
        <w:rPr>
          <w:spacing w:val="-3"/>
          <w:sz w:val="21"/>
        </w:rPr>
        <w:t>基金托管协议是界定基金托管人和基金管理人在基金财产保管及基金运作监督等活动中的权利、义务关系的法律文件。</w:t>
      </w:r>
    </w:p>
    <w:p>
      <w:pPr>
        <w:spacing w:after="0" w:line="417" w:lineRule="auto"/>
        <w:jc w:val="left"/>
        <w:rPr>
          <w:sz w:val="21"/>
        </w:rPr>
        <w:sectPr>
          <w:pgSz w:w="11910" w:h="16840"/>
          <w:pgMar w:header="877" w:footer="995" w:top="1420" w:bottom="1180" w:left="1260" w:right="1480"/>
        </w:sectPr>
      </w:pPr>
    </w:p>
    <w:p>
      <w:pPr>
        <w:pStyle w:val="BodyText"/>
        <w:spacing w:before="110"/>
        <w:ind w:left="960"/>
      </w:pPr>
      <w:r>
        <w:rPr>
          <w:rFonts w:ascii="Times New Roman" w:eastAsia="Times New Roman"/>
        </w:rPr>
        <w:t>2</w:t>
      </w:r>
      <w:r>
        <w:rPr/>
        <w:t>、基金产品资料概要</w:t>
      </w:r>
    </w:p>
    <w:p>
      <w:pPr>
        <w:pStyle w:val="BodyText"/>
        <w:spacing w:before="6"/>
        <w:rPr>
          <w:sz w:val="15"/>
        </w:rPr>
      </w:pPr>
    </w:p>
    <w:p>
      <w:pPr>
        <w:pStyle w:val="BodyText"/>
        <w:spacing w:line="417" w:lineRule="auto"/>
        <w:ind w:left="540" w:right="20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960"/>
      </w:pPr>
      <w:r>
        <w:rPr/>
        <w:t>关于基金产品资料概要编制、披露与更新的要求，自中国证监会规定之日起开始执行。</w:t>
      </w:r>
    </w:p>
    <w:p>
      <w:pPr>
        <w:pStyle w:val="BodyText"/>
        <w:spacing w:before="8"/>
        <w:rPr>
          <w:sz w:val="15"/>
        </w:rPr>
      </w:pPr>
    </w:p>
    <w:p>
      <w:pPr>
        <w:pStyle w:val="BodyText"/>
        <w:ind w:left="960"/>
      </w:pPr>
      <w:r>
        <w:rPr>
          <w:rFonts w:ascii="Times New Roman" w:eastAsia="Times New Roman"/>
        </w:rPr>
        <w:t>3</w:t>
      </w:r>
      <w:r>
        <w:rPr/>
        <w:t>、基金份额发售公告</w:t>
      </w:r>
    </w:p>
    <w:p>
      <w:pPr>
        <w:pStyle w:val="BodyText"/>
        <w:spacing w:before="6"/>
        <w:rPr>
          <w:sz w:val="15"/>
        </w:rPr>
      </w:pPr>
    </w:p>
    <w:p>
      <w:pPr>
        <w:pStyle w:val="BodyText"/>
        <w:spacing w:line="417" w:lineRule="auto" w:before="1"/>
        <w:ind w:left="540" w:right="311" w:firstLine="419"/>
      </w:pPr>
      <w:r>
        <w:rPr>
          <w:spacing w:val="-7"/>
        </w:rPr>
        <w:t>基金管理人就基金份额发售的具体事宜编制基金份额发售公告，并在披露招募说明书的</w:t>
      </w:r>
      <w:r>
        <w:rPr>
          <w:spacing w:val="-5"/>
        </w:rPr>
        <w:t>当日登载于指定媒介上。</w:t>
      </w:r>
    </w:p>
    <w:p>
      <w:pPr>
        <w:pStyle w:val="BodyText"/>
        <w:spacing w:line="269" w:lineRule="exact"/>
        <w:ind w:left="960"/>
      </w:pPr>
      <w:r>
        <w:rPr>
          <w:rFonts w:ascii="Times New Roman" w:eastAsia="Times New Roman"/>
        </w:rPr>
        <w:t>4</w:t>
      </w:r>
      <w:r>
        <w:rPr/>
        <w:t>、《基金合同》生效公告</w:t>
      </w:r>
    </w:p>
    <w:p>
      <w:pPr>
        <w:pStyle w:val="BodyText"/>
        <w:spacing w:before="6"/>
        <w:rPr>
          <w:sz w:val="15"/>
        </w:rPr>
      </w:pPr>
    </w:p>
    <w:p>
      <w:pPr>
        <w:pStyle w:val="BodyText"/>
        <w:ind w:left="960"/>
      </w:pPr>
      <w:r>
        <w:rPr/>
        <w:t>基金管理人在收到中国证监会确认文件的次日在指定媒介上登载《基金合同》生效公告。</w:t>
      </w:r>
    </w:p>
    <w:p>
      <w:pPr>
        <w:pStyle w:val="BodyText"/>
        <w:spacing w:before="7"/>
        <w:rPr>
          <w:sz w:val="15"/>
        </w:rPr>
      </w:pPr>
    </w:p>
    <w:p>
      <w:pPr>
        <w:pStyle w:val="BodyText"/>
        <w:ind w:left="960"/>
      </w:pPr>
      <w:r>
        <w:rPr>
          <w:rFonts w:ascii="Times New Roman" w:eastAsia="Times New Roman"/>
        </w:rPr>
        <w:t>5</w:t>
      </w:r>
      <w:r>
        <w:rPr/>
        <w:t>、基金净值信息</w:t>
      </w:r>
    </w:p>
    <w:p>
      <w:pPr>
        <w:pStyle w:val="BodyText"/>
        <w:spacing w:before="7"/>
        <w:rPr>
          <w:sz w:val="15"/>
        </w:rPr>
      </w:pPr>
    </w:p>
    <w:p>
      <w:pPr>
        <w:pStyle w:val="BodyText"/>
        <w:spacing w:line="417" w:lineRule="auto"/>
        <w:ind w:left="540" w:right="31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540" w:right="31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960"/>
      </w:pPr>
      <w:r>
        <w:rPr>
          <w:rFonts w:ascii="Times New Roman" w:eastAsia="Times New Roman"/>
        </w:rPr>
        <w:t>6</w:t>
      </w:r>
      <w:r>
        <w:rPr/>
        <w:t>、基金份额申购、赎回价格</w:t>
      </w:r>
    </w:p>
    <w:p>
      <w:pPr>
        <w:pStyle w:val="BodyText"/>
        <w:spacing w:before="6"/>
        <w:rPr>
          <w:sz w:val="15"/>
        </w:rPr>
      </w:pPr>
    </w:p>
    <w:p>
      <w:pPr>
        <w:pStyle w:val="BodyText"/>
        <w:spacing w:line="417" w:lineRule="auto" w:before="1"/>
        <w:ind w:left="540" w:right="31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540" w:right="31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540" w:right="31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540" w:right="31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31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40" w:right="314" w:firstLine="419"/>
      </w:pPr>
      <w:r>
        <w:rPr/>
        <w:t>基金管理人应当在基金年度报告和中期报告中披露基金组合资产情况及其流动性风险分析等。</w:t>
      </w:r>
    </w:p>
    <w:p>
      <w:pPr>
        <w:pStyle w:val="BodyText"/>
        <w:spacing w:line="417" w:lineRule="auto"/>
        <w:ind w:left="540" w:right="205" w:firstLine="419"/>
      </w:pPr>
      <w:r>
        <w:rPr/>
        <w:t>如报告期内出现单一投资者持有基金份额达到或超过基金总份额 </w:t>
      </w:r>
      <w:r>
        <w:rPr>
          <w:rFonts w:ascii="Times New Roman" w:hAnsi="Times New Roman" w:eastAsia="Times New Roman"/>
        </w:rPr>
        <w:t>20%</w:t>
      </w:r>
      <w:r>
        <w:rPr/>
        <w:t>的情形，为保障</w:t>
      </w:r>
      <w:r>
        <w:rPr>
          <w:spacing w:val="-16"/>
        </w:rPr>
        <w:t>其他投资者的权益，基金管理人至少应当在基金定期报告“影响投资者决策的其他重要信息” </w:t>
      </w:r>
      <w:r>
        <w:rPr>
          <w:spacing w:val="-13"/>
        </w:rPr>
        <w:t>项下披露该投资者的类别、报告期末持有份额及占比、报告期内持有份额变化情况及产品的</w:t>
      </w:r>
      <w:r>
        <w:rPr>
          <w:spacing w:val="-6"/>
        </w:rPr>
        <w:t>特有风险，中国证监会认定的特殊情形除外。</w:t>
      </w:r>
    </w:p>
    <w:p>
      <w:pPr>
        <w:pStyle w:val="BodyText"/>
        <w:ind w:left="960"/>
      </w:pPr>
      <w:r>
        <w:rPr>
          <w:rFonts w:ascii="Times New Roman" w:eastAsia="Times New Roman"/>
        </w:rPr>
        <w:t>8</w:t>
      </w:r>
      <w:r>
        <w:rPr/>
        <w:t>、临时报告</w:t>
      </w:r>
    </w:p>
    <w:p>
      <w:pPr>
        <w:pStyle w:val="BodyText"/>
        <w:spacing w:before="6"/>
        <w:rPr>
          <w:sz w:val="15"/>
        </w:rPr>
      </w:pPr>
    </w:p>
    <w:p>
      <w:pPr>
        <w:pStyle w:val="BodyText"/>
        <w:spacing w:line="417" w:lineRule="auto"/>
        <w:ind w:left="540" w:right="31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40" w:right="3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《基金合同》终止、基金清算。</w:t>
      </w:r>
    </w:p>
    <w:p>
      <w:pPr>
        <w:pStyle w:val="BodyText"/>
        <w:spacing w:before="6"/>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2"/>
        </w:numPr>
        <w:tabs>
          <w:tab w:pos="1490" w:val="left" w:leader="none"/>
        </w:tabs>
        <w:spacing w:line="240" w:lineRule="auto" w:before="0" w:after="0"/>
        <w:ind w:left="148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2"/>
        </w:numPr>
        <w:tabs>
          <w:tab w:pos="1490" w:val="left" w:leader="none"/>
        </w:tabs>
        <w:spacing w:line="417" w:lineRule="auto" w:before="0" w:after="0"/>
        <w:ind w:left="540" w:right="31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2"/>
        </w:numPr>
        <w:tabs>
          <w:tab w:pos="1490" w:val="left" w:leader="none"/>
        </w:tabs>
        <w:spacing w:line="269" w:lineRule="exact" w:before="0" w:after="0"/>
        <w:ind w:left="1489" w:right="0" w:hanging="530"/>
        <w:jc w:val="left"/>
        <w:rPr>
          <w:sz w:val="21"/>
        </w:rPr>
      </w:pPr>
      <w:r>
        <w:rPr>
          <w:spacing w:val="-3"/>
          <w:sz w:val="21"/>
        </w:rPr>
        <w:t>基金管理人、基金托管人的法定名称、住所发生变更。</w:t>
      </w:r>
    </w:p>
    <w:p>
      <w:pPr>
        <w:pStyle w:val="BodyText"/>
        <w:spacing w:before="6"/>
        <w:rPr>
          <w:sz w:val="15"/>
        </w:rPr>
      </w:pPr>
    </w:p>
    <w:p>
      <w:pPr>
        <w:pStyle w:val="ListParagraph"/>
        <w:numPr>
          <w:ilvl w:val="0"/>
          <w:numId w:val="32"/>
        </w:numPr>
        <w:tabs>
          <w:tab w:pos="1490" w:val="left" w:leader="none"/>
        </w:tabs>
        <w:spacing w:line="240" w:lineRule="auto" w:before="1" w:after="0"/>
        <w:ind w:left="148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2"/>
        </w:numPr>
        <w:tabs>
          <w:tab w:pos="1490" w:val="left" w:leader="none"/>
        </w:tabs>
        <w:spacing w:line="417" w:lineRule="auto" w:before="0" w:after="0"/>
        <w:ind w:left="540" w:right="314" w:firstLine="419"/>
        <w:jc w:val="left"/>
        <w:rPr>
          <w:sz w:val="21"/>
        </w:rPr>
      </w:pPr>
      <w:r>
        <w:rPr>
          <w:spacing w:val="-3"/>
          <w:sz w:val="21"/>
        </w:rPr>
        <w:t>基金管理人高级管理人员、基金经理和基金托管人专门基金托管部门负责人发生变动。</w:t>
      </w:r>
    </w:p>
    <w:p>
      <w:pPr>
        <w:pStyle w:val="ListParagraph"/>
        <w:numPr>
          <w:ilvl w:val="0"/>
          <w:numId w:val="32"/>
        </w:numPr>
        <w:tabs>
          <w:tab w:pos="1490" w:val="left" w:leader="none"/>
        </w:tabs>
        <w:spacing w:line="269" w:lineRule="exact" w:before="0" w:after="0"/>
        <w:ind w:left="148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5"/>
          <w:sz w:val="21"/>
        </w:rPr>
        <w:t> </w:t>
      </w:r>
      <w:r>
        <w:rPr>
          <w:spacing w:val="-8"/>
          <w:sz w:val="21"/>
        </w:rPr>
        <w:t>个月内变更超过百分之五十，基金管理人、基金托管</w:t>
      </w:r>
    </w:p>
    <w:p>
      <w:pPr>
        <w:pStyle w:val="BodyText"/>
        <w:spacing w:before="6"/>
        <w:rPr>
          <w:sz w:val="15"/>
        </w:rPr>
      </w:pPr>
    </w:p>
    <w:p>
      <w:pPr>
        <w:pStyle w:val="BodyText"/>
        <w:spacing w:before="1"/>
        <w:ind w:left="540"/>
      </w:pPr>
      <w:r>
        <w:rPr/>
        <w:t>人专门基金托管部门的主要业务人员在最近 </w:t>
      </w:r>
      <w:r>
        <w:rPr>
          <w:rFonts w:ascii="Times New Roman" w:eastAsia="Times New Roman"/>
        </w:rPr>
        <w:t>12 </w:t>
      </w:r>
      <w:r>
        <w:rPr/>
        <w:t>个月内变动超过百分之三十。</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2"/>
        </w:numPr>
        <w:tabs>
          <w:tab w:pos="1586" w:val="left" w:leader="none"/>
        </w:tabs>
        <w:spacing w:line="417" w:lineRule="auto" w:before="0" w:after="0"/>
        <w:ind w:left="540" w:right="31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2"/>
        </w:numPr>
        <w:tabs>
          <w:tab w:pos="1593" w:val="left" w:leader="none"/>
        </w:tabs>
        <w:spacing w:line="240" w:lineRule="auto" w:before="0" w:after="0"/>
        <w:ind w:left="1592" w:right="0" w:hanging="633"/>
        <w:jc w:val="left"/>
        <w:rPr>
          <w:sz w:val="21"/>
        </w:rPr>
      </w:pPr>
      <w:r>
        <w:rPr>
          <w:spacing w:val="-6"/>
          <w:sz w:val="21"/>
        </w:rPr>
        <w:t>基金管理人运用基金财产买卖基金管理人、基金托管人及其控股股东、实际控制</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311"/>
      </w:pPr>
      <w:r>
        <w:rPr>
          <w:spacing w:val="-6"/>
        </w:rPr>
        <w:t>人或者与其有重大利害关系的公司发行的证券或者承销期内承销的证券，或者从事其他重大</w:t>
      </w:r>
      <w:r>
        <w:rPr>
          <w:spacing w:val="-4"/>
        </w:rPr>
        <w:t>关联交易事项，中国证监会另有规定的情形除外。</w:t>
      </w:r>
    </w:p>
    <w:p>
      <w:pPr>
        <w:pStyle w:val="ListParagraph"/>
        <w:numPr>
          <w:ilvl w:val="0"/>
          <w:numId w:val="32"/>
        </w:numPr>
        <w:tabs>
          <w:tab w:pos="1595" w:val="left" w:leader="none"/>
        </w:tabs>
        <w:spacing w:line="269" w:lineRule="exact" w:before="0" w:after="0"/>
        <w:ind w:left="1595" w:right="0" w:hanging="635"/>
        <w:jc w:val="left"/>
        <w:rPr>
          <w:sz w:val="21"/>
        </w:rPr>
      </w:pPr>
      <w:r>
        <w:rPr>
          <w:spacing w:val="-3"/>
          <w:sz w:val="21"/>
        </w:rPr>
        <w:t>基金收益分配事项。</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管理费、托管费、申购费、赎回费等费用计提标准、计提方式和费率发生变更。</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本基金暂停接受申购、赎回申请或重新接受申购、赎回申请。</w:t>
      </w:r>
    </w:p>
    <w:p>
      <w:pPr>
        <w:pStyle w:val="BodyText"/>
        <w:spacing w:before="6"/>
        <w:rPr>
          <w:sz w:val="15"/>
        </w:rPr>
      </w:pPr>
    </w:p>
    <w:p>
      <w:pPr>
        <w:pStyle w:val="ListParagraph"/>
        <w:numPr>
          <w:ilvl w:val="0"/>
          <w:numId w:val="32"/>
        </w:numPr>
        <w:tabs>
          <w:tab w:pos="1595" w:val="left" w:leader="none"/>
        </w:tabs>
        <w:spacing w:line="240" w:lineRule="auto" w:before="1" w:after="0"/>
        <w:ind w:left="1595" w:right="0" w:hanging="635"/>
        <w:jc w:val="left"/>
        <w:rPr>
          <w:sz w:val="21"/>
        </w:rPr>
      </w:pPr>
      <w:r>
        <w:rPr>
          <w:spacing w:val="-3"/>
          <w:sz w:val="21"/>
        </w:rPr>
        <w:t>基金份额的拆分。</w:t>
      </w:r>
    </w:p>
    <w:p>
      <w:pPr>
        <w:pStyle w:val="BodyText"/>
        <w:spacing w:before="6"/>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2"/>
        </w:numPr>
        <w:tabs>
          <w:tab w:pos="1595" w:val="left" w:leader="none"/>
        </w:tabs>
        <w:spacing w:line="240" w:lineRule="auto" w:before="0" w:after="0"/>
        <w:ind w:left="1595" w:right="0" w:hanging="635"/>
        <w:jc w:val="left"/>
        <w:rPr>
          <w:sz w:val="21"/>
        </w:rPr>
      </w:pPr>
      <w:r>
        <w:rPr>
          <w:spacing w:val="-3"/>
          <w:sz w:val="21"/>
        </w:rPr>
        <w:t>基金管理人采用摆动定价机制进行估值。</w:t>
      </w:r>
    </w:p>
    <w:p>
      <w:pPr>
        <w:pStyle w:val="BodyText"/>
        <w:spacing w:before="6"/>
        <w:rPr>
          <w:sz w:val="15"/>
        </w:rPr>
      </w:pPr>
    </w:p>
    <w:p>
      <w:pPr>
        <w:pStyle w:val="ListParagraph"/>
        <w:numPr>
          <w:ilvl w:val="0"/>
          <w:numId w:val="32"/>
        </w:numPr>
        <w:tabs>
          <w:tab w:pos="1593" w:val="left" w:leader="none"/>
        </w:tabs>
        <w:spacing w:line="417" w:lineRule="auto" w:before="1" w:after="0"/>
        <w:ind w:left="540" w:right="31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ind w:left="960"/>
      </w:pPr>
      <w:r>
        <w:rPr>
          <w:rFonts w:ascii="Times New Roman" w:eastAsia="Times New Roman"/>
        </w:rPr>
        <w:t>9</w:t>
      </w:r>
      <w:r>
        <w:rPr/>
        <w:t>、澄清公告</w:t>
      </w:r>
    </w:p>
    <w:p>
      <w:pPr>
        <w:pStyle w:val="BodyText"/>
        <w:spacing w:before="6"/>
        <w:rPr>
          <w:sz w:val="15"/>
        </w:rPr>
      </w:pPr>
    </w:p>
    <w:p>
      <w:pPr>
        <w:pStyle w:val="BodyText"/>
        <w:spacing w:line="417" w:lineRule="auto"/>
        <w:ind w:left="540" w:right="10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960"/>
      </w:pPr>
      <w:r>
        <w:rPr>
          <w:rFonts w:ascii="Times New Roman" w:eastAsia="Times New Roman"/>
        </w:rPr>
        <w:t>10</w:t>
      </w:r>
      <w:r>
        <w:rPr/>
        <w:t>、清算报告</w:t>
      </w:r>
    </w:p>
    <w:p>
      <w:pPr>
        <w:pStyle w:val="BodyText"/>
        <w:spacing w:before="7"/>
        <w:rPr>
          <w:sz w:val="15"/>
        </w:rPr>
      </w:pPr>
    </w:p>
    <w:p>
      <w:pPr>
        <w:pStyle w:val="BodyText"/>
        <w:spacing w:line="417" w:lineRule="auto"/>
        <w:ind w:left="540" w:right="311" w:firstLine="419"/>
      </w:pPr>
      <w:r>
        <w:rPr>
          <w:spacing w:val="-7"/>
        </w:rPr>
        <w:t>基金财产清算小组应当将清算报告登载在指定网站上，并将清算报告提示性公告登载在</w:t>
      </w:r>
      <w:r>
        <w:rPr>
          <w:spacing w:val="-5"/>
        </w:rPr>
        <w:t>指定报刊上。</w:t>
      </w:r>
    </w:p>
    <w:p>
      <w:pPr>
        <w:pStyle w:val="BodyText"/>
        <w:ind w:left="960"/>
      </w:pPr>
      <w:r>
        <w:rPr>
          <w:rFonts w:ascii="Times New Roman" w:eastAsia="Times New Roman"/>
        </w:rPr>
        <w:t>11</w:t>
      </w:r>
      <w:r>
        <w:rPr/>
        <w:t>、基金份额持有人大会决议</w:t>
      </w:r>
    </w:p>
    <w:p>
      <w:pPr>
        <w:pStyle w:val="BodyText"/>
        <w:spacing w:before="7"/>
        <w:rPr>
          <w:sz w:val="15"/>
        </w:rPr>
      </w:pPr>
    </w:p>
    <w:p>
      <w:pPr>
        <w:pStyle w:val="BodyText"/>
        <w:spacing w:line="417" w:lineRule="auto"/>
        <w:ind w:left="540" w:right="311" w:firstLine="419"/>
      </w:pPr>
      <w:r>
        <w:rPr>
          <w:spacing w:val="-8"/>
        </w:rPr>
        <w:t>基金份额持有人大会决定的事项，应当依法报国务院证券监督管理机构备案，并予以公告。</w:t>
      </w:r>
    </w:p>
    <w:p>
      <w:pPr>
        <w:pStyle w:val="BodyText"/>
        <w:spacing w:line="269" w:lineRule="exact"/>
        <w:ind w:left="960"/>
      </w:pPr>
      <w:r>
        <w:rPr>
          <w:rFonts w:ascii="Times New Roman" w:eastAsia="Times New Roman"/>
        </w:rPr>
        <w:t>12</w:t>
      </w:r>
      <w:r>
        <w:rPr/>
        <w:t>、投资中小企业私募债券的相关公告</w:t>
      </w:r>
    </w:p>
    <w:p>
      <w:pPr>
        <w:pStyle w:val="BodyText"/>
        <w:spacing w:before="7"/>
        <w:rPr>
          <w:sz w:val="15"/>
        </w:rPr>
      </w:pPr>
    </w:p>
    <w:p>
      <w:pPr>
        <w:pStyle w:val="BodyText"/>
        <w:spacing w:line="417" w:lineRule="auto"/>
        <w:ind w:left="540" w:right="311" w:firstLine="419"/>
      </w:pPr>
      <w:r>
        <w:rPr>
          <w:spacing w:val="-7"/>
        </w:rPr>
        <w:t>基金管理人在本基金投资中小企业私募债券后两个交易日内，在中国证监会指定媒介披</w:t>
      </w:r>
      <w:r>
        <w:rPr>
          <w:spacing w:val="-5"/>
        </w:rPr>
        <w:t>露所投资中小企业私募债券的名称、数量、期限、收益率等信息。</w:t>
      </w:r>
    </w:p>
    <w:p>
      <w:pPr>
        <w:pStyle w:val="BodyText"/>
        <w:spacing w:line="417" w:lineRule="auto"/>
        <w:ind w:left="540" w:right="311" w:firstLine="419"/>
      </w:pPr>
      <w:r>
        <w:rPr>
          <w:spacing w:val="-9"/>
        </w:rPr>
        <w:t>本基金应当在季度报告、中期报告、年度报告等定期报告和招募说明书</w:t>
      </w:r>
      <w:r>
        <w:rPr/>
        <w:t>（</w:t>
      </w:r>
      <w:r>
        <w:rPr>
          <w:spacing w:val="-2"/>
        </w:rPr>
        <w:t>更新</w:t>
      </w:r>
      <w:r>
        <w:rPr>
          <w:spacing w:val="-25"/>
        </w:rPr>
        <w:t>）</w:t>
      </w:r>
      <w:r>
        <w:rPr>
          <w:spacing w:val="-2"/>
        </w:rPr>
        <w:t>等文件</w:t>
      </w:r>
      <w:r>
        <w:rPr>
          <w:spacing w:val="-3"/>
        </w:rPr>
        <w:t>中披露中小企业私募债券的投资情况。</w:t>
      </w:r>
    </w:p>
    <w:p>
      <w:pPr>
        <w:spacing w:after="0" w:line="417" w:lineRule="auto"/>
        <w:sectPr>
          <w:pgSz w:w="11910" w:h="16840"/>
          <w:pgMar w:header="877" w:footer="995" w:top="1420" w:bottom="1180" w:left="1260" w:right="1480"/>
        </w:sectPr>
      </w:pPr>
    </w:p>
    <w:p>
      <w:pPr>
        <w:pStyle w:val="BodyText"/>
        <w:spacing w:before="110"/>
        <w:ind w:left="960"/>
      </w:pPr>
      <w:r>
        <w:rPr>
          <w:rFonts w:ascii="Times New Roman" w:eastAsia="Times New Roman"/>
        </w:rPr>
        <w:t>13</w:t>
      </w:r>
      <w:r>
        <w:rPr/>
        <w:t>、投资股指期货的相关公告</w:t>
      </w:r>
    </w:p>
    <w:p>
      <w:pPr>
        <w:pStyle w:val="BodyText"/>
        <w:spacing w:before="6"/>
        <w:rPr>
          <w:sz w:val="15"/>
        </w:rPr>
      </w:pPr>
    </w:p>
    <w:p>
      <w:pPr>
        <w:pStyle w:val="BodyText"/>
        <w:spacing w:line="417" w:lineRule="auto"/>
        <w:ind w:left="540" w:right="31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等文件中披露的股</w:t>
      </w:r>
      <w:r>
        <w:rPr>
          <w:spacing w:val="-10"/>
        </w:rPr>
        <w:t>指期货交易情况，应当包括投资政策、持仓情况、损益情况、风险指标等，并充分揭示股指</w:t>
      </w:r>
      <w:r>
        <w:rPr>
          <w:spacing w:val="-5"/>
        </w:rPr>
        <w:t>期货交易对本基金总体风险的影响以及是否符合既定的投资政策和投资目标等。</w:t>
      </w:r>
    </w:p>
    <w:p>
      <w:pPr>
        <w:pStyle w:val="BodyText"/>
        <w:spacing w:line="269" w:lineRule="exact"/>
        <w:ind w:left="960"/>
      </w:pPr>
      <w:r>
        <w:rPr>
          <w:rFonts w:ascii="Times New Roman" w:eastAsia="Times New Roman"/>
        </w:rPr>
        <w:t>14</w:t>
      </w:r>
      <w:r>
        <w:rPr/>
        <w:t>、投资国债期货的相关公告</w:t>
      </w:r>
    </w:p>
    <w:p>
      <w:pPr>
        <w:pStyle w:val="BodyText"/>
        <w:spacing w:before="7"/>
        <w:rPr>
          <w:sz w:val="15"/>
        </w:rPr>
      </w:pPr>
    </w:p>
    <w:p>
      <w:pPr>
        <w:pStyle w:val="BodyText"/>
        <w:spacing w:line="417" w:lineRule="auto"/>
        <w:ind w:left="540" w:right="31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期货交易对本基金总体风险的影响以及是否符合既定的投资政策和投资目标等。</w:t>
      </w:r>
    </w:p>
    <w:p>
      <w:pPr>
        <w:pStyle w:val="BodyText"/>
        <w:ind w:left="960"/>
      </w:pPr>
      <w:r>
        <w:rPr>
          <w:rFonts w:ascii="Times New Roman" w:eastAsia="Times New Roman"/>
        </w:rPr>
        <w:t>15</w:t>
      </w:r>
      <w:r>
        <w:rPr/>
        <w:t>、股票期权投资情况</w:t>
      </w:r>
    </w:p>
    <w:p>
      <w:pPr>
        <w:pStyle w:val="BodyText"/>
        <w:spacing w:before="7"/>
        <w:rPr>
          <w:sz w:val="15"/>
        </w:rPr>
      </w:pPr>
    </w:p>
    <w:p>
      <w:pPr>
        <w:pStyle w:val="BodyText"/>
        <w:spacing w:line="417" w:lineRule="auto"/>
        <w:ind w:left="540" w:right="102" w:firstLine="419"/>
      </w:pPr>
      <w:r>
        <w:rPr>
          <w:spacing w:val="-6"/>
        </w:rPr>
        <w:t>基金管理人应在定期信息披露文件中披露参与股票期权交易的有关情况，包括投资政策、</w:t>
      </w:r>
      <w:r>
        <w:rPr>
          <w:spacing w:val="-4"/>
        </w:rPr>
        <w:t>持仓情况等。</w:t>
      </w:r>
    </w:p>
    <w:p>
      <w:pPr>
        <w:pStyle w:val="BodyText"/>
        <w:spacing w:line="269" w:lineRule="exact"/>
        <w:ind w:left="960"/>
      </w:pPr>
      <w:r>
        <w:rPr>
          <w:rFonts w:ascii="Times New Roman" w:eastAsia="Times New Roman"/>
        </w:rPr>
        <w:t>16</w:t>
      </w:r>
      <w:r>
        <w:rPr/>
        <w:t>、投资资产支持证券的相关公告</w:t>
      </w:r>
    </w:p>
    <w:p>
      <w:pPr>
        <w:pStyle w:val="BodyText"/>
        <w:spacing w:before="7"/>
        <w:rPr>
          <w:sz w:val="15"/>
        </w:rPr>
      </w:pPr>
    </w:p>
    <w:p>
      <w:pPr>
        <w:pStyle w:val="BodyText"/>
        <w:spacing w:line="417" w:lineRule="auto"/>
        <w:ind w:left="540" w:right="311" w:firstLine="419"/>
        <w:jc w:val="both"/>
      </w:pPr>
      <w:r>
        <w:rPr>
          <w:spacing w:val="-6"/>
        </w:rPr>
        <w:t>基金管理人应在基金年报及中期报告中披露本基金持有的资产支持证券总额、资产支持</w:t>
      </w:r>
      <w:r>
        <w:rPr>
          <w:spacing w:val="-8"/>
        </w:rPr>
        <w:t>证券市值占基金净资产的比例和报告期内所有的资产支持证券明细。基金管理人应在基金季</w:t>
      </w:r>
      <w:r>
        <w:rPr>
          <w:spacing w:val="-10"/>
        </w:rPr>
        <w:t>度报告中披露本基金持有的资产支持证券总额、资产支持证券市值占基金净资产的比例和报</w:t>
      </w:r>
      <w:r>
        <w:rPr>
          <w:spacing w:val="-8"/>
        </w:rPr>
        <w:t>告期末按市值占基金净资产比例大小排序的前 </w:t>
      </w:r>
      <w:r>
        <w:rPr>
          <w:rFonts w:ascii="Times New Roman" w:eastAsia="Times New Roman"/>
        </w:rPr>
        <w:t>10 </w:t>
      </w:r>
      <w:r>
        <w:rPr>
          <w:spacing w:val="-3"/>
        </w:rPr>
        <w:t>名资产支持证券明细。</w:t>
      </w:r>
    </w:p>
    <w:p>
      <w:pPr>
        <w:pStyle w:val="BodyText"/>
        <w:spacing w:line="269" w:lineRule="exact"/>
        <w:ind w:left="960"/>
      </w:pPr>
      <w:r>
        <w:rPr>
          <w:rFonts w:ascii="Times New Roman" w:eastAsia="Times New Roman"/>
        </w:rPr>
        <w:t>17</w:t>
      </w:r>
      <w:r>
        <w:rPr/>
        <w:t>、中国证监会规定的其他信息。</w:t>
      </w:r>
    </w:p>
    <w:p>
      <w:pPr>
        <w:pStyle w:val="BodyText"/>
        <w:spacing w:before="6"/>
        <w:rPr>
          <w:sz w:val="15"/>
        </w:rPr>
      </w:pPr>
    </w:p>
    <w:p>
      <w:pPr>
        <w:pStyle w:val="BodyText"/>
        <w:spacing w:before="1"/>
        <w:ind w:left="960"/>
      </w:pPr>
      <w:r>
        <w:rPr/>
        <w:t>（六）信息披露事务管理</w:t>
      </w:r>
    </w:p>
    <w:p>
      <w:pPr>
        <w:pStyle w:val="BodyText"/>
        <w:spacing w:before="6"/>
        <w:rPr>
          <w:sz w:val="15"/>
        </w:rPr>
      </w:pPr>
    </w:p>
    <w:p>
      <w:pPr>
        <w:pStyle w:val="BodyText"/>
        <w:spacing w:line="417" w:lineRule="auto"/>
        <w:ind w:left="540" w:right="31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540" w:right="3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3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40" w:right="311" w:firstLine="419"/>
      </w:pPr>
      <w:r>
        <w:rPr>
          <w:spacing w:val="-10"/>
        </w:rPr>
        <w:t>基金管理人、基金托管人应当在指定报刊中选择披露信息的报刊，本基金只需选择一家报刊。</w:t>
      </w:r>
    </w:p>
    <w:p>
      <w:pPr>
        <w:pStyle w:val="BodyText"/>
        <w:spacing w:line="417" w:lineRule="auto"/>
        <w:ind w:left="540" w:right="20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p>
    <w:p>
      <w:pPr>
        <w:spacing w:after="0" w:line="417" w:lineRule="auto"/>
        <w:sectPr>
          <w:pgSz w:w="11910" w:h="16840"/>
          <w:pgMar w:header="877" w:footer="995" w:top="1420" w:bottom="1180" w:left="1260" w:right="1480"/>
        </w:sectPr>
      </w:pPr>
    </w:p>
    <w:p>
      <w:pPr>
        <w:pStyle w:val="BodyText"/>
        <w:spacing w:before="110"/>
        <w:ind w:left="540"/>
      </w:pPr>
      <w:r>
        <w:rPr/>
        <w:t>决策有重大影响的信息。</w:t>
      </w:r>
    </w:p>
    <w:p>
      <w:pPr>
        <w:pStyle w:val="BodyText"/>
        <w:spacing w:before="6"/>
        <w:rPr>
          <w:sz w:val="15"/>
        </w:rPr>
      </w:pPr>
    </w:p>
    <w:p>
      <w:pPr>
        <w:pStyle w:val="BodyText"/>
        <w:spacing w:line="417" w:lineRule="auto"/>
        <w:ind w:left="540" w:right="31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960"/>
      </w:pPr>
      <w:r>
        <w:rPr/>
        <w:t>（七）信息披露文件的存放与查阅</w:t>
      </w:r>
    </w:p>
    <w:p>
      <w:pPr>
        <w:pStyle w:val="BodyText"/>
        <w:spacing w:before="7"/>
        <w:rPr>
          <w:sz w:val="15"/>
        </w:rPr>
      </w:pP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1013"/>
      </w:pPr>
      <w:r>
        <w:rPr/>
        <w:t>（八）法律法规或监管部门对信息披露另有规定的，从其规定。</w:t>
      </w:r>
    </w:p>
    <w:p>
      <w:pPr>
        <w:pStyle w:val="BodyText"/>
        <w:rPr>
          <w:sz w:val="20"/>
        </w:rPr>
      </w:pPr>
    </w:p>
    <w:p>
      <w:pPr>
        <w:pStyle w:val="BodyText"/>
        <w:spacing w:before="2"/>
        <w:rPr>
          <w:sz w:val="22"/>
        </w:rPr>
      </w:pPr>
    </w:p>
    <w:p>
      <w:pPr>
        <w:pStyle w:val="Heading1"/>
      </w:pPr>
      <w:bookmarkStart w:name="_bookmark16" w:id="17"/>
      <w:bookmarkEnd w:id="17"/>
      <w:r>
        <w:rPr>
          <w:b w:val="0"/>
        </w:rPr>
      </w:r>
      <w:r>
        <w:rPr/>
        <w:t>十七、风险揭示</w:t>
      </w:r>
    </w:p>
    <w:p>
      <w:pPr>
        <w:pStyle w:val="BodyText"/>
        <w:rPr>
          <w:b/>
          <w:sz w:val="20"/>
        </w:rPr>
      </w:pPr>
    </w:p>
    <w:p>
      <w:pPr>
        <w:pStyle w:val="BodyText"/>
        <w:spacing w:before="3"/>
        <w:rPr>
          <w:b/>
        </w:rPr>
      </w:pPr>
    </w:p>
    <w:p>
      <w:pPr>
        <w:pStyle w:val="BodyText"/>
        <w:ind w:left="960"/>
      </w:pPr>
      <w:r>
        <w:rPr/>
        <w:t>（一）投资于本基金的主要风险</w:t>
      </w:r>
    </w:p>
    <w:p>
      <w:pPr>
        <w:pStyle w:val="BodyText"/>
        <w:spacing w:before="6"/>
        <w:rPr>
          <w:sz w:val="15"/>
        </w:rPr>
      </w:pPr>
    </w:p>
    <w:p>
      <w:pPr>
        <w:pStyle w:val="BodyText"/>
        <w:spacing w:before="1"/>
        <w:ind w:left="960"/>
      </w:pPr>
      <w:r>
        <w:rPr>
          <w:rFonts w:ascii="Times New Roman" w:eastAsia="Times New Roman"/>
        </w:rPr>
        <w:t>1</w:t>
      </w:r>
      <w:r>
        <w:rPr/>
        <w:t>、市场风险</w:t>
      </w:r>
    </w:p>
    <w:p>
      <w:pPr>
        <w:pStyle w:val="BodyText"/>
        <w:spacing w:before="6"/>
        <w:rPr>
          <w:sz w:val="15"/>
        </w:rPr>
      </w:pPr>
    </w:p>
    <w:p>
      <w:pPr>
        <w:pStyle w:val="BodyText"/>
        <w:spacing w:line="417" w:lineRule="auto"/>
        <w:ind w:left="540" w:right="31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股票投资风险主要包括：</w:t>
      </w:r>
    </w:p>
    <w:p>
      <w:pPr>
        <w:pStyle w:val="BodyText"/>
        <w:spacing w:before="7"/>
        <w:rPr>
          <w:sz w:val="15"/>
        </w:rPr>
      </w:pPr>
    </w:p>
    <w:p>
      <w:pPr>
        <w:pStyle w:val="BodyText"/>
        <w:spacing w:line="417" w:lineRule="auto"/>
        <w:ind w:left="540" w:right="311" w:firstLine="419"/>
      </w:pPr>
      <w:r>
        <w:rPr>
          <w:spacing w:val="-11"/>
        </w:rPr>
        <w:t>①国家货币政策、财政政策、产业政策等的变化对证券市场产生一定的影响，导致市场</w:t>
      </w:r>
      <w:r>
        <w:rPr>
          <w:spacing w:val="-6"/>
        </w:rPr>
        <w:t>价格水平波动的风险。</w:t>
      </w:r>
    </w:p>
    <w:p>
      <w:pPr>
        <w:pStyle w:val="BodyText"/>
        <w:spacing w:line="269" w:lineRule="exact"/>
        <w:ind w:left="960"/>
      </w:pPr>
      <w:r>
        <w:rPr/>
        <w:t>②宏观经济运行周期性波动，对股票市场的收益水平产生影响的风险。</w:t>
      </w:r>
    </w:p>
    <w:p>
      <w:pPr>
        <w:pStyle w:val="BodyText"/>
        <w:spacing w:before="7"/>
        <w:rPr>
          <w:sz w:val="15"/>
        </w:rPr>
      </w:pPr>
    </w:p>
    <w:p>
      <w:pPr>
        <w:pStyle w:val="BodyText"/>
        <w:spacing w:line="417" w:lineRule="auto"/>
        <w:ind w:left="540" w:right="311" w:firstLine="419"/>
      </w:pPr>
      <w:r>
        <w:rPr>
          <w:spacing w:val="-9"/>
        </w:rPr>
        <w:t>③上市公司的经营状况受多种因素影响，如市场、技术、竞争、管理、财务等都会导致</w:t>
      </w:r>
      <w:r>
        <w:rPr>
          <w:spacing w:val="-5"/>
        </w:rPr>
        <w:t>公司盈利发生变化，从而导致股票价格变动的风险。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债券投资风险主要包括：</w:t>
      </w:r>
    </w:p>
    <w:p>
      <w:pPr>
        <w:pStyle w:val="BodyText"/>
        <w:spacing w:before="7"/>
        <w:rPr>
          <w:sz w:val="15"/>
        </w:rPr>
      </w:pPr>
    </w:p>
    <w:p>
      <w:pPr>
        <w:pStyle w:val="BodyText"/>
        <w:ind w:left="960"/>
      </w:pPr>
      <w:r>
        <w:rPr/>
        <w:t>①信用风险</w:t>
      </w:r>
    </w:p>
    <w:p>
      <w:pPr>
        <w:pStyle w:val="BodyText"/>
        <w:spacing w:before="7"/>
        <w:rPr>
          <w:sz w:val="15"/>
        </w:rPr>
      </w:pPr>
    </w:p>
    <w:p>
      <w:pPr>
        <w:pStyle w:val="BodyText"/>
        <w:spacing w:line="417" w:lineRule="auto"/>
        <w:ind w:left="540" w:right="31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spacing w:line="269" w:lineRule="exact"/>
        <w:ind w:left="960"/>
      </w:pPr>
      <w:r>
        <w:rPr>
          <w:spacing w:val="-1"/>
        </w:rPr>
        <w:t>②利率风险</w:t>
      </w:r>
    </w:p>
    <w:p>
      <w:pPr>
        <w:pStyle w:val="BodyText"/>
        <w:spacing w:before="7"/>
        <w:rPr>
          <w:sz w:val="15"/>
        </w:rPr>
      </w:pPr>
    </w:p>
    <w:p>
      <w:pPr>
        <w:pStyle w:val="BodyText"/>
        <w:spacing w:line="417" w:lineRule="auto"/>
        <w:ind w:left="540" w:right="31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ind w:left="960"/>
      </w:pPr>
      <w:r>
        <w:rPr/>
        <w:t>③收益率曲线风险</w:t>
      </w:r>
    </w:p>
    <w:p>
      <w:pPr>
        <w:spacing w:after="0"/>
        <w:sectPr>
          <w:pgSz w:w="11910" w:h="16840"/>
          <w:pgMar w:header="877" w:footer="995" w:top="1420" w:bottom="1180" w:left="1260" w:right="1480"/>
        </w:sectPr>
      </w:pPr>
    </w:p>
    <w:p>
      <w:pPr>
        <w:pStyle w:val="BodyText"/>
        <w:spacing w:line="417" w:lineRule="auto" w:before="110"/>
        <w:ind w:left="540" w:right="31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spacing w:line="269" w:lineRule="exact"/>
        <w:ind w:left="960"/>
      </w:pPr>
      <w:r>
        <w:rPr/>
        <w:t>④利差风险</w:t>
      </w:r>
    </w:p>
    <w:p>
      <w:pPr>
        <w:pStyle w:val="BodyText"/>
        <w:spacing w:before="6"/>
        <w:rPr>
          <w:sz w:val="15"/>
        </w:rPr>
      </w:pPr>
    </w:p>
    <w:p>
      <w:pPr>
        <w:pStyle w:val="BodyText"/>
        <w:spacing w:line="417" w:lineRule="auto"/>
        <w:ind w:left="540" w:right="311" w:firstLine="419"/>
      </w:pPr>
      <w:r>
        <w:rPr>
          <w:spacing w:val="-12"/>
        </w:rPr>
        <w:t>债券市场不同期限、不同类属债券之间的利差变动导致相应期限和类属债券价格变化的风险。</w:t>
      </w:r>
    </w:p>
    <w:p>
      <w:pPr>
        <w:pStyle w:val="BodyText"/>
        <w:spacing w:line="269" w:lineRule="exact"/>
        <w:ind w:left="960"/>
      </w:pPr>
      <w:r>
        <w:rPr/>
        <w:t>⑤市场供需风险</w:t>
      </w:r>
    </w:p>
    <w:p>
      <w:pPr>
        <w:pStyle w:val="BodyText"/>
        <w:spacing w:before="7"/>
        <w:rPr>
          <w:sz w:val="15"/>
        </w:rPr>
      </w:pPr>
    </w:p>
    <w:p>
      <w:pPr>
        <w:pStyle w:val="BodyText"/>
        <w:spacing w:line="417" w:lineRule="auto"/>
        <w:ind w:left="540" w:right="31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BodyText"/>
        <w:ind w:left="960"/>
      </w:pPr>
      <w:r>
        <w:rPr/>
        <w:t>⑥购买力风险</w:t>
      </w:r>
    </w:p>
    <w:p>
      <w:pPr>
        <w:pStyle w:val="BodyText"/>
        <w:spacing w:before="7"/>
        <w:rPr>
          <w:sz w:val="15"/>
        </w:rPr>
      </w:pPr>
    </w:p>
    <w:p>
      <w:pPr>
        <w:pStyle w:val="BodyText"/>
        <w:spacing w:line="417" w:lineRule="auto"/>
        <w:ind w:left="540" w:right="311" w:firstLine="419"/>
      </w:pPr>
      <w:r>
        <w:rPr>
          <w:spacing w:val="-8"/>
        </w:rPr>
        <w:t>基金投资所取得的收益率有可能低于通货膨胀率，从而导致投资者持有本基金资产实际</w:t>
      </w:r>
      <w:r>
        <w:rPr>
          <w:spacing w:val="-5"/>
        </w:rPr>
        <w:t>购买力下降。</w:t>
      </w:r>
    </w:p>
    <w:p>
      <w:pPr>
        <w:pStyle w:val="BodyText"/>
        <w:spacing w:line="269" w:lineRule="exact"/>
        <w:ind w:left="960"/>
      </w:pPr>
      <w:r>
        <w:rPr>
          <w:rFonts w:ascii="Times New Roman" w:eastAsia="Times New Roman"/>
        </w:rPr>
        <w:t>2</w:t>
      </w:r>
      <w:r>
        <w:rPr/>
        <w:t>、流动性风险</w:t>
      </w:r>
    </w:p>
    <w:p>
      <w:pPr>
        <w:pStyle w:val="BodyText"/>
        <w:spacing w:before="7"/>
        <w:rPr>
          <w:sz w:val="15"/>
        </w:rPr>
      </w:pPr>
    </w:p>
    <w:p>
      <w:pPr>
        <w:pStyle w:val="BodyText"/>
        <w:spacing w:line="417" w:lineRule="auto"/>
        <w:ind w:left="540" w:right="311" w:firstLine="419"/>
      </w:pPr>
      <w:r>
        <w:rPr>
          <w:spacing w:val="-8"/>
        </w:rPr>
        <w:t>在市场或个券流动性不足的情况下，基金管理人可能无法迅速、低成本地调整基金投资</w:t>
      </w:r>
      <w:r>
        <w:rPr>
          <w:spacing w:val="-5"/>
        </w:rPr>
        <w:t>组合，从而对基金收益造成不利影响。</w:t>
      </w:r>
    </w:p>
    <w:p>
      <w:pPr>
        <w:pStyle w:val="BodyText"/>
        <w:spacing w:line="417" w:lineRule="auto"/>
        <w:ind w:left="540" w:right="311" w:firstLine="419"/>
      </w:pPr>
      <w:r>
        <w:rPr>
          <w:spacing w:val="-9"/>
        </w:rPr>
        <w:t>由于开放式基金的特殊要求，本基金必须保持一定的现金比例以应对赎回要求，在管理</w:t>
      </w:r>
      <w:r>
        <w:rPr>
          <w:spacing w:val="-5"/>
        </w:rPr>
        <w:t>现金头寸时，有可能存在现金不足的风险和现金过多带来的收益下降风险。</w:t>
      </w:r>
    </w:p>
    <w:p>
      <w:pPr>
        <w:pStyle w:val="BodyText"/>
        <w:spacing w:line="417" w:lineRule="auto"/>
        <w:ind w:left="540" w:right="31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540" w:right="31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540" w:right="208" w:firstLine="419"/>
      </w:pPr>
      <w:r>
        <w:rPr>
          <w:spacing w:val="-7"/>
        </w:rPr>
        <w:t>本基金主要投资对象为具有良好流动性的金融工具，包括国内依法发行上市的股票</w:t>
      </w:r>
      <w:r>
        <w:rPr/>
        <w:t>（包</w:t>
      </w:r>
      <w:r>
        <w:rPr>
          <w:spacing w:val="-3"/>
        </w:rPr>
        <w:t>括创业板、中小板、存托凭证及其他经中国证监会核准上市的股票</w:t>
      </w:r>
      <w:r>
        <w:rPr>
          <w:spacing w:val="-106"/>
        </w:rPr>
        <w:t>）</w:t>
      </w:r>
      <w:r>
        <w:rPr>
          <w:spacing w:val="-2"/>
        </w:rPr>
        <w:t>、债券</w:t>
      </w:r>
      <w:r>
        <w:rPr>
          <w:spacing w:val="-3"/>
        </w:rPr>
        <w:t>（</w:t>
      </w:r>
      <w:r>
        <w:rPr>
          <w:spacing w:val="-1"/>
        </w:rPr>
        <w:t>包括国债、央</w:t>
      </w:r>
      <w:r>
        <w:rPr>
          <w:spacing w:val="-12"/>
        </w:rPr>
        <w:t>行票据、金融债券、企业债券、公司债券、中期票据、短期融资券、超短期融资券、次级债</w:t>
      </w:r>
      <w:r>
        <w:rPr>
          <w:spacing w:val="-6"/>
        </w:rPr>
        <w:t>券、政府支持机构债券、政府支持债券、地方政府债券、中小企业私募债券、可转换债券、</w:t>
      </w:r>
      <w:r>
        <w:rPr>
          <w:spacing w:val="-4"/>
        </w:rPr>
        <w:t>可交换债券及其他经中国证监会允许投资的债券</w:t>
      </w:r>
      <w:r>
        <w:rPr>
          <w:spacing w:val="-106"/>
        </w:rPr>
        <w:t>）</w:t>
      </w:r>
      <w:r>
        <w:rPr>
          <w:spacing w:val="-11"/>
        </w:rPr>
        <w:t>、货币市场工具</w:t>
      </w:r>
      <w:r>
        <w:rPr>
          <w:spacing w:val="-3"/>
        </w:rPr>
        <w:t>（含同业存单</w:t>
      </w:r>
      <w:r>
        <w:rPr>
          <w:spacing w:val="-106"/>
        </w:rPr>
        <w:t>）</w:t>
      </w:r>
      <w:r>
        <w:rPr>
          <w:spacing w:val="-12"/>
        </w:rPr>
        <w:t>、权证、资</w:t>
      </w:r>
    </w:p>
    <w:p>
      <w:pPr>
        <w:spacing w:after="0" w:line="417" w:lineRule="auto"/>
        <w:sectPr>
          <w:pgSz w:w="11910" w:h="16840"/>
          <w:pgMar w:header="877" w:footer="995" w:top="1420" w:bottom="1180" w:left="1260" w:right="1480"/>
        </w:sectPr>
      </w:pPr>
    </w:p>
    <w:p>
      <w:pPr>
        <w:pStyle w:val="BodyText"/>
        <w:spacing w:line="417" w:lineRule="auto" w:before="110"/>
        <w:ind w:left="540" w:right="311"/>
        <w:jc w:val="both"/>
      </w:pPr>
      <w:r>
        <w:rPr>
          <w:spacing w:val="-11"/>
        </w:rPr>
        <w:t>产支持证券、股指期货、国债期货、股票期权等。一般情况下本基金拟投资的资产类别具有</w:t>
      </w:r>
      <w:r>
        <w:rPr>
          <w:spacing w:val="-12"/>
        </w:rPr>
        <w:t>较好的流动性，但是在特殊市场环境下本基金仍有可能出现流动性不足的情形。本基金管理人将根据历史经验和现实条件，制定出现金持有量的上下限计划，在该限制范围内进行现金</w:t>
      </w:r>
      <w:r>
        <w:rPr>
          <w:spacing w:val="-13"/>
        </w:rPr>
        <w:t>比例调控或现金与证券的转化。同时，本基金管理人会进行标的的分散化投资并结合对各类</w:t>
      </w:r>
      <w:r>
        <w:rPr>
          <w:spacing w:val="-6"/>
        </w:rPr>
        <w:t>标的资产的预期流动性合理进行资产配置，以防范流动性风险。</w:t>
      </w:r>
    </w:p>
    <w:p>
      <w:pPr>
        <w:pStyle w:val="ListParagraph"/>
        <w:numPr>
          <w:ilvl w:val="0"/>
          <w:numId w:val="34"/>
        </w:numPr>
        <w:tabs>
          <w:tab w:pos="1490" w:val="left" w:leader="none"/>
        </w:tabs>
        <w:spacing w:line="268" w:lineRule="exact" w:before="0" w:after="0"/>
        <w:ind w:left="1489" w:right="0" w:hanging="530"/>
        <w:jc w:val="left"/>
        <w:rPr>
          <w:sz w:val="21"/>
        </w:rPr>
      </w:pPr>
      <w:r>
        <w:rPr>
          <w:spacing w:val="-3"/>
          <w:sz w:val="21"/>
        </w:rPr>
        <w:t>巨额赎回情形下的流动性风险管理措施</w:t>
      </w:r>
    </w:p>
    <w:p>
      <w:pPr>
        <w:pStyle w:val="BodyText"/>
        <w:spacing w:before="6"/>
        <w:rPr>
          <w:sz w:val="15"/>
        </w:rPr>
      </w:pPr>
    </w:p>
    <w:p>
      <w:pPr>
        <w:pStyle w:val="BodyText"/>
        <w:ind w:left="960"/>
      </w:pPr>
      <w:r>
        <w:rPr/>
        <w:t>当本基金发生巨额赎回情形时，基金管理人可以采用以下流动性风险管理措施：</w:t>
      </w:r>
    </w:p>
    <w:p>
      <w:pPr>
        <w:pStyle w:val="BodyText"/>
        <w:spacing w:before="8"/>
        <w:rPr>
          <w:sz w:val="15"/>
        </w:rPr>
      </w:pPr>
    </w:p>
    <w:p>
      <w:pPr>
        <w:pStyle w:val="BodyText"/>
        <w:ind w:left="960"/>
      </w:pPr>
      <w:r>
        <w:rPr/>
        <w:t>①延期办理巨额赎回申请；</w:t>
      </w:r>
    </w:p>
    <w:p>
      <w:pPr>
        <w:pStyle w:val="BodyText"/>
        <w:spacing w:before="6"/>
        <w:rPr>
          <w:sz w:val="15"/>
        </w:rPr>
      </w:pPr>
    </w:p>
    <w:p>
      <w:pPr>
        <w:pStyle w:val="BodyText"/>
        <w:spacing w:before="1"/>
        <w:ind w:left="960"/>
      </w:pPr>
      <w:r>
        <w:rPr>
          <w:spacing w:val="-3"/>
        </w:rPr>
        <w:t>②暂停接受赎回申请；</w:t>
      </w:r>
    </w:p>
    <w:p>
      <w:pPr>
        <w:pStyle w:val="BodyText"/>
        <w:spacing w:before="6"/>
        <w:rPr>
          <w:sz w:val="15"/>
        </w:rPr>
      </w:pPr>
    </w:p>
    <w:p>
      <w:pPr>
        <w:pStyle w:val="BodyText"/>
        <w:ind w:left="960"/>
      </w:pPr>
      <w:r>
        <w:rPr>
          <w:spacing w:val="-3"/>
        </w:rPr>
        <w:t>③延缓支付赎回款项；</w:t>
      </w:r>
    </w:p>
    <w:p>
      <w:pPr>
        <w:pStyle w:val="BodyText"/>
        <w:spacing w:before="7"/>
        <w:rPr>
          <w:sz w:val="15"/>
        </w:rPr>
      </w:pPr>
    </w:p>
    <w:p>
      <w:pPr>
        <w:pStyle w:val="BodyText"/>
        <w:ind w:left="960"/>
      </w:pPr>
      <w:r>
        <w:rPr/>
        <w:t>④摆动定价；</w:t>
      </w:r>
    </w:p>
    <w:p>
      <w:pPr>
        <w:pStyle w:val="BodyText"/>
        <w:spacing w:before="7"/>
        <w:rPr>
          <w:sz w:val="15"/>
        </w:rPr>
      </w:pPr>
    </w:p>
    <w:p>
      <w:pPr>
        <w:pStyle w:val="BodyText"/>
        <w:ind w:left="960"/>
      </w:pPr>
      <w:r>
        <w:rPr/>
        <w:t>⑤中国证监会认定的其他措施。</w:t>
      </w:r>
    </w:p>
    <w:p>
      <w:pPr>
        <w:pStyle w:val="BodyText"/>
        <w:spacing w:before="6"/>
        <w:rPr>
          <w:sz w:val="15"/>
        </w:rPr>
      </w:pPr>
    </w:p>
    <w:p>
      <w:pPr>
        <w:pStyle w:val="ListParagraph"/>
        <w:numPr>
          <w:ilvl w:val="0"/>
          <w:numId w:val="34"/>
        </w:numPr>
        <w:tabs>
          <w:tab w:pos="1490" w:val="left" w:leader="none"/>
        </w:tabs>
        <w:spacing w:line="240" w:lineRule="auto" w:before="1" w:after="0"/>
        <w:ind w:left="148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ind w:left="540" w:right="31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ind w:left="960"/>
      </w:pPr>
      <w:r>
        <w:rPr/>
        <w:t>①延期办理巨额赎回申请</w:t>
      </w:r>
    </w:p>
    <w:p>
      <w:pPr>
        <w:pStyle w:val="BodyText"/>
        <w:spacing w:before="7"/>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540" w:right="31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ind w:left="960"/>
      </w:pPr>
      <w:r>
        <w:rPr/>
        <w:t>②暂停接受赎回申请</w:t>
      </w:r>
    </w:p>
    <w:p>
      <w:pPr>
        <w:pStyle w:val="BodyText"/>
        <w:spacing w:before="6"/>
        <w:rPr>
          <w:sz w:val="15"/>
        </w:rPr>
      </w:pPr>
    </w:p>
    <w:p>
      <w:pPr>
        <w:pStyle w:val="BodyText"/>
        <w:spacing w:line="417" w:lineRule="auto" w:before="1"/>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540" w:right="31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9" w:lineRule="exact"/>
        <w:ind w:left="960"/>
      </w:pPr>
      <w:r>
        <w:rPr/>
        <w:t>③延缓支付赎回款项</w:t>
      </w:r>
    </w:p>
    <w:p>
      <w:pPr>
        <w:pStyle w:val="BodyText"/>
        <w:spacing w:before="6"/>
        <w:rPr>
          <w:sz w:val="15"/>
        </w:rPr>
      </w:pPr>
    </w:p>
    <w:p>
      <w:pPr>
        <w:pStyle w:val="BodyText"/>
        <w:spacing w:line="417" w:lineRule="auto"/>
        <w:ind w:left="540" w:right="311" w:firstLine="419"/>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p>
    <w:p>
      <w:pPr>
        <w:spacing w:after="0" w:line="417" w:lineRule="auto"/>
        <w:sectPr>
          <w:pgSz w:w="11910" w:h="16840"/>
          <w:pgMar w:header="877" w:footer="995" w:top="1420" w:bottom="1180" w:left="1260" w:right="1480"/>
        </w:sectPr>
      </w:pPr>
    </w:p>
    <w:p>
      <w:pPr>
        <w:pStyle w:val="BodyText"/>
        <w:spacing w:before="110"/>
        <w:ind w:left="540"/>
      </w:pPr>
      <w:r>
        <w:rPr/>
        <w:t>支付赎回款项的情形及程序。</w:t>
      </w:r>
    </w:p>
    <w:p>
      <w:pPr>
        <w:pStyle w:val="BodyText"/>
        <w:spacing w:before="6"/>
        <w:rPr>
          <w:sz w:val="15"/>
        </w:rPr>
      </w:pPr>
    </w:p>
    <w:p>
      <w:pPr>
        <w:pStyle w:val="BodyText"/>
        <w:ind w:left="960"/>
      </w:pPr>
      <w:r>
        <w:rPr/>
        <w:t>在此情形下，投资人接收赎回款项的时间将可能比一般正常情形下有所延迟。</w:t>
      </w:r>
    </w:p>
    <w:p>
      <w:pPr>
        <w:pStyle w:val="BodyText"/>
        <w:spacing w:before="7"/>
        <w:rPr>
          <w:sz w:val="15"/>
        </w:rPr>
      </w:pPr>
    </w:p>
    <w:p>
      <w:pPr>
        <w:pStyle w:val="BodyText"/>
        <w:ind w:left="960"/>
      </w:pPr>
      <w:r>
        <w:rPr/>
        <w:t>④收取短期赎回费</w:t>
      </w:r>
    </w:p>
    <w:p>
      <w:pPr>
        <w:pStyle w:val="BodyText"/>
        <w:spacing w:before="7"/>
        <w:rPr>
          <w:sz w:val="15"/>
        </w:rPr>
      </w:pPr>
    </w:p>
    <w:p>
      <w:pPr>
        <w:pStyle w:val="BodyText"/>
        <w:spacing w:line="417" w:lineRule="auto"/>
        <w:ind w:left="540" w:right="31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pStyle w:val="BodyText"/>
        <w:spacing w:line="269" w:lineRule="exact"/>
        <w:ind w:left="960"/>
      </w:pPr>
      <w:r>
        <w:rPr/>
        <w:t>⑤暂停基金估值</w:t>
      </w:r>
    </w:p>
    <w:p>
      <w:pPr>
        <w:pStyle w:val="BodyText"/>
        <w:spacing w:before="7"/>
        <w:rPr>
          <w:sz w:val="15"/>
        </w:rPr>
      </w:pPr>
    </w:p>
    <w:p>
      <w:pPr>
        <w:pStyle w:val="BodyText"/>
        <w:spacing w:line="417" w:lineRule="auto"/>
        <w:ind w:left="540" w:right="31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ind w:left="960"/>
      </w:pPr>
      <w:r>
        <w:rPr/>
        <w:t>在此情形下，投资人没有可供参考的基金份额净值，基金申购赎回申请或被暂停。</w:t>
      </w:r>
    </w:p>
    <w:p>
      <w:pPr>
        <w:pStyle w:val="BodyText"/>
        <w:spacing w:before="7"/>
        <w:rPr>
          <w:sz w:val="15"/>
        </w:rPr>
      </w:pPr>
    </w:p>
    <w:p>
      <w:pPr>
        <w:pStyle w:val="BodyText"/>
        <w:ind w:left="960"/>
      </w:pPr>
      <w:r>
        <w:rPr>
          <w:spacing w:val="-1"/>
        </w:rPr>
        <w:t>⑥摆动定价</w:t>
      </w:r>
    </w:p>
    <w:p>
      <w:pPr>
        <w:pStyle w:val="BodyText"/>
        <w:spacing w:before="6"/>
        <w:rPr>
          <w:sz w:val="15"/>
        </w:rPr>
      </w:pPr>
    </w:p>
    <w:p>
      <w:pPr>
        <w:pStyle w:val="BodyText"/>
        <w:spacing w:line="417" w:lineRule="auto"/>
        <w:ind w:left="540" w:right="31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540" w:right="20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line="269" w:lineRule="exact"/>
        <w:ind w:left="960"/>
      </w:pPr>
      <w:r>
        <w:rPr/>
        <w:t>⑦中国证监会认定的其他措施。</w:t>
      </w:r>
    </w:p>
    <w:p>
      <w:pPr>
        <w:pStyle w:val="BodyText"/>
        <w:spacing w:before="7"/>
        <w:rPr>
          <w:sz w:val="15"/>
        </w:rPr>
      </w:pPr>
    </w:p>
    <w:p>
      <w:pPr>
        <w:pStyle w:val="BodyText"/>
        <w:ind w:left="960"/>
      </w:pPr>
      <w:r>
        <w:rPr>
          <w:rFonts w:ascii="Times New Roman" w:eastAsia="Times New Roman"/>
        </w:rPr>
        <w:t>3</w:t>
      </w:r>
      <w:r>
        <w:rPr/>
        <w:t>、积极管理风险</w:t>
      </w:r>
    </w:p>
    <w:p>
      <w:pPr>
        <w:pStyle w:val="BodyText"/>
        <w:spacing w:before="6"/>
        <w:rPr>
          <w:sz w:val="15"/>
        </w:rPr>
      </w:pPr>
    </w:p>
    <w:p>
      <w:pPr>
        <w:pStyle w:val="BodyText"/>
        <w:spacing w:line="417" w:lineRule="auto" w:before="1"/>
        <w:ind w:left="540" w:right="311" w:firstLine="419"/>
        <w:jc w:val="both"/>
      </w:pPr>
      <w:r>
        <w:rPr>
          <w:spacing w:val="-9"/>
        </w:rPr>
        <w:t>在实际投资操作过程中，基金管理人可能限于知识、技术、经验等因素而影响其对相关</w:t>
      </w:r>
      <w:r>
        <w:rPr>
          <w:spacing w:val="-13"/>
        </w:rPr>
        <w:t>信息、经济形势和证券价格走势的判断，其精选出的投资品种的业绩表现不一定持续优于其</w:t>
      </w:r>
      <w:r>
        <w:rPr>
          <w:spacing w:val="-8"/>
        </w:rPr>
        <w:t>他品种。</w:t>
      </w:r>
    </w:p>
    <w:p>
      <w:pPr>
        <w:pStyle w:val="BodyText"/>
        <w:ind w:left="960"/>
      </w:pPr>
      <w:r>
        <w:rPr>
          <w:rFonts w:ascii="Times New Roman" w:eastAsia="Times New Roman"/>
        </w:rPr>
        <w:t>4</w:t>
      </w:r>
      <w:r>
        <w:rPr/>
        <w:t>、中小企业私募债券投资风险</w:t>
      </w:r>
    </w:p>
    <w:p>
      <w:pPr>
        <w:pStyle w:val="BodyText"/>
        <w:spacing w:before="6"/>
        <w:rPr>
          <w:sz w:val="15"/>
        </w:rPr>
      </w:pPr>
    </w:p>
    <w:p>
      <w:pPr>
        <w:pStyle w:val="BodyText"/>
        <w:spacing w:line="417" w:lineRule="auto"/>
        <w:ind w:left="540" w:right="31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spacing w:line="268" w:lineRule="exact"/>
        <w:ind w:left="960"/>
      </w:pPr>
      <w:r>
        <w:rPr>
          <w:rFonts w:ascii="Times New Roman" w:eastAsia="Times New Roman"/>
        </w:rPr>
        <w:t>5</w:t>
      </w:r>
      <w:r>
        <w:rPr/>
        <w:t>、存托凭证投资风险</w:t>
      </w:r>
    </w:p>
    <w:p>
      <w:pPr>
        <w:pStyle w:val="BodyText"/>
        <w:spacing w:before="7"/>
        <w:rPr>
          <w:sz w:val="15"/>
        </w:rPr>
      </w:pPr>
    </w:p>
    <w:p>
      <w:pPr>
        <w:pStyle w:val="BodyText"/>
        <w:spacing w:line="417" w:lineRule="auto"/>
        <w:ind w:left="540" w:right="31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ind w:left="960"/>
      </w:pPr>
      <w:r>
        <w:rPr>
          <w:rFonts w:ascii="Times New Roman" w:eastAsia="Times New Roman"/>
        </w:rPr>
        <w:t>6</w:t>
      </w:r>
      <w:r>
        <w:rPr/>
        <w:t>、衍生品投资风险</w:t>
      </w:r>
    </w:p>
    <w:p>
      <w:pPr>
        <w:spacing w:after="0"/>
        <w:sectPr>
          <w:footerReference w:type="default" r:id="rId189"/>
          <w:pgSz w:w="11910" w:h="16840"/>
          <w:pgMar w:footer="995" w:header="877" w:top="1420" w:bottom="1180" w:left="1260" w:right="1480"/>
          <w:pgNumType w:start="120"/>
        </w:sectPr>
      </w:pPr>
    </w:p>
    <w:p>
      <w:pPr>
        <w:pStyle w:val="BodyText"/>
        <w:spacing w:line="417" w:lineRule="auto" w:before="110"/>
        <w:ind w:left="540" w:right="311" w:firstLine="419"/>
      </w:pPr>
      <w:r>
        <w:rPr>
          <w:spacing w:val="-9"/>
        </w:rPr>
        <w:t>本基金可投资于股票期权、股指期货、国债期货等金融衍生品，投资股票期权、期货等</w:t>
      </w:r>
      <w:r>
        <w:rPr>
          <w:spacing w:val="-5"/>
        </w:rPr>
        <w:t>金融衍生品主要存在以下风险：</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市场风险：是指由于衍生品价格变动而给投资者带来的风险。</w:t>
      </w:r>
    </w:p>
    <w:p>
      <w:pPr>
        <w:pStyle w:val="BodyText"/>
        <w:spacing w:before="6"/>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流动性风险：是指由于衍生品合约无法及时变现所带来的风险。</w:t>
      </w:r>
    </w:p>
    <w:p>
      <w:pPr>
        <w:pStyle w:val="BodyText"/>
        <w:spacing w:before="7"/>
        <w:rPr>
          <w:sz w:val="15"/>
        </w:rPr>
      </w:pPr>
    </w:p>
    <w:p>
      <w:pPr>
        <w:pStyle w:val="ListParagraph"/>
        <w:numPr>
          <w:ilvl w:val="0"/>
          <w:numId w:val="35"/>
        </w:numPr>
        <w:tabs>
          <w:tab w:pos="1490" w:val="left" w:leader="none"/>
        </w:tabs>
        <w:spacing w:line="417" w:lineRule="auto" w:before="0" w:after="0"/>
        <w:ind w:left="540" w:right="314" w:firstLine="419"/>
        <w:jc w:val="left"/>
        <w:rPr>
          <w:sz w:val="21"/>
        </w:rPr>
      </w:pPr>
      <w:r>
        <w:rPr>
          <w:spacing w:val="-3"/>
          <w:sz w:val="21"/>
        </w:rPr>
        <w:t>基差风险：是指衍生品合约价格和标的指数价格之间的价格差的波动所造成的风险，以及不同衍生品合约价格之间价格差的波动所造成的期现价差风险。</w:t>
      </w:r>
    </w:p>
    <w:p>
      <w:pPr>
        <w:pStyle w:val="ListParagraph"/>
        <w:numPr>
          <w:ilvl w:val="0"/>
          <w:numId w:val="35"/>
        </w:numPr>
        <w:tabs>
          <w:tab w:pos="1490" w:val="left" w:leader="none"/>
        </w:tabs>
        <w:spacing w:line="417" w:lineRule="auto" w:before="0" w:after="0"/>
        <w:ind w:left="540" w:right="31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信用风险：是指经纪公司违约而产生损失的风险。</w:t>
      </w:r>
    </w:p>
    <w:p>
      <w:pPr>
        <w:pStyle w:val="BodyText"/>
        <w:spacing w:before="7"/>
        <w:rPr>
          <w:sz w:val="15"/>
        </w:rPr>
      </w:pPr>
    </w:p>
    <w:p>
      <w:pPr>
        <w:pStyle w:val="ListParagraph"/>
        <w:numPr>
          <w:ilvl w:val="0"/>
          <w:numId w:val="35"/>
        </w:numPr>
        <w:tabs>
          <w:tab w:pos="1490" w:val="left" w:leader="none"/>
        </w:tabs>
        <w:spacing w:line="417" w:lineRule="auto" w:before="0" w:after="0"/>
        <w:ind w:left="540" w:right="313" w:firstLine="419"/>
        <w:jc w:val="left"/>
        <w:rPr>
          <w:sz w:val="21"/>
        </w:rPr>
      </w:pPr>
      <w:r>
        <w:rPr>
          <w:spacing w:val="-3"/>
          <w:sz w:val="21"/>
        </w:rPr>
        <w:t>操作风险：是指由于内部流程的不完善，业务人员出现差错或者疏漏，或者系统出现故障等原因造成损失的风险。</w:t>
      </w:r>
    </w:p>
    <w:p>
      <w:pPr>
        <w:pStyle w:val="BodyText"/>
        <w:spacing w:line="269" w:lineRule="exact"/>
        <w:ind w:left="960"/>
      </w:pPr>
      <w:r>
        <w:rPr>
          <w:rFonts w:ascii="Times New Roman" w:eastAsia="Times New Roman"/>
        </w:rPr>
        <w:t>7</w:t>
      </w:r>
      <w:r>
        <w:rPr/>
        <w:t>、操作或技术风险</w:t>
      </w:r>
    </w:p>
    <w:p>
      <w:pPr>
        <w:pStyle w:val="BodyText"/>
        <w:spacing w:before="6"/>
        <w:rPr>
          <w:sz w:val="15"/>
        </w:rPr>
      </w:pPr>
    </w:p>
    <w:p>
      <w:pPr>
        <w:pStyle w:val="BodyText"/>
        <w:spacing w:line="417" w:lineRule="auto" w:before="1"/>
        <w:ind w:left="540" w:right="311" w:firstLine="419"/>
        <w:jc w:val="both"/>
      </w:pPr>
      <w:r>
        <w:rPr>
          <w:spacing w:val="-9"/>
        </w:rPr>
        <w:t>相关当事人在业务各环节操作过程中，因内部控制存在缺陷或者人为因素造成操作失误</w:t>
      </w:r>
      <w:r>
        <w:rPr>
          <w:spacing w:val="-11"/>
        </w:rPr>
        <w:t>或违反操作规程等引致的风险，例如，越权违规交易、会计部门欺诈、交易错误、</w:t>
      </w:r>
      <w:r>
        <w:rPr>
          <w:rFonts w:ascii="Times New Roman" w:eastAsia="Times New Roman"/>
        </w:rPr>
        <w:t>IT</w:t>
      </w:r>
      <w:r>
        <w:rPr>
          <w:spacing w:val="-2"/>
        </w:rPr>
        <w:t>系统故</w:t>
      </w:r>
      <w:r>
        <w:rPr>
          <w:spacing w:val="-3"/>
        </w:rPr>
        <w:t>障等风险。</w:t>
      </w:r>
    </w:p>
    <w:p>
      <w:pPr>
        <w:pStyle w:val="BodyText"/>
        <w:spacing w:line="417" w:lineRule="auto"/>
        <w:ind w:left="540" w:right="20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pStyle w:val="BodyText"/>
        <w:spacing w:line="417" w:lineRule="auto"/>
        <w:ind w:left="540" w:right="31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ind w:left="960"/>
      </w:pPr>
      <w:r>
        <w:rPr>
          <w:rFonts w:ascii="Times New Roman" w:eastAsia="Times New Roman"/>
        </w:rPr>
        <w:t>8</w:t>
      </w:r>
      <w:r>
        <w:rPr/>
        <w:t>、政策变更风险</w:t>
      </w:r>
    </w:p>
    <w:p>
      <w:pPr>
        <w:pStyle w:val="BodyText"/>
        <w:spacing w:before="6"/>
        <w:rPr>
          <w:sz w:val="15"/>
        </w:rPr>
      </w:pPr>
    </w:p>
    <w:p>
      <w:pPr>
        <w:pStyle w:val="BodyText"/>
        <w:spacing w:line="417" w:lineRule="auto"/>
        <w:ind w:left="540" w:right="31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2"/>
        </w:rPr>
        <w:t>引起基金净值波动的风险、相关法规的修改导致基金投资范围变化，基金管理人为调整投资</w:t>
      </w:r>
      <w:r>
        <w:rPr>
          <w:spacing w:val="-6"/>
        </w:rPr>
        <w:t>组合而引起基金净值波动的风险等。</w:t>
      </w:r>
    </w:p>
    <w:p>
      <w:pPr>
        <w:pStyle w:val="BodyText"/>
        <w:spacing w:line="268" w:lineRule="exact"/>
        <w:ind w:left="960"/>
      </w:pPr>
      <w:r>
        <w:rPr>
          <w:rFonts w:ascii="Times New Roman" w:eastAsia="Times New Roman"/>
        </w:rPr>
        <w:t>9</w:t>
      </w:r>
      <w:r>
        <w:rPr/>
        <w:t>、其他风险</w:t>
      </w:r>
    </w:p>
    <w:p>
      <w:pPr>
        <w:pStyle w:val="BodyText"/>
        <w:spacing w:before="6"/>
        <w:rPr>
          <w:sz w:val="15"/>
        </w:rPr>
      </w:pPr>
    </w:p>
    <w:p>
      <w:pPr>
        <w:pStyle w:val="BodyText"/>
        <w:spacing w:line="417" w:lineRule="auto" w:before="1"/>
        <w:ind w:left="540" w:right="31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pPr>
        <w:spacing w:after="0" w:line="417" w:lineRule="auto"/>
        <w:jc w:val="both"/>
        <w:sectPr>
          <w:pgSz w:w="11910" w:h="16840"/>
          <w:pgMar w:header="877" w:footer="995" w:top="1420" w:bottom="1180" w:left="1260" w:right="1480"/>
        </w:sectPr>
      </w:pPr>
    </w:p>
    <w:p>
      <w:pPr>
        <w:pStyle w:val="BodyText"/>
        <w:spacing w:before="110"/>
        <w:ind w:left="960"/>
      </w:pPr>
      <w:r>
        <w:rPr/>
        <w:t>（二）声明</w:t>
      </w:r>
    </w:p>
    <w:p>
      <w:pPr>
        <w:pStyle w:val="BodyText"/>
        <w:spacing w:before="6"/>
        <w:rPr>
          <w:sz w:val="15"/>
        </w:rPr>
      </w:pPr>
    </w:p>
    <w:p>
      <w:pPr>
        <w:pStyle w:val="BodyText"/>
        <w:spacing w:line="417" w:lineRule="auto"/>
        <w:ind w:left="540" w:right="31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540" w:right="31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540" w:right="31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6"/>
        </w:rPr>
        <w:t>金管理人提醒投资者基金投资的</w:t>
      </w:r>
      <w:r>
        <w:rPr>
          <w:rFonts w:ascii="Times New Roman" w:hAnsi="Times New Roman" w:eastAsia="Times New Roman"/>
        </w:rPr>
        <w:t>“</w:t>
      </w:r>
      <w:r>
        <w:rPr>
          <w:spacing w:val="-3"/>
        </w:rPr>
        <w:t>买者自负</w:t>
      </w:r>
      <w:r>
        <w:rPr>
          <w:rFonts w:ascii="Times New Roman" w:hAnsi="Times New Roman" w:eastAsia="Times New Roman"/>
        </w:rPr>
        <w:t>”</w:t>
      </w:r>
      <w:r>
        <w:rPr>
          <w:spacing w:val="-11"/>
        </w:rPr>
        <w:t>原则，在做出投资决策后，基金运营状况与基金</w:t>
      </w:r>
      <w:r>
        <w:rPr>
          <w:spacing w:val="-6"/>
        </w:rPr>
        <w:t>净值变化引致的投资风险，由投资者自行负担。</w:t>
      </w:r>
    </w:p>
    <w:p>
      <w:pPr>
        <w:pStyle w:val="BodyText"/>
        <w:spacing w:before="7"/>
        <w:rPr>
          <w:sz w:val="26"/>
        </w:rPr>
      </w:pPr>
    </w:p>
    <w:p>
      <w:pPr>
        <w:pStyle w:val="Heading1"/>
        <w:ind w:left="221"/>
      </w:pPr>
      <w:bookmarkStart w:name="_bookmark17" w:id="18"/>
      <w:bookmarkEnd w:id="18"/>
      <w:r>
        <w:rPr>
          <w:b w:val="0"/>
        </w:rPr>
      </w:r>
      <w:r>
        <w:rPr/>
        <w:t>十八、基金合同的变更、终止与基金财产的清算</w:t>
      </w:r>
    </w:p>
    <w:p>
      <w:pPr>
        <w:pStyle w:val="BodyText"/>
        <w:rPr>
          <w:b/>
          <w:sz w:val="20"/>
        </w:rPr>
      </w:pPr>
    </w:p>
    <w:p>
      <w:pPr>
        <w:pStyle w:val="BodyText"/>
        <w:spacing w:before="2"/>
        <w:rPr>
          <w:b/>
        </w:rPr>
      </w:pPr>
    </w:p>
    <w:p>
      <w:pPr>
        <w:pStyle w:val="BodyText"/>
        <w:spacing w:before="1"/>
        <w:ind w:left="960"/>
      </w:pPr>
      <w:r>
        <w:rPr/>
        <w:t>（一</w:t>
      </w:r>
      <w:r>
        <w:rPr>
          <w:spacing w:val="-108"/>
        </w:rPr>
        <w:t>）</w:t>
      </w:r>
      <w:r>
        <w:rPr>
          <w:spacing w:val="-3"/>
        </w:rPr>
        <w:t>《基金合同》的变更</w:t>
      </w:r>
    </w:p>
    <w:p>
      <w:pPr>
        <w:pStyle w:val="BodyText"/>
        <w:spacing w:before="6"/>
        <w:rPr>
          <w:sz w:val="15"/>
        </w:rPr>
      </w:pPr>
    </w:p>
    <w:p>
      <w:pPr>
        <w:pStyle w:val="BodyText"/>
        <w:spacing w:line="417" w:lineRule="auto"/>
        <w:ind w:left="540" w:right="31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w:t>
      </w:r>
      <w:r>
        <w:rPr>
          <w:spacing w:val="-108"/>
        </w:rPr>
        <w:t>）</w:t>
      </w:r>
      <w:r>
        <w:rPr>
          <w:spacing w:val="-3"/>
        </w:rPr>
        <w:t>《基金合同》的终止事由</w:t>
      </w:r>
    </w:p>
    <w:p>
      <w:pPr>
        <w:pStyle w:val="BodyText"/>
        <w:spacing w:before="7"/>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7"/>
        <w:rPr>
          <w:sz w:val="15"/>
        </w:rPr>
      </w:pPr>
    </w:p>
    <w:p>
      <w:pPr>
        <w:pStyle w:val="BodyText"/>
        <w:ind w:left="960"/>
      </w:pPr>
      <w:r>
        <w:rPr>
          <w:rFonts w:ascii="Times New Roman" w:eastAsia="Times New Roman"/>
        </w:rPr>
        <w:t>4</w:t>
      </w:r>
      <w:r>
        <w:rPr/>
        <w:t>、相关法律法规和中国证监会规定的其他情况。</w:t>
      </w:r>
    </w:p>
    <w:p>
      <w:pPr>
        <w:pStyle w:val="BodyText"/>
        <w:spacing w:before="6"/>
        <w:rPr>
          <w:sz w:val="15"/>
        </w:rPr>
      </w:pPr>
    </w:p>
    <w:p>
      <w:pPr>
        <w:pStyle w:val="BodyText"/>
        <w:spacing w:before="1"/>
        <w:ind w:left="960"/>
      </w:pPr>
      <w:r>
        <w:rPr/>
        <w:t>（三）基金财产的清算</w:t>
      </w:r>
    </w:p>
    <w:p>
      <w:pPr>
        <w:pStyle w:val="BodyText"/>
        <w:spacing w:before="6"/>
        <w:rPr>
          <w:sz w:val="15"/>
        </w:rPr>
      </w:pPr>
    </w:p>
    <w:p>
      <w:pPr>
        <w:pStyle w:val="BodyText"/>
        <w:spacing w:line="417" w:lineRule="auto"/>
        <w:ind w:left="540" w:right="313" w:firstLine="419"/>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ind w:left="960"/>
      </w:pPr>
      <w:r>
        <w:rPr>
          <w:rFonts w:ascii="Times New Roman" w:eastAsia="Times New Roman"/>
        </w:rPr>
        <w:t>2</w:t>
      </w:r>
      <w:r>
        <w:rPr/>
        <w:t>、基金财产清算小组组成：基金财产清算小组成员由基金管理人、基金托管人、具有</w:t>
      </w:r>
    </w:p>
    <w:p>
      <w:pPr>
        <w:spacing w:after="0"/>
        <w:sectPr>
          <w:pgSz w:w="11910" w:h="16840"/>
          <w:pgMar w:header="877" w:footer="995" w:top="1420" w:bottom="1180" w:left="1260" w:right="1480"/>
        </w:sectPr>
      </w:pPr>
    </w:p>
    <w:p>
      <w:pPr>
        <w:pStyle w:val="BodyText"/>
        <w:spacing w:line="417" w:lineRule="auto" w:before="110"/>
        <w:ind w:left="540" w:right="311"/>
      </w:pP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36"/>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6"/>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960"/>
      </w:pPr>
      <w:r>
        <w:rPr/>
        <w:t>（四）清算费用</w:t>
      </w:r>
    </w:p>
    <w:p>
      <w:pPr>
        <w:pStyle w:val="BodyText"/>
        <w:spacing w:before="7"/>
        <w:rPr>
          <w:sz w:val="15"/>
        </w:rPr>
      </w:pPr>
    </w:p>
    <w:p>
      <w:pPr>
        <w:pStyle w:val="BodyText"/>
        <w:spacing w:line="417" w:lineRule="auto"/>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60"/>
      </w:pPr>
      <w:r>
        <w:rPr/>
        <w:t>（五）基金财产清算剩余资产的分配</w:t>
      </w:r>
    </w:p>
    <w:p>
      <w:pPr>
        <w:pStyle w:val="BodyText"/>
        <w:spacing w:before="7"/>
        <w:rPr>
          <w:sz w:val="15"/>
        </w:rPr>
      </w:pPr>
    </w:p>
    <w:p>
      <w:pPr>
        <w:pStyle w:val="BodyText"/>
        <w:spacing w:line="417" w:lineRule="auto"/>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60"/>
      </w:pPr>
      <w:r>
        <w:rPr/>
        <w:t>（六）基金财产清算的公告</w:t>
      </w:r>
    </w:p>
    <w:p>
      <w:pPr>
        <w:pStyle w:val="BodyText"/>
        <w:spacing w:before="7"/>
        <w:rPr>
          <w:sz w:val="15"/>
        </w:rPr>
      </w:pPr>
    </w:p>
    <w:p>
      <w:pPr>
        <w:pStyle w:val="BodyText"/>
        <w:spacing w:line="417" w:lineRule="auto"/>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60"/>
      </w:pPr>
      <w:r>
        <w:rPr/>
        <w:t>（七）基金财产清算账册及文件的保存</w:t>
      </w:r>
    </w:p>
    <w:p>
      <w:pPr>
        <w:pStyle w:val="BodyText"/>
        <w:spacing w:before="7"/>
        <w:rPr>
          <w:sz w:val="15"/>
        </w:rPr>
      </w:pPr>
    </w:p>
    <w:p>
      <w:pPr>
        <w:pStyle w:val="BodyText"/>
        <w:ind w:left="96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1"/>
        <w:rPr>
          <w:sz w:val="20"/>
        </w:rPr>
      </w:pPr>
    </w:p>
    <w:p>
      <w:pPr>
        <w:pStyle w:val="Heading1"/>
        <w:spacing w:before="1"/>
        <w:ind w:left="219"/>
      </w:pPr>
      <w:bookmarkStart w:name="_bookmark18" w:id="19"/>
      <w:bookmarkEnd w:id="19"/>
      <w:r>
        <w:rPr>
          <w:b w:val="0"/>
        </w:rPr>
      </w:r>
      <w:r>
        <w:rPr/>
        <w:t>十九、基金合同的内容摘要</w:t>
      </w:r>
    </w:p>
    <w:p>
      <w:pPr>
        <w:pStyle w:val="BodyText"/>
        <w:rPr>
          <w:b/>
          <w:sz w:val="20"/>
        </w:rPr>
      </w:pPr>
    </w:p>
    <w:p>
      <w:pPr>
        <w:pStyle w:val="BodyText"/>
        <w:spacing w:before="2"/>
        <w:rPr>
          <w:b/>
        </w:rPr>
      </w:pPr>
    </w:p>
    <w:p>
      <w:pPr>
        <w:pStyle w:val="BodyText"/>
        <w:ind w:left="960"/>
      </w:pPr>
      <w:r>
        <w:rPr/>
        <w:t>以下内容摘自《华夏创新前沿股票型证券投资基金基金合同》。</w:t>
      </w:r>
    </w:p>
    <w:p>
      <w:pPr>
        <w:spacing w:after="0"/>
        <w:sectPr>
          <w:pgSz w:w="11910" w:h="16840"/>
          <w:pgMar w:header="877" w:footer="995" w:top="1420" w:bottom="1180" w:left="1260" w:right="1480"/>
        </w:sectPr>
      </w:pPr>
    </w:p>
    <w:p>
      <w:pPr>
        <w:tabs>
          <w:tab w:pos="2794" w:val="left" w:leader="none"/>
        </w:tabs>
        <w:spacing w:line="417" w:lineRule="auto" w:before="110"/>
        <w:ind w:left="960" w:right="1099" w:firstLine="777"/>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960"/>
      </w:pPr>
      <w:r>
        <w:rPr/>
        <w:t>（一）基金管理人简况</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spacing w:line="417" w:lineRule="auto"/>
        <w:ind w:left="960" w:right="4569"/>
      </w:pPr>
      <w:r>
        <w:rPr/>
        <w:t>住所：北京市顺义区安庆大街甲 </w:t>
      </w:r>
      <w:r>
        <w:rPr>
          <w:rFonts w:ascii="Times New Roman" w:eastAsia="Times New Roman"/>
        </w:rPr>
        <w:t>3 </w:t>
      </w:r>
      <w:r>
        <w:rPr/>
        <w:t>号院法定代表人：杨明辉</w:t>
      </w:r>
    </w:p>
    <w:p>
      <w:pPr>
        <w:pStyle w:val="BodyText"/>
        <w:spacing w:line="269" w:lineRule="exact"/>
        <w:ind w:left="96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before="1"/>
        <w:ind w:left="960" w:right="212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960" w:right="56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960"/>
        <w:rPr>
          <w:rFonts w:ascii="Times New Roman" w:eastAsia="Times New Roman"/>
        </w:rPr>
      </w:pPr>
      <w:r>
        <w:rPr/>
        <w:t>联系电话：</w:t>
      </w:r>
      <w:r>
        <w:rPr>
          <w:rFonts w:ascii="Times New Roman" w:eastAsia="Times New Roman"/>
        </w:rPr>
        <w:t>400-818-6666</w:t>
      </w:r>
    </w:p>
    <w:p>
      <w:pPr>
        <w:pStyle w:val="BodyText"/>
        <w:spacing w:before="2"/>
        <w:rPr>
          <w:rFonts w:ascii="Times New Roman"/>
          <w:sz w:val="17"/>
        </w:rPr>
      </w:pPr>
    </w:p>
    <w:p>
      <w:pPr>
        <w:pStyle w:val="BodyText"/>
        <w:spacing w:before="1"/>
        <w:ind w:left="960"/>
      </w:pPr>
      <w:r>
        <w:rPr/>
        <w:t>（二）基金管理人的权利与义务</w:t>
      </w:r>
    </w:p>
    <w:p>
      <w:pPr>
        <w:pStyle w:val="BodyText"/>
        <w:spacing w:before="6"/>
        <w:rPr>
          <w:sz w:val="15"/>
        </w:rPr>
      </w:pPr>
    </w:p>
    <w:p>
      <w:pPr>
        <w:pStyle w:val="BodyText"/>
        <w:ind w:left="960"/>
      </w:pPr>
      <w:r>
        <w:rPr>
          <w:rFonts w:ascii="Times New Roman" w:eastAsia="Times New Roman"/>
        </w:rPr>
        <w:t>1</w:t>
      </w:r>
      <w:r>
        <w:rPr/>
        <w:t>、根据《基金法》、《运作办法》及其他有关规定，基金管理人的权利包括但不限于：</w:t>
      </w:r>
    </w:p>
    <w:p>
      <w:pPr>
        <w:pStyle w:val="BodyText"/>
        <w:spacing w:before="7"/>
        <w:rPr>
          <w:sz w:val="15"/>
        </w:rPr>
      </w:pPr>
    </w:p>
    <w:p>
      <w:pPr>
        <w:pStyle w:val="ListParagraph"/>
        <w:numPr>
          <w:ilvl w:val="0"/>
          <w:numId w:val="37"/>
        </w:numPr>
        <w:tabs>
          <w:tab w:pos="1490" w:val="left" w:leader="none"/>
        </w:tabs>
        <w:spacing w:line="240" w:lineRule="auto" w:before="1" w:after="0"/>
        <w:ind w:left="1489" w:right="0" w:hanging="530"/>
        <w:jc w:val="left"/>
        <w:rPr>
          <w:sz w:val="21"/>
        </w:rPr>
      </w:pPr>
      <w:r>
        <w:rPr>
          <w:spacing w:val="-3"/>
          <w:sz w:val="21"/>
        </w:rPr>
        <w:t>依法募集资金。</w:t>
      </w:r>
    </w:p>
    <w:p>
      <w:pPr>
        <w:pStyle w:val="BodyText"/>
        <w:spacing w:before="6"/>
        <w:rPr>
          <w:sz w:val="15"/>
        </w:rPr>
      </w:pPr>
    </w:p>
    <w:p>
      <w:pPr>
        <w:pStyle w:val="ListParagraph"/>
        <w:numPr>
          <w:ilvl w:val="0"/>
          <w:numId w:val="37"/>
        </w:numPr>
        <w:tabs>
          <w:tab w:pos="1490" w:val="left" w:leader="none"/>
        </w:tabs>
        <w:spacing w:line="417" w:lineRule="auto" w:before="0" w:after="0"/>
        <w:ind w:left="540" w:right="314" w:firstLine="419"/>
        <w:jc w:val="left"/>
        <w:rPr>
          <w:sz w:val="21"/>
        </w:rPr>
      </w:pPr>
      <w:r>
        <w:rPr>
          <w:spacing w:val="-3"/>
          <w:sz w:val="21"/>
        </w:rPr>
        <w:t>自《基金合同》生效之日起，根据法律法规和《基金合同》独立运用并管理基金财产。</w:t>
      </w:r>
    </w:p>
    <w:p>
      <w:pPr>
        <w:pStyle w:val="ListParagraph"/>
        <w:numPr>
          <w:ilvl w:val="0"/>
          <w:numId w:val="37"/>
        </w:numPr>
        <w:tabs>
          <w:tab w:pos="1490" w:val="left" w:leader="none"/>
        </w:tabs>
        <w:spacing w:line="417" w:lineRule="auto" w:before="0" w:after="0"/>
        <w:ind w:left="540" w:right="314" w:firstLine="419"/>
        <w:jc w:val="left"/>
        <w:rPr>
          <w:sz w:val="21"/>
        </w:rPr>
      </w:pPr>
      <w:r>
        <w:rPr>
          <w:spacing w:val="-3"/>
          <w:sz w:val="21"/>
        </w:rPr>
        <w:t>依照《基金合同》收取基金管理费以及法律法规规定或中国证监会批准的其他费用。</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销售基金份额。</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7"/>
        </w:numPr>
        <w:tabs>
          <w:tab w:pos="1490" w:val="left" w:leader="none"/>
        </w:tabs>
        <w:spacing w:line="417" w:lineRule="auto" w:before="0" w:after="0"/>
        <w:ind w:left="54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7"/>
        </w:numPr>
        <w:tabs>
          <w:tab w:pos="1490" w:val="left" w:leader="none"/>
        </w:tabs>
        <w:spacing w:line="269" w:lineRule="exact" w:before="0" w:after="0"/>
        <w:ind w:left="148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BodyText"/>
        <w:spacing w:before="6"/>
        <w:rPr>
          <w:sz w:val="15"/>
        </w:rPr>
      </w:pPr>
    </w:p>
    <w:p>
      <w:pPr>
        <w:pStyle w:val="ListParagraph"/>
        <w:numPr>
          <w:ilvl w:val="0"/>
          <w:numId w:val="37"/>
        </w:numPr>
        <w:tabs>
          <w:tab w:pos="1490" w:val="left" w:leader="none"/>
        </w:tabs>
        <w:spacing w:line="417" w:lineRule="auto" w:before="1" w:after="0"/>
        <w:ind w:left="540" w:right="31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7"/>
        </w:numPr>
        <w:tabs>
          <w:tab w:pos="1595" w:val="left" w:leader="none"/>
        </w:tabs>
        <w:spacing w:line="240" w:lineRule="auto" w:before="0" w:after="0"/>
        <w:ind w:left="1595" w:right="0" w:hanging="635"/>
        <w:jc w:val="left"/>
        <w:rPr>
          <w:sz w:val="21"/>
        </w:rPr>
      </w:pPr>
      <w:r>
        <w:rPr>
          <w:spacing w:val="-3"/>
          <w:sz w:val="21"/>
        </w:rPr>
        <w:t>依据《基金合同》及有关法律规定决定基金收益的分配方案。</w:t>
      </w:r>
    </w:p>
    <w:p>
      <w:pPr>
        <w:pStyle w:val="BodyText"/>
        <w:spacing w:before="6"/>
        <w:rPr>
          <w:sz w:val="15"/>
        </w:rPr>
      </w:pPr>
    </w:p>
    <w:p>
      <w:pPr>
        <w:pStyle w:val="ListParagraph"/>
        <w:numPr>
          <w:ilvl w:val="0"/>
          <w:numId w:val="37"/>
        </w:numPr>
        <w:tabs>
          <w:tab w:pos="1586" w:val="left" w:leader="none"/>
        </w:tabs>
        <w:spacing w:line="240" w:lineRule="auto" w:before="0" w:after="0"/>
        <w:ind w:left="1585" w:right="0" w:hanging="626"/>
        <w:jc w:val="left"/>
        <w:rPr>
          <w:sz w:val="21"/>
        </w:rPr>
      </w:pPr>
      <w:r>
        <w:rPr>
          <w:spacing w:val="-3"/>
          <w:sz w:val="21"/>
        </w:rPr>
        <w:t>在《基金合同》约定的范围内，拒绝或暂停受理申购与赎回申请。</w:t>
      </w:r>
    </w:p>
    <w:p>
      <w:pPr>
        <w:spacing w:after="0" w:line="240" w:lineRule="auto"/>
        <w:jc w:val="left"/>
        <w:rPr>
          <w:sz w:val="21"/>
        </w:rPr>
        <w:sectPr>
          <w:pgSz w:w="11910" w:h="16840"/>
          <w:pgMar w:header="877" w:footer="995" w:top="1420" w:bottom="1180" w:left="1260" w:right="1480"/>
        </w:sectPr>
      </w:pPr>
    </w:p>
    <w:p>
      <w:pPr>
        <w:pStyle w:val="ListParagraph"/>
        <w:numPr>
          <w:ilvl w:val="0"/>
          <w:numId w:val="37"/>
        </w:numPr>
        <w:tabs>
          <w:tab w:pos="1595" w:val="left" w:leader="none"/>
        </w:tabs>
        <w:spacing w:line="417" w:lineRule="auto" w:before="110" w:after="0"/>
        <w:ind w:left="540" w:right="3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7"/>
        </w:numPr>
        <w:tabs>
          <w:tab w:pos="1595" w:val="left" w:leader="none"/>
        </w:tabs>
        <w:spacing w:line="269" w:lineRule="exact" w:before="0" w:after="0"/>
        <w:ind w:left="1595" w:right="0" w:hanging="635"/>
        <w:jc w:val="left"/>
        <w:rPr>
          <w:sz w:val="21"/>
        </w:rPr>
      </w:pPr>
      <w:r>
        <w:rPr>
          <w:spacing w:val="-3"/>
          <w:sz w:val="21"/>
        </w:rPr>
        <w:t>在条件允许的前提下，为基金的利益依法为基金进行融资。</w:t>
      </w:r>
    </w:p>
    <w:p>
      <w:pPr>
        <w:pStyle w:val="BodyText"/>
        <w:spacing w:before="6"/>
        <w:rPr>
          <w:sz w:val="15"/>
        </w:rPr>
      </w:pPr>
    </w:p>
    <w:p>
      <w:pPr>
        <w:pStyle w:val="ListParagraph"/>
        <w:numPr>
          <w:ilvl w:val="0"/>
          <w:numId w:val="37"/>
        </w:numPr>
        <w:tabs>
          <w:tab w:pos="1595" w:val="left" w:leader="none"/>
        </w:tabs>
        <w:spacing w:line="417" w:lineRule="auto" w:before="0" w:after="0"/>
        <w:ind w:left="540" w:right="3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7"/>
        </w:numPr>
        <w:tabs>
          <w:tab w:pos="1595" w:val="left" w:leader="none"/>
        </w:tabs>
        <w:spacing w:line="417" w:lineRule="auto" w:before="0" w:after="0"/>
        <w:ind w:left="540" w:right="31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7"/>
        </w:numPr>
        <w:tabs>
          <w:tab w:pos="1595" w:val="left" w:leader="none"/>
        </w:tabs>
        <w:spacing w:line="417" w:lineRule="auto" w:before="0" w:after="0"/>
        <w:ind w:left="540" w:right="3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7"/>
        </w:numPr>
        <w:tabs>
          <w:tab w:pos="1595" w:val="left" w:leader="none"/>
        </w:tabs>
        <w:spacing w:line="269" w:lineRule="exact" w:before="0" w:after="0"/>
        <w:ind w:left="1595" w:right="0" w:hanging="635"/>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t>、根据《基金法》、《运作办法》及其他有关规定，基金管理人的义务包括但不限于：</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办理基金备案手续。</w:t>
      </w:r>
    </w:p>
    <w:p>
      <w:pPr>
        <w:pStyle w:val="BodyText"/>
        <w:spacing w:before="7"/>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15"/>
          <w:sz w:val="21"/>
        </w:rPr>
        <w:t>自《基金合同》生效之日起，以诚实信用、谨慎勤勉的原则管理和运用基金财产。</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8"/>
        </w:numPr>
        <w:tabs>
          <w:tab w:pos="1490" w:val="left" w:leader="none"/>
        </w:tabs>
        <w:spacing w:line="417" w:lineRule="auto" w:before="0" w:after="0"/>
        <w:ind w:left="540" w:right="31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38"/>
        </w:numPr>
        <w:tabs>
          <w:tab w:pos="1490" w:val="left" w:leader="none"/>
        </w:tabs>
        <w:spacing w:line="417" w:lineRule="auto" w:before="0" w:after="0"/>
        <w:ind w:left="540" w:right="3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8"/>
        </w:numPr>
        <w:tabs>
          <w:tab w:pos="1490" w:val="left" w:leader="none"/>
        </w:tabs>
        <w:spacing w:line="417" w:lineRule="auto" w:before="0" w:after="0"/>
        <w:ind w:left="540" w:right="31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编制季度、中期和年度基金报告。</w:t>
      </w:r>
    </w:p>
    <w:p>
      <w:pPr>
        <w:pStyle w:val="BodyText"/>
        <w:spacing w:before="7"/>
        <w:rPr>
          <w:sz w:val="15"/>
        </w:rPr>
      </w:pPr>
    </w:p>
    <w:p>
      <w:pPr>
        <w:pStyle w:val="ListParagraph"/>
        <w:numPr>
          <w:ilvl w:val="0"/>
          <w:numId w:val="38"/>
        </w:numPr>
        <w:tabs>
          <w:tab w:pos="1586" w:val="left" w:leader="none"/>
        </w:tabs>
        <w:spacing w:line="240" w:lineRule="auto" w:before="0" w:after="0"/>
        <w:ind w:left="158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38"/>
        </w:numPr>
        <w:tabs>
          <w:tab w:pos="1595" w:val="left" w:leader="none"/>
        </w:tabs>
        <w:spacing w:line="240" w:lineRule="auto" w:before="1" w:after="0"/>
        <w:ind w:left="1595" w:right="0" w:hanging="635"/>
        <w:jc w:val="left"/>
        <w:rPr>
          <w:sz w:val="21"/>
        </w:rPr>
      </w:pPr>
      <w:r>
        <w:rPr>
          <w:spacing w:val="-12"/>
          <w:sz w:val="21"/>
        </w:rPr>
        <w:t>保守基金商业秘密，不泄露基金投资计划、投资意向等。除《基金法》</w:t>
      </w:r>
      <w:r>
        <w:rPr>
          <w:spacing w:val="-27"/>
          <w:sz w:val="21"/>
        </w:rPr>
        <w:t>、《基金合</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同》及其他有关规定另有规定外，在基金信息公开披露前应予保密，不向他人泄露。</w:t>
      </w:r>
    </w:p>
    <w:p>
      <w:pPr>
        <w:pStyle w:val="BodyText"/>
        <w:spacing w:before="6"/>
        <w:rPr>
          <w:sz w:val="15"/>
        </w:rPr>
      </w:pPr>
    </w:p>
    <w:p>
      <w:pPr>
        <w:pStyle w:val="ListParagraph"/>
        <w:numPr>
          <w:ilvl w:val="0"/>
          <w:numId w:val="38"/>
        </w:numPr>
        <w:tabs>
          <w:tab w:pos="1595" w:val="left" w:leader="none"/>
        </w:tabs>
        <w:spacing w:line="417" w:lineRule="auto" w:before="0" w:after="0"/>
        <w:ind w:left="540" w:right="3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8"/>
        </w:numPr>
        <w:tabs>
          <w:tab w:pos="1595" w:val="left" w:leader="none"/>
        </w:tabs>
        <w:spacing w:line="269" w:lineRule="exact" w:before="0" w:after="0"/>
        <w:ind w:left="159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38"/>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8"/>
        </w:numPr>
        <w:tabs>
          <w:tab w:pos="1595" w:val="left" w:leader="none"/>
        </w:tabs>
        <w:spacing w:line="269" w:lineRule="exact" w:before="0" w:after="0"/>
        <w:ind w:left="15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4"/>
        <w:rPr>
          <w:rFonts w:ascii="Times New Roman"/>
          <w:sz w:val="17"/>
        </w:rPr>
      </w:pPr>
    </w:p>
    <w:p>
      <w:pPr>
        <w:pStyle w:val="BodyText"/>
        <w:ind w:left="540"/>
      </w:pPr>
      <w:r>
        <w:rPr/>
        <w:t>年以上。</w:t>
      </w:r>
    </w:p>
    <w:p>
      <w:pPr>
        <w:pStyle w:val="BodyText"/>
        <w:spacing w:before="7"/>
        <w:rPr>
          <w:sz w:val="15"/>
        </w:rPr>
      </w:pPr>
    </w:p>
    <w:p>
      <w:pPr>
        <w:pStyle w:val="ListParagraph"/>
        <w:numPr>
          <w:ilvl w:val="0"/>
          <w:numId w:val="38"/>
        </w:numPr>
        <w:tabs>
          <w:tab w:pos="1595" w:val="left" w:leader="none"/>
        </w:tabs>
        <w:spacing w:line="417" w:lineRule="auto" w:before="0" w:after="0"/>
        <w:ind w:left="540" w:right="3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8"/>
        </w:numPr>
        <w:tabs>
          <w:tab w:pos="1593" w:val="left" w:leader="none"/>
        </w:tabs>
        <w:spacing w:line="269" w:lineRule="exact" w:before="0" w:after="0"/>
        <w:ind w:left="1592" w:right="0" w:hanging="633"/>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38"/>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8"/>
        </w:numPr>
        <w:tabs>
          <w:tab w:pos="1595" w:val="left" w:leader="none"/>
        </w:tabs>
        <w:spacing w:line="417" w:lineRule="auto" w:before="0" w:after="0"/>
        <w:ind w:left="540" w:right="3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8"/>
        </w:numPr>
        <w:tabs>
          <w:tab w:pos="1595" w:val="left" w:leader="none"/>
        </w:tabs>
        <w:spacing w:line="417" w:lineRule="auto" w:before="0" w:after="0"/>
        <w:ind w:left="540" w:right="31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8"/>
        </w:numPr>
        <w:tabs>
          <w:tab w:pos="1595" w:val="left" w:leader="none"/>
        </w:tabs>
        <w:spacing w:line="417" w:lineRule="auto" w:before="0" w:after="0"/>
        <w:ind w:left="540" w:right="3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8"/>
        </w:numPr>
        <w:tabs>
          <w:tab w:pos="1593" w:val="left" w:leader="none"/>
        </w:tabs>
        <w:spacing w:line="240" w:lineRule="auto" w:before="0" w:after="0"/>
        <w:ind w:left="159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8"/>
        </w:numPr>
        <w:tabs>
          <w:tab w:pos="1595" w:val="left" w:leader="none"/>
        </w:tabs>
        <w:spacing w:line="417" w:lineRule="auto" w:before="0" w:after="0"/>
        <w:ind w:left="540" w:right="31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38"/>
        </w:numPr>
        <w:tabs>
          <w:tab w:pos="1595" w:val="left" w:leader="none"/>
        </w:tabs>
        <w:spacing w:line="269" w:lineRule="exact" w:before="0" w:after="0"/>
        <w:ind w:left="159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38"/>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法律法规及中国证监会规定的和《基金合同》约定的其他义务。二、基金托管人</w:t>
      </w:r>
    </w:p>
    <w:p>
      <w:pPr>
        <w:pStyle w:val="BodyText"/>
        <w:spacing w:before="1"/>
        <w:ind w:left="960"/>
      </w:pPr>
      <w:r>
        <w:rPr/>
        <w:t>（一）基金托管人简况</w:t>
      </w:r>
    </w:p>
    <w:p>
      <w:pPr>
        <w:spacing w:after="0"/>
        <w:sectPr>
          <w:pgSz w:w="11910" w:h="16840"/>
          <w:pgMar w:header="877" w:footer="995" w:top="1420" w:bottom="1180" w:left="1260" w:right="1480"/>
        </w:sectPr>
      </w:pPr>
    </w:p>
    <w:p>
      <w:pPr>
        <w:pStyle w:val="BodyText"/>
        <w:spacing w:line="417" w:lineRule="auto" w:before="110"/>
        <w:ind w:left="960" w:right="4902"/>
      </w:pPr>
      <w:r>
        <w:rPr/>
        <w:t>名称：中国建设银行股份有限公司住所：北京市西城区金融大街 </w:t>
      </w:r>
      <w:r>
        <w:rPr>
          <w:rFonts w:ascii="Times New Roman" w:eastAsia="Times New Roman"/>
        </w:rPr>
        <w:t>25 </w:t>
      </w:r>
      <w:r>
        <w:rPr/>
        <w:t>号法定代表人：田国立</w:t>
      </w:r>
    </w:p>
    <w:p>
      <w:pPr>
        <w:pStyle w:val="BodyText"/>
        <w:spacing w:line="269" w:lineRule="exact"/>
        <w:ind w:left="960"/>
      </w:pPr>
      <w:r>
        <w:rPr/>
        <w:t>成立时间：</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6"/>
        <w:rPr>
          <w:sz w:val="15"/>
        </w:rPr>
      </w:pPr>
    </w:p>
    <w:p>
      <w:pPr>
        <w:pStyle w:val="BodyText"/>
        <w:spacing w:line="417" w:lineRule="auto"/>
        <w:ind w:left="960" w:right="971"/>
      </w:pPr>
      <w:r>
        <w:rPr/>
        <w:t>批准设立机关和批准设立文号：中国银行业监督管理委员会银监复</w:t>
      </w:r>
      <w:r>
        <w:rPr>
          <w:rFonts w:ascii="Times New Roman" w:eastAsia="Times New Roman"/>
        </w:rPr>
        <w:t>[2004]143 </w:t>
      </w:r>
      <w:r>
        <w:rPr/>
        <w:t>号组织形式：股份有限公司</w:t>
      </w:r>
    </w:p>
    <w:p>
      <w:pPr>
        <w:pStyle w:val="BodyText"/>
        <w:spacing w:line="417" w:lineRule="auto"/>
        <w:ind w:left="960" w:right="2107"/>
      </w:pPr>
      <w:r>
        <w:rPr/>
        <w:t>注册资本：人民币贰仟伍佰亿壹仟零玖拾柒万柒仟肆佰捌拾陆元整存续期间：持续经营</w:t>
      </w:r>
    </w:p>
    <w:p>
      <w:pPr>
        <w:pStyle w:val="BodyText"/>
        <w:ind w:left="960"/>
      </w:pPr>
      <w:r>
        <w:rPr/>
        <w:t>基金托管资格批文及文号：中国证监会证监基字</w:t>
      </w:r>
      <w:r>
        <w:rPr>
          <w:rFonts w:ascii="Times New Roman" w:eastAsia="Times New Roman"/>
        </w:rPr>
        <w:t>[1998]12 </w:t>
      </w:r>
      <w:r>
        <w:rPr/>
        <w:t>号</w:t>
      </w:r>
    </w:p>
    <w:p>
      <w:pPr>
        <w:pStyle w:val="BodyText"/>
        <w:spacing w:before="7"/>
        <w:rPr>
          <w:sz w:val="15"/>
        </w:rPr>
      </w:pPr>
    </w:p>
    <w:p>
      <w:pPr>
        <w:pStyle w:val="BodyText"/>
        <w:ind w:left="960"/>
      </w:pPr>
      <w:r>
        <w:rPr/>
        <w:t>（二）基金托管人的权利与义务</w:t>
      </w:r>
    </w:p>
    <w:p>
      <w:pPr>
        <w:pStyle w:val="BodyText"/>
        <w:spacing w:before="7"/>
        <w:rPr>
          <w:sz w:val="15"/>
        </w:rPr>
      </w:pPr>
    </w:p>
    <w:p>
      <w:pPr>
        <w:pStyle w:val="BodyText"/>
        <w:ind w:left="960"/>
      </w:pPr>
      <w:r>
        <w:rPr>
          <w:rFonts w:ascii="Times New Roman" w:eastAsia="Times New Roman"/>
        </w:rPr>
        <w:t>1</w:t>
      </w:r>
      <w:r>
        <w:rPr/>
        <w:t>、根据《基金法》、《运作办法》及其他有关规定，基金托管人的权利包括但不限于：</w:t>
      </w:r>
    </w:p>
    <w:p>
      <w:pPr>
        <w:pStyle w:val="BodyText"/>
        <w:spacing w:before="6"/>
        <w:rPr>
          <w:sz w:val="15"/>
        </w:rPr>
      </w:pPr>
    </w:p>
    <w:p>
      <w:pPr>
        <w:pStyle w:val="ListParagraph"/>
        <w:numPr>
          <w:ilvl w:val="0"/>
          <w:numId w:val="39"/>
        </w:numPr>
        <w:tabs>
          <w:tab w:pos="1490" w:val="left" w:leader="none"/>
        </w:tabs>
        <w:spacing w:line="417" w:lineRule="auto" w:before="1" w:after="0"/>
        <w:ind w:left="540" w:right="314" w:firstLine="419"/>
        <w:jc w:val="left"/>
        <w:rPr>
          <w:sz w:val="21"/>
        </w:rPr>
      </w:pPr>
      <w:r>
        <w:rPr>
          <w:spacing w:val="-3"/>
          <w:sz w:val="21"/>
        </w:rPr>
        <w:t>自《基金合同》生效之日起，依法律法规和《基金合同》的规定安全保管基金财产。</w:t>
      </w:r>
    </w:p>
    <w:p>
      <w:pPr>
        <w:pStyle w:val="ListParagraph"/>
        <w:numPr>
          <w:ilvl w:val="0"/>
          <w:numId w:val="39"/>
        </w:numPr>
        <w:tabs>
          <w:tab w:pos="1490" w:val="left" w:leader="none"/>
        </w:tabs>
        <w:spacing w:line="417" w:lineRule="auto" w:before="0" w:after="0"/>
        <w:ind w:left="540" w:right="314" w:firstLine="419"/>
        <w:jc w:val="left"/>
        <w:rPr>
          <w:sz w:val="21"/>
        </w:rPr>
      </w:pPr>
      <w:r>
        <w:rPr>
          <w:spacing w:val="-3"/>
          <w:sz w:val="21"/>
        </w:rPr>
        <w:t>依《基金合同》约定获得基金托管费以及法律法规规定或监管部门批准的其他费用。</w:t>
      </w:r>
    </w:p>
    <w:p>
      <w:pPr>
        <w:pStyle w:val="ListParagraph"/>
        <w:numPr>
          <w:ilvl w:val="0"/>
          <w:numId w:val="39"/>
        </w:numPr>
        <w:tabs>
          <w:tab w:pos="1490" w:val="left" w:leader="none"/>
        </w:tabs>
        <w:spacing w:line="417" w:lineRule="auto" w:before="0" w:after="0"/>
        <w:ind w:left="54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6"/>
        <w:rPr>
          <w:sz w:val="15"/>
        </w:rPr>
      </w:pPr>
    </w:p>
    <w:p>
      <w:pPr>
        <w:pStyle w:val="ListParagraph"/>
        <w:numPr>
          <w:ilvl w:val="0"/>
          <w:numId w:val="40"/>
        </w:numPr>
        <w:tabs>
          <w:tab w:pos="1490" w:val="left" w:leader="none"/>
        </w:tabs>
        <w:spacing w:line="417" w:lineRule="auto" w:before="0" w:after="0"/>
        <w:ind w:left="540" w:right="31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0"/>
        </w:numPr>
        <w:tabs>
          <w:tab w:pos="1490" w:val="left" w:leader="none"/>
        </w:tabs>
        <w:spacing w:line="417" w:lineRule="auto" w:before="0" w:after="0"/>
        <w:ind w:left="540" w:right="20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spacing w:after="0" w:line="417" w:lineRule="auto"/>
        <w:jc w:val="left"/>
        <w:rPr>
          <w:sz w:val="21"/>
        </w:rPr>
        <w:sectPr>
          <w:pgSz w:w="11910" w:h="16840"/>
          <w:pgMar w:header="877" w:footer="995" w:top="1420" w:bottom="1180" w:left="1260" w:right="1480"/>
        </w:sectPr>
      </w:pPr>
    </w:p>
    <w:p>
      <w:pPr>
        <w:pStyle w:val="ListParagraph"/>
        <w:numPr>
          <w:ilvl w:val="0"/>
          <w:numId w:val="40"/>
        </w:numPr>
        <w:tabs>
          <w:tab w:pos="1490" w:val="left" w:leader="none"/>
        </w:tabs>
        <w:spacing w:line="417" w:lineRule="auto" w:before="110" w:after="0"/>
        <w:ind w:left="540" w:right="3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0"/>
        </w:numPr>
        <w:tabs>
          <w:tab w:pos="1490" w:val="left" w:leader="none"/>
        </w:tabs>
        <w:spacing w:line="269" w:lineRule="exact" w:before="0" w:after="0"/>
        <w:ind w:left="148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0"/>
        </w:numPr>
        <w:tabs>
          <w:tab w:pos="1490" w:val="left" w:leader="none"/>
        </w:tabs>
        <w:spacing w:line="417" w:lineRule="auto" w:before="0" w:after="0"/>
        <w:ind w:left="540" w:right="313"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40"/>
        </w:numPr>
        <w:tabs>
          <w:tab w:pos="1490" w:val="left" w:leader="none"/>
        </w:tabs>
        <w:spacing w:line="417" w:lineRule="auto" w:before="0" w:after="0"/>
        <w:ind w:left="540" w:right="31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复核、审查基金管理人计算的基金资产净值、基金份额申购、赎回价格。</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0"/>
        </w:numPr>
        <w:tabs>
          <w:tab w:pos="1595" w:val="left" w:leader="none"/>
        </w:tabs>
        <w:spacing w:line="417" w:lineRule="auto" w:before="0" w:after="0"/>
        <w:ind w:left="540" w:right="31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0"/>
        </w:numPr>
        <w:tabs>
          <w:tab w:pos="1586" w:val="left" w:leader="none"/>
        </w:tabs>
        <w:spacing w:line="269" w:lineRule="exact" w:before="0" w:after="0"/>
        <w:ind w:left="158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1"/>
          <w:sz w:val="21"/>
        </w:rPr>
        <w:t> </w:t>
      </w:r>
      <w:r>
        <w:rPr>
          <w:spacing w:val="-2"/>
          <w:sz w:val="21"/>
        </w:rPr>
        <w:t>年以上。</w:t>
      </w:r>
    </w:p>
    <w:p>
      <w:pPr>
        <w:pStyle w:val="BodyText"/>
        <w:spacing w:before="6"/>
        <w:rPr>
          <w:sz w:val="15"/>
        </w:rPr>
      </w:pPr>
    </w:p>
    <w:p>
      <w:pPr>
        <w:pStyle w:val="ListParagraph"/>
        <w:numPr>
          <w:ilvl w:val="0"/>
          <w:numId w:val="40"/>
        </w:numPr>
        <w:tabs>
          <w:tab w:pos="1595" w:val="left" w:leader="none"/>
        </w:tabs>
        <w:spacing w:line="240" w:lineRule="auto" w:before="1"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40"/>
        </w:numPr>
        <w:tabs>
          <w:tab w:pos="1595" w:val="left" w:leader="none"/>
        </w:tabs>
        <w:spacing w:line="240" w:lineRule="auto" w:before="0" w:after="0"/>
        <w:ind w:left="159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40"/>
        </w:numPr>
        <w:tabs>
          <w:tab w:pos="1595" w:val="left" w:leader="none"/>
        </w:tabs>
        <w:spacing w:line="240" w:lineRule="auto" w:before="1" w:after="0"/>
        <w:ind w:left="159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0"/>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0"/>
        </w:numPr>
        <w:tabs>
          <w:tab w:pos="1595" w:val="left" w:leader="none"/>
        </w:tabs>
        <w:spacing w:line="269" w:lineRule="exact" w:before="0" w:after="0"/>
        <w:ind w:left="159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40"/>
        </w:numPr>
        <w:tabs>
          <w:tab w:pos="1595" w:val="left" w:leader="none"/>
        </w:tabs>
        <w:spacing w:line="240" w:lineRule="auto" w:before="0" w:after="0"/>
        <w:ind w:left="159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0"/>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0"/>
        </w:numPr>
        <w:tabs>
          <w:tab w:pos="1595" w:val="left" w:leader="none"/>
        </w:tabs>
        <w:spacing w:line="417" w:lineRule="auto" w:before="0" w:after="0"/>
        <w:ind w:left="540" w:right="3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0"/>
        </w:numPr>
        <w:tabs>
          <w:tab w:pos="1595" w:val="left" w:leader="none"/>
        </w:tabs>
        <w:spacing w:line="417" w:lineRule="auto" w:before="0" w:after="0"/>
        <w:ind w:left="540" w:right="31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0"/>
        </w:numPr>
        <w:tabs>
          <w:tab w:pos="1595" w:val="left" w:leader="none"/>
        </w:tabs>
        <w:spacing w:line="269" w:lineRule="exact" w:before="0" w:after="0"/>
        <w:ind w:left="159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0"/>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法律法规及中国证监会规定的和《基金合同》约定的其他义务。三、基金份额持有人</w:t>
      </w:r>
    </w:p>
    <w:p>
      <w:pPr>
        <w:pStyle w:val="BodyText"/>
        <w:spacing w:before="1"/>
        <w:ind w:left="960"/>
      </w:pPr>
      <w:r>
        <w:rPr/>
        <w:t>基金投资者持有本基金基金份额的行为即视为对《基金合同》的承认和接受，基金投资</w:t>
      </w:r>
    </w:p>
    <w:p>
      <w:pPr>
        <w:spacing w:after="0"/>
        <w:sectPr>
          <w:pgSz w:w="11910" w:h="16840"/>
          <w:pgMar w:header="877" w:footer="995" w:top="1420" w:bottom="1180" w:left="1260" w:right="1480"/>
        </w:sectPr>
      </w:pPr>
    </w:p>
    <w:p>
      <w:pPr>
        <w:pStyle w:val="BodyText"/>
        <w:spacing w:line="417" w:lineRule="auto" w:before="110"/>
        <w:ind w:left="540" w:right="311"/>
        <w:jc w:val="both"/>
      </w:pP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9" w:lineRule="exact"/>
        <w:ind w:left="960"/>
      </w:pPr>
      <w:r>
        <w:rPr>
          <w:spacing w:val="-3"/>
        </w:rPr>
        <w:t>每份基金份额具有同等的合法权益。</w:t>
      </w:r>
    </w:p>
    <w:p>
      <w:pPr>
        <w:pStyle w:val="BodyText"/>
        <w:spacing w:before="6"/>
        <w:rPr>
          <w:sz w:val="15"/>
        </w:rPr>
      </w:pPr>
    </w:p>
    <w:p>
      <w:pPr>
        <w:pStyle w:val="BodyText"/>
        <w:spacing w:line="417" w:lineRule="auto"/>
        <w:ind w:left="540" w:right="31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分享基金财产收益。</w:t>
      </w:r>
    </w:p>
    <w:p>
      <w:pPr>
        <w:pStyle w:val="BodyText"/>
        <w:spacing w:before="8"/>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41"/>
        </w:numPr>
        <w:tabs>
          <w:tab w:pos="1490" w:val="left" w:leader="none"/>
        </w:tabs>
        <w:spacing w:line="240" w:lineRule="auto" w:before="1" w:after="0"/>
        <w:ind w:left="1489" w:right="0" w:hanging="530"/>
        <w:jc w:val="left"/>
        <w:rPr>
          <w:sz w:val="21"/>
        </w:rPr>
      </w:pPr>
      <w:r>
        <w:rPr>
          <w:spacing w:val="-3"/>
          <w:sz w:val="21"/>
        </w:rPr>
        <w:t>依法申请赎回其持有的基金份额。</w:t>
      </w:r>
    </w:p>
    <w:p>
      <w:pPr>
        <w:pStyle w:val="BodyText"/>
        <w:spacing w:before="6"/>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1"/>
        </w:numPr>
        <w:tabs>
          <w:tab w:pos="1490" w:val="left" w:leader="none"/>
        </w:tabs>
        <w:spacing w:line="417" w:lineRule="auto" w:before="0" w:after="0"/>
        <w:ind w:left="540" w:right="3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查阅或者复制公开披露的基金信息资料。</w:t>
      </w:r>
    </w:p>
    <w:p>
      <w:pPr>
        <w:pStyle w:val="BodyText"/>
        <w:spacing w:before="7"/>
        <w:rPr>
          <w:sz w:val="15"/>
        </w:rPr>
      </w:pPr>
    </w:p>
    <w:p>
      <w:pPr>
        <w:pStyle w:val="ListParagraph"/>
        <w:numPr>
          <w:ilvl w:val="0"/>
          <w:numId w:val="41"/>
        </w:numPr>
        <w:tabs>
          <w:tab w:pos="1490" w:val="left" w:leader="none"/>
        </w:tabs>
        <w:spacing w:line="240" w:lineRule="auto" w:before="0" w:after="0"/>
        <w:ind w:left="148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1"/>
        </w:numPr>
        <w:tabs>
          <w:tab w:pos="1490" w:val="left" w:leader="none"/>
        </w:tabs>
        <w:spacing w:line="417" w:lineRule="auto" w:before="0" w:after="0"/>
        <w:ind w:left="540" w:right="314" w:firstLine="419"/>
        <w:jc w:val="left"/>
        <w:rPr>
          <w:sz w:val="21"/>
        </w:rPr>
      </w:pPr>
      <w:r>
        <w:rPr>
          <w:spacing w:val="-3"/>
          <w:sz w:val="21"/>
        </w:rPr>
        <w:t>对基金管理人、基金托管人、基金服务机构损害其合法权益的行为依法提起诉讼或仲裁。</w:t>
      </w:r>
    </w:p>
    <w:p>
      <w:pPr>
        <w:pStyle w:val="ListParagraph"/>
        <w:numPr>
          <w:ilvl w:val="0"/>
          <w:numId w:val="41"/>
        </w:numPr>
        <w:tabs>
          <w:tab w:pos="1490" w:val="left" w:leader="none"/>
        </w:tabs>
        <w:spacing w:line="269" w:lineRule="exact"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540" w:right="31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2"/>
        </w:numPr>
        <w:tabs>
          <w:tab w:pos="1490" w:val="left" w:leader="none"/>
        </w:tabs>
        <w:spacing w:line="269" w:lineRule="exact" w:before="0" w:after="0"/>
        <w:ind w:left="1489" w:right="0" w:hanging="530"/>
        <w:jc w:val="left"/>
        <w:rPr>
          <w:sz w:val="21"/>
        </w:rPr>
      </w:pPr>
      <w:r>
        <w:rPr>
          <w:spacing w:val="-11"/>
          <w:sz w:val="21"/>
        </w:rPr>
        <w:t>认真阅读并遵守《基金合同》。</w:t>
      </w:r>
    </w:p>
    <w:p>
      <w:pPr>
        <w:pStyle w:val="BodyText"/>
        <w:spacing w:before="6"/>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8"/>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6"/>
        <w:rPr>
          <w:sz w:val="15"/>
        </w:rPr>
      </w:pPr>
    </w:p>
    <w:p>
      <w:pPr>
        <w:pStyle w:val="ListParagraph"/>
        <w:numPr>
          <w:ilvl w:val="0"/>
          <w:numId w:val="42"/>
        </w:numPr>
        <w:tabs>
          <w:tab w:pos="1490" w:val="left" w:leader="none"/>
        </w:tabs>
        <w:spacing w:line="240" w:lineRule="auto" w:before="1" w:after="0"/>
        <w:ind w:left="1489" w:right="0" w:hanging="530"/>
        <w:jc w:val="left"/>
        <w:rPr>
          <w:sz w:val="21"/>
        </w:rPr>
      </w:pPr>
      <w:r>
        <w:rPr>
          <w:spacing w:val="-3"/>
          <w:sz w:val="21"/>
        </w:rPr>
        <w:t>缴纳基金认购、申购款项及法律法规和《基金合同》所规定的费用。</w:t>
      </w:r>
    </w:p>
    <w:p>
      <w:pPr>
        <w:pStyle w:val="BodyText"/>
        <w:spacing w:before="6"/>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2"/>
        </w:numPr>
        <w:tabs>
          <w:tab w:pos="1490" w:val="left" w:leader="none"/>
        </w:tabs>
        <w:spacing w:line="240" w:lineRule="auto" w:before="1" w:after="0"/>
        <w:ind w:left="1489" w:right="0" w:hanging="530"/>
        <w:jc w:val="left"/>
        <w:rPr>
          <w:sz w:val="21"/>
        </w:rPr>
      </w:pPr>
      <w:r>
        <w:rPr>
          <w:spacing w:val="-3"/>
          <w:sz w:val="21"/>
        </w:rPr>
        <w:t>返还在基金交易过程中因任何原因获得的不当得利。</w:t>
      </w:r>
    </w:p>
    <w:p>
      <w:pPr>
        <w:pStyle w:val="BodyText"/>
        <w:spacing w:before="6"/>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法律法规及中国证监会规定的和《基金合同》约定的其他义务。</w:t>
      </w:r>
    </w:p>
    <w:p>
      <w:pPr>
        <w:pStyle w:val="BodyText"/>
        <w:spacing w:before="7"/>
        <w:rPr>
          <w:sz w:val="15"/>
        </w:rPr>
      </w:pPr>
    </w:p>
    <w:p>
      <w:pPr>
        <w:tabs>
          <w:tab w:pos="1703" w:val="left" w:leader="none"/>
        </w:tabs>
        <w:spacing w:before="0"/>
        <w:ind w:left="646" w:right="0" w:firstLine="0"/>
        <w:jc w:val="center"/>
        <w:rPr>
          <w:b/>
          <w:sz w:val="21"/>
        </w:rPr>
      </w:pP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的程序和规则</w:t>
      </w:r>
    </w:p>
    <w:p>
      <w:pPr>
        <w:pStyle w:val="BodyText"/>
        <w:spacing w:before="7"/>
        <w:rPr>
          <w:b/>
          <w:sz w:val="15"/>
        </w:rPr>
      </w:pPr>
    </w:p>
    <w:p>
      <w:pPr>
        <w:pStyle w:val="BodyText"/>
        <w:ind w:left="646"/>
        <w:jc w:val="center"/>
      </w:pPr>
      <w:r>
        <w:rPr/>
        <w:t>基金份额持有人大会由基金份额持有人组成，基金份额持有人的合法授权代表有权代表</w:t>
      </w:r>
    </w:p>
    <w:p>
      <w:pPr>
        <w:spacing w:after="0"/>
        <w:jc w:val="center"/>
        <w:sectPr>
          <w:pgSz w:w="11910" w:h="16840"/>
          <w:pgMar w:header="877" w:footer="995" w:top="1420" w:bottom="1180" w:left="1260" w:right="1480"/>
        </w:sectPr>
      </w:pPr>
    </w:p>
    <w:p>
      <w:pPr>
        <w:pStyle w:val="BodyText"/>
        <w:spacing w:line="417" w:lineRule="auto" w:before="110"/>
        <w:ind w:left="540" w:right="208"/>
      </w:pPr>
      <w:r>
        <w:rPr/>
        <w:t>基金份额持有人出席会议并表决。基金份额持有人持有的每一基金份额拥有平等的投票权。基金份额持有人大会不设立日常机构。</w:t>
      </w:r>
    </w:p>
    <w:p>
      <w:pPr>
        <w:pStyle w:val="BodyText"/>
        <w:spacing w:line="269" w:lineRule="exact"/>
        <w:ind w:left="960"/>
      </w:pPr>
      <w:r>
        <w:rPr/>
        <w:t>一、召开事由</w:t>
      </w:r>
    </w:p>
    <w:p>
      <w:pPr>
        <w:pStyle w:val="BodyText"/>
        <w:spacing w:before="6"/>
        <w:rPr>
          <w:sz w:val="15"/>
        </w:rPr>
      </w:pPr>
    </w:p>
    <w:p>
      <w:pPr>
        <w:pStyle w:val="BodyText"/>
        <w:spacing w:line="417" w:lineRule="auto"/>
        <w:ind w:left="540" w:right="314" w:firstLine="419"/>
      </w:pPr>
      <w:r>
        <w:rPr>
          <w:rFonts w:ascii="Times New Roman" w:eastAsia="Times New Roman"/>
        </w:rPr>
        <w:t>1</w:t>
      </w:r>
      <w:r>
        <w:rPr/>
        <w:t>、当出现或需要决定下列事由之一的，应当召开基金份额持有人大会，法律法规和中国证监会另有规定的除外：</w:t>
      </w:r>
    </w:p>
    <w:p>
      <w:pPr>
        <w:pStyle w:val="ListParagraph"/>
        <w:numPr>
          <w:ilvl w:val="0"/>
          <w:numId w:val="43"/>
        </w:numPr>
        <w:tabs>
          <w:tab w:pos="1490" w:val="left" w:leader="none"/>
        </w:tabs>
        <w:spacing w:line="240" w:lineRule="auto" w:before="70" w:after="0"/>
        <w:ind w:left="1489" w:right="0" w:hanging="530"/>
        <w:jc w:val="left"/>
        <w:rPr>
          <w:sz w:val="21"/>
        </w:rPr>
      </w:pPr>
      <w:r>
        <w:rPr>
          <w:spacing w:val="-15"/>
          <w:sz w:val="21"/>
        </w:rPr>
        <w:t>终止《基金合同》。</w:t>
      </w:r>
    </w:p>
    <w:p>
      <w:pPr>
        <w:pStyle w:val="ListParagraph"/>
        <w:numPr>
          <w:ilvl w:val="0"/>
          <w:numId w:val="43"/>
        </w:numPr>
        <w:tabs>
          <w:tab w:pos="1490" w:val="left" w:leader="none"/>
        </w:tabs>
        <w:spacing w:line="240" w:lineRule="auto" w:before="170" w:after="0"/>
        <w:ind w:left="1489" w:right="0" w:hanging="530"/>
        <w:jc w:val="left"/>
        <w:rPr>
          <w:sz w:val="21"/>
        </w:rPr>
      </w:pPr>
      <w:r>
        <w:rPr>
          <w:spacing w:val="-3"/>
          <w:sz w:val="21"/>
        </w:rPr>
        <w:t>更换基金管理人。</w:t>
      </w:r>
    </w:p>
    <w:p>
      <w:pPr>
        <w:pStyle w:val="ListParagraph"/>
        <w:numPr>
          <w:ilvl w:val="0"/>
          <w:numId w:val="43"/>
        </w:numPr>
        <w:tabs>
          <w:tab w:pos="1490" w:val="left" w:leader="none"/>
        </w:tabs>
        <w:spacing w:line="240" w:lineRule="auto" w:before="173" w:after="0"/>
        <w:ind w:left="1489" w:right="0" w:hanging="530"/>
        <w:jc w:val="left"/>
        <w:rPr>
          <w:sz w:val="21"/>
        </w:rPr>
      </w:pPr>
      <w:r>
        <w:rPr>
          <w:spacing w:val="-3"/>
          <w:sz w:val="21"/>
        </w:rPr>
        <w:t>更换基金托管人。</w:t>
      </w:r>
    </w:p>
    <w:p>
      <w:pPr>
        <w:pStyle w:val="ListParagraph"/>
        <w:numPr>
          <w:ilvl w:val="0"/>
          <w:numId w:val="43"/>
        </w:numPr>
        <w:tabs>
          <w:tab w:pos="1490" w:val="left" w:leader="none"/>
        </w:tabs>
        <w:spacing w:line="240" w:lineRule="auto" w:before="170" w:after="0"/>
        <w:ind w:left="1489" w:right="0" w:hanging="530"/>
        <w:jc w:val="left"/>
        <w:rPr>
          <w:sz w:val="21"/>
        </w:rPr>
      </w:pPr>
      <w:r>
        <w:rPr>
          <w:spacing w:val="-3"/>
          <w:sz w:val="21"/>
        </w:rPr>
        <w:t>转换基金运作方式。</w:t>
      </w:r>
    </w:p>
    <w:p>
      <w:pPr>
        <w:pStyle w:val="ListParagraph"/>
        <w:numPr>
          <w:ilvl w:val="0"/>
          <w:numId w:val="43"/>
        </w:numPr>
        <w:tabs>
          <w:tab w:pos="1490" w:val="left" w:leader="none"/>
        </w:tabs>
        <w:spacing w:line="240" w:lineRule="auto" w:before="170" w:after="0"/>
        <w:ind w:left="1489" w:right="0" w:hanging="530"/>
        <w:jc w:val="left"/>
        <w:rPr>
          <w:sz w:val="21"/>
        </w:rPr>
      </w:pPr>
      <w:r>
        <w:rPr>
          <w:spacing w:val="-3"/>
          <w:sz w:val="21"/>
        </w:rPr>
        <w:t>调整基金管理人、基金托管人的报酬标准。</w:t>
      </w:r>
    </w:p>
    <w:p>
      <w:pPr>
        <w:pStyle w:val="ListParagraph"/>
        <w:numPr>
          <w:ilvl w:val="0"/>
          <w:numId w:val="43"/>
        </w:numPr>
        <w:tabs>
          <w:tab w:pos="1490" w:val="left" w:leader="none"/>
        </w:tabs>
        <w:spacing w:line="240" w:lineRule="auto" w:before="173" w:after="0"/>
        <w:ind w:left="1489" w:right="0" w:hanging="530"/>
        <w:jc w:val="left"/>
        <w:rPr>
          <w:sz w:val="21"/>
        </w:rPr>
      </w:pPr>
      <w:r>
        <w:rPr>
          <w:spacing w:val="-3"/>
          <w:sz w:val="21"/>
        </w:rPr>
        <w:t>变更基金类别。</w:t>
      </w:r>
    </w:p>
    <w:p>
      <w:pPr>
        <w:pStyle w:val="ListParagraph"/>
        <w:numPr>
          <w:ilvl w:val="0"/>
          <w:numId w:val="43"/>
        </w:numPr>
        <w:tabs>
          <w:tab w:pos="1490" w:val="left" w:leader="none"/>
        </w:tabs>
        <w:spacing w:line="240" w:lineRule="auto" w:before="170" w:after="0"/>
        <w:ind w:left="1489" w:right="0" w:hanging="530"/>
        <w:jc w:val="left"/>
        <w:rPr>
          <w:sz w:val="21"/>
        </w:rPr>
      </w:pPr>
      <w:r>
        <w:rPr>
          <w:spacing w:val="-3"/>
          <w:sz w:val="21"/>
        </w:rPr>
        <w:t>本基金与其他基金的合并。</w:t>
      </w:r>
    </w:p>
    <w:p>
      <w:pPr>
        <w:pStyle w:val="ListParagraph"/>
        <w:numPr>
          <w:ilvl w:val="0"/>
          <w:numId w:val="43"/>
        </w:numPr>
        <w:tabs>
          <w:tab w:pos="1490" w:val="left" w:leader="none"/>
        </w:tabs>
        <w:spacing w:line="240" w:lineRule="auto" w:before="170" w:after="0"/>
        <w:ind w:left="1489" w:right="0" w:hanging="530"/>
        <w:jc w:val="left"/>
        <w:rPr>
          <w:sz w:val="21"/>
        </w:rPr>
      </w:pPr>
      <w:r>
        <w:rPr>
          <w:spacing w:val="-3"/>
          <w:sz w:val="21"/>
        </w:rPr>
        <w:t>除本合同另有规定外，变更基金投资目标、范围或策略。</w:t>
      </w:r>
    </w:p>
    <w:p>
      <w:pPr>
        <w:pStyle w:val="ListParagraph"/>
        <w:numPr>
          <w:ilvl w:val="0"/>
          <w:numId w:val="43"/>
        </w:numPr>
        <w:tabs>
          <w:tab w:pos="1490" w:val="left" w:leader="none"/>
        </w:tabs>
        <w:spacing w:line="240" w:lineRule="auto" w:before="173" w:after="0"/>
        <w:ind w:left="1489" w:right="0" w:hanging="530"/>
        <w:jc w:val="left"/>
        <w:rPr>
          <w:sz w:val="21"/>
        </w:rPr>
      </w:pPr>
      <w:r>
        <w:rPr>
          <w:spacing w:val="-3"/>
          <w:sz w:val="21"/>
        </w:rPr>
        <w:t>变更基金份额持有人大会程序。</w:t>
      </w:r>
    </w:p>
    <w:p>
      <w:pPr>
        <w:pStyle w:val="ListParagraph"/>
        <w:numPr>
          <w:ilvl w:val="0"/>
          <w:numId w:val="43"/>
        </w:numPr>
        <w:tabs>
          <w:tab w:pos="1595" w:val="left" w:leader="none"/>
        </w:tabs>
        <w:spacing w:line="240" w:lineRule="auto" w:before="170" w:after="0"/>
        <w:ind w:left="1595" w:right="0" w:hanging="635"/>
        <w:jc w:val="left"/>
        <w:rPr>
          <w:sz w:val="21"/>
        </w:rPr>
      </w:pPr>
      <w:r>
        <w:rPr>
          <w:spacing w:val="-3"/>
          <w:sz w:val="21"/>
        </w:rPr>
        <w:t>基金管理人或基金托管人要求召开基金份额持有人大会。</w:t>
      </w:r>
    </w:p>
    <w:p>
      <w:pPr>
        <w:pStyle w:val="ListParagraph"/>
        <w:numPr>
          <w:ilvl w:val="0"/>
          <w:numId w:val="43"/>
        </w:numPr>
        <w:tabs>
          <w:tab w:pos="1586" w:val="left" w:leader="none"/>
        </w:tabs>
        <w:spacing w:line="240" w:lineRule="auto" w:before="170" w:after="0"/>
        <w:ind w:left="158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w:t>
      </w:r>
      <w:r>
        <w:rPr>
          <w:spacing w:val="-2"/>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3"/>
        <w:ind w:left="540" w:right="31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3"/>
        </w:numPr>
        <w:tabs>
          <w:tab w:pos="1595" w:val="left" w:leader="none"/>
        </w:tabs>
        <w:spacing w:line="240" w:lineRule="auto" w:before="1" w:after="0"/>
        <w:ind w:left="1595" w:right="0" w:hanging="635"/>
        <w:jc w:val="left"/>
        <w:rPr>
          <w:sz w:val="21"/>
        </w:rPr>
      </w:pPr>
      <w:r>
        <w:rPr>
          <w:spacing w:val="-3"/>
          <w:sz w:val="21"/>
        </w:rPr>
        <w:t>对基金当事人权利和义务产生重大影响的其他事项。</w:t>
      </w:r>
    </w:p>
    <w:p>
      <w:pPr>
        <w:pStyle w:val="ListParagraph"/>
        <w:numPr>
          <w:ilvl w:val="0"/>
          <w:numId w:val="43"/>
        </w:numPr>
        <w:tabs>
          <w:tab w:pos="1595" w:val="left" w:leader="none"/>
        </w:tabs>
        <w:spacing w:line="391" w:lineRule="auto" w:before="173" w:after="0"/>
        <w:ind w:left="540" w:right="3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1" w:lineRule="exact"/>
        <w:ind w:left="960"/>
      </w:pPr>
      <w:r>
        <w:rPr>
          <w:rFonts w:ascii="Times New Roman" w:eastAsia="Times New Roman"/>
        </w:rPr>
        <w:t>2</w:t>
      </w:r>
      <w:r>
        <w:rPr/>
        <w:t>、在不违反法律法规和基金合同约定且对份额持有人利益无实质性不利影响的情况下，</w:t>
      </w:r>
    </w:p>
    <w:p>
      <w:pPr>
        <w:pStyle w:val="BodyText"/>
        <w:spacing w:before="7"/>
        <w:rPr>
          <w:sz w:val="15"/>
        </w:rPr>
      </w:pPr>
    </w:p>
    <w:p>
      <w:pPr>
        <w:pStyle w:val="BodyText"/>
        <w:ind w:left="540"/>
      </w:pPr>
      <w:r>
        <w:rPr/>
        <w:t>以下情况可由基金管理人和基金托管人协商后修改，不需召开基金份额持有人大会：</w:t>
      </w:r>
    </w:p>
    <w:p>
      <w:pPr>
        <w:pStyle w:val="BodyText"/>
        <w:spacing w:before="7"/>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法律法规要求增加的基金费用的收取。</w:t>
      </w:r>
    </w:p>
    <w:p>
      <w:pPr>
        <w:pStyle w:val="BodyText"/>
        <w:spacing w:before="6"/>
        <w:rPr>
          <w:sz w:val="15"/>
        </w:rPr>
      </w:pPr>
    </w:p>
    <w:p>
      <w:pPr>
        <w:pStyle w:val="ListParagraph"/>
        <w:numPr>
          <w:ilvl w:val="0"/>
          <w:numId w:val="44"/>
        </w:numPr>
        <w:tabs>
          <w:tab w:pos="1490" w:val="left" w:leader="none"/>
        </w:tabs>
        <w:spacing w:line="417" w:lineRule="auto" w:before="0" w:after="0"/>
        <w:ind w:left="540" w:right="313" w:firstLine="419"/>
        <w:jc w:val="left"/>
        <w:rPr>
          <w:sz w:val="21"/>
        </w:rPr>
      </w:pPr>
      <w:r>
        <w:rPr>
          <w:spacing w:val="-3"/>
          <w:sz w:val="21"/>
        </w:rPr>
        <w:t>在对现有基金份额持有人利益无实质性不利影响的前提下，增加、减少、调整本基金份额类别设置或调整本基金的申购费率、赎回费率、销售服务费率或收费方式。</w:t>
      </w:r>
    </w:p>
    <w:p>
      <w:pPr>
        <w:pStyle w:val="ListParagraph"/>
        <w:numPr>
          <w:ilvl w:val="0"/>
          <w:numId w:val="44"/>
        </w:numPr>
        <w:tabs>
          <w:tab w:pos="1490" w:val="left" w:leader="none"/>
        </w:tabs>
        <w:spacing w:line="417" w:lineRule="auto" w:before="0" w:after="0"/>
        <w:ind w:left="540" w:right="313" w:firstLine="419"/>
        <w:jc w:val="both"/>
        <w:rPr>
          <w:sz w:val="21"/>
        </w:rPr>
      </w:pPr>
      <w:r>
        <w:rPr>
          <w:spacing w:val="-3"/>
          <w:sz w:val="21"/>
        </w:rPr>
        <w:t>在对现有基金份额持有人利益无实质性不利影响的前提下，基金管理人、登记机</w:t>
      </w:r>
      <w:r>
        <w:rPr>
          <w:spacing w:val="-11"/>
          <w:sz w:val="21"/>
        </w:rPr>
        <w:t>构、代销机构调整有关基金认购、申购、赎回、转换、收益分配、非交易过户、转托管等业</w:t>
      </w:r>
      <w:r>
        <w:rPr>
          <w:spacing w:val="-6"/>
          <w:sz w:val="21"/>
        </w:rPr>
        <w:t>务的规则。</w:t>
      </w: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根据相关证券、期货交易所上市交易规则，安排本基金的上市交易事宜。</w:t>
      </w:r>
    </w:p>
    <w:p>
      <w:pPr>
        <w:spacing w:after="0" w:line="240" w:lineRule="auto"/>
        <w:jc w:val="left"/>
        <w:rPr>
          <w:sz w:val="21"/>
        </w:rPr>
        <w:sectPr>
          <w:footerReference w:type="default" r:id="rId190"/>
          <w:pgSz w:w="11910" w:h="16840"/>
          <w:pgMar w:footer="995" w:header="877" w:top="1420" w:bottom="1180" w:left="1260" w:right="1480"/>
        </w:sectPr>
      </w:pPr>
    </w:p>
    <w:p>
      <w:pPr>
        <w:pStyle w:val="ListParagraph"/>
        <w:numPr>
          <w:ilvl w:val="0"/>
          <w:numId w:val="44"/>
        </w:numPr>
        <w:tabs>
          <w:tab w:pos="1490" w:val="left" w:leader="none"/>
        </w:tabs>
        <w:spacing w:line="240" w:lineRule="auto" w:before="110" w:after="0"/>
        <w:ind w:left="1489" w:right="0" w:hanging="530"/>
        <w:jc w:val="left"/>
        <w:rPr>
          <w:sz w:val="21"/>
        </w:rPr>
      </w:pPr>
      <w:r>
        <w:rPr>
          <w:spacing w:val="-3"/>
          <w:sz w:val="21"/>
        </w:rPr>
        <w:t>在不违反法律法规的前提下，基金推出新业务或服务。</w:t>
      </w:r>
    </w:p>
    <w:p>
      <w:pPr>
        <w:pStyle w:val="BodyText"/>
        <w:spacing w:before="6"/>
        <w:rPr>
          <w:sz w:val="15"/>
        </w:rPr>
      </w:pPr>
    </w:p>
    <w:p>
      <w:pPr>
        <w:pStyle w:val="ListParagraph"/>
        <w:numPr>
          <w:ilvl w:val="0"/>
          <w:numId w:val="44"/>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4"/>
        </w:numPr>
        <w:tabs>
          <w:tab w:pos="1490" w:val="left" w:leader="none"/>
        </w:tabs>
        <w:spacing w:line="417" w:lineRule="auto" w:before="0" w:after="0"/>
        <w:ind w:left="540" w:right="3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4"/>
        </w:numPr>
        <w:tabs>
          <w:tab w:pos="1490" w:val="left" w:leader="none"/>
        </w:tabs>
        <w:spacing w:line="417" w:lineRule="auto" w:before="0" w:after="0"/>
        <w:ind w:left="960" w:right="53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40" w:right="314" w:firstLine="419"/>
      </w:pPr>
      <w:r>
        <w:rPr>
          <w:rFonts w:ascii="Times New Roman" w:eastAsia="Times New Roman"/>
        </w:rPr>
        <w:t>1</w:t>
      </w:r>
      <w:r>
        <w:rPr/>
        <w:t>、除法律法规规定或《基金合同》另有约定外，基金份额持有人大会由基金管理人召集。</w:t>
      </w:r>
    </w:p>
    <w:p>
      <w:pPr>
        <w:pStyle w:val="BodyText"/>
        <w:ind w:left="96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before="1"/>
        <w:ind w:left="540" w:right="31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540" w:right="31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540" w:right="31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18"/>
        </w:rPr>
        <w:t> </w:t>
      </w:r>
      <w:r>
        <w:rPr>
          <w:spacing w:val="-3"/>
        </w:rPr>
        <w:t>日内决定是否召集，并书面告知提出提议的基金份额持有人代表和基金托管人。基金管</w:t>
      </w:r>
    </w:p>
    <w:p>
      <w:pPr>
        <w:pStyle w:val="BodyText"/>
        <w:spacing w:line="417" w:lineRule="auto"/>
        <w:ind w:left="540" w:right="311"/>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12"/>
        </w:rPr>
        <w:t>基金份额 </w:t>
      </w:r>
      <w:r>
        <w:rPr>
          <w:rFonts w:ascii="Times New Roman" w:eastAsia="Times New Roman"/>
        </w:rPr>
        <w:t>10%</w:t>
      </w:r>
      <w:r>
        <w:rPr>
          <w:spacing w:val="-2"/>
        </w:rPr>
        <w:t>以上</w:t>
      </w:r>
      <w:r>
        <w:rPr>
          <w:spacing w:val="-3"/>
        </w:rPr>
        <w:t>（</w:t>
      </w:r>
      <w:r>
        <w:rPr>
          <w:spacing w:val="-21"/>
        </w:rPr>
        <w:t>含 </w:t>
      </w:r>
      <w:r>
        <w:rPr>
          <w:rFonts w:ascii="Times New Roman" w:eastAsia="Times New Roman"/>
        </w:rPr>
        <w:t>10%</w:t>
      </w:r>
      <w:r>
        <w:rPr/>
        <w:t>）</w:t>
      </w:r>
      <w:r>
        <w:rPr>
          <w:spacing w:val="-3"/>
        </w:rPr>
        <w:t>的基金份额持有人仍认为有必要召开的，应当向基金托管人</w:t>
      </w:r>
      <w:r>
        <w:rPr>
          <w:spacing w:val="-5"/>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17" w:lineRule="auto"/>
        <w:ind w:left="540" w:right="3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40" w:right="3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960" w:right="32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3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spacing w:after="0" w:line="417" w:lineRule="auto"/>
        <w:sectPr>
          <w:footerReference w:type="default" r:id="rId191"/>
          <w:pgSz w:w="11910" w:h="16840"/>
          <w:pgMar w:footer="995" w:header="877" w:top="1420" w:bottom="1180" w:left="1260" w:right="1480"/>
          <w:pgNumType w:start="131"/>
        </w:sectPr>
      </w:pPr>
    </w:p>
    <w:p>
      <w:pPr>
        <w:pStyle w:val="ListParagraph"/>
        <w:numPr>
          <w:ilvl w:val="0"/>
          <w:numId w:val="45"/>
        </w:numPr>
        <w:tabs>
          <w:tab w:pos="1490" w:val="left" w:leader="none"/>
        </w:tabs>
        <w:spacing w:line="240" w:lineRule="auto" w:before="110" w:after="0"/>
        <w:ind w:left="1489" w:right="0" w:hanging="530"/>
        <w:jc w:val="left"/>
        <w:rPr>
          <w:sz w:val="21"/>
        </w:rPr>
      </w:pPr>
      <w:r>
        <w:rPr>
          <w:spacing w:val="-3"/>
          <w:sz w:val="21"/>
        </w:rPr>
        <w:t>会议召开的时间、地点和会议形式。</w:t>
      </w:r>
    </w:p>
    <w:p>
      <w:pPr>
        <w:pStyle w:val="BodyText"/>
        <w:spacing w:before="6"/>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5"/>
        </w:numPr>
        <w:tabs>
          <w:tab w:pos="1490" w:val="left" w:leader="none"/>
        </w:tabs>
        <w:spacing w:line="417" w:lineRule="auto" w:before="0" w:after="0"/>
        <w:ind w:left="540" w:right="313"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5"/>
        </w:numPr>
        <w:tabs>
          <w:tab w:pos="1490" w:val="left" w:leader="none"/>
        </w:tabs>
        <w:spacing w:line="269" w:lineRule="exact" w:before="0" w:after="0"/>
        <w:ind w:left="148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7"/>
        <w:rPr>
          <w:sz w:val="15"/>
        </w:rPr>
      </w:pPr>
    </w:p>
    <w:p>
      <w:pPr>
        <w:pStyle w:val="ListParagraph"/>
        <w:numPr>
          <w:ilvl w:val="0"/>
          <w:numId w:val="45"/>
        </w:numPr>
        <w:tabs>
          <w:tab w:pos="1490" w:val="left" w:leader="none"/>
        </w:tabs>
        <w:spacing w:line="240" w:lineRule="auto" w:before="0" w:after="0"/>
        <w:ind w:left="148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3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960"/>
      </w:pPr>
      <w:r>
        <w:rPr/>
        <w:t>四、基金份额持有人出席会议的方式</w:t>
      </w:r>
    </w:p>
    <w:p>
      <w:pPr>
        <w:pStyle w:val="BodyText"/>
        <w:spacing w:before="6"/>
        <w:rPr>
          <w:sz w:val="15"/>
        </w:rPr>
      </w:pPr>
    </w:p>
    <w:p>
      <w:pPr>
        <w:pStyle w:val="BodyText"/>
        <w:spacing w:line="417" w:lineRule="auto"/>
        <w:ind w:left="540" w:right="31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3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6"/>
        </w:numPr>
        <w:tabs>
          <w:tab w:pos="1490" w:val="left" w:leader="none"/>
        </w:tabs>
        <w:spacing w:line="417" w:lineRule="auto" w:before="0" w:after="0"/>
        <w:ind w:left="540" w:right="31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6"/>
        </w:numPr>
        <w:tabs>
          <w:tab w:pos="1490" w:val="left" w:leader="none"/>
        </w:tabs>
        <w:spacing w:line="417" w:lineRule="auto" w:before="0" w:after="0"/>
        <w:ind w:left="540" w:right="311"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27"/>
          <w:w w:val="100"/>
          <w:sz w:val="21"/>
        </w:rPr>
        <w:t>2</w:t>
      </w:r>
      <w:r>
        <w:rPr>
          <w:spacing w:val="-3"/>
          <w:w w:val="100"/>
          <w:sz w:val="21"/>
        </w:rPr>
        <w:t>（</w:t>
      </w:r>
      <w:r>
        <w:rPr>
          <w:w w:val="100"/>
          <w:sz w:val="21"/>
        </w:rPr>
        <w:t>含</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r>
        <w:rPr>
          <w:spacing w:val="-7"/>
          <w:w w:val="100"/>
          <w:sz w:val="21"/>
        </w:rPr>
        <w:t>。参加基金份额持有人大会的基</w:t>
      </w:r>
      <w:r>
        <w:rPr>
          <w:spacing w:val="-10"/>
          <w:sz w:val="21"/>
        </w:rPr>
        <w:t>金份额持有人的基金份额低于上述规定比例的，召集人可以在原公告的基金份额持有人大会</w:t>
      </w:r>
      <w:r>
        <w:rPr>
          <w:spacing w:val="-11"/>
          <w:sz w:val="21"/>
        </w:rPr>
        <w:t>召开时间的三个月以后、六个月以内，就原定审议事项重新召集基金份额持有人大会。重新</w:t>
      </w:r>
    </w:p>
    <w:p>
      <w:pPr>
        <w:spacing w:after="0" w:line="417" w:lineRule="auto"/>
        <w:jc w:val="both"/>
        <w:rPr>
          <w:sz w:val="21"/>
        </w:rPr>
        <w:sectPr>
          <w:pgSz w:w="11910" w:h="16840"/>
          <w:pgMar w:header="877" w:footer="995" w:top="1420" w:bottom="1180" w:left="1260" w:right="1480"/>
        </w:sectPr>
      </w:pPr>
    </w:p>
    <w:p>
      <w:pPr>
        <w:pStyle w:val="BodyText"/>
        <w:spacing w:line="417" w:lineRule="auto" w:before="110"/>
        <w:ind w:left="540" w:right="250"/>
      </w:pPr>
      <w:r>
        <w:rPr/>
        <w:t>召集的基金份额持有人大会，应当有代表 </w:t>
      </w:r>
      <w:r>
        <w:rPr>
          <w:rFonts w:ascii="Times New Roman" w:eastAsia="Times New Roman"/>
        </w:rPr>
        <w:t>1/3 </w:t>
      </w:r>
      <w:r>
        <w:rPr/>
        <w:t>以上（含 </w:t>
      </w:r>
      <w:r>
        <w:rPr>
          <w:rFonts w:ascii="Times New Roman" w:eastAsia="Times New Roman"/>
        </w:rPr>
        <w:t>1/3</w:t>
      </w:r>
      <w:r>
        <w:rPr/>
        <w:t>）基金份额的基金份额持有人或其代理人参加，方可召开。</w:t>
      </w:r>
    </w:p>
    <w:p>
      <w:pPr>
        <w:pStyle w:val="BodyText"/>
        <w:spacing w:line="417" w:lineRule="auto"/>
        <w:ind w:left="540" w:right="31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960"/>
      </w:pPr>
      <w:r>
        <w:rPr/>
        <w:t>在同时符合以下条件时，通讯开会的方式视为有效：</w:t>
      </w:r>
    </w:p>
    <w:p>
      <w:pPr>
        <w:pStyle w:val="BodyText"/>
        <w:spacing w:before="6"/>
        <w:rPr>
          <w:sz w:val="15"/>
        </w:rPr>
      </w:pPr>
    </w:p>
    <w:p>
      <w:pPr>
        <w:pStyle w:val="ListParagraph"/>
        <w:numPr>
          <w:ilvl w:val="0"/>
          <w:numId w:val="47"/>
        </w:numPr>
        <w:tabs>
          <w:tab w:pos="1490" w:val="left" w:leader="none"/>
        </w:tabs>
        <w:spacing w:line="417" w:lineRule="auto" w:before="0" w:after="0"/>
        <w:ind w:left="540" w:right="31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7"/>
        </w:numPr>
        <w:tabs>
          <w:tab w:pos="1490" w:val="left" w:leader="none"/>
        </w:tabs>
        <w:spacing w:line="417" w:lineRule="auto" w:before="0" w:after="0"/>
        <w:ind w:left="540" w:right="3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7"/>
        </w:numPr>
        <w:tabs>
          <w:tab w:pos="1543" w:val="left" w:leader="none"/>
        </w:tabs>
        <w:spacing w:line="417" w:lineRule="auto" w:before="0" w:after="0"/>
        <w:ind w:left="540" w:right="31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r>
        <w:rPr>
          <w:w w:val="100"/>
          <w:sz w:val="21"/>
        </w:rPr>
        <w:t>。</w:t>
      </w:r>
    </w:p>
    <w:p>
      <w:pPr>
        <w:pStyle w:val="BodyText"/>
        <w:spacing w:line="417" w:lineRule="auto"/>
        <w:ind w:left="540" w:right="311" w:firstLine="525"/>
        <w:jc w:val="both"/>
      </w:pPr>
      <w:r>
        <w:rPr>
          <w:spacing w:val="-3"/>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 </w:t>
      </w:r>
      <w:r>
        <w:rPr>
          <w:rFonts w:ascii="Times New Roman" w:eastAsia="Times New Roman"/>
        </w:rPr>
        <w:t>1/3 </w:t>
      </w:r>
      <w:r>
        <w:rPr>
          <w:spacing w:val="-10"/>
        </w:rPr>
        <w:t>以上</w:t>
      </w:r>
      <w:r>
        <w:rPr/>
        <w:t>（含</w:t>
      </w:r>
      <w:r>
        <w:rPr>
          <w:rFonts w:ascii="Times New Roman" w:eastAsia="Times New Roman"/>
        </w:rPr>
        <w:t>1/3</w:t>
      </w:r>
      <w:r>
        <w:rPr/>
        <w:t>）</w:t>
      </w:r>
      <w:r>
        <w:rPr>
          <w:spacing w:val="-3"/>
        </w:rPr>
        <w:t>基金份额的基金份额持有人或其代理人参加，方可召开。</w:t>
      </w:r>
    </w:p>
    <w:p>
      <w:pPr>
        <w:pStyle w:val="ListParagraph"/>
        <w:numPr>
          <w:ilvl w:val="0"/>
          <w:numId w:val="47"/>
        </w:numPr>
        <w:tabs>
          <w:tab w:pos="1490" w:val="left" w:leader="none"/>
        </w:tabs>
        <w:spacing w:line="417" w:lineRule="auto" w:before="0" w:after="0"/>
        <w:ind w:left="540" w:right="3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会议通知公布前报中国证监会备案。</w:t>
      </w:r>
    </w:p>
    <w:p>
      <w:pPr>
        <w:pStyle w:val="BodyText"/>
        <w:spacing w:before="5"/>
        <w:rPr>
          <w:sz w:val="15"/>
        </w:rPr>
      </w:pPr>
    </w:p>
    <w:p>
      <w:pPr>
        <w:pStyle w:val="BodyText"/>
        <w:spacing w:line="417" w:lineRule="auto" w:before="1"/>
        <w:ind w:left="54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spacing w:line="269" w:lineRule="exact"/>
        <w:ind w:left="960"/>
      </w:pPr>
      <w:r>
        <w:rPr/>
        <w:t>五、议事内容与程序</w:t>
      </w:r>
    </w:p>
    <w:p>
      <w:pPr>
        <w:pStyle w:val="BodyText"/>
        <w:spacing w:before="6"/>
        <w:rPr>
          <w:sz w:val="15"/>
        </w:rPr>
      </w:pPr>
    </w:p>
    <w:p>
      <w:pPr>
        <w:pStyle w:val="BodyText"/>
        <w:ind w:left="960"/>
      </w:pPr>
      <w:r>
        <w:rPr>
          <w:rFonts w:ascii="Times New Roman" w:eastAsia="Times New Roman"/>
        </w:rPr>
        <w:t>1</w:t>
      </w:r>
      <w:r>
        <w:rPr/>
        <w:t>、议事内容及提案权</w:t>
      </w:r>
    </w:p>
    <w:p>
      <w:pPr>
        <w:pStyle w:val="BodyText"/>
        <w:spacing w:before="7"/>
        <w:rPr>
          <w:sz w:val="15"/>
        </w:rPr>
      </w:pPr>
    </w:p>
    <w:p>
      <w:pPr>
        <w:pStyle w:val="BodyText"/>
        <w:spacing w:line="417" w:lineRule="auto"/>
        <w:ind w:left="540" w:right="311" w:firstLine="419"/>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3"/>
        </w:rPr>
        <w:t>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31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960"/>
      </w:pPr>
      <w:r>
        <w:rPr/>
        <w:t>基金份额持有人大会不得对未事先公告的议事内容进行表决。</w:t>
      </w:r>
    </w:p>
    <w:p>
      <w:pPr>
        <w:pStyle w:val="BodyText"/>
        <w:spacing w:before="6"/>
        <w:rPr>
          <w:sz w:val="15"/>
        </w:rPr>
      </w:pPr>
    </w:p>
    <w:p>
      <w:pPr>
        <w:pStyle w:val="BodyText"/>
        <w:ind w:left="960"/>
      </w:pPr>
      <w:r>
        <w:rPr>
          <w:rFonts w:ascii="Times New Roman" w:eastAsia="Times New Roman"/>
        </w:rPr>
        <w:t>2</w:t>
      </w:r>
      <w:r>
        <w:rPr/>
        <w:t>、议事程序</w:t>
      </w:r>
    </w:p>
    <w:p>
      <w:pPr>
        <w:pStyle w:val="BodyText"/>
        <w:spacing w:before="7"/>
        <w:rPr>
          <w:sz w:val="15"/>
        </w:rPr>
      </w:pPr>
    </w:p>
    <w:p>
      <w:pPr>
        <w:pStyle w:val="ListParagraph"/>
        <w:numPr>
          <w:ilvl w:val="0"/>
          <w:numId w:val="48"/>
        </w:numPr>
        <w:tabs>
          <w:tab w:pos="1490" w:val="left" w:leader="none"/>
        </w:tabs>
        <w:spacing w:line="240" w:lineRule="auto" w:before="0" w:after="0"/>
        <w:ind w:left="1489" w:right="0" w:hanging="530"/>
        <w:jc w:val="left"/>
        <w:rPr>
          <w:sz w:val="21"/>
        </w:rPr>
      </w:pPr>
      <w:r>
        <w:rPr>
          <w:spacing w:val="-2"/>
          <w:sz w:val="21"/>
        </w:rPr>
        <w:t>现场开会</w:t>
      </w:r>
    </w:p>
    <w:p>
      <w:pPr>
        <w:pStyle w:val="BodyText"/>
        <w:spacing w:before="7"/>
        <w:rPr>
          <w:sz w:val="15"/>
        </w:rPr>
      </w:pPr>
    </w:p>
    <w:p>
      <w:pPr>
        <w:pStyle w:val="BodyText"/>
        <w:spacing w:line="417" w:lineRule="auto"/>
        <w:ind w:left="540" w:right="2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3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48"/>
        </w:numPr>
        <w:tabs>
          <w:tab w:pos="1490" w:val="left" w:leader="none"/>
        </w:tabs>
        <w:spacing w:line="269" w:lineRule="exact" w:before="0" w:after="0"/>
        <w:ind w:left="1489" w:right="0" w:hanging="530"/>
        <w:jc w:val="left"/>
        <w:rPr>
          <w:sz w:val="21"/>
        </w:rPr>
      </w:pPr>
      <w:r>
        <w:rPr>
          <w:spacing w:val="-2"/>
          <w:sz w:val="21"/>
        </w:rPr>
        <w:t>通讯开会</w:t>
      </w:r>
    </w:p>
    <w:p>
      <w:pPr>
        <w:pStyle w:val="BodyText"/>
        <w:spacing w:before="6"/>
        <w:rPr>
          <w:sz w:val="15"/>
        </w:rPr>
      </w:pPr>
    </w:p>
    <w:p>
      <w:pPr>
        <w:pStyle w:val="BodyText"/>
        <w:ind w:left="96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960" w:right="215" w:hanging="420"/>
      </w:pPr>
      <w:r>
        <w:rPr>
          <w:rFonts w:ascii="Times New Roman" w:eastAsia="Times New Roman"/>
        </w:rPr>
        <w:t>5 </w:t>
      </w:r>
      <w:r>
        <w:rPr>
          <w:spacing w:val="-4"/>
        </w:rPr>
        <w:t>个工作日内在公证机关监督下由召集人统计全部有效表决，在公证机关监督下形成决议。</w:t>
      </w:r>
      <w:r>
        <w:rPr>
          <w:spacing w:val="-1"/>
        </w:rPr>
        <w:t>六、表决</w:t>
      </w:r>
    </w:p>
    <w:p>
      <w:pPr>
        <w:pStyle w:val="BodyText"/>
        <w:spacing w:line="417" w:lineRule="auto"/>
        <w:ind w:left="960" w:right="33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31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269" w:lineRule="exact"/>
        <w:ind w:left="96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3"/>
        <w:rPr>
          <w:rFonts w:ascii="Times New Roman"/>
          <w:sz w:val="17"/>
        </w:rPr>
      </w:pPr>
    </w:p>
    <w:p>
      <w:pPr>
        <w:pStyle w:val="BodyText"/>
        <w:ind w:left="540"/>
      </w:pPr>
      <w:r>
        <w:rPr/>
        <w:t>以上</w:t>
      </w:r>
      <w:r>
        <w:rPr>
          <w:spacing w:val="-3"/>
        </w:rPr>
        <w:t>（含 </w:t>
      </w:r>
      <w:r>
        <w:rPr>
          <w:rFonts w:ascii="Times New Roman" w:eastAsia="Times New Roman"/>
        </w:rPr>
        <w:t>2/3</w:t>
      </w:r>
      <w:r>
        <w:rPr/>
        <w:t>）</w:t>
      </w:r>
      <w:r>
        <w:rPr>
          <w:spacing w:val="-3"/>
        </w:rPr>
        <w:t>通过方可做出。转换基金运作方式、更换基金管理人或者基金托管人、终止</w:t>
      </w:r>
    </w:p>
    <w:p>
      <w:pPr>
        <w:pStyle w:val="BodyText"/>
        <w:spacing w:before="7"/>
        <w:rPr>
          <w:sz w:val="15"/>
        </w:rPr>
      </w:pPr>
    </w:p>
    <w:p>
      <w:pPr>
        <w:pStyle w:val="BodyText"/>
        <w:spacing w:line="417" w:lineRule="auto"/>
        <w:ind w:left="960" w:right="2634" w:hanging="420"/>
      </w:pPr>
      <w:r>
        <w:rPr>
          <w:spacing w:val="-12"/>
        </w:rPr>
        <w:t>《基金合同》、本基金与其他基金合并以特别决议通过方为有效。</w:t>
      </w:r>
      <w:r>
        <w:rPr>
          <w:spacing w:val="-6"/>
        </w:rPr>
        <w:t>基金份额持有人大会采取记名方式进行投票表决。</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311" w:firstLine="419"/>
      </w:pPr>
      <w:r>
        <w:rPr>
          <w:spacing w:val="-6"/>
        </w:rPr>
        <w:t>基金份额持有人大会的各项提案或同一项提案内并列的各项议题应当分开审议、逐项表决。</w:t>
      </w:r>
    </w:p>
    <w:p>
      <w:pPr>
        <w:pStyle w:val="BodyText"/>
        <w:spacing w:line="269" w:lineRule="exact"/>
        <w:ind w:left="960"/>
      </w:pPr>
      <w:r>
        <w:rPr/>
        <w:t>七、计票</w:t>
      </w:r>
    </w:p>
    <w:p>
      <w:pPr>
        <w:pStyle w:val="BodyText"/>
        <w:spacing w:before="6"/>
        <w:rPr>
          <w:sz w:val="15"/>
        </w:rPr>
      </w:pPr>
    </w:p>
    <w:p>
      <w:pPr>
        <w:pStyle w:val="BodyText"/>
        <w:ind w:left="960"/>
      </w:pPr>
      <w:r>
        <w:rPr>
          <w:rFonts w:ascii="Times New Roman" w:eastAsia="Times New Roman"/>
        </w:rPr>
        <w:t>1</w:t>
      </w:r>
      <w:r>
        <w:rPr/>
        <w:t>、现场开会</w:t>
      </w:r>
    </w:p>
    <w:p>
      <w:pPr>
        <w:pStyle w:val="BodyText"/>
        <w:spacing w:before="7"/>
        <w:rPr>
          <w:sz w:val="15"/>
        </w:rPr>
      </w:pPr>
    </w:p>
    <w:p>
      <w:pPr>
        <w:pStyle w:val="ListParagraph"/>
        <w:numPr>
          <w:ilvl w:val="0"/>
          <w:numId w:val="49"/>
        </w:numPr>
        <w:tabs>
          <w:tab w:pos="1490" w:val="left" w:leader="none"/>
        </w:tabs>
        <w:spacing w:line="417" w:lineRule="auto" w:before="0" w:after="0"/>
        <w:ind w:left="540" w:right="3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49"/>
        </w:numPr>
        <w:tabs>
          <w:tab w:pos="1490" w:val="left" w:leader="none"/>
        </w:tabs>
        <w:spacing w:line="417" w:lineRule="auto" w:before="0" w:after="0"/>
        <w:ind w:left="540" w:right="3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9"/>
        </w:numPr>
        <w:tabs>
          <w:tab w:pos="1490" w:val="left" w:leader="none"/>
        </w:tabs>
        <w:spacing w:line="417" w:lineRule="auto" w:before="0" w:after="0"/>
        <w:ind w:left="540" w:right="31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49"/>
        </w:numPr>
        <w:tabs>
          <w:tab w:pos="1490" w:val="left" w:leader="none"/>
        </w:tabs>
        <w:spacing w:line="417" w:lineRule="auto" w:before="0" w:after="0"/>
        <w:ind w:left="540" w:right="314" w:firstLine="419"/>
        <w:jc w:val="left"/>
        <w:rPr>
          <w:sz w:val="21"/>
        </w:rPr>
      </w:pPr>
      <w:r>
        <w:rPr>
          <w:spacing w:val="-3"/>
          <w:sz w:val="21"/>
        </w:rPr>
        <w:t>计票过程应由公证机关予以公证，基金管理人或基金托管人拒不出席大会的，不影响计票的效力。</w:t>
      </w:r>
    </w:p>
    <w:p>
      <w:pPr>
        <w:pStyle w:val="BodyText"/>
        <w:ind w:left="960"/>
      </w:pPr>
      <w:r>
        <w:rPr>
          <w:rFonts w:ascii="Times New Roman" w:eastAsia="Times New Roman"/>
        </w:rPr>
        <w:t>2</w:t>
      </w:r>
      <w:r>
        <w:rPr/>
        <w:t>、通讯开会</w:t>
      </w:r>
    </w:p>
    <w:p>
      <w:pPr>
        <w:pStyle w:val="BodyText"/>
        <w:spacing w:before="5"/>
        <w:rPr>
          <w:sz w:val="15"/>
        </w:rPr>
      </w:pPr>
    </w:p>
    <w:p>
      <w:pPr>
        <w:pStyle w:val="BodyText"/>
        <w:spacing w:line="417" w:lineRule="auto" w:before="1"/>
        <w:ind w:left="540" w:right="3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ind w:left="960"/>
      </w:pPr>
      <w:r>
        <w:rPr/>
        <w:t>八、生效与公告</w:t>
      </w:r>
    </w:p>
    <w:p>
      <w:pPr>
        <w:pStyle w:val="BodyText"/>
        <w:spacing w:before="6"/>
        <w:rPr>
          <w:sz w:val="15"/>
        </w:rPr>
      </w:pPr>
    </w:p>
    <w:p>
      <w:pPr>
        <w:pStyle w:val="BodyText"/>
        <w:spacing w:line="417" w:lineRule="auto"/>
        <w:ind w:left="960" w:right="57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ind w:left="960"/>
      </w:pPr>
      <w:r>
        <w:rPr/>
        <w:t>基金份额持有人大会决议自生效之日起 </w:t>
      </w:r>
      <w:r>
        <w:rPr>
          <w:rFonts w:ascii="Times New Roman" w:eastAsia="Times New Roman"/>
        </w:rPr>
        <w:t>2 </w:t>
      </w:r>
      <w:r>
        <w:rPr/>
        <w:t>个工作日内在指定媒介上公告。如果采用通讯</w:t>
      </w:r>
    </w:p>
    <w:p>
      <w:pPr>
        <w:spacing w:after="0"/>
        <w:sectPr>
          <w:pgSz w:w="11910" w:h="16840"/>
          <w:pgMar w:header="877" w:footer="995" w:top="1420" w:bottom="1180" w:left="1260" w:right="1480"/>
        </w:sectPr>
      </w:pPr>
    </w:p>
    <w:p>
      <w:pPr>
        <w:pStyle w:val="BodyText"/>
        <w:spacing w:line="417" w:lineRule="auto" w:before="110"/>
        <w:ind w:left="540" w:right="311"/>
        <w:jc w:val="both"/>
      </w:pPr>
      <w:r>
        <w:rPr>
          <w:spacing w:val="-9"/>
        </w:rPr>
        <w:t>方式进行表决，在公告基金份额持有人大会决议时，必须将公证书全文、公证机构、公证员</w:t>
      </w:r>
      <w:r>
        <w:rPr>
          <w:spacing w:val="-13"/>
        </w:rPr>
        <w:t>姓名等一同公告。基金管理人、基金托管人和基金份额持有人应当执行生效的基金份额持有</w:t>
      </w:r>
      <w:r>
        <w:rPr>
          <w:spacing w:val="-11"/>
        </w:rPr>
        <w:t>人大会的决议。生效的基金份额持有人大会决议对全体基金份额持有人、基金管理人、基金</w:t>
      </w:r>
      <w:r>
        <w:rPr>
          <w:spacing w:val="-6"/>
        </w:rPr>
        <w:t>托管人均有约束力。</w:t>
      </w:r>
    </w:p>
    <w:p>
      <w:pPr>
        <w:pStyle w:val="BodyText"/>
        <w:spacing w:line="268" w:lineRule="exact"/>
        <w:ind w:left="960"/>
      </w:pPr>
      <w:r>
        <w:rPr/>
        <w:t>九、法律法规或监管部门对基金份额持有人大会另有规定的，从其规定。</w:t>
      </w:r>
    </w:p>
    <w:p>
      <w:pPr>
        <w:pStyle w:val="BodyText"/>
        <w:spacing w:before="6"/>
        <w:rPr>
          <w:sz w:val="15"/>
        </w:rPr>
      </w:pPr>
    </w:p>
    <w:p>
      <w:pPr>
        <w:tabs>
          <w:tab w:pos="2799" w:val="left" w:leader="none"/>
        </w:tabs>
        <w:spacing w:line="417" w:lineRule="auto" w:before="0"/>
        <w:ind w:left="960" w:right="1094" w:firstLine="782"/>
        <w:jc w:val="left"/>
        <w:rPr>
          <w:sz w:val="21"/>
        </w:rPr>
      </w:pPr>
      <w:r>
        <w:rPr>
          <w:b/>
          <w:sz w:val="21"/>
        </w:rPr>
        <w:t>第三部分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before="1"/>
        <w:ind w:left="540" w:right="31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60"/>
      </w:pPr>
      <w:r>
        <w:rPr>
          <w:rFonts w:ascii="Times New Roman" w:eastAsia="Times New Roman"/>
        </w:rPr>
        <w:t>3</w:t>
      </w:r>
      <w:r>
        <w:rPr/>
        <w:t>、《基金合同》约定的其他情形。</w:t>
      </w:r>
    </w:p>
    <w:p>
      <w:pPr>
        <w:pStyle w:val="BodyText"/>
        <w:spacing w:before="6"/>
        <w:rPr>
          <w:sz w:val="15"/>
        </w:rPr>
      </w:pPr>
    </w:p>
    <w:p>
      <w:pPr>
        <w:pStyle w:val="BodyText"/>
        <w:spacing w:line="417" w:lineRule="auto" w:before="1"/>
        <w:ind w:left="960" w:right="3686"/>
      </w:pPr>
      <w:r>
        <w:rPr>
          <w:rFonts w:ascii="Times New Roman" w:eastAsia="Times New Roman"/>
        </w:rPr>
        <w:t>4</w:t>
      </w:r>
      <w:r>
        <w:rPr/>
        <w:t>、相关法律法规和中国证监会规定的其他情况。三、基金财产的清算</w:t>
      </w: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spacing w:after="0" w:line="240" w:lineRule="auto"/>
        <w:jc w:val="left"/>
        <w:rPr>
          <w:sz w:val="21"/>
        </w:rPr>
        <w:sectPr>
          <w:pgSz w:w="11910" w:h="16840"/>
          <w:pgMar w:header="877" w:footer="995" w:top="1420" w:bottom="1180" w:left="1260" w:right="1480"/>
        </w:sectPr>
      </w:pPr>
    </w:p>
    <w:p>
      <w:pPr>
        <w:pStyle w:val="ListParagraph"/>
        <w:numPr>
          <w:ilvl w:val="0"/>
          <w:numId w:val="50"/>
        </w:numPr>
        <w:tabs>
          <w:tab w:pos="1490" w:val="left" w:leader="none"/>
        </w:tabs>
        <w:spacing w:line="240" w:lineRule="auto" w:before="110" w:after="0"/>
        <w:ind w:left="148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50"/>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0"/>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0"/>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spacing w:before="0"/>
        <w:ind w:left="3745" w:right="0" w:firstLine="0"/>
        <w:jc w:val="both"/>
        <w:rPr>
          <w:b/>
          <w:sz w:val="21"/>
        </w:rPr>
      </w:pPr>
      <w:r>
        <w:rPr>
          <w:b/>
          <w:sz w:val="21"/>
        </w:rPr>
        <w:t>第四部分 争议解决方式</w:t>
      </w:r>
    </w:p>
    <w:p>
      <w:pPr>
        <w:pStyle w:val="BodyText"/>
        <w:spacing w:before="7"/>
        <w:rPr>
          <w:b/>
          <w:sz w:val="15"/>
        </w:rPr>
      </w:pPr>
    </w:p>
    <w:p>
      <w:pPr>
        <w:pStyle w:val="BodyText"/>
        <w:spacing w:line="417" w:lineRule="auto"/>
        <w:ind w:left="540" w:right="31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好协商未能解决的，应提交中国国际经济贸易仲裁委员会，根据该会当时有效的仲裁规则进行仲裁，仲裁地点为北京，仲裁裁决是终局性的并对各方当事人具有约束力，除非仲裁裁决</w:t>
      </w:r>
      <w:r>
        <w:rPr>
          <w:spacing w:val="-6"/>
        </w:rPr>
        <w:t>另有规定，仲裁费由败诉方承担。</w:t>
      </w:r>
    </w:p>
    <w:p>
      <w:pPr>
        <w:pStyle w:val="BodyText"/>
        <w:spacing w:line="268" w:lineRule="exact"/>
        <w:ind w:left="960"/>
      </w:pPr>
      <w:r>
        <w:rPr/>
        <w:t>《基金合同》受中国法律管辖。</w:t>
      </w:r>
    </w:p>
    <w:p>
      <w:pPr>
        <w:pStyle w:val="BodyText"/>
        <w:spacing w:before="6"/>
        <w:rPr>
          <w:sz w:val="15"/>
        </w:rPr>
      </w:pPr>
    </w:p>
    <w:p>
      <w:pPr>
        <w:tabs>
          <w:tab w:pos="3324" w:val="left" w:leader="none"/>
        </w:tabs>
        <w:spacing w:before="1"/>
        <w:ind w:left="2268" w:right="0" w:firstLine="0"/>
        <w:jc w:val="left"/>
        <w:rPr>
          <w:b/>
          <w:sz w:val="21"/>
        </w:rPr>
      </w:pPr>
      <w:r>
        <w:rPr>
          <w:b/>
          <w:sz w:val="21"/>
        </w:rPr>
        <w:t>第五部分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7"/>
        <w:rPr>
          <w:b/>
          <w:sz w:val="15"/>
        </w:rPr>
      </w:pPr>
    </w:p>
    <w:p>
      <w:pPr>
        <w:pStyle w:val="BodyText"/>
        <w:spacing w:line="417" w:lineRule="auto"/>
        <w:ind w:left="540" w:right="311" w:firstLine="419"/>
      </w:pPr>
      <w:r>
        <w:rPr>
          <w:spacing w:val="-10"/>
        </w:rPr>
        <w:t>《基金合同》正本一式六份，除上报有关监管机构一式二份外，基金管理人、基金托管</w:t>
      </w:r>
      <w:r>
        <w:rPr>
          <w:spacing w:val="-5"/>
        </w:rPr>
        <w:t>人各持有二份，每份具有同等的法律效力。</w:t>
      </w: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7"/>
        <w:rPr>
          <w:sz w:val="26"/>
        </w:rPr>
      </w:pPr>
    </w:p>
    <w:p>
      <w:pPr>
        <w:pStyle w:val="Heading1"/>
        <w:ind w:left="219"/>
      </w:pPr>
      <w:bookmarkStart w:name="_bookmark19" w:id="20"/>
      <w:bookmarkEnd w:id="20"/>
      <w:r>
        <w:rPr>
          <w:b w:val="0"/>
        </w:rPr>
      </w:r>
      <w:r>
        <w:rPr/>
        <w:t>二十、基金托管协议的内容摘要</w:t>
      </w:r>
    </w:p>
    <w:p>
      <w:pPr>
        <w:pStyle w:val="BodyText"/>
        <w:rPr>
          <w:b/>
          <w:sz w:val="20"/>
        </w:rPr>
      </w:pPr>
    </w:p>
    <w:p>
      <w:pPr>
        <w:pStyle w:val="BodyText"/>
        <w:spacing w:before="2"/>
        <w:rPr>
          <w:b/>
        </w:rPr>
      </w:pPr>
    </w:p>
    <w:p>
      <w:pPr>
        <w:pStyle w:val="BodyText"/>
        <w:ind w:left="960"/>
      </w:pPr>
      <w:r>
        <w:rPr/>
        <w:t>以下内容摘自《华夏创新前沿股票型证券投资基金托管协议》。</w:t>
      </w:r>
    </w:p>
    <w:p>
      <w:pPr>
        <w:pStyle w:val="BodyText"/>
        <w:spacing w:before="7"/>
        <w:rPr>
          <w:sz w:val="15"/>
        </w:rPr>
      </w:pPr>
    </w:p>
    <w:p>
      <w:pPr>
        <w:spacing w:before="0"/>
        <w:ind w:left="646" w:right="0" w:firstLine="0"/>
        <w:jc w:val="center"/>
        <w:rPr>
          <w:b/>
          <w:sz w:val="21"/>
        </w:rPr>
      </w:pPr>
      <w:r>
        <w:rPr>
          <w:b/>
          <w:sz w:val="21"/>
        </w:rPr>
        <w:t>一、托管协议当事人</w:t>
      </w:r>
    </w:p>
    <w:p>
      <w:pPr>
        <w:pStyle w:val="BodyText"/>
        <w:spacing w:before="7"/>
        <w:rPr>
          <w:b/>
          <w:sz w:val="15"/>
        </w:rPr>
      </w:pPr>
    </w:p>
    <w:p>
      <w:pPr>
        <w:pStyle w:val="BodyText"/>
        <w:ind w:left="960"/>
      </w:pPr>
      <w:r>
        <w:rPr/>
        <w:t>（一）基金管理人</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注册地址：北京市顺义区安庆大街甲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ind w:left="960" w:right="2747"/>
        <w:rPr>
          <w:rFonts w:ascii="Times New Roman" w:eastAsia="Times New Roman"/>
        </w:rPr>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层邮政编码：</w:t>
      </w:r>
      <w:r>
        <w:rPr>
          <w:rFonts w:ascii="Times New Roman" w:eastAsia="Times New Roman"/>
        </w:rPr>
        <w:t>100033</w:t>
      </w:r>
    </w:p>
    <w:p>
      <w:pPr>
        <w:pStyle w:val="BodyText"/>
        <w:spacing w:line="269" w:lineRule="exact"/>
        <w:ind w:left="960"/>
      </w:pPr>
      <w:r>
        <w:rPr/>
        <w:t>法定代表人：杨明辉</w:t>
      </w:r>
    </w:p>
    <w:p>
      <w:pPr>
        <w:pStyle w:val="BodyText"/>
        <w:spacing w:before="7"/>
        <w:rPr>
          <w:sz w:val="15"/>
        </w:rPr>
      </w:pPr>
    </w:p>
    <w:p>
      <w:pPr>
        <w:pStyle w:val="BodyText"/>
        <w:spacing w:before="1"/>
        <w:ind w:left="960"/>
      </w:pPr>
      <w:r>
        <w:rPr/>
        <w:t>成立日期：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spacing w:after="0"/>
        <w:sectPr>
          <w:pgSz w:w="11910" w:h="16840"/>
          <w:pgMar w:header="877" w:footer="995" w:top="1420" w:bottom="1180" w:left="1260" w:right="1480"/>
        </w:sectPr>
      </w:pPr>
    </w:p>
    <w:p>
      <w:pPr>
        <w:pStyle w:val="BodyText"/>
        <w:spacing w:line="417" w:lineRule="auto" w:before="110"/>
        <w:ind w:left="960" w:right="233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960" w:right="6309"/>
      </w:pPr>
      <w:r>
        <w:rPr/>
        <w:t>注册资本：</w:t>
      </w:r>
      <w:r>
        <w:rPr>
          <w:rFonts w:ascii="Times New Roman" w:eastAsia="Times New Roman"/>
        </w:rPr>
        <w:t>2.38 </w:t>
      </w:r>
      <w:r>
        <w:rPr/>
        <w:t>亿元存续期间：</w:t>
      </w:r>
      <w:r>
        <w:rPr>
          <w:rFonts w:ascii="Times New Roman" w:eastAsia="Times New Roman"/>
        </w:rPr>
        <w:t>100 </w:t>
      </w:r>
      <w:r>
        <w:rPr/>
        <w:t>年</w:t>
      </w:r>
    </w:p>
    <w:p>
      <w:pPr>
        <w:pStyle w:val="BodyText"/>
        <w:spacing w:line="269" w:lineRule="exact"/>
        <w:ind w:left="960"/>
      </w:pPr>
      <w:r>
        <w:rPr/>
        <w:t>（二）基金托管人</w:t>
      </w:r>
    </w:p>
    <w:p>
      <w:pPr>
        <w:pStyle w:val="BodyText"/>
        <w:spacing w:before="6"/>
        <w:rPr>
          <w:sz w:val="15"/>
        </w:rPr>
      </w:pPr>
    </w:p>
    <w:p>
      <w:pPr>
        <w:pStyle w:val="BodyText"/>
        <w:spacing w:line="417" w:lineRule="auto"/>
        <w:ind w:left="960" w:right="2738"/>
      </w:pPr>
      <w:r>
        <w:rPr/>
        <w:t>名称：中国建设银行股份有限公司（简称：中国建设银行） 住所：北京市西城区金融大街 </w:t>
      </w:r>
      <w:r>
        <w:rPr>
          <w:rFonts w:ascii="Times New Roman" w:eastAsia="Times New Roman"/>
        </w:rPr>
        <w:t>25 </w:t>
      </w:r>
      <w:r>
        <w:rPr/>
        <w:t>号</w:t>
      </w:r>
    </w:p>
    <w:p>
      <w:pPr>
        <w:pStyle w:val="BodyText"/>
        <w:spacing w:line="417" w:lineRule="auto"/>
        <w:ind w:left="960" w:right="3578"/>
        <w:rPr>
          <w:rFonts w:ascii="Times New Roman" w:eastAsia="Times New Roman"/>
        </w:rPr>
      </w:pPr>
      <w:r>
        <w:rPr>
          <w:spacing w:val="-6"/>
        </w:rPr>
        <w:t>办公地址：北京市西城区闹市口大街 </w:t>
      </w:r>
      <w:r>
        <w:rPr>
          <w:rFonts w:ascii="Times New Roman" w:eastAsia="Times New Roman"/>
        </w:rPr>
        <w:t>1 </w:t>
      </w:r>
      <w:r>
        <w:rPr>
          <w:spacing w:val="-17"/>
        </w:rPr>
        <w:t>号院 </w:t>
      </w:r>
      <w:r>
        <w:rPr>
          <w:rFonts w:ascii="Times New Roman" w:eastAsia="Times New Roman"/>
        </w:rPr>
        <w:t>1 </w:t>
      </w:r>
      <w:r>
        <w:rPr/>
        <w:t>号楼</w:t>
      </w:r>
      <w:r>
        <w:rPr>
          <w:spacing w:val="-1"/>
        </w:rPr>
        <w:t>邮政编码：</w:t>
      </w:r>
      <w:r>
        <w:rPr>
          <w:rFonts w:ascii="Times New Roman" w:eastAsia="Times New Roman"/>
        </w:rPr>
        <w:t>100033</w:t>
      </w:r>
    </w:p>
    <w:p>
      <w:pPr>
        <w:pStyle w:val="BodyText"/>
        <w:spacing w:line="269" w:lineRule="exact"/>
        <w:ind w:left="960"/>
      </w:pPr>
      <w:r>
        <w:rPr/>
        <w:t>法定代表人：田国立</w:t>
      </w:r>
    </w:p>
    <w:p>
      <w:pPr>
        <w:pStyle w:val="BodyText"/>
        <w:spacing w:before="7"/>
        <w:rPr>
          <w:sz w:val="15"/>
        </w:rPr>
      </w:pPr>
    </w:p>
    <w:p>
      <w:pPr>
        <w:pStyle w:val="BodyText"/>
        <w:ind w:left="960"/>
      </w:pPr>
      <w:r>
        <w:rPr/>
        <w:t>成立日期：</w:t>
      </w:r>
      <w:r>
        <w:rPr>
          <w:rFonts w:ascii="Times New Roman" w:eastAsia="Times New Roman"/>
        </w:rPr>
        <w:t>2004 </w:t>
      </w:r>
      <w:r>
        <w:rPr/>
        <w:t>年 </w:t>
      </w:r>
      <w:r>
        <w:rPr>
          <w:rFonts w:ascii="Times New Roman" w:eastAsia="Times New Roman"/>
        </w:rPr>
        <w:t>9 </w:t>
      </w:r>
      <w:r>
        <w:rPr/>
        <w:t>月 </w:t>
      </w:r>
      <w:r>
        <w:rPr>
          <w:rFonts w:ascii="Times New Roman" w:eastAsia="Times New Roman"/>
        </w:rPr>
        <w:t>17 </w:t>
      </w:r>
      <w:r>
        <w:rPr/>
        <w:t>日</w:t>
      </w:r>
    </w:p>
    <w:p>
      <w:pPr>
        <w:pStyle w:val="BodyText"/>
        <w:spacing w:before="7"/>
        <w:rPr>
          <w:sz w:val="15"/>
        </w:rPr>
      </w:pPr>
    </w:p>
    <w:p>
      <w:pPr>
        <w:pStyle w:val="BodyText"/>
        <w:spacing w:line="417" w:lineRule="auto"/>
        <w:ind w:left="960" w:right="2966"/>
      </w:pPr>
      <w:r>
        <w:rPr/>
        <w:t>基金托管业务批准文号：中国证监会证监基字</w:t>
      </w:r>
      <w:r>
        <w:rPr>
          <w:rFonts w:ascii="Times New Roman" w:eastAsia="Times New Roman"/>
        </w:rPr>
        <w:t>[1998]12 </w:t>
      </w:r>
      <w:r>
        <w:rPr/>
        <w:t>号组织形式：股份有限公司</w:t>
      </w:r>
    </w:p>
    <w:p>
      <w:pPr>
        <w:pStyle w:val="BodyText"/>
        <w:spacing w:line="417" w:lineRule="auto"/>
        <w:ind w:left="960" w:right="2106"/>
      </w:pPr>
      <w:r>
        <w:rPr/>
        <w:t>注册资本：人民币贰仟伍佰亿壹仟零玖拾柒万柒仟肆佰捌拾陆元整存续期间：持续经营</w:t>
      </w:r>
    </w:p>
    <w:p>
      <w:pPr>
        <w:pStyle w:val="BodyText"/>
        <w:spacing w:line="417" w:lineRule="auto"/>
        <w:ind w:left="540" w:right="311" w:firstLine="419"/>
        <w:jc w:val="both"/>
      </w:pPr>
      <w:r>
        <w:rPr>
          <w:spacing w:val="-10"/>
        </w:rPr>
        <w:t>经营范围：吸收公众存款；发放短期、中期、长期贷款；办理国内外结算；办理票据承</w:t>
      </w:r>
      <w:r>
        <w:rPr>
          <w:spacing w:val="-21"/>
        </w:rPr>
        <w:t>兑与贴现；发行金融债券；代理发行、代理兑付、承销政府债券；买卖政府债券、金融债券； </w:t>
      </w:r>
      <w:r>
        <w:rPr>
          <w:spacing w:val="-14"/>
        </w:rPr>
        <w:t>从事同业拆借；买卖、代理买卖外汇；从事银行卡业务；提供信用证服务及担保；代理收付款项及代理保险业务；提供保管箱服务；经中国银行业监督管理机构等监管部门批准的其他业务。</w:t>
      </w:r>
    </w:p>
    <w:p>
      <w:pPr>
        <w:spacing w:line="268" w:lineRule="exact" w:before="0"/>
        <w:ind w:left="2691" w:right="0" w:firstLine="0"/>
        <w:jc w:val="left"/>
        <w:rPr>
          <w:b/>
          <w:sz w:val="21"/>
        </w:rPr>
      </w:pPr>
      <w:r>
        <w:rPr>
          <w:b/>
          <w:sz w:val="21"/>
        </w:rPr>
        <w:t>二、基金托管人对基金管理人的业务监督和核查</w:t>
      </w:r>
    </w:p>
    <w:p>
      <w:pPr>
        <w:pStyle w:val="BodyText"/>
        <w:spacing w:before="7"/>
        <w:rPr>
          <w:b/>
          <w:sz w:val="15"/>
        </w:rPr>
      </w:pPr>
    </w:p>
    <w:p>
      <w:pPr>
        <w:pStyle w:val="BodyText"/>
        <w:spacing w:line="417" w:lineRule="auto"/>
        <w:ind w:left="540" w:right="208" w:firstLine="419"/>
      </w:pPr>
      <w:r>
        <w:rPr/>
        <w:t>（一）基金托管人根据有关法律法规的规定及《基金合同》的约定，对基金投资范围、投资对象进行监督。</w:t>
      </w:r>
    </w:p>
    <w:p>
      <w:pPr>
        <w:pStyle w:val="BodyText"/>
        <w:spacing w:line="417" w:lineRule="auto"/>
        <w:ind w:left="540" w:right="311" w:firstLine="419"/>
        <w:jc w:val="both"/>
      </w:pPr>
      <w:r>
        <w:rPr>
          <w:spacing w:val="-8"/>
        </w:rPr>
        <w:t>本基金的投资范围为具有良好流动性的金融工具，包括国内依法发行上市的股票</w:t>
      </w:r>
      <w:r>
        <w:rPr>
          <w:spacing w:val="-3"/>
        </w:rPr>
        <w:t>（</w:t>
      </w:r>
      <w:r>
        <w:rPr/>
        <w:t>包括</w:t>
      </w:r>
      <w:r>
        <w:rPr>
          <w:spacing w:val="-6"/>
        </w:rPr>
        <w:t>创业板、中小板、存托凭证及其他经中国证监会核准上市的股票</w:t>
      </w:r>
      <w:r>
        <w:rPr>
          <w:spacing w:val="-17"/>
        </w:rPr>
        <w:t>）</w:t>
      </w:r>
      <w:r>
        <w:rPr>
          <w:spacing w:val="-13"/>
        </w:rPr>
        <w:t>、债券</w:t>
      </w:r>
      <w:r>
        <w:rPr>
          <w:spacing w:val="-3"/>
        </w:rPr>
        <w:t>（</w:t>
      </w:r>
      <w:r>
        <w:rPr>
          <w:spacing w:val="-5"/>
        </w:rPr>
        <w:t>包括国债、央行</w:t>
      </w:r>
      <w:r>
        <w:rPr>
          <w:spacing w:val="-20"/>
        </w:rPr>
        <w:t>票据、金融债券、企业债券、公司债券、中期票据、短期融资券、超短期融资券、次级债券、</w:t>
      </w:r>
      <w:r>
        <w:rPr>
          <w:spacing w:val="-13"/>
        </w:rPr>
        <w:t>政府支持机构债券、政府支持债券、地方政府债券、中小企业私募债券、可转换债券、可交</w:t>
      </w:r>
      <w:r>
        <w:rPr>
          <w:spacing w:val="-6"/>
        </w:rPr>
        <w:t>换债券及其他经中国证监会允许投资的债券</w:t>
      </w:r>
      <w:r>
        <w:rPr>
          <w:spacing w:val="-17"/>
        </w:rPr>
        <w:t>）</w:t>
      </w:r>
      <w:r>
        <w:rPr>
          <w:spacing w:val="-7"/>
        </w:rPr>
        <w:t>、货币市场工具</w:t>
      </w:r>
      <w:r>
        <w:rPr>
          <w:spacing w:val="-3"/>
        </w:rPr>
        <w:t>（含同业存单</w:t>
      </w:r>
      <w:r>
        <w:rPr>
          <w:spacing w:val="-17"/>
        </w:rPr>
        <w:t>）</w:t>
      </w:r>
      <w:r>
        <w:rPr>
          <w:spacing w:val="-7"/>
        </w:rPr>
        <w:t>、权证、资产</w:t>
      </w:r>
      <w:r>
        <w:rPr>
          <w:spacing w:val="-13"/>
        </w:rPr>
        <w:t>支持证券、股指期货、国债期货、股票期权以及法律法规或中国证监会允许基金投资的其他</w:t>
      </w:r>
      <w:r>
        <w:rPr>
          <w:spacing w:val="-8"/>
        </w:rPr>
        <w:t>金融工具</w:t>
      </w:r>
      <w:r>
        <w:rPr>
          <w:spacing w:val="-3"/>
        </w:rPr>
        <w:t>（但须符合中国证监会相关规定</w:t>
      </w:r>
      <w:r>
        <w:rPr/>
        <w:t>）。</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jc w:val="both"/>
      </w:pPr>
      <w:r>
        <w:rPr>
          <w:spacing w:val="-8"/>
        </w:rPr>
        <w:t>基金的投资组合比例为：股票投资占基金资产的比例为 </w:t>
      </w:r>
      <w:r>
        <w:rPr>
          <w:rFonts w:ascii="Times New Roman" w:hAnsi="Times New Roman" w:eastAsia="Times New Roman"/>
          <w:spacing w:val="-7"/>
        </w:rPr>
        <w:t>80%</w:t>
      </w:r>
      <w:r>
        <w:rPr>
          <w:spacing w:val="-7"/>
        </w:rPr>
        <w:t>–</w:t>
      </w:r>
      <w:r>
        <w:rPr>
          <w:rFonts w:ascii="Times New Roman" w:hAnsi="Times New Roman" w:eastAsia="Times New Roman"/>
          <w:spacing w:val="-7"/>
        </w:rPr>
        <w:t>95%</w:t>
      </w:r>
      <w:r>
        <w:rPr>
          <w:spacing w:val="-4"/>
        </w:rPr>
        <w:t>，其中创新前沿主题</w:t>
      </w:r>
      <w:r>
        <w:rPr>
          <w:spacing w:val="-2"/>
        </w:rPr>
        <w:t>相关股票比例不低于非现金基金资产的 </w:t>
      </w:r>
      <w:r>
        <w:rPr>
          <w:rFonts w:ascii="Times New Roman" w:hAnsi="Times New Roman" w:eastAsia="Times New Roman"/>
        </w:rPr>
        <w:t>80%</w:t>
      </w:r>
      <w:r>
        <w:rPr>
          <w:spacing w:val="-1"/>
        </w:rPr>
        <w:t>。每个交易日日终在扣除股指期货、国债期货</w:t>
      </w:r>
      <w:r>
        <w:rPr>
          <w:spacing w:val="-5"/>
        </w:rPr>
        <w:t>和股票期权合约需缴纳的交易保证金后，保持不低于基金资产净值 </w:t>
      </w:r>
      <w:r>
        <w:rPr>
          <w:rFonts w:ascii="Times New Roman" w:hAnsi="Times New Roman" w:eastAsia="Times New Roman"/>
        </w:rPr>
        <w:t>5%</w:t>
      </w:r>
      <w:r>
        <w:rPr>
          <w:spacing w:val="-3"/>
        </w:rPr>
        <w:t>的现金或者到期日在一年以内的政府债券。</w:t>
      </w: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40" w:right="311" w:firstLine="419"/>
      </w:pPr>
      <w:r>
        <w:rPr/>
        <w:t>（二</w:t>
      </w:r>
      <w:r>
        <w:rPr>
          <w:spacing w:val="-22"/>
        </w:rPr>
        <w:t>）</w:t>
      </w:r>
      <w:r>
        <w:rPr>
          <w:spacing w:val="-8"/>
        </w:rPr>
        <w:t>基金托管人根据有关法律法规的规定及《基金合同》的约定，对基金投资、融资</w:t>
      </w:r>
      <w:r>
        <w:rPr>
          <w:spacing w:val="-5"/>
        </w:rPr>
        <w:t>比例进行监督。基金托管人按下述比例和调整期限进行监督：</w:t>
      </w:r>
    </w:p>
    <w:p>
      <w:pPr>
        <w:pStyle w:val="BodyText"/>
        <w:spacing w:line="417" w:lineRule="auto"/>
        <w:ind w:left="540" w:right="313" w:firstLine="419"/>
      </w:pPr>
      <w:r>
        <w:rPr>
          <w:rFonts w:ascii="Times New Roman" w:eastAsia="Times New Roman"/>
        </w:rPr>
        <w:t>1</w:t>
      </w:r>
      <w:r>
        <w:rPr>
          <w:spacing w:val="-9"/>
        </w:rPr>
        <w:t>、本基金股票投资比例为基金资产的 </w:t>
      </w:r>
      <w:r>
        <w:rPr>
          <w:rFonts w:ascii="Times New Roman" w:eastAsia="Times New Roman"/>
          <w:spacing w:val="-7"/>
        </w:rPr>
        <w:t>80-95%</w:t>
      </w:r>
      <w:r>
        <w:rPr>
          <w:spacing w:val="-4"/>
        </w:rPr>
        <w:t>，其中创新前沿主题相关股票比例不低于</w:t>
      </w:r>
      <w:r>
        <w:rPr>
          <w:spacing w:val="-9"/>
        </w:rPr>
        <w:t>非现金基金资产的 </w:t>
      </w:r>
      <w:r>
        <w:rPr>
          <w:rFonts w:ascii="Times New Roman" w:eastAsia="Times New Roman"/>
        </w:rPr>
        <w:t>80%</w:t>
      </w:r>
      <w:r>
        <w:rPr/>
        <w:t>。</w:t>
      </w:r>
    </w:p>
    <w:p>
      <w:pPr>
        <w:pStyle w:val="BodyText"/>
        <w:spacing w:line="417" w:lineRule="auto"/>
        <w:ind w:left="540" w:right="311" w:firstLine="419"/>
        <w:jc w:val="both"/>
      </w:pPr>
      <w:r>
        <w:rPr>
          <w:rFonts w:ascii="Times New Roman" w:eastAsia="Times New Roman"/>
        </w:rPr>
        <w:t>2</w:t>
      </w:r>
      <w:r>
        <w:rPr>
          <w:spacing w:val="-17"/>
        </w:rPr>
        <w:t>、每个交易日日终在扣除股指期货、国债期货和股票期权合约需缴纳的交易保证金后， </w:t>
      </w:r>
      <w:r>
        <w:rPr>
          <w:spacing w:val="-9"/>
        </w:rPr>
        <w:t>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pStyle w:val="BodyText"/>
        <w:spacing w:line="269" w:lineRule="exact"/>
        <w:ind w:left="960"/>
        <w:jc w:val="both"/>
      </w:pPr>
      <w:r>
        <w:rPr>
          <w:rFonts w:ascii="Times New Roman" w:eastAsia="Times New Roman"/>
        </w:rPr>
        <w:t>3</w:t>
      </w:r>
      <w:r>
        <w:rPr/>
        <w:t>、本基金持有一家公司发行的证券，其市值不超过基金资产净值的 </w:t>
      </w:r>
      <w:r>
        <w:rPr>
          <w:rFonts w:ascii="Times New Roman" w:eastAsia="Times New Roman"/>
        </w:rPr>
        <w:t>10%</w:t>
      </w:r>
      <w:r>
        <w:rPr/>
        <w:t>。</w:t>
      </w:r>
    </w:p>
    <w:p>
      <w:pPr>
        <w:pStyle w:val="BodyText"/>
        <w:spacing w:before="6"/>
        <w:rPr>
          <w:sz w:val="15"/>
        </w:rPr>
      </w:pPr>
    </w:p>
    <w:p>
      <w:pPr>
        <w:pStyle w:val="BodyText"/>
        <w:spacing w:line="417" w:lineRule="auto"/>
        <w:ind w:left="540" w:right="205" w:firstLine="419"/>
        <w:jc w:val="both"/>
      </w:pPr>
      <w:r>
        <w:rPr>
          <w:rFonts w:ascii="Times New Roman" w:eastAsia="Times New Roman"/>
        </w:rPr>
        <w:t>4</w:t>
      </w:r>
      <w:r>
        <w:rPr>
          <w:spacing w:val="-12"/>
        </w:rPr>
        <w:t>、本基金管理人管理的且在本基金托管人处托管的全部基金持有一家公司发行的证券， 不超过该证券的 </w:t>
      </w:r>
      <w:r>
        <w:rPr>
          <w:rFonts w:ascii="Times New Roman" w:eastAsia="Times New Roman"/>
        </w:rPr>
        <w:t>10%</w:t>
      </w:r>
      <w:r>
        <w:rPr/>
        <w:t>。</w:t>
      </w:r>
    </w:p>
    <w:p>
      <w:pPr>
        <w:pStyle w:val="BodyText"/>
        <w:spacing w:line="269" w:lineRule="exact"/>
        <w:ind w:left="960"/>
        <w:jc w:val="both"/>
      </w:pPr>
      <w:r>
        <w:rPr>
          <w:rFonts w:ascii="Times New Roman" w:eastAsia="Times New Roman"/>
        </w:rPr>
        <w:t>5</w:t>
      </w:r>
      <w:r>
        <w:rPr/>
        <w:t>、本基金持有的全部权证，其市值不得超过基金资产净值的 </w:t>
      </w:r>
      <w:r>
        <w:rPr>
          <w:rFonts w:ascii="Times New Roman" w:eastAsia="Times New Roman"/>
        </w:rPr>
        <w:t>3%</w:t>
      </w:r>
      <w:r>
        <w:rPr/>
        <w:t>。</w:t>
      </w:r>
    </w:p>
    <w:p>
      <w:pPr>
        <w:pStyle w:val="BodyText"/>
        <w:spacing w:before="6"/>
        <w:rPr>
          <w:sz w:val="15"/>
        </w:rPr>
      </w:pPr>
    </w:p>
    <w:p>
      <w:pPr>
        <w:pStyle w:val="BodyText"/>
        <w:spacing w:line="417" w:lineRule="auto" w:before="1"/>
        <w:ind w:left="540" w:right="314" w:firstLine="419"/>
        <w:jc w:val="both"/>
      </w:pPr>
      <w:r>
        <w:rPr>
          <w:rFonts w:ascii="Times New Roman" w:eastAsia="Times New Roman"/>
        </w:rPr>
        <w:t>6</w:t>
      </w:r>
      <w:r>
        <w:rPr/>
        <w:t>、本基金管理人管理的且在本基金托管人处托管的全部基金持有的同一权证，不得超过该权证的 </w:t>
      </w:r>
      <w:r>
        <w:rPr>
          <w:rFonts w:ascii="Times New Roman" w:eastAsia="Times New Roman"/>
        </w:rPr>
        <w:t>10%</w:t>
      </w:r>
      <w:r>
        <w:rPr/>
        <w:t>。</w:t>
      </w:r>
    </w:p>
    <w:p>
      <w:pPr>
        <w:pStyle w:val="BodyText"/>
        <w:spacing w:line="269" w:lineRule="exact"/>
        <w:ind w:left="960"/>
        <w:jc w:val="both"/>
      </w:pPr>
      <w:r>
        <w:rPr>
          <w:rFonts w:ascii="Times New Roman" w:eastAsia="Times New Roman"/>
        </w:rPr>
        <w:t>7</w:t>
      </w:r>
      <w:r>
        <w:rPr/>
        <w:t>、本基金在任何交易日买入权证的总金额，不得超过上一交易日基金资产净值的 </w:t>
      </w:r>
      <w:r>
        <w:rPr>
          <w:rFonts w:ascii="Times New Roman" w:eastAsia="Times New Roman"/>
        </w:rPr>
        <w:t>0.5%</w:t>
      </w:r>
      <w:r>
        <w:rPr/>
        <w:t>。</w:t>
      </w:r>
    </w:p>
    <w:p>
      <w:pPr>
        <w:pStyle w:val="BodyText"/>
        <w:spacing w:before="6"/>
        <w:rPr>
          <w:sz w:val="15"/>
        </w:rPr>
      </w:pPr>
    </w:p>
    <w:p>
      <w:pPr>
        <w:pStyle w:val="BodyText"/>
        <w:spacing w:line="417" w:lineRule="auto"/>
        <w:ind w:left="540" w:right="314" w:firstLine="419"/>
        <w:jc w:val="both"/>
      </w:pPr>
      <w:r>
        <w:rPr>
          <w:rFonts w:ascii="Times New Roman" w:eastAsia="Times New Roman"/>
        </w:rPr>
        <w:t>8</w:t>
      </w:r>
      <w:r>
        <w:rPr/>
        <w:t>、本基金投资于同一原始权益人的各类资产支持证券的比例，不得超过基金资产净值的 </w:t>
      </w:r>
      <w:r>
        <w:rPr>
          <w:rFonts w:ascii="Times New Roman" w:eastAsia="Times New Roman"/>
        </w:rPr>
        <w:t>10%</w:t>
      </w:r>
      <w:r>
        <w:rPr/>
        <w:t>。</w:t>
      </w:r>
    </w:p>
    <w:p>
      <w:pPr>
        <w:pStyle w:val="BodyText"/>
        <w:spacing w:before="1"/>
        <w:ind w:left="960"/>
        <w:jc w:val="both"/>
      </w:pPr>
      <w:r>
        <w:rPr>
          <w:rFonts w:ascii="Times New Roman" w:eastAsia="Times New Roman"/>
        </w:rPr>
        <w:t>9</w:t>
      </w:r>
      <w:r>
        <w:rPr/>
        <w:t>、本基金持有的全部资产支持证券，其市值不得超过基金资产净值的 </w:t>
      </w:r>
      <w:r>
        <w:rPr>
          <w:rFonts w:ascii="Times New Roman" w:eastAsia="Times New Roman"/>
        </w:rPr>
        <w:t>20%</w:t>
      </w:r>
      <w:r>
        <w:rPr/>
        <w:t>。</w:t>
      </w:r>
    </w:p>
    <w:p>
      <w:pPr>
        <w:pStyle w:val="BodyText"/>
        <w:spacing w:before="6"/>
        <w:rPr>
          <w:sz w:val="15"/>
        </w:rPr>
      </w:pPr>
    </w:p>
    <w:p>
      <w:pPr>
        <w:pStyle w:val="BodyText"/>
        <w:spacing w:line="417" w:lineRule="auto"/>
        <w:ind w:left="540" w:right="311" w:firstLine="419"/>
        <w:jc w:val="both"/>
      </w:pPr>
      <w:r>
        <w:rPr>
          <w:rFonts w:ascii="Times New Roman" w:eastAsia="Times New Roman"/>
        </w:rPr>
        <w:t>10</w:t>
      </w:r>
      <w:r>
        <w:rPr>
          <w:spacing w:val="-9"/>
        </w:rPr>
        <w:t>、本基金持有的同一</w:t>
      </w:r>
      <w:r>
        <w:rPr>
          <w:spacing w:val="-3"/>
        </w:rPr>
        <w:t>（指同一信用级别</w:t>
      </w:r>
      <w:r>
        <w:rPr>
          <w:spacing w:val="-25"/>
        </w:rPr>
        <w:t>）</w:t>
      </w:r>
      <w:r>
        <w:rPr>
          <w:spacing w:val="-6"/>
        </w:rPr>
        <w:t>资产支持证券的比例，不得超过该资产支持</w:t>
      </w:r>
      <w:r>
        <w:rPr>
          <w:spacing w:val="-13"/>
        </w:rPr>
        <w:t>证券规模的 </w:t>
      </w:r>
      <w:r>
        <w:rPr>
          <w:rFonts w:ascii="Times New Roman" w:eastAsia="Times New Roman"/>
        </w:rPr>
        <w:t>10%</w:t>
      </w:r>
      <w:r>
        <w:rPr/>
        <w:t>。</w:t>
      </w:r>
    </w:p>
    <w:p>
      <w:pPr>
        <w:pStyle w:val="BodyText"/>
        <w:spacing w:line="417" w:lineRule="auto"/>
        <w:ind w:left="540" w:right="311" w:firstLine="419"/>
        <w:jc w:val="both"/>
      </w:pPr>
      <w:r>
        <w:rPr>
          <w:rFonts w:ascii="Times New Roman" w:eastAsia="Times New Roman"/>
          <w:spacing w:val="-4"/>
        </w:rPr>
        <w:t>11</w:t>
      </w:r>
      <w:r>
        <w:rPr>
          <w:spacing w:val="-11"/>
        </w:rPr>
        <w:t>、本基金管理人管理的且在本基金托管人处托管的全部基金投资于同一原始权益人的</w:t>
      </w:r>
      <w:r>
        <w:rPr>
          <w:spacing w:val="-8"/>
        </w:rPr>
        <w:t>各类资产支持证券，不得超过其各类资产支持证券合计规模的 </w:t>
      </w:r>
      <w:r>
        <w:rPr>
          <w:rFonts w:ascii="Times New Roman" w:eastAsia="Times New Roman"/>
        </w:rPr>
        <w:t>10%</w:t>
      </w:r>
      <w:r>
        <w:rPr/>
        <w:t>。</w:t>
      </w:r>
    </w:p>
    <w:p>
      <w:pPr>
        <w:pStyle w:val="BodyText"/>
        <w:spacing w:line="417" w:lineRule="auto"/>
        <w:ind w:left="540" w:right="311" w:firstLine="419"/>
        <w:jc w:val="both"/>
      </w:pPr>
      <w:r>
        <w:rPr>
          <w:rFonts w:ascii="Times New Roman" w:eastAsia="Times New Roman"/>
        </w:rPr>
        <w:t>12</w:t>
      </w:r>
      <w:r>
        <w:rPr>
          <w:spacing w:val="-8"/>
        </w:rPr>
        <w:t>、本基金应投资于信用级别评级为 </w:t>
      </w:r>
      <w:r>
        <w:rPr>
          <w:rFonts w:ascii="Times New Roman" w:eastAsia="Times New Roman"/>
        </w:rPr>
        <w:t>BBB</w:t>
      </w:r>
      <w:r>
        <w:rPr>
          <w:rFonts w:ascii="Times New Roman" w:eastAsia="Times New Roman"/>
          <w:spacing w:val="13"/>
        </w:rPr>
        <w:t> </w:t>
      </w:r>
      <w:r>
        <w:rPr>
          <w:spacing w:val="-7"/>
        </w:rPr>
        <w:t>以上</w:t>
      </w:r>
      <w:r>
        <w:rPr>
          <w:spacing w:val="-3"/>
        </w:rPr>
        <w:t>（</w:t>
      </w:r>
      <w:r>
        <w:rPr>
          <w:spacing w:val="-20"/>
        </w:rPr>
        <w:t>含 </w:t>
      </w:r>
      <w:r>
        <w:rPr>
          <w:rFonts w:ascii="Times New Roman" w:eastAsia="Times New Roman"/>
          <w:spacing w:val="-5"/>
        </w:rPr>
        <w:t>BBB</w:t>
      </w:r>
      <w:r>
        <w:rPr>
          <w:spacing w:val="-5"/>
        </w:rPr>
        <w:t>）</w:t>
      </w:r>
      <w:r>
        <w:rPr>
          <w:spacing w:val="-4"/>
        </w:rPr>
        <w:t>的资产支持证券。基金持有</w:t>
      </w:r>
      <w:r>
        <w:rPr>
          <w:spacing w:val="-8"/>
        </w:rPr>
        <w:t>资产支持证券期间，如果其信用等级下降、不再符合投资标准，应在评级报告发布之日起 </w:t>
      </w:r>
      <w:r>
        <w:rPr>
          <w:rFonts w:ascii="Times New Roman" w:eastAsia="Times New Roman"/>
        </w:rPr>
        <w:t>3 </w:t>
      </w:r>
      <w:r>
        <w:rPr>
          <w:spacing w:val="-3"/>
        </w:rPr>
        <w:t>个月内予以全部卖出。</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pPr>
      <w:r>
        <w:rPr>
          <w:rFonts w:ascii="Times New Roman" w:eastAsia="Times New Roman"/>
        </w:rPr>
        <w:t>13</w:t>
      </w:r>
      <w:r>
        <w:rPr>
          <w:spacing w:val="-10"/>
        </w:rPr>
        <w:t>、基金财产参与股票发行申购，本基金所申报的金额不超过本基金的总资产，本基金</w:t>
      </w:r>
      <w:r>
        <w:rPr>
          <w:spacing w:val="-5"/>
        </w:rPr>
        <w:t>所申报的股票数量不超过拟发行股票公司本次发行股票的总量。</w:t>
      </w:r>
    </w:p>
    <w:p>
      <w:pPr>
        <w:pStyle w:val="BodyText"/>
        <w:spacing w:line="269" w:lineRule="exact"/>
        <w:ind w:left="960"/>
      </w:pPr>
      <w:r>
        <w:rPr>
          <w:rFonts w:ascii="Times New Roman" w:eastAsia="Times New Roman"/>
        </w:rPr>
        <w:t>14</w:t>
      </w:r>
      <w:r>
        <w:rPr/>
        <w:t>、本基金进入全国银行间同业市场进行债券回购的资金余额不得超过基金资产净值的</w:t>
      </w:r>
    </w:p>
    <w:p>
      <w:pPr>
        <w:pStyle w:val="BodyText"/>
        <w:spacing w:before="6"/>
        <w:rPr>
          <w:sz w:val="15"/>
        </w:rPr>
      </w:pPr>
    </w:p>
    <w:p>
      <w:pPr>
        <w:pStyle w:val="BodyText"/>
        <w:ind w:left="540"/>
        <w:jc w:val="both"/>
      </w:pPr>
      <w:r>
        <w:rPr>
          <w:rFonts w:ascii="Times New Roman" w:eastAsia="Times New Roman"/>
        </w:rPr>
        <w:t>40%</w:t>
      </w:r>
      <w:r>
        <w:rPr/>
        <w:t>；债券回购最长期限为 </w:t>
      </w:r>
      <w:r>
        <w:rPr>
          <w:rFonts w:ascii="Times New Roman" w:eastAsia="Times New Roman"/>
        </w:rPr>
        <w:t>1 </w:t>
      </w:r>
      <w:r>
        <w:rPr/>
        <w:t>年，债券回购到期后不得展期。</w:t>
      </w:r>
    </w:p>
    <w:p>
      <w:pPr>
        <w:pStyle w:val="BodyText"/>
        <w:spacing w:before="7"/>
        <w:rPr>
          <w:sz w:val="15"/>
        </w:rPr>
      </w:pPr>
    </w:p>
    <w:p>
      <w:pPr>
        <w:pStyle w:val="BodyText"/>
        <w:ind w:left="960"/>
      </w:pPr>
      <w:r>
        <w:rPr>
          <w:rFonts w:ascii="Times New Roman" w:eastAsia="Times New Roman"/>
        </w:rPr>
        <w:t>15</w:t>
      </w:r>
      <w:r>
        <w:rPr/>
        <w:t>、本基金持有单只中小企业私募债券，其市值不得超过该基金资产净值的 </w:t>
      </w:r>
      <w:r>
        <w:rPr>
          <w:rFonts w:ascii="Times New Roman" w:eastAsia="Times New Roman"/>
        </w:rPr>
        <w:t>10%</w:t>
      </w:r>
      <w:r>
        <w:rPr/>
        <w:t>。</w:t>
      </w:r>
    </w:p>
    <w:p>
      <w:pPr>
        <w:pStyle w:val="BodyText"/>
        <w:spacing w:before="7"/>
        <w:rPr>
          <w:sz w:val="15"/>
        </w:rPr>
      </w:pPr>
    </w:p>
    <w:p>
      <w:pPr>
        <w:pStyle w:val="BodyText"/>
        <w:ind w:left="960"/>
      </w:pPr>
      <w:r>
        <w:rPr>
          <w:rFonts w:ascii="Times New Roman" w:eastAsia="Times New Roman"/>
        </w:rPr>
        <w:t>16</w:t>
      </w:r>
      <w:r>
        <w:rPr/>
        <w:t>、本基金资产总值不得超过基金资产净值的 </w:t>
      </w:r>
      <w:r>
        <w:rPr>
          <w:rFonts w:ascii="Times New Roman" w:eastAsia="Times New Roman"/>
        </w:rPr>
        <w:t>140%</w:t>
      </w:r>
      <w:r>
        <w:rPr/>
        <w:t>。</w:t>
      </w:r>
    </w:p>
    <w:p>
      <w:pPr>
        <w:pStyle w:val="BodyText"/>
        <w:spacing w:before="7"/>
        <w:rPr>
          <w:sz w:val="15"/>
        </w:rPr>
      </w:pPr>
    </w:p>
    <w:p>
      <w:pPr>
        <w:pStyle w:val="BodyText"/>
        <w:ind w:left="960"/>
      </w:pPr>
      <w:r>
        <w:rPr>
          <w:rFonts w:ascii="Times New Roman" w:eastAsia="Times New Roman"/>
        </w:rPr>
        <w:t>17</w:t>
      </w:r>
      <w:r>
        <w:rPr/>
        <w:t>、基金在任何交易日日终，持有的买入股指期货合约价值，不得超过基金资产净值的</w:t>
      </w:r>
    </w:p>
    <w:p>
      <w:pPr>
        <w:pStyle w:val="BodyText"/>
        <w:spacing w:before="7"/>
        <w:rPr>
          <w:sz w:val="15"/>
        </w:rPr>
      </w:pPr>
    </w:p>
    <w:p>
      <w:pPr>
        <w:pStyle w:val="BodyText"/>
        <w:spacing w:line="417" w:lineRule="auto"/>
        <w:ind w:left="540" w:right="313"/>
        <w:jc w:val="both"/>
      </w:pPr>
      <w:r>
        <w:rPr>
          <w:rFonts w:ascii="Times New Roman" w:eastAsia="Times New Roman"/>
          <w:spacing w:val="-9"/>
        </w:rPr>
        <w:t>10%</w:t>
      </w:r>
      <w:r>
        <w:rPr>
          <w:spacing w:val="-6"/>
        </w:rPr>
        <w:t>；本基金在任何交易日日终，持有的卖出股指期货合约价值不得超过基金持有的股票总</w:t>
      </w:r>
      <w:r>
        <w:rPr>
          <w:spacing w:val="5"/>
        </w:rPr>
        <w:t>市值的 </w:t>
      </w:r>
      <w:r>
        <w:rPr>
          <w:rFonts w:ascii="Times New Roman" w:eastAsia="Times New Roman"/>
        </w:rPr>
        <w:t>20%</w:t>
      </w:r>
      <w:r>
        <w:rPr/>
        <w:t>；基金在任何交易日内交易（不包括平仓）</w:t>
      </w:r>
      <w:r>
        <w:rPr>
          <w:spacing w:val="-1"/>
        </w:rPr>
        <w:t>的股指期货合约的成交金额不得超</w:t>
      </w:r>
      <w:r>
        <w:rPr>
          <w:spacing w:val="2"/>
        </w:rPr>
        <w:t>过上一交易日基金资产净值的 </w:t>
      </w:r>
      <w:r>
        <w:rPr>
          <w:rFonts w:ascii="Times New Roman" w:eastAsia="Times New Roman"/>
        </w:rPr>
        <w:t>20%</w:t>
      </w:r>
      <w:r>
        <w:rPr>
          <w:spacing w:val="-1"/>
        </w:rPr>
        <w:t>；本基金所持有的股票市值和买入、卖出股指期货合约</w:t>
      </w:r>
      <w:r>
        <w:rPr>
          <w:spacing w:val="-2"/>
        </w:rPr>
        <w:t>价值，合计</w:t>
      </w:r>
      <w:r>
        <w:rPr/>
        <w:t>（</w:t>
      </w:r>
      <w:r>
        <w:rPr>
          <w:spacing w:val="-3"/>
        </w:rPr>
        <w:t>轧差计算）应当符合《基金合同》关于股票投资比例的有关约定。</w:t>
      </w:r>
    </w:p>
    <w:p>
      <w:pPr>
        <w:pStyle w:val="BodyText"/>
        <w:spacing w:line="268" w:lineRule="exact"/>
        <w:ind w:left="960"/>
      </w:pPr>
      <w:r>
        <w:rPr>
          <w:rFonts w:ascii="Times New Roman" w:eastAsia="Times New Roman"/>
        </w:rPr>
        <w:t>18</w:t>
      </w:r>
      <w:r>
        <w:rPr/>
        <w:t>、基金在任何交易日日终，持有的买入国债期货合约价值，不得超过基金资产净值的</w:t>
      </w:r>
    </w:p>
    <w:p>
      <w:pPr>
        <w:pStyle w:val="BodyText"/>
        <w:spacing w:before="7"/>
        <w:rPr>
          <w:sz w:val="15"/>
        </w:rPr>
      </w:pPr>
    </w:p>
    <w:p>
      <w:pPr>
        <w:pStyle w:val="BodyText"/>
        <w:spacing w:line="417" w:lineRule="auto"/>
        <w:ind w:left="540" w:right="311"/>
        <w:jc w:val="both"/>
      </w:pPr>
      <w:r>
        <w:rPr>
          <w:rFonts w:ascii="Times New Roman" w:eastAsia="Times New Roman"/>
          <w:spacing w:val="-9"/>
        </w:rPr>
        <w:t>15%</w:t>
      </w:r>
      <w:r>
        <w:rPr>
          <w:spacing w:val="-7"/>
        </w:rPr>
        <w:t>；基金在任何交易日日终，持有的卖出国债期货合约价值不得超过基金持有的债券总市</w:t>
      </w:r>
      <w:r>
        <w:rPr>
          <w:spacing w:val="7"/>
        </w:rPr>
        <w:t>值的 </w:t>
      </w:r>
      <w:r>
        <w:rPr>
          <w:rFonts w:ascii="Times New Roman" w:eastAsia="Times New Roman"/>
        </w:rPr>
        <w:t>30%</w:t>
      </w:r>
      <w:r>
        <w:rPr/>
        <w:t>；基金在任何交易日内交易（不包括平仓）</w:t>
      </w:r>
      <w:r>
        <w:rPr>
          <w:spacing w:val="-1"/>
        </w:rPr>
        <w:t>的国债期货合约的成交金额不得超过</w:t>
      </w:r>
      <w:r>
        <w:rPr>
          <w:spacing w:val="3"/>
        </w:rPr>
        <w:t>上一交易日基金资产净值的 </w:t>
      </w:r>
      <w:r>
        <w:rPr>
          <w:rFonts w:ascii="Times New Roman" w:eastAsia="Times New Roman"/>
        </w:rPr>
        <w:t>30%</w:t>
      </w:r>
      <w:r>
        <w:rPr>
          <w:spacing w:val="-1"/>
        </w:rPr>
        <w:t>；基金管理人应当按照中国金融期货交易所要求的内容、</w:t>
      </w:r>
      <w:r>
        <w:rPr>
          <w:spacing w:val="-7"/>
        </w:rPr>
        <w:t>格式与时限向交易所报告所交易和持有的卖出期货合约情况、交易目的及对应的证券资产情况等。</w:t>
      </w:r>
    </w:p>
    <w:p>
      <w:pPr>
        <w:pStyle w:val="BodyText"/>
        <w:spacing w:line="417" w:lineRule="auto"/>
        <w:ind w:left="540" w:right="311" w:firstLine="419"/>
        <w:jc w:val="right"/>
      </w:pPr>
      <w:r>
        <w:rPr>
          <w:rFonts w:ascii="Times New Roman" w:eastAsia="Times New Roman"/>
        </w:rPr>
        <w:t>19</w:t>
      </w:r>
      <w:r>
        <w:rPr>
          <w:spacing w:val="-12"/>
        </w:rPr>
        <w:t>、开放式基金在任何交易日日终，持有的买入国债期货和股指期货合约价值与有价证</w:t>
      </w:r>
      <w:r>
        <w:rPr>
          <w:spacing w:val="-9"/>
        </w:rPr>
        <w:t>券市值之和，不得超过基金资产净值的 </w:t>
      </w:r>
      <w:r>
        <w:rPr>
          <w:rFonts w:ascii="Times New Roman" w:eastAsia="Times New Roman"/>
        </w:rPr>
        <w:t>95%</w:t>
      </w:r>
      <w:r>
        <w:rPr/>
        <w:t>。其中，有价证券指股票、债券（</w:t>
      </w:r>
      <w:r>
        <w:rPr>
          <w:spacing w:val="-3"/>
        </w:rPr>
        <w:t>不含到期日在一年以内的政府债券</w:t>
      </w:r>
      <w:r>
        <w:rPr>
          <w:spacing w:val="-106"/>
        </w:rPr>
        <w:t>）</w:t>
      </w:r>
      <w:r>
        <w:rPr>
          <w:spacing w:val="-15"/>
        </w:rPr>
        <w:t>、权证、资产支持证券、买入返售金融资产</w:t>
      </w:r>
      <w:r>
        <w:rPr>
          <w:spacing w:val="-3"/>
        </w:rPr>
        <w:t>（不含质押式回购</w:t>
      </w:r>
      <w:r>
        <w:rPr>
          <w:spacing w:val="-41"/>
        </w:rPr>
        <w:t>）</w:t>
      </w:r>
      <w:r>
        <w:rPr>
          <w:spacing w:val="-2"/>
        </w:rPr>
        <w:t>等。</w:t>
      </w:r>
      <w:r>
        <w:rPr>
          <w:rFonts w:ascii="Times New Roman" w:eastAsia="Times New Roman"/>
          <w:spacing w:val="-2"/>
        </w:rPr>
        <w:t>20</w:t>
      </w:r>
      <w:r>
        <w:rPr>
          <w:spacing w:val="-1"/>
        </w:rPr>
        <w:t>、本基金持有的所有流通受限证券，其公允价值不得超过本基金资产净值的 </w:t>
      </w:r>
      <w:r>
        <w:rPr>
          <w:rFonts w:ascii="Times New Roman" w:eastAsia="Times New Roman"/>
        </w:rPr>
        <w:t>15%</w:t>
      </w:r>
      <w:r>
        <w:rPr/>
        <w:t>；</w:t>
      </w:r>
    </w:p>
    <w:p>
      <w:pPr>
        <w:pStyle w:val="BodyText"/>
        <w:ind w:left="540"/>
        <w:jc w:val="both"/>
      </w:pPr>
      <w:r>
        <w:rPr/>
        <w:t>本基金持有的同一流通受限证券，其公允价值不得超过本基金资产净值的 </w:t>
      </w:r>
      <w:r>
        <w:rPr>
          <w:rFonts w:ascii="Times New Roman" w:eastAsia="Times New Roman"/>
        </w:rPr>
        <w:t>10%</w:t>
      </w:r>
      <w:r>
        <w:rPr/>
        <w:t>。</w:t>
      </w:r>
    </w:p>
    <w:p>
      <w:pPr>
        <w:pStyle w:val="BodyText"/>
        <w:spacing w:before="6"/>
        <w:rPr>
          <w:sz w:val="15"/>
        </w:rPr>
      </w:pPr>
    </w:p>
    <w:p>
      <w:pPr>
        <w:pStyle w:val="BodyText"/>
        <w:spacing w:line="417" w:lineRule="auto"/>
        <w:ind w:left="540" w:right="311" w:firstLine="419"/>
        <w:jc w:val="both"/>
      </w:pPr>
      <w:r>
        <w:rPr>
          <w:rFonts w:ascii="Times New Roman" w:eastAsia="Times New Roman"/>
        </w:rPr>
        <w:t>21</w:t>
      </w:r>
      <w:r>
        <w:rPr>
          <w:spacing w:val="-13"/>
        </w:rPr>
        <w:t>、基金因未平仓的期权合约支付和收取的权利金总额不得超过基金资产净值的 </w:t>
      </w:r>
      <w:r>
        <w:rPr>
          <w:rFonts w:ascii="Times New Roman" w:eastAsia="Times New Roman"/>
        </w:rPr>
        <w:t>10%</w:t>
      </w:r>
      <w:r>
        <w:rPr/>
        <w:t>； </w:t>
      </w:r>
      <w:r>
        <w:rPr>
          <w:spacing w:val="-9"/>
        </w:rPr>
        <w:t>开仓卖出认购期权的，应持有足额标的证券；开仓卖出认沽期权的，应持有合约行权所需的全额现金或交易所规则认可的可冲抵期权保证金的现金等价物；未平仓的期权合约面值不得</w:t>
      </w:r>
      <w:r>
        <w:rPr>
          <w:spacing w:val="-10"/>
        </w:rPr>
        <w:t>超过基金资产净值的 </w:t>
      </w:r>
      <w:r>
        <w:rPr>
          <w:rFonts w:ascii="Times New Roman" w:eastAsia="Times New Roman"/>
        </w:rPr>
        <w:t>20%</w:t>
      </w:r>
      <w:r>
        <w:rPr>
          <w:spacing w:val="-3"/>
        </w:rPr>
        <w:t>。其中，合约面值按照行权价乘以合约乘数计算。</w:t>
      </w:r>
    </w:p>
    <w:p>
      <w:pPr>
        <w:pStyle w:val="BodyText"/>
        <w:spacing w:line="417" w:lineRule="auto"/>
        <w:ind w:left="540" w:right="311" w:firstLine="419"/>
        <w:jc w:val="both"/>
      </w:pPr>
      <w:r>
        <w:rPr>
          <w:rFonts w:ascii="Times New Roman" w:eastAsia="Times New Roman"/>
        </w:rPr>
        <w:t>22</w:t>
      </w:r>
      <w:r>
        <w:rPr>
          <w:spacing w:val="-12"/>
        </w:rPr>
        <w:t>、本基金管理人管理的且由本基金托管人托管的全部开放式基金持有一家上市公司发</w:t>
      </w:r>
      <w:r>
        <w:rPr>
          <w:spacing w:val="-8"/>
        </w:rPr>
        <w:t>行的可流通股票，不得超过该上市公司可流通股票的 </w:t>
      </w:r>
      <w:r>
        <w:rPr>
          <w:rFonts w:ascii="Times New Roman" w:eastAsia="Times New Roman"/>
        </w:rPr>
        <w:t>15%</w:t>
      </w:r>
      <w:r>
        <w:rPr/>
        <w:t>。</w:t>
      </w:r>
    </w:p>
    <w:p>
      <w:pPr>
        <w:pStyle w:val="BodyText"/>
        <w:spacing w:line="417" w:lineRule="auto"/>
        <w:ind w:left="540" w:right="311" w:firstLine="419"/>
        <w:jc w:val="both"/>
      </w:pPr>
      <w:r>
        <w:rPr>
          <w:rFonts w:ascii="Times New Roman" w:eastAsia="Times New Roman"/>
        </w:rPr>
        <w:t>23</w:t>
      </w:r>
      <w:r>
        <w:rPr>
          <w:spacing w:val="-12"/>
        </w:rPr>
        <w:t>、本基金管理人管理的且由本基金托管人托管的全部投资组合持有一家上市公司发行</w:t>
      </w:r>
      <w:r>
        <w:rPr>
          <w:spacing w:val="-9"/>
        </w:rPr>
        <w:t>的可流通股票，不得超过该上市公司可流通股票的 </w:t>
      </w:r>
      <w:r>
        <w:rPr>
          <w:rFonts w:ascii="Times New Roman" w:eastAsia="Times New Roman"/>
        </w:rPr>
        <w:t>30%</w:t>
      </w:r>
      <w:r>
        <w:rPr/>
        <w:t>。</w:t>
      </w:r>
    </w:p>
    <w:p>
      <w:pPr>
        <w:spacing w:after="0" w:line="417" w:lineRule="auto"/>
        <w:jc w:val="both"/>
        <w:sectPr>
          <w:footerReference w:type="default" r:id="rId192"/>
          <w:pgSz w:w="11910" w:h="16840"/>
          <w:pgMar w:footer="995" w:header="877" w:top="1420" w:bottom="1180" w:left="1260" w:right="1480"/>
        </w:sectPr>
      </w:pPr>
    </w:p>
    <w:p>
      <w:pPr>
        <w:pStyle w:val="BodyText"/>
        <w:spacing w:line="417" w:lineRule="auto" w:before="110"/>
        <w:ind w:left="540" w:right="311" w:firstLine="419"/>
        <w:jc w:val="both"/>
      </w:pPr>
      <w:r>
        <w:rPr>
          <w:rFonts w:ascii="Times New Roman" w:eastAsia="Times New Roman"/>
        </w:rPr>
        <w:t>24</w:t>
      </w:r>
      <w:r>
        <w:rPr>
          <w:spacing w:val="1"/>
        </w:rPr>
        <w:t>、本基金主动投资于流动性受限资产的市值合计不得超过本基金资产净值的 </w:t>
      </w:r>
      <w:r>
        <w:rPr>
          <w:rFonts w:ascii="Times New Roman" w:eastAsia="Times New Roman"/>
        </w:rPr>
        <w:t>15%</w:t>
      </w:r>
      <w:r>
        <w:rPr>
          <w:spacing w:val="-16"/>
        </w:rPr>
        <w:t>。</w:t>
      </w:r>
      <w:r>
        <w:rPr>
          <w:spacing w:val="-12"/>
        </w:rPr>
        <w:t>因证券市场波动、上市公司股票停牌、基金规模变动等基金管理人之外的因素致使基金不符</w:t>
      </w:r>
      <w:r>
        <w:rPr>
          <w:spacing w:val="-6"/>
        </w:rPr>
        <w:t>合前述所规定比例限制的，基金管理人不得主动新增流动性受限资产的投资。</w:t>
      </w:r>
    </w:p>
    <w:p>
      <w:pPr>
        <w:pStyle w:val="BodyText"/>
        <w:spacing w:line="417" w:lineRule="auto"/>
        <w:ind w:left="540" w:right="311" w:firstLine="419"/>
      </w:pPr>
      <w:r>
        <w:rPr>
          <w:rFonts w:ascii="Times New Roman" w:eastAsia="Times New Roman"/>
        </w:rPr>
        <w:t>25</w:t>
      </w:r>
      <w:r>
        <w:rPr>
          <w:spacing w:val="-12"/>
        </w:rPr>
        <w:t>、本基金与私募类证券资管产品及中国证监会认定的其他主体为交易对手开展逆回购</w:t>
      </w:r>
      <w:r>
        <w:rPr>
          <w:spacing w:val="-6"/>
        </w:rPr>
        <w:t>交易的，可接受质押品的资质要求应当与基金合同约定的投资范围保持一致。</w:t>
      </w:r>
    </w:p>
    <w:p>
      <w:pPr>
        <w:pStyle w:val="BodyText"/>
        <w:spacing w:line="417" w:lineRule="auto"/>
        <w:ind w:left="540" w:right="311" w:firstLine="419"/>
      </w:pPr>
      <w:r>
        <w:rPr>
          <w:rFonts w:ascii="Times New Roman" w:eastAsia="Times New Roman"/>
        </w:rPr>
        <w:t>26</w:t>
      </w:r>
      <w:r>
        <w:rPr>
          <w:spacing w:val="-11"/>
        </w:rPr>
        <w:t>、本基金投资存托凭证的比例限制依照境内上市交易的股票执行，与境内上市交易的</w:t>
      </w:r>
      <w:r>
        <w:rPr>
          <w:spacing w:val="-6"/>
        </w:rPr>
        <w:t>股票合并计算。</w:t>
      </w:r>
    </w:p>
    <w:p>
      <w:pPr>
        <w:pStyle w:val="BodyText"/>
        <w:ind w:left="960"/>
      </w:pPr>
      <w:r>
        <w:rPr>
          <w:rFonts w:ascii="Times New Roman" w:eastAsia="Times New Roman"/>
        </w:rPr>
        <w:t>27</w:t>
      </w:r>
      <w:r>
        <w:rPr/>
        <w:t>、法律法规及中国证监会规定的和《基金合同》约定的其他投资限制。</w:t>
      </w:r>
    </w:p>
    <w:p>
      <w:pPr>
        <w:pStyle w:val="BodyText"/>
        <w:spacing w:before="6"/>
        <w:rPr>
          <w:sz w:val="15"/>
        </w:rPr>
      </w:pPr>
    </w:p>
    <w:p>
      <w:pPr>
        <w:pStyle w:val="BodyText"/>
        <w:spacing w:line="417" w:lineRule="auto"/>
        <w:ind w:left="540" w:right="311" w:firstLine="419"/>
        <w:jc w:val="both"/>
      </w:pPr>
      <w:r>
        <w:rPr>
          <w:spacing w:val="-10"/>
        </w:rPr>
        <w:t>本产品如需参加股票期权交易，应当按照现有证券账户开立方式向中国证券登记结算有限责任公司申请新开立一个普通证券账户，基金管理人负责将该证券账户指定交易在证券公司或期货公司，由相应证券公司</w:t>
      </w:r>
      <w:r>
        <w:rPr/>
        <w:t>（</w:t>
      </w:r>
      <w:r>
        <w:rPr>
          <w:spacing w:val="-3"/>
        </w:rPr>
        <w:t>或期货公司</w:t>
      </w:r>
      <w:r>
        <w:rPr>
          <w:spacing w:val="-25"/>
        </w:rPr>
        <w:t>）</w:t>
      </w:r>
      <w:r>
        <w:rPr>
          <w:spacing w:val="-5"/>
        </w:rPr>
        <w:t>为本产品开立衍生品合约账户后，再通过该</w:t>
      </w:r>
      <w:r>
        <w:rPr>
          <w:spacing w:val="-4"/>
        </w:rPr>
        <w:t>证券公司</w:t>
      </w:r>
      <w:r>
        <w:rPr>
          <w:spacing w:val="-3"/>
        </w:rPr>
        <w:t>（或期货公司）参与股票期权交易。</w:t>
      </w:r>
    </w:p>
    <w:p>
      <w:pPr>
        <w:pStyle w:val="BodyText"/>
        <w:spacing w:line="417" w:lineRule="auto"/>
        <w:ind w:left="540" w:right="311" w:firstLine="419"/>
      </w:pPr>
      <w:r>
        <w:rPr>
          <w:spacing w:val="-7"/>
        </w:rPr>
        <w:t>如果法律法规对上述投资组合比例限制进行变更的，以变更后的规定为准。法律法规或</w:t>
      </w:r>
      <w:r>
        <w:rPr>
          <w:spacing w:val="-5"/>
        </w:rPr>
        <w:t>监管部门取消上述限制，如适用于本基金，则本基金投资不再受相关限制。</w:t>
      </w:r>
    </w:p>
    <w:p>
      <w:pPr>
        <w:pStyle w:val="BodyText"/>
        <w:spacing w:line="417" w:lineRule="auto"/>
        <w:ind w:left="540" w:right="311" w:firstLine="419"/>
        <w:jc w:val="both"/>
      </w:pPr>
      <w:r>
        <w:rPr>
          <w:spacing w:val="-4"/>
        </w:rPr>
        <w:t>除第 </w:t>
      </w:r>
      <w:r>
        <w:rPr>
          <w:rFonts w:ascii="Times New Roman" w:eastAsia="Times New Roman"/>
          <w:spacing w:val="-3"/>
        </w:rPr>
        <w:t>2</w:t>
      </w:r>
      <w:r>
        <w:rPr/>
        <w:t>、</w:t>
      </w:r>
      <w:r>
        <w:rPr>
          <w:rFonts w:ascii="Times New Roman" w:eastAsia="Times New Roman"/>
        </w:rPr>
        <w:t>12</w:t>
      </w:r>
      <w:r>
        <w:rPr/>
        <w:t>、</w:t>
      </w:r>
      <w:r>
        <w:rPr>
          <w:rFonts w:ascii="Times New Roman" w:eastAsia="Times New Roman"/>
        </w:rPr>
        <w:t>24</w:t>
      </w:r>
      <w:r>
        <w:rPr/>
        <w:t>、</w:t>
      </w:r>
      <w:r>
        <w:rPr>
          <w:rFonts w:ascii="Times New Roman" w:eastAsia="Times New Roman"/>
        </w:rPr>
        <w:t>25 </w:t>
      </w:r>
      <w:r>
        <w:rPr>
          <w:spacing w:val="-3"/>
        </w:rPr>
        <w:t>项另有约定外，因证券</w:t>
      </w:r>
      <w:r>
        <w:rPr>
          <w:rFonts w:ascii="Times New Roman" w:eastAsia="Times New Roman"/>
        </w:rPr>
        <w:t>/</w:t>
      </w:r>
      <w:r>
        <w:rPr>
          <w:spacing w:val="-3"/>
        </w:rPr>
        <w:t>期货市场波动、上市公司合并、基金规模</w:t>
      </w:r>
      <w:r>
        <w:rPr>
          <w:spacing w:val="-6"/>
        </w:rPr>
        <w:t>变动等基金管理人之外的因素致使基金投资比例不符合上述规定投资比例的，基金管理人应</w:t>
      </w:r>
      <w:r>
        <w:rPr>
          <w:spacing w:val="-22"/>
        </w:rPr>
        <w:t>当在 </w:t>
      </w:r>
      <w:r>
        <w:rPr>
          <w:rFonts w:ascii="Times New Roman" w:eastAsia="Times New Roman"/>
        </w:rPr>
        <w:t>10 </w:t>
      </w:r>
      <w:r>
        <w:rPr>
          <w:spacing w:val="-3"/>
        </w:rPr>
        <w:t>个交易日内进行调整，但中国证监会规定的特殊情形除外。</w:t>
      </w:r>
    </w:p>
    <w:p>
      <w:pPr>
        <w:pStyle w:val="BodyText"/>
        <w:spacing w:line="417" w:lineRule="auto"/>
        <w:ind w:left="540" w:right="311" w:firstLine="419"/>
      </w:pPr>
      <w:r>
        <w:rPr>
          <w:spacing w:val="-8"/>
        </w:rPr>
        <w:t>本基金在开始进行股指期货投资之前，应与基金托管人、期货公司三方一同就股指期货开户、清算、估值、交收等事宜另行签署协议《期货投资托管操作三方备忘录》。</w:t>
      </w:r>
    </w:p>
    <w:p>
      <w:pPr>
        <w:pStyle w:val="BodyText"/>
        <w:spacing w:line="417" w:lineRule="auto"/>
        <w:ind w:left="540" w:right="31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托管人对基金的投资的监督与检查自基金合同生效之日起开始。</w:t>
      </w:r>
    </w:p>
    <w:p>
      <w:pPr>
        <w:pStyle w:val="BodyText"/>
        <w:spacing w:line="417" w:lineRule="auto"/>
        <w:ind w:left="540" w:right="311" w:firstLine="419"/>
      </w:pPr>
      <w:r>
        <w:rPr/>
        <w:t>（三</w:t>
      </w:r>
      <w:r>
        <w:rPr>
          <w:spacing w:val="-27"/>
        </w:rPr>
        <w:t>）</w:t>
      </w:r>
      <w:r>
        <w:rPr>
          <w:spacing w:val="-7"/>
        </w:rPr>
        <w:t>基金托管人根据有关法律法规的规定及《基金合同》的约定，对本托管协议第十</w:t>
      </w:r>
      <w:r>
        <w:rPr>
          <w:spacing w:val="-5"/>
        </w:rPr>
        <w:t>五条第九款基金投资禁止行为通过事后监督方式进行监督。</w:t>
      </w:r>
    </w:p>
    <w:p>
      <w:pPr>
        <w:pStyle w:val="BodyText"/>
        <w:spacing w:line="417" w:lineRule="auto"/>
        <w:ind w:left="540" w:right="31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易的，应当符合基金的投资目标和投资策略，遵循基金份额持有人利益优先的原则，防范利</w:t>
      </w:r>
      <w:r>
        <w:rPr>
          <w:spacing w:val="-5"/>
        </w:rPr>
        <w:t>益冲突，相关交易必须事先得到基金托管人的同意，并履行信息披露义务。</w:t>
      </w:r>
    </w:p>
    <w:p>
      <w:pPr>
        <w:pStyle w:val="BodyText"/>
        <w:spacing w:line="417" w:lineRule="auto"/>
        <w:ind w:left="540" w:right="311" w:firstLine="419"/>
      </w:pPr>
      <w:r>
        <w:rPr/>
        <w:t>（四</w:t>
      </w:r>
      <w:r>
        <w:rPr>
          <w:spacing w:val="-27"/>
        </w:rPr>
        <w:t>）</w:t>
      </w:r>
      <w:r>
        <w:rPr>
          <w:spacing w:val="-7"/>
        </w:rPr>
        <w:t>基金托管人根据有关法律法规的规定及《基金合同》的约定，对基金管理人参与</w:t>
      </w:r>
      <w:r>
        <w:rPr>
          <w:spacing w:val="-12"/>
        </w:rPr>
        <w:t>银行间债券市场进行监督。基金管理人应在基金投资运作之前向基金托管人提供符合法律法</w:t>
      </w:r>
    </w:p>
    <w:p>
      <w:pPr>
        <w:spacing w:after="0" w:line="417" w:lineRule="auto"/>
        <w:sectPr>
          <w:footerReference w:type="default" r:id="rId193"/>
          <w:pgSz w:w="11910" w:h="16840"/>
          <w:pgMar w:footer="995" w:header="877" w:top="1420" w:bottom="1180" w:left="1260" w:right="1480"/>
          <w:pgNumType w:start="141"/>
        </w:sectPr>
      </w:pPr>
    </w:p>
    <w:p>
      <w:pPr>
        <w:pStyle w:val="BodyText"/>
        <w:spacing w:line="417" w:lineRule="auto" w:before="110"/>
        <w:ind w:left="540" w:right="208"/>
      </w:pPr>
      <w:r>
        <w:rPr>
          <w:spacing w:val="-10"/>
        </w:rPr>
        <w:t>规及行业标准的、经慎重选择的、本基金适用的银行间债券市场交易对手名单，并约定各交</w:t>
      </w:r>
      <w:r>
        <w:rPr>
          <w:spacing w:val="-12"/>
        </w:rPr>
        <w:t>易对手所适用的交易结算方式。基金管理人应严格按照交易对手名单的范围在银行间债券市</w:t>
      </w:r>
      <w:r>
        <w:rPr>
          <w:spacing w:val="-13"/>
        </w:rPr>
        <w:t>场选择交易对手。基金托管人监督基金管理人是否按事前提供的银行间债券市场交易对手名</w:t>
      </w:r>
      <w:r>
        <w:rPr>
          <w:spacing w:val="-6"/>
        </w:rPr>
        <w:t>单进行交易。基金管理人可以每半年对银行间债券市场交易对手名单及结算方式进行更新， </w:t>
      </w:r>
      <w:r>
        <w:rPr>
          <w:spacing w:val="-4"/>
        </w:rPr>
        <w:t>新名单确定前已与本次剔除的交易对手所进行但尚未结算的交易，仍应按照协议进行结算。</w:t>
      </w:r>
      <w:r>
        <w:rPr>
          <w:spacing w:val="-6"/>
        </w:rPr>
        <w:t>如基金管理人根据市场情况需要临时调整银行间债券市场交易对手名单及结算方式的，应向基金托管人说明理由，并在与交易对手发生交易前 </w:t>
      </w:r>
      <w:r>
        <w:rPr>
          <w:rFonts w:ascii="Times New Roman" w:eastAsia="Times New Roman"/>
        </w:rPr>
        <w:t>3 </w:t>
      </w:r>
      <w:r>
        <w:rPr>
          <w:spacing w:val="-3"/>
        </w:rPr>
        <w:t>个工作日内与基金托管人协商解决。</w:t>
      </w:r>
    </w:p>
    <w:p>
      <w:pPr>
        <w:pStyle w:val="BodyText"/>
        <w:spacing w:line="417" w:lineRule="auto"/>
        <w:ind w:left="540" w:right="311" w:firstLine="419"/>
        <w:jc w:val="both"/>
      </w:pPr>
      <w:r>
        <w:rPr>
          <w:spacing w:val="-8"/>
        </w:rPr>
        <w:t>基金管理人负责对交易对手的资信控制，按银行间债券市场的交易规则进行交易，并负</w:t>
      </w:r>
      <w:r>
        <w:rPr>
          <w:spacing w:val="-9"/>
        </w:rPr>
        <w:t>责解决因交易对手不履行合同而造成的纠纷及损失，基金托管人不承担由此造成的任何法律</w:t>
      </w:r>
      <w:r>
        <w:rPr>
          <w:spacing w:val="-13"/>
        </w:rPr>
        <w:t>责任及损失。若未履约的交易对手在基金托管人与基金管理人确定的时间前仍未承担违约责</w:t>
      </w:r>
      <w:r>
        <w:rPr>
          <w:spacing w:val="-12"/>
        </w:rPr>
        <w:t>任及其他相关法律责任的，基金管理人可以对相应损失先行予以承担，然后再向相关交易对手追偿。基金托管人则根据银行间债券市场成交单对合同履行情况进行监督。如基金托管人</w:t>
      </w:r>
      <w:r>
        <w:rPr>
          <w:spacing w:val="-9"/>
        </w:rPr>
        <w:t>事后发现基金管理人没有按照事先约定的交易对手或交易方式进行交易时，基金托管人应及</w:t>
      </w:r>
      <w:r>
        <w:rPr>
          <w:spacing w:val="-5"/>
        </w:rPr>
        <w:t>时提醒基金管理人，基金托管人不承担由此造成的任何损失和责任。</w:t>
      </w:r>
    </w:p>
    <w:p>
      <w:pPr>
        <w:pStyle w:val="BodyText"/>
        <w:spacing w:line="417" w:lineRule="auto"/>
        <w:ind w:left="540" w:right="311" w:firstLine="419"/>
      </w:pPr>
      <w:r>
        <w:rPr/>
        <w:t>（五</w:t>
      </w:r>
      <w:r>
        <w:rPr>
          <w:spacing w:val="-27"/>
        </w:rPr>
        <w:t>）</w:t>
      </w:r>
      <w:r>
        <w:rPr>
          <w:spacing w:val="-7"/>
        </w:rPr>
        <w:t>基金托管人根据有关法律法规的规定及《基金合同》的约定，对基金管理人投资</w:t>
      </w:r>
      <w:r>
        <w:rPr>
          <w:spacing w:val="-5"/>
        </w:rPr>
        <w:t>流通受限证券进行监督。</w:t>
      </w:r>
    </w:p>
    <w:p>
      <w:pPr>
        <w:pStyle w:val="BodyText"/>
        <w:spacing w:line="417" w:lineRule="auto"/>
        <w:ind w:left="540" w:right="311" w:firstLine="419"/>
        <w:jc w:val="both"/>
      </w:pPr>
      <w:r>
        <w:rPr>
          <w:spacing w:val="-9"/>
        </w:rPr>
        <w:t>基金管理人投资流通受限证券，应事先根据中国证监会相关规定，明确基金投资流通受</w:t>
      </w:r>
      <w:r>
        <w:rPr>
          <w:spacing w:val="-11"/>
        </w:rPr>
        <w:t>限证券的比例，制订严格的投资决策流程和风险控制制度，防范流动性风险、法律风险和操</w:t>
      </w:r>
      <w:r>
        <w:rPr>
          <w:spacing w:val="-12"/>
        </w:rPr>
        <w:t>作风险等各种风险。基金托管人对基金管理人是否遵守相关制度、流动性风险处置预案以及</w:t>
      </w:r>
      <w:r>
        <w:rPr>
          <w:spacing w:val="-6"/>
        </w:rPr>
        <w:t>相关投资额度和比例等的情况进行监督。</w:t>
      </w:r>
    </w:p>
    <w:p>
      <w:pPr>
        <w:pStyle w:val="BodyText"/>
        <w:spacing w:line="417" w:lineRule="auto"/>
        <w:ind w:left="540" w:right="311" w:firstLine="419"/>
        <w:jc w:val="both"/>
      </w:pPr>
      <w:r>
        <w:rPr>
          <w:rFonts w:ascii="Times New Roman" w:eastAsia="Times New Roman"/>
        </w:rPr>
        <w:t>1</w:t>
      </w:r>
      <w:r>
        <w:rPr>
          <w:spacing w:val="-3"/>
        </w:rPr>
        <w:t>、本基金投资的流通受限证券须为经中国证监会批准的非公开发行股票、公开发行股</w:t>
      </w:r>
      <w:r>
        <w:rPr>
          <w:spacing w:val="-7"/>
        </w:rPr>
        <w:t>票网下配售部分等在发行时明确一定期限锁定期的可交易证券，不包括由于发布重大消息或</w:t>
      </w:r>
      <w:r>
        <w:rPr>
          <w:spacing w:val="-11"/>
        </w:rPr>
        <w:t>其他原因而临时停牌的证券、已发行未上市证券、回购交易中的质押券等流通受限证券。本</w:t>
      </w:r>
      <w:r>
        <w:rPr>
          <w:spacing w:val="-6"/>
        </w:rPr>
        <w:t>基金不投资有锁定期但锁定期不明确的证券。</w:t>
      </w:r>
    </w:p>
    <w:p>
      <w:pPr>
        <w:pStyle w:val="BodyText"/>
        <w:spacing w:line="417" w:lineRule="auto"/>
        <w:ind w:left="540" w:right="210" w:firstLine="419"/>
      </w:pPr>
      <w:r>
        <w:rPr/>
        <w:t>本基金投资的流通受限证券限于可由中国证券登记结算有限责任公司或中央国债登记 </w:t>
      </w:r>
      <w:r>
        <w:rPr>
          <w:spacing w:val="-3"/>
        </w:rPr>
        <w:t>结算有限责任公司负责登记和存管，并可在证券交易所或全国银行间债券市场交易的证券。</w:t>
      </w:r>
    </w:p>
    <w:p>
      <w:pPr>
        <w:pStyle w:val="BodyText"/>
        <w:spacing w:line="417" w:lineRule="auto"/>
        <w:ind w:left="540" w:right="311" w:firstLine="419"/>
        <w:jc w:val="both"/>
      </w:pPr>
      <w:r>
        <w:rPr>
          <w:spacing w:val="-7"/>
        </w:rPr>
        <w:t>本基金投资的流通受限证券应保证登记存管在本基金名下，基金管理人负责相关工作的</w:t>
      </w:r>
      <w:r>
        <w:rPr>
          <w:spacing w:val="-12"/>
        </w:rPr>
        <w:t>落实和协调，并确保基金托管人能够正常查询。因基金管理人原因产生的流通受限证券登记存管问题，造成基金托管人无法安全保管本基金资产的责任与损失，及因流通受限证券存管</w:t>
      </w:r>
      <w:r>
        <w:rPr>
          <w:spacing w:val="-6"/>
        </w:rPr>
        <w:t>直接影响本基金安全的责任及损失，由基金管理人承担。</w:t>
      </w:r>
    </w:p>
    <w:p>
      <w:pPr>
        <w:spacing w:after="0" w:line="417" w:lineRule="auto"/>
        <w:jc w:val="both"/>
        <w:sectPr>
          <w:pgSz w:w="11910" w:h="16840"/>
          <w:pgMar w:header="877" w:footer="995" w:top="1420" w:bottom="1180" w:left="1260" w:right="1480"/>
        </w:sectPr>
      </w:pPr>
    </w:p>
    <w:p>
      <w:pPr>
        <w:pStyle w:val="BodyText"/>
        <w:spacing w:before="110"/>
        <w:ind w:left="960"/>
      </w:pPr>
      <w:r>
        <w:rPr/>
        <w:t>本基金投资流通受限证券，不得预付任何形式的保证金。</w:t>
      </w:r>
    </w:p>
    <w:p>
      <w:pPr>
        <w:pStyle w:val="BodyText"/>
        <w:spacing w:before="6"/>
        <w:rPr>
          <w:sz w:val="15"/>
        </w:rPr>
      </w:pPr>
    </w:p>
    <w:p>
      <w:pPr>
        <w:pStyle w:val="BodyText"/>
        <w:spacing w:line="417" w:lineRule="auto"/>
        <w:ind w:left="540" w:right="210" w:firstLine="419"/>
        <w:jc w:val="both"/>
      </w:pPr>
      <w:r>
        <w:rPr>
          <w:rFonts w:ascii="Times New Roman" w:eastAsia="Times New Roman"/>
        </w:rPr>
        <w:t>2</w:t>
      </w:r>
      <w:r>
        <w:rPr>
          <w:spacing w:val="-3"/>
        </w:rPr>
        <w:t>、基金管理人投资非公开发行股票，应制订流动性风险处置预案并经其董事会批准。</w:t>
      </w:r>
      <w:r>
        <w:rPr>
          <w:spacing w:val="-6"/>
        </w:rPr>
        <w:t>风险处置预案应包括但不限于因投资流通受限证券需要解决的基金投资比例限制失调、基金</w:t>
      </w:r>
      <w:r>
        <w:rPr>
          <w:spacing w:val="-9"/>
        </w:rPr>
        <w:t>流动性困难以及相关损失的应对解决措施，以及有关异常情况的处置。基金管理人应在首次</w:t>
      </w:r>
      <w:r>
        <w:rPr>
          <w:spacing w:val="-5"/>
        </w:rPr>
        <w:t>投资流通受限证券前向基金托管人提供基金投资非公开发行股票相关流动性风险处置预案。</w:t>
      </w:r>
    </w:p>
    <w:p>
      <w:pPr>
        <w:pStyle w:val="BodyText"/>
        <w:spacing w:line="417" w:lineRule="auto"/>
        <w:ind w:left="540" w:right="311" w:firstLine="419"/>
        <w:jc w:val="both"/>
      </w:pPr>
      <w:r>
        <w:rPr>
          <w:spacing w:val="-7"/>
        </w:rPr>
        <w:t>基金管理人对本基金投资流通受限证券的流动性风险负责，确保对相关风险采取积极有</w:t>
      </w:r>
      <w:r>
        <w:rPr>
          <w:spacing w:val="-12"/>
        </w:rPr>
        <w:t>效的措施，在合理的时间内有效解决基金运作的流动性问题。如因基金巨额赎回或市场发生</w:t>
      </w:r>
      <w:r>
        <w:rPr>
          <w:spacing w:val="-11"/>
        </w:rPr>
        <w:t>剧烈变动等原因而导致基金现金周转困难时，基金管理人按照基金合同及托管协议的有关规定做出合理资金安排并承担相应责任，不得影响基金资产的清算交收，基金托管人不承担由</w:t>
      </w:r>
      <w:r>
        <w:rPr>
          <w:spacing w:val="-12"/>
        </w:rPr>
        <w:t>此产生的损失。对本基金因投资流通受限证券导致的流动性风险，基金托管人不承担任何责</w:t>
      </w:r>
      <w:r>
        <w:rPr>
          <w:spacing w:val="-11"/>
        </w:rPr>
        <w:t>任。如因基金管理人原因导致本基金出现损失致使基金托管人承担连带赔偿责任的，基金管</w:t>
      </w:r>
      <w:r>
        <w:rPr>
          <w:spacing w:val="-6"/>
        </w:rPr>
        <w:t>理人应赔偿基金托管人由此遭受的损失。</w:t>
      </w:r>
    </w:p>
    <w:p>
      <w:pPr>
        <w:pStyle w:val="BodyText"/>
        <w:spacing w:line="417" w:lineRule="auto"/>
        <w:ind w:left="540" w:right="311" w:firstLine="419"/>
        <w:jc w:val="both"/>
      </w:pPr>
      <w:r>
        <w:rPr>
          <w:rFonts w:ascii="Times New Roman" w:eastAsia="Times New Roman"/>
        </w:rPr>
        <w:t>3</w:t>
      </w:r>
      <w:r>
        <w:rPr>
          <w:spacing w:val="-3"/>
        </w:rPr>
        <w:t>、本基金投资非公开发行股票，基金管理人应至少于投资前三个工作日向基金托管人</w:t>
      </w:r>
      <w:r>
        <w:rPr>
          <w:spacing w:val="-9"/>
        </w:rPr>
        <w:t>提交有关书面资料，并保证向基金托管人提供的有关资料真实、准确、完整。有关资料如有</w:t>
      </w:r>
      <w:r>
        <w:rPr>
          <w:spacing w:val="-5"/>
        </w:rPr>
        <w:t>调整，基金管理人应及时提供调整后的资料。上述书面资料包括但不限于：</w:t>
      </w: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中国证监会批准发行非公开发行股票的批准文件。</w:t>
      </w:r>
    </w:p>
    <w:p>
      <w:pPr>
        <w:pStyle w:val="BodyText"/>
        <w:spacing w:before="6"/>
        <w:rPr>
          <w:sz w:val="15"/>
        </w:rPr>
      </w:pPr>
    </w:p>
    <w:p>
      <w:pPr>
        <w:pStyle w:val="ListParagraph"/>
        <w:numPr>
          <w:ilvl w:val="0"/>
          <w:numId w:val="51"/>
        </w:numPr>
        <w:tabs>
          <w:tab w:pos="1490" w:val="left" w:leader="none"/>
        </w:tabs>
        <w:spacing w:line="240" w:lineRule="auto" w:before="0" w:after="0"/>
        <w:ind w:left="1489" w:right="0" w:hanging="530"/>
        <w:jc w:val="left"/>
        <w:rPr>
          <w:sz w:val="21"/>
        </w:rPr>
      </w:pPr>
      <w:r>
        <w:rPr>
          <w:spacing w:val="-3"/>
          <w:sz w:val="21"/>
        </w:rPr>
        <w:t>非公开发行股票有关发行数量、发行价格、锁定期等发行资料。</w:t>
      </w:r>
    </w:p>
    <w:p>
      <w:pPr>
        <w:pStyle w:val="BodyText"/>
        <w:spacing w:before="6"/>
        <w:rPr>
          <w:sz w:val="15"/>
        </w:rPr>
      </w:pPr>
    </w:p>
    <w:p>
      <w:pPr>
        <w:pStyle w:val="ListParagraph"/>
        <w:numPr>
          <w:ilvl w:val="0"/>
          <w:numId w:val="51"/>
        </w:numPr>
        <w:tabs>
          <w:tab w:pos="1490" w:val="left" w:leader="none"/>
        </w:tabs>
        <w:spacing w:line="417" w:lineRule="auto" w:before="1" w:after="0"/>
        <w:ind w:left="540" w:right="314" w:firstLine="419"/>
        <w:jc w:val="left"/>
        <w:rPr>
          <w:sz w:val="21"/>
        </w:rPr>
      </w:pPr>
      <w:r>
        <w:rPr>
          <w:spacing w:val="-3"/>
          <w:sz w:val="21"/>
        </w:rPr>
        <w:t>非公开发行股票发行人与中国证券登记结算有限责任公司或中央国债登记结算有限责任公司签订的证券登记及服务协议。</w:t>
      </w:r>
    </w:p>
    <w:p>
      <w:pPr>
        <w:pStyle w:val="ListParagraph"/>
        <w:numPr>
          <w:ilvl w:val="0"/>
          <w:numId w:val="51"/>
        </w:numPr>
        <w:tabs>
          <w:tab w:pos="1490" w:val="left" w:leader="none"/>
        </w:tabs>
        <w:spacing w:line="269" w:lineRule="exact" w:before="0" w:after="0"/>
        <w:ind w:left="1489" w:right="0" w:hanging="530"/>
        <w:jc w:val="left"/>
        <w:rPr>
          <w:sz w:val="21"/>
        </w:rPr>
      </w:pPr>
      <w:r>
        <w:rPr>
          <w:spacing w:val="-3"/>
          <w:sz w:val="21"/>
        </w:rPr>
        <w:t>基金拟认购的数量、价格、总成本、账面价值。</w:t>
      </w:r>
    </w:p>
    <w:p>
      <w:pPr>
        <w:pStyle w:val="BodyText"/>
        <w:spacing w:before="6"/>
        <w:rPr>
          <w:sz w:val="15"/>
        </w:rPr>
      </w:pPr>
    </w:p>
    <w:p>
      <w:pPr>
        <w:pStyle w:val="BodyText"/>
        <w:spacing w:line="417" w:lineRule="auto"/>
        <w:ind w:left="540" w:right="311" w:firstLine="419"/>
        <w:jc w:val="both"/>
      </w:pPr>
      <w:r>
        <w:rPr>
          <w:rFonts w:ascii="Times New Roman" w:eastAsia="Times New Roman"/>
        </w:rPr>
        <w:t>4</w:t>
      </w:r>
      <w:r>
        <w:rPr>
          <w:spacing w:val="-3"/>
        </w:rPr>
        <w:t>、基金管理人应在本基金投资非公开发行股票后两个交易日内，在中国证监会指定媒</w:t>
      </w:r>
      <w:r>
        <w:rPr>
          <w:spacing w:val="-9"/>
        </w:rPr>
        <w:t>介披露所投资非公开发行股票的名称、数量、总成本、账面价值，以及总成本和账面价值占</w:t>
      </w:r>
      <w:r>
        <w:rPr>
          <w:spacing w:val="-5"/>
        </w:rPr>
        <w:t>基金资产净值的比例、锁定期等信息。</w:t>
      </w:r>
    </w:p>
    <w:p>
      <w:pPr>
        <w:pStyle w:val="BodyText"/>
        <w:spacing w:line="417" w:lineRule="auto"/>
        <w:ind w:left="540" w:right="311" w:firstLine="419"/>
      </w:pPr>
      <w:r>
        <w:rPr>
          <w:spacing w:val="-7"/>
        </w:rPr>
        <w:t>本基金有关投资流通受限证券比例如违反有关限制规定，在合理期限内未能进行及时调</w:t>
      </w:r>
      <w:r>
        <w:rPr>
          <w:spacing w:val="-5"/>
        </w:rPr>
        <w:t>整，基金管理人应在两个工作日内编制临时报告书，予以公告。</w:t>
      </w:r>
    </w:p>
    <w:p>
      <w:pPr>
        <w:pStyle w:val="BodyText"/>
        <w:spacing w:line="269" w:lineRule="exact"/>
        <w:ind w:left="960"/>
      </w:pPr>
      <w:r>
        <w:rPr>
          <w:rFonts w:ascii="Times New Roman" w:eastAsia="Times New Roman"/>
        </w:rPr>
        <w:t>5</w:t>
      </w:r>
      <w:r>
        <w:rPr/>
        <w:t>、基金托管人根据有关规定有权对基金管理人进行以下事项监督：</w:t>
      </w:r>
    </w:p>
    <w:p>
      <w:pPr>
        <w:pStyle w:val="BodyText"/>
        <w:spacing w:before="7"/>
        <w:rPr>
          <w:sz w:val="15"/>
        </w:rPr>
      </w:pP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本基金投资流通受限证券时的法律法规遵守情况。</w:t>
      </w:r>
    </w:p>
    <w:p>
      <w:pPr>
        <w:pStyle w:val="BodyText"/>
        <w:spacing w:before="7"/>
        <w:rPr>
          <w:sz w:val="15"/>
        </w:rPr>
      </w:pPr>
    </w:p>
    <w:p>
      <w:pPr>
        <w:pStyle w:val="ListParagraph"/>
        <w:numPr>
          <w:ilvl w:val="0"/>
          <w:numId w:val="52"/>
        </w:numPr>
        <w:tabs>
          <w:tab w:pos="1490" w:val="left" w:leader="none"/>
        </w:tabs>
        <w:spacing w:line="417" w:lineRule="auto" w:before="0" w:after="0"/>
        <w:ind w:left="540" w:right="314" w:firstLine="419"/>
        <w:jc w:val="left"/>
        <w:rPr>
          <w:sz w:val="21"/>
        </w:rPr>
      </w:pPr>
      <w:r>
        <w:rPr>
          <w:spacing w:val="-3"/>
          <w:sz w:val="21"/>
        </w:rPr>
        <w:t>在基金投资流通受限证券管理工作方面有关制度、流动性风险处置预案的建立与完善情况。</w:t>
      </w:r>
    </w:p>
    <w:p>
      <w:pPr>
        <w:pStyle w:val="ListParagraph"/>
        <w:numPr>
          <w:ilvl w:val="0"/>
          <w:numId w:val="52"/>
        </w:numPr>
        <w:tabs>
          <w:tab w:pos="1490" w:val="left" w:leader="none"/>
        </w:tabs>
        <w:spacing w:line="240" w:lineRule="auto" w:before="0" w:after="0"/>
        <w:ind w:left="1489" w:right="0" w:hanging="530"/>
        <w:jc w:val="left"/>
        <w:rPr>
          <w:sz w:val="21"/>
        </w:rPr>
      </w:pPr>
      <w:r>
        <w:rPr>
          <w:spacing w:val="-3"/>
          <w:sz w:val="21"/>
        </w:rPr>
        <w:t>有关比例限制的执行情况。</w:t>
      </w:r>
    </w:p>
    <w:p>
      <w:pPr>
        <w:spacing w:after="0" w:line="240" w:lineRule="auto"/>
        <w:jc w:val="left"/>
        <w:rPr>
          <w:sz w:val="21"/>
        </w:rPr>
        <w:sectPr>
          <w:pgSz w:w="11910" w:h="16840"/>
          <w:pgMar w:header="877" w:footer="995" w:top="1420" w:bottom="1180" w:left="1260" w:right="1480"/>
        </w:sectPr>
      </w:pPr>
    </w:p>
    <w:p>
      <w:pPr>
        <w:pStyle w:val="ListParagraph"/>
        <w:numPr>
          <w:ilvl w:val="0"/>
          <w:numId w:val="52"/>
        </w:numPr>
        <w:tabs>
          <w:tab w:pos="1490" w:val="left" w:leader="none"/>
        </w:tabs>
        <w:spacing w:line="240" w:lineRule="auto" w:before="110" w:after="0"/>
        <w:ind w:left="1489" w:right="0" w:hanging="530"/>
        <w:jc w:val="left"/>
        <w:rPr>
          <w:sz w:val="21"/>
        </w:rPr>
      </w:pPr>
      <w:r>
        <w:rPr>
          <w:spacing w:val="-3"/>
          <w:sz w:val="21"/>
        </w:rPr>
        <w:t>信息披露情况。</w:t>
      </w:r>
    </w:p>
    <w:p>
      <w:pPr>
        <w:pStyle w:val="BodyText"/>
        <w:spacing w:before="6"/>
        <w:rPr>
          <w:sz w:val="15"/>
        </w:rPr>
      </w:pPr>
    </w:p>
    <w:p>
      <w:pPr>
        <w:pStyle w:val="BodyText"/>
        <w:ind w:left="960"/>
      </w:pPr>
      <w:r>
        <w:rPr>
          <w:rFonts w:ascii="Times New Roman" w:eastAsia="Times New Roman"/>
        </w:rPr>
        <w:t>6</w:t>
      </w:r>
      <w:r>
        <w:rPr/>
        <w:t>、相关法律法规对基金投资流通受限证券有新规定的，从其规定。</w:t>
      </w:r>
    </w:p>
    <w:p>
      <w:pPr>
        <w:pStyle w:val="BodyText"/>
        <w:spacing w:before="7"/>
        <w:rPr>
          <w:sz w:val="15"/>
        </w:rPr>
      </w:pPr>
    </w:p>
    <w:p>
      <w:pPr>
        <w:pStyle w:val="BodyText"/>
        <w:spacing w:line="417" w:lineRule="auto"/>
        <w:ind w:left="540" w:right="311" w:firstLine="419"/>
        <w:jc w:val="both"/>
      </w:pPr>
      <w:r>
        <w:rPr/>
        <w:t>（</w:t>
      </w:r>
      <w:r>
        <w:rPr>
          <w:spacing w:val="-3"/>
        </w:rPr>
        <w:t>六</w:t>
      </w:r>
      <w:r>
        <w:rPr>
          <w:spacing w:val="-32"/>
        </w:rPr>
        <w:t>）</w:t>
      </w:r>
      <w:r>
        <w:rPr>
          <w:spacing w:val="-7"/>
        </w:rPr>
        <w:t>基金投资中小企业私募债券，基金管理人应根据审慎原则，制定严格的投资决策</w:t>
      </w:r>
      <w:r>
        <w:rPr>
          <w:spacing w:val="-21"/>
        </w:rPr>
        <w:t>流程、风险控制制度和信用风险、流动性风险处置预案，并经董事会批准，以防范信用风险、</w:t>
      </w:r>
      <w:r>
        <w:rPr>
          <w:spacing w:val="-8"/>
        </w:rPr>
        <w:t>流动性风险等各种风险。</w:t>
      </w:r>
    </w:p>
    <w:p>
      <w:pPr>
        <w:pStyle w:val="BodyText"/>
        <w:spacing w:line="417" w:lineRule="auto"/>
        <w:ind w:left="540" w:right="311" w:firstLine="419"/>
        <w:jc w:val="both"/>
      </w:pPr>
      <w:r>
        <w:rPr>
          <w:spacing w:val="-6"/>
        </w:rPr>
        <w:t>基金托管人对基金投资中小企业私募债券是否符合比例限制进行事后监督，如发现异常</w:t>
      </w:r>
      <w:r>
        <w:rPr>
          <w:spacing w:val="-12"/>
        </w:rPr>
        <w:t>情况，应及时以书面形式通知基金管理人。基金管理人应积极配合和协助基金托管人的监督</w:t>
      </w:r>
      <w:r>
        <w:rPr>
          <w:spacing w:val="-11"/>
        </w:rPr>
        <w:t>和核查。基金因投资中小企业私募债券导致的信用风险、流动性风险，基金托管人不承担任</w:t>
      </w:r>
      <w:r>
        <w:rPr>
          <w:spacing w:val="-12"/>
        </w:rPr>
        <w:t>何责任。如因基金管理人原因导致基金出现损失致使基金托管人承担连带赔偿责任的，基金</w:t>
      </w:r>
      <w:r>
        <w:rPr>
          <w:spacing w:val="-6"/>
        </w:rPr>
        <w:t>管理人应赔偿基金托管人由此遭受的损失。</w:t>
      </w:r>
    </w:p>
    <w:p>
      <w:pPr>
        <w:pStyle w:val="BodyText"/>
        <w:spacing w:line="417" w:lineRule="auto"/>
        <w:ind w:left="540" w:right="311" w:firstLine="419"/>
        <w:jc w:val="both"/>
      </w:pPr>
      <w:r>
        <w:rPr/>
        <w:t>（七</w:t>
      </w:r>
      <w:r>
        <w:rPr>
          <w:spacing w:val="-27"/>
        </w:rPr>
        <w:t>）</w:t>
      </w:r>
      <w:r>
        <w:rPr>
          <w:spacing w:val="-7"/>
        </w:rPr>
        <w:t>基金托管人根据有关法律法规的规定及《基金合同》的约定，对基金资产净值计</w:t>
      </w:r>
      <w:r>
        <w:rPr>
          <w:spacing w:val="-12"/>
        </w:rPr>
        <w:t>算、基金份额净值计算、应收资金到账、基金费用开支及收入确定、基金收益分配、相关信</w:t>
      </w:r>
      <w:r>
        <w:rPr>
          <w:spacing w:val="-6"/>
        </w:rPr>
        <w:t>息披露、基金宣传推介材料中登载基金业绩表现数据等进行监督和核查。</w:t>
      </w:r>
    </w:p>
    <w:p>
      <w:pPr>
        <w:pStyle w:val="BodyText"/>
        <w:spacing w:line="269" w:lineRule="exact"/>
        <w:ind w:left="960"/>
      </w:pPr>
      <w:r>
        <w:rPr/>
        <w:t>（</w:t>
      </w:r>
      <w:r>
        <w:rPr>
          <w:spacing w:val="-3"/>
        </w:rPr>
        <w:t>八</w:t>
      </w:r>
      <w:r>
        <w:rPr>
          <w:spacing w:val="-94"/>
        </w:rPr>
        <w:t>）</w:t>
      </w:r>
      <w:r>
        <w:rPr>
          <w:spacing w:val="-3"/>
        </w:rPr>
        <w:t>基金托管人发现基金管理人的上述事项及投资指令或实际投资运作违反法律法规、</w:t>
      </w:r>
    </w:p>
    <w:p>
      <w:pPr>
        <w:pStyle w:val="BodyText"/>
        <w:spacing w:before="6"/>
        <w:rPr>
          <w:sz w:val="15"/>
        </w:rPr>
      </w:pPr>
    </w:p>
    <w:p>
      <w:pPr>
        <w:pStyle w:val="BodyText"/>
        <w:spacing w:line="417" w:lineRule="auto" w:before="1"/>
        <w:ind w:left="540" w:right="311"/>
        <w:jc w:val="both"/>
      </w:pPr>
      <w:r>
        <w:rPr>
          <w:spacing w:val="-11"/>
        </w:rPr>
        <w:t>《基金合同》和本托管协议的规定，应及时以电话提醒或书面提示等方式通知基金管理人限</w:t>
      </w:r>
      <w:r>
        <w:rPr>
          <w:spacing w:val="-12"/>
        </w:rPr>
        <w:t>期纠正。基金管理人应积极配合和协助基金托管人的监督和核查。基金管理人收到书面通知</w:t>
      </w:r>
      <w:r>
        <w:rPr>
          <w:spacing w:val="-10"/>
        </w:rPr>
        <w:t>后应在下一工作日前及时核对并以书面形式给基金托管人发出回函，就基金托管人的疑义进</w:t>
      </w:r>
      <w:r>
        <w:rPr>
          <w:spacing w:val="-12"/>
        </w:rPr>
        <w:t>行解释或举证，说明违规原因及纠正期限，并保证在规定期限内及时改正。在上述规定期限</w:t>
      </w:r>
      <w:r>
        <w:rPr>
          <w:spacing w:val="-11"/>
        </w:rPr>
        <w:t>内，基金托管人有权随时对通知事项进行复查，督促基金管理人改正。基金管理人对基金托</w:t>
      </w:r>
      <w:r>
        <w:rPr>
          <w:spacing w:val="-6"/>
        </w:rPr>
        <w:t>管人通知的违规事项未能在限期内纠正的，基金托管人应报告中国证监会。</w:t>
      </w:r>
    </w:p>
    <w:p>
      <w:pPr>
        <w:pStyle w:val="BodyText"/>
        <w:spacing w:line="417" w:lineRule="auto"/>
        <w:ind w:left="540" w:right="311" w:firstLine="419"/>
        <w:jc w:val="both"/>
      </w:pPr>
      <w:r>
        <w:rPr/>
        <w:t>（九）</w:t>
      </w:r>
      <w:r>
        <w:rPr>
          <w:spacing w:val="-8"/>
        </w:rPr>
        <w:t>基金管理人有义务配合和协助基金托管人依照法律法规、《基金合同》和本托管</w:t>
      </w:r>
      <w:r>
        <w:rPr>
          <w:spacing w:val="-11"/>
        </w:rPr>
        <w:t>协议对基金业务执行核查。对基金托管人发出的书面提示，基金管理人应在规定时间内答复</w:t>
      </w:r>
      <w:r>
        <w:rPr>
          <w:spacing w:val="-15"/>
        </w:rPr>
        <w:t>并改正，或就基金托管人的疑义进行解释或举证；对基金托管人按照法律法规</w:t>
      </w:r>
      <w:r>
        <w:rPr>
          <w:spacing w:val="-27"/>
        </w:rPr>
        <w:t>、《基金合同》</w:t>
      </w:r>
      <w:r>
        <w:rPr>
          <w:spacing w:val="-13"/>
        </w:rPr>
        <w:t>和本托管协议的要求需向中国证监会报送基金监督报告的事项，基金管理人应积极配合提供</w:t>
      </w:r>
      <w:r>
        <w:rPr>
          <w:spacing w:val="-6"/>
        </w:rPr>
        <w:t>相关数据资料和制度等。</w:t>
      </w:r>
    </w:p>
    <w:p>
      <w:pPr>
        <w:pStyle w:val="BodyText"/>
        <w:spacing w:line="417" w:lineRule="auto"/>
        <w:ind w:left="540" w:right="311" w:firstLine="419"/>
        <w:jc w:val="both"/>
      </w:pPr>
      <w:r>
        <w:rPr/>
        <w:t>（十</w:t>
      </w:r>
      <w:r>
        <w:rPr>
          <w:spacing w:val="-51"/>
        </w:rPr>
        <w:t>）</w:t>
      </w:r>
      <w:r>
        <w:rPr>
          <w:spacing w:val="-5"/>
        </w:rPr>
        <w:t>若基金托管人发现基金管理人依据交易程序已经生效的指令违反法律、行政法规</w:t>
      </w:r>
      <w:r>
        <w:rPr>
          <w:spacing w:val="-11"/>
        </w:rPr>
        <w:t>和其他有关规定，或者违反《基金合同》约定的，应当立即通知基金管理人，由此造成的损</w:t>
      </w:r>
      <w:r>
        <w:rPr>
          <w:spacing w:val="-6"/>
        </w:rPr>
        <w:t>失由基金管理人承担。</w:t>
      </w:r>
    </w:p>
    <w:p>
      <w:pPr>
        <w:pStyle w:val="BodyText"/>
        <w:spacing w:line="417" w:lineRule="auto"/>
        <w:ind w:left="540" w:right="311" w:firstLine="419"/>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8"/>
        </w:rPr>
        <w:t>挠对方根据本托管协议规定行使监督权，或采取拖延、欺诈等手段妨碍基金托管人进行有效</w:t>
      </w:r>
      <w:r>
        <w:rPr>
          <w:spacing w:val="-5"/>
        </w:rPr>
        <w:t>监督，情节严重或经基金托管人提出警告仍不改正的，基金托管人应报告中国证监会。</w:t>
      </w:r>
    </w:p>
    <w:p>
      <w:pPr>
        <w:spacing w:line="269" w:lineRule="exact" w:before="0"/>
        <w:ind w:left="3008" w:right="0" w:firstLine="0"/>
        <w:jc w:val="left"/>
        <w:rPr>
          <w:b/>
          <w:sz w:val="21"/>
        </w:rPr>
      </w:pPr>
      <w:r>
        <w:rPr>
          <w:b/>
          <w:sz w:val="21"/>
        </w:rPr>
        <w:t>三、基金管理人对基金托管人的业务核查</w:t>
      </w:r>
    </w:p>
    <w:p>
      <w:pPr>
        <w:pStyle w:val="BodyText"/>
        <w:spacing w:before="6"/>
        <w:rPr>
          <w:b/>
          <w:sz w:val="15"/>
        </w:rPr>
      </w:pPr>
    </w:p>
    <w:p>
      <w:pPr>
        <w:pStyle w:val="BodyText"/>
        <w:spacing w:line="417" w:lineRule="auto"/>
        <w:ind w:left="540" w:right="311" w:firstLine="479"/>
        <w:jc w:val="both"/>
      </w:pPr>
      <w:r>
        <w:rPr/>
        <w:t>（一）</w:t>
      </w:r>
      <w:r>
        <w:rPr>
          <w:spacing w:val="-1"/>
        </w:rPr>
        <w:t>基金管理人对基金托管人履行托管职责情况进行核查，核查事项包括基金托管</w:t>
      </w:r>
      <w:r>
        <w:rPr>
          <w:spacing w:val="-10"/>
        </w:rPr>
        <w:t>人安全保管基金财产、开设基金财产的资金账户和证券账户、复核基金管理人计算的基金资</w:t>
      </w:r>
      <w:r>
        <w:rPr>
          <w:spacing w:val="-12"/>
        </w:rPr>
        <w:t>产净值和基金份额净值、根据基金管理人指令办理清算交收、相关信息披露和监督基金投资</w:t>
      </w:r>
      <w:r>
        <w:rPr>
          <w:spacing w:val="-6"/>
        </w:rPr>
        <w:t>运作等行为。</w:t>
      </w:r>
    </w:p>
    <w:p>
      <w:pPr>
        <w:pStyle w:val="BodyText"/>
        <w:spacing w:line="417" w:lineRule="auto"/>
        <w:ind w:left="540" w:right="102" w:firstLine="479"/>
      </w:pPr>
      <w:r>
        <w:rPr/>
        <w:t>（二）基金管理人发现基金托管人擅自挪用基金财产、未对基金财产实行分账管理、 </w:t>
      </w:r>
      <w:r>
        <w:rPr>
          <w:spacing w:val="-9"/>
        </w:rPr>
        <w:t>未执行或无故延迟执行基金管理人资金划拨指令、泄露基金投资信息等违反《基金法》</w:t>
      </w:r>
      <w:r>
        <w:rPr>
          <w:spacing w:val="-47"/>
        </w:rPr>
        <w:t>、《基 </w:t>
      </w:r>
      <w:r>
        <w:rPr>
          <w:spacing w:val="-19"/>
        </w:rPr>
        <w:t>金合同》、本协议及其他有关规定时，应及时以书面形式通知基金托管人限期纠正。基金托 </w:t>
      </w:r>
      <w:r>
        <w:rPr>
          <w:spacing w:val="-11"/>
        </w:rPr>
        <w:t>管人收到通知后应及时核对并以书面形式给基金管理人发出回函，说明违规原因及纠正期限， </w:t>
      </w:r>
      <w:r>
        <w:rPr>
          <w:spacing w:val="-12"/>
        </w:rPr>
        <w:t>并保证在规定期限内及时改正。在上述规定期限内，基金管理人有权随时对通知事项进行复 </w:t>
      </w:r>
      <w:r>
        <w:rPr>
          <w:spacing w:val="-6"/>
        </w:rPr>
        <w:t>查，督促基金托管人改正。基金托管人应积极配合基金管理人的核查行为，包括但不限于： </w:t>
      </w:r>
      <w:r>
        <w:rPr>
          <w:spacing w:val="-8"/>
        </w:rPr>
        <w:t>提交相关资料以供基金管理人核查托管财产的完整性和真实性，在规定时间内答复基金管理 </w:t>
      </w:r>
      <w:r>
        <w:rPr>
          <w:spacing w:val="-5"/>
        </w:rPr>
        <w:t>人并改正。</w:t>
      </w:r>
    </w:p>
    <w:p>
      <w:pPr>
        <w:pStyle w:val="BodyText"/>
        <w:spacing w:line="417" w:lineRule="auto"/>
        <w:ind w:left="540" w:right="311" w:firstLine="419"/>
        <w:jc w:val="both"/>
      </w:pPr>
      <w:r>
        <w:rPr/>
        <w:t>（</w:t>
      </w:r>
      <w:r>
        <w:rPr>
          <w:spacing w:val="-3"/>
        </w:rPr>
        <w:t>三</w:t>
      </w:r>
      <w:r>
        <w:rPr>
          <w:spacing w:val="-32"/>
        </w:rPr>
        <w:t>）</w:t>
      </w:r>
      <w:r>
        <w:rPr>
          <w:spacing w:val="-6"/>
        </w:rPr>
        <w:t>基金管理人发现基金托管人有重大违规行为，应及时报告中国证监会，同时通知</w:t>
      </w:r>
      <w:r>
        <w:rPr>
          <w:spacing w:val="-10"/>
        </w:rPr>
        <w:t>基金托管人限期纠正，并将纠正结果报告中国证监会。基金托管人无正当理由，拒绝、阻挠基金管理人根据本协议规定行使监督权，或采取拖延、欺诈等手段妨碍基金管理人进行有效</w:t>
      </w:r>
      <w:r>
        <w:rPr>
          <w:spacing w:val="-5"/>
        </w:rPr>
        <w:t>监督，情节严重或经基金管理人提出警告仍不改正的，基金管理人应报告中国证监会。</w:t>
      </w:r>
    </w:p>
    <w:p>
      <w:pPr>
        <w:spacing w:line="268" w:lineRule="exact" w:before="0"/>
        <w:ind w:left="646" w:right="0" w:firstLine="0"/>
        <w:jc w:val="center"/>
        <w:rPr>
          <w:b/>
          <w:sz w:val="21"/>
        </w:rPr>
      </w:pPr>
      <w:r>
        <w:rPr>
          <w:b/>
          <w:sz w:val="21"/>
        </w:rPr>
        <w:t>四、基金财产的保管</w:t>
      </w:r>
    </w:p>
    <w:p>
      <w:pPr>
        <w:pStyle w:val="BodyText"/>
        <w:spacing w:before="6"/>
        <w:rPr>
          <w:b/>
          <w:sz w:val="15"/>
        </w:rPr>
      </w:pPr>
    </w:p>
    <w:p>
      <w:pPr>
        <w:pStyle w:val="BodyText"/>
        <w:ind w:left="1020"/>
      </w:pPr>
      <w:r>
        <w:rPr/>
        <w:t>（一）基金财产保管的原则</w:t>
      </w:r>
    </w:p>
    <w:p>
      <w:pPr>
        <w:pStyle w:val="BodyText"/>
        <w:spacing w:before="7"/>
        <w:rPr>
          <w:sz w:val="15"/>
        </w:rPr>
      </w:pPr>
    </w:p>
    <w:p>
      <w:pPr>
        <w:pStyle w:val="BodyText"/>
        <w:spacing w:before="1"/>
        <w:ind w:left="1020"/>
      </w:pPr>
      <w:r>
        <w:rPr>
          <w:rFonts w:ascii="Times New Roman" w:eastAsia="Times New Roman"/>
        </w:rPr>
        <w:t>1</w:t>
      </w:r>
      <w:r>
        <w:rPr/>
        <w:t>、基金财产应独立于基金管理人、基金托管人的固有财产。</w:t>
      </w:r>
    </w:p>
    <w:p>
      <w:pPr>
        <w:pStyle w:val="BodyText"/>
        <w:spacing w:before="6"/>
        <w:rPr>
          <w:sz w:val="15"/>
        </w:rPr>
      </w:pPr>
    </w:p>
    <w:p>
      <w:pPr>
        <w:pStyle w:val="BodyText"/>
        <w:ind w:left="1020"/>
      </w:pPr>
      <w:r>
        <w:rPr>
          <w:rFonts w:ascii="Times New Roman" w:eastAsia="Times New Roman"/>
        </w:rPr>
        <w:t>2</w:t>
      </w:r>
      <w:r>
        <w:rPr/>
        <w:t>、基金托管人应安全保管基金财产。</w:t>
      </w:r>
    </w:p>
    <w:p>
      <w:pPr>
        <w:pStyle w:val="BodyText"/>
        <w:spacing w:before="7"/>
        <w:rPr>
          <w:sz w:val="15"/>
        </w:rPr>
      </w:pPr>
    </w:p>
    <w:p>
      <w:pPr>
        <w:pStyle w:val="BodyText"/>
        <w:ind w:left="1020"/>
      </w:pPr>
      <w:r>
        <w:rPr>
          <w:rFonts w:ascii="Times New Roman" w:eastAsia="Times New Roman"/>
        </w:rPr>
        <w:t>3</w:t>
      </w:r>
      <w:r>
        <w:rPr/>
        <w:t>、基金托管人按照规定开设基金财产的资金账户和证券账户。</w:t>
      </w:r>
    </w:p>
    <w:p>
      <w:pPr>
        <w:pStyle w:val="BodyText"/>
        <w:spacing w:before="7"/>
        <w:rPr>
          <w:sz w:val="15"/>
        </w:rPr>
      </w:pPr>
    </w:p>
    <w:p>
      <w:pPr>
        <w:pStyle w:val="BodyText"/>
        <w:ind w:left="1020"/>
      </w:pPr>
      <w:r>
        <w:rPr>
          <w:rFonts w:ascii="Times New Roman" w:eastAsia="Times New Roman"/>
        </w:rPr>
        <w:t>4</w:t>
      </w:r>
      <w:r>
        <w:rPr/>
        <w:t>、基金托管人对所托管的不同基金财产分别设置账户，确保基金财产的完整与独立。</w:t>
      </w:r>
    </w:p>
    <w:p>
      <w:pPr>
        <w:pStyle w:val="BodyText"/>
        <w:spacing w:before="6"/>
        <w:rPr>
          <w:sz w:val="15"/>
        </w:rPr>
      </w:pPr>
    </w:p>
    <w:p>
      <w:pPr>
        <w:pStyle w:val="BodyText"/>
        <w:spacing w:line="417" w:lineRule="auto" w:before="1"/>
        <w:ind w:left="540" w:right="102" w:firstLine="479"/>
      </w:pPr>
      <w:r>
        <w:rPr>
          <w:rFonts w:ascii="Times New Roman" w:eastAsia="Times New Roman"/>
        </w:rPr>
        <w:t>5</w:t>
      </w:r>
      <w:r>
        <w:rPr>
          <w:spacing w:val="-9"/>
        </w:rPr>
        <w:t>、基金托管人按照《基金合同》和本协议的约定保管基金财产，如有特殊情况双方可 </w:t>
      </w:r>
      <w:r>
        <w:rPr>
          <w:spacing w:val="-11"/>
        </w:rPr>
        <w:t>另行协商解决。基金托管人未经基金管理人的指令，不得自行运用、处分、分配本基金的任 </w:t>
      </w:r>
      <w:r>
        <w:rPr>
          <w:spacing w:val="-40"/>
        </w:rPr>
        <w:t>何资产</w:t>
      </w:r>
      <w:r>
        <w:rPr>
          <w:spacing w:val="-3"/>
        </w:rPr>
        <w:t>（不包含基金托管人依据中国证券登记结算有限责任公司结算数据完成场内交易交收、开户银行或登记结算机构扣收结算费和账户维护费等费用</w:t>
      </w:r>
      <w:r>
        <w:rPr>
          <w:spacing w:val="-106"/>
        </w:rPr>
        <w:t>）</w:t>
      </w:r>
      <w:r>
        <w:rPr/>
        <w:t>。</w:t>
      </w:r>
    </w:p>
    <w:p>
      <w:pPr>
        <w:pStyle w:val="BodyText"/>
        <w:spacing w:line="269" w:lineRule="exact"/>
        <w:ind w:left="1020"/>
      </w:pPr>
      <w:r>
        <w:rPr>
          <w:rFonts w:ascii="Times New Roman" w:eastAsia="Times New Roman"/>
        </w:rPr>
        <w:t>6</w:t>
      </w:r>
      <w:r>
        <w:rPr/>
        <w:t>、对于因为基金投资产生的应收资产，应由基金管理人负责与有关当事人确定到账日</w:t>
      </w:r>
    </w:p>
    <w:p>
      <w:pPr>
        <w:spacing w:after="0" w:line="269" w:lineRule="exact"/>
        <w:sectPr>
          <w:pgSz w:w="11910" w:h="16840"/>
          <w:pgMar w:header="877" w:footer="995" w:top="1420" w:bottom="1180" w:left="1260" w:right="1480"/>
        </w:sectPr>
      </w:pPr>
    </w:p>
    <w:p>
      <w:pPr>
        <w:pStyle w:val="BodyText"/>
        <w:spacing w:line="417" w:lineRule="auto" w:before="110"/>
        <w:ind w:left="540" w:right="311"/>
        <w:jc w:val="both"/>
      </w:pPr>
      <w:r>
        <w:rPr>
          <w:spacing w:val="-10"/>
        </w:rPr>
        <w:t>期并通知基金托管人，到账日基金财产没有到达基金账户的，基金托管人应及时通知基金管</w:t>
      </w:r>
      <w:r>
        <w:rPr>
          <w:spacing w:val="-12"/>
        </w:rPr>
        <w:t>理人采取措施进行催收。由此给基金财产造成损失的，基金管理人应负责向有关当事人追偿</w:t>
      </w:r>
      <w:r>
        <w:rPr>
          <w:spacing w:val="-6"/>
        </w:rPr>
        <w:t>基金财产的损失，基金托管人对此不承担任何责任。</w:t>
      </w:r>
    </w:p>
    <w:p>
      <w:pPr>
        <w:pStyle w:val="BodyText"/>
        <w:spacing w:line="417" w:lineRule="auto"/>
        <w:ind w:left="540" w:right="313" w:firstLine="419"/>
      </w:pPr>
      <w:r>
        <w:rPr>
          <w:rFonts w:ascii="Times New Roman" w:eastAsia="Times New Roman"/>
        </w:rPr>
        <w:t>7</w:t>
      </w:r>
      <w:r>
        <w:rPr/>
        <w:t>、除依据法律法规和《基金合同》的规定外，基金托管人不得委托第三人托管基金财产。</w:t>
      </w:r>
    </w:p>
    <w:p>
      <w:pPr>
        <w:spacing w:line="269" w:lineRule="exact" w:before="0"/>
        <w:ind w:left="3428" w:right="0" w:firstLine="0"/>
        <w:jc w:val="left"/>
        <w:rPr>
          <w:b/>
          <w:sz w:val="21"/>
        </w:rPr>
      </w:pPr>
      <w:r>
        <w:rPr>
          <w:b/>
          <w:sz w:val="21"/>
        </w:rPr>
        <w:t>五、基金资产净值的计算和复核</w:t>
      </w:r>
    </w:p>
    <w:p>
      <w:pPr>
        <w:pStyle w:val="BodyText"/>
        <w:spacing w:before="6"/>
        <w:rPr>
          <w:b/>
          <w:sz w:val="15"/>
        </w:rPr>
      </w:pPr>
    </w:p>
    <w:p>
      <w:pPr>
        <w:pStyle w:val="BodyText"/>
        <w:ind w:left="960"/>
      </w:pPr>
      <w:r>
        <w:rPr/>
        <w:t>（一）基金资产净值的计算、复核与完成的时间及程序</w:t>
      </w:r>
    </w:p>
    <w:p>
      <w:pPr>
        <w:pStyle w:val="BodyText"/>
        <w:spacing w:before="7"/>
        <w:rPr>
          <w:sz w:val="15"/>
        </w:rPr>
      </w:pPr>
    </w:p>
    <w:p>
      <w:pPr>
        <w:pStyle w:val="BodyText"/>
        <w:spacing w:line="417" w:lineRule="auto"/>
        <w:ind w:left="540" w:right="313" w:firstLine="419"/>
        <w:jc w:val="both"/>
      </w:pPr>
      <w:r>
        <w:rPr>
          <w:rFonts w:ascii="Times New Roman" w:eastAsia="Times New Roman"/>
        </w:rPr>
        <w:t>1</w:t>
      </w:r>
      <w:r>
        <w:rPr>
          <w:spacing w:val="-3"/>
        </w:rPr>
        <w:t>、基金资产净值是指基金资产总值减去负债后的金额。基金份额净值是按照每个交易</w:t>
      </w:r>
      <w:r>
        <w:rPr>
          <w:spacing w:val="-7"/>
        </w:rPr>
        <w:t>日闭市后，基金资产净值除以当日基金份额的余额数量计算，精确到 </w:t>
      </w:r>
      <w:r>
        <w:rPr>
          <w:rFonts w:ascii="Times New Roman" w:eastAsia="Times New Roman"/>
        </w:rPr>
        <w:t>0.001 </w:t>
      </w:r>
      <w:r>
        <w:rPr>
          <w:spacing w:val="-5"/>
        </w:rPr>
        <w:t>元，小数点后第</w:t>
      </w:r>
      <w:r>
        <w:rPr>
          <w:spacing w:val="-4"/>
        </w:rPr>
        <w:t>四位四舍五入。国家另有规定的，从其规定。</w:t>
      </w:r>
    </w:p>
    <w:p>
      <w:pPr>
        <w:pStyle w:val="BodyText"/>
        <w:spacing w:line="269" w:lineRule="exact"/>
        <w:ind w:left="960"/>
      </w:pPr>
      <w:r>
        <w:rPr/>
        <w:t>每个交易日计算基金资产净值及基金份额净值，并按规定公告。</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16"/>
        </w:rPr>
        <w:t>、基金管理人应每交易日对基金资产估值。但基金管理人根据法律法规或《基金合同》</w:t>
      </w:r>
      <w:r>
        <w:rPr>
          <w:spacing w:val="-13"/>
        </w:rPr>
        <w:t>的规定暂停估值时除外。基金管理人每个交易日对基金资产估值后，将基金份额净值结果发</w:t>
      </w:r>
      <w:r>
        <w:rPr>
          <w:spacing w:val="-6"/>
        </w:rPr>
        <w:t>送基金托管人，经基金托管人复核无误后，由基金管理人按规定对外公布。</w:t>
      </w:r>
    </w:p>
    <w:p>
      <w:pPr>
        <w:spacing w:before="0"/>
        <w:ind w:left="3113" w:right="0" w:firstLine="0"/>
        <w:jc w:val="left"/>
        <w:rPr>
          <w:b/>
          <w:sz w:val="21"/>
        </w:rPr>
      </w:pPr>
      <w:r>
        <w:rPr>
          <w:b/>
          <w:sz w:val="21"/>
        </w:rPr>
        <w:t>六、基金份额持有人名册的登记与保管</w:t>
      </w:r>
    </w:p>
    <w:p>
      <w:pPr>
        <w:pStyle w:val="BodyText"/>
        <w:spacing w:before="6"/>
        <w:rPr>
          <w:b/>
          <w:sz w:val="15"/>
        </w:rPr>
      </w:pPr>
    </w:p>
    <w:p>
      <w:pPr>
        <w:pStyle w:val="BodyText"/>
        <w:spacing w:line="417" w:lineRule="auto" w:before="1"/>
        <w:ind w:left="540" w:right="311" w:firstLine="419"/>
        <w:jc w:val="both"/>
      </w:pPr>
      <w:r>
        <w:rPr>
          <w:spacing w:val="-6"/>
        </w:rPr>
        <w:t>基金份额持有人名册至少应包括基金份额持有人的名称和持有的基金份额。基金份额持</w:t>
      </w:r>
      <w:r>
        <w:rPr>
          <w:spacing w:val="-8"/>
        </w:rPr>
        <w:t>有人名册由基金登记机构根据基金管理人的指令编制和保管，基金管理人和基金托管人应分</w:t>
      </w:r>
      <w:r>
        <w:rPr>
          <w:spacing w:val="-7"/>
        </w:rPr>
        <w:t>别保管基金份额持有人名册，保存期不少于 </w:t>
      </w:r>
      <w:r>
        <w:rPr>
          <w:rFonts w:ascii="Times New Roman" w:eastAsia="Times New Roman"/>
        </w:rPr>
        <w:t>15 </w:t>
      </w:r>
      <w:r>
        <w:rPr>
          <w:spacing w:val="-3"/>
        </w:rPr>
        <w:t>年。如不能妥善保管，则按相关法规承担责任。</w:t>
      </w:r>
    </w:p>
    <w:p>
      <w:pPr>
        <w:pStyle w:val="BodyText"/>
        <w:spacing w:line="417" w:lineRule="auto"/>
        <w:ind w:left="540" w:right="311" w:firstLine="419"/>
      </w:pPr>
      <w:r>
        <w:rPr>
          <w:spacing w:val="-6"/>
        </w:rPr>
        <w:t>基金托管人不得将所保管的基金份额持有人名册用于基金托管业务以外的其他用途，并</w:t>
      </w:r>
      <w:r>
        <w:rPr>
          <w:spacing w:val="-4"/>
        </w:rPr>
        <w:t>应遵守保密义务。</w:t>
      </w:r>
    </w:p>
    <w:p>
      <w:pPr>
        <w:spacing w:before="0"/>
        <w:ind w:left="4061" w:right="0" w:firstLine="0"/>
        <w:jc w:val="left"/>
        <w:rPr>
          <w:b/>
          <w:sz w:val="21"/>
        </w:rPr>
      </w:pPr>
      <w:r>
        <w:rPr>
          <w:b/>
          <w:sz w:val="21"/>
        </w:rPr>
        <w:t>七、争议解决方式</w:t>
      </w:r>
    </w:p>
    <w:p>
      <w:pPr>
        <w:pStyle w:val="BodyText"/>
        <w:spacing w:before="6"/>
        <w:rPr>
          <w:b/>
          <w:sz w:val="15"/>
        </w:rPr>
      </w:pPr>
    </w:p>
    <w:p>
      <w:pPr>
        <w:pStyle w:val="BodyText"/>
        <w:spacing w:line="417" w:lineRule="auto"/>
        <w:ind w:left="540" w:right="311" w:firstLine="419"/>
        <w:jc w:val="both"/>
      </w:pPr>
      <w:r>
        <w:rPr>
          <w:spacing w:val="-8"/>
        </w:rPr>
        <w:t>因本协议产生或与之相关的争议，双方当事人应通过协商、调解解决，协商、调解不能</w:t>
      </w:r>
      <w:r>
        <w:rPr>
          <w:spacing w:val="-11"/>
        </w:rPr>
        <w:t>解决的，任何一方均有权将争议提交中国国际经济贸易仲裁委员会，仲裁地点为北京市，按</w:t>
      </w:r>
      <w:r>
        <w:rPr>
          <w:spacing w:val="-10"/>
        </w:rPr>
        <w:t>照中国国际经济贸易仲裁委员会届时有效的仲裁规则进行仲裁。仲裁裁决是终局的，对当事</w:t>
      </w:r>
      <w:r>
        <w:rPr>
          <w:spacing w:val="-5"/>
        </w:rPr>
        <w:t>人均有约束力，仲裁费用由败诉方承担。</w:t>
      </w:r>
    </w:p>
    <w:p>
      <w:pPr>
        <w:pStyle w:val="BodyText"/>
        <w:spacing w:line="417" w:lineRule="auto"/>
        <w:ind w:left="540" w:right="31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ind w:left="960"/>
      </w:pPr>
      <w:r>
        <w:rPr/>
        <w:t>本协议受中国法律管辖。</w:t>
      </w:r>
    </w:p>
    <w:p>
      <w:pPr>
        <w:spacing w:after="0"/>
        <w:sectPr>
          <w:pgSz w:w="11910" w:h="16840"/>
          <w:pgMar w:header="877" w:footer="995" w:top="1420" w:bottom="1180" w:left="1260" w:right="1480"/>
        </w:sectPr>
      </w:pPr>
    </w:p>
    <w:p>
      <w:pPr>
        <w:spacing w:before="110"/>
        <w:ind w:left="3639" w:right="0" w:firstLine="0"/>
        <w:jc w:val="left"/>
        <w:rPr>
          <w:b/>
          <w:sz w:val="21"/>
        </w:rPr>
      </w:pPr>
      <w:r>
        <w:rPr>
          <w:b/>
          <w:sz w:val="21"/>
        </w:rPr>
        <w:t>八、托管协议的修改与终止</w:t>
      </w:r>
    </w:p>
    <w:p>
      <w:pPr>
        <w:pStyle w:val="BodyText"/>
        <w:spacing w:before="12"/>
        <w:rPr>
          <w:b/>
          <w:sz w:val="9"/>
        </w:rPr>
      </w:pPr>
    </w:p>
    <w:p>
      <w:pPr>
        <w:pStyle w:val="BodyText"/>
        <w:spacing w:before="71"/>
        <w:ind w:left="960"/>
      </w:pPr>
      <w:r>
        <w:rPr/>
        <w:t>（一）托管协议的变更程序</w:t>
      </w:r>
    </w:p>
    <w:p>
      <w:pPr>
        <w:pStyle w:val="BodyText"/>
        <w:spacing w:before="7"/>
        <w:rPr>
          <w:sz w:val="15"/>
        </w:rPr>
      </w:pPr>
    </w:p>
    <w:p>
      <w:pPr>
        <w:pStyle w:val="BodyText"/>
        <w:ind w:left="960"/>
      </w:pPr>
      <w:r>
        <w:rPr/>
        <w:t>本协议双方当事人经协商一致，可以对协议进行修改。修改后的新协议，其内容不得与</w:t>
      </w:r>
    </w:p>
    <w:p>
      <w:pPr>
        <w:pStyle w:val="BodyText"/>
        <w:spacing w:before="7"/>
        <w:rPr>
          <w:sz w:val="15"/>
        </w:rPr>
      </w:pPr>
    </w:p>
    <w:p>
      <w:pPr>
        <w:pStyle w:val="BodyText"/>
        <w:ind w:left="540"/>
      </w:pPr>
      <w:r>
        <w:rPr/>
        <w:t>《基金合同》的规定有任何冲突。基金托管协议的变更报中国证监会备案后生效。</w:t>
      </w:r>
    </w:p>
    <w:p>
      <w:pPr>
        <w:pStyle w:val="BodyText"/>
        <w:spacing w:before="6"/>
        <w:rPr>
          <w:sz w:val="15"/>
        </w:rPr>
      </w:pPr>
    </w:p>
    <w:p>
      <w:pPr>
        <w:pStyle w:val="BodyText"/>
        <w:spacing w:before="1"/>
        <w:ind w:left="960"/>
      </w:pPr>
      <w:r>
        <w:rPr/>
        <w:t>（二）托管协议终止的情形</w:t>
      </w:r>
    </w:p>
    <w:p>
      <w:pPr>
        <w:pStyle w:val="BodyText"/>
        <w:spacing w:before="6"/>
        <w:rPr>
          <w:sz w:val="15"/>
        </w:rPr>
      </w:pPr>
    </w:p>
    <w:p>
      <w:pPr>
        <w:pStyle w:val="BodyText"/>
        <w:ind w:left="960"/>
      </w:pPr>
      <w:r>
        <w:rPr>
          <w:rFonts w:ascii="Times New Roman" w:eastAsia="Times New Roman"/>
        </w:rPr>
        <w:t>1</w:t>
      </w:r>
      <w:r>
        <w:rPr/>
        <w:t>、《基金合同》终止。</w:t>
      </w:r>
    </w:p>
    <w:p>
      <w:pPr>
        <w:pStyle w:val="BodyText"/>
        <w:spacing w:before="7"/>
        <w:rPr>
          <w:sz w:val="15"/>
        </w:rPr>
      </w:pPr>
    </w:p>
    <w:p>
      <w:pPr>
        <w:pStyle w:val="BodyText"/>
        <w:ind w:left="960"/>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960"/>
      </w:pPr>
      <w:r>
        <w:rPr>
          <w:rFonts w:ascii="Times New Roman" w:eastAsia="Times New Roman"/>
        </w:rPr>
        <w:t>3</w:t>
      </w:r>
      <w:r>
        <w:rPr/>
        <w:t>、基金管理人解散、依法被撤销、破产或由其他基金管理人接管基金管理权。</w:t>
      </w:r>
    </w:p>
    <w:p>
      <w:pPr>
        <w:pStyle w:val="BodyText"/>
        <w:spacing w:before="7"/>
        <w:rPr>
          <w:sz w:val="15"/>
        </w:rPr>
      </w:pPr>
    </w:p>
    <w:p>
      <w:pPr>
        <w:pStyle w:val="BodyText"/>
        <w:ind w:left="960"/>
      </w:pPr>
      <w:r>
        <w:rPr>
          <w:rFonts w:ascii="Times New Roman" w:eastAsia="Times New Roman"/>
        </w:rPr>
        <w:t>4</w:t>
      </w:r>
      <w:r>
        <w:rPr/>
        <w:t>、发生法律法规或《基金合同》规定的终止事项。</w:t>
      </w:r>
    </w:p>
    <w:p>
      <w:pPr>
        <w:pStyle w:val="BodyText"/>
        <w:rPr>
          <w:sz w:val="22"/>
        </w:rPr>
      </w:pPr>
    </w:p>
    <w:p>
      <w:pPr>
        <w:pStyle w:val="BodyText"/>
        <w:spacing w:before="2"/>
        <w:rPr>
          <w:sz w:val="20"/>
        </w:rPr>
      </w:pPr>
    </w:p>
    <w:p>
      <w:pPr>
        <w:pStyle w:val="Heading1"/>
      </w:pPr>
      <w:bookmarkStart w:name="_bookmark20" w:id="21"/>
      <w:bookmarkEnd w:id="21"/>
      <w:r>
        <w:rPr>
          <w:b w:val="0"/>
        </w:rPr>
      </w:r>
      <w:r>
        <w:rPr/>
        <w:t>二十一、对基金份额持有人的服务</w:t>
      </w:r>
    </w:p>
    <w:p>
      <w:pPr>
        <w:pStyle w:val="BodyText"/>
        <w:rPr>
          <w:b/>
          <w:sz w:val="20"/>
        </w:rPr>
      </w:pPr>
    </w:p>
    <w:p>
      <w:pPr>
        <w:pStyle w:val="BodyText"/>
        <w:spacing w:before="2"/>
        <w:rPr>
          <w:b/>
        </w:rPr>
      </w:pPr>
    </w:p>
    <w:p>
      <w:pPr>
        <w:pStyle w:val="BodyText"/>
        <w:ind w:left="960"/>
      </w:pPr>
      <w:r>
        <w:rPr>
          <w:spacing w:val="-3"/>
        </w:rPr>
        <w:t>对本基金份额持有人的服务主要由基金管理人和代销机构提供。</w:t>
      </w:r>
    </w:p>
    <w:p>
      <w:pPr>
        <w:pStyle w:val="BodyText"/>
        <w:spacing w:before="7"/>
        <w:rPr>
          <w:sz w:val="15"/>
        </w:rPr>
      </w:pPr>
    </w:p>
    <w:p>
      <w:pPr>
        <w:pStyle w:val="BodyText"/>
        <w:spacing w:line="417" w:lineRule="auto"/>
        <w:ind w:left="540" w:right="3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ind w:left="960"/>
      </w:pPr>
      <w:r>
        <w:rPr/>
        <w:t>（一）资料发送</w:t>
      </w:r>
    </w:p>
    <w:p>
      <w:pPr>
        <w:pStyle w:val="BodyText"/>
        <w:spacing w:before="7"/>
        <w:rPr>
          <w:sz w:val="15"/>
        </w:rPr>
      </w:pPr>
    </w:p>
    <w:p>
      <w:pPr>
        <w:pStyle w:val="BodyText"/>
        <w:ind w:left="960"/>
      </w:pPr>
      <w:r>
        <w:rPr>
          <w:rFonts w:ascii="Times New Roman" w:eastAsia="Times New Roman"/>
        </w:rPr>
        <w:t>1</w:t>
      </w:r>
      <w:r>
        <w:rPr/>
        <w:t>、基金交易对账单</w:t>
      </w:r>
    </w:p>
    <w:p>
      <w:pPr>
        <w:pStyle w:val="BodyText"/>
        <w:spacing w:before="6"/>
        <w:rPr>
          <w:sz w:val="15"/>
        </w:rPr>
      </w:pPr>
    </w:p>
    <w:p>
      <w:pPr>
        <w:pStyle w:val="BodyText"/>
        <w:spacing w:line="417" w:lineRule="auto" w:before="1"/>
        <w:ind w:left="540" w:right="20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960"/>
      </w:pPr>
      <w:r>
        <w:rPr>
          <w:rFonts w:ascii="Times New Roman" w:eastAsia="Times New Roman"/>
        </w:rPr>
        <w:t>2</w:t>
      </w:r>
      <w:r>
        <w:rPr/>
        <w:t>、其他相关的信息资料</w:t>
      </w:r>
    </w:p>
    <w:p>
      <w:pPr>
        <w:pStyle w:val="BodyText"/>
        <w:spacing w:before="6"/>
        <w:rPr>
          <w:sz w:val="15"/>
        </w:rPr>
      </w:pPr>
    </w:p>
    <w:p>
      <w:pPr>
        <w:pStyle w:val="BodyText"/>
        <w:spacing w:line="417" w:lineRule="auto"/>
        <w:ind w:left="540" w:right="208" w:firstLine="419"/>
      </w:pPr>
      <w:r>
        <w:rPr/>
        <w:t>指随基金交易对账单不定期发送的基金资讯材料，如基金新产品或新服务的相关材料、客户服务问答等。</w:t>
      </w:r>
    </w:p>
    <w:p>
      <w:pPr>
        <w:pStyle w:val="BodyText"/>
        <w:spacing w:before="1"/>
        <w:ind w:left="960"/>
      </w:pPr>
      <w:r>
        <w:rPr/>
        <w:t>（二）电子交易</w:t>
      </w:r>
    </w:p>
    <w:p>
      <w:pPr>
        <w:pStyle w:val="BodyText"/>
        <w:spacing w:before="6"/>
        <w:rPr>
          <w:sz w:val="15"/>
        </w:rPr>
      </w:pPr>
    </w:p>
    <w:p>
      <w:pPr>
        <w:pStyle w:val="BodyText"/>
        <w:spacing w:line="417" w:lineRule="auto"/>
        <w:ind w:left="540" w:right="20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68">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12"/>
        </w:rPr>
        <w:t>赎回、转换、资料变更、分红方式变更、信息查询等各项业务，具体业务办理情况及业务规</w:t>
      </w:r>
      <w:r>
        <w:rPr>
          <w:spacing w:val="-6"/>
        </w:rPr>
        <w:t>则请登录本公司网站查询。</w:t>
      </w:r>
    </w:p>
    <w:p>
      <w:pPr>
        <w:pStyle w:val="BodyText"/>
        <w:spacing w:line="269" w:lineRule="exact"/>
        <w:ind w:left="960"/>
      </w:pPr>
      <w:r>
        <w:rPr/>
        <w:t>（三）电子邮件及短信服务</w:t>
      </w:r>
    </w:p>
    <w:p>
      <w:pPr>
        <w:pStyle w:val="BodyText"/>
        <w:spacing w:before="6"/>
        <w:rPr>
          <w:sz w:val="15"/>
        </w:rPr>
      </w:pPr>
    </w:p>
    <w:p>
      <w:pPr>
        <w:pStyle w:val="BodyText"/>
        <w:spacing w:line="417" w:lineRule="auto"/>
        <w:ind w:left="540" w:right="3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7"/>
        <w:rPr>
          <w:sz w:val="15"/>
        </w:rPr>
      </w:pPr>
    </w:p>
    <w:p>
      <w:pPr>
        <w:pStyle w:val="BodyText"/>
        <w:ind w:left="960"/>
      </w:pPr>
      <w:r>
        <w:rPr>
          <w:rFonts w:ascii="Times New Roman" w:eastAsia="Times New Roman"/>
        </w:rPr>
        <w:t>1</w:t>
      </w:r>
      <w:r>
        <w:rPr/>
        <w:t>、自动语音服务</w:t>
      </w:r>
    </w:p>
    <w:p>
      <w:pPr>
        <w:pStyle w:val="BodyText"/>
        <w:spacing w:before="7"/>
        <w:rPr>
          <w:sz w:val="15"/>
        </w:rPr>
      </w:pPr>
    </w:p>
    <w:p>
      <w:pPr>
        <w:pStyle w:val="BodyText"/>
        <w:spacing w:line="417" w:lineRule="auto" w:before="1"/>
        <w:ind w:left="540" w:right="3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960"/>
      </w:pPr>
      <w:r>
        <w:rPr>
          <w:rFonts w:ascii="Times New Roman" w:eastAsia="Times New Roman"/>
        </w:rPr>
        <w:t>2</w:t>
      </w:r>
      <w:r>
        <w:rPr/>
        <w:t>、人工电话服务</w:t>
      </w:r>
    </w:p>
    <w:p>
      <w:pPr>
        <w:pStyle w:val="BodyText"/>
        <w:spacing w:before="6"/>
        <w:rPr>
          <w:sz w:val="15"/>
        </w:rPr>
      </w:pPr>
    </w:p>
    <w:p>
      <w:pPr>
        <w:pStyle w:val="BodyText"/>
        <w:spacing w:line="417" w:lineRule="auto"/>
        <w:ind w:left="540" w:right="3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60" w:right="55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960"/>
      </w:pPr>
      <w:r>
        <w:rPr/>
        <w:t>（五）在线服务</w:t>
      </w:r>
    </w:p>
    <w:p>
      <w:pPr>
        <w:pStyle w:val="BodyText"/>
        <w:spacing w:before="7"/>
        <w:rPr>
          <w:sz w:val="15"/>
        </w:rPr>
      </w:pPr>
    </w:p>
    <w:p>
      <w:pPr>
        <w:pStyle w:val="BodyText"/>
        <w:ind w:left="96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spacing w:before="1"/>
        <w:ind w:left="960"/>
      </w:pPr>
      <w:r>
        <w:rPr>
          <w:rFonts w:ascii="Times New Roman" w:eastAsia="Times New Roman"/>
        </w:rPr>
        <w:t>1</w:t>
      </w:r>
      <w:r>
        <w:rPr/>
        <w:t>、查询服务</w:t>
      </w:r>
    </w:p>
    <w:p>
      <w:pPr>
        <w:pStyle w:val="BodyText"/>
        <w:spacing w:before="6"/>
        <w:rPr>
          <w:sz w:val="15"/>
        </w:rPr>
      </w:pPr>
    </w:p>
    <w:p>
      <w:pPr>
        <w:pStyle w:val="BodyText"/>
        <w:ind w:left="960"/>
      </w:pPr>
      <w:r>
        <w:rPr>
          <w:spacing w:val="-9"/>
          <w:w w:val="100"/>
        </w:rPr>
        <w:t>投资者可登录本公司网站“基金账户查询”，查询基金账户情况、更改个人信息。</w:t>
      </w:r>
    </w:p>
    <w:p>
      <w:pPr>
        <w:pStyle w:val="BodyText"/>
        <w:spacing w:before="7"/>
        <w:rPr>
          <w:sz w:val="15"/>
        </w:rPr>
      </w:pPr>
    </w:p>
    <w:p>
      <w:pPr>
        <w:pStyle w:val="BodyText"/>
        <w:ind w:left="960"/>
      </w:pPr>
      <w:r>
        <w:rPr>
          <w:rFonts w:ascii="Times New Roman" w:eastAsia="Times New Roman"/>
        </w:rPr>
        <w:t>2</w:t>
      </w:r>
      <w:r>
        <w:rPr/>
        <w:t>、自助服务</w:t>
      </w:r>
    </w:p>
    <w:p>
      <w:pPr>
        <w:pStyle w:val="BodyText"/>
        <w:spacing w:before="7"/>
        <w:rPr>
          <w:sz w:val="15"/>
        </w:rPr>
      </w:pPr>
    </w:p>
    <w:p>
      <w:pPr>
        <w:pStyle w:val="BodyText"/>
        <w:spacing w:line="417" w:lineRule="auto"/>
        <w:ind w:left="540" w:right="3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ind w:left="960"/>
      </w:pPr>
      <w:r>
        <w:rPr>
          <w:rFonts w:ascii="Times New Roman" w:eastAsia="Times New Roman"/>
        </w:rPr>
        <w:t>3</w:t>
      </w:r>
      <w:r>
        <w:rPr/>
        <w:t>、人工服务</w:t>
      </w:r>
    </w:p>
    <w:p>
      <w:pPr>
        <w:pStyle w:val="BodyText"/>
        <w:spacing w:before="7"/>
        <w:rPr>
          <w:sz w:val="15"/>
        </w:rPr>
      </w:pPr>
    </w:p>
    <w:p>
      <w:pPr>
        <w:pStyle w:val="BodyText"/>
        <w:spacing w:line="417" w:lineRule="auto"/>
        <w:ind w:left="540" w:right="3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960"/>
      </w:pPr>
      <w:r>
        <w:rPr>
          <w:rFonts w:ascii="Times New Roman" w:eastAsia="Times New Roman"/>
        </w:rPr>
        <w:t>4</w:t>
      </w:r>
      <w:r>
        <w:rPr/>
        <w:t>、资讯服务</w:t>
      </w:r>
    </w:p>
    <w:p>
      <w:pPr>
        <w:pStyle w:val="BodyText"/>
        <w:spacing w:before="6"/>
        <w:rPr>
          <w:sz w:val="15"/>
        </w:rPr>
      </w:pPr>
    </w:p>
    <w:p>
      <w:pPr>
        <w:pStyle w:val="BodyText"/>
        <w:spacing w:line="417" w:lineRule="auto" w:before="1"/>
        <w:ind w:left="540" w:right="3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60"/>
        <w:rPr>
          <w:rFonts w:ascii="Times New Roman" w:eastAsia="Times New Roman"/>
        </w:rPr>
      </w:pPr>
      <w:r>
        <w:rPr/>
        <w:t>公司网址：</w:t>
      </w:r>
      <w:hyperlink r:id="rId15">
        <w:r>
          <w:rPr>
            <w:rFonts w:ascii="Times New Roman" w:eastAsia="Times New Roman"/>
          </w:rPr>
          <w:t>www.ChinaAMC.com</w:t>
        </w:r>
      </w:hyperlink>
    </w:p>
    <w:p>
      <w:pPr>
        <w:pStyle w:val="BodyText"/>
        <w:spacing w:before="3"/>
        <w:rPr>
          <w:rFonts w:ascii="Times New Roman"/>
          <w:sz w:val="17"/>
        </w:rPr>
      </w:pPr>
    </w:p>
    <w:p>
      <w:pPr>
        <w:pStyle w:val="BodyText"/>
        <w:ind w:left="960"/>
        <w:rPr>
          <w:rFonts w:ascii="Times New Roman" w:eastAsia="Times New Roman"/>
        </w:rPr>
      </w:pPr>
      <w:r>
        <w:rPr/>
        <w:t>电子信箱：</w:t>
      </w:r>
      <w:hyperlink r:id="rId194">
        <w:r>
          <w:rPr>
            <w:rFonts w:ascii="Times New Roman" w:eastAsia="Times New Roman"/>
          </w:rPr>
          <w:t>service@ChinaAMC.com</w:t>
        </w:r>
      </w:hyperlink>
    </w:p>
    <w:p>
      <w:pPr>
        <w:pStyle w:val="BodyText"/>
        <w:spacing w:before="4"/>
        <w:rPr>
          <w:rFonts w:ascii="Times New Roman"/>
          <w:sz w:val="17"/>
        </w:rPr>
      </w:pPr>
    </w:p>
    <w:p>
      <w:pPr>
        <w:pStyle w:val="BodyText"/>
        <w:ind w:left="960"/>
      </w:pPr>
      <w:r>
        <w:rPr/>
        <w:t>（六）客户投诉和建议处理</w:t>
      </w:r>
    </w:p>
    <w:p>
      <w:pPr>
        <w:spacing w:after="0"/>
        <w:sectPr>
          <w:pgSz w:w="11910" w:h="16840"/>
          <w:pgMar w:header="877" w:footer="995" w:top="1420" w:bottom="1180" w:left="1260" w:right="1480"/>
        </w:sectPr>
      </w:pPr>
    </w:p>
    <w:p>
      <w:pPr>
        <w:pStyle w:val="BodyText"/>
        <w:spacing w:line="417" w:lineRule="auto" w:before="110"/>
        <w:ind w:left="540" w:right="3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Heading1"/>
        <w:spacing w:before="119"/>
        <w:ind w:left="222"/>
      </w:pPr>
      <w:bookmarkStart w:name="_bookmark21" w:id="22"/>
      <w:bookmarkEnd w:id="22"/>
      <w:r>
        <w:rPr>
          <w:b w:val="0"/>
        </w:rPr>
      </w:r>
      <w:r>
        <w:rPr/>
        <w:t>二十二、其他应披露事项</w:t>
      </w:r>
    </w:p>
    <w:p>
      <w:pPr>
        <w:pStyle w:val="BodyText"/>
        <w:spacing w:before="11"/>
        <w:rPr>
          <w:b/>
          <w:sz w:val="24"/>
        </w:rPr>
      </w:pPr>
    </w:p>
    <w:p>
      <w:pPr>
        <w:pStyle w:val="BodyText"/>
        <w:spacing w:line="417" w:lineRule="auto" w:before="1"/>
        <w:ind w:left="540" w:right="311" w:firstLine="419"/>
      </w:pPr>
      <w:r>
        <w:rPr>
          <w:w w:val="100"/>
        </w:rPr>
        <w:t>（</w:t>
      </w:r>
      <w:r>
        <w:rPr>
          <w:spacing w:val="-3"/>
          <w:w w:val="100"/>
        </w:rPr>
        <w:t>一</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rFonts w:ascii="Times New Roman" w:eastAsia="Times New Roman"/>
          <w:w w:val="100"/>
        </w:rPr>
        <w:t>0</w:t>
      </w:r>
      <w:r>
        <w:rPr>
          <w:w w:val="100"/>
        </w:rPr>
        <w:t>月</w:t>
      </w:r>
      <w:r>
        <w:rPr>
          <w:rFonts w:ascii="Times New Roman" w:eastAsia="Times New Roman"/>
          <w:spacing w:val="-3"/>
          <w:w w:val="100"/>
        </w:rPr>
        <w:t>1</w:t>
      </w:r>
      <w:r>
        <w:rPr>
          <w:rFonts w:ascii="Times New Roman" w:eastAsia="Times New Roman"/>
          <w:w w:val="100"/>
        </w:rPr>
        <w:t>3</w:t>
      </w:r>
      <w:r>
        <w:rPr>
          <w:spacing w:val="-3"/>
          <w:w w:val="100"/>
        </w:rPr>
        <w:t>日发布华夏基金管理有限公司关于修订旗下部分公募基金基金合同</w:t>
      </w:r>
      <w:r>
        <w:rPr>
          <w:spacing w:val="-3"/>
        </w:rPr>
        <w:t>的公告。</w:t>
      </w:r>
    </w:p>
    <w:p>
      <w:pPr>
        <w:pStyle w:val="Heading1"/>
        <w:spacing w:before="120"/>
        <w:ind w:left="3008"/>
        <w:jc w:val="left"/>
      </w:pPr>
      <w:bookmarkStart w:name="_bookmark22" w:id="23"/>
      <w:bookmarkEnd w:id="23"/>
      <w:r>
        <w:rPr>
          <w:b w:val="0"/>
        </w:rPr>
      </w:r>
      <w:r>
        <w:rPr/>
        <w:t>二十三、招募说明书存放及查阅方式</w:t>
      </w:r>
    </w:p>
    <w:p>
      <w:pPr>
        <w:pStyle w:val="BodyText"/>
        <w:spacing w:before="11"/>
        <w:rPr>
          <w:b/>
          <w:sz w:val="24"/>
        </w:rPr>
      </w:pPr>
    </w:p>
    <w:p>
      <w:pPr>
        <w:pStyle w:val="BodyText"/>
        <w:spacing w:line="417" w:lineRule="auto"/>
        <w:ind w:left="540" w:right="3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20"/>
        <w:ind w:left="3850"/>
        <w:jc w:val="left"/>
      </w:pPr>
      <w:bookmarkStart w:name="_bookmark23" w:id="24"/>
      <w:bookmarkEnd w:id="24"/>
      <w:r>
        <w:rPr>
          <w:b w:val="0"/>
        </w:rPr>
      </w:r>
      <w:r>
        <w:rPr/>
        <w:t>二十四、备查文件</w:t>
      </w:r>
    </w:p>
    <w:p>
      <w:pPr>
        <w:pStyle w:val="BodyText"/>
        <w:spacing w:before="11"/>
        <w:rPr>
          <w:b/>
          <w:sz w:val="24"/>
        </w:rPr>
      </w:pPr>
    </w:p>
    <w:p>
      <w:pPr>
        <w:pStyle w:val="BodyText"/>
        <w:ind w:left="960"/>
      </w:pPr>
      <w:r>
        <w:rPr/>
        <w:t>（一）备查文件目录</w:t>
      </w:r>
    </w:p>
    <w:p>
      <w:pPr>
        <w:pStyle w:val="BodyText"/>
        <w:spacing w:before="7"/>
        <w:rPr>
          <w:sz w:val="15"/>
        </w:rPr>
      </w:pPr>
    </w:p>
    <w:p>
      <w:pPr>
        <w:pStyle w:val="BodyText"/>
        <w:ind w:left="960"/>
      </w:pPr>
      <w:r>
        <w:rPr>
          <w:rFonts w:ascii="Times New Roman" w:eastAsia="Times New Roman"/>
        </w:rPr>
        <w:t>1</w:t>
      </w:r>
      <w:r>
        <w:rPr/>
        <w:t>、中国证监会准予华夏创新前沿股票型证券投资基金注册的批复。</w:t>
      </w:r>
    </w:p>
    <w:p>
      <w:pPr>
        <w:pStyle w:val="BodyText"/>
        <w:spacing w:before="7"/>
        <w:rPr>
          <w:sz w:val="15"/>
        </w:rPr>
      </w:pPr>
    </w:p>
    <w:p>
      <w:pPr>
        <w:pStyle w:val="BodyText"/>
        <w:ind w:left="960"/>
      </w:pPr>
      <w:r>
        <w:rPr>
          <w:rFonts w:ascii="Times New Roman" w:eastAsia="Times New Roman"/>
        </w:rPr>
        <w:t>2</w:t>
      </w:r>
      <w:r>
        <w:rPr>
          <w:spacing w:val="-17"/>
        </w:rPr>
        <w:t>、《华夏创新前沿股票型证券投资基金基金合同》。</w:t>
      </w:r>
    </w:p>
    <w:p>
      <w:pPr>
        <w:pStyle w:val="BodyText"/>
        <w:spacing w:before="7"/>
        <w:rPr>
          <w:sz w:val="15"/>
        </w:rPr>
      </w:pPr>
    </w:p>
    <w:p>
      <w:pPr>
        <w:pStyle w:val="BodyText"/>
        <w:ind w:left="960"/>
      </w:pPr>
      <w:r>
        <w:rPr>
          <w:rFonts w:ascii="Times New Roman" w:eastAsia="Times New Roman"/>
        </w:rPr>
        <w:t>3</w:t>
      </w:r>
      <w:r>
        <w:rPr>
          <w:spacing w:val="-17"/>
        </w:rPr>
        <w:t>、《华夏创新前沿股票型证券投资基金托管协议》。</w:t>
      </w:r>
    </w:p>
    <w:p>
      <w:pPr>
        <w:pStyle w:val="BodyText"/>
        <w:spacing w:before="7"/>
        <w:rPr>
          <w:sz w:val="15"/>
        </w:rPr>
      </w:pPr>
    </w:p>
    <w:p>
      <w:pPr>
        <w:pStyle w:val="BodyText"/>
        <w:ind w:left="960"/>
      </w:pPr>
      <w:r>
        <w:rPr>
          <w:rFonts w:ascii="Times New Roman" w:eastAsia="Times New Roman"/>
        </w:rPr>
        <w:t>4</w:t>
      </w:r>
      <w:r>
        <w:rPr/>
        <w:t>、法律意见书。</w:t>
      </w:r>
    </w:p>
    <w:p>
      <w:pPr>
        <w:pStyle w:val="BodyText"/>
        <w:spacing w:before="6"/>
        <w:rPr>
          <w:sz w:val="15"/>
        </w:rPr>
      </w:pPr>
    </w:p>
    <w:p>
      <w:pPr>
        <w:pStyle w:val="BodyText"/>
        <w:spacing w:before="1"/>
        <w:ind w:left="960"/>
      </w:pPr>
      <w:r>
        <w:rPr>
          <w:rFonts w:ascii="Times New Roman" w:eastAsia="Times New Roman"/>
        </w:rPr>
        <w:t>5</w:t>
      </w:r>
      <w:r>
        <w:rPr>
          <w:spacing w:val="-3"/>
        </w:rPr>
        <w:t>、基金管理人业务资格批件、营业执照。</w:t>
      </w:r>
    </w:p>
    <w:p>
      <w:pPr>
        <w:pStyle w:val="BodyText"/>
        <w:spacing w:before="6"/>
        <w:rPr>
          <w:sz w:val="15"/>
        </w:rPr>
      </w:pPr>
    </w:p>
    <w:p>
      <w:pPr>
        <w:pStyle w:val="BodyText"/>
        <w:ind w:left="96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960"/>
      </w:pPr>
      <w:r>
        <w:rPr/>
        <w:t>（二）存放地点</w:t>
      </w:r>
    </w:p>
    <w:p>
      <w:pPr>
        <w:pStyle w:val="BodyText"/>
        <w:spacing w:before="7"/>
        <w:rPr>
          <w:sz w:val="15"/>
        </w:rPr>
      </w:pPr>
    </w:p>
    <w:p>
      <w:pPr>
        <w:pStyle w:val="BodyText"/>
        <w:ind w:left="96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spacing w:before="1"/>
        <w:ind w:left="960"/>
      </w:pPr>
      <w:r>
        <w:rPr/>
        <w:t>（三）查阅方式</w:t>
      </w:r>
    </w:p>
    <w:p>
      <w:pPr>
        <w:pStyle w:val="BodyText"/>
        <w:spacing w:before="7"/>
        <w:rPr>
          <w:sz w:val="15"/>
        </w:rPr>
      </w:pPr>
    </w:p>
    <w:p>
      <w:pPr>
        <w:pStyle w:val="BodyText"/>
        <w:spacing w:line="417" w:lineRule="auto"/>
        <w:ind w:left="540" w:right="31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7"/>
        <w:ind w:left="6747" w:right="313"/>
        <w:jc w:val="right"/>
      </w:pPr>
      <w:r>
        <w:rPr/>
        <w:t>华夏基金管理有限公司二〇二〇年十月十四日</w:t>
      </w:r>
    </w:p>
    <w:sectPr>
      <w:pgSz w:w="11910" w:h="16840"/>
      <w:pgMar w:header="877" w:footer="995" w:top="1420" w:bottom="1180" w:left="12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0089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00079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0069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005888"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0048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003840"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0028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011008"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8.369995pt;margin-top:42.865608pt;width:218pt;height:11pt;mso-position-horizontal-relative:page;mso-position-vertical-relative:page;z-index:-260009984" type="#_x0000_t202" filled="false" stroked="false">
          <v:textbox inset="0,0,0,0">
            <w:txbxContent>
              <w:p>
                <w:pPr>
                  <w:spacing w:line="220" w:lineRule="exact" w:before="0"/>
                  <w:ind w:left="20" w:right="0" w:firstLine="0"/>
                  <w:jc w:val="left"/>
                  <w:rPr>
                    <w:sz w:val="18"/>
                  </w:rPr>
                </w:pPr>
                <w:r>
                  <w:rPr>
                    <w:sz w:val="18"/>
                  </w:rPr>
                  <w:t>华夏创新前沿股票型证券投资基金招募说明书（更新）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9">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6">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5">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8">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7">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5">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0">
    <w:multiLevelType w:val="hybridMultilevel"/>
    <w:lvl w:ilvl="0">
      <w:start w:val="1"/>
      <w:numFmt w:val="decimal"/>
      <w:lvlText w:val="（%1）"/>
      <w:lvlJc w:val="left"/>
      <w:pPr>
        <w:ind w:left="54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7">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5">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4">
    <w:multiLevelType w:val="hybridMultilevel"/>
    <w:lvl w:ilvl="0">
      <w:start w:val="1"/>
      <w:numFmt w:val="decimal"/>
      <w:lvlText w:val="（%1）"/>
      <w:lvlJc w:val="left"/>
      <w:pPr>
        <w:ind w:left="1489"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2">
    <w:multiLevelType w:val="hybridMultilevel"/>
    <w:lvl w:ilvl="0">
      <w:start w:val="5"/>
      <w:numFmt w:val="decimal"/>
      <w:lvlText w:val="%1"/>
      <w:lvlJc w:val="left"/>
      <w:pPr>
        <w:ind w:left="936" w:hanging="396"/>
        <w:jc w:val="left"/>
      </w:pPr>
      <w:rPr>
        <w:rFonts w:hint="default"/>
        <w:lang w:val="zh-CN" w:eastAsia="zh-CN" w:bidi="zh-CN"/>
      </w:rPr>
    </w:lvl>
    <w:lvl w:ilvl="1">
      <w:start w:val="1"/>
      <w:numFmt w:val="decimal"/>
      <w:lvlText w:val="%1.%2"/>
      <w:lvlJc w:val="left"/>
      <w:pPr>
        <w:ind w:left="936" w:hanging="396"/>
        <w:jc w:val="left"/>
      </w:pPr>
      <w:rPr>
        <w:rFonts w:hint="default"/>
        <w:spacing w:val="-1"/>
        <w:w w:val="100"/>
        <w:lang w:val="zh-CN" w:eastAsia="zh-CN" w:bidi="zh-CN"/>
      </w:rPr>
    </w:lvl>
    <w:lvl w:ilvl="2">
      <w:start w:val="1"/>
      <w:numFmt w:val="decimal"/>
      <w:lvlText w:val="%1.%2.%3"/>
      <w:lvlJc w:val="left"/>
      <w:pPr>
        <w:ind w:left="106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54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1180" w:hanging="529"/>
      </w:pPr>
      <w:rPr>
        <w:rFonts w:hint="default"/>
        <w:lang w:val="zh-CN" w:eastAsia="zh-CN" w:bidi="zh-CN"/>
      </w:rPr>
    </w:lvl>
    <w:lvl w:ilvl="5">
      <w:start w:val="0"/>
      <w:numFmt w:val="bullet"/>
      <w:lvlText w:val="•"/>
      <w:lvlJc w:val="left"/>
      <w:pPr>
        <w:ind w:left="2511" w:hanging="529"/>
      </w:pPr>
      <w:rPr>
        <w:rFonts w:hint="default"/>
        <w:lang w:val="zh-CN" w:eastAsia="zh-CN" w:bidi="zh-CN"/>
      </w:rPr>
    </w:lvl>
    <w:lvl w:ilvl="6">
      <w:start w:val="0"/>
      <w:numFmt w:val="bullet"/>
      <w:lvlText w:val="•"/>
      <w:lvlJc w:val="left"/>
      <w:pPr>
        <w:ind w:left="3842" w:hanging="529"/>
      </w:pPr>
      <w:rPr>
        <w:rFonts w:hint="default"/>
        <w:lang w:val="zh-CN" w:eastAsia="zh-CN" w:bidi="zh-CN"/>
      </w:rPr>
    </w:lvl>
    <w:lvl w:ilvl="7">
      <w:start w:val="0"/>
      <w:numFmt w:val="bullet"/>
      <w:lvlText w:val="•"/>
      <w:lvlJc w:val="left"/>
      <w:pPr>
        <w:ind w:left="5173" w:hanging="529"/>
      </w:pPr>
      <w:rPr>
        <w:rFonts w:hint="default"/>
        <w:lang w:val="zh-CN" w:eastAsia="zh-CN" w:bidi="zh-CN"/>
      </w:rPr>
    </w:lvl>
    <w:lvl w:ilvl="8">
      <w:start w:val="0"/>
      <w:numFmt w:val="bullet"/>
      <w:lvlText w:val="•"/>
      <w:lvlJc w:val="left"/>
      <w:pPr>
        <w:ind w:left="6504" w:hanging="529"/>
      </w:pPr>
      <w:rPr>
        <w:rFonts w:hint="default"/>
        <w:lang w:val="zh-CN" w:eastAsia="zh-CN" w:bidi="zh-CN"/>
      </w:rPr>
    </w:lvl>
  </w:abstractNum>
  <w:abstractNum w:abstractNumId="2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0">
    <w:multiLevelType w:val="hybridMultilevel"/>
    <w:lvl w:ilvl="0">
      <w:start w:val="1"/>
      <w:numFmt w:val="decimal"/>
      <w:lvlText w:val="（%1）"/>
      <w:lvlJc w:val="left"/>
      <w:pPr>
        <w:ind w:left="540"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9">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8">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7">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5">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4">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0">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8">
    <w:multiLevelType w:val="hybridMultilevel"/>
    <w:lvl w:ilvl="0">
      <w:start w:val="127"/>
      <w:numFmt w:val="decimal"/>
      <w:lvlText w:val="（%1）"/>
      <w:lvlJc w:val="left"/>
      <w:pPr>
        <w:ind w:left="169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446" w:hanging="738"/>
      </w:pPr>
      <w:rPr>
        <w:rFonts w:hint="default"/>
        <w:lang w:val="zh-CN" w:eastAsia="zh-CN" w:bidi="zh-CN"/>
      </w:rPr>
    </w:lvl>
    <w:lvl w:ilvl="2">
      <w:start w:val="0"/>
      <w:numFmt w:val="bullet"/>
      <w:lvlText w:val="•"/>
      <w:lvlJc w:val="left"/>
      <w:pPr>
        <w:ind w:left="3193" w:hanging="738"/>
      </w:pPr>
      <w:rPr>
        <w:rFonts w:hint="default"/>
        <w:lang w:val="zh-CN" w:eastAsia="zh-CN" w:bidi="zh-CN"/>
      </w:rPr>
    </w:lvl>
    <w:lvl w:ilvl="3">
      <w:start w:val="0"/>
      <w:numFmt w:val="bullet"/>
      <w:lvlText w:val="•"/>
      <w:lvlJc w:val="left"/>
      <w:pPr>
        <w:ind w:left="3939" w:hanging="738"/>
      </w:pPr>
      <w:rPr>
        <w:rFonts w:hint="default"/>
        <w:lang w:val="zh-CN" w:eastAsia="zh-CN" w:bidi="zh-CN"/>
      </w:rPr>
    </w:lvl>
    <w:lvl w:ilvl="4">
      <w:start w:val="0"/>
      <w:numFmt w:val="bullet"/>
      <w:lvlText w:val="•"/>
      <w:lvlJc w:val="left"/>
      <w:pPr>
        <w:ind w:left="4686" w:hanging="738"/>
      </w:pPr>
      <w:rPr>
        <w:rFonts w:hint="default"/>
        <w:lang w:val="zh-CN" w:eastAsia="zh-CN" w:bidi="zh-CN"/>
      </w:rPr>
    </w:lvl>
    <w:lvl w:ilvl="5">
      <w:start w:val="0"/>
      <w:numFmt w:val="bullet"/>
      <w:lvlText w:val="•"/>
      <w:lvlJc w:val="left"/>
      <w:pPr>
        <w:ind w:left="5433" w:hanging="738"/>
      </w:pPr>
      <w:rPr>
        <w:rFonts w:hint="default"/>
        <w:lang w:val="zh-CN" w:eastAsia="zh-CN" w:bidi="zh-CN"/>
      </w:rPr>
    </w:lvl>
    <w:lvl w:ilvl="6">
      <w:start w:val="0"/>
      <w:numFmt w:val="bullet"/>
      <w:lvlText w:val="•"/>
      <w:lvlJc w:val="left"/>
      <w:pPr>
        <w:ind w:left="6179" w:hanging="738"/>
      </w:pPr>
      <w:rPr>
        <w:rFonts w:hint="default"/>
        <w:lang w:val="zh-CN" w:eastAsia="zh-CN" w:bidi="zh-CN"/>
      </w:rPr>
    </w:lvl>
    <w:lvl w:ilvl="7">
      <w:start w:val="0"/>
      <w:numFmt w:val="bullet"/>
      <w:lvlText w:val="•"/>
      <w:lvlJc w:val="left"/>
      <w:pPr>
        <w:ind w:left="6926" w:hanging="738"/>
      </w:pPr>
      <w:rPr>
        <w:rFonts w:hint="default"/>
        <w:lang w:val="zh-CN" w:eastAsia="zh-CN" w:bidi="zh-CN"/>
      </w:rPr>
    </w:lvl>
    <w:lvl w:ilvl="8">
      <w:start w:val="0"/>
      <w:numFmt w:val="bullet"/>
      <w:lvlText w:val="•"/>
      <w:lvlJc w:val="left"/>
      <w:pPr>
        <w:ind w:left="7673" w:hanging="738"/>
      </w:pPr>
      <w:rPr>
        <w:rFonts w:hint="default"/>
        <w:lang w:val="zh-CN" w:eastAsia="zh-CN" w:bidi="zh-CN"/>
      </w:rPr>
    </w:lvl>
  </w:abstractNum>
  <w:abstractNum w:abstractNumId="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
    <w:multiLevelType w:val="hybridMultilevel"/>
    <w:lvl w:ilvl="0">
      <w:start w:val="1"/>
      <w:numFmt w:val="decimal"/>
      <w:lvlText w:val="（%1）"/>
      <w:lvlJc w:val="left"/>
      <w:pPr>
        <w:ind w:left="150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6" w:hanging="529"/>
      </w:pPr>
      <w:rPr>
        <w:rFonts w:hint="default"/>
        <w:lang w:val="zh-CN" w:eastAsia="zh-CN" w:bidi="zh-CN"/>
      </w:rPr>
    </w:lvl>
    <w:lvl w:ilvl="2">
      <w:start w:val="0"/>
      <w:numFmt w:val="bullet"/>
      <w:lvlText w:val="•"/>
      <w:lvlJc w:val="left"/>
      <w:pPr>
        <w:ind w:left="3033" w:hanging="529"/>
      </w:pPr>
      <w:rPr>
        <w:rFonts w:hint="default"/>
        <w:lang w:val="zh-CN" w:eastAsia="zh-CN" w:bidi="zh-CN"/>
      </w:rPr>
    </w:lvl>
    <w:lvl w:ilvl="3">
      <w:start w:val="0"/>
      <w:numFmt w:val="bullet"/>
      <w:lvlText w:val="•"/>
      <w:lvlJc w:val="left"/>
      <w:pPr>
        <w:ind w:left="3799" w:hanging="529"/>
      </w:pPr>
      <w:rPr>
        <w:rFonts w:hint="default"/>
        <w:lang w:val="zh-CN" w:eastAsia="zh-CN" w:bidi="zh-CN"/>
      </w:rPr>
    </w:lvl>
    <w:lvl w:ilvl="4">
      <w:start w:val="0"/>
      <w:numFmt w:val="bullet"/>
      <w:lvlText w:val="•"/>
      <w:lvlJc w:val="left"/>
      <w:pPr>
        <w:ind w:left="4566"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099" w:hanging="529"/>
      </w:pPr>
      <w:rPr>
        <w:rFonts w:hint="default"/>
        <w:lang w:val="zh-CN" w:eastAsia="zh-CN" w:bidi="zh-CN"/>
      </w:rPr>
    </w:lvl>
    <w:lvl w:ilvl="7">
      <w:start w:val="0"/>
      <w:numFmt w:val="bullet"/>
      <w:lvlText w:val="•"/>
      <w:lvlJc w:val="left"/>
      <w:pPr>
        <w:ind w:left="6866" w:hanging="529"/>
      </w:pPr>
      <w:rPr>
        <w:rFonts w:hint="default"/>
        <w:lang w:val="zh-CN" w:eastAsia="zh-CN" w:bidi="zh-CN"/>
      </w:rPr>
    </w:lvl>
    <w:lvl w:ilvl="8">
      <w:start w:val="0"/>
      <w:numFmt w:val="bullet"/>
      <w:lvlText w:val="•"/>
      <w:lvlJc w:val="left"/>
      <w:pPr>
        <w:ind w:left="7633" w:hanging="529"/>
      </w:pPr>
      <w:rPr>
        <w:rFonts w:hint="default"/>
        <w:lang w:val="zh-CN" w:eastAsia="zh-CN" w:bidi="zh-CN"/>
      </w:rPr>
    </w:lvl>
  </w:abstractNum>
  <w:abstractNum w:abstractNumId="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num w:numId="49">
    <w:abstractNumId w:val="48"/>
  </w:num>
  <w:num w:numId="29">
    <w:abstractNumId w:val="28"/>
  </w:num>
  <w:num w:numId="52">
    <w:abstractNumId w:val="51"/>
  </w:num>
  <w:num w:numId="51">
    <w:abstractNumId w:val="50"/>
  </w:num>
  <w:num w:numId="50">
    <w:abstractNumId w:val="49"/>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40"/>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224"/>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89" w:hanging="530"/>
    </w:pPr>
    <w:rPr>
      <w:rFonts w:ascii="宋体" w:hAnsi="宋体" w:eastAsia="宋体" w:cs="宋体"/>
      <w:lang w:val="zh-CN" w:eastAsia="zh-CN" w:bidi="zh-CN"/>
    </w:rPr>
  </w:style>
  <w:style w:styleId="TableParagraph" w:type="paragraph">
    <w:name w:val="Table Paragraph"/>
    <w:basedOn w:val="Normal"/>
    <w:uiPriority w:val="1"/>
    <w:qFormat/>
    <w:pPr>
      <w:spacing w:before="22"/>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www.chinaamc.com/" TargetMode="External"/><Relationship Id="rId16" Type="http://schemas.openxmlformats.org/officeDocument/2006/relationships/hyperlink" Target="http://www.boc.cn/" TargetMode="External"/><Relationship Id="rId17" Type="http://schemas.openxmlformats.org/officeDocument/2006/relationships/hyperlink" Target="http://www.ccb.com/" TargetMode="External"/><Relationship Id="rId18" Type="http://schemas.openxmlformats.org/officeDocument/2006/relationships/hyperlink" Target="http://www.bankcomm.com/" TargetMode="External"/><Relationship Id="rId19" Type="http://schemas.openxmlformats.org/officeDocument/2006/relationships/hyperlink" Target="http://www.srcb.com/" TargetMode="External"/><Relationship Id="rId20" Type="http://schemas.openxmlformats.org/officeDocument/2006/relationships/hyperlink" Target="http://www.bjrcb.com/" TargetMode="External"/><Relationship Id="rId21" Type="http://schemas.openxmlformats.org/officeDocument/2006/relationships/hyperlink" Target="http://www.qdccb.com/" TargetMode="External"/><Relationship Id="rId22" Type="http://schemas.openxmlformats.org/officeDocument/2006/relationships/hyperlink" Target="http://www.hzbank.com.cn/" TargetMode="External"/><Relationship Id="rId23" Type="http://schemas.openxmlformats.org/officeDocument/2006/relationships/hyperlink" Target="http://www.jsbchina.cn/" TargetMode="External"/><Relationship Id="rId24" Type="http://schemas.openxmlformats.org/officeDocument/2006/relationships/hyperlink" Target="http://www.cbhb.com.cn/" TargetMode="External"/><Relationship Id="rId25" Type="http://schemas.openxmlformats.org/officeDocument/2006/relationships/hyperlink" Target="http://www.yantaibank.net/" TargetMode="External"/><Relationship Id="rId26" Type="http://schemas.openxmlformats.org/officeDocument/2006/relationships/hyperlink" Target="http://www.bankofdl.com/" TargetMode="External"/><Relationship Id="rId27" Type="http://schemas.openxmlformats.org/officeDocument/2006/relationships/hyperlink" Target="http://www.cqcbank.com/" TargetMode="External"/><Relationship Id="rId28" Type="http://schemas.openxmlformats.org/officeDocument/2006/relationships/hyperlink" Target="http://www.drcbank.com/" TargetMode="External"/><Relationship Id="rId29" Type="http://schemas.openxmlformats.org/officeDocument/2006/relationships/hyperlink" Target="http://www.hebbank.com/" TargetMode="External"/><Relationship Id="rId30" Type="http://schemas.openxmlformats.org/officeDocument/2006/relationships/hyperlink" Target="http://www.szrcb.com/" TargetMode="External"/><Relationship Id="rId31" Type="http://schemas.openxmlformats.org/officeDocument/2006/relationships/hyperlink" Target="http://www.xacbank.com/" TargetMode="External"/><Relationship Id="rId32" Type="http://schemas.openxmlformats.org/officeDocument/2006/relationships/hyperlink" Target="http://www.jnbank.com.cn/" TargetMode="External"/><Relationship Id="rId33" Type="http://schemas.openxmlformats.org/officeDocument/2006/relationships/hyperlink" Target="http://www.xmccb.com/" TargetMode="External"/><Relationship Id="rId34" Type="http://schemas.openxmlformats.org/officeDocument/2006/relationships/hyperlink" Target="http://www.suzhoubank.com/" TargetMode="External"/><Relationship Id="rId35" Type="http://schemas.openxmlformats.org/officeDocument/2006/relationships/hyperlink" Target="http://www/" TargetMode="External"/><Relationship Id="rId36" Type="http://schemas.openxmlformats.org/officeDocument/2006/relationships/hyperlink" Target="http://www.hrxjbank.com.cn/" TargetMode="External"/><Relationship Id="rId37" Type="http://schemas.openxmlformats.org/officeDocument/2006/relationships/hyperlink" Target="http://www.qrcb.com.cn/" TargetMode="External"/><Relationship Id="rId38" Type="http://schemas.openxmlformats.org/officeDocument/2006/relationships/hyperlink" Target="http://www.ynhtbank.com/" TargetMode="External"/><Relationship Id="rId39" Type="http://schemas.openxmlformats.org/officeDocument/2006/relationships/hyperlink" Target="http://www.txsec.com/" TargetMode="External"/><Relationship Id="rId40" Type="http://schemas.openxmlformats.org/officeDocument/2006/relationships/hyperlink" Target="http://www.9ifund.com/" TargetMode="External"/><Relationship Id="rId41" Type="http://schemas.openxmlformats.org/officeDocument/2006/relationships/hyperlink" Target="http://8.jrj.com.cn/" TargetMode="External"/><Relationship Id="rId42" Type="http://schemas.openxmlformats.org/officeDocument/2006/relationships/hyperlink" Target="http://www.huilinbd.com/" TargetMode="External"/><Relationship Id="rId43" Type="http://schemas.openxmlformats.org/officeDocument/2006/relationships/hyperlink" Target="http://www.wacaijijin.com/" TargetMode="External"/><Relationship Id="rId44" Type="http://schemas.openxmlformats.org/officeDocument/2006/relationships/hyperlink" Target="http://www.xiquefund.com/" TargetMode="External"/><Relationship Id="rId45" Type="http://schemas.openxmlformats.org/officeDocument/2006/relationships/hyperlink" Target="http://www.tenganxinxi.com/" TargetMode="External"/><Relationship Id="rId46" Type="http://schemas.openxmlformats.org/officeDocument/2006/relationships/hyperlink" Target="http://www.baiyingfund.com/" TargetMode="External"/><Relationship Id="rId47" Type="http://schemas.openxmlformats.org/officeDocument/2006/relationships/hyperlink" Target="http://www.noah-fund.com/" TargetMode="External"/><Relationship Id="rId48" Type="http://schemas.openxmlformats.org/officeDocument/2006/relationships/hyperlink" Target="http://www.zlfund.cn/" TargetMode="External"/><Relationship Id="rId49" Type="http://schemas.openxmlformats.org/officeDocument/2006/relationships/hyperlink" Target="http://www.1234567.com.cn/" TargetMode="External"/><Relationship Id="rId50" Type="http://schemas.openxmlformats.org/officeDocument/2006/relationships/hyperlink" Target="http://www.ehowbuy.com/" TargetMode="External"/><Relationship Id="rId51" Type="http://schemas.openxmlformats.org/officeDocument/2006/relationships/hyperlink" Target="http://www.fund123.cn/" TargetMode="External"/><Relationship Id="rId52" Type="http://schemas.openxmlformats.org/officeDocument/2006/relationships/hyperlink" Target="http://www.erichfund.com/" TargetMode="External"/><Relationship Id="rId53" Type="http://schemas.openxmlformats.org/officeDocument/2006/relationships/hyperlink" Target="http://www.5ifund.com/" TargetMode="External"/><Relationship Id="rId54" Type="http://schemas.openxmlformats.org/officeDocument/2006/relationships/hyperlink" Target="http://www.myfund.com/" TargetMode="External"/><Relationship Id="rId55" Type="http://schemas.openxmlformats.org/officeDocument/2006/relationships/hyperlink" Target="http://www.leadfund.com.cn/" TargetMode="External"/><Relationship Id="rId56" Type="http://schemas.openxmlformats.org/officeDocument/2006/relationships/hyperlink" Target="http://www.jincheng-fund.com/" TargetMode="External"/><Relationship Id="rId57" Type="http://schemas.openxmlformats.org/officeDocument/2006/relationships/hyperlink" Target="http://www.harvestwm.cn/" TargetMode="External"/><Relationship Id="rId58" Type="http://schemas.openxmlformats.org/officeDocument/2006/relationships/hyperlink" Target="http://www.5irich.com/" TargetMode="External"/><Relationship Id="rId59" Type="http://schemas.openxmlformats.org/officeDocument/2006/relationships/hyperlink" Target="http://www.puyifund.com/" TargetMode="External"/><Relationship Id="rId60" Type="http://schemas.openxmlformats.org/officeDocument/2006/relationships/hyperlink" Target="http://www.snjijin.com/" TargetMode="External"/><Relationship Id="rId61" Type="http://schemas.openxmlformats.org/officeDocument/2006/relationships/hyperlink" Target="http://www.tenyuanfund.com/" TargetMode="External"/><Relationship Id="rId62" Type="http://schemas.openxmlformats.org/officeDocument/2006/relationships/hyperlink" Target="http://www.tonghuafund.com/" TargetMode="External"/><Relationship Id="rId63" Type="http://schemas.openxmlformats.org/officeDocument/2006/relationships/hyperlink" Target="http://www.chtwm.com/" TargetMode="External"/><Relationship Id="rId64" Type="http://schemas.openxmlformats.org/officeDocument/2006/relationships/hyperlink" Target="http://www.hcjijin.com/" TargetMode="External"/><Relationship Id="rId65" Type="http://schemas.openxmlformats.org/officeDocument/2006/relationships/hyperlink" Target="http://www.shengshiview.com.cn/" TargetMode="External"/><Relationship Id="rId66" Type="http://schemas.openxmlformats.org/officeDocument/2006/relationships/hyperlink" Target="http://www.niuji.net/" TargetMode="External"/><Relationship Id="rId67" Type="http://schemas.openxmlformats.org/officeDocument/2006/relationships/hyperlink" Target="http://www.zhixin-inv.com/" TargetMode="External"/><Relationship Id="rId68" Type="http://schemas.openxmlformats.org/officeDocument/2006/relationships/hyperlink" Target="http://www.fundhaiyin.com/" TargetMode="External"/><Relationship Id="rId69" Type="http://schemas.openxmlformats.org/officeDocument/2006/relationships/hyperlink" Target="http://www.gomefund.com/" TargetMode="External"/><Relationship Id="rId70" Type="http://schemas.openxmlformats.org/officeDocument/2006/relationships/hyperlink" Target="http://www.wg.com.cn/" TargetMode="External"/><Relationship Id="rId71" Type="http://schemas.openxmlformats.org/officeDocument/2006/relationships/hyperlink" Target="http://www.xincai.com/" TargetMode="External"/><Relationship Id="rId72" Type="http://schemas.openxmlformats.org/officeDocument/2006/relationships/hyperlink" Target="http://www.htfund.com/" TargetMode="External"/><Relationship Id="rId73" Type="http://schemas.openxmlformats.org/officeDocument/2006/relationships/hyperlink" Target="http://www.520fund.com.cn/" TargetMode="External"/><Relationship Id="rId74" Type="http://schemas.openxmlformats.org/officeDocument/2006/relationships/hyperlink" Target="http://www.fengfd.com/" TargetMode="External"/><Relationship Id="rId75" Type="http://schemas.openxmlformats.org/officeDocument/2006/relationships/hyperlink" Target="http://www.66liantai.com/" TargetMode="External"/><Relationship Id="rId76" Type="http://schemas.openxmlformats.org/officeDocument/2006/relationships/hyperlink" Target="http://www.jhjzfund.com/" TargetMode="External"/><Relationship Id="rId77" Type="http://schemas.openxmlformats.org/officeDocument/2006/relationships/hyperlink" Target="http://www.haojiyoujijin.com/" TargetMode="External"/><Relationship Id="rId78" Type="http://schemas.openxmlformats.org/officeDocument/2006/relationships/hyperlink" Target="http://www.hotjijin.com/" TargetMode="External"/><Relationship Id="rId79" Type="http://schemas.openxmlformats.org/officeDocument/2006/relationships/hyperlink" Target="http://www.jiyufund.com.cn/" TargetMode="External"/><Relationship Id="rId80" Type="http://schemas.openxmlformats.org/officeDocument/2006/relationships/hyperlink" Target="http://www.zhongzhengfund.com/" TargetMode="External"/><Relationship Id="rId81" Type="http://schemas.openxmlformats.org/officeDocument/2006/relationships/hyperlink" Target="http://www.hongdianfund.com/" TargetMode="External"/><Relationship Id="rId82" Type="http://schemas.openxmlformats.org/officeDocument/2006/relationships/hyperlink" Target="http://www.lufunds.com/" TargetMode="External"/><Relationship Id="rId83" Type="http://schemas.openxmlformats.org/officeDocument/2006/relationships/hyperlink" Target="http://www.dtfunds.com/" TargetMode="External"/><Relationship Id="rId84" Type="http://schemas.openxmlformats.org/officeDocument/2006/relationships/hyperlink" Target="http://www.yingmi.cn/" TargetMode="External"/><Relationship Id="rId85" Type="http://schemas.openxmlformats.org/officeDocument/2006/relationships/hyperlink" Target="http://www.hgccpb.com/" TargetMode="External"/><Relationship Id="rId86" Type="http://schemas.openxmlformats.org/officeDocument/2006/relationships/hyperlink" Target="http://www.ifastps.com.cn/" TargetMode="External"/><Relationship Id="rId87" Type="http://schemas.openxmlformats.org/officeDocument/2006/relationships/hyperlink" Target="http://www.jnlc.com/" TargetMode="External"/><Relationship Id="rId88" Type="http://schemas.openxmlformats.org/officeDocument/2006/relationships/hyperlink" Target="http://fund.jd.com/" TargetMode="External"/><Relationship Id="rId89" Type="http://schemas.openxmlformats.org/officeDocument/2006/relationships/hyperlink" Target="http://www.yibaijin.com/" TargetMode="External"/><Relationship Id="rId90" Type="http://schemas.openxmlformats.org/officeDocument/2006/relationships/hyperlink" Target="http://www.cmiwm.com/" TargetMode="External"/><Relationship Id="rId91" Type="http://schemas.openxmlformats.org/officeDocument/2006/relationships/hyperlink" Target="http://www.jfzinv.com/" TargetMode="External"/><Relationship Id="rId92" Type="http://schemas.openxmlformats.org/officeDocument/2006/relationships/hyperlink" Target="http://www.qiangungun.com/" TargetMode="External"/><Relationship Id="rId93" Type="http://schemas.openxmlformats.org/officeDocument/2006/relationships/hyperlink" Target="http://www.wanjiawealth.com/" TargetMode="External"/><Relationship Id="rId94" Type="http://schemas.openxmlformats.org/officeDocument/2006/relationships/hyperlink" Target="http://www.amcfortune.com/" TargetMode="External"/><Relationship Id="rId95" Type="http://schemas.openxmlformats.org/officeDocument/2006/relationships/hyperlink" Target="http://www.citicsf.com/" TargetMode="External"/><Relationship Id="rId96" Type="http://schemas.openxmlformats.org/officeDocument/2006/relationships/hyperlink" Target="http://www.ftol.com.cn/" TargetMode="External"/><Relationship Id="rId97" Type="http://schemas.openxmlformats.org/officeDocument/2006/relationships/hyperlink" Target="http://www.gtja.com/" TargetMode="External"/><Relationship Id="rId98" Type="http://schemas.openxmlformats.org/officeDocument/2006/relationships/hyperlink" Target="http://www.csc108.com/" TargetMode="External"/><Relationship Id="rId99" Type="http://schemas.openxmlformats.org/officeDocument/2006/relationships/hyperlink" Target="http://www.guosen.com.cn/" TargetMode="External"/><Relationship Id="rId100" Type="http://schemas.openxmlformats.org/officeDocument/2006/relationships/hyperlink" Target="http://www.newone.com.cn/" TargetMode="External"/><Relationship Id="rId101" Type="http://schemas.openxmlformats.org/officeDocument/2006/relationships/hyperlink" Target="http://www.gf.com.cn/" TargetMode="External"/><Relationship Id="rId102" Type="http://schemas.openxmlformats.org/officeDocument/2006/relationships/hyperlink" Target="http://www.cs.ecitic.com/" TargetMode="External"/><Relationship Id="rId103" Type="http://schemas.openxmlformats.org/officeDocument/2006/relationships/hyperlink" Target="http://www.chinastock.com.cn/" TargetMode="External"/><Relationship Id="rId104" Type="http://schemas.openxmlformats.org/officeDocument/2006/relationships/hyperlink" Target="http://www.htsec.com/" TargetMode="External"/><Relationship Id="rId105" Type="http://schemas.openxmlformats.org/officeDocument/2006/relationships/hyperlink" Target="http://www.swhysc.com/" TargetMode="External"/><Relationship Id="rId106" Type="http://schemas.openxmlformats.org/officeDocument/2006/relationships/hyperlink" Target="http://www.xyzq.com.cn/" TargetMode="External"/><Relationship Id="rId107" Type="http://schemas.openxmlformats.org/officeDocument/2006/relationships/hyperlink" Target="http://www.95579.com/" TargetMode="External"/><Relationship Id="rId108" Type="http://schemas.openxmlformats.org/officeDocument/2006/relationships/hyperlink" Target="http://www.essence.com.cn/" TargetMode="External"/><Relationship Id="rId109" Type="http://schemas.openxmlformats.org/officeDocument/2006/relationships/hyperlink" Target="http://www.swsc.com.cn/" TargetMode="External"/><Relationship Id="rId110" Type="http://schemas.openxmlformats.org/officeDocument/2006/relationships/hyperlink" Target="http://www.wlzq.com.cn/" TargetMode="External"/><Relationship Id="rId111" Type="http://schemas.openxmlformats.org/officeDocument/2006/relationships/hyperlink" Target="http://www.mszq.com/" TargetMode="External"/><Relationship Id="rId112" Type="http://schemas.openxmlformats.org/officeDocument/2006/relationships/hyperlink" Target="http://www.ewww.com.cn/" TargetMode="External"/><Relationship Id="rId113" Type="http://schemas.openxmlformats.org/officeDocument/2006/relationships/hyperlink" Target="http://www.i618.com.cn/" TargetMode="External"/><Relationship Id="rId114" Type="http://schemas.openxmlformats.org/officeDocument/2006/relationships/hyperlink" Target="http://sd.citics.com/" TargetMode="External"/><Relationship Id="rId115" Type="http://schemas.openxmlformats.org/officeDocument/2006/relationships/hyperlink" Target="http://www.dwzq.com.cn/" TargetMode="External"/><Relationship Id="rId116" Type="http://schemas.openxmlformats.org/officeDocument/2006/relationships/hyperlink" Target="http://www.cindasc.com/" TargetMode="External"/><Relationship Id="rId117" Type="http://schemas.openxmlformats.org/officeDocument/2006/relationships/hyperlink" Target="http://www.cgws.com/" TargetMode="External"/><Relationship Id="rId118" Type="http://schemas.openxmlformats.org/officeDocument/2006/relationships/hyperlink" Target="http://www.ebscn.com/" TargetMode="External"/><Relationship Id="rId119" Type="http://schemas.openxmlformats.org/officeDocument/2006/relationships/hyperlink" Target="http://www.gzs.com.cn/" TargetMode="External"/><Relationship Id="rId120" Type="http://schemas.openxmlformats.org/officeDocument/2006/relationships/hyperlink" Target="http://www.nesc.cn/" TargetMode="External"/><Relationship Id="rId121" Type="http://schemas.openxmlformats.org/officeDocument/2006/relationships/hyperlink" Target="http://www.njzq.com.cn/" TargetMode="External"/><Relationship Id="rId122" Type="http://schemas.openxmlformats.org/officeDocument/2006/relationships/hyperlink" Target="http://www.962518.com/" TargetMode="External"/><Relationship Id="rId123" Type="http://schemas.openxmlformats.org/officeDocument/2006/relationships/hyperlink" Target="http://www.xsdzq.cn/" TargetMode="External"/><Relationship Id="rId124" Type="http://schemas.openxmlformats.org/officeDocument/2006/relationships/hyperlink" Target="http://www.dtsbc.com.cn/" TargetMode="External"/><Relationship Id="rId125" Type="http://schemas.openxmlformats.org/officeDocument/2006/relationships/hyperlink" Target="http://www.glsc.com.cn/" TargetMode="External"/><Relationship Id="rId126" Type="http://schemas.openxmlformats.org/officeDocument/2006/relationships/hyperlink" Target="http://www.stocke.com.cn/" TargetMode="External"/><Relationship Id="rId127" Type="http://schemas.openxmlformats.org/officeDocument/2006/relationships/hyperlink" Target="http://www.pingan.com/" TargetMode="External"/><Relationship Id="rId128" Type="http://schemas.openxmlformats.org/officeDocument/2006/relationships/hyperlink" Target="http://www.hazq.com/" TargetMode="External"/><Relationship Id="rId129" Type="http://schemas.openxmlformats.org/officeDocument/2006/relationships/hyperlink" Target="http://www.dgzq.com.cn/" TargetMode="External"/><Relationship Id="rId130" Type="http://schemas.openxmlformats.org/officeDocument/2006/relationships/hyperlink" Target="http://www.ccnew.com/" TargetMode="External"/><Relationship Id="rId131" Type="http://schemas.openxmlformats.org/officeDocument/2006/relationships/hyperlink" Target="http://www.guodu.com/" TargetMode="External"/><Relationship Id="rId132" Type="http://schemas.openxmlformats.org/officeDocument/2006/relationships/hyperlink" Target="http://www.longone.com.cn/" TargetMode="External"/><Relationship Id="rId133" Type="http://schemas.openxmlformats.org/officeDocument/2006/relationships/hyperlink" Target="http://www.bocichina.com.cn/" TargetMode="External"/><Relationship Id="rId134" Type="http://schemas.openxmlformats.org/officeDocument/2006/relationships/hyperlink" Target="http://www.gszq.com/" TargetMode="External"/><Relationship Id="rId135" Type="http://schemas.openxmlformats.org/officeDocument/2006/relationships/hyperlink" Target="http://www.hx168.com.cn/" TargetMode="External"/><Relationship Id="rId136" Type="http://schemas.openxmlformats.org/officeDocument/2006/relationships/hyperlink" Target="http://www.hysec.com/" TargetMode="External"/><Relationship Id="rId137" Type="http://schemas.openxmlformats.org/officeDocument/2006/relationships/hyperlink" Target="http://www.zts.com.cn/" TargetMode="External"/><Relationship Id="rId138" Type="http://schemas.openxmlformats.org/officeDocument/2006/relationships/hyperlink" Target="http://www.csco.com.cn/" TargetMode="External"/><Relationship Id="rId139" Type="http://schemas.openxmlformats.org/officeDocument/2006/relationships/hyperlink" Target="http://www.firstcapital.com.cn/" TargetMode="External"/><Relationship Id="rId140" Type="http://schemas.openxmlformats.org/officeDocument/2006/relationships/hyperlink" Target="http://www.jyzq.cn/" TargetMode="External"/><Relationship Id="rId141" Type="http://schemas.openxmlformats.org/officeDocument/2006/relationships/hyperlink" Target="http://www.avicsec.com/" TargetMode="External"/><Relationship Id="rId142" Type="http://schemas.openxmlformats.org/officeDocument/2006/relationships/hyperlink" Target="http://www.westsecu.com/" TargetMode="External"/><Relationship Id="rId143" Type="http://schemas.openxmlformats.org/officeDocument/2006/relationships/hyperlink" Target="http://www.hfzq.com.cn/" TargetMode="External"/><Relationship Id="rId144" Type="http://schemas.openxmlformats.org/officeDocument/2006/relationships/hyperlink" Target="http://www.hlzqgs.com/" TargetMode="External"/><Relationship Id="rId145" Type="http://schemas.openxmlformats.org/officeDocument/2006/relationships/hyperlink" Target="http://www.cicc.com.cn/" TargetMode="External"/><Relationship Id="rId146" Type="http://schemas.openxmlformats.org/officeDocument/2006/relationships/hyperlink" Target="http://www.shhxzq.com/" TargetMode="External"/><Relationship Id="rId147" Type="http://schemas.openxmlformats.org/officeDocument/2006/relationships/hyperlink" Target="http://www.cfsc.com.cn/" TargetMode="External"/><Relationship Id="rId148" Type="http://schemas.openxmlformats.org/officeDocument/2006/relationships/hyperlink" Target="http://www.china-invs.cn/" TargetMode="External"/><Relationship Id="rId149" Type="http://schemas.openxmlformats.org/officeDocument/2006/relationships/hyperlink" Target="http://www.zszq.com/" TargetMode="External"/><Relationship Id="rId150" Type="http://schemas.openxmlformats.org/officeDocument/2006/relationships/hyperlink" Target="http://www.grzq.com/" TargetMode="External"/><Relationship Id="rId151" Type="http://schemas.openxmlformats.org/officeDocument/2006/relationships/hyperlink" Target="http://www.ykzq.com/" TargetMode="External"/><Relationship Id="rId152" Type="http://schemas.openxmlformats.org/officeDocument/2006/relationships/hyperlink" Target="http://www.jhzq.com.cn/" TargetMode="External"/><Relationship Id="rId153" Type="http://schemas.openxmlformats.org/officeDocument/2006/relationships/hyperlink" Target="http://www.gjzq.com.cn/" TargetMode="External"/><Relationship Id="rId154" Type="http://schemas.openxmlformats.org/officeDocument/2006/relationships/hyperlink" Target="http://www.cnhbstock.com/" TargetMode="External"/><Relationship Id="rId155" Type="http://schemas.openxmlformats.org/officeDocument/2006/relationships/hyperlink" Target="http://www.ajzq.com/" TargetMode="External"/><Relationship Id="rId156" Type="http://schemas.openxmlformats.org/officeDocument/2006/relationships/hyperlink" Target="http://www.hrsec.com.cn/" TargetMode="External"/><Relationship Id="rId157" Type="http://schemas.openxmlformats.org/officeDocument/2006/relationships/hyperlink" Target="http://www.tfzq.com/" TargetMode="External"/><Relationship Id="rId158" Type="http://schemas.openxmlformats.org/officeDocument/2006/relationships/hyperlink" Target="http://www.iztzq.com/" TargetMode="External"/><Relationship Id="rId159" Type="http://schemas.openxmlformats.org/officeDocument/2006/relationships/hyperlink" Target="http://www.wanhesec.com.cn/" TargetMode="External"/><Relationship Id="rId160" Type="http://schemas.openxmlformats.org/officeDocument/2006/relationships/hyperlink" Target="http://www.hxzq.cn/" TargetMode="External"/><Relationship Id="rId161" Type="http://schemas.openxmlformats.org/officeDocument/2006/relationships/hyperlink" Target="http://www.tpyzq.com/" TargetMode="External"/><Relationship Id="rId162" Type="http://schemas.openxmlformats.org/officeDocument/2006/relationships/hyperlink" Target="http://www.kysec.cn/" TargetMode="External"/><Relationship Id="rId163" Type="http://schemas.openxmlformats.org/officeDocument/2006/relationships/hyperlink" Target="http://www.cczp.com/" TargetMode="External"/><Relationship Id="rId164" Type="http://schemas.openxmlformats.org/officeDocument/2006/relationships/hyperlink" Target="http://www.lczq.com/" TargetMode="External"/><Relationship Id="rId165" Type="http://schemas.openxmlformats.org/officeDocument/2006/relationships/hyperlink" Target="http://www.huaruisales.com/" TargetMode="External"/><Relationship Id="rId166" Type="http://schemas.openxmlformats.org/officeDocument/2006/relationships/hyperlink" Target="http://fund.sinosig.com/" TargetMode="External"/><Relationship Id="rId167" Type="http://schemas.openxmlformats.org/officeDocument/2006/relationships/hyperlink" Target="http://www.e-chinalife.com/" TargetMode="External"/><Relationship Id="rId168" Type="http://schemas.openxmlformats.org/officeDocument/2006/relationships/hyperlink" Target="http://www.ChinaAMC.com/" TargetMode="External"/><Relationship Id="rId169" Type="http://schemas.openxmlformats.org/officeDocument/2006/relationships/image" Target="media/image9.png"/><Relationship Id="rId170" Type="http://schemas.openxmlformats.org/officeDocument/2006/relationships/image" Target="media/image10.png"/><Relationship Id="rId171" Type="http://schemas.openxmlformats.org/officeDocument/2006/relationships/image" Target="media/image11.png"/><Relationship Id="rId172" Type="http://schemas.openxmlformats.org/officeDocument/2006/relationships/image" Target="media/image12.png"/><Relationship Id="rId173" Type="http://schemas.openxmlformats.org/officeDocument/2006/relationships/image" Target="media/image13.png"/><Relationship Id="rId174" Type="http://schemas.openxmlformats.org/officeDocument/2006/relationships/image" Target="media/image14.png"/><Relationship Id="rId175" Type="http://schemas.openxmlformats.org/officeDocument/2006/relationships/image" Target="media/image15.png"/><Relationship Id="rId176" Type="http://schemas.openxmlformats.org/officeDocument/2006/relationships/image" Target="media/image16.png"/><Relationship Id="rId177" Type="http://schemas.openxmlformats.org/officeDocument/2006/relationships/image" Target="media/image17.png"/><Relationship Id="rId178" Type="http://schemas.openxmlformats.org/officeDocument/2006/relationships/image" Target="media/image18.png"/><Relationship Id="rId179" Type="http://schemas.openxmlformats.org/officeDocument/2006/relationships/image" Target="media/image19.png"/><Relationship Id="rId180" Type="http://schemas.openxmlformats.org/officeDocument/2006/relationships/image" Target="media/image20.png"/><Relationship Id="rId181" Type="http://schemas.openxmlformats.org/officeDocument/2006/relationships/image" Target="media/image21.png"/><Relationship Id="rId182" Type="http://schemas.openxmlformats.org/officeDocument/2006/relationships/image" Target="media/image22.png"/><Relationship Id="rId183" Type="http://schemas.openxmlformats.org/officeDocument/2006/relationships/image" Target="media/image23.png"/><Relationship Id="rId184" Type="http://schemas.openxmlformats.org/officeDocument/2006/relationships/image" Target="media/image24.png"/><Relationship Id="rId185" Type="http://schemas.openxmlformats.org/officeDocument/2006/relationships/image" Target="media/image25.png"/><Relationship Id="rId186" Type="http://schemas.openxmlformats.org/officeDocument/2006/relationships/image" Target="media/image26.png"/><Relationship Id="rId187" Type="http://schemas.openxmlformats.org/officeDocument/2006/relationships/image" Target="media/image27.png"/><Relationship Id="rId188" Type="http://schemas.openxmlformats.org/officeDocument/2006/relationships/footer" Target="footer2.xml"/><Relationship Id="rId189" Type="http://schemas.openxmlformats.org/officeDocument/2006/relationships/footer" Target="footer3.xml"/><Relationship Id="rId190" Type="http://schemas.openxmlformats.org/officeDocument/2006/relationships/footer" Target="footer4.xml"/><Relationship Id="rId191" Type="http://schemas.openxmlformats.org/officeDocument/2006/relationships/footer" Target="footer5.xml"/><Relationship Id="rId192" Type="http://schemas.openxmlformats.org/officeDocument/2006/relationships/footer" Target="footer6.xml"/><Relationship Id="rId193" Type="http://schemas.openxmlformats.org/officeDocument/2006/relationships/footer" Target="footer7.xml"/><Relationship Id="rId194" Type="http://schemas.openxmlformats.org/officeDocument/2006/relationships/hyperlink" Target="mailto:service@ChinaAMC.com" TargetMode="External"/><Relationship Id="rId19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dcterms:created xsi:type="dcterms:W3CDTF">2020-11-22T13:54:36Z</dcterms:created>
  <dcterms:modified xsi:type="dcterms:W3CDTF">2020-11-22T13:54:36Z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