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2" w:lineRule="auto" w:before="205"/>
        <w:ind w:left="1078" w:right="854" w:firstLine="482"/>
        <w:jc w:val="left"/>
        <w:rPr>
          <w:b/>
          <w:sz w:val="48"/>
        </w:rPr>
      </w:pPr>
      <w:r>
        <w:rPr>
          <w:b/>
          <w:sz w:val="48"/>
        </w:rPr>
        <w:t>华夏乐享健康灵活配置混合型 </w:t>
      </w:r>
      <w:r>
        <w:rPr>
          <w:b/>
          <w:w w:val="95"/>
          <w:sz w:val="48"/>
        </w:rPr>
        <w:t>证券投资基金招募说明书（更新）</w:t>
      </w:r>
    </w:p>
    <w:p>
      <w:pPr>
        <w:pStyle w:val="BodyText"/>
        <w:spacing w:before="2"/>
        <w:rPr>
          <w:b/>
          <w:sz w:val="49"/>
        </w:rPr>
      </w:pPr>
    </w:p>
    <w:p>
      <w:pPr>
        <w:spacing w:before="0"/>
        <w:ind w:left="2710" w:right="0" w:firstLine="0"/>
        <w:jc w:val="left"/>
        <w:rPr>
          <w:b/>
          <w:sz w:val="48"/>
        </w:rPr>
      </w:pPr>
      <w:r>
        <w:rPr>
          <w:rFonts w:ascii="Times New Roman" w:eastAsia="Times New Roman"/>
          <w:b/>
          <w:sz w:val="48"/>
        </w:rPr>
        <w:t>2020 </w:t>
      </w:r>
      <w:r>
        <w:rPr>
          <w:b/>
          <w:spacing w:val="-60"/>
          <w:sz w:val="48"/>
        </w:rPr>
        <w:t>年 </w:t>
      </w:r>
      <w:r>
        <w:rPr>
          <w:rFonts w:ascii="Times New Roman" w:eastAsia="Times New Roman"/>
          <w:b/>
          <w:sz w:val="48"/>
        </w:rPr>
        <w:t>10 </w:t>
      </w:r>
      <w:r>
        <w:rPr>
          <w:b/>
          <w:spacing w:val="-60"/>
          <w:sz w:val="48"/>
        </w:rPr>
        <w:t>月 </w:t>
      </w:r>
      <w:r>
        <w:rPr>
          <w:rFonts w:ascii="Times New Roman" w:eastAsia="Times New Roman"/>
          <w:b/>
          <w:sz w:val="48"/>
        </w:rPr>
        <w:t>14 </w:t>
      </w:r>
      <w:r>
        <w:rPr>
          <w:b/>
          <w:sz w:val="48"/>
        </w:rPr>
        <w:t>日公告</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spacing w:before="398"/>
        <w:ind w:left="2242" w:right="0" w:firstLine="0"/>
        <w:jc w:val="left"/>
        <w:rPr>
          <w:sz w:val="32"/>
        </w:rPr>
      </w:pPr>
      <w:r>
        <w:rPr>
          <w:sz w:val="32"/>
        </w:rPr>
        <w:t>基金管理人：华夏基金管理有限公司</w:t>
      </w:r>
    </w:p>
    <w:p>
      <w:pPr>
        <w:spacing w:before="214"/>
        <w:ind w:left="2242" w:right="0" w:firstLine="0"/>
        <w:jc w:val="left"/>
        <w:rPr>
          <w:sz w:val="32"/>
        </w:rPr>
      </w:pPr>
      <w:r>
        <w:rPr>
          <w:sz w:val="32"/>
        </w:rPr>
        <w:t>基金托管人：中国工商银行股份有限公司</w:t>
      </w:r>
    </w:p>
    <w:p>
      <w:pPr>
        <w:spacing w:after="0"/>
        <w:jc w:val="left"/>
        <w:rPr>
          <w:sz w:val="32"/>
        </w:rPr>
        <w:sectPr>
          <w:type w:val="continuous"/>
          <w:pgSz w:w="11910" w:h="16840"/>
          <w:pgMar w:top="1580" w:bottom="280" w:left="1260" w:right="1480"/>
        </w:sectPr>
      </w:pPr>
    </w:p>
    <w:p>
      <w:pPr>
        <w:spacing w:before="110"/>
        <w:ind w:left="2461" w:right="2237" w:firstLine="0"/>
        <w:jc w:val="center"/>
        <w:rPr>
          <w:b/>
          <w:sz w:val="21"/>
        </w:rPr>
      </w:pPr>
      <w:r>
        <w:rPr>
          <w:b/>
          <w:sz w:val="21"/>
        </w:rPr>
        <w:t>重要提示</w:t>
      </w:r>
    </w:p>
    <w:p>
      <w:pPr>
        <w:pStyle w:val="BodyText"/>
        <w:rPr>
          <w:b/>
          <w:sz w:val="20"/>
        </w:rPr>
      </w:pPr>
    </w:p>
    <w:p>
      <w:pPr>
        <w:pStyle w:val="BodyText"/>
        <w:rPr>
          <w:b/>
          <w:sz w:val="20"/>
        </w:rPr>
      </w:pPr>
    </w:p>
    <w:p>
      <w:pPr>
        <w:pStyle w:val="BodyText"/>
        <w:spacing w:line="417" w:lineRule="auto" w:before="154"/>
        <w:ind w:left="540" w:right="311" w:firstLine="419"/>
        <w:jc w:val="both"/>
      </w:pPr>
      <w:r>
        <w:rPr>
          <w:spacing w:val="-5"/>
        </w:rPr>
        <w:t>华夏乐享健康灵活配置混合型证券投资基金</w:t>
      </w:r>
      <w:r>
        <w:rPr>
          <w:spacing w:val="-3"/>
        </w:rPr>
        <w:t>（</w:t>
      </w:r>
      <w:r>
        <w:rPr>
          <w:spacing w:val="-2"/>
        </w:rPr>
        <w:t>以下简称</w:t>
      </w:r>
      <w:r>
        <w:rPr>
          <w:rFonts w:ascii="Times New Roman" w:hAnsi="Times New Roman" w:eastAsia="Times New Roman"/>
          <w:spacing w:val="-3"/>
        </w:rPr>
        <w:t>“</w:t>
      </w:r>
      <w:r>
        <w:rPr>
          <w:spacing w:val="-2"/>
        </w:rPr>
        <w:t>本基金</w:t>
      </w:r>
      <w:r>
        <w:rPr>
          <w:rFonts w:ascii="Times New Roman" w:hAnsi="Times New Roman" w:eastAsia="Times New Roman"/>
          <w:spacing w:val="-19"/>
        </w:rPr>
        <w:t>”</w:t>
      </w:r>
      <w:r>
        <w:rPr>
          <w:spacing w:val="-19"/>
        </w:rPr>
        <w:t>）</w:t>
      </w:r>
      <w:r>
        <w:rPr>
          <w:spacing w:val="-3"/>
        </w:rPr>
        <w:t>的募集申请经中国证</w:t>
      </w:r>
      <w:r>
        <w:rPr>
          <w:spacing w:val="14"/>
        </w:rPr>
        <w:t>监会</w:t>
      </w:r>
      <w:r>
        <w:rPr>
          <w:rFonts w:ascii="Times New Roman" w:hAnsi="Times New Roman" w:eastAsia="Times New Roman"/>
        </w:rPr>
        <w:t>2015</w:t>
      </w:r>
      <w:r>
        <w:rPr>
          <w:rFonts w:ascii="Times New Roman" w:hAnsi="Times New Roman" w:eastAsia="Times New Roman"/>
          <w:spacing w:val="-17"/>
        </w:rPr>
        <w:t> </w:t>
      </w:r>
      <w:r>
        <w:rPr>
          <w:spacing w:val="28"/>
        </w:rPr>
        <w:t>年</w:t>
      </w:r>
      <w:r>
        <w:rPr>
          <w:rFonts w:ascii="Times New Roman" w:hAnsi="Times New Roman" w:eastAsia="Times New Roman"/>
        </w:rPr>
        <w:t>12</w:t>
      </w:r>
      <w:r>
        <w:rPr>
          <w:rFonts w:ascii="Times New Roman" w:hAnsi="Times New Roman" w:eastAsia="Times New Roman"/>
          <w:spacing w:val="-16"/>
        </w:rPr>
        <w:t> </w:t>
      </w:r>
      <w:r>
        <w:rPr>
          <w:spacing w:val="31"/>
        </w:rPr>
        <w:t>月</w:t>
      </w:r>
      <w:r>
        <w:rPr>
          <w:rFonts w:ascii="Times New Roman" w:hAnsi="Times New Roman" w:eastAsia="Times New Roman"/>
        </w:rPr>
        <w:t>4</w:t>
      </w:r>
      <w:r>
        <w:rPr>
          <w:rFonts w:ascii="Times New Roman" w:hAnsi="Times New Roman" w:eastAsia="Times New Roman"/>
          <w:spacing w:val="-17"/>
        </w:rPr>
        <w:t> </w:t>
      </w:r>
      <w:r>
        <w:rPr>
          <w:spacing w:val="-3"/>
        </w:rPr>
        <w:t>日证监许可</w:t>
      </w:r>
      <w:r>
        <w:rPr>
          <w:rFonts w:ascii="Times New Roman" w:hAnsi="Times New Roman" w:eastAsia="Times New Roman"/>
        </w:rPr>
        <w:t>[2015]2839</w:t>
      </w:r>
      <w:r>
        <w:rPr>
          <w:rFonts w:ascii="Times New Roman" w:hAnsi="Times New Roman" w:eastAsia="Times New Roman"/>
          <w:spacing w:val="-18"/>
        </w:rPr>
        <w:t> </w:t>
      </w:r>
      <w:r>
        <w:rPr>
          <w:spacing w:val="-12"/>
        </w:rPr>
        <w:t>号文准予注册，并经机构部函</w:t>
      </w:r>
      <w:r>
        <w:rPr>
          <w:rFonts w:ascii="Times New Roman" w:hAnsi="Times New Roman" w:eastAsia="Times New Roman"/>
        </w:rPr>
        <w:t>[2016]1459</w:t>
      </w:r>
      <w:r>
        <w:rPr>
          <w:rFonts w:ascii="Times New Roman" w:hAnsi="Times New Roman" w:eastAsia="Times New Roman"/>
          <w:spacing w:val="-17"/>
        </w:rPr>
        <w:t> </w:t>
      </w:r>
      <w:r>
        <w:rPr>
          <w:spacing w:val="-2"/>
        </w:rPr>
        <w:t>号确认。</w:t>
      </w:r>
    </w:p>
    <w:p>
      <w:pPr>
        <w:pStyle w:val="BodyText"/>
        <w:spacing w:line="269" w:lineRule="exact"/>
        <w:ind w:left="540"/>
        <w:jc w:val="both"/>
      </w:pPr>
      <w:r>
        <w:rPr/>
        <w:t>本基金基金合同于 </w:t>
      </w:r>
      <w:r>
        <w:rPr>
          <w:rFonts w:ascii="Times New Roman" w:eastAsia="Times New Roman"/>
        </w:rPr>
        <w:t>2016 </w:t>
      </w:r>
      <w:r>
        <w:rPr/>
        <w:t>年 </w:t>
      </w:r>
      <w:r>
        <w:rPr>
          <w:rFonts w:ascii="Times New Roman" w:eastAsia="Times New Roman"/>
        </w:rPr>
        <w:t>8 </w:t>
      </w:r>
      <w:r>
        <w:rPr/>
        <w:t>月 </w:t>
      </w:r>
      <w:r>
        <w:rPr>
          <w:rFonts w:ascii="Times New Roman" w:eastAsia="Times New Roman"/>
        </w:rPr>
        <w:t>3 </w:t>
      </w:r>
      <w:r>
        <w:rPr/>
        <w:t>日正式生效。</w:t>
      </w:r>
    </w:p>
    <w:p>
      <w:pPr>
        <w:pStyle w:val="BodyText"/>
        <w:spacing w:before="7"/>
        <w:rPr>
          <w:sz w:val="15"/>
        </w:rPr>
      </w:pPr>
    </w:p>
    <w:p>
      <w:pPr>
        <w:pStyle w:val="BodyText"/>
        <w:spacing w:line="417" w:lineRule="auto"/>
        <w:ind w:left="540" w:right="31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册，但中国证监会对本基金募集的注册，并不表明其对本基金的价值和收益做出实质性判断</w:t>
      </w:r>
      <w:r>
        <w:rPr>
          <w:spacing w:val="-6"/>
        </w:rPr>
        <w:t>或保证，也不表明投资于本基金没有风险。</w:t>
      </w:r>
    </w:p>
    <w:p>
      <w:pPr>
        <w:pStyle w:val="BodyText"/>
        <w:spacing w:line="417" w:lineRule="auto"/>
        <w:ind w:left="540" w:right="205"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14"/>
        </w:rPr>
        <w:t>在基金管理实施过程中产生的积极管理风险，本基金的特定风险等。本基金可投资存托凭证， </w:t>
      </w:r>
      <w:r>
        <w:rPr>
          <w:spacing w:val="-11"/>
        </w:rPr>
        <w:t>基金净值可能受到存托凭证的境外基础证券价格波动影响，存托凭证的境外基础证券的相关风险可能直接或间接成为本基金的风险。本基金属于混合基金，风险与收益高于债券基金与</w:t>
      </w:r>
      <w:r>
        <w:rPr>
          <w:spacing w:val="-13"/>
        </w:rPr>
        <w:t>货币市场基金。根据 </w:t>
      </w:r>
      <w:r>
        <w:rPr>
          <w:rFonts w:ascii="Times New Roman" w:eastAsia="Times New Roman"/>
        </w:rPr>
        <w:t>2017</w:t>
      </w:r>
      <w:r>
        <w:rPr>
          <w:rFonts w:ascii="Times New Roman" w:eastAsia="Times New Roman"/>
          <w:spacing w:val="3"/>
        </w:rPr>
        <w:t> </w:t>
      </w:r>
      <w:r>
        <w:rPr>
          <w:spacing w:val="-24"/>
        </w:rPr>
        <w:t>年 </w:t>
      </w:r>
      <w:r>
        <w:rPr>
          <w:rFonts w:ascii="Times New Roman" w:eastAsia="Times New Roman"/>
        </w:rPr>
        <w:t>7</w:t>
      </w:r>
      <w:r>
        <w:rPr>
          <w:rFonts w:ascii="Times New Roman" w:eastAsia="Times New Roman"/>
          <w:spacing w:val="2"/>
        </w:rPr>
        <w:t> </w:t>
      </w:r>
      <w:r>
        <w:rPr>
          <w:spacing w:val="-24"/>
        </w:rPr>
        <w:t>月 </w:t>
      </w:r>
      <w:r>
        <w:rPr>
          <w:rFonts w:ascii="Times New Roman" w:eastAsia="Times New Roman"/>
        </w:rPr>
        <w:t>1</w:t>
      </w:r>
      <w:r>
        <w:rPr>
          <w:rFonts w:ascii="Times New Roman" w:eastAsia="Times New Roman"/>
          <w:spacing w:val="5"/>
        </w:rPr>
        <w:t> </w:t>
      </w:r>
      <w:r>
        <w:rPr>
          <w:spacing w:val="-14"/>
        </w:rPr>
        <w:t>日施行的《证券期货投资者适当性管理办法》，基金管理</w:t>
      </w:r>
      <w:r>
        <w:rPr>
          <w:spacing w:val="-12"/>
        </w:rPr>
        <w:t>人和销售机构已对本基金重新进行风险评级，风险评级行为不改变基金的实质性风险收益特</w:t>
      </w:r>
      <w:r>
        <w:rPr>
          <w:spacing w:val="-11"/>
        </w:rPr>
        <w:t>征，但由于风险分类标准的变化，本基金的风险等级表述可能有相应变化，具体风险评级结</w:t>
      </w:r>
      <w:r>
        <w:rPr>
          <w:spacing w:val="-6"/>
        </w:rPr>
        <w:t>果应以基金管理人和销售机构提供的评级结果为准。</w:t>
      </w:r>
    </w:p>
    <w:p>
      <w:pPr>
        <w:pStyle w:val="BodyText"/>
        <w:spacing w:line="417" w:lineRule="auto"/>
        <w:ind w:left="540" w:right="20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540" w:right="311" w:firstLine="419"/>
      </w:pPr>
      <w:r>
        <w:rPr>
          <w:spacing w:val="-9"/>
        </w:rPr>
        <w:t>基金产品资料概要编制、披露与更新要求，自《信息披露办法》实施之日起一年后开始执行。</w:t>
      </w:r>
    </w:p>
    <w:p>
      <w:pPr>
        <w:pStyle w:val="BodyText"/>
        <w:spacing w:line="269" w:lineRule="exact"/>
        <w:ind w:left="960"/>
      </w:pPr>
      <w:r>
        <w:rPr/>
        <w:t>基金的过往业绩并不预示其未来表现。</w:t>
      </w:r>
    </w:p>
    <w:p>
      <w:pPr>
        <w:pStyle w:val="BodyText"/>
        <w:spacing w:before="5"/>
        <w:rPr>
          <w:sz w:val="15"/>
        </w:rPr>
      </w:pPr>
    </w:p>
    <w:p>
      <w:pPr>
        <w:pStyle w:val="BodyText"/>
        <w:spacing w:line="417" w:lineRule="auto"/>
        <w:ind w:left="540" w:right="31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960"/>
      </w:pPr>
      <w:r>
        <w:rPr/>
        <w:t>投资者应当认真阅读并完全理解基金合同规定的免责条款和规定的争议处理方式。</w:t>
      </w:r>
    </w:p>
    <w:p>
      <w:pPr>
        <w:pStyle w:val="BodyText"/>
        <w:spacing w:before="7"/>
        <w:rPr>
          <w:sz w:val="15"/>
        </w:rPr>
      </w:pPr>
    </w:p>
    <w:p>
      <w:pPr>
        <w:pStyle w:val="BodyText"/>
        <w:spacing w:line="417" w:lineRule="auto" w:before="1"/>
        <w:ind w:left="540" w:right="31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headerReference w:type="default" r:id="rId5"/>
          <w:footerReference w:type="default" r:id="rId6"/>
          <w:pgSz w:w="11910" w:h="16840"/>
          <w:pgMar w:header="877" w:footer="995" w:top="1420" w:bottom="1180" w:left="1260" w:right="1480"/>
          <w:pgNumType w:start="1"/>
        </w:sectPr>
      </w:pPr>
    </w:p>
    <w:p>
      <w:pPr>
        <w:spacing w:before="110"/>
        <w:ind w:left="2461" w:right="1820" w:firstLine="0"/>
        <w:jc w:val="center"/>
        <w:rPr>
          <w:b/>
          <w:sz w:val="21"/>
        </w:rPr>
      </w:pPr>
      <w:r>
        <w:rPr>
          <w:b/>
          <w:sz w:val="21"/>
        </w:rPr>
        <w:t>目录</w:t>
      </w:r>
    </w:p>
    <w:sdt>
      <w:sdtPr>
        <w:docPartObj>
          <w:docPartGallery w:val="Table of Contents"/>
          <w:docPartUnique/>
        </w:docPartObj>
      </w:sdtPr>
      <w:sdtEndPr/>
      <w:sdtContent>
        <w:p>
          <w:pPr>
            <w:pStyle w:val="TOC1"/>
            <w:tabs>
              <w:tab w:pos="8838" w:val="right" w:leader="dot"/>
            </w:tabs>
            <w:spacing w:before="667"/>
            <w:rPr>
              <w:rFonts w:ascii="Times New Roman" w:eastAsia="Times New Roman"/>
            </w:rPr>
          </w:pPr>
          <w:hyperlink w:history="true" w:anchor="_bookmark0">
            <w:r>
              <w:rPr/>
              <w:t>一、</w:t>
            </w:r>
            <w:r>
              <w:rPr>
                <w:spacing w:val="-3"/>
              </w:rPr>
              <w:t>绪</w:t>
            </w:r>
            <w:r>
              <w:rPr/>
              <w:t>言</w:t>
              <w:tab/>
            </w:r>
            <w:r>
              <w:rPr>
                <w:rFonts w:ascii="Times New Roman" w:eastAsia="Times New Roman"/>
              </w:rPr>
              <w:t>3</w:t>
            </w:r>
          </w:hyperlink>
        </w:p>
        <w:p>
          <w:pPr>
            <w:pStyle w:val="TOC1"/>
            <w:tabs>
              <w:tab w:pos="883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3</w:t>
            </w:r>
          </w:hyperlink>
        </w:p>
        <w:p>
          <w:pPr>
            <w:pStyle w:val="TOC1"/>
            <w:tabs>
              <w:tab w:pos="883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7</w:t>
            </w:r>
          </w:hyperlink>
        </w:p>
        <w:p>
          <w:pPr>
            <w:pStyle w:val="TOC1"/>
            <w:tabs>
              <w:tab w:pos="883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14</w:t>
            </w:r>
          </w:hyperlink>
        </w:p>
        <w:p>
          <w:pPr>
            <w:pStyle w:val="TOC1"/>
            <w:tabs>
              <w:tab w:pos="883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18</w:t>
            </w:r>
          </w:hyperlink>
        </w:p>
        <w:p>
          <w:pPr>
            <w:pStyle w:val="TOC1"/>
            <w:tabs>
              <w:tab w:pos="8838" w:val="right" w:leader="dot"/>
            </w:tabs>
            <w:spacing w:before="200"/>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65</w:t>
            </w:r>
          </w:hyperlink>
        </w:p>
        <w:p>
          <w:pPr>
            <w:pStyle w:val="TOC1"/>
            <w:tabs>
              <w:tab w:pos="8838" w:val="right" w:leader="dot"/>
            </w:tabs>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66</w:t>
            </w:r>
          </w:hyperlink>
        </w:p>
        <w:p>
          <w:pPr>
            <w:pStyle w:val="TOC1"/>
            <w:tabs>
              <w:tab w:pos="883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66</w:t>
            </w:r>
          </w:hyperlink>
        </w:p>
        <w:p>
          <w:pPr>
            <w:pStyle w:val="TOC1"/>
            <w:tabs>
              <w:tab w:pos="883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91</w:t>
            </w:r>
          </w:hyperlink>
        </w:p>
        <w:p>
          <w:pPr>
            <w:pStyle w:val="TOC1"/>
            <w:tabs>
              <w:tab w:pos="8841"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100</w:t>
            </w:r>
          </w:hyperlink>
        </w:p>
        <w:p>
          <w:pPr>
            <w:pStyle w:val="TOC1"/>
            <w:tabs>
              <w:tab w:pos="8841"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101</w:t>
            </w:r>
          </w:hyperlink>
        </w:p>
        <w:p>
          <w:pPr>
            <w:pStyle w:val="TOC1"/>
            <w:tabs>
              <w:tab w:pos="8841"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102</w:t>
            </w:r>
          </w:hyperlink>
        </w:p>
        <w:p>
          <w:pPr>
            <w:pStyle w:val="TOC1"/>
            <w:tabs>
              <w:tab w:pos="8841" w:val="right" w:leader="dot"/>
            </w:tabs>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106</w:t>
            </w:r>
          </w:hyperlink>
        </w:p>
        <w:p>
          <w:pPr>
            <w:pStyle w:val="TOC1"/>
            <w:tabs>
              <w:tab w:pos="8841" w:val="right" w:leader="dot"/>
            </w:tabs>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107</w:t>
            </w:r>
          </w:hyperlink>
        </w:p>
        <w:p>
          <w:pPr>
            <w:pStyle w:val="TOC1"/>
            <w:tabs>
              <w:tab w:pos="8841"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109</w:t>
            </w:r>
          </w:hyperlink>
        </w:p>
        <w:p>
          <w:pPr>
            <w:pStyle w:val="TOC1"/>
            <w:tabs>
              <w:tab w:pos="8841"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109</w:t>
            </w:r>
          </w:hyperlink>
        </w:p>
        <w:p>
          <w:pPr>
            <w:pStyle w:val="TOC1"/>
            <w:tabs>
              <w:tab w:pos="8841"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spacing w:val="-3"/>
              </w:rPr>
              <w:t>114</w:t>
            </w:r>
          </w:hyperlink>
        </w:p>
        <w:p>
          <w:pPr>
            <w:pStyle w:val="TOC1"/>
            <w:tabs>
              <w:tab w:pos="8841"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spacing w:val="-3"/>
              </w:rPr>
              <w:t>118</w:t>
            </w:r>
          </w:hyperlink>
        </w:p>
        <w:p>
          <w:pPr>
            <w:pStyle w:val="TOC1"/>
            <w:tabs>
              <w:tab w:pos="8841"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120</w:t>
            </w:r>
          </w:hyperlink>
        </w:p>
        <w:p>
          <w:pPr>
            <w:pStyle w:val="TOC1"/>
            <w:tabs>
              <w:tab w:pos="8841" w:val="right" w:leader="dot"/>
            </w:tabs>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134</w:t>
            </w:r>
          </w:hyperlink>
        </w:p>
        <w:p>
          <w:pPr>
            <w:pStyle w:val="TOC1"/>
            <w:tabs>
              <w:tab w:pos="8841" w:val="right" w:leader="dot"/>
            </w:tabs>
            <w:rPr>
              <w:rFonts w:ascii="Times New Roman" w:eastAsia="Times New Roman"/>
            </w:rPr>
          </w:pPr>
          <w:hyperlink w:history="true" w:anchor="_bookmark21">
            <w:r>
              <w:rPr/>
              <w:t>二十</w:t>
            </w:r>
            <w:r>
              <w:rPr>
                <w:spacing w:val="-3"/>
              </w:rPr>
              <w:t>一</w:t>
            </w:r>
            <w:r>
              <w:rPr/>
              <w:t>、</w:t>
            </w:r>
            <w:r>
              <w:rPr>
                <w:spacing w:val="-3"/>
              </w:rPr>
              <w:t>其</w:t>
            </w:r>
            <w:r>
              <w:rPr/>
              <w:t>他</w:t>
            </w:r>
            <w:r>
              <w:rPr>
                <w:spacing w:val="-3"/>
              </w:rPr>
              <w:t>应</w:t>
            </w:r>
            <w:r>
              <w:rPr/>
              <w:t>披</w:t>
            </w:r>
            <w:r>
              <w:rPr>
                <w:spacing w:val="-3"/>
              </w:rPr>
              <w:t>露</w:t>
            </w:r>
            <w:r>
              <w:rPr/>
              <w:t>事项</w:t>
              <w:tab/>
            </w:r>
            <w:r>
              <w:rPr>
                <w:rFonts w:ascii="Times New Roman" w:eastAsia="Times New Roman"/>
              </w:rPr>
              <w:t>145</w:t>
            </w:r>
          </w:hyperlink>
        </w:p>
        <w:p>
          <w:pPr>
            <w:pStyle w:val="TOC1"/>
            <w:tabs>
              <w:tab w:pos="8841" w:val="right" w:leader="dot"/>
            </w:tabs>
            <w:rPr>
              <w:rFonts w:ascii="Times New Roman" w:eastAsia="Times New Roman"/>
            </w:rPr>
          </w:pPr>
          <w:hyperlink w:history="true" w:anchor="_bookmark20">
            <w:r>
              <w:rPr/>
              <w:t>二十</w:t>
            </w:r>
            <w:r>
              <w:rPr>
                <w:spacing w:val="-3"/>
              </w:rPr>
              <w:t>二</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143</w:t>
            </w:r>
          </w:hyperlink>
        </w:p>
        <w:p>
          <w:pPr>
            <w:pStyle w:val="TOC1"/>
            <w:tabs>
              <w:tab w:pos="8841"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145</w:t>
            </w:r>
          </w:hyperlink>
        </w:p>
        <w:p>
          <w:pPr>
            <w:pStyle w:val="TOC1"/>
            <w:tabs>
              <w:tab w:pos="8841"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145</w:t>
            </w:r>
          </w:hyperlink>
        </w:p>
      </w:sdtContent>
    </w:sdt>
    <w:p>
      <w:pPr>
        <w:spacing w:after="0"/>
        <w:rPr>
          <w:rFonts w:ascii="Times New Roman" w:eastAsia="Times New Roman"/>
        </w:rPr>
        <w:sectPr>
          <w:pgSz w:w="11910" w:h="16840"/>
          <w:pgMar w:header="877" w:footer="995" w:top="1420" w:bottom="1180" w:left="1260" w:right="1480"/>
        </w:sectPr>
      </w:pPr>
    </w:p>
    <w:p>
      <w:pPr>
        <w:pStyle w:val="Heading1"/>
        <w:spacing w:before="110"/>
      </w:pPr>
      <w:bookmarkStart w:name="_bookmark0" w:id="1"/>
      <w:bookmarkEnd w:id="1"/>
      <w:r>
        <w:rPr>
          <w:b w:val="0"/>
        </w:rPr>
      </w:r>
      <w:r>
        <w:rPr/>
        <w:t>一、绪言</w:t>
      </w:r>
    </w:p>
    <w:p>
      <w:pPr>
        <w:pStyle w:val="BodyText"/>
        <w:rPr>
          <w:b/>
          <w:sz w:val="20"/>
        </w:rPr>
      </w:pPr>
    </w:p>
    <w:p>
      <w:pPr>
        <w:pStyle w:val="BodyText"/>
        <w:spacing w:before="3"/>
        <w:rPr>
          <w:b/>
          <w:sz w:val="14"/>
        </w:rPr>
      </w:pPr>
    </w:p>
    <w:p>
      <w:pPr>
        <w:pStyle w:val="BodyText"/>
        <w:spacing w:line="417" w:lineRule="auto"/>
        <w:ind w:left="540" w:right="311" w:firstLine="419"/>
        <w:jc w:val="both"/>
      </w:pPr>
      <w:r>
        <w:rPr>
          <w:spacing w:val="-3"/>
        </w:rPr>
        <w:t>《华夏乐享健康灵活配置混合型证券投资基金招募说明书</w:t>
      </w:r>
      <w:r>
        <w:rPr/>
        <w:t>（更新</w:t>
      </w:r>
      <w:r>
        <w:rPr>
          <w:spacing w:val="-106"/>
        </w:rPr>
        <w:t>）</w:t>
      </w:r>
      <w:r>
        <w:rPr>
          <w:spacing w:val="-108"/>
        </w:rPr>
        <w:t>》</w:t>
      </w:r>
      <w:r>
        <w:rPr/>
        <w:t>（</w:t>
      </w:r>
      <w:r>
        <w:rPr>
          <w:spacing w:val="-1"/>
        </w:rPr>
        <w:t>以下简称</w:t>
      </w:r>
      <w:r>
        <w:rPr>
          <w:rFonts w:ascii="Times New Roman" w:hAnsi="Times New Roman" w:eastAsia="Times New Roman"/>
        </w:rPr>
        <w:t>“</w:t>
      </w:r>
      <w:r>
        <w:rPr/>
        <w:t>本招募</w:t>
      </w:r>
      <w:r>
        <w:rPr>
          <w:spacing w:val="-1"/>
          <w:w w:val="100"/>
        </w:rPr>
        <w:t>说明书</w:t>
      </w:r>
      <w:r>
        <w:rPr>
          <w:rFonts w:ascii="Times New Roman" w:hAnsi="Times New Roman" w:eastAsia="Times New Roman"/>
          <w:spacing w:val="-1"/>
          <w:w w:val="100"/>
        </w:rPr>
        <w:t>”</w:t>
      </w:r>
      <w:r>
        <w:rPr>
          <w:spacing w:val="-13"/>
          <w:w w:val="100"/>
        </w:rPr>
        <w:t>）</w:t>
      </w:r>
      <w:r>
        <w:rPr>
          <w:spacing w:val="-4"/>
          <w:w w:val="100"/>
        </w:rPr>
        <w:t>依据《中华人民共和国证券投资基金法</w:t>
      </w:r>
      <w:r>
        <w:rPr>
          <w:spacing w:val="-118"/>
          <w:w w:val="100"/>
        </w:rPr>
        <w:t>》</w:t>
      </w:r>
      <w:r>
        <w:rPr>
          <w:spacing w:val="-3"/>
          <w:w w:val="100"/>
        </w:rPr>
        <w:t>（</w:t>
      </w:r>
      <w:r>
        <w:rPr>
          <w:spacing w:val="-1"/>
          <w:w w:val="100"/>
        </w:rPr>
        <w:t>以下简称</w:t>
      </w:r>
      <w:r>
        <w:rPr>
          <w:rFonts w:ascii="Times New Roman" w:hAnsi="Times New Roman" w:eastAsia="Times New Roman"/>
          <w:spacing w:val="-13"/>
          <w:w w:val="100"/>
        </w:rPr>
        <w:t>“</w:t>
      </w:r>
      <w:r>
        <w:rPr>
          <w:spacing w:val="-5"/>
          <w:w w:val="100"/>
        </w:rPr>
        <w:t>《基金法》</w:t>
      </w:r>
      <w:r>
        <w:rPr>
          <w:rFonts w:ascii="Times New Roman" w:hAnsi="Times New Roman" w:eastAsia="Times New Roman"/>
          <w:spacing w:val="-1"/>
          <w:w w:val="100"/>
        </w:rPr>
        <w:t>”</w:t>
      </w:r>
      <w:r>
        <w:rPr>
          <w:spacing w:val="-106"/>
          <w:w w:val="100"/>
        </w:rPr>
        <w:t>）</w:t>
      </w:r>
      <w:r>
        <w:rPr>
          <w:spacing w:val="-19"/>
          <w:w w:val="100"/>
        </w:rPr>
        <w:t>、《证券投资基</w:t>
      </w:r>
      <w:r>
        <w:rPr>
          <w:spacing w:val="-23"/>
          <w:w w:val="100"/>
        </w:rPr>
        <w:t>金销售管理办法》</w:t>
      </w:r>
      <w:r>
        <w:rPr>
          <w:spacing w:val="-3"/>
          <w:w w:val="100"/>
        </w:rPr>
        <w:t>（以下简称</w:t>
      </w:r>
      <w:r>
        <w:rPr>
          <w:rFonts w:ascii="Times New Roman" w:hAnsi="Times New Roman" w:eastAsia="Times New Roman"/>
          <w:spacing w:val="-15"/>
          <w:w w:val="100"/>
        </w:rPr>
        <w:t>“</w:t>
      </w:r>
      <w:r>
        <w:rPr>
          <w:spacing w:val="-6"/>
          <w:w w:val="100"/>
        </w:rPr>
        <w:t>《销售办法》</w:t>
      </w:r>
      <w:r>
        <w:rPr>
          <w:rFonts w:ascii="Times New Roman" w:hAnsi="Times New Roman" w:eastAsia="Times New Roman"/>
          <w:spacing w:val="-1"/>
          <w:w w:val="100"/>
        </w:rPr>
        <w:t>”</w:t>
      </w:r>
      <w:r>
        <w:rPr>
          <w:spacing w:val="-106"/>
          <w:w w:val="100"/>
        </w:rPr>
        <w:t>）</w:t>
      </w:r>
      <w:r>
        <w:rPr>
          <w:spacing w:val="-20"/>
          <w:w w:val="100"/>
        </w:rPr>
        <w:t>、《公开募集证券投资基金运作管理办法》</w:t>
      </w:r>
      <w:r>
        <w:rPr>
          <w:spacing w:val="-3"/>
          <w:w w:val="100"/>
        </w:rPr>
        <w:t>（</w:t>
      </w:r>
      <w:r>
        <w:rPr>
          <w:w w:val="100"/>
        </w:rPr>
        <w:t>以</w:t>
      </w:r>
      <w:r>
        <w:rPr>
          <w:spacing w:val="-1"/>
          <w:w w:val="100"/>
        </w:rPr>
        <w:t>下简称</w:t>
      </w:r>
      <w:r>
        <w:rPr>
          <w:rFonts w:ascii="Times New Roman" w:hAnsi="Times New Roman" w:eastAsia="Times New Roman"/>
          <w:spacing w:val="-13"/>
          <w:w w:val="100"/>
        </w:rPr>
        <w:t>“</w:t>
      </w:r>
      <w:r>
        <w:rPr>
          <w:spacing w:val="-5"/>
          <w:w w:val="100"/>
        </w:rPr>
        <w:t>《运作办法》</w:t>
      </w:r>
      <w:r>
        <w:rPr>
          <w:rFonts w:ascii="Times New Roman" w:hAnsi="Times New Roman" w:eastAsia="Times New Roman"/>
          <w:w w:val="100"/>
        </w:rPr>
        <w:t>”</w:t>
      </w:r>
      <w:r>
        <w:rPr>
          <w:spacing w:val="-106"/>
          <w:w w:val="100"/>
        </w:rPr>
        <w:t>）</w:t>
      </w:r>
      <w:r>
        <w:rPr>
          <w:spacing w:val="-19"/>
          <w:w w:val="100"/>
        </w:rPr>
        <w:t>、《公开募集证券投资基金信息披露管理办法》</w:t>
      </w:r>
      <w:r>
        <w:rPr>
          <w:w w:val="100"/>
        </w:rPr>
        <w:t>（</w:t>
      </w:r>
      <w:r>
        <w:rPr>
          <w:spacing w:val="-2"/>
          <w:w w:val="100"/>
        </w:rPr>
        <w:t>以下简称</w:t>
      </w:r>
      <w:r>
        <w:rPr>
          <w:rFonts w:ascii="Times New Roman" w:hAnsi="Times New Roman" w:eastAsia="Times New Roman"/>
          <w:spacing w:val="-15"/>
          <w:w w:val="100"/>
        </w:rPr>
        <w:t>“</w:t>
      </w:r>
      <w:r>
        <w:rPr>
          <w:spacing w:val="-2"/>
          <w:w w:val="100"/>
        </w:rPr>
        <w:t>《信息披</w:t>
      </w:r>
      <w:r>
        <w:rPr>
          <w:spacing w:val="-6"/>
          <w:w w:val="100"/>
        </w:rPr>
        <w:t>露办法》</w:t>
      </w:r>
      <w:r>
        <w:rPr>
          <w:rFonts w:ascii="Times New Roman" w:hAnsi="Times New Roman" w:eastAsia="Times New Roman"/>
          <w:spacing w:val="-1"/>
          <w:w w:val="100"/>
        </w:rPr>
        <w:t>”</w:t>
      </w:r>
      <w:r>
        <w:rPr>
          <w:spacing w:val="-108"/>
          <w:w w:val="100"/>
        </w:rPr>
        <w:t>）</w:t>
      </w:r>
      <w:r>
        <w:rPr>
          <w:spacing w:val="-13"/>
          <w:w w:val="100"/>
        </w:rPr>
        <w:t>、《公开募集开放式证券投资基金流动性风险管理规定》</w:t>
      </w:r>
      <w:r>
        <w:rPr>
          <w:rFonts w:ascii="Times New Roman" w:hAnsi="Times New Roman" w:eastAsia="Times New Roman"/>
          <w:spacing w:val="-4"/>
          <w:w w:val="100"/>
        </w:rPr>
        <w:t>(</w:t>
      </w:r>
      <w:r>
        <w:rPr>
          <w:spacing w:val="-5"/>
          <w:w w:val="100"/>
        </w:rPr>
        <w:t>以下简称“《流动性风</w:t>
      </w:r>
      <w:r>
        <w:rPr>
          <w:spacing w:val="-5"/>
        </w:rPr>
        <w:t>险管理规定》”</w:t>
      </w:r>
      <w:r>
        <w:rPr>
          <w:rFonts w:ascii="Times New Roman" w:hAnsi="Times New Roman" w:eastAsia="Times New Roman"/>
          <w:spacing w:val="-5"/>
        </w:rPr>
        <w:t>)</w:t>
      </w:r>
      <w:r>
        <w:rPr>
          <w:spacing w:val="-6"/>
        </w:rPr>
        <w:t>及其他有关规定以及《华夏乐享健康灵活配置混合型证券投资基金基金合</w:t>
      </w:r>
      <w:r>
        <w:rPr/>
        <w:t>同》</w:t>
      </w:r>
      <w:r>
        <w:rPr>
          <w:spacing w:val="-3"/>
        </w:rPr>
        <w:t>（以下简称</w:t>
      </w:r>
      <w:r>
        <w:rPr>
          <w:rFonts w:ascii="Times New Roman" w:hAnsi="Times New Roman" w:eastAsia="Times New Roman"/>
        </w:rPr>
        <w:t>“</w:t>
      </w:r>
      <w:r>
        <w:rPr>
          <w:spacing w:val="-3"/>
        </w:rPr>
        <w:t>基金合同</w:t>
      </w:r>
      <w:r>
        <w:rPr>
          <w:rFonts w:ascii="Times New Roman" w:hAnsi="Times New Roman" w:eastAsia="Times New Roman"/>
        </w:rPr>
        <w:t>”</w:t>
      </w:r>
      <w:r>
        <w:rPr/>
        <w:t>）</w:t>
      </w:r>
      <w:r>
        <w:rPr>
          <w:spacing w:val="-2"/>
        </w:rPr>
        <w:t>编写。</w:t>
      </w:r>
    </w:p>
    <w:p>
      <w:pPr>
        <w:pStyle w:val="BodyText"/>
        <w:spacing w:line="417" w:lineRule="auto"/>
        <w:ind w:left="540" w:right="31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540" w:right="208" w:firstLine="619"/>
      </w:pPr>
      <w:r>
        <w:rPr>
          <w:spacing w:val="-8"/>
        </w:rPr>
        <w:t>本招募说明书根据本基金的基金合同编写，并经中国证监会注册。基金合同是约定基</w:t>
      </w:r>
      <w:r>
        <w:rPr>
          <w:spacing w:val="-10"/>
        </w:rPr>
        <w:t>金合同当事人之间基本权利义务的法律文件，其他与本基金相关的涉及基金合同当事人之间</w:t>
      </w:r>
      <w:r>
        <w:rPr>
          <w:spacing w:val="-5"/>
        </w:rPr>
        <w:t>权利义务关系的任何文件或表述，均以基金合同为准。基金合同的当事人包括基金管理人、</w:t>
      </w:r>
      <w:r>
        <w:rPr>
          <w:spacing w:val="-10"/>
        </w:rPr>
        <w:t>基金托管人和基金份额持有人。基金投资者自依基金合同取得本基金基金份额，即成为基金</w:t>
      </w:r>
      <w:r>
        <w:rPr>
          <w:spacing w:val="-12"/>
        </w:rPr>
        <w:t>份额持有人和基金合同的当事人，其持有基金份额的行为本身即表明其对基金合同的承认和接受。基金份额持有人作为基金合同当事人并不以在基金合同上书面签章为必要条件。基金</w:t>
      </w:r>
      <w:r>
        <w:rPr>
          <w:spacing w:val="-13"/>
        </w:rPr>
        <w:t>合同当事人按照《基金法》、基金合同及其他有关规定享有权利、承担义务。基金投资者欲</w:t>
      </w:r>
      <w:r>
        <w:rPr>
          <w:spacing w:val="-6"/>
        </w:rPr>
        <w:t>了解基金份额持有人的权利和义务，应详细查阅基金合同。</w:t>
      </w:r>
    </w:p>
    <w:p>
      <w:pPr>
        <w:pStyle w:val="BodyText"/>
        <w:spacing w:before="6"/>
        <w:rPr>
          <w:sz w:val="26"/>
        </w:rPr>
      </w:pPr>
    </w:p>
    <w:p>
      <w:pPr>
        <w:pStyle w:val="Heading1"/>
      </w:pPr>
      <w:bookmarkStart w:name="_bookmark1" w:id="2"/>
      <w:bookmarkEnd w:id="2"/>
      <w:r>
        <w:rPr>
          <w:b w:val="0"/>
        </w:rPr>
      </w:r>
      <w:r>
        <w:rPr/>
        <w:t>二、释义</w:t>
      </w:r>
    </w:p>
    <w:p>
      <w:pPr>
        <w:pStyle w:val="BodyText"/>
        <w:rPr>
          <w:b/>
          <w:sz w:val="20"/>
        </w:rPr>
      </w:pPr>
    </w:p>
    <w:p>
      <w:pPr>
        <w:pStyle w:val="BodyText"/>
        <w:spacing w:before="2"/>
        <w:rPr>
          <w:b/>
        </w:rPr>
      </w:pPr>
    </w:p>
    <w:p>
      <w:pPr>
        <w:pStyle w:val="BodyText"/>
        <w:spacing w:before="1"/>
        <w:ind w:left="960"/>
      </w:pPr>
      <w:r>
        <w:rPr/>
        <w:t>本招募说明书中，除非文意另有所指，下列词语或简称具有如下含义：</w:t>
      </w:r>
    </w:p>
    <w:p>
      <w:pPr>
        <w:pStyle w:val="BodyText"/>
        <w:spacing w:before="6"/>
        <w:rPr>
          <w:sz w:val="15"/>
        </w:rPr>
      </w:pPr>
    </w:p>
    <w:p>
      <w:pPr>
        <w:pStyle w:val="BodyText"/>
        <w:ind w:left="960"/>
      </w:pPr>
      <w:r>
        <w:rPr>
          <w:rFonts w:ascii="Times New Roman" w:eastAsia="Times New Roman"/>
        </w:rPr>
        <w:t>1</w:t>
      </w:r>
      <w:r>
        <w:rPr/>
        <w:t>、基金或本基金：指华夏乐享健康灵活配置混合型证券投资基金。</w:t>
      </w:r>
    </w:p>
    <w:p>
      <w:pPr>
        <w:pStyle w:val="BodyText"/>
        <w:spacing w:before="7"/>
        <w:rPr>
          <w:sz w:val="15"/>
        </w:rPr>
      </w:pPr>
    </w:p>
    <w:p>
      <w:pPr>
        <w:pStyle w:val="BodyText"/>
        <w:ind w:left="960"/>
      </w:pPr>
      <w:r>
        <w:rPr>
          <w:rFonts w:ascii="Times New Roman" w:eastAsia="Times New Roman"/>
        </w:rPr>
        <w:t>2</w:t>
      </w:r>
      <w:r>
        <w:rPr/>
        <w:t>、基金管理人：指华夏基金管理有限公司。</w:t>
      </w:r>
    </w:p>
    <w:p>
      <w:pPr>
        <w:pStyle w:val="BodyText"/>
        <w:spacing w:before="7"/>
        <w:rPr>
          <w:sz w:val="15"/>
        </w:rPr>
      </w:pPr>
    </w:p>
    <w:p>
      <w:pPr>
        <w:pStyle w:val="BodyText"/>
        <w:ind w:left="960"/>
      </w:pPr>
      <w:r>
        <w:rPr>
          <w:rFonts w:ascii="Times New Roman" w:eastAsia="Times New Roman"/>
        </w:rPr>
        <w:t>3</w:t>
      </w:r>
      <w:r>
        <w:rPr/>
        <w:t>、基金托管人：指中国工商银行股份有限公司。</w:t>
      </w:r>
    </w:p>
    <w:p>
      <w:pPr>
        <w:pStyle w:val="BodyText"/>
        <w:spacing w:before="6"/>
        <w:rPr>
          <w:sz w:val="15"/>
        </w:rPr>
      </w:pPr>
    </w:p>
    <w:p>
      <w:pPr>
        <w:pStyle w:val="BodyText"/>
        <w:spacing w:line="417" w:lineRule="auto" w:before="1"/>
        <w:ind w:left="540" w:right="311" w:firstLine="419"/>
      </w:pPr>
      <w:r>
        <w:rPr>
          <w:rFonts w:ascii="Times New Roman" w:eastAsia="Times New Roman"/>
        </w:rPr>
        <w:t>4</w:t>
      </w:r>
      <w:r>
        <w:rPr>
          <w:spacing w:val="-13"/>
        </w:rPr>
        <w:t>、基金合同</w:t>
      </w:r>
      <w:r>
        <w:rPr>
          <w:spacing w:val="-22"/>
        </w:rPr>
        <w:t>、《基金合同》：指《华夏乐享健康灵活配置混合型证券投资基金基金合同》</w:t>
      </w:r>
      <w:r>
        <w:rPr>
          <w:spacing w:val="-8"/>
        </w:rPr>
        <w:t>及对基金合同的任何有效修订和补充。</w:t>
      </w:r>
    </w:p>
    <w:p>
      <w:pPr>
        <w:pStyle w:val="BodyText"/>
        <w:ind w:left="960"/>
      </w:pPr>
      <w:r>
        <w:rPr>
          <w:rFonts w:ascii="Times New Roman" w:eastAsia="Times New Roman"/>
        </w:rPr>
        <w:t>5</w:t>
      </w:r>
      <w:r>
        <w:rPr/>
        <w:t>、托管协议：指基金管理人与基金托管人就本基金签订之《华夏乐享健康灵活配置混</w:t>
      </w:r>
    </w:p>
    <w:p>
      <w:pPr>
        <w:spacing w:after="0"/>
        <w:sectPr>
          <w:pgSz w:w="11910" w:h="16840"/>
          <w:pgMar w:header="877" w:footer="995" w:top="1420" w:bottom="1180" w:left="1260" w:right="1480"/>
        </w:sectPr>
      </w:pPr>
    </w:p>
    <w:p>
      <w:pPr>
        <w:pStyle w:val="BodyText"/>
        <w:spacing w:before="110"/>
        <w:ind w:left="540"/>
      </w:pPr>
      <w:r>
        <w:rPr/>
        <w:t>合型证券投资基金托管协议》及对该托管协议的任何有效修订和补充。</w:t>
      </w:r>
    </w:p>
    <w:p>
      <w:pPr>
        <w:pStyle w:val="BodyText"/>
        <w:spacing w:before="6"/>
        <w:rPr>
          <w:sz w:val="15"/>
        </w:rPr>
      </w:pPr>
    </w:p>
    <w:p>
      <w:pPr>
        <w:pStyle w:val="BodyText"/>
        <w:spacing w:line="417" w:lineRule="auto"/>
        <w:ind w:left="540" w:right="314" w:firstLine="419"/>
      </w:pPr>
      <w:r>
        <w:rPr>
          <w:rFonts w:ascii="Times New Roman" w:eastAsia="Times New Roman"/>
        </w:rPr>
        <w:t>6</w:t>
      </w:r>
      <w:r>
        <w:rPr/>
        <w:t>、招募说明书：指《华夏乐享健康灵活配置混合型证券投资基金招募说明书》及其更新。</w:t>
      </w:r>
    </w:p>
    <w:p>
      <w:pPr>
        <w:pStyle w:val="BodyText"/>
        <w:spacing w:line="417" w:lineRule="auto"/>
        <w:ind w:left="540" w:right="313" w:firstLine="419"/>
      </w:pPr>
      <w:r>
        <w:rPr>
          <w:rFonts w:ascii="Times New Roman" w:eastAsia="Times New Roman"/>
        </w:rPr>
        <w:t>7</w:t>
      </w:r>
      <w:r>
        <w:rPr/>
        <w:t>、基金份额发售公告：指《华夏乐享健康灵活配置混合型证券投资基金基金份额发售公告》。</w:t>
      </w:r>
    </w:p>
    <w:p>
      <w:pPr>
        <w:pStyle w:val="BodyText"/>
        <w:spacing w:line="417" w:lineRule="auto"/>
        <w:ind w:left="540" w:right="31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ind w:left="960"/>
      </w:pPr>
      <w:r>
        <w:rPr>
          <w:rFonts w:ascii="Times New Roman" w:eastAsia="Times New Roman"/>
        </w:rPr>
        <w:t>9</w:t>
      </w:r>
      <w:r>
        <w:rPr>
          <w:spacing w:val="-24"/>
        </w:rPr>
        <w:t>、《基金法》：指《中华人民共和国证券投资基金法》及颁布机关对其不时做出的修订。</w:t>
      </w:r>
    </w:p>
    <w:p>
      <w:pPr>
        <w:pStyle w:val="BodyText"/>
        <w:spacing w:before="7"/>
        <w:rPr>
          <w:sz w:val="15"/>
        </w:rPr>
      </w:pPr>
    </w:p>
    <w:p>
      <w:pPr>
        <w:pStyle w:val="BodyText"/>
        <w:ind w:left="960"/>
      </w:pPr>
      <w:r>
        <w:rPr>
          <w:rFonts w:ascii="Times New Roman" w:eastAsia="Times New Roman"/>
        </w:rPr>
        <w:t>10</w:t>
      </w:r>
      <w:r>
        <w:rPr/>
        <w:t>、《销售办法》：指《证券投资基金销售管理办法》及颁布机关对其不时做出的修订。</w:t>
      </w:r>
    </w:p>
    <w:p>
      <w:pPr>
        <w:pStyle w:val="BodyText"/>
        <w:spacing w:before="6"/>
        <w:rPr>
          <w:sz w:val="15"/>
        </w:rPr>
      </w:pPr>
    </w:p>
    <w:p>
      <w:pPr>
        <w:pStyle w:val="BodyText"/>
        <w:spacing w:line="417" w:lineRule="auto" w:before="1"/>
        <w:ind w:left="540" w:right="31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540" w:right="31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540" w:right="208"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ind w:left="960"/>
      </w:pPr>
      <w:r>
        <w:rPr>
          <w:rFonts w:ascii="Times New Roman" w:eastAsia="Times New Roman"/>
        </w:rPr>
        <w:t>14</w:t>
      </w:r>
      <w:r>
        <w:rPr/>
        <w:t>、中国证监会：指中国证券监督管理委员会。</w:t>
      </w:r>
    </w:p>
    <w:p>
      <w:pPr>
        <w:pStyle w:val="BodyText"/>
        <w:spacing w:before="5"/>
        <w:rPr>
          <w:sz w:val="15"/>
        </w:rPr>
      </w:pPr>
    </w:p>
    <w:p>
      <w:pPr>
        <w:pStyle w:val="BodyText"/>
        <w:spacing w:before="1"/>
        <w:ind w:left="96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before="6"/>
        <w:rPr>
          <w:sz w:val="15"/>
        </w:rPr>
      </w:pPr>
    </w:p>
    <w:p>
      <w:pPr>
        <w:pStyle w:val="BodyText"/>
        <w:spacing w:line="417" w:lineRule="auto"/>
        <w:ind w:left="540" w:right="31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960"/>
      </w:pPr>
      <w:r>
        <w:rPr>
          <w:rFonts w:ascii="Times New Roman" w:eastAsia="Times New Roman"/>
        </w:rPr>
        <w:t>17</w:t>
      </w:r>
      <w:r>
        <w:rPr/>
        <w:t>、个人投资者：指依据有关法律法规规定可投资于证券投资基金的自然人。</w:t>
      </w:r>
    </w:p>
    <w:p>
      <w:pPr>
        <w:pStyle w:val="BodyText"/>
        <w:spacing w:before="7"/>
        <w:rPr>
          <w:sz w:val="15"/>
        </w:rPr>
      </w:pPr>
    </w:p>
    <w:p>
      <w:pPr>
        <w:pStyle w:val="BodyText"/>
        <w:spacing w:line="417" w:lineRule="auto"/>
        <w:ind w:left="540" w:right="31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540" w:right="21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540" w:right="311" w:firstLine="419"/>
        <w:jc w:val="both"/>
      </w:pPr>
      <w:r>
        <w:rPr>
          <w:rFonts w:ascii="Times New Roman" w:eastAsia="Times New Roman"/>
        </w:rPr>
        <w:t>20</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540" w:right="311" w:firstLine="419"/>
      </w:pPr>
      <w:r>
        <w:rPr>
          <w:rFonts w:ascii="Times New Roman" w:eastAsia="Times New Roman"/>
        </w:rPr>
        <w:t>21</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ind w:left="960"/>
      </w:pPr>
      <w:r>
        <w:rPr>
          <w:rFonts w:ascii="Times New Roman" w:eastAsia="Times New Roman"/>
        </w:rPr>
        <w:t>22</w:t>
      </w:r>
      <w:r>
        <w:rPr/>
        <w:t>、基金份额持有人：指依基金合同和招募说明书合法取得基金份额的投资人。</w:t>
      </w:r>
    </w:p>
    <w:p>
      <w:pPr>
        <w:spacing w:after="0"/>
        <w:sectPr>
          <w:pgSz w:w="11910" w:h="16840"/>
          <w:pgMar w:header="877" w:footer="995" w:top="1420" w:bottom="1180" w:left="1260" w:right="1480"/>
        </w:sectPr>
      </w:pPr>
    </w:p>
    <w:p>
      <w:pPr>
        <w:pStyle w:val="BodyText"/>
        <w:spacing w:line="417" w:lineRule="auto" w:before="110"/>
        <w:ind w:left="540" w:right="311" w:firstLine="419"/>
      </w:pPr>
      <w:r>
        <w:rPr>
          <w:rFonts w:ascii="Times New Roman" w:eastAsia="Times New Roman"/>
        </w:rPr>
        <w:t>23</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540" w:right="311" w:firstLine="419"/>
        <w:jc w:val="both"/>
      </w:pPr>
      <w:r>
        <w:rPr>
          <w:rFonts w:ascii="Times New Roman" w:eastAsia="Times New Roman"/>
        </w:rPr>
        <w:t>24</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540" w:right="311" w:firstLine="419"/>
        <w:jc w:val="both"/>
      </w:pPr>
      <w:r>
        <w:rPr>
          <w:rFonts w:ascii="Times New Roman" w:eastAsia="Times New Roman"/>
        </w:rPr>
        <w:t>25</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40" w:right="311" w:firstLine="419"/>
      </w:pPr>
      <w:r>
        <w:rPr>
          <w:rFonts w:ascii="Times New Roman" w:eastAsia="Times New Roman"/>
        </w:rPr>
        <w:t>26</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40" w:right="311" w:firstLine="419"/>
      </w:pPr>
      <w:r>
        <w:rPr>
          <w:rFonts w:ascii="Times New Roman" w:eastAsia="Times New Roman"/>
        </w:rPr>
        <w:t>27</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540" w:right="311" w:firstLine="419"/>
      </w:pPr>
      <w:r>
        <w:rPr>
          <w:rFonts w:ascii="Times New Roman" w:eastAsia="Times New Roman"/>
        </w:rPr>
        <w:t>28</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540" w:right="315" w:firstLine="419"/>
      </w:pPr>
      <w:r>
        <w:rPr>
          <w:rFonts w:ascii="Times New Roman" w:eastAsia="Times New Roman"/>
        </w:rPr>
        <w:t>29</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540" w:right="311" w:firstLine="419"/>
      </w:pPr>
      <w:r>
        <w:rPr>
          <w:rFonts w:ascii="Times New Roman" w:eastAsia="Times New Roman"/>
        </w:rPr>
        <w:t>30</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269" w:lineRule="exact"/>
        <w:ind w:left="960"/>
        <w:rPr>
          <w:rFonts w:ascii="Times New Roman" w:eastAsia="Times New Roman"/>
        </w:rPr>
      </w:pPr>
      <w:r>
        <w:rPr>
          <w:rFonts w:ascii="Times New Roman" w:eastAsia="Times New Roman"/>
        </w:rPr>
        <w:t>31</w:t>
      </w:r>
      <w:r>
        <w:rPr/>
        <w:t>、基金募集期：指自基金份额发售之日起至发售结束之日止的期间，最长不得超过 </w:t>
      </w:r>
      <w:r>
        <w:rPr>
          <w:rFonts w:ascii="Times New Roman" w:eastAsia="Times New Roman"/>
        </w:rPr>
        <w:t>3</w:t>
      </w:r>
    </w:p>
    <w:p>
      <w:pPr>
        <w:pStyle w:val="BodyText"/>
        <w:spacing w:before="197"/>
        <w:ind w:left="540"/>
      </w:pPr>
      <w:r>
        <w:rPr/>
        <w:t>个月。</w:t>
      </w:r>
    </w:p>
    <w:p>
      <w:pPr>
        <w:pStyle w:val="BodyText"/>
        <w:spacing w:before="6"/>
        <w:rPr>
          <w:sz w:val="15"/>
        </w:rPr>
      </w:pPr>
    </w:p>
    <w:p>
      <w:pPr>
        <w:pStyle w:val="BodyText"/>
        <w:spacing w:before="1"/>
        <w:ind w:left="960"/>
      </w:pPr>
      <w:r>
        <w:rPr>
          <w:rFonts w:ascii="Times New Roman" w:eastAsia="Times New Roman"/>
        </w:rPr>
        <w:t>32</w:t>
      </w:r>
      <w:r>
        <w:rPr/>
        <w:t>、存续期：指基金合同生效至终止之间的不定期期限。</w:t>
      </w:r>
    </w:p>
    <w:p>
      <w:pPr>
        <w:pStyle w:val="BodyText"/>
        <w:spacing w:before="7"/>
        <w:rPr>
          <w:sz w:val="15"/>
        </w:rPr>
      </w:pPr>
    </w:p>
    <w:p>
      <w:pPr>
        <w:pStyle w:val="BodyText"/>
        <w:ind w:left="960"/>
      </w:pPr>
      <w:r>
        <w:rPr>
          <w:rFonts w:ascii="Times New Roman" w:eastAsia="Times New Roman"/>
        </w:rPr>
        <w:t>33</w:t>
      </w:r>
      <w:r>
        <w:rPr/>
        <w:t>、工作日：指上海证券交易所、深圳证券交易所的正常交易日。</w:t>
      </w:r>
    </w:p>
    <w:p>
      <w:pPr>
        <w:pStyle w:val="BodyText"/>
        <w:spacing w:before="7"/>
        <w:rPr>
          <w:sz w:val="15"/>
        </w:rPr>
      </w:pPr>
    </w:p>
    <w:p>
      <w:pPr>
        <w:pStyle w:val="BodyText"/>
        <w:ind w:left="960"/>
      </w:pPr>
      <w:r>
        <w:rPr>
          <w:rFonts w:ascii="Times New Roman" w:eastAsia="Times New Roman"/>
        </w:rPr>
        <w:t>34</w:t>
      </w:r>
      <w:r>
        <w:rPr/>
        <w:t>、</w:t>
      </w:r>
      <w:r>
        <w:rPr>
          <w:rFonts w:ascii="Times New Roman" w:eastAsia="Times New Roman"/>
        </w:rPr>
        <w:t>T </w:t>
      </w:r>
      <w:r>
        <w:rPr/>
        <w:t>日：指销售机构在规定时间受理投资人申购、赎回或其他业务申请的开放日。</w:t>
      </w:r>
    </w:p>
    <w:p>
      <w:pPr>
        <w:pStyle w:val="BodyText"/>
        <w:spacing w:before="6"/>
        <w:rPr>
          <w:sz w:val="15"/>
        </w:rPr>
      </w:pPr>
    </w:p>
    <w:p>
      <w:pPr>
        <w:pStyle w:val="BodyText"/>
        <w:spacing w:before="1"/>
        <w:ind w:left="960"/>
      </w:pPr>
      <w:r>
        <w:rPr>
          <w:rFonts w:ascii="Times New Roman" w:eastAsia="Times New Roman"/>
        </w:rPr>
        <w:t>35</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6"/>
        <w:rPr>
          <w:sz w:val="15"/>
        </w:rPr>
      </w:pPr>
    </w:p>
    <w:p>
      <w:pPr>
        <w:pStyle w:val="BodyText"/>
        <w:ind w:left="960"/>
      </w:pPr>
      <w:r>
        <w:rPr>
          <w:rFonts w:ascii="Times New Roman" w:eastAsia="Times New Roman"/>
        </w:rPr>
        <w:t>36</w:t>
      </w:r>
      <w:r>
        <w:rPr/>
        <w:t>、开放日：指为投资人办理基金份额申购、赎回或其他业务的工作日。</w:t>
      </w:r>
    </w:p>
    <w:p>
      <w:pPr>
        <w:pStyle w:val="BodyText"/>
        <w:spacing w:before="7"/>
        <w:rPr>
          <w:sz w:val="15"/>
        </w:rPr>
      </w:pPr>
    </w:p>
    <w:p>
      <w:pPr>
        <w:pStyle w:val="BodyText"/>
        <w:ind w:left="960"/>
      </w:pPr>
      <w:r>
        <w:rPr>
          <w:rFonts w:ascii="Times New Roman" w:eastAsia="Times New Roman"/>
        </w:rPr>
        <w:t>37</w:t>
      </w:r>
      <w:r>
        <w:rPr/>
        <w:t>、开放时间：指开放日基金接受申购、赎回或其他交易的时间段。</w:t>
      </w:r>
    </w:p>
    <w:p>
      <w:pPr>
        <w:pStyle w:val="BodyText"/>
        <w:spacing w:before="7"/>
        <w:rPr>
          <w:sz w:val="15"/>
        </w:rPr>
      </w:pPr>
    </w:p>
    <w:p>
      <w:pPr>
        <w:pStyle w:val="BodyText"/>
        <w:spacing w:line="417" w:lineRule="auto"/>
        <w:ind w:left="540" w:right="311" w:firstLine="419"/>
        <w:jc w:val="both"/>
      </w:pPr>
      <w:r>
        <w:rPr>
          <w:rFonts w:ascii="Times New Roman" w:eastAsia="Times New Roman"/>
        </w:rPr>
        <w:t>38</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ind w:left="960"/>
      </w:pPr>
      <w:r>
        <w:rPr>
          <w:rFonts w:ascii="Times New Roman" w:eastAsia="Times New Roman"/>
        </w:rPr>
        <w:t>39</w:t>
      </w:r>
      <w:r>
        <w:rPr/>
        <w:t>、认购：指在基金募集期内，投资人申请购买基金份额的行为。</w:t>
      </w:r>
    </w:p>
    <w:p>
      <w:pPr>
        <w:spacing w:after="0"/>
        <w:sectPr>
          <w:pgSz w:w="11910" w:h="16840"/>
          <w:pgMar w:header="877" w:footer="995" w:top="1420" w:bottom="1180" w:left="1260" w:right="1480"/>
        </w:sectPr>
      </w:pPr>
    </w:p>
    <w:p>
      <w:pPr>
        <w:pStyle w:val="BodyText"/>
        <w:spacing w:line="417" w:lineRule="auto" w:before="110"/>
        <w:ind w:left="540" w:right="311" w:firstLine="419"/>
      </w:pPr>
      <w:r>
        <w:rPr>
          <w:rFonts w:ascii="Times New Roman" w:eastAsia="Times New Roman"/>
        </w:rPr>
        <w:t>40</w:t>
      </w:r>
      <w:r>
        <w:rPr>
          <w:spacing w:val="-12"/>
        </w:rPr>
        <w:t>、申购：指基金合同生效后，投资人根据基金合同和招募说明书的规定申请购买基金</w:t>
      </w:r>
      <w:r>
        <w:rPr>
          <w:spacing w:val="-6"/>
        </w:rPr>
        <w:t>份额的行为。</w:t>
      </w:r>
    </w:p>
    <w:p>
      <w:pPr>
        <w:pStyle w:val="BodyText"/>
        <w:spacing w:line="417" w:lineRule="auto"/>
        <w:ind w:left="540" w:right="311" w:firstLine="419"/>
      </w:pPr>
      <w:r>
        <w:rPr>
          <w:rFonts w:ascii="Times New Roman" w:eastAsia="Times New Roman"/>
        </w:rPr>
        <w:t>41</w:t>
      </w:r>
      <w:r>
        <w:rPr>
          <w:spacing w:val="-12"/>
        </w:rPr>
        <w:t>、赎回：指基金合同生效后，基金份额持有人按基金合同规定的条件要求将基金份额</w:t>
      </w:r>
      <w:r>
        <w:rPr>
          <w:spacing w:val="-6"/>
        </w:rPr>
        <w:t>兑换为现金的行为。</w:t>
      </w:r>
    </w:p>
    <w:p>
      <w:pPr>
        <w:pStyle w:val="BodyText"/>
        <w:spacing w:line="417" w:lineRule="auto"/>
        <w:ind w:left="540" w:right="205" w:firstLine="419"/>
      </w:pPr>
      <w:r>
        <w:rPr>
          <w:rFonts w:ascii="Times New Roman" w:eastAsia="Times New Roman"/>
        </w:rPr>
        <w:t>42</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540" w:right="311" w:firstLine="419"/>
      </w:pPr>
      <w:r>
        <w:rPr>
          <w:rFonts w:ascii="Times New Roman" w:eastAsia="Times New Roman"/>
        </w:rPr>
        <w:t>43</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40" w:right="311" w:firstLine="419"/>
        <w:jc w:val="both"/>
      </w:pPr>
      <w:r>
        <w:rPr>
          <w:rFonts w:ascii="Times New Roman" w:eastAsia="Times New Roman"/>
        </w:rPr>
        <w:t>44</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540" w:right="208" w:firstLine="419"/>
      </w:pPr>
      <w:r>
        <w:rPr>
          <w:rFonts w:ascii="Times New Roman" w:eastAsia="Times New Roman"/>
        </w:rPr>
        <w:t>45</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ind w:left="960"/>
      </w:pPr>
      <w:r>
        <w:rPr>
          <w:rFonts w:ascii="Times New Roman" w:eastAsia="Times New Roman"/>
        </w:rPr>
        <w:t>46</w:t>
      </w:r>
      <w:r>
        <w:rPr/>
        <w:t>、元：指人民币元。</w:t>
      </w:r>
    </w:p>
    <w:p>
      <w:pPr>
        <w:pStyle w:val="BodyText"/>
        <w:spacing w:line="417" w:lineRule="auto" w:before="197"/>
        <w:ind w:left="540" w:right="311" w:firstLine="419"/>
      </w:pPr>
      <w:r>
        <w:rPr>
          <w:rFonts w:ascii="Times New Roman" w:eastAsia="Times New Roman"/>
        </w:rPr>
        <w:t>47</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540" w:right="311" w:firstLine="419"/>
      </w:pPr>
      <w:r>
        <w:rPr>
          <w:rFonts w:ascii="Times New Roman" w:eastAsia="Times New Roman"/>
        </w:rPr>
        <w:t>48</w:t>
      </w:r>
      <w:r>
        <w:rPr>
          <w:spacing w:val="-11"/>
        </w:rPr>
        <w:t>、基金资产总值：指基金拥有的各类有价证券、银行存款本息、基金应收申购款及其</w:t>
      </w:r>
      <w:r>
        <w:rPr>
          <w:spacing w:val="-6"/>
        </w:rPr>
        <w:t>他资产的价值总和。</w:t>
      </w:r>
    </w:p>
    <w:p>
      <w:pPr>
        <w:pStyle w:val="BodyText"/>
        <w:spacing w:line="269" w:lineRule="exact"/>
        <w:ind w:left="960"/>
      </w:pPr>
      <w:r>
        <w:rPr>
          <w:rFonts w:ascii="Times New Roman" w:eastAsia="Times New Roman"/>
        </w:rPr>
        <w:t>49</w:t>
      </w:r>
      <w:r>
        <w:rPr/>
        <w:t>、基金资产净值：指基金资产总值减去基金负债后的价值。</w:t>
      </w:r>
    </w:p>
    <w:p>
      <w:pPr>
        <w:pStyle w:val="BodyText"/>
        <w:spacing w:before="7"/>
        <w:rPr>
          <w:sz w:val="15"/>
        </w:rPr>
      </w:pPr>
    </w:p>
    <w:p>
      <w:pPr>
        <w:pStyle w:val="BodyText"/>
        <w:ind w:left="960"/>
      </w:pPr>
      <w:r>
        <w:rPr>
          <w:rFonts w:ascii="Times New Roman" w:eastAsia="Times New Roman"/>
        </w:rPr>
        <w:t>50</w:t>
      </w:r>
      <w:r>
        <w:rPr/>
        <w:t>、基金份额净值：指计算日基金资产净值除以计算日基金份额总数。</w:t>
      </w:r>
    </w:p>
    <w:p>
      <w:pPr>
        <w:pStyle w:val="BodyText"/>
        <w:spacing w:before="7"/>
        <w:rPr>
          <w:sz w:val="15"/>
        </w:rPr>
      </w:pPr>
    </w:p>
    <w:p>
      <w:pPr>
        <w:pStyle w:val="BodyText"/>
        <w:spacing w:line="417" w:lineRule="auto"/>
        <w:ind w:left="540" w:right="311" w:firstLine="419"/>
      </w:pPr>
      <w:r>
        <w:rPr>
          <w:rFonts w:ascii="Times New Roman" w:eastAsia="Times New Roman"/>
        </w:rPr>
        <w:t>51</w:t>
      </w:r>
      <w:r>
        <w:rPr>
          <w:spacing w:val="-11"/>
        </w:rPr>
        <w:t>、基金资产估值：指计算评估基金资产和负债的价值，以确定基金资产净值和基金份</w:t>
      </w:r>
      <w:r>
        <w:rPr>
          <w:spacing w:val="-6"/>
        </w:rPr>
        <w:t>额净值的过程。</w:t>
      </w:r>
    </w:p>
    <w:p>
      <w:pPr>
        <w:pStyle w:val="BodyText"/>
        <w:spacing w:line="269" w:lineRule="exact"/>
        <w:ind w:left="960"/>
      </w:pPr>
      <w:r>
        <w:rPr>
          <w:rFonts w:ascii="Times New Roman" w:eastAsia="Times New Roman"/>
        </w:rPr>
        <w:t>52</w:t>
      </w:r>
      <w:r>
        <w:rPr/>
        <w:t>、指定媒介：指中国证监会指定的用以进行信息披露的媒介。</w:t>
      </w:r>
    </w:p>
    <w:p>
      <w:pPr>
        <w:pStyle w:val="BodyText"/>
        <w:spacing w:before="6"/>
        <w:rPr>
          <w:sz w:val="15"/>
        </w:rPr>
      </w:pPr>
    </w:p>
    <w:p>
      <w:pPr>
        <w:pStyle w:val="BodyText"/>
        <w:spacing w:line="417" w:lineRule="auto" w:before="1"/>
        <w:ind w:left="540" w:right="311" w:firstLine="419"/>
        <w:jc w:val="both"/>
      </w:pPr>
      <w:r>
        <w:rPr>
          <w:rFonts w:ascii="Times New Roman" w:eastAsia="Times New Roman"/>
        </w:rPr>
        <w:t>53</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8"/>
        </w:rPr>
        <w:t>）</w:t>
      </w:r>
      <w:r>
        <w:rPr>
          <w:spacing w:val="-3"/>
        </w:rPr>
        <w:t>、停牌股票、流通受限的新股及非公开发行股票、资产支持证券、因发行人债务违约无法进行转让或交易的债券等。</w:t>
      </w:r>
    </w:p>
    <w:p>
      <w:pPr>
        <w:pStyle w:val="BodyText"/>
        <w:spacing w:line="269" w:lineRule="exact"/>
        <w:ind w:left="960"/>
      </w:pPr>
      <w:r>
        <w:rPr>
          <w:rFonts w:ascii="Times New Roman" w:eastAsia="Times New Roman"/>
        </w:rPr>
        <w:t>54</w:t>
      </w:r>
      <w:r>
        <w:rPr/>
        <w:t>、摆动定价机制：指当开放式基金遭遇大额申购赎回时，通过调整基金份额净值的方</w:t>
      </w:r>
    </w:p>
    <w:p>
      <w:pPr>
        <w:spacing w:after="0" w:line="269" w:lineRule="exact"/>
        <w:sectPr>
          <w:pgSz w:w="11910" w:h="16840"/>
          <w:pgMar w:header="877" w:footer="995" w:top="1420" w:bottom="1180" w:left="1260" w:right="1480"/>
        </w:sectPr>
      </w:pPr>
    </w:p>
    <w:p>
      <w:pPr>
        <w:pStyle w:val="BodyText"/>
        <w:spacing w:line="417" w:lineRule="auto" w:before="110"/>
        <w:ind w:left="540" w:right="311"/>
      </w:pP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960"/>
      </w:pPr>
      <w:r>
        <w:rPr>
          <w:rFonts w:ascii="Times New Roman" w:eastAsia="Times New Roman"/>
        </w:rPr>
        <w:t>55</w:t>
      </w:r>
      <w:r>
        <w:rPr>
          <w:spacing w:val="-3"/>
        </w:rPr>
        <w:t>、不可抗力：指基金合同当事人不能预见、不能避免且不能克服的客观事件。</w:t>
      </w:r>
    </w:p>
    <w:p>
      <w:pPr>
        <w:pStyle w:val="BodyText"/>
        <w:spacing w:before="6"/>
        <w:rPr>
          <w:sz w:val="15"/>
        </w:rPr>
      </w:pPr>
    </w:p>
    <w:p>
      <w:pPr>
        <w:pStyle w:val="BodyText"/>
        <w:spacing w:line="417" w:lineRule="auto"/>
        <w:ind w:left="540" w:right="311" w:firstLine="419"/>
      </w:pPr>
      <w:r>
        <w:rPr>
          <w:rFonts w:ascii="Times New Roman" w:eastAsia="Times New Roman"/>
        </w:rPr>
        <w:t>56</w:t>
      </w:r>
      <w:r>
        <w:rPr>
          <w:spacing w:val="-12"/>
        </w:rPr>
        <w:t>、基金产品资料概要：指《华夏乐享健康灵活配置混合型证券投资基金基金产品资料</w:t>
      </w:r>
      <w:r>
        <w:rPr>
          <w:spacing w:val="-6"/>
        </w:rPr>
        <w:t>概要》及其更新。</w:t>
      </w:r>
    </w:p>
    <w:p>
      <w:pPr>
        <w:pStyle w:val="BodyText"/>
        <w:rPr>
          <w:sz w:val="20"/>
        </w:rPr>
      </w:pPr>
    </w:p>
    <w:p>
      <w:pPr>
        <w:pStyle w:val="BodyText"/>
        <w:rPr>
          <w:sz w:val="20"/>
        </w:rPr>
      </w:pPr>
    </w:p>
    <w:p>
      <w:pPr>
        <w:pStyle w:val="BodyText"/>
        <w:spacing w:before="2"/>
        <w:rPr>
          <w:sz w:val="23"/>
        </w:rPr>
      </w:pPr>
    </w:p>
    <w:p>
      <w:pPr>
        <w:pStyle w:val="Heading1"/>
      </w:pPr>
      <w:bookmarkStart w:name="_bookmark2" w:id="3"/>
      <w:bookmarkEnd w:id="3"/>
      <w:r>
        <w:rPr>
          <w:b w:val="0"/>
        </w:rPr>
      </w:r>
      <w:r>
        <w:rPr/>
        <w:t>三、基金管理人</w:t>
      </w:r>
    </w:p>
    <w:p>
      <w:pPr>
        <w:pStyle w:val="BodyText"/>
        <w:rPr>
          <w:b/>
          <w:sz w:val="20"/>
        </w:rPr>
      </w:pPr>
    </w:p>
    <w:p>
      <w:pPr>
        <w:pStyle w:val="BodyText"/>
        <w:spacing w:before="3"/>
        <w:rPr>
          <w:b/>
        </w:rPr>
      </w:pPr>
    </w:p>
    <w:p>
      <w:pPr>
        <w:pStyle w:val="BodyText"/>
        <w:ind w:left="960"/>
      </w:pPr>
      <w:r>
        <w:rPr/>
        <w:t>（一）基金管理人概况</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960" w:right="6310"/>
      </w:pPr>
      <w:r>
        <w:rPr/>
        <w:t>法定代表人：杨明辉联系人：邱曦</w:t>
      </w:r>
    </w:p>
    <w:p>
      <w:pPr>
        <w:pStyle w:val="BodyText"/>
        <w:spacing w:line="417" w:lineRule="auto"/>
        <w:ind w:left="960" w:right="554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960"/>
      </w:pPr>
      <w:r>
        <w:rPr/>
        <w:pict>
          <v:group style="position:absolute;margin-left:137.899994pt;margin-top:19.843134pt;width:319.55pt;height:88.85pt;mso-position-horizontal-relative:page;mso-position-vertical-relative:paragraph;z-index:-259841024" coordorigin="2758,397" coordsize="6391,1777">
            <v:shape style="position:absolute;left:6536;top:396;width:10;height:3" type="#_x0000_t75" stroked="false">
              <v:imagedata r:id="rId7" o:title=""/>
            </v:shape>
            <v:shape style="position:absolute;left:2758;top:399;width:6391;height:1775" type="#_x0000_t75" stroked="false">
              <v:imagedata r:id="rId8" o:title=""/>
            </v:shape>
            <w10:wrap type="none"/>
          </v:group>
        </w:pict>
      </w:r>
      <w:r>
        <w:rPr/>
        <w:t>华夏基金管理有限公司注册资本为 </w:t>
      </w:r>
      <w:r>
        <w:rPr>
          <w:rFonts w:ascii="Times New Roman" w:eastAsia="Times New Roman"/>
        </w:rPr>
        <w:t>23800 </w:t>
      </w:r>
      <w:r>
        <w:rPr/>
        <w:t>万元，公司股权结构如下：</w:t>
      </w:r>
    </w:p>
    <w:p>
      <w:pPr>
        <w:pStyle w:val="BodyText"/>
        <w:spacing w:before="11"/>
        <w:rPr>
          <w:sz w:val="8"/>
        </w:rPr>
      </w:pPr>
    </w:p>
    <w:tbl>
      <w:tblPr>
        <w:tblW w:w="0" w:type="auto"/>
        <w:jc w:val="left"/>
        <w:tblInd w:w="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2607"/>
      </w:tblGrid>
      <w:tr>
        <w:trPr>
          <w:trHeight w:val="856" w:hRule="atLeast"/>
        </w:trPr>
        <w:tc>
          <w:tcPr>
            <w:tcW w:w="3791" w:type="dxa"/>
            <w:tcBorders>
              <w:top w:val="single" w:sz="12" w:space="0" w:color="000000"/>
            </w:tcBorders>
          </w:tcPr>
          <w:p>
            <w:pPr>
              <w:pStyle w:val="TableParagraph"/>
              <w:spacing w:before="101"/>
              <w:ind w:left="1457" w:right="1450"/>
              <w:jc w:val="center"/>
              <w:rPr>
                <w:rFonts w:ascii="宋体" w:eastAsia="宋体" w:hint="eastAsia"/>
                <w:b/>
                <w:sz w:val="21"/>
              </w:rPr>
            </w:pPr>
            <w:r>
              <w:rPr>
                <w:rFonts w:ascii="宋体" w:eastAsia="宋体" w:hint="eastAsia"/>
                <w:b/>
                <w:sz w:val="21"/>
              </w:rPr>
              <w:t>持股单位</w:t>
            </w:r>
          </w:p>
          <w:p>
            <w:pPr>
              <w:pStyle w:val="TableParagraph"/>
              <w:spacing w:before="151"/>
              <w:ind w:left="115"/>
              <w:rPr>
                <w:rFonts w:ascii="宋体" w:eastAsia="宋体" w:hint="eastAsia"/>
                <w:sz w:val="21"/>
              </w:rPr>
            </w:pPr>
            <w:r>
              <w:rPr>
                <w:rFonts w:ascii="宋体" w:eastAsia="宋体" w:hint="eastAsia"/>
                <w:sz w:val="21"/>
              </w:rPr>
              <w:t>中信证券股份有限公司</w:t>
            </w:r>
          </w:p>
        </w:tc>
        <w:tc>
          <w:tcPr>
            <w:tcW w:w="2607" w:type="dxa"/>
            <w:tcBorders>
              <w:top w:val="single" w:sz="12" w:space="0" w:color="000000"/>
            </w:tcBorders>
          </w:tcPr>
          <w:p>
            <w:pPr>
              <w:pStyle w:val="TableParagraph"/>
              <w:spacing w:before="101"/>
              <w:ind w:left="439" w:right="440"/>
              <w:jc w:val="center"/>
              <w:rPr>
                <w:rFonts w:ascii="宋体" w:eastAsia="宋体" w:hint="eastAsia"/>
                <w:b/>
                <w:sz w:val="21"/>
              </w:rPr>
            </w:pPr>
            <w:r>
              <w:rPr>
                <w:rFonts w:ascii="宋体" w:eastAsia="宋体" w:hint="eastAsia"/>
                <w:b/>
                <w:sz w:val="21"/>
              </w:rPr>
              <w:t>持股占总股本比例</w:t>
            </w:r>
          </w:p>
          <w:p>
            <w:pPr>
              <w:pStyle w:val="TableParagraph"/>
              <w:spacing w:before="163"/>
              <w:ind w:left="439" w:right="438"/>
              <w:jc w:val="center"/>
              <w:rPr>
                <w:sz w:val="21"/>
              </w:rPr>
            </w:pPr>
            <w:r>
              <w:rPr>
                <w:sz w:val="21"/>
              </w:rPr>
              <w:t>62.2%</w:t>
            </w:r>
          </w:p>
        </w:tc>
      </w:tr>
      <w:tr>
        <w:trPr>
          <w:trHeight w:val="438" w:hRule="atLeast"/>
        </w:trPr>
        <w:tc>
          <w:tcPr>
            <w:tcW w:w="3791" w:type="dxa"/>
          </w:tcPr>
          <w:p>
            <w:pPr>
              <w:pStyle w:val="TableParagraph"/>
              <w:spacing w:line="239" w:lineRule="exact" w:before="0"/>
              <w:ind w:left="115"/>
              <w:rPr>
                <w:sz w:val="21"/>
              </w:rPr>
            </w:pPr>
            <w:r>
              <w:rPr>
                <w:sz w:val="21"/>
              </w:rPr>
              <w:t>POWER CORPORATION OF CANADA</w:t>
            </w:r>
          </w:p>
        </w:tc>
        <w:tc>
          <w:tcPr>
            <w:tcW w:w="2607" w:type="dxa"/>
          </w:tcPr>
          <w:p>
            <w:pPr>
              <w:pStyle w:val="TableParagraph"/>
              <w:spacing w:before="74"/>
              <w:ind w:left="439" w:right="438"/>
              <w:jc w:val="center"/>
              <w:rPr>
                <w:sz w:val="21"/>
              </w:rPr>
            </w:pPr>
            <w:r>
              <w:rPr>
                <w:sz w:val="21"/>
              </w:rPr>
              <w:t>13.9%</w:t>
            </w:r>
          </w:p>
        </w:tc>
      </w:tr>
      <w:tr>
        <w:trPr>
          <w:trHeight w:val="480" w:hRule="atLeast"/>
        </w:trPr>
        <w:tc>
          <w:tcPr>
            <w:tcW w:w="3791" w:type="dxa"/>
          </w:tcPr>
          <w:p>
            <w:pPr>
              <w:pStyle w:val="TableParagraph"/>
              <w:spacing w:before="130"/>
              <w:ind w:left="115"/>
              <w:rPr>
                <w:sz w:val="18"/>
              </w:rPr>
            </w:pPr>
            <w:r>
              <w:rPr>
                <w:sz w:val="18"/>
              </w:rPr>
              <w:t>MACKENZIE FINANCIAL CORPORATION</w:t>
            </w:r>
          </w:p>
        </w:tc>
        <w:tc>
          <w:tcPr>
            <w:tcW w:w="2607" w:type="dxa"/>
          </w:tcPr>
          <w:p>
            <w:pPr>
              <w:pStyle w:val="TableParagraph"/>
              <w:spacing w:before="114"/>
              <w:ind w:left="439" w:right="438"/>
              <w:jc w:val="center"/>
              <w:rPr>
                <w:sz w:val="21"/>
              </w:rPr>
            </w:pPr>
            <w:r>
              <w:rPr>
                <w:sz w:val="21"/>
              </w:rPr>
              <w:t>13.9%</w:t>
            </w:r>
          </w:p>
          <w:p>
            <w:pPr>
              <w:pStyle w:val="TableParagraph"/>
              <w:spacing w:before="0"/>
              <w:rPr>
                <w:rFonts w:ascii="宋体"/>
                <w:sz w:val="9"/>
              </w:rPr>
            </w:pPr>
          </w:p>
          <w:p>
            <w:pPr>
              <w:pStyle w:val="TableParagraph"/>
              <w:spacing w:line="20" w:lineRule="exact" w:before="0"/>
              <w:ind w:left="-6" w:right="-44"/>
              <w:rPr>
                <w:rFonts w:ascii="宋体"/>
                <w:sz w:val="2"/>
              </w:rPr>
            </w:pPr>
            <w:r>
              <w:rPr>
                <w:rFonts w:ascii="宋体"/>
                <w:sz w:val="2"/>
              </w:rPr>
              <w:drawing>
                <wp:inline distT="0" distB="0" distL="0" distR="0">
                  <wp:extent cx="1658354" cy="6095"/>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1658354" cy="6095"/>
                          </a:xfrm>
                          <a:prstGeom prst="rect">
                            <a:avLst/>
                          </a:prstGeom>
                        </pic:spPr>
                      </pic:pic>
                    </a:graphicData>
                  </a:graphic>
                </wp:inline>
              </w:drawing>
            </w:r>
            <w:r>
              <w:rPr>
                <w:rFonts w:ascii="宋体"/>
                <w:sz w:val="2"/>
              </w:rPr>
            </w:r>
          </w:p>
        </w:tc>
      </w:tr>
      <w:tr>
        <w:trPr>
          <w:trHeight w:val="469" w:hRule="atLeast"/>
        </w:trPr>
        <w:tc>
          <w:tcPr>
            <w:tcW w:w="3791" w:type="dxa"/>
            <w:tcBorders>
              <w:right w:val="single" w:sz="4" w:space="0" w:color="000000"/>
            </w:tcBorders>
          </w:tcPr>
          <w:p>
            <w:pPr>
              <w:pStyle w:val="TableParagraph"/>
              <w:spacing w:before="91"/>
              <w:ind w:left="115"/>
              <w:rPr>
                <w:rFonts w:ascii="宋体" w:eastAsia="宋体" w:hint="eastAsia"/>
                <w:sz w:val="21"/>
              </w:rPr>
            </w:pPr>
            <w:r>
              <w:rPr>
                <w:rFonts w:ascii="宋体" w:eastAsia="宋体" w:hint="eastAsia"/>
                <w:sz w:val="21"/>
              </w:rPr>
              <w:t>天津海鹏科技咨询有限公司</w:t>
            </w:r>
          </w:p>
        </w:tc>
        <w:tc>
          <w:tcPr>
            <w:tcW w:w="2607" w:type="dxa"/>
            <w:tcBorders>
              <w:left w:val="single" w:sz="4" w:space="0" w:color="000000"/>
            </w:tcBorders>
          </w:tcPr>
          <w:p>
            <w:pPr>
              <w:pStyle w:val="TableParagraph"/>
              <w:spacing w:before="103"/>
              <w:ind w:left="1016" w:right="1017"/>
              <w:jc w:val="center"/>
              <w:rPr>
                <w:sz w:val="21"/>
              </w:rPr>
            </w:pPr>
            <w:r>
              <w:rPr>
                <w:sz w:val="21"/>
              </w:rPr>
              <w:t>10%</w:t>
            </w:r>
          </w:p>
        </w:tc>
      </w:tr>
      <w:tr>
        <w:trPr>
          <w:trHeight w:val="467" w:hRule="atLeast"/>
        </w:trPr>
        <w:tc>
          <w:tcPr>
            <w:tcW w:w="3791" w:type="dxa"/>
            <w:tcBorders>
              <w:bottom w:val="single" w:sz="12" w:space="0" w:color="000000"/>
              <w:right w:val="single" w:sz="4" w:space="0" w:color="000000"/>
            </w:tcBorders>
          </w:tcPr>
          <w:p>
            <w:pPr>
              <w:pStyle w:val="TableParagraph"/>
              <w:spacing w:before="100"/>
              <w:ind w:left="1668" w:right="1656"/>
              <w:jc w:val="center"/>
              <w:rPr>
                <w:rFonts w:ascii="宋体" w:eastAsia="宋体" w:hint="eastAsia"/>
                <w:b/>
                <w:sz w:val="21"/>
              </w:rPr>
            </w:pPr>
            <w:r>
              <w:rPr>
                <w:rFonts w:ascii="宋体" w:eastAsia="宋体" w:hint="eastAsia"/>
                <w:b/>
                <w:sz w:val="21"/>
              </w:rPr>
              <w:t>合计</w:t>
            </w:r>
          </w:p>
          <w:p>
            <w:pPr>
              <w:pStyle w:val="TableParagraph"/>
              <w:spacing w:before="12"/>
              <w:rPr>
                <w:rFonts w:ascii="宋体"/>
                <w:sz w:val="4"/>
              </w:rPr>
            </w:pPr>
          </w:p>
          <w:p>
            <w:pPr>
              <w:pStyle w:val="TableParagraph"/>
              <w:spacing w:line="36" w:lineRule="exact" w:before="0"/>
              <w:ind w:left="3785" w:right="-58"/>
              <w:rPr>
                <w:rFonts w:ascii="宋体"/>
                <w:sz w:val="3"/>
              </w:rPr>
            </w:pPr>
            <w:r>
              <w:rPr>
                <w:rFonts w:ascii="宋体"/>
                <w:position w:val="0"/>
                <w:sz w:val="3"/>
              </w:rPr>
              <w:drawing>
                <wp:inline distT="0" distB="0" distL="0" distR="0">
                  <wp:extent cx="6096" cy="22860"/>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6096" cy="22860"/>
                          </a:xfrm>
                          <a:prstGeom prst="rect">
                            <a:avLst/>
                          </a:prstGeom>
                        </pic:spPr>
                      </pic:pic>
                    </a:graphicData>
                  </a:graphic>
                </wp:inline>
              </w:drawing>
            </w:r>
            <w:r>
              <w:rPr>
                <w:rFonts w:ascii="宋体"/>
                <w:position w:val="0"/>
                <w:sz w:val="3"/>
              </w:rPr>
            </w:r>
          </w:p>
        </w:tc>
        <w:tc>
          <w:tcPr>
            <w:tcW w:w="2607" w:type="dxa"/>
            <w:tcBorders>
              <w:left w:val="single" w:sz="4" w:space="0" w:color="000000"/>
              <w:bottom w:val="single" w:sz="12" w:space="0" w:color="000000"/>
            </w:tcBorders>
          </w:tcPr>
          <w:p>
            <w:pPr>
              <w:pStyle w:val="TableParagraph"/>
              <w:spacing w:before="116"/>
              <w:ind w:left="1016" w:right="1020"/>
              <w:jc w:val="center"/>
              <w:rPr>
                <w:b/>
                <w:sz w:val="21"/>
              </w:rPr>
            </w:pPr>
            <w:r>
              <w:rPr>
                <w:b/>
                <w:sz w:val="21"/>
              </w:rPr>
              <w:t>100%</w:t>
            </w:r>
          </w:p>
        </w:tc>
      </w:tr>
    </w:tbl>
    <w:p>
      <w:pPr>
        <w:pStyle w:val="BodyText"/>
        <w:spacing w:before="85"/>
        <w:ind w:left="960"/>
      </w:pPr>
      <w:r>
        <w:rPr/>
        <w:pict>
          <v:group style="position:absolute;margin-left:137.899994pt;margin-top:-26.050045pt;width:319.55pt;height:.5pt;mso-position-horizontal-relative:page;mso-position-vertical-relative:paragraph;z-index:-259840000" coordorigin="2758,-521" coordsize="6391,10">
            <v:shape style="position:absolute;left:2758;top:-521;width:3779;height:10" type="#_x0000_t75" stroked="false">
              <v:imagedata r:id="rId11" o:title=""/>
            </v:shape>
            <v:shape style="position:absolute;left:6536;top:-521;width:2612;height:10" type="#_x0000_t75" stroked="false">
              <v:imagedata r:id="rId9" o:title=""/>
            </v:shape>
            <w10:wrap type="none"/>
          </v:group>
        </w:pict>
      </w:r>
      <w:r>
        <w:rPr/>
        <w:t>（二）主要人员情况</w:t>
      </w:r>
    </w:p>
    <w:p>
      <w:pPr>
        <w:pStyle w:val="BodyText"/>
        <w:spacing w:before="6"/>
        <w:rPr>
          <w:sz w:val="15"/>
        </w:rPr>
      </w:pPr>
    </w:p>
    <w:p>
      <w:pPr>
        <w:pStyle w:val="BodyText"/>
        <w:spacing w:before="1"/>
        <w:ind w:left="960"/>
      </w:pPr>
      <w:r>
        <w:rPr>
          <w:rFonts w:ascii="Times New Roman" w:eastAsia="Times New Roman"/>
        </w:rPr>
        <w:t>1</w:t>
      </w:r>
      <w:r>
        <w:rPr/>
        <w:t>、基金管理人董事、监事、经理及其他高级管理人员基本情况</w:t>
      </w:r>
    </w:p>
    <w:p>
      <w:pPr>
        <w:pStyle w:val="BodyText"/>
        <w:spacing w:before="6"/>
        <w:rPr>
          <w:sz w:val="15"/>
        </w:rPr>
      </w:pPr>
    </w:p>
    <w:p>
      <w:pPr>
        <w:pStyle w:val="BodyText"/>
        <w:spacing w:line="417" w:lineRule="auto"/>
        <w:ind w:left="540" w:right="31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p>
    <w:p>
      <w:pPr>
        <w:spacing w:after="0" w:line="417" w:lineRule="auto"/>
        <w:jc w:val="both"/>
        <w:sectPr>
          <w:pgSz w:w="11910" w:h="16840"/>
          <w:pgMar w:header="877" w:footer="995" w:top="1420" w:bottom="1180" w:left="1260" w:right="1480"/>
        </w:sectPr>
      </w:pPr>
    </w:p>
    <w:p>
      <w:pPr>
        <w:pStyle w:val="BodyText"/>
        <w:spacing w:before="110"/>
        <w:ind w:left="540"/>
      </w:pPr>
      <w:r>
        <w:rPr/>
        <w:t>基金管理有限公司董事长，中国建银投资证券有限责任公司执行董事、总裁等。</w:t>
      </w:r>
    </w:p>
    <w:p>
      <w:pPr>
        <w:pStyle w:val="BodyText"/>
        <w:spacing w:before="6"/>
        <w:rPr>
          <w:sz w:val="15"/>
        </w:rPr>
      </w:pPr>
    </w:p>
    <w:p>
      <w:pPr>
        <w:pStyle w:val="BodyText"/>
        <w:spacing w:line="417" w:lineRule="auto"/>
        <w:ind w:left="540" w:right="31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540" w:right="31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540" w:right="31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540" w:right="20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31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31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31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208" w:firstLine="419"/>
      </w:pPr>
      <w:r>
        <w:rPr/>
        <w:t>刘霞辉先生：独立董事，硕士。现任中国社会科学院经济研究所经济研究编辑部主任， 国务院特殊津贴专家，二级研究员，博士生导师。兼任中国战略研究会经济战略专业委员会</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10"/>
        </w:rPr>
        <w:t>主任、山东大学经济社会研究院特聘兼职教授及广西南宁政府咨询专家。曾任职于国家人社</w:t>
      </w:r>
      <w:r>
        <w:rPr>
          <w:spacing w:val="-5"/>
        </w:rPr>
        <w:t>部政策法规司综合处。</w:t>
      </w:r>
    </w:p>
    <w:p>
      <w:pPr>
        <w:pStyle w:val="BodyText"/>
        <w:spacing w:line="269" w:lineRule="exact"/>
        <w:ind w:left="960"/>
      </w:pPr>
      <w:r>
        <w:rPr/>
        <w:t>杨一夫先生：监事长，硕士。现任鲍尔太平有限公司总裁，负责总部加拿大鲍尔公司</w:t>
      </w:r>
    </w:p>
    <w:p>
      <w:pPr>
        <w:pStyle w:val="BodyText"/>
        <w:spacing w:before="6"/>
        <w:rPr>
          <w:sz w:val="15"/>
        </w:rPr>
      </w:pPr>
    </w:p>
    <w:p>
      <w:pPr>
        <w:pStyle w:val="BodyText"/>
        <w:spacing w:line="417" w:lineRule="auto"/>
        <w:ind w:left="540" w:right="31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540" w:right="31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540" w:right="31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540" w:right="31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540" w:right="20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31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540" w:right="31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20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20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208" w:firstLine="419"/>
      </w:pPr>
      <w:r>
        <w:rPr/>
        <w:t>李彬女士：督察长，硕士。现任华夏基金管理有限公司党委委员、合规部行政负责人、法律部行政负责人。曾任职于中信证券股份有限公司、原中信基金管理有限责任公司。曾任</w:t>
      </w:r>
    </w:p>
    <w:p>
      <w:pPr>
        <w:spacing w:after="0" w:line="417" w:lineRule="auto"/>
        <w:sectPr>
          <w:pgSz w:w="11910" w:h="16840"/>
          <w:pgMar w:header="877" w:footer="995" w:top="1420" w:bottom="1180" w:left="1260" w:right="1480"/>
        </w:sectPr>
      </w:pPr>
    </w:p>
    <w:p>
      <w:pPr>
        <w:pStyle w:val="BodyText"/>
        <w:spacing w:before="110"/>
        <w:ind w:left="540"/>
      </w:pPr>
      <w:r>
        <w:rPr/>
        <w:t>华夏基金管理有限公司监察稽核部总经理助理，法律监察部副总经理、联席负责人等。</w:t>
      </w:r>
    </w:p>
    <w:p>
      <w:pPr>
        <w:pStyle w:val="BodyText"/>
        <w:spacing w:before="6"/>
        <w:rPr>
          <w:sz w:val="15"/>
        </w:rPr>
      </w:pPr>
    </w:p>
    <w:p>
      <w:pPr>
        <w:pStyle w:val="BodyText"/>
        <w:ind w:left="960"/>
      </w:pPr>
      <w:r>
        <w:rPr>
          <w:rFonts w:ascii="Times New Roman" w:eastAsia="Times New Roman"/>
        </w:rPr>
        <w:t>2</w:t>
      </w:r>
      <w:r>
        <w:rPr/>
        <w:t>、本基金基金经理</w:t>
      </w:r>
    </w:p>
    <w:p>
      <w:pPr>
        <w:pStyle w:val="BodyText"/>
        <w:spacing w:before="7"/>
        <w:rPr>
          <w:sz w:val="15"/>
        </w:rPr>
      </w:pPr>
    </w:p>
    <w:p>
      <w:pPr>
        <w:pStyle w:val="BodyText"/>
        <w:spacing w:line="417" w:lineRule="auto"/>
        <w:ind w:left="540" w:right="311" w:firstLine="419"/>
        <w:jc w:val="both"/>
      </w:pPr>
      <w:r>
        <w:rPr>
          <w:spacing w:val="-3"/>
        </w:rPr>
        <w:t>陈斌先生，清华大学北京协和医学院内科学博士。</w:t>
      </w:r>
      <w:r>
        <w:rPr>
          <w:rFonts w:ascii="Times New Roman" w:eastAsia="Times New Roman"/>
        </w:rPr>
        <w:t>2009</w:t>
      </w:r>
      <w:r>
        <w:rPr/>
        <w:t>年</w:t>
      </w:r>
      <w:r>
        <w:rPr>
          <w:rFonts w:ascii="Times New Roman" w:eastAsia="Times New Roman"/>
        </w:rPr>
        <w:t>7</w:t>
      </w:r>
      <w:r>
        <w:rPr>
          <w:spacing w:val="-3"/>
        </w:rPr>
        <w:t>月加入华夏基金管理有限公</w:t>
      </w:r>
      <w:r>
        <w:rPr>
          <w:spacing w:val="-11"/>
        </w:rPr>
        <w:t>司，曾任投资研究部研究员等，现任股票投资部总监，华夏医疗健康混合型发起式证券投资</w:t>
      </w:r>
      <w:r>
        <w:rPr>
          <w:spacing w:val="-6"/>
        </w:rPr>
        <w:t>基金基金经理</w:t>
      </w:r>
      <w:r>
        <w:rPr/>
        <w:t>（</w:t>
      </w:r>
      <w:r>
        <w:rPr>
          <w:rFonts w:ascii="Times New Roman" w:eastAsia="Times New Roman"/>
        </w:rPr>
        <w:t>2015</w:t>
      </w:r>
      <w:r>
        <w:rPr/>
        <w:t>年</w:t>
      </w:r>
      <w:r>
        <w:rPr>
          <w:rFonts w:ascii="Times New Roman" w:eastAsia="Times New Roman"/>
        </w:rPr>
        <w:t>2</w:t>
      </w:r>
      <w:r>
        <w:rPr>
          <w:spacing w:val="-3"/>
        </w:rPr>
        <w:t>月</w:t>
      </w:r>
      <w:r>
        <w:rPr>
          <w:rFonts w:ascii="Times New Roman" w:eastAsia="Times New Roman"/>
        </w:rPr>
        <w:t>2</w:t>
      </w:r>
      <w:r>
        <w:rPr>
          <w:spacing w:val="-1"/>
        </w:rPr>
        <w:t>日起任职</w:t>
      </w:r>
      <w:r>
        <w:rPr>
          <w:spacing w:val="-106"/>
        </w:rPr>
        <w:t>）</w:t>
      </w:r>
      <w:r>
        <w:rPr>
          <w:spacing w:val="-3"/>
        </w:rPr>
        <w:t>、华夏乐享健康灵活配置混合型证券投资基金基金经理（</w:t>
      </w:r>
      <w:r>
        <w:rPr>
          <w:rFonts w:ascii="Times New Roman" w:eastAsia="Times New Roman"/>
          <w:spacing w:val="-3"/>
        </w:rPr>
        <w:t>2016</w:t>
      </w:r>
      <w:r>
        <w:rPr>
          <w:spacing w:val="-3"/>
        </w:rPr>
        <w:t>年</w:t>
      </w:r>
      <w:r>
        <w:rPr>
          <w:rFonts w:ascii="Times New Roman" w:eastAsia="Times New Roman"/>
          <w:spacing w:val="-3"/>
        </w:rPr>
        <w:t>8</w:t>
      </w:r>
      <w:r>
        <w:rPr>
          <w:spacing w:val="-3"/>
        </w:rPr>
        <w:t>月</w:t>
      </w:r>
      <w:r>
        <w:rPr>
          <w:rFonts w:ascii="Times New Roman" w:eastAsia="Times New Roman"/>
        </w:rPr>
        <w:t>3</w:t>
      </w:r>
      <w:r>
        <w:rPr>
          <w:spacing w:val="-2"/>
        </w:rPr>
        <w:t>日起任职</w:t>
      </w:r>
      <w:r>
        <w:rPr>
          <w:spacing w:val="-108"/>
        </w:rPr>
        <w:t>）</w:t>
      </w:r>
      <w:r>
        <w:rPr>
          <w:spacing w:val="-3"/>
        </w:rPr>
        <w:t>、华夏逸享健康灵活配置混合型证券投资基金基金经理</w:t>
      </w:r>
      <w:r>
        <w:rPr/>
        <w:t>（</w:t>
      </w:r>
      <w:r>
        <w:rPr>
          <w:rFonts w:ascii="Times New Roman" w:eastAsia="Times New Roman"/>
        </w:rPr>
        <w:t>2019</w:t>
      </w:r>
      <w:r>
        <w:rPr/>
        <w:t>年</w:t>
      </w:r>
      <w:r>
        <w:rPr>
          <w:rFonts w:ascii="Times New Roman" w:eastAsia="Times New Roman"/>
          <w:spacing w:val="-5"/>
        </w:rPr>
        <w:t>11</w:t>
      </w:r>
      <w:r>
        <w:rPr/>
        <w:t>月</w:t>
      </w:r>
      <w:r>
        <w:rPr>
          <w:rFonts w:ascii="Times New Roman" w:eastAsia="Times New Roman"/>
          <w:spacing w:val="-3"/>
        </w:rPr>
        <w:t>6</w:t>
      </w:r>
      <w:r>
        <w:rPr>
          <w:spacing w:val="-3"/>
        </w:rPr>
        <w:t>日起任职</w:t>
      </w:r>
      <w:r>
        <w:rPr>
          <w:spacing w:val="-106"/>
        </w:rPr>
        <w:t>）</w:t>
      </w:r>
      <w:r>
        <w:rPr/>
        <w:t>。</w:t>
      </w:r>
    </w:p>
    <w:p>
      <w:pPr>
        <w:pStyle w:val="BodyText"/>
        <w:spacing w:line="269" w:lineRule="exact"/>
        <w:ind w:left="960"/>
      </w:pPr>
      <w:r>
        <w:rPr>
          <w:rFonts w:ascii="Times New Roman" w:eastAsia="Times New Roman"/>
        </w:rPr>
        <w:t>3</w:t>
      </w:r>
      <w:r>
        <w:rPr/>
        <w:t>、本公司股票投资决策委员会</w:t>
      </w:r>
    </w:p>
    <w:p>
      <w:pPr>
        <w:pStyle w:val="BodyText"/>
        <w:spacing w:before="7"/>
        <w:rPr>
          <w:sz w:val="15"/>
        </w:rPr>
      </w:pPr>
    </w:p>
    <w:p>
      <w:pPr>
        <w:pStyle w:val="BodyText"/>
        <w:spacing w:line="417" w:lineRule="auto"/>
        <w:ind w:left="960" w:right="1266"/>
      </w:pPr>
      <w:r>
        <w:rPr>
          <w:spacing w:val="-3"/>
        </w:rPr>
        <w:t>主任：阳琨先生，华夏基金管理有限公司副总经理、投资总监，基金经理。成员：李一梅女士，华夏基金管理有限公司董事、总经理。</w:t>
      </w:r>
    </w:p>
    <w:p>
      <w:pPr>
        <w:pStyle w:val="BodyText"/>
        <w:spacing w:line="417" w:lineRule="auto"/>
        <w:ind w:left="960" w:right="1478"/>
      </w:pPr>
      <w:r>
        <w:rPr>
          <w:spacing w:val="-3"/>
        </w:rPr>
        <w:t>孙彬先生，华夏基金管理有限公司总经理助理，董事总经理，投资经理。郑煜女士，华夏基金管理有限公司董事总经理，基金经理。</w:t>
      </w:r>
    </w:p>
    <w:p>
      <w:pPr>
        <w:pStyle w:val="BodyText"/>
        <w:spacing w:line="269" w:lineRule="exact"/>
        <w:ind w:left="960"/>
      </w:pPr>
      <w:r>
        <w:rPr/>
        <w:t>蔡向阳先生，华夏基金管理有限公司董事总经理，基金经理。</w:t>
      </w:r>
    </w:p>
    <w:p>
      <w:pPr>
        <w:pStyle w:val="BodyText"/>
        <w:spacing w:before="6"/>
        <w:rPr>
          <w:sz w:val="15"/>
        </w:rPr>
      </w:pPr>
    </w:p>
    <w:p>
      <w:pPr>
        <w:pStyle w:val="BodyText"/>
        <w:spacing w:line="417" w:lineRule="auto"/>
        <w:ind w:left="960" w:right="126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Times New Roman" w:eastAsia="Times New Roman"/>
          <w:spacing w:val="-3"/>
        </w:rPr>
        <w:t>4</w:t>
      </w:r>
      <w:r>
        <w:rPr>
          <w:spacing w:val="-3"/>
        </w:rPr>
        <w:t>、上述人员之间不存在近亲属关系。</w:t>
      </w:r>
    </w:p>
    <w:p>
      <w:pPr>
        <w:pStyle w:val="BodyText"/>
        <w:spacing w:line="269" w:lineRule="exact"/>
        <w:ind w:left="960"/>
      </w:pPr>
      <w:r>
        <w:rPr/>
        <w:t>（三）基金管理人的职责</w:t>
      </w:r>
    </w:p>
    <w:p>
      <w:pPr>
        <w:pStyle w:val="BodyText"/>
        <w:spacing w:before="7"/>
        <w:rPr>
          <w:sz w:val="15"/>
        </w:rPr>
      </w:pPr>
    </w:p>
    <w:p>
      <w:pPr>
        <w:pStyle w:val="BodyText"/>
        <w:spacing w:line="417" w:lineRule="auto"/>
        <w:ind w:left="540" w:right="31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ind w:left="960"/>
      </w:pPr>
      <w:r>
        <w:rPr>
          <w:rFonts w:ascii="Times New Roman" w:eastAsia="Times New Roman"/>
        </w:rPr>
        <w:t>2</w:t>
      </w:r>
      <w:r>
        <w:rPr/>
        <w:t>、办理基金备案手续。</w:t>
      </w:r>
    </w:p>
    <w:p>
      <w:pPr>
        <w:pStyle w:val="BodyText"/>
        <w:spacing w:before="7"/>
        <w:rPr>
          <w:sz w:val="15"/>
        </w:rPr>
      </w:pPr>
    </w:p>
    <w:p>
      <w:pPr>
        <w:pStyle w:val="BodyText"/>
        <w:ind w:left="96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960"/>
      </w:pPr>
      <w:r>
        <w:rPr>
          <w:rFonts w:ascii="Times New Roman" w:eastAsia="Times New Roman"/>
        </w:rPr>
        <w:t>4</w:t>
      </w:r>
      <w:r>
        <w:rPr/>
        <w:t>、按照基金合同的约定确定基金收益分配方案，及时向基金份额持有人分配收益。</w:t>
      </w:r>
    </w:p>
    <w:p>
      <w:pPr>
        <w:pStyle w:val="BodyText"/>
        <w:spacing w:before="6"/>
        <w:rPr>
          <w:sz w:val="15"/>
        </w:rPr>
      </w:pPr>
    </w:p>
    <w:p>
      <w:pPr>
        <w:pStyle w:val="BodyText"/>
        <w:spacing w:before="1"/>
        <w:ind w:left="960"/>
      </w:pPr>
      <w:r>
        <w:rPr>
          <w:rFonts w:ascii="Times New Roman" w:eastAsia="Times New Roman"/>
        </w:rPr>
        <w:t>5</w:t>
      </w:r>
      <w:r>
        <w:rPr/>
        <w:t>、进行基金会计核算并编制基金财务会计报告。</w:t>
      </w:r>
    </w:p>
    <w:p>
      <w:pPr>
        <w:pStyle w:val="BodyText"/>
        <w:spacing w:before="6"/>
        <w:rPr>
          <w:sz w:val="15"/>
        </w:rPr>
      </w:pPr>
    </w:p>
    <w:p>
      <w:pPr>
        <w:pStyle w:val="BodyText"/>
        <w:ind w:left="960"/>
      </w:pPr>
      <w:r>
        <w:rPr>
          <w:rFonts w:ascii="Times New Roman" w:eastAsia="Times New Roman"/>
        </w:rPr>
        <w:t>6</w:t>
      </w:r>
      <w:r>
        <w:rPr/>
        <w:t>、编制中期和年度基金报告。</w:t>
      </w:r>
    </w:p>
    <w:p>
      <w:pPr>
        <w:pStyle w:val="BodyText"/>
        <w:spacing w:before="7"/>
        <w:rPr>
          <w:sz w:val="15"/>
        </w:rPr>
      </w:pPr>
    </w:p>
    <w:p>
      <w:pPr>
        <w:pStyle w:val="BodyText"/>
        <w:ind w:left="96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96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960"/>
      </w:pPr>
      <w:r>
        <w:rPr>
          <w:rFonts w:ascii="Times New Roman" w:eastAsia="Times New Roman"/>
        </w:rPr>
        <w:t>9</w:t>
      </w:r>
      <w:r>
        <w:rPr/>
        <w:t>、召集基金份额持有人大会。</w:t>
      </w:r>
    </w:p>
    <w:p>
      <w:pPr>
        <w:pStyle w:val="BodyText"/>
        <w:spacing w:before="7"/>
        <w:rPr>
          <w:sz w:val="15"/>
        </w:rPr>
      </w:pPr>
    </w:p>
    <w:p>
      <w:pPr>
        <w:pStyle w:val="BodyText"/>
        <w:ind w:left="960"/>
      </w:pPr>
      <w:r>
        <w:rPr>
          <w:rFonts w:ascii="Times New Roman" w:eastAsia="Times New Roman"/>
        </w:rPr>
        <w:t>10</w:t>
      </w:r>
      <w:r>
        <w:rPr/>
        <w:t>、保存基金财产管理业务活动的记录、账册、报表和其他相关资料。</w:t>
      </w:r>
    </w:p>
    <w:p>
      <w:pPr>
        <w:spacing w:after="0"/>
        <w:sectPr>
          <w:footerReference w:type="default" r:id="rId12"/>
          <w:pgSz w:w="11910" w:h="16840"/>
          <w:pgMar w:footer="995" w:header="877" w:top="1420" w:bottom="1180" w:left="1260" w:right="1480"/>
          <w:pgNumType w:start="10"/>
        </w:sectPr>
      </w:pPr>
    </w:p>
    <w:p>
      <w:pPr>
        <w:pStyle w:val="BodyText"/>
        <w:spacing w:before="110"/>
        <w:ind w:left="960"/>
      </w:pPr>
      <w:r>
        <w:rPr>
          <w:rFonts w:ascii="Times New Roman" w:eastAsia="Times New Roman"/>
        </w:rPr>
        <w:t>11</w:t>
      </w:r>
      <w:r>
        <w:rPr/>
        <w:t>、以基金管理人名义，代表基金份额持有人利益行使诉讼权利或者实施其他法律行为。</w:t>
      </w:r>
    </w:p>
    <w:p>
      <w:pPr>
        <w:pStyle w:val="BodyText"/>
        <w:spacing w:before="6"/>
        <w:rPr>
          <w:sz w:val="15"/>
        </w:rPr>
      </w:pPr>
    </w:p>
    <w:p>
      <w:pPr>
        <w:pStyle w:val="BodyText"/>
        <w:ind w:left="960"/>
      </w:pPr>
      <w:r>
        <w:rPr>
          <w:rFonts w:ascii="Times New Roman" w:eastAsia="Times New Roman"/>
        </w:rPr>
        <w:t>12</w:t>
      </w:r>
      <w:r>
        <w:rPr/>
        <w:t>、国务院证券监督管理机构规定的其他职责。</w:t>
      </w:r>
    </w:p>
    <w:p>
      <w:pPr>
        <w:pStyle w:val="BodyText"/>
        <w:spacing w:before="7"/>
        <w:rPr>
          <w:sz w:val="15"/>
        </w:rPr>
      </w:pPr>
    </w:p>
    <w:p>
      <w:pPr>
        <w:pStyle w:val="BodyText"/>
        <w:ind w:left="960"/>
      </w:pPr>
      <w:r>
        <w:rPr/>
        <w:t>（四）基金管理人承诺</w:t>
      </w:r>
    </w:p>
    <w:p>
      <w:pPr>
        <w:pStyle w:val="BodyText"/>
        <w:spacing w:before="7"/>
        <w:rPr>
          <w:sz w:val="15"/>
        </w:rPr>
      </w:pPr>
    </w:p>
    <w:p>
      <w:pPr>
        <w:pStyle w:val="BodyText"/>
        <w:spacing w:line="417" w:lineRule="auto"/>
        <w:ind w:left="540" w:right="31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540" w:right="314"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540" w:right="31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490" w:val="left" w:leader="none"/>
        </w:tabs>
        <w:spacing w:line="269" w:lineRule="exact" w:before="0" w:after="0"/>
        <w:ind w:left="148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490" w:val="left" w:leader="none"/>
        </w:tabs>
        <w:spacing w:line="240" w:lineRule="auto" w:before="1" w:after="0"/>
        <w:ind w:left="148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法律、行政法规和国务院证券监督管理机构规定禁止的其他活动。</w:t>
      </w:r>
    </w:p>
    <w:p>
      <w:pPr>
        <w:pStyle w:val="BodyText"/>
        <w:spacing w:before="7"/>
        <w:rPr>
          <w:sz w:val="15"/>
        </w:rPr>
      </w:pPr>
    </w:p>
    <w:p>
      <w:pPr>
        <w:pStyle w:val="BodyText"/>
        <w:spacing w:line="417" w:lineRule="auto"/>
        <w:ind w:left="540" w:right="208" w:firstLine="419"/>
      </w:pPr>
      <w:r>
        <w:rPr>
          <w:spacing w:val="-3"/>
        </w:rPr>
        <w:t>法律法规或监管部门取消上述限制，如适用于本基金，则本基金投资不再受相关限制。</w:t>
      </w:r>
      <w:r>
        <w:rPr>
          <w:rFonts w:ascii="Times New Roman" w:eastAsia="Times New Roman"/>
          <w:spacing w:val="-3"/>
        </w:rPr>
        <w:t>4</w:t>
      </w:r>
      <w:r>
        <w:rPr>
          <w:spacing w:val="-3"/>
        </w:rPr>
        <w:t>、本基金管理人将加强人员管理，强化职业操守，督促和约束员工遵守国家有关法律、法规及行业规范，诚实信用、勤勉尽责，不从事以下行为：</w:t>
      </w:r>
    </w:p>
    <w:p>
      <w:pPr>
        <w:pStyle w:val="ListParagraph"/>
        <w:numPr>
          <w:ilvl w:val="0"/>
          <w:numId w:val="2"/>
        </w:numPr>
        <w:tabs>
          <w:tab w:pos="1490" w:val="left" w:leader="none"/>
        </w:tabs>
        <w:spacing w:line="269" w:lineRule="exact" w:before="0" w:after="0"/>
        <w:ind w:left="148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490" w:val="left" w:leader="none"/>
        </w:tabs>
        <w:spacing w:line="240" w:lineRule="auto" w:before="1" w:after="0"/>
        <w:ind w:left="148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490" w:val="left" w:leader="none"/>
        </w:tabs>
        <w:spacing w:line="240" w:lineRule="auto" w:before="1" w:after="0"/>
        <w:ind w:left="1489" w:right="0" w:hanging="530"/>
        <w:jc w:val="left"/>
        <w:rPr>
          <w:sz w:val="21"/>
        </w:rPr>
      </w:pPr>
      <w:r>
        <w:rPr>
          <w:spacing w:val="-3"/>
          <w:sz w:val="21"/>
        </w:rPr>
        <w:t>向基金份额持有人违规承诺收益或者承担损失。</w:t>
      </w:r>
    </w:p>
    <w:p>
      <w:pPr>
        <w:pStyle w:val="BodyText"/>
        <w:spacing w:before="6"/>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14"/>
          <w:sz w:val="21"/>
        </w:rPr>
        <w:t>依照法律、行政法规有关规定，由国务院证券监督管理机构规定禁止的其他行为。</w:t>
      </w:r>
    </w:p>
    <w:p>
      <w:pPr>
        <w:pStyle w:val="BodyText"/>
        <w:spacing w:before="7"/>
        <w:rPr>
          <w:sz w:val="15"/>
        </w:rPr>
      </w:pPr>
    </w:p>
    <w:p>
      <w:pPr>
        <w:pStyle w:val="BodyText"/>
        <w:ind w:left="960"/>
      </w:pPr>
      <w:r>
        <w:rPr>
          <w:rFonts w:ascii="Times New Roman" w:eastAsia="Times New Roman"/>
        </w:rPr>
        <w:t>5</w:t>
      </w:r>
      <w:r>
        <w:rPr/>
        <w:t>、基金经理承诺</w:t>
      </w:r>
    </w:p>
    <w:p>
      <w:pPr>
        <w:pStyle w:val="BodyText"/>
        <w:spacing w:before="7"/>
        <w:rPr>
          <w:sz w:val="15"/>
        </w:rPr>
      </w:pPr>
    </w:p>
    <w:p>
      <w:pPr>
        <w:pStyle w:val="ListParagraph"/>
        <w:numPr>
          <w:ilvl w:val="0"/>
          <w:numId w:val="3"/>
        </w:numPr>
        <w:tabs>
          <w:tab w:pos="1490" w:val="left" w:leader="none"/>
        </w:tabs>
        <w:spacing w:line="417" w:lineRule="auto" w:before="0" w:after="0"/>
        <w:ind w:left="540" w:right="313"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不泄漏在任职期间知悉的有关证券、基金的商业秘密，尚未依法公开的基金投资内容、基金投资计划等信息。</w:t>
      </w:r>
    </w:p>
    <w:p>
      <w:pPr>
        <w:spacing w:after="0" w:line="417" w:lineRule="auto"/>
        <w:jc w:val="left"/>
        <w:rPr>
          <w:sz w:val="21"/>
        </w:rPr>
        <w:sectPr>
          <w:pgSz w:w="11910" w:h="16840"/>
          <w:pgMar w:header="877" w:footer="995" w:top="1420" w:bottom="1180" w:left="1260" w:right="1480"/>
        </w:sectPr>
      </w:pPr>
    </w:p>
    <w:p>
      <w:pPr>
        <w:pStyle w:val="BodyText"/>
        <w:spacing w:before="110"/>
        <w:ind w:left="974"/>
      </w:pPr>
      <w:r>
        <w:rPr/>
        <w:t>（五）基金管理人的内部控制制度</w:t>
      </w:r>
    </w:p>
    <w:p>
      <w:pPr>
        <w:pStyle w:val="BodyText"/>
        <w:spacing w:before="6"/>
        <w:rPr>
          <w:sz w:val="15"/>
        </w:rPr>
      </w:pPr>
    </w:p>
    <w:p>
      <w:pPr>
        <w:pStyle w:val="BodyText"/>
        <w:spacing w:line="417" w:lineRule="auto"/>
        <w:ind w:left="540" w:right="20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8" w:lineRule="exact"/>
        <w:ind w:left="960"/>
      </w:pPr>
      <w:r>
        <w:rPr>
          <w:rFonts w:ascii="Times New Roman" w:eastAsia="Times New Roman"/>
        </w:rPr>
        <w:t>1</w:t>
      </w:r>
      <w:r>
        <w:rPr/>
        <w:t>、控制环境</w:t>
      </w:r>
    </w:p>
    <w:p>
      <w:pPr>
        <w:pStyle w:val="BodyText"/>
        <w:spacing w:before="8"/>
        <w:rPr>
          <w:sz w:val="15"/>
        </w:rPr>
      </w:pPr>
    </w:p>
    <w:p>
      <w:pPr>
        <w:pStyle w:val="BodyText"/>
        <w:spacing w:line="417" w:lineRule="auto"/>
        <w:ind w:left="540" w:right="324" w:firstLine="434"/>
      </w:pPr>
      <w:r>
        <w:rPr/>
        <w:t>良好的控制环境包括科学的公司治理、有效的监督管理、合理的组织结构和有力的控制文化。</w:t>
      </w:r>
    </w:p>
    <w:p>
      <w:pPr>
        <w:pStyle w:val="ListParagraph"/>
        <w:numPr>
          <w:ilvl w:val="0"/>
          <w:numId w:val="4"/>
        </w:numPr>
        <w:tabs>
          <w:tab w:pos="1504" w:val="left" w:leader="none"/>
        </w:tabs>
        <w:spacing w:line="417" w:lineRule="auto" w:before="0" w:after="0"/>
        <w:ind w:left="540" w:right="31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502" w:val="left" w:leader="none"/>
        </w:tabs>
        <w:spacing w:line="417" w:lineRule="auto" w:before="0" w:after="0"/>
        <w:ind w:left="540" w:right="31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504" w:val="left" w:leader="none"/>
        </w:tabs>
        <w:spacing w:line="417" w:lineRule="auto" w:before="0" w:after="0"/>
        <w:ind w:left="540" w:right="31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ind w:left="974"/>
      </w:pPr>
      <w:r>
        <w:rPr>
          <w:rFonts w:ascii="Times New Roman" w:eastAsia="Times New Roman"/>
        </w:rPr>
        <w:t>2</w:t>
      </w:r>
      <w:r>
        <w:rPr/>
        <w:t>、风险评估</w:t>
      </w:r>
    </w:p>
    <w:p>
      <w:pPr>
        <w:pStyle w:val="BodyText"/>
        <w:spacing w:before="5"/>
        <w:rPr>
          <w:sz w:val="15"/>
        </w:rPr>
      </w:pPr>
    </w:p>
    <w:p>
      <w:pPr>
        <w:pStyle w:val="BodyText"/>
        <w:spacing w:line="417" w:lineRule="auto" w:before="1"/>
        <w:ind w:left="540" w:right="20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9" w:lineRule="exact"/>
        <w:ind w:left="974"/>
      </w:pPr>
      <w:r>
        <w:rPr>
          <w:rFonts w:ascii="Times New Roman" w:eastAsia="Times New Roman"/>
        </w:rPr>
        <w:t>3</w:t>
      </w:r>
      <w:r>
        <w:rPr/>
        <w:t>、控制活动</w:t>
      </w:r>
    </w:p>
    <w:p>
      <w:pPr>
        <w:pStyle w:val="BodyText"/>
        <w:spacing w:before="6"/>
        <w:rPr>
          <w:sz w:val="15"/>
        </w:rPr>
      </w:pPr>
    </w:p>
    <w:p>
      <w:pPr>
        <w:pStyle w:val="BodyText"/>
        <w:spacing w:line="417" w:lineRule="auto"/>
        <w:ind w:left="540" w:right="31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504" w:val="left" w:leader="none"/>
        </w:tabs>
        <w:spacing w:line="268" w:lineRule="exact" w:before="0" w:after="0"/>
        <w:ind w:left="1503" w:right="0" w:hanging="530"/>
        <w:jc w:val="left"/>
        <w:rPr>
          <w:sz w:val="21"/>
        </w:rPr>
      </w:pPr>
      <w:r>
        <w:rPr>
          <w:spacing w:val="-3"/>
          <w:sz w:val="21"/>
        </w:rPr>
        <w:t>投资控制制度</w:t>
      </w:r>
    </w:p>
    <w:p>
      <w:pPr>
        <w:pStyle w:val="BodyText"/>
        <w:spacing w:before="7"/>
        <w:rPr>
          <w:sz w:val="15"/>
        </w:rPr>
      </w:pPr>
    </w:p>
    <w:p>
      <w:pPr>
        <w:pStyle w:val="BodyText"/>
        <w:spacing w:line="417" w:lineRule="auto"/>
        <w:ind w:left="540" w:right="10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spacing w:after="0" w:line="417" w:lineRule="auto"/>
        <w:sectPr>
          <w:pgSz w:w="11910" w:h="16840"/>
          <w:pgMar w:header="877" w:footer="995" w:top="1420" w:bottom="1180" w:left="1260" w:right="1480"/>
        </w:sectPr>
      </w:pPr>
    </w:p>
    <w:p>
      <w:pPr>
        <w:pStyle w:val="BodyText"/>
        <w:spacing w:line="417" w:lineRule="auto" w:before="110"/>
        <w:ind w:left="540" w:right="32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540" w:right="31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540" w:right="324"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540" w:right="31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540" w:right="32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504" w:val="left" w:leader="none"/>
        </w:tabs>
        <w:spacing w:line="269" w:lineRule="exact" w:before="0" w:after="0"/>
        <w:ind w:left="1503" w:right="0" w:hanging="530"/>
        <w:jc w:val="left"/>
        <w:rPr>
          <w:sz w:val="21"/>
        </w:rPr>
      </w:pPr>
      <w:r>
        <w:rPr>
          <w:spacing w:val="-3"/>
          <w:sz w:val="21"/>
        </w:rPr>
        <w:t>会计控制制度</w:t>
      </w:r>
    </w:p>
    <w:p>
      <w:pPr>
        <w:pStyle w:val="BodyText"/>
        <w:spacing w:before="5"/>
        <w:rPr>
          <w:sz w:val="15"/>
        </w:rPr>
      </w:pPr>
    </w:p>
    <w:p>
      <w:pPr>
        <w:pStyle w:val="BodyText"/>
        <w:spacing w:before="1"/>
        <w:ind w:left="960"/>
      </w:pPr>
      <w:r>
        <w:rPr/>
        <w:t>①建立了基金会计的工作制度及相应的操作和控制规程，确保会计业务有章可循。</w:t>
      </w:r>
    </w:p>
    <w:p>
      <w:pPr>
        <w:pStyle w:val="BodyText"/>
        <w:spacing w:before="6"/>
        <w:rPr>
          <w:sz w:val="15"/>
        </w:rPr>
      </w:pPr>
    </w:p>
    <w:p>
      <w:pPr>
        <w:pStyle w:val="BodyText"/>
        <w:spacing w:line="417" w:lineRule="auto"/>
        <w:ind w:left="540" w:right="31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960"/>
      </w:pPr>
      <w:r>
        <w:rPr/>
        <w:t>③为了防范基金会计在资金头寸管理上出现透支风险，制定了资金头寸管理制度。</w:t>
      </w:r>
    </w:p>
    <w:p>
      <w:pPr>
        <w:pStyle w:val="BodyText"/>
        <w:spacing w:before="7"/>
        <w:rPr>
          <w:sz w:val="15"/>
        </w:rPr>
      </w:pPr>
    </w:p>
    <w:p>
      <w:pPr>
        <w:pStyle w:val="BodyText"/>
        <w:ind w:left="974"/>
      </w:pPr>
      <w:r>
        <w:rPr/>
        <w:t>④制定了完善的档案保管和财务交接制度。</w:t>
      </w:r>
    </w:p>
    <w:p>
      <w:pPr>
        <w:pStyle w:val="BodyText"/>
        <w:spacing w:before="7"/>
        <w:rPr>
          <w:sz w:val="15"/>
        </w:rPr>
      </w:pP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技术系统控制制度</w:t>
      </w:r>
    </w:p>
    <w:p>
      <w:pPr>
        <w:pStyle w:val="BodyText"/>
        <w:spacing w:before="6"/>
        <w:rPr>
          <w:sz w:val="15"/>
        </w:rPr>
      </w:pPr>
    </w:p>
    <w:p>
      <w:pPr>
        <w:pStyle w:val="BodyText"/>
        <w:spacing w:line="417" w:lineRule="auto" w:before="1"/>
        <w:ind w:left="540" w:right="31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人力资源管理制度</w:t>
      </w:r>
    </w:p>
    <w:p>
      <w:pPr>
        <w:pStyle w:val="BodyText"/>
        <w:spacing w:before="6"/>
        <w:rPr>
          <w:sz w:val="15"/>
        </w:rPr>
      </w:pPr>
    </w:p>
    <w:p>
      <w:pPr>
        <w:pStyle w:val="BodyText"/>
        <w:spacing w:line="417" w:lineRule="auto"/>
        <w:ind w:left="540" w:right="324" w:firstLine="434"/>
      </w:pPr>
      <w:r>
        <w:rPr/>
        <w:t>公司建立了科学的招聘解聘制度、培训制度、考核制度、薪酬制度等人事管理制度， 确保人力资源的有效管理。</w:t>
      </w:r>
    </w:p>
    <w:p>
      <w:pPr>
        <w:pStyle w:val="ListParagraph"/>
        <w:numPr>
          <w:ilvl w:val="0"/>
          <w:numId w:val="5"/>
        </w:numPr>
        <w:tabs>
          <w:tab w:pos="1504" w:val="left" w:leader="none"/>
        </w:tabs>
        <w:spacing w:line="269" w:lineRule="exact" w:before="0" w:after="0"/>
        <w:ind w:left="1503" w:right="0" w:hanging="530"/>
        <w:jc w:val="left"/>
        <w:rPr>
          <w:sz w:val="21"/>
        </w:rPr>
      </w:pPr>
      <w:r>
        <w:rPr>
          <w:spacing w:val="-2"/>
          <w:sz w:val="21"/>
        </w:rPr>
        <w:t>监察制度</w:t>
      </w:r>
    </w:p>
    <w:p>
      <w:pPr>
        <w:pStyle w:val="BodyText"/>
        <w:spacing w:before="7"/>
        <w:rPr>
          <w:sz w:val="15"/>
        </w:rPr>
      </w:pPr>
    </w:p>
    <w:p>
      <w:pPr>
        <w:pStyle w:val="BodyText"/>
        <w:spacing w:line="417" w:lineRule="auto"/>
        <w:ind w:left="540" w:right="32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反洗钱制度</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31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line="268" w:lineRule="exact"/>
        <w:ind w:left="974"/>
      </w:pPr>
      <w:r>
        <w:rPr>
          <w:rFonts w:ascii="Times New Roman" w:eastAsia="Times New Roman"/>
        </w:rPr>
        <w:t>4</w:t>
      </w:r>
      <w:r>
        <w:rPr/>
        <w:t>、信息沟通</w:t>
      </w:r>
    </w:p>
    <w:p>
      <w:pPr>
        <w:pStyle w:val="BodyText"/>
        <w:spacing w:before="6"/>
        <w:rPr>
          <w:sz w:val="15"/>
        </w:rPr>
      </w:pPr>
    </w:p>
    <w:p>
      <w:pPr>
        <w:pStyle w:val="BodyText"/>
        <w:spacing w:line="417" w:lineRule="auto"/>
        <w:ind w:left="540" w:right="33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ind w:left="974"/>
      </w:pPr>
      <w:r>
        <w:rPr>
          <w:rFonts w:ascii="Times New Roman" w:eastAsia="Times New Roman"/>
        </w:rPr>
        <w:t>5</w:t>
      </w:r>
      <w:r>
        <w:rPr/>
        <w:t>、内部监控</w:t>
      </w:r>
    </w:p>
    <w:p>
      <w:pPr>
        <w:pStyle w:val="BodyText"/>
        <w:spacing w:before="7"/>
        <w:rPr>
          <w:sz w:val="15"/>
        </w:rPr>
      </w:pPr>
    </w:p>
    <w:p>
      <w:pPr>
        <w:pStyle w:val="BodyText"/>
        <w:spacing w:line="417" w:lineRule="auto"/>
        <w:ind w:left="540" w:right="31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9" w:lineRule="exact"/>
        <w:ind w:left="960"/>
      </w:pPr>
      <w:r>
        <w:rPr>
          <w:rFonts w:ascii="Times New Roman" w:eastAsia="Times New Roman"/>
        </w:rPr>
        <w:t>6</w:t>
      </w:r>
      <w:r>
        <w:rPr/>
        <w:t>、基金管理人关于内部控制的声明</w:t>
      </w:r>
    </w:p>
    <w:p>
      <w:pPr>
        <w:pStyle w:val="BodyText"/>
        <w:spacing w:before="7"/>
        <w:rPr>
          <w:sz w:val="15"/>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本公司确知建立、实施和维持内部控制制度是本公司董事会及管理层的责任。</w:t>
      </w:r>
    </w:p>
    <w:p>
      <w:pPr>
        <w:pStyle w:val="BodyText"/>
        <w:spacing w:before="7"/>
        <w:rPr>
          <w:sz w:val="15"/>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上述关于内部控制的披露真实、准确。</w:t>
      </w:r>
    </w:p>
    <w:p>
      <w:pPr>
        <w:pStyle w:val="BodyText"/>
        <w:spacing w:before="7"/>
        <w:rPr>
          <w:sz w:val="15"/>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1"/>
        <w:rPr>
          <w:sz w:val="20"/>
        </w:rPr>
      </w:pPr>
    </w:p>
    <w:p>
      <w:pPr>
        <w:pStyle w:val="Heading1"/>
      </w:pPr>
      <w:bookmarkStart w:name="_bookmark3" w:id="4"/>
      <w:bookmarkEnd w:id="4"/>
      <w:r>
        <w:rPr>
          <w:b w:val="0"/>
        </w:rPr>
      </w:r>
      <w:r>
        <w:rPr/>
        <w:t>四、基金托管人</w:t>
      </w:r>
    </w:p>
    <w:p>
      <w:pPr>
        <w:pStyle w:val="BodyText"/>
        <w:rPr>
          <w:b/>
          <w:sz w:val="20"/>
        </w:rPr>
      </w:pPr>
    </w:p>
    <w:p>
      <w:pPr>
        <w:pStyle w:val="BodyText"/>
        <w:spacing w:before="3"/>
        <w:rPr>
          <w:b/>
        </w:rPr>
      </w:pPr>
    </w:p>
    <w:p>
      <w:pPr>
        <w:pStyle w:val="BodyText"/>
        <w:ind w:left="960"/>
      </w:pPr>
      <w:r>
        <w:rPr/>
        <w:t>（一）基金托管人基本情况</w:t>
      </w:r>
    </w:p>
    <w:p>
      <w:pPr>
        <w:pStyle w:val="BodyText"/>
        <w:spacing w:before="6"/>
        <w:rPr>
          <w:sz w:val="15"/>
        </w:rPr>
      </w:pPr>
    </w:p>
    <w:p>
      <w:pPr>
        <w:pStyle w:val="BodyText"/>
        <w:spacing w:before="1"/>
        <w:ind w:left="960"/>
      </w:pPr>
      <w:r>
        <w:rPr/>
        <w:t>名称：中国工商银行股份有限公司</w:t>
      </w:r>
    </w:p>
    <w:p>
      <w:pPr>
        <w:pStyle w:val="BodyText"/>
        <w:spacing w:before="7"/>
        <w:rPr>
          <w:sz w:val="15"/>
        </w:rPr>
      </w:pPr>
    </w:p>
    <w:p>
      <w:pPr>
        <w:pStyle w:val="BodyText"/>
        <w:ind w:left="960"/>
      </w:pPr>
      <w:r>
        <w:rPr/>
        <w:t>注册地址：北京市西城区复兴门内大街 </w:t>
      </w:r>
      <w:r>
        <w:rPr>
          <w:rFonts w:ascii="Times New Roman" w:eastAsia="Times New Roman"/>
        </w:rPr>
        <w:t>55 </w:t>
      </w:r>
      <w:r>
        <w:rPr/>
        <w:t>号</w:t>
      </w:r>
    </w:p>
    <w:p>
      <w:pPr>
        <w:pStyle w:val="BodyText"/>
        <w:spacing w:before="6"/>
        <w:rPr>
          <w:sz w:val="15"/>
        </w:rPr>
      </w:pPr>
    </w:p>
    <w:p>
      <w:pPr>
        <w:pStyle w:val="BodyText"/>
        <w:spacing w:line="417" w:lineRule="auto" w:before="1"/>
        <w:ind w:left="960" w:right="5630"/>
      </w:pPr>
      <w:r>
        <w:rPr>
          <w:spacing w:val="-1"/>
        </w:rPr>
        <w:t>成立时间：</w:t>
      </w:r>
      <w:r>
        <w:rPr>
          <w:rFonts w:ascii="Times New Roman" w:eastAsia="Times New Roman"/>
        </w:rPr>
        <w:t>1984 </w:t>
      </w:r>
      <w:r>
        <w:rPr>
          <w:spacing w:val="-27"/>
        </w:rPr>
        <w:t>年 </w:t>
      </w:r>
      <w:r>
        <w:rPr>
          <w:rFonts w:ascii="Times New Roman" w:eastAsia="Times New Roman"/>
        </w:rPr>
        <w:t>1 </w:t>
      </w:r>
      <w:r>
        <w:rPr>
          <w:spacing w:val="-27"/>
        </w:rPr>
        <w:t>月 </w:t>
      </w:r>
      <w:r>
        <w:rPr>
          <w:rFonts w:ascii="Times New Roman" w:eastAsia="Times New Roman"/>
        </w:rPr>
        <w:t>1 </w:t>
      </w:r>
      <w:r>
        <w:rPr>
          <w:spacing w:val="-14"/>
        </w:rPr>
        <w:t>日</w:t>
      </w:r>
      <w:r>
        <w:rPr>
          <w:spacing w:val="-3"/>
        </w:rPr>
        <w:t>法定代表人：陈四清</w:t>
      </w:r>
    </w:p>
    <w:p>
      <w:pPr>
        <w:pStyle w:val="BodyText"/>
        <w:spacing w:line="417" w:lineRule="auto"/>
        <w:ind w:left="960" w:right="4518"/>
        <w:rPr>
          <w:rFonts w:ascii="Times New Roman" w:eastAsia="Times New Roman"/>
        </w:rPr>
      </w:pPr>
      <w:r>
        <w:rPr/>
        <w:t>注册资本：人民币 </w:t>
      </w:r>
      <w:r>
        <w:rPr>
          <w:rFonts w:ascii="Times New Roman" w:eastAsia="Times New Roman"/>
        </w:rPr>
        <w:t>35,640,625.7089 </w:t>
      </w:r>
      <w:r>
        <w:rPr/>
        <w:t>万元联系电话：</w:t>
      </w:r>
      <w:r>
        <w:rPr>
          <w:rFonts w:ascii="Times New Roman" w:eastAsia="Times New Roman"/>
        </w:rPr>
        <w:t>010-66105799</w:t>
      </w:r>
    </w:p>
    <w:p>
      <w:pPr>
        <w:pStyle w:val="BodyText"/>
        <w:spacing w:line="269" w:lineRule="exact"/>
        <w:ind w:left="960"/>
      </w:pPr>
      <w:r>
        <w:rPr/>
        <w:t>联系人：郭明</w:t>
      </w:r>
    </w:p>
    <w:p>
      <w:pPr>
        <w:pStyle w:val="BodyText"/>
        <w:spacing w:before="6"/>
        <w:rPr>
          <w:sz w:val="15"/>
        </w:rPr>
      </w:pPr>
    </w:p>
    <w:p>
      <w:pPr>
        <w:pStyle w:val="BodyText"/>
        <w:ind w:left="960"/>
      </w:pPr>
      <w:r>
        <w:rPr/>
        <w:t>（二）主要人员情况</w:t>
      </w:r>
    </w:p>
    <w:p>
      <w:pPr>
        <w:pStyle w:val="BodyText"/>
        <w:spacing w:before="7"/>
        <w:rPr>
          <w:sz w:val="15"/>
        </w:rPr>
      </w:pPr>
    </w:p>
    <w:p>
      <w:pPr>
        <w:pStyle w:val="BodyText"/>
        <w:ind w:left="960"/>
      </w:pPr>
      <w:r>
        <w:rPr/>
        <w:t>截至 </w:t>
      </w:r>
      <w:r>
        <w:rPr>
          <w:rFonts w:ascii="Times New Roman" w:eastAsia="Times New Roman"/>
        </w:rPr>
        <w:t>2020 </w:t>
      </w:r>
      <w:r>
        <w:rPr/>
        <w:t>年 </w:t>
      </w:r>
      <w:r>
        <w:rPr>
          <w:rFonts w:ascii="Times New Roman" w:eastAsia="Times New Roman"/>
        </w:rPr>
        <w:t>6 </w:t>
      </w:r>
      <w:r>
        <w:rPr/>
        <w:t>月，中国工商银行资产托管部共有员工 </w:t>
      </w:r>
      <w:r>
        <w:rPr>
          <w:rFonts w:ascii="Times New Roman" w:eastAsia="Times New Roman"/>
        </w:rPr>
        <w:t>212 </w:t>
      </w:r>
      <w:r>
        <w:rPr/>
        <w:t>人，平均年龄 </w:t>
      </w:r>
      <w:r>
        <w:rPr>
          <w:rFonts w:ascii="Times New Roman" w:eastAsia="Times New Roman"/>
        </w:rPr>
        <w:t>33 </w:t>
      </w:r>
      <w:r>
        <w:rPr/>
        <w:t>岁，</w:t>
      </w:r>
      <w:r>
        <w:rPr>
          <w:rFonts w:ascii="Times New Roman" w:eastAsia="Times New Roman"/>
        </w:rPr>
        <w:t>95%</w:t>
      </w:r>
      <w:r>
        <w:rPr/>
        <w:t>以</w:t>
      </w:r>
    </w:p>
    <w:p>
      <w:pPr>
        <w:spacing w:after="0"/>
        <w:sectPr>
          <w:pgSz w:w="11910" w:h="16840"/>
          <w:pgMar w:header="877" w:footer="995" w:top="1420" w:bottom="1180" w:left="1260" w:right="1480"/>
        </w:sectPr>
      </w:pPr>
    </w:p>
    <w:p>
      <w:pPr>
        <w:pStyle w:val="BodyText"/>
        <w:spacing w:before="110"/>
        <w:ind w:left="540"/>
      </w:pPr>
      <w:r>
        <w:rPr/>
        <w:t>上员工拥有大学本科以上学历，高管人员均拥有研究生以上学历或高级技术职称。</w:t>
      </w:r>
    </w:p>
    <w:p>
      <w:pPr>
        <w:pStyle w:val="BodyText"/>
        <w:spacing w:before="6"/>
        <w:rPr>
          <w:sz w:val="15"/>
        </w:rPr>
      </w:pPr>
    </w:p>
    <w:p>
      <w:pPr>
        <w:pStyle w:val="BodyText"/>
        <w:ind w:left="960"/>
      </w:pPr>
      <w:r>
        <w:rPr/>
        <w:t>（三）基金托管业务经营情况</w:t>
      </w:r>
    </w:p>
    <w:p>
      <w:pPr>
        <w:pStyle w:val="BodyText"/>
        <w:spacing w:before="7"/>
        <w:rPr>
          <w:sz w:val="15"/>
        </w:rPr>
      </w:pPr>
    </w:p>
    <w:p>
      <w:pPr>
        <w:pStyle w:val="BodyText"/>
        <w:spacing w:line="417" w:lineRule="auto"/>
        <w:ind w:left="540" w:right="208" w:firstLine="419"/>
      </w:pPr>
      <w:r>
        <w:rPr>
          <w:spacing w:val="-5"/>
        </w:rPr>
        <w:t>作为中国大陆托管服务的先行者，中国工商银行自 </w:t>
      </w:r>
      <w:r>
        <w:rPr>
          <w:rFonts w:ascii="Times New Roman" w:hAnsi="Times New Roman" w:eastAsia="Times New Roman"/>
        </w:rPr>
        <w:t>1998 </w:t>
      </w:r>
      <w:r>
        <w:rPr>
          <w:spacing w:val="-3"/>
        </w:rPr>
        <w:t>年在国内首家提供托管服务以</w:t>
      </w:r>
      <w:r>
        <w:rPr>
          <w:spacing w:val="-11"/>
        </w:rPr>
        <w:t>来，秉承“诚实信用、勤勉尽责”的宗旨，依靠严密科学的风险管理和内部控制体系、规范</w:t>
      </w:r>
      <w:r>
        <w:rPr>
          <w:spacing w:val="-12"/>
        </w:rPr>
        <w:t>的管理模式、先进的营运系统和专业的服务团队，严格履行资产托管人职责，为境内外广大</w:t>
      </w:r>
      <w:r>
        <w:rPr>
          <w:spacing w:val="-11"/>
        </w:rPr>
        <w:t>投资者、金融资产管理机构和企业客户提供安全、高效、专业的托管服务，展现优异的市场</w:t>
      </w:r>
      <w:r>
        <w:rPr>
          <w:spacing w:val="-6"/>
        </w:rPr>
        <w:t>形象和影响力。建立了国内托管银行中最丰富、最成熟的产品线。拥有包括证券投资基金、</w:t>
      </w:r>
      <w:r>
        <w:rPr>
          <w:spacing w:val="-4"/>
        </w:rPr>
        <w:t>信托资产、保险资产、社会保障基金、基本养老保险、企业年金基金、</w:t>
      </w:r>
      <w:r>
        <w:rPr>
          <w:rFonts w:ascii="Times New Roman" w:hAnsi="Times New Roman" w:eastAsia="Times New Roman"/>
        </w:rPr>
        <w:t>QFII </w:t>
      </w:r>
      <w:r>
        <w:rPr>
          <w:spacing w:val="-2"/>
        </w:rPr>
        <w:t>资产、</w:t>
      </w:r>
      <w:r>
        <w:rPr>
          <w:rFonts w:ascii="Times New Roman" w:hAnsi="Times New Roman" w:eastAsia="Times New Roman"/>
        </w:rPr>
        <w:t>QDII </w:t>
      </w:r>
      <w:r>
        <w:rPr/>
        <w:t>资</w:t>
      </w:r>
      <w:r>
        <w:rPr>
          <w:spacing w:val="-11"/>
        </w:rPr>
        <w:t>产、股权投资基金、证券公司集合资产管理计划、证券公司定向资产管理计划、商业银行信</w:t>
      </w:r>
      <w:r>
        <w:rPr>
          <w:spacing w:val="-8"/>
        </w:rPr>
        <w:t>贷资产证券化、基金公司特定客户资产管理、</w:t>
      </w:r>
      <w:r>
        <w:rPr>
          <w:rFonts w:ascii="Times New Roman" w:hAnsi="Times New Roman" w:eastAsia="Times New Roman"/>
        </w:rPr>
        <w:t>QDII </w:t>
      </w:r>
      <w:r>
        <w:rPr>
          <w:spacing w:val="-5"/>
        </w:rPr>
        <w:t>专户资产、</w:t>
      </w:r>
      <w:r>
        <w:rPr>
          <w:rFonts w:ascii="Times New Roman" w:hAnsi="Times New Roman" w:eastAsia="Times New Roman"/>
        </w:rPr>
        <w:t>ESCROW </w:t>
      </w:r>
      <w:r>
        <w:rPr>
          <w:spacing w:val="-3"/>
        </w:rPr>
        <w:t>等门类齐全的托管</w:t>
      </w:r>
      <w:r>
        <w:rPr>
          <w:spacing w:val="-10"/>
        </w:rPr>
        <w:t>产品体系，同时在国内率先开展绩效评估、风险管理等增值服务，可以为各类客户提供个性化的托管服务。截至 </w:t>
      </w:r>
      <w:r>
        <w:rPr>
          <w:rFonts w:ascii="Times New Roman" w:hAnsi="Times New Roman" w:eastAsia="Times New Roman"/>
        </w:rPr>
        <w:t>2020 </w:t>
      </w:r>
      <w:r>
        <w:rPr>
          <w:spacing w:val="-25"/>
        </w:rPr>
        <w:t>年 </w:t>
      </w:r>
      <w:r>
        <w:rPr>
          <w:rFonts w:ascii="Times New Roman" w:hAnsi="Times New Roman" w:eastAsia="Times New Roman"/>
        </w:rPr>
        <w:t>6</w:t>
      </w:r>
      <w:r>
        <w:rPr>
          <w:rFonts w:ascii="Times New Roman" w:hAnsi="Times New Roman" w:eastAsia="Times New Roman"/>
          <w:spacing w:val="4"/>
        </w:rPr>
        <w:t> </w:t>
      </w:r>
      <w:r>
        <w:rPr>
          <w:spacing w:val="-6"/>
        </w:rPr>
        <w:t>月，中国工商银行共托管证券投资基金 </w:t>
      </w:r>
      <w:r>
        <w:rPr>
          <w:rFonts w:ascii="Times New Roman" w:hAnsi="Times New Roman" w:eastAsia="Times New Roman"/>
        </w:rPr>
        <w:t>1094 </w:t>
      </w:r>
      <w:r>
        <w:rPr>
          <w:spacing w:val="-14"/>
        </w:rPr>
        <w:t>只。自 </w:t>
      </w:r>
      <w:r>
        <w:rPr>
          <w:rFonts w:ascii="Times New Roman" w:hAnsi="Times New Roman" w:eastAsia="Times New Roman"/>
        </w:rPr>
        <w:t>2003 </w:t>
      </w:r>
      <w:r>
        <w:rPr/>
        <w:t>年</w:t>
      </w:r>
      <w:r>
        <w:rPr>
          <w:spacing w:val="-25"/>
        </w:rPr>
        <w:t>以来，本行连续十七年获得香港《亚洲货币》、英国《全球托管人》、香港《财资》、美国《环</w:t>
      </w:r>
      <w:r>
        <w:rPr>
          <w:spacing w:val="-26"/>
        </w:rPr>
        <w:t>球金融》、内地《证券时报》、《上海证券报》等境内外权威财经媒体评选的 </w:t>
      </w:r>
      <w:r>
        <w:rPr>
          <w:rFonts w:ascii="Times New Roman" w:hAnsi="Times New Roman" w:eastAsia="Times New Roman"/>
        </w:rPr>
        <w:t>73 </w:t>
      </w:r>
      <w:r>
        <w:rPr>
          <w:spacing w:val="-2"/>
        </w:rPr>
        <w:t>项最佳托管银</w:t>
      </w:r>
      <w:r>
        <w:rPr>
          <w:spacing w:val="-12"/>
        </w:rPr>
        <w:t>行大奖；是获得奖项最多的国内托管银行，优良的服务品质获得国内外金融领域的持续认可</w:t>
      </w:r>
      <w:r>
        <w:rPr>
          <w:spacing w:val="-6"/>
        </w:rPr>
        <w:t>和广泛好评。</w:t>
      </w:r>
    </w:p>
    <w:p>
      <w:pPr>
        <w:pStyle w:val="BodyText"/>
        <w:spacing w:line="268" w:lineRule="exact"/>
        <w:ind w:left="960"/>
      </w:pPr>
      <w:r>
        <w:rPr/>
        <w:t>（四）基金托管人的内部控制制度</w:t>
      </w:r>
    </w:p>
    <w:p>
      <w:pPr>
        <w:pStyle w:val="BodyText"/>
        <w:spacing w:before="7"/>
        <w:rPr>
          <w:sz w:val="15"/>
        </w:rPr>
      </w:pPr>
    </w:p>
    <w:p>
      <w:pPr>
        <w:pStyle w:val="BodyText"/>
        <w:spacing w:line="417" w:lineRule="auto"/>
        <w:ind w:left="540" w:right="311" w:firstLine="419"/>
        <w:jc w:val="both"/>
      </w:pPr>
      <w:r>
        <w:rPr>
          <w:spacing w:val="-8"/>
        </w:rPr>
        <w:t>中国工商银行资产托管部自成立以来，各项业务飞速发展，始终保持在资产托管行业的</w:t>
      </w:r>
      <w:r>
        <w:rPr>
          <w:spacing w:val="-12"/>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8"/>
        </w:rPr>
        <w:t>项目全过程风险管理作为重要工作来做。从 </w:t>
      </w:r>
      <w:r>
        <w:rPr>
          <w:rFonts w:ascii="Times New Roman" w:hAnsi="Times New Roman" w:eastAsia="Times New Roman"/>
        </w:rPr>
        <w:t>2005 </w:t>
      </w:r>
      <w:r>
        <w:rPr>
          <w:spacing w:val="-3"/>
        </w:rPr>
        <w:t>年至今共十三次顺利通过评估组织内部控</w:t>
      </w:r>
      <w:r>
        <w:rPr>
          <w:spacing w:val="-6"/>
        </w:rPr>
        <w:t>制和安全措施最权威的 </w:t>
      </w:r>
      <w:r>
        <w:rPr>
          <w:rFonts w:ascii="Times New Roman" w:hAnsi="Times New Roman" w:eastAsia="Times New Roman"/>
        </w:rPr>
        <w:t>ISAE3402 </w:t>
      </w:r>
      <w:r>
        <w:rPr>
          <w:spacing w:val="-6"/>
        </w:rPr>
        <w:t>审阅，全部获得无保留意见的控制及有效性报告。充分表明独立第三方对我行托管服务在风险管理、内部控制方面的健全性和有效性的全面认可</w:t>
      </w:r>
      <w:r>
        <w:rPr>
          <w:rFonts w:ascii="Times New Roman" w:hAnsi="Times New Roman" w:eastAsia="Times New Roman"/>
        </w:rPr>
        <w:t>,</w:t>
      </w:r>
      <w:r>
        <w:rPr>
          <w:spacing w:val="-14"/>
        </w:rPr>
        <w:t>也</w:t>
      </w:r>
      <w:r>
        <w:rPr>
          <w:spacing w:val="-6"/>
        </w:rPr>
        <w:t>证明中国工商银行托管服务的风险控制能力已经与国际大型托管银行接轨，达到国际先进水</w:t>
      </w:r>
      <w:r>
        <w:rPr>
          <w:spacing w:val="-4"/>
        </w:rPr>
        <w:t>平。目前，</w:t>
      </w:r>
      <w:r>
        <w:rPr>
          <w:rFonts w:ascii="Times New Roman" w:hAnsi="Times New Roman" w:eastAsia="Times New Roman"/>
        </w:rPr>
        <w:t>ISAE3402 </w:t>
      </w:r>
      <w:r>
        <w:rPr>
          <w:spacing w:val="-8"/>
        </w:rPr>
        <w:t>审阅已经成为年度化、常规化的内控工作手段。”</w:t>
      </w:r>
    </w:p>
    <w:p>
      <w:pPr>
        <w:pStyle w:val="BodyText"/>
        <w:spacing w:line="268" w:lineRule="exact"/>
        <w:ind w:left="960"/>
      </w:pPr>
      <w:r>
        <w:rPr>
          <w:rFonts w:ascii="Times New Roman" w:eastAsia="Times New Roman"/>
        </w:rPr>
        <w:t>1</w:t>
      </w:r>
      <w:r>
        <w:rPr/>
        <w:t>、内部风险控制目标</w:t>
      </w:r>
    </w:p>
    <w:p>
      <w:pPr>
        <w:pStyle w:val="BodyText"/>
        <w:spacing w:before="7"/>
        <w:rPr>
          <w:sz w:val="15"/>
        </w:rPr>
      </w:pPr>
    </w:p>
    <w:p>
      <w:pPr>
        <w:pStyle w:val="BodyText"/>
        <w:spacing w:line="417" w:lineRule="auto"/>
        <w:ind w:left="540" w:right="208" w:firstLine="419"/>
      </w:pPr>
      <w:r>
        <w:rPr>
          <w:spacing w:val="-7"/>
        </w:rPr>
        <w:t>保证业务运作严格遵守国家有关法律法规和行业监管规则，强化和建立守法经营、规范</w:t>
      </w:r>
      <w:r>
        <w:rPr>
          <w:spacing w:val="-4"/>
        </w:rPr>
        <w:t>运作的经营思想和经营风格，形成一个运作规范化、管理科学化、监控制度化的内控体系； </w:t>
      </w:r>
      <w:r>
        <w:rPr>
          <w:spacing w:val="-9"/>
        </w:rPr>
        <w:t>防范和化解经营风险，保证托管资产的安全完整；维护持有人的权益；保障资产托管业务安</w:t>
      </w:r>
    </w:p>
    <w:p>
      <w:pPr>
        <w:spacing w:after="0" w:line="417" w:lineRule="auto"/>
        <w:sectPr>
          <w:pgSz w:w="11910" w:h="16840"/>
          <w:pgMar w:header="877" w:footer="995" w:top="1420" w:bottom="1180" w:left="1260" w:right="1480"/>
        </w:sectPr>
      </w:pPr>
    </w:p>
    <w:p>
      <w:pPr>
        <w:pStyle w:val="BodyText"/>
        <w:spacing w:before="110"/>
        <w:ind w:left="540"/>
      </w:pPr>
      <w:r>
        <w:rPr/>
        <w:t>全、有效、稳健运行。</w:t>
      </w:r>
    </w:p>
    <w:p>
      <w:pPr>
        <w:pStyle w:val="BodyText"/>
        <w:spacing w:before="6"/>
        <w:rPr>
          <w:sz w:val="15"/>
        </w:rPr>
      </w:pPr>
    </w:p>
    <w:p>
      <w:pPr>
        <w:pStyle w:val="BodyText"/>
        <w:ind w:left="960"/>
      </w:pPr>
      <w:r>
        <w:rPr>
          <w:rFonts w:ascii="Times New Roman" w:eastAsia="Times New Roman"/>
        </w:rPr>
        <w:t>2</w:t>
      </w:r>
      <w:r>
        <w:rPr/>
        <w:t>、内部风险控制组织结构</w:t>
      </w:r>
    </w:p>
    <w:p>
      <w:pPr>
        <w:pStyle w:val="BodyText"/>
        <w:spacing w:before="7"/>
        <w:rPr>
          <w:sz w:val="15"/>
        </w:rPr>
      </w:pPr>
    </w:p>
    <w:p>
      <w:pPr>
        <w:pStyle w:val="BodyText"/>
        <w:spacing w:line="417" w:lineRule="auto"/>
        <w:ind w:left="540" w:right="208" w:firstLine="419"/>
      </w:pPr>
      <w:r>
        <w:rPr>
          <w:spacing w:val="-6"/>
        </w:rPr>
        <w:t>中国工商银行资产托管业务内部风险控制组织结构由中国工商银行稽核监察部门</w:t>
      </w:r>
      <w:r>
        <w:rPr/>
        <w:t>（</w:t>
      </w:r>
      <w:r>
        <w:rPr>
          <w:spacing w:val="-2"/>
        </w:rPr>
        <w:t>内控</w:t>
      </w:r>
      <w:r>
        <w:rPr>
          <w:spacing w:val="-3"/>
        </w:rPr>
        <w:t>合规部、内部审计局</w:t>
      </w:r>
      <w:r>
        <w:rPr>
          <w:spacing w:val="-106"/>
        </w:rPr>
        <w:t>）</w:t>
      </w:r>
      <w:r>
        <w:rPr>
          <w:spacing w:val="-3"/>
        </w:rPr>
        <w:t>、资产托管部内设风险控制处及资产托管部各业务处室共同组成。总行稽核监察部门负责制定全行风险管理政策，对各业务部门风险控制工作进行指导、监督。</w:t>
      </w:r>
      <w:r>
        <w:rPr>
          <w:spacing w:val="-7"/>
        </w:rPr>
        <w:t>资产托管部内部设置专门负责稽核监察工作的内部风险控制处，配备专职稽核监察人员，在</w:t>
      </w:r>
      <w:r>
        <w:rPr>
          <w:spacing w:val="-11"/>
        </w:rPr>
        <w:t>总经理的直接领导下，依照有关法律规章，对业务的运行独立行使稽核监察职权。各业务处</w:t>
      </w:r>
      <w:r>
        <w:rPr>
          <w:spacing w:val="-6"/>
        </w:rPr>
        <w:t>室在各自职责范围内实施具体的风险控制措施。</w:t>
      </w:r>
    </w:p>
    <w:p>
      <w:pPr>
        <w:pStyle w:val="BodyText"/>
        <w:spacing w:line="269" w:lineRule="exact"/>
        <w:ind w:left="960"/>
      </w:pPr>
      <w:r>
        <w:rPr>
          <w:rFonts w:ascii="Times New Roman" w:eastAsia="Times New Roman"/>
        </w:rPr>
        <w:t>3</w:t>
      </w:r>
      <w:r>
        <w:rPr/>
        <w:t>、内部风险控制原则</w:t>
      </w:r>
    </w:p>
    <w:p>
      <w:pPr>
        <w:pStyle w:val="BodyText"/>
        <w:spacing w:before="7"/>
        <w:rPr>
          <w:sz w:val="15"/>
        </w:rPr>
      </w:pP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合法性原则。内控制度应当符合国家法律法规及监管机构的监管要求，并贯穿于托管业务经营管理活动的始终。</w:t>
      </w:r>
    </w:p>
    <w:p>
      <w:pPr>
        <w:pStyle w:val="ListParagraph"/>
        <w:numPr>
          <w:ilvl w:val="0"/>
          <w:numId w:val="7"/>
        </w:numPr>
        <w:tabs>
          <w:tab w:pos="1487" w:val="left" w:leader="none"/>
        </w:tabs>
        <w:spacing w:line="417" w:lineRule="auto" w:before="0" w:after="0"/>
        <w:ind w:left="540" w:right="311" w:firstLine="419"/>
        <w:jc w:val="left"/>
        <w:rPr>
          <w:sz w:val="21"/>
        </w:rPr>
      </w:pPr>
      <w:r>
        <w:rPr>
          <w:spacing w:val="-13"/>
          <w:sz w:val="21"/>
        </w:rPr>
        <w:t>完整性原则。托管业务的各项经营管理活动都必须有相应的规范程序和监督制约</w:t>
      </w:r>
      <w:r>
        <w:rPr>
          <w:spacing w:val="-3"/>
          <w:sz w:val="21"/>
        </w:rPr>
        <w:t>；监督制约应渗透到托管业务的全过程和各个操作环节，覆盖所有的部门、岗位和人员。</w:t>
      </w: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及时性原则。托管业务经营活动必须在发生时能准确及时地记录；按照“内控优先”的原则，新设机构或新增业务品种时，必须做到已建立相关的规章制度。</w:t>
      </w: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审慎性原则。各项业务经营活动必须防范风险，审慎经营，保证基金资产和其他委托资产的安全与完整。</w:t>
      </w: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有效性原则。内控制度应根据国家政策、法律及经营管理的需要适时修改完善， 并保证得到全面落实执行，不得有任何空间、时限及人员的例外。</w:t>
      </w:r>
    </w:p>
    <w:p>
      <w:pPr>
        <w:pStyle w:val="ListParagraph"/>
        <w:numPr>
          <w:ilvl w:val="0"/>
          <w:numId w:val="7"/>
        </w:numPr>
        <w:tabs>
          <w:tab w:pos="1490" w:val="left" w:leader="none"/>
        </w:tabs>
        <w:spacing w:line="417" w:lineRule="auto" w:before="0" w:after="0"/>
        <w:ind w:left="540" w:right="313" w:firstLine="419"/>
        <w:jc w:val="left"/>
        <w:rPr>
          <w:sz w:val="21"/>
        </w:rPr>
      </w:pPr>
      <w:r>
        <w:rPr>
          <w:spacing w:val="-3"/>
          <w:sz w:val="21"/>
        </w:rPr>
        <w:t>独立性原则。设立专门履行托管人职责的管理部门；直接操作人员和控制人员必</w:t>
      </w:r>
      <w:r>
        <w:rPr>
          <w:spacing w:val="-21"/>
          <w:sz w:val="21"/>
        </w:rPr>
        <w:t>须相对独立，适当分离；内控制度的检查、评价部门必须独立于内控制度的制定和执行部门。</w:t>
      </w:r>
    </w:p>
    <w:p>
      <w:pPr>
        <w:pStyle w:val="BodyText"/>
        <w:ind w:left="960"/>
      </w:pPr>
      <w:r>
        <w:rPr>
          <w:rFonts w:ascii="Times New Roman" w:eastAsia="Times New Roman"/>
        </w:rPr>
        <w:t>4</w:t>
      </w:r>
      <w:r>
        <w:rPr/>
        <w:t>、内部风险控制措施实施</w:t>
      </w:r>
    </w:p>
    <w:p>
      <w:pPr>
        <w:pStyle w:val="BodyText"/>
        <w:spacing w:before="5"/>
        <w:rPr>
          <w:sz w:val="15"/>
        </w:rPr>
      </w:pPr>
    </w:p>
    <w:p>
      <w:pPr>
        <w:pStyle w:val="ListParagraph"/>
        <w:numPr>
          <w:ilvl w:val="0"/>
          <w:numId w:val="8"/>
        </w:numPr>
        <w:tabs>
          <w:tab w:pos="1490" w:val="left" w:leader="none"/>
        </w:tabs>
        <w:spacing w:line="417" w:lineRule="auto" w:before="1" w:after="0"/>
        <w:ind w:left="540" w:right="208" w:firstLine="419"/>
        <w:jc w:val="left"/>
        <w:rPr>
          <w:sz w:val="21"/>
        </w:rPr>
      </w:pPr>
      <w:r>
        <w:rPr>
          <w:spacing w:val="-3"/>
          <w:sz w:val="21"/>
        </w:rPr>
        <w:t>严格的隔离制度。资产托管业务与传统业务实行严格分离，建立了明确的岗位职</w:t>
      </w:r>
      <w:r>
        <w:rPr>
          <w:spacing w:val="-11"/>
          <w:sz w:val="21"/>
        </w:rPr>
        <w:t>责、科学的业务流程、详细的操作手册、严格的人员行为规范等一系列规章制度，并采取了</w:t>
      </w:r>
      <w:r>
        <w:rPr>
          <w:spacing w:val="-6"/>
          <w:sz w:val="21"/>
        </w:rPr>
        <w:t>良好的防火墙隔离制度，能够确保资产独立、环境独立、人员独立、业务制度和管理独立、</w:t>
      </w:r>
      <w:r>
        <w:rPr>
          <w:spacing w:val="-4"/>
          <w:sz w:val="21"/>
        </w:rPr>
        <w:t>网络独立。</w:t>
      </w:r>
    </w:p>
    <w:p>
      <w:pPr>
        <w:pStyle w:val="ListParagraph"/>
        <w:numPr>
          <w:ilvl w:val="0"/>
          <w:numId w:val="8"/>
        </w:numPr>
        <w:tabs>
          <w:tab w:pos="1490" w:val="left" w:leader="none"/>
        </w:tabs>
        <w:spacing w:line="417" w:lineRule="auto" w:before="0" w:after="0"/>
        <w:ind w:left="540" w:right="311" w:firstLine="419"/>
        <w:jc w:val="both"/>
        <w:rPr>
          <w:sz w:val="21"/>
        </w:rPr>
      </w:pPr>
      <w:r>
        <w:rPr>
          <w:spacing w:val="-3"/>
          <w:sz w:val="21"/>
        </w:rPr>
        <w:t>高层检查。主管行领导与部门高级管理层作为工行托管业务政策和策略的制定者</w:t>
      </w:r>
      <w:r>
        <w:rPr>
          <w:spacing w:val="-11"/>
          <w:sz w:val="21"/>
        </w:rPr>
        <w:t>和管理者，要求下级部门及时报告经营管理情况和特别情况，以检查资产托管部在实现内部</w:t>
      </w:r>
      <w:r>
        <w:rPr>
          <w:spacing w:val="-6"/>
          <w:sz w:val="21"/>
        </w:rPr>
        <w:t>控制目标方面的进展，并根据检查情况提出内部控制措施，督促职能管理部门改进。</w:t>
      </w:r>
    </w:p>
    <w:p>
      <w:pPr>
        <w:pStyle w:val="ListParagraph"/>
        <w:numPr>
          <w:ilvl w:val="0"/>
          <w:numId w:val="8"/>
        </w:numPr>
        <w:tabs>
          <w:tab w:pos="1490" w:val="left" w:leader="none"/>
        </w:tabs>
        <w:spacing w:line="240" w:lineRule="auto" w:before="0" w:after="0"/>
        <w:ind w:left="1489" w:right="0" w:hanging="530"/>
        <w:jc w:val="left"/>
        <w:rPr>
          <w:sz w:val="21"/>
        </w:rPr>
      </w:pPr>
      <w:r>
        <w:rPr>
          <w:spacing w:val="-15"/>
          <w:sz w:val="21"/>
        </w:rPr>
        <w:t>人事控制。资产托管部严格落实岗位责任制，建立“自控防线”</w:t>
      </w:r>
      <w:r>
        <w:rPr>
          <w:spacing w:val="-42"/>
          <w:sz w:val="21"/>
        </w:rPr>
        <w:t>、“互控防线”、“监</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311"/>
        <w:jc w:val="both"/>
      </w:pPr>
      <w:r>
        <w:rPr>
          <w:spacing w:val="-10"/>
        </w:rPr>
        <w:t>控防线”三道控制防线，健全绩效考核和激励机制，树立“以人为本”的内控文化，增强员</w:t>
      </w:r>
      <w:r>
        <w:rPr>
          <w:spacing w:val="-11"/>
        </w:rPr>
        <w:t>工的责任心和荣誉感，培育团队精神和核心竞争力。并通过进行定期、定向的业务与职业道</w:t>
      </w:r>
      <w:r>
        <w:rPr>
          <w:spacing w:val="-6"/>
        </w:rPr>
        <w:t>德培训、签订承诺书，使员工树立风险防范与控制理念。</w:t>
      </w:r>
    </w:p>
    <w:p>
      <w:pPr>
        <w:pStyle w:val="ListParagraph"/>
        <w:numPr>
          <w:ilvl w:val="0"/>
          <w:numId w:val="8"/>
        </w:numPr>
        <w:tabs>
          <w:tab w:pos="1490" w:val="left" w:leader="none"/>
        </w:tabs>
        <w:spacing w:line="417" w:lineRule="auto" w:before="0" w:after="0"/>
        <w:ind w:left="540" w:right="313" w:firstLine="419"/>
        <w:jc w:val="left"/>
        <w:rPr>
          <w:sz w:val="21"/>
        </w:rPr>
      </w:pPr>
      <w:r>
        <w:rPr>
          <w:spacing w:val="-3"/>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8"/>
        </w:numPr>
        <w:tabs>
          <w:tab w:pos="1490" w:val="left" w:leader="none"/>
        </w:tabs>
        <w:spacing w:line="417" w:lineRule="auto" w:before="0" w:after="0"/>
        <w:ind w:left="540" w:right="311" w:firstLine="419"/>
        <w:jc w:val="both"/>
        <w:rPr>
          <w:sz w:val="21"/>
        </w:rPr>
      </w:pPr>
      <w:r>
        <w:rPr>
          <w:spacing w:val="-3"/>
          <w:sz w:val="21"/>
        </w:rPr>
        <w:t>内部风险管理。资产托管部通过稽核监察、风险评估等方式加强内部风险管理， </w:t>
      </w:r>
      <w:r>
        <w:rPr>
          <w:spacing w:val="-8"/>
          <w:sz w:val="21"/>
        </w:rPr>
        <w:t>定期或不定期地对业务运作状况进行检查、监控，指导业务部门进行风险识别、评估，制定</w:t>
      </w:r>
      <w:r>
        <w:rPr>
          <w:spacing w:val="-5"/>
          <w:sz w:val="21"/>
        </w:rPr>
        <w:t>并实施风险控制措施，排查风险隐患。</w:t>
      </w:r>
    </w:p>
    <w:p>
      <w:pPr>
        <w:pStyle w:val="ListParagraph"/>
        <w:numPr>
          <w:ilvl w:val="0"/>
          <w:numId w:val="8"/>
        </w:numPr>
        <w:tabs>
          <w:tab w:pos="1490" w:val="left" w:leader="none"/>
        </w:tabs>
        <w:spacing w:line="417" w:lineRule="auto" w:before="0" w:after="0"/>
        <w:ind w:left="540" w:right="314" w:firstLine="419"/>
        <w:jc w:val="left"/>
        <w:rPr>
          <w:sz w:val="21"/>
        </w:rPr>
      </w:pPr>
      <w:r>
        <w:rPr>
          <w:spacing w:val="-3"/>
          <w:sz w:val="21"/>
        </w:rPr>
        <w:t>数据安全控制。我们通过业务操作区相对独立、数据和传真加密、数据传输线路的冗余备份、监控设施的运用和保障等措施来保障数据安全。</w:t>
      </w:r>
    </w:p>
    <w:p>
      <w:pPr>
        <w:pStyle w:val="ListParagraph"/>
        <w:numPr>
          <w:ilvl w:val="0"/>
          <w:numId w:val="8"/>
        </w:numPr>
        <w:tabs>
          <w:tab w:pos="1490" w:val="left" w:leader="none"/>
        </w:tabs>
        <w:spacing w:line="417" w:lineRule="auto" w:before="0" w:after="0"/>
        <w:ind w:left="540" w:right="205" w:firstLine="419"/>
        <w:jc w:val="left"/>
        <w:rPr>
          <w:sz w:val="21"/>
        </w:rPr>
      </w:pPr>
      <w:r>
        <w:rPr>
          <w:spacing w:val="-3"/>
          <w:sz w:val="21"/>
        </w:rPr>
        <w:t>应急准备与响应。资产托管业务建立专门的灾难恢复中心，制定了基于数据、应</w:t>
      </w:r>
      <w:r>
        <w:rPr>
          <w:spacing w:val="-11"/>
          <w:sz w:val="21"/>
        </w:rPr>
        <w:t>用、操作、环境四个层面的完备的灾难恢复方案，并组织员工定期演练。为使演练更加接近</w:t>
      </w:r>
      <w:r>
        <w:rPr>
          <w:spacing w:val="-24"/>
          <w:sz w:val="21"/>
        </w:rPr>
        <w:t>实战，资产托管部不断提高演练标准，从最初的按照预订时间演练发展到现在的“随机演练”。</w:t>
      </w:r>
      <w:r>
        <w:rPr>
          <w:spacing w:val="-8"/>
          <w:sz w:val="21"/>
        </w:rPr>
        <w:t>从演练结果看，资产托管部完全有能力在发生灾难的情况下两个小时内恢复业务。</w:t>
      </w:r>
    </w:p>
    <w:p>
      <w:pPr>
        <w:pStyle w:val="BodyText"/>
        <w:spacing w:line="269" w:lineRule="exact"/>
        <w:ind w:left="960"/>
      </w:pPr>
      <w:r>
        <w:rPr>
          <w:rFonts w:ascii="Times New Roman" w:eastAsia="Times New Roman"/>
        </w:rPr>
        <w:t>5</w:t>
      </w:r>
      <w:r>
        <w:rPr/>
        <w:t>、资产托管部内部风险控制情况</w:t>
      </w:r>
    </w:p>
    <w:p>
      <w:pPr>
        <w:pStyle w:val="ListParagraph"/>
        <w:numPr>
          <w:ilvl w:val="0"/>
          <w:numId w:val="9"/>
        </w:numPr>
        <w:tabs>
          <w:tab w:pos="1490" w:val="left" w:leader="none"/>
        </w:tabs>
        <w:spacing w:line="417" w:lineRule="auto" w:before="198" w:after="0"/>
        <w:ind w:left="540" w:right="311" w:firstLine="419"/>
        <w:jc w:val="both"/>
        <w:rPr>
          <w:sz w:val="21"/>
        </w:rPr>
      </w:pPr>
      <w:r>
        <w:rPr>
          <w:spacing w:val="-3"/>
          <w:sz w:val="21"/>
        </w:rPr>
        <w:t>资产托管部内部设置专职稽核监察部门，配备专职稽核监察人员，在总经理的直</w:t>
      </w:r>
      <w:r>
        <w:rPr>
          <w:spacing w:val="-11"/>
          <w:sz w:val="21"/>
        </w:rPr>
        <w:t>接领导下，依照有关法律规章，全面贯彻落实全程监控思想，确保资产托管业务健康、稳定</w:t>
      </w:r>
      <w:r>
        <w:rPr>
          <w:spacing w:val="-7"/>
          <w:sz w:val="21"/>
        </w:rPr>
        <w:t>地发展。</w:t>
      </w:r>
    </w:p>
    <w:p>
      <w:pPr>
        <w:pStyle w:val="ListParagraph"/>
        <w:numPr>
          <w:ilvl w:val="0"/>
          <w:numId w:val="9"/>
        </w:numPr>
        <w:tabs>
          <w:tab w:pos="1490" w:val="left" w:leader="none"/>
        </w:tabs>
        <w:spacing w:line="417" w:lineRule="auto" w:before="0" w:after="0"/>
        <w:ind w:left="540" w:right="311" w:firstLine="419"/>
        <w:jc w:val="both"/>
        <w:rPr>
          <w:sz w:val="21"/>
        </w:rPr>
      </w:pPr>
      <w:r>
        <w:rPr>
          <w:spacing w:val="-3"/>
          <w:sz w:val="21"/>
        </w:rPr>
        <w:t>完善组织结构，实施全员风险管理。完善的风险管理体系需要从上至下每个员工</w:t>
      </w:r>
      <w:r>
        <w:rPr>
          <w:spacing w:val="-11"/>
          <w:sz w:val="21"/>
        </w:rPr>
        <w:t>的共同参与，只有这样，风险控制制度和措施才会全面、有效。资产托管部实施全员风险管理，将风险控制责任落实到具体业务部门和业务岗位，每位员工对自己岗位职责范围内的风</w:t>
      </w:r>
      <w:r>
        <w:rPr>
          <w:spacing w:val="-12"/>
          <w:sz w:val="21"/>
        </w:rPr>
        <w:t>险负责，通过建立纵向双人制、横向多部门制的内部组织结构，形成不同部门、不同岗位相</w:t>
      </w:r>
      <w:r>
        <w:rPr>
          <w:spacing w:val="-6"/>
          <w:sz w:val="21"/>
        </w:rPr>
        <w:t>互制衡的组织结构。</w:t>
      </w:r>
    </w:p>
    <w:p>
      <w:pPr>
        <w:pStyle w:val="ListParagraph"/>
        <w:numPr>
          <w:ilvl w:val="0"/>
          <w:numId w:val="9"/>
        </w:numPr>
        <w:tabs>
          <w:tab w:pos="1490" w:val="left" w:leader="none"/>
        </w:tabs>
        <w:spacing w:line="417" w:lineRule="auto" w:before="0" w:after="0"/>
        <w:ind w:left="540" w:right="311" w:firstLine="419"/>
        <w:jc w:val="both"/>
        <w:rPr>
          <w:sz w:val="21"/>
        </w:rPr>
      </w:pPr>
      <w:r>
        <w:rPr>
          <w:spacing w:val="-3"/>
          <w:sz w:val="21"/>
        </w:rPr>
        <w:t>建立健全规章制度。资产托管部十分重视内控制度的建设，一贯坚持把风险防范</w:t>
      </w:r>
      <w:r>
        <w:rPr>
          <w:spacing w:val="-7"/>
          <w:sz w:val="21"/>
        </w:rPr>
        <w:t>和控制的理念和方法融入岗位职责、制度建设和工作流程中。经过多年努力，资产托管部已</w:t>
      </w:r>
      <w:r>
        <w:rPr>
          <w:spacing w:val="-11"/>
          <w:sz w:val="21"/>
        </w:rPr>
        <w:t>经建立了一整套内部风险控制制度，包括：岗位职责、业务操作流程、稽核监察制度、信息</w:t>
      </w:r>
      <w:r>
        <w:rPr>
          <w:spacing w:val="-12"/>
          <w:sz w:val="21"/>
        </w:rPr>
        <w:t>披露制度等，覆盖所有部门和岗位，渗透各项业务过程，形成各个业务环节之间的相互制约机制。</w:t>
      </w:r>
    </w:p>
    <w:p>
      <w:pPr>
        <w:pStyle w:val="ListParagraph"/>
        <w:numPr>
          <w:ilvl w:val="0"/>
          <w:numId w:val="9"/>
        </w:numPr>
        <w:tabs>
          <w:tab w:pos="1490" w:val="left" w:leader="none"/>
        </w:tabs>
        <w:spacing w:line="417" w:lineRule="auto" w:before="0" w:after="0"/>
        <w:ind w:left="540" w:right="311" w:firstLine="419"/>
        <w:jc w:val="left"/>
        <w:rPr>
          <w:sz w:val="21"/>
        </w:rPr>
      </w:pPr>
      <w:r>
        <w:rPr>
          <w:spacing w:val="-3"/>
          <w:sz w:val="21"/>
        </w:rPr>
        <w:t>内部风险控制始终是托管部工作重点之一，保持与业务发展同等地位。资产托管</w:t>
      </w:r>
      <w:r>
        <w:rPr>
          <w:spacing w:val="-8"/>
          <w:sz w:val="21"/>
        </w:rPr>
        <w:t>业务是商业银行新兴的中间业务，资产托管部从成立之日起就特别强调规范运作，一直将建</w:t>
      </w:r>
    </w:p>
    <w:p>
      <w:pPr>
        <w:spacing w:after="0" w:line="417" w:lineRule="auto"/>
        <w:jc w:val="left"/>
        <w:rPr>
          <w:sz w:val="21"/>
        </w:rPr>
        <w:sectPr>
          <w:pgSz w:w="11910" w:h="16840"/>
          <w:pgMar w:header="877" w:footer="995" w:top="1420" w:bottom="1180" w:left="1260" w:right="1480"/>
        </w:sectPr>
      </w:pPr>
    </w:p>
    <w:p>
      <w:pPr>
        <w:pStyle w:val="BodyText"/>
        <w:spacing w:line="417" w:lineRule="auto" w:before="110"/>
        <w:ind w:left="540" w:right="311"/>
        <w:jc w:val="both"/>
      </w:pPr>
      <w:r>
        <w:rPr>
          <w:spacing w:val="-10"/>
        </w:rPr>
        <w:t>立一个系统、高效的风险防范和控制体系作为工作重点。随着市场环境的变化和托管业务的</w:t>
      </w:r>
      <w:r>
        <w:rPr>
          <w:spacing w:val="-13"/>
        </w:rPr>
        <w:t>快速发展，新问题、新情况不断出现，资产托管部始终将风险管理放在与业务发展同等重要</w:t>
      </w:r>
      <w:r>
        <w:rPr>
          <w:spacing w:val="-6"/>
        </w:rPr>
        <w:t>的位置，视风险防范和控制为托管业务生存和发展的生命线。</w:t>
      </w:r>
    </w:p>
    <w:p>
      <w:pPr>
        <w:pStyle w:val="BodyText"/>
        <w:spacing w:line="269" w:lineRule="exact"/>
        <w:ind w:left="960"/>
      </w:pPr>
      <w:r>
        <w:rPr/>
        <w:t>（五）基金托管人对基金管理人运作基金进行监督的方法和程序</w:t>
      </w:r>
    </w:p>
    <w:p>
      <w:pPr>
        <w:pStyle w:val="BodyText"/>
        <w:spacing w:before="6"/>
        <w:rPr>
          <w:sz w:val="15"/>
        </w:rPr>
      </w:pPr>
    </w:p>
    <w:p>
      <w:pPr>
        <w:pStyle w:val="BodyText"/>
        <w:spacing w:line="417" w:lineRule="auto"/>
        <w:ind w:left="540" w:right="311" w:firstLine="419"/>
        <w:jc w:val="both"/>
      </w:pPr>
      <w:r>
        <w:rPr>
          <w:spacing w:val="-12"/>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w:t>
      </w:r>
      <w:r>
        <w:rPr>
          <w:spacing w:val="-6"/>
        </w:rPr>
        <w:t>对基金的投资比例的监督和核查自基金合同生效之后六个月开始。</w:t>
      </w:r>
    </w:p>
    <w:p>
      <w:pPr>
        <w:pStyle w:val="BodyText"/>
        <w:spacing w:line="417" w:lineRule="auto"/>
        <w:ind w:left="540" w:right="311" w:firstLine="419"/>
        <w:jc w:val="both"/>
      </w:pPr>
      <w:r>
        <w:rPr>
          <w:spacing w:val="-9"/>
        </w:rPr>
        <w:t>基金托管人发现基金管理人违反《基金法》、基金合同、基金托管协议或有关基金法律</w:t>
      </w:r>
      <w:r>
        <w:rPr>
          <w:spacing w:val="-12"/>
        </w:rPr>
        <w:t>法规规定的行为，应及时以书面形式通知基金管理人限期纠正，基金管理人收到通知后应及</w:t>
      </w:r>
      <w:r>
        <w:rPr>
          <w:spacing w:val="-11"/>
        </w:rPr>
        <w:t>时核对，并以书面形式对基金托管人发出回函确认。在限期内，基金托管人有权随时对通知</w:t>
      </w:r>
      <w:r>
        <w:rPr>
          <w:spacing w:val="-13"/>
        </w:rPr>
        <w:t>事项进行复查，督促基金管理人改正。基金管理人对基金托管人通知的违规事项未能在限期</w:t>
      </w:r>
      <w:r>
        <w:rPr>
          <w:spacing w:val="-6"/>
        </w:rPr>
        <w:t>内纠正的，基金托管人应报告中国证监会。</w:t>
      </w:r>
    </w:p>
    <w:p>
      <w:pPr>
        <w:pStyle w:val="BodyText"/>
        <w:spacing w:line="417" w:lineRule="auto"/>
        <w:ind w:left="540" w:right="311" w:firstLine="419"/>
      </w:pPr>
      <w:r>
        <w:rPr>
          <w:spacing w:val="-8"/>
        </w:rPr>
        <w:t>基金托管人发现基金管理人有重大违规行为，应立即报告中国证监会，同时通知基金管</w:t>
      </w:r>
      <w:r>
        <w:rPr>
          <w:spacing w:val="-5"/>
        </w:rPr>
        <w:t>理人限期纠正。</w:t>
      </w:r>
    </w:p>
    <w:p>
      <w:pPr>
        <w:pStyle w:val="BodyText"/>
        <w:rPr>
          <w:sz w:val="20"/>
        </w:rPr>
      </w:pPr>
    </w:p>
    <w:p>
      <w:pPr>
        <w:pStyle w:val="BodyText"/>
        <w:rPr>
          <w:sz w:val="20"/>
        </w:rPr>
      </w:pPr>
    </w:p>
    <w:p>
      <w:pPr>
        <w:pStyle w:val="BodyText"/>
        <w:spacing w:before="1"/>
        <w:rPr>
          <w:sz w:val="23"/>
        </w:rPr>
      </w:pPr>
    </w:p>
    <w:p>
      <w:pPr>
        <w:pStyle w:val="Heading1"/>
      </w:pPr>
      <w:bookmarkStart w:name="_bookmark4" w:id="5"/>
      <w:bookmarkEnd w:id="5"/>
      <w:r>
        <w:rPr>
          <w:b w:val="0"/>
        </w:rPr>
      </w:r>
      <w:r>
        <w:rPr/>
        <w:t>五、相关服务机构</w:t>
      </w:r>
    </w:p>
    <w:p>
      <w:pPr>
        <w:pStyle w:val="BodyText"/>
        <w:rPr>
          <w:b/>
          <w:sz w:val="20"/>
        </w:rPr>
      </w:pPr>
    </w:p>
    <w:p>
      <w:pPr>
        <w:pStyle w:val="BodyText"/>
        <w:spacing w:before="2"/>
        <w:rPr>
          <w:b/>
        </w:rPr>
      </w:pPr>
    </w:p>
    <w:p>
      <w:pPr>
        <w:pStyle w:val="BodyText"/>
        <w:ind w:left="960"/>
      </w:pPr>
      <w:r>
        <w:rPr/>
        <w:t>（一）销售机构</w:t>
      </w:r>
    </w:p>
    <w:p>
      <w:pPr>
        <w:pStyle w:val="BodyText"/>
        <w:spacing w:before="7"/>
        <w:rPr>
          <w:sz w:val="15"/>
        </w:rPr>
      </w:pPr>
    </w:p>
    <w:p>
      <w:pPr>
        <w:pStyle w:val="BodyText"/>
        <w:spacing w:line="417" w:lineRule="auto"/>
        <w:ind w:left="960" w:right="4632"/>
      </w:pPr>
      <w:r>
        <w:rPr>
          <w:rFonts w:ascii="Times New Roman" w:eastAsia="Times New Roman"/>
        </w:rPr>
        <w:t>1</w:t>
      </w:r>
      <w:r>
        <w:rPr>
          <w:spacing w:val="-3"/>
        </w:rPr>
        <w:t>、直销机构：华夏基金管理有限公司</w:t>
      </w:r>
      <w:r>
        <w:rPr>
          <w:spacing w:val="-6"/>
        </w:rPr>
        <w:t>住所：北京市顺义区安庆大街甲 </w:t>
      </w:r>
      <w:r>
        <w:rPr>
          <w:rFonts w:ascii="Times New Roman" w:eastAsia="Times New Roman"/>
        </w:rPr>
        <w:t>3 </w:t>
      </w:r>
      <w:r>
        <w:rPr>
          <w:spacing w:val="-9"/>
        </w:rPr>
        <w:t>号院</w:t>
      </w:r>
    </w:p>
    <w:p>
      <w:pPr>
        <w:pStyle w:val="BodyText"/>
        <w:spacing w:line="417" w:lineRule="auto"/>
        <w:ind w:left="960" w:right="280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联系人：张德根</w:t>
      </w:r>
    </w:p>
    <w:p>
      <w:pPr>
        <w:pStyle w:val="BodyText"/>
        <w:spacing w:before="7"/>
        <w:rPr>
          <w:sz w:val="15"/>
        </w:rPr>
      </w:pPr>
    </w:p>
    <w:p>
      <w:pPr>
        <w:pStyle w:val="BodyText"/>
        <w:spacing w:line="417" w:lineRule="auto"/>
        <w:ind w:left="960" w:right="5651"/>
      </w:pPr>
      <w:r>
        <w:rPr/>
        <w:t>网址：</w:t>
      </w:r>
      <w:hyperlink r:id="rId13">
        <w:r>
          <w:rPr>
            <w:rFonts w:ascii="Times New Roman" w:eastAsia="Times New Roman"/>
          </w:rPr>
          <w:t>www.ChinaAMC.com</w:t>
        </w:r>
      </w:hyperlink>
      <w:r>
        <w:rPr>
          <w:rFonts w:ascii="Times New Roman" w:eastAsia="Times New Roman"/>
        </w:rPr>
        <w:t> 2</w:t>
      </w:r>
      <w:r>
        <w:rPr/>
        <w:t>、代销机构</w:t>
      </w:r>
    </w:p>
    <w:p>
      <w:pPr>
        <w:spacing w:after="0" w:line="417" w:lineRule="auto"/>
        <w:sectPr>
          <w:pgSz w:w="11910" w:h="16840"/>
          <w:pgMar w:header="877" w:footer="995" w:top="1420" w:bottom="1180" w:left="1260" w:right="1480"/>
        </w:sectPr>
      </w:pPr>
    </w:p>
    <w:p>
      <w:pPr>
        <w:pStyle w:val="ListParagraph"/>
        <w:numPr>
          <w:ilvl w:val="0"/>
          <w:numId w:val="10"/>
        </w:numPr>
        <w:tabs>
          <w:tab w:pos="1490" w:val="left" w:leader="none"/>
        </w:tabs>
        <w:spacing w:line="240" w:lineRule="auto" w:before="110" w:after="0"/>
        <w:ind w:left="1489" w:right="0" w:hanging="530"/>
        <w:jc w:val="left"/>
        <w:rPr>
          <w:sz w:val="21"/>
        </w:rPr>
      </w:pPr>
      <w:r>
        <w:rPr>
          <w:spacing w:val="-3"/>
          <w:sz w:val="21"/>
        </w:rPr>
        <w:t>中国工商银行股份有限公司</w:t>
      </w:r>
    </w:p>
    <w:p>
      <w:pPr>
        <w:pStyle w:val="BodyText"/>
        <w:spacing w:before="6"/>
        <w:rPr>
          <w:sz w:val="15"/>
        </w:rPr>
      </w:pPr>
    </w:p>
    <w:p>
      <w:pPr>
        <w:pStyle w:val="BodyText"/>
        <w:ind w:left="960"/>
      </w:pPr>
      <w:r>
        <w:rPr/>
        <w:t>住所：北京市西城区复兴门内大街 </w:t>
      </w:r>
      <w:r>
        <w:rPr>
          <w:rFonts w:ascii="Times New Roman" w:eastAsia="Times New Roman"/>
        </w:rPr>
        <w:t>55 </w:t>
      </w:r>
      <w:r>
        <w:rPr/>
        <w:t>号</w:t>
      </w:r>
    </w:p>
    <w:p>
      <w:pPr>
        <w:pStyle w:val="BodyText"/>
        <w:spacing w:before="7"/>
        <w:rPr>
          <w:sz w:val="15"/>
        </w:rPr>
      </w:pPr>
    </w:p>
    <w:p>
      <w:pPr>
        <w:pStyle w:val="BodyText"/>
        <w:spacing w:line="417" w:lineRule="auto"/>
        <w:ind w:left="960" w:right="4104"/>
      </w:pPr>
      <w:r>
        <w:rPr>
          <w:spacing w:val="-6"/>
        </w:rPr>
        <w:t>办公地址：北京市西城区复兴门内大街 </w:t>
      </w:r>
      <w:r>
        <w:rPr>
          <w:rFonts w:ascii="Times New Roman" w:eastAsia="Times New Roman"/>
        </w:rPr>
        <w:t>55</w:t>
      </w:r>
      <w:r>
        <w:rPr>
          <w:rFonts w:ascii="Times New Roman" w:eastAsia="Times New Roman"/>
          <w:spacing w:val="8"/>
        </w:rPr>
        <w:t> </w:t>
      </w:r>
      <w:r>
        <w:rPr>
          <w:spacing w:val="-11"/>
        </w:rPr>
        <w:t>号</w:t>
      </w:r>
      <w:r>
        <w:rPr>
          <w:spacing w:val="-3"/>
        </w:rPr>
        <w:t>法定代表人：陈四清</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spacing w:line="269" w:lineRule="exact"/>
        <w:ind w:left="960"/>
      </w:pPr>
      <w:r>
        <w:rPr/>
        <w:t>联系人：王佺</w:t>
      </w:r>
    </w:p>
    <w:p>
      <w:pPr>
        <w:pStyle w:val="BodyText"/>
        <w:spacing w:before="7"/>
        <w:rPr>
          <w:sz w:val="15"/>
        </w:rPr>
      </w:pPr>
    </w:p>
    <w:p>
      <w:pPr>
        <w:pStyle w:val="BodyText"/>
        <w:ind w:left="960"/>
        <w:rPr>
          <w:rFonts w:ascii="Times New Roman" w:eastAsia="Times New Roman"/>
        </w:rPr>
      </w:pPr>
      <w:r>
        <w:rPr/>
        <w:t>网址：</w:t>
      </w:r>
      <w:hyperlink r:id="rId14">
        <w:r>
          <w:rPr>
            <w:rFonts w:ascii="Times New Roman" w:eastAsia="Times New Roman"/>
          </w:rPr>
          <w:t>www.icbc.com.cn</w:t>
        </w:r>
      </w:hyperlink>
    </w:p>
    <w:p>
      <w:pPr>
        <w:pStyle w:val="BodyText"/>
        <w:spacing w:before="3"/>
        <w:rPr>
          <w:rFonts w:ascii="Times New Roman"/>
          <w:sz w:val="17"/>
        </w:rPr>
      </w:pPr>
    </w:p>
    <w:p>
      <w:pPr>
        <w:pStyle w:val="ListParagraph"/>
        <w:numPr>
          <w:ilvl w:val="0"/>
          <w:numId w:val="10"/>
        </w:numPr>
        <w:tabs>
          <w:tab w:pos="1490" w:val="left" w:leader="none"/>
        </w:tabs>
        <w:spacing w:line="240" w:lineRule="auto" w:before="1" w:after="0"/>
        <w:ind w:left="1489" w:right="0" w:hanging="530"/>
        <w:jc w:val="left"/>
        <w:rPr>
          <w:sz w:val="21"/>
        </w:rPr>
      </w:pPr>
      <w:r>
        <w:rPr>
          <w:spacing w:val="-3"/>
          <w:sz w:val="21"/>
        </w:rPr>
        <w:t>中国农业银行股份有限公司</w:t>
      </w:r>
    </w:p>
    <w:p>
      <w:pPr>
        <w:pStyle w:val="BodyText"/>
        <w:spacing w:before="6"/>
        <w:rPr>
          <w:sz w:val="15"/>
        </w:rPr>
      </w:pPr>
    </w:p>
    <w:p>
      <w:pPr>
        <w:pStyle w:val="BodyText"/>
        <w:ind w:left="960"/>
      </w:pPr>
      <w:r>
        <w:rPr/>
        <w:t>住所：北京市东城区建国门内大街 </w:t>
      </w:r>
      <w:r>
        <w:rPr>
          <w:rFonts w:ascii="Times New Roman" w:eastAsia="Times New Roman"/>
        </w:rPr>
        <w:t>69 </w:t>
      </w:r>
      <w:r>
        <w:rPr/>
        <w:t>号</w:t>
      </w:r>
    </w:p>
    <w:p>
      <w:pPr>
        <w:pStyle w:val="BodyText"/>
        <w:spacing w:before="7"/>
        <w:rPr>
          <w:sz w:val="15"/>
        </w:rPr>
      </w:pPr>
    </w:p>
    <w:p>
      <w:pPr>
        <w:pStyle w:val="BodyText"/>
        <w:spacing w:line="417" w:lineRule="auto"/>
        <w:ind w:left="960" w:right="4043"/>
      </w:pPr>
      <w:r>
        <w:rPr/>
        <w:t>办公地址：北京市东城区建国门内大街 </w:t>
      </w:r>
      <w:r>
        <w:rPr>
          <w:rFonts w:ascii="Times New Roman" w:eastAsia="Times New Roman"/>
        </w:rPr>
        <w:t>69 </w:t>
      </w:r>
      <w:r>
        <w:rPr/>
        <w:t>号法定代表人：周慕冰</w:t>
      </w:r>
    </w:p>
    <w:p>
      <w:pPr>
        <w:pStyle w:val="BodyText"/>
        <w:spacing w:line="417" w:lineRule="auto"/>
        <w:ind w:left="960" w:right="6008"/>
        <w:rPr>
          <w:rFonts w:ascii="Times New Roman" w:eastAsia="Times New Roman"/>
        </w:rPr>
      </w:pPr>
      <w:r>
        <w:rPr>
          <w:spacing w:val="-2"/>
        </w:rPr>
        <w:t>客户服务电话：</w:t>
      </w:r>
      <w:r>
        <w:rPr>
          <w:rFonts w:ascii="Times New Roman" w:eastAsia="Times New Roman"/>
        </w:rPr>
        <w:t>95599 </w:t>
      </w:r>
      <w:r>
        <w:rPr>
          <w:spacing w:val="-3"/>
        </w:rPr>
        <w:t>联系人：客户服务中心网址：</w:t>
      </w:r>
      <w:hyperlink r:id="rId15">
        <w:r>
          <w:rPr>
            <w:rFonts w:ascii="Times New Roman" w:eastAsia="Times New Roman"/>
            <w:spacing w:val="-3"/>
          </w:rPr>
          <w:t>www.abchina.com</w:t>
        </w:r>
      </w:hyperlink>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中国银行股份有限公司</w:t>
      </w:r>
    </w:p>
    <w:p>
      <w:pPr>
        <w:pStyle w:val="BodyText"/>
        <w:spacing w:before="6"/>
        <w:rPr>
          <w:sz w:val="15"/>
        </w:rPr>
      </w:pPr>
    </w:p>
    <w:p>
      <w:pPr>
        <w:pStyle w:val="BodyText"/>
        <w:ind w:left="960"/>
      </w:pPr>
      <w:r>
        <w:rPr/>
        <w:t>住所：北京市西城区复兴门内大街 </w:t>
      </w:r>
      <w:r>
        <w:rPr>
          <w:rFonts w:ascii="Times New Roman" w:eastAsia="Times New Roman"/>
        </w:rPr>
        <w:t>1 </w:t>
      </w:r>
      <w:r>
        <w:rPr/>
        <w:t>号</w:t>
      </w:r>
    </w:p>
    <w:p>
      <w:pPr>
        <w:pStyle w:val="BodyText"/>
        <w:spacing w:before="7"/>
        <w:rPr>
          <w:sz w:val="15"/>
        </w:rPr>
      </w:pPr>
    </w:p>
    <w:p>
      <w:pPr>
        <w:pStyle w:val="BodyText"/>
        <w:spacing w:line="417" w:lineRule="auto"/>
        <w:ind w:left="960" w:right="4148"/>
      </w:pPr>
      <w:r>
        <w:rPr/>
        <w:t>办公地址：北京市西城区复兴门内大街 </w:t>
      </w:r>
      <w:r>
        <w:rPr>
          <w:rFonts w:ascii="Times New Roman" w:eastAsia="Times New Roman"/>
        </w:rPr>
        <w:t>1 </w:t>
      </w:r>
      <w:r>
        <w:rPr/>
        <w:t>号法定代表人：刘连舸</w:t>
      </w:r>
    </w:p>
    <w:p>
      <w:pPr>
        <w:pStyle w:val="BodyText"/>
        <w:spacing w:line="417" w:lineRule="auto"/>
        <w:ind w:left="960" w:right="634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960" w:right="6101"/>
        <w:rPr>
          <w:rFonts w:ascii="Times New Roman" w:eastAsia="Times New Roman"/>
        </w:rPr>
      </w:pPr>
      <w:r>
        <w:rPr/>
        <w:t>联系人：客户服务中心网址：</w:t>
      </w:r>
      <w:hyperlink r:id="rId16">
        <w:r>
          <w:rPr>
            <w:rFonts w:ascii="Times New Roman" w:eastAsia="Times New Roman"/>
          </w:rPr>
          <w:t>www.boc.cn</w:t>
        </w:r>
      </w:hyperlink>
    </w:p>
    <w:p>
      <w:pPr>
        <w:pStyle w:val="BodyText"/>
        <w:spacing w:line="269" w:lineRule="exact"/>
        <w:ind w:left="96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10"/>
        </w:numPr>
        <w:tabs>
          <w:tab w:pos="1490" w:val="left" w:leader="none"/>
        </w:tabs>
        <w:spacing w:line="240" w:lineRule="auto" w:before="1" w:after="0"/>
        <w:ind w:left="1489" w:right="0" w:hanging="530"/>
        <w:jc w:val="left"/>
        <w:rPr>
          <w:sz w:val="21"/>
        </w:rPr>
      </w:pPr>
      <w:r>
        <w:rPr>
          <w:spacing w:val="-3"/>
          <w:sz w:val="21"/>
        </w:rPr>
        <w:t>招商银行股份有限公司</w:t>
      </w:r>
    </w:p>
    <w:p>
      <w:pPr>
        <w:pStyle w:val="BodyText"/>
        <w:spacing w:before="6"/>
        <w:rPr>
          <w:sz w:val="15"/>
        </w:rPr>
      </w:pPr>
    </w:p>
    <w:p>
      <w:pPr>
        <w:pStyle w:val="BodyText"/>
        <w:ind w:left="960"/>
      </w:pPr>
      <w:r>
        <w:rPr>
          <w:spacing w:val="-7"/>
        </w:rPr>
        <w:t>住所：深圳市深南大道 </w:t>
      </w:r>
      <w:r>
        <w:rPr>
          <w:rFonts w:ascii="Times New Roman" w:eastAsia="Times New Roman"/>
        </w:rPr>
        <w:t>7088</w:t>
      </w:r>
      <w:r>
        <w:rPr>
          <w:rFonts w:ascii="Times New Roman" w:eastAsia="Times New Roman"/>
          <w:spacing w:val="8"/>
        </w:rPr>
        <w:t> </w:t>
      </w:r>
      <w:r>
        <w:rPr>
          <w:spacing w:val="-3"/>
        </w:rPr>
        <w:t>号招商银行大厦</w:t>
      </w:r>
    </w:p>
    <w:p>
      <w:pPr>
        <w:pStyle w:val="BodyText"/>
        <w:spacing w:before="7"/>
        <w:rPr>
          <w:sz w:val="15"/>
        </w:rPr>
      </w:pPr>
    </w:p>
    <w:p>
      <w:pPr>
        <w:pStyle w:val="BodyText"/>
        <w:spacing w:line="417" w:lineRule="auto"/>
        <w:ind w:left="960" w:right="3622"/>
      </w:pPr>
      <w:r>
        <w:rPr/>
        <w:t>办公地址：深圳市深南大道 </w:t>
      </w:r>
      <w:r>
        <w:rPr>
          <w:rFonts w:ascii="Times New Roman" w:eastAsia="Times New Roman"/>
        </w:rPr>
        <w:t>7088 </w:t>
      </w:r>
      <w:r>
        <w:rPr/>
        <w:t>号招商银行大厦法定代表人：李建红</w:t>
      </w:r>
    </w:p>
    <w:p>
      <w:pPr>
        <w:pStyle w:val="BodyText"/>
        <w:spacing w:line="417" w:lineRule="auto"/>
        <w:ind w:left="960" w:right="624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联系人：邓炯鹏</w:t>
      </w:r>
    </w:p>
    <w:p>
      <w:pPr>
        <w:pStyle w:val="BodyText"/>
        <w:spacing w:before="6"/>
        <w:rPr>
          <w:sz w:val="15"/>
        </w:rPr>
      </w:pPr>
    </w:p>
    <w:p>
      <w:pPr>
        <w:pStyle w:val="BodyText"/>
        <w:spacing w:line="417" w:lineRule="auto"/>
        <w:ind w:left="960" w:right="5803"/>
        <w:rPr>
          <w:rFonts w:ascii="Times New Roman" w:eastAsia="Times New Roman"/>
        </w:rPr>
      </w:pPr>
      <w:r>
        <w:rPr/>
        <w:t>网址：</w:t>
      </w:r>
      <w:hyperlink r:id="rId17">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10"/>
        </w:numPr>
        <w:tabs>
          <w:tab w:pos="1490" w:val="left" w:leader="none"/>
        </w:tabs>
        <w:spacing w:line="269" w:lineRule="exact" w:before="0" w:after="0"/>
        <w:ind w:left="1489" w:right="0" w:hanging="530"/>
        <w:jc w:val="left"/>
        <w:rPr>
          <w:sz w:val="21"/>
        </w:rPr>
      </w:pPr>
      <w:r>
        <w:rPr>
          <w:spacing w:val="-3"/>
          <w:sz w:val="21"/>
        </w:rPr>
        <w:t>中信银行股份有限公司</w:t>
      </w:r>
    </w:p>
    <w:p>
      <w:pPr>
        <w:pStyle w:val="BodyText"/>
        <w:spacing w:before="7"/>
        <w:rPr>
          <w:sz w:val="15"/>
        </w:rPr>
      </w:pPr>
    </w:p>
    <w:p>
      <w:pPr>
        <w:pStyle w:val="BodyText"/>
        <w:ind w:left="96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7"/>
        <w:rPr>
          <w:sz w:val="15"/>
        </w:rPr>
      </w:pPr>
    </w:p>
    <w:p>
      <w:pPr>
        <w:pStyle w:val="BodyText"/>
        <w:spacing w:line="417" w:lineRule="auto"/>
        <w:ind w:left="960" w:right="2913"/>
      </w:pPr>
      <w:r>
        <w:rPr>
          <w:spacing w:val="-6"/>
        </w:rPr>
        <w:t>办公地址：北京市东城区朝阳门北大街 </w:t>
      </w:r>
      <w:r>
        <w:rPr>
          <w:rFonts w:ascii="Times New Roman" w:eastAsia="Times New Roman"/>
        </w:rPr>
        <w:t>8 </w:t>
      </w:r>
      <w:r>
        <w:rPr>
          <w:spacing w:val="-10"/>
        </w:rPr>
        <w:t>号富华大厦 </w:t>
      </w:r>
      <w:r>
        <w:rPr>
          <w:rFonts w:ascii="Times New Roman" w:eastAsia="Times New Roman"/>
        </w:rPr>
        <w:t>C </w:t>
      </w:r>
      <w:r>
        <w:rPr/>
        <w:t>座</w:t>
      </w:r>
      <w:r>
        <w:rPr>
          <w:spacing w:val="-3"/>
        </w:rPr>
        <w:t>法定代表人：李庆萍</w:t>
      </w:r>
    </w:p>
    <w:p>
      <w:pPr>
        <w:pStyle w:val="BodyText"/>
        <w:spacing w:line="417" w:lineRule="auto"/>
        <w:ind w:left="960" w:right="634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9" w:lineRule="exact"/>
        <w:ind w:left="960"/>
      </w:pPr>
      <w:r>
        <w:rPr/>
        <w:t>联系人：方爽</w:t>
      </w:r>
    </w:p>
    <w:p>
      <w:pPr>
        <w:pStyle w:val="BodyText"/>
        <w:spacing w:before="7"/>
        <w:rPr>
          <w:sz w:val="15"/>
        </w:rPr>
      </w:pPr>
    </w:p>
    <w:p>
      <w:pPr>
        <w:pStyle w:val="BodyText"/>
        <w:spacing w:line="417" w:lineRule="auto"/>
        <w:ind w:left="960" w:right="620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10"/>
        </w:numPr>
        <w:tabs>
          <w:tab w:pos="1490" w:val="left" w:leader="none"/>
        </w:tabs>
        <w:spacing w:line="269" w:lineRule="exact" w:before="0" w:after="0"/>
        <w:ind w:left="1489" w:right="0" w:hanging="530"/>
        <w:jc w:val="left"/>
        <w:rPr>
          <w:sz w:val="21"/>
        </w:rPr>
      </w:pPr>
      <w:r>
        <w:rPr>
          <w:spacing w:val="-3"/>
          <w:sz w:val="21"/>
        </w:rPr>
        <w:t>平安银行股份有限公司</w:t>
      </w:r>
    </w:p>
    <w:p>
      <w:pPr>
        <w:pStyle w:val="BodyText"/>
        <w:spacing w:before="7"/>
        <w:rPr>
          <w:sz w:val="15"/>
        </w:rPr>
      </w:pPr>
    </w:p>
    <w:p>
      <w:pPr>
        <w:pStyle w:val="BodyText"/>
        <w:ind w:left="960"/>
      </w:pPr>
      <w:r>
        <w:rPr/>
        <w:t>住所：广东省深圳市深南东路 </w:t>
      </w:r>
      <w:r>
        <w:rPr>
          <w:rFonts w:ascii="Times New Roman" w:eastAsia="Times New Roman"/>
        </w:rPr>
        <w:t>5047 </w:t>
      </w:r>
      <w:r>
        <w:rPr/>
        <w:t>号</w:t>
      </w:r>
    </w:p>
    <w:p>
      <w:pPr>
        <w:pStyle w:val="BodyText"/>
        <w:spacing w:before="7"/>
        <w:rPr>
          <w:sz w:val="15"/>
        </w:rPr>
      </w:pPr>
    </w:p>
    <w:p>
      <w:pPr>
        <w:pStyle w:val="BodyText"/>
        <w:spacing w:line="417" w:lineRule="auto"/>
        <w:ind w:left="960" w:right="4253"/>
      </w:pPr>
      <w:r>
        <w:rPr/>
        <w:t>办公地址：广东省深圳市深南东路 </w:t>
      </w:r>
      <w:r>
        <w:rPr>
          <w:rFonts w:ascii="Times New Roman" w:eastAsia="Times New Roman"/>
        </w:rPr>
        <w:t>5047 </w:t>
      </w:r>
      <w:r>
        <w:rPr/>
        <w:t>号法定代表人：孙建一</w:t>
      </w:r>
    </w:p>
    <w:p>
      <w:pPr>
        <w:pStyle w:val="BodyText"/>
        <w:spacing w:line="417" w:lineRule="auto"/>
        <w:ind w:left="960" w:right="624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spacing w:line="269" w:lineRule="exact"/>
        <w:ind w:left="960"/>
      </w:pPr>
      <w:r>
        <w:rPr/>
        <w:t>联系人：张莉</w:t>
      </w:r>
    </w:p>
    <w:p>
      <w:pPr>
        <w:pStyle w:val="BodyText"/>
        <w:spacing w:before="6"/>
        <w:rPr>
          <w:sz w:val="15"/>
        </w:rPr>
      </w:pPr>
    </w:p>
    <w:p>
      <w:pPr>
        <w:pStyle w:val="BodyText"/>
        <w:spacing w:line="417" w:lineRule="auto"/>
        <w:ind w:left="960" w:right="600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10"/>
        </w:numPr>
        <w:tabs>
          <w:tab w:pos="1490" w:val="left" w:leader="none"/>
        </w:tabs>
        <w:spacing w:line="417" w:lineRule="auto" w:before="1" w:after="0"/>
        <w:ind w:left="960" w:right="4629" w:firstLine="0"/>
        <w:jc w:val="left"/>
        <w:rPr>
          <w:sz w:val="21"/>
        </w:rPr>
      </w:pPr>
      <w:r>
        <w:rPr>
          <w:spacing w:val="-3"/>
          <w:sz w:val="21"/>
        </w:rPr>
        <w:t>上海农村商业银行股份有限公司</w:t>
      </w:r>
      <w:r>
        <w:rPr>
          <w:spacing w:val="-6"/>
          <w:sz w:val="21"/>
        </w:rPr>
        <w:t>住所：上海市浦东新区浦东大道 </w:t>
      </w:r>
      <w:r>
        <w:rPr>
          <w:rFonts w:ascii="Times New Roman" w:eastAsia="Times New Roman"/>
          <w:sz w:val="21"/>
        </w:rPr>
        <w:t>981</w:t>
      </w:r>
      <w:r>
        <w:rPr>
          <w:rFonts w:ascii="Times New Roman" w:eastAsia="Times New Roman"/>
          <w:spacing w:val="5"/>
          <w:sz w:val="21"/>
        </w:rPr>
        <w:t> </w:t>
      </w:r>
      <w:r>
        <w:rPr>
          <w:spacing w:val="-11"/>
          <w:sz w:val="21"/>
        </w:rPr>
        <w:t>号</w:t>
      </w:r>
    </w:p>
    <w:p>
      <w:pPr>
        <w:pStyle w:val="BodyText"/>
        <w:spacing w:line="417" w:lineRule="auto"/>
        <w:ind w:left="960" w:right="3055"/>
      </w:pPr>
      <w:r>
        <w:rPr>
          <w:spacing w:val="-7"/>
        </w:rPr>
        <w:t>办公地址：上海市银城中路 </w:t>
      </w:r>
      <w:r>
        <w:rPr>
          <w:rFonts w:ascii="Times New Roman" w:eastAsia="Times New Roman"/>
        </w:rPr>
        <w:t>8 </w:t>
      </w:r>
      <w:r>
        <w:rPr>
          <w:spacing w:val="-8"/>
        </w:rPr>
        <w:t>号中融碧玉蓝天大厦 </w:t>
      </w:r>
      <w:r>
        <w:rPr>
          <w:rFonts w:ascii="Times New Roman" w:eastAsia="Times New Roman"/>
        </w:rPr>
        <w:t>15 </w:t>
      </w:r>
      <w:r>
        <w:rPr/>
        <w:t>层</w:t>
      </w:r>
      <w:r>
        <w:rPr>
          <w:spacing w:val="-3"/>
        </w:rPr>
        <w:t>法定代表人：胡平西</w:t>
      </w:r>
    </w:p>
    <w:p>
      <w:pPr>
        <w:pStyle w:val="BodyText"/>
        <w:spacing w:line="417" w:lineRule="auto"/>
        <w:ind w:left="960" w:right="634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spacing w:line="269" w:lineRule="exact"/>
        <w:ind w:left="960"/>
      </w:pPr>
      <w:r>
        <w:rPr/>
        <w:t>联系人：施传荣</w:t>
      </w:r>
    </w:p>
    <w:p>
      <w:pPr>
        <w:pStyle w:val="BodyText"/>
        <w:spacing w:before="6"/>
        <w:rPr>
          <w:sz w:val="15"/>
        </w:rPr>
      </w:pPr>
    </w:p>
    <w:p>
      <w:pPr>
        <w:pStyle w:val="BodyText"/>
        <w:ind w:left="960"/>
        <w:rPr>
          <w:rFonts w:ascii="Times New Roman" w:eastAsia="Times New Roman"/>
        </w:rPr>
      </w:pPr>
      <w:r>
        <w:rPr/>
        <w:t>网址：</w:t>
      </w:r>
      <w:hyperlink r:id="rId18">
        <w:r>
          <w:rPr>
            <w:rFonts w:ascii="Times New Roman" w:eastAsia="Times New Roman"/>
          </w:rPr>
          <w:t>www.srcb.com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021-962999</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10"/>
        </w:numPr>
        <w:tabs>
          <w:tab w:pos="1490" w:val="left" w:leader="none"/>
        </w:tabs>
        <w:spacing w:line="240" w:lineRule="auto" w:before="110" w:after="0"/>
        <w:ind w:left="1489" w:right="0" w:hanging="530"/>
        <w:jc w:val="left"/>
        <w:rPr>
          <w:sz w:val="21"/>
        </w:rPr>
      </w:pPr>
      <w:r>
        <w:rPr>
          <w:spacing w:val="-3"/>
          <w:sz w:val="21"/>
        </w:rPr>
        <w:t>北京农村商业银行股份有限公司</w:t>
      </w:r>
    </w:p>
    <w:p>
      <w:pPr>
        <w:pStyle w:val="BodyText"/>
        <w:spacing w:before="6"/>
        <w:rPr>
          <w:sz w:val="15"/>
        </w:rPr>
      </w:pPr>
    </w:p>
    <w:p>
      <w:pPr>
        <w:pStyle w:val="BodyText"/>
        <w:ind w:left="960"/>
      </w:pPr>
      <w:r>
        <w:rPr/>
        <w:t>住所：北京市西城区月坛南街 </w:t>
      </w:r>
      <w:r>
        <w:rPr>
          <w:rFonts w:ascii="Times New Roman" w:eastAsia="Times New Roman"/>
        </w:rPr>
        <w:t>1 </w:t>
      </w:r>
      <w:r>
        <w:rPr/>
        <w:t>号院 </w:t>
      </w:r>
      <w:r>
        <w:rPr>
          <w:rFonts w:ascii="Times New Roman" w:eastAsia="Times New Roman"/>
        </w:rPr>
        <w:t>2 </w:t>
      </w:r>
      <w:r>
        <w:rPr/>
        <w:t>号楼</w:t>
      </w:r>
    </w:p>
    <w:p>
      <w:pPr>
        <w:pStyle w:val="BodyText"/>
        <w:spacing w:before="7"/>
        <w:rPr>
          <w:sz w:val="15"/>
        </w:rPr>
      </w:pPr>
    </w:p>
    <w:p>
      <w:pPr>
        <w:pStyle w:val="BodyText"/>
        <w:spacing w:line="417" w:lineRule="auto"/>
        <w:ind w:left="960" w:right="3792"/>
      </w:pPr>
      <w:r>
        <w:rPr>
          <w:spacing w:val="-6"/>
        </w:rPr>
        <w:t>办公地址：北京市西城区月坛南街 </w:t>
      </w:r>
      <w:r>
        <w:rPr>
          <w:rFonts w:ascii="Times New Roman" w:eastAsia="Times New Roman"/>
        </w:rPr>
        <w:t>1 </w:t>
      </w:r>
      <w:r>
        <w:rPr>
          <w:spacing w:val="-18"/>
        </w:rPr>
        <w:t>号院 </w:t>
      </w:r>
      <w:r>
        <w:rPr>
          <w:rFonts w:ascii="Times New Roman" w:eastAsia="Times New Roman"/>
        </w:rPr>
        <w:t>2 </w:t>
      </w:r>
      <w:r>
        <w:rPr>
          <w:spacing w:val="-3"/>
        </w:rPr>
        <w:t>号楼法定代表人：王金山</w:t>
      </w:r>
    </w:p>
    <w:p>
      <w:pPr>
        <w:pStyle w:val="BodyText"/>
        <w:spacing w:line="417" w:lineRule="auto"/>
        <w:ind w:left="960" w:right="634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spacing w:line="269" w:lineRule="exact"/>
        <w:ind w:left="960"/>
      </w:pPr>
      <w:r>
        <w:rPr/>
        <w:t>联系人：鲁娟</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9">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10"/>
        </w:numPr>
        <w:tabs>
          <w:tab w:pos="1490" w:val="left" w:leader="none"/>
        </w:tabs>
        <w:spacing w:line="269" w:lineRule="exact" w:before="0" w:after="0"/>
        <w:ind w:left="1489" w:right="0" w:hanging="530"/>
        <w:jc w:val="left"/>
        <w:rPr>
          <w:sz w:val="21"/>
        </w:rPr>
      </w:pPr>
      <w:r>
        <w:rPr>
          <w:spacing w:val="-3"/>
          <w:sz w:val="21"/>
        </w:rPr>
        <w:t>杭州银行股份有限公司</w:t>
      </w:r>
    </w:p>
    <w:p>
      <w:pPr>
        <w:pStyle w:val="BodyText"/>
        <w:spacing w:before="7"/>
        <w:rPr>
          <w:sz w:val="15"/>
        </w:rPr>
      </w:pPr>
    </w:p>
    <w:p>
      <w:pPr>
        <w:pStyle w:val="BodyText"/>
        <w:ind w:left="960"/>
      </w:pPr>
      <w:r>
        <w:rPr/>
        <w:t>住所：杭州市庆春路 </w:t>
      </w:r>
      <w:r>
        <w:rPr>
          <w:rFonts w:ascii="Times New Roman" w:eastAsia="Times New Roman"/>
        </w:rPr>
        <w:t>46 </w:t>
      </w:r>
      <w:r>
        <w:rPr/>
        <w:t>号杭州银行大厦</w:t>
      </w:r>
    </w:p>
    <w:p>
      <w:pPr>
        <w:pStyle w:val="BodyText"/>
        <w:spacing w:before="7"/>
        <w:rPr>
          <w:sz w:val="15"/>
        </w:rPr>
      </w:pPr>
    </w:p>
    <w:p>
      <w:pPr>
        <w:pStyle w:val="BodyText"/>
        <w:spacing w:line="417" w:lineRule="auto"/>
        <w:ind w:left="960" w:right="4044"/>
      </w:pPr>
      <w:r>
        <w:rPr/>
        <w:t>办公地址：杭州市庆春路 </w:t>
      </w:r>
      <w:r>
        <w:rPr>
          <w:rFonts w:ascii="Times New Roman" w:eastAsia="Times New Roman"/>
        </w:rPr>
        <w:t>46 </w:t>
      </w:r>
      <w:r>
        <w:rPr/>
        <w:t>号杭州银行大厦法定代表人：吴太普</w:t>
      </w:r>
    </w:p>
    <w:p>
      <w:pPr>
        <w:pStyle w:val="BodyText"/>
        <w:spacing w:line="417" w:lineRule="auto"/>
        <w:ind w:left="960" w:right="624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ind w:left="960"/>
      </w:pPr>
      <w:r>
        <w:rPr/>
        <w:t>联系人：陈振峰</w:t>
      </w:r>
    </w:p>
    <w:p>
      <w:pPr>
        <w:pStyle w:val="BodyText"/>
        <w:spacing w:before="6"/>
        <w:rPr>
          <w:sz w:val="15"/>
        </w:rPr>
      </w:pPr>
    </w:p>
    <w:p>
      <w:pPr>
        <w:pStyle w:val="BodyText"/>
        <w:ind w:left="960"/>
        <w:rPr>
          <w:rFonts w:ascii="Times New Roman" w:eastAsia="Times New Roman"/>
        </w:rPr>
      </w:pPr>
      <w:r>
        <w:rPr/>
        <w:t>网址：</w:t>
      </w:r>
      <w:hyperlink r:id="rId20">
        <w:r>
          <w:rPr>
            <w:rFonts w:ascii="Times New Roman" w:eastAsia="Times New Roman"/>
          </w:rPr>
          <w:t>www.hzbank.com.cn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400-888-8508</w:t>
      </w:r>
    </w:p>
    <w:p>
      <w:pPr>
        <w:pStyle w:val="BodyText"/>
        <w:spacing w:before="3"/>
        <w:rPr>
          <w:rFonts w:ascii="Times New Roman"/>
          <w:sz w:val="17"/>
        </w:rPr>
      </w:pPr>
    </w:p>
    <w:p>
      <w:pPr>
        <w:pStyle w:val="ListParagraph"/>
        <w:numPr>
          <w:ilvl w:val="0"/>
          <w:numId w:val="10"/>
        </w:numPr>
        <w:tabs>
          <w:tab w:pos="1595" w:val="left" w:leader="none"/>
        </w:tabs>
        <w:spacing w:line="417" w:lineRule="auto" w:before="0" w:after="0"/>
        <w:ind w:left="960" w:right="5470" w:firstLine="0"/>
        <w:jc w:val="left"/>
        <w:rPr>
          <w:sz w:val="21"/>
        </w:rPr>
      </w:pPr>
      <w:r>
        <w:rPr>
          <w:spacing w:val="-5"/>
          <w:sz w:val="21"/>
        </w:rPr>
        <w:t>江苏银行股份有限公司</w:t>
      </w:r>
      <w:r>
        <w:rPr>
          <w:spacing w:val="-8"/>
          <w:sz w:val="21"/>
        </w:rPr>
        <w:t>住所：南京市中华路 </w:t>
      </w:r>
      <w:r>
        <w:rPr>
          <w:rFonts w:ascii="Times New Roman" w:eastAsia="Times New Roman"/>
          <w:sz w:val="21"/>
        </w:rPr>
        <w:t>26</w:t>
      </w:r>
      <w:r>
        <w:rPr>
          <w:rFonts w:ascii="Times New Roman" w:eastAsia="Times New Roman"/>
          <w:spacing w:val="-1"/>
          <w:sz w:val="21"/>
        </w:rPr>
        <w:t> </w:t>
      </w:r>
      <w:r>
        <w:rPr>
          <w:sz w:val="21"/>
        </w:rPr>
        <w:t>号</w:t>
      </w:r>
    </w:p>
    <w:p>
      <w:pPr>
        <w:pStyle w:val="BodyText"/>
        <w:spacing w:line="417" w:lineRule="auto"/>
        <w:ind w:left="960" w:right="5304"/>
      </w:pPr>
      <w:r>
        <w:rPr/>
        <w:t>办公地址：南京市中华路 </w:t>
      </w:r>
      <w:r>
        <w:rPr>
          <w:rFonts w:ascii="Times New Roman" w:eastAsia="Times New Roman"/>
        </w:rPr>
        <w:t>26 </w:t>
      </w:r>
      <w:r>
        <w:rPr/>
        <w:t>号法定代表人：夏平</w:t>
      </w:r>
    </w:p>
    <w:p>
      <w:pPr>
        <w:pStyle w:val="BodyText"/>
        <w:spacing w:line="417" w:lineRule="auto"/>
        <w:ind w:left="960" w:right="634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spacing w:line="269" w:lineRule="exact"/>
        <w:ind w:left="960"/>
      </w:pPr>
      <w:r>
        <w:rPr/>
        <w:t>联系人：田春慧</w:t>
      </w:r>
    </w:p>
    <w:p>
      <w:pPr>
        <w:pStyle w:val="BodyText"/>
        <w:spacing w:before="7"/>
        <w:rPr>
          <w:sz w:val="15"/>
        </w:rPr>
      </w:pPr>
    </w:p>
    <w:p>
      <w:pPr>
        <w:pStyle w:val="BodyText"/>
        <w:spacing w:line="417" w:lineRule="auto"/>
        <w:ind w:left="960" w:right="6084"/>
        <w:rPr>
          <w:rFonts w:ascii="Times New Roman" w:eastAsia="Times New Roman"/>
        </w:rPr>
      </w:pPr>
      <w:r>
        <w:rPr/>
        <w:t>网址：</w:t>
      </w:r>
      <w:hyperlink r:id="rId21">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10"/>
        </w:numPr>
        <w:tabs>
          <w:tab w:pos="1586" w:val="left" w:leader="none"/>
        </w:tabs>
        <w:spacing w:line="269" w:lineRule="exact" w:before="0" w:after="0"/>
        <w:ind w:left="1585" w:right="0" w:hanging="626"/>
        <w:jc w:val="left"/>
        <w:rPr>
          <w:sz w:val="21"/>
        </w:rPr>
      </w:pPr>
      <w:r>
        <w:rPr>
          <w:spacing w:val="-3"/>
          <w:sz w:val="21"/>
        </w:rPr>
        <w:t>渤海银行股份有限公司</w:t>
      </w:r>
    </w:p>
    <w:p>
      <w:pPr>
        <w:pStyle w:val="BodyText"/>
        <w:spacing w:before="7"/>
        <w:rPr>
          <w:sz w:val="15"/>
        </w:rPr>
      </w:pPr>
    </w:p>
    <w:p>
      <w:pPr>
        <w:pStyle w:val="BodyText"/>
        <w:ind w:left="960"/>
      </w:pPr>
      <w:r>
        <w:rPr/>
        <w:t>住所：天津市河东区海河东路 </w:t>
      </w:r>
      <w:r>
        <w:rPr>
          <w:rFonts w:ascii="Times New Roman" w:eastAsia="Times New Roman"/>
        </w:rPr>
        <w:t>218 </w:t>
      </w:r>
      <w:r>
        <w:rPr/>
        <w:t>号</w:t>
      </w:r>
    </w:p>
    <w:p>
      <w:pPr>
        <w:pStyle w:val="BodyText"/>
        <w:spacing w:before="6"/>
        <w:rPr>
          <w:sz w:val="15"/>
        </w:rPr>
      </w:pPr>
    </w:p>
    <w:p>
      <w:pPr>
        <w:pStyle w:val="BodyText"/>
        <w:spacing w:before="1"/>
        <w:ind w:left="960"/>
      </w:pPr>
      <w:r>
        <w:rPr/>
        <w:t>办公地址：天津市河东区海河东路 </w:t>
      </w:r>
      <w:r>
        <w:rPr>
          <w:rFonts w:ascii="Times New Roman" w:eastAsia="Times New Roman"/>
        </w:rPr>
        <w:t>218 </w:t>
      </w:r>
      <w:r>
        <w:rPr/>
        <w:t>号</w:t>
      </w:r>
    </w:p>
    <w:p>
      <w:pPr>
        <w:spacing w:after="0"/>
        <w:sectPr>
          <w:pgSz w:w="11910" w:h="16840"/>
          <w:pgMar w:header="877" w:footer="995" w:top="1420" w:bottom="1180" w:left="1260" w:right="1480"/>
        </w:sectPr>
      </w:pPr>
    </w:p>
    <w:p>
      <w:pPr>
        <w:pStyle w:val="BodyText"/>
        <w:spacing w:line="417" w:lineRule="auto" w:before="110"/>
        <w:ind w:left="960" w:right="6310"/>
        <w:rPr>
          <w:rFonts w:ascii="Times New Roman" w:eastAsia="Times New Roman"/>
        </w:rPr>
      </w:pPr>
      <w:r>
        <w:rPr/>
        <w:t>法定代表人：李伏安电话：</w:t>
      </w:r>
      <w:r>
        <w:rPr>
          <w:rFonts w:ascii="Times New Roman" w:eastAsia="Times New Roman"/>
        </w:rPr>
        <w:t>022-58316666</w:t>
      </w:r>
    </w:p>
    <w:p>
      <w:pPr>
        <w:pStyle w:val="BodyText"/>
        <w:spacing w:line="269" w:lineRule="exact"/>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联系人：潘鹏程</w:t>
      </w:r>
    </w:p>
    <w:p>
      <w:pPr>
        <w:pStyle w:val="BodyText"/>
        <w:spacing w:before="7"/>
        <w:rPr>
          <w:sz w:val="15"/>
        </w:rPr>
      </w:pPr>
    </w:p>
    <w:p>
      <w:pPr>
        <w:pStyle w:val="BodyText"/>
        <w:spacing w:line="417" w:lineRule="auto"/>
        <w:ind w:left="960" w:right="5962"/>
        <w:rPr>
          <w:rFonts w:ascii="Times New Roman" w:eastAsia="Times New Roman"/>
        </w:rPr>
      </w:pPr>
      <w:r>
        <w:rPr/>
        <w:t>网址：</w:t>
      </w:r>
      <w:hyperlink r:id="rId22">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大连银行股份有限公司</w:t>
      </w:r>
    </w:p>
    <w:p>
      <w:pPr>
        <w:pStyle w:val="BodyText"/>
        <w:spacing w:before="7"/>
        <w:rPr>
          <w:sz w:val="15"/>
        </w:rPr>
      </w:pPr>
    </w:p>
    <w:p>
      <w:pPr>
        <w:pStyle w:val="BodyText"/>
        <w:ind w:left="960"/>
      </w:pPr>
      <w:r>
        <w:rPr/>
        <w:t>住所：辽宁省大连市中山区中山路 </w:t>
      </w:r>
      <w:r>
        <w:rPr>
          <w:rFonts w:ascii="Times New Roman" w:eastAsia="Times New Roman"/>
        </w:rPr>
        <w:t>88 </w:t>
      </w:r>
      <w:r>
        <w:rPr/>
        <w:t>号</w:t>
      </w:r>
    </w:p>
    <w:p>
      <w:pPr>
        <w:pStyle w:val="BodyText"/>
        <w:spacing w:before="7"/>
        <w:rPr>
          <w:sz w:val="15"/>
        </w:rPr>
      </w:pPr>
    </w:p>
    <w:p>
      <w:pPr>
        <w:pStyle w:val="BodyText"/>
        <w:spacing w:line="417" w:lineRule="auto"/>
        <w:ind w:left="960" w:right="4043"/>
      </w:pPr>
      <w:r>
        <w:rPr/>
        <w:t>办公地址：辽宁省大连市中山区中山路 </w:t>
      </w:r>
      <w:r>
        <w:rPr>
          <w:rFonts w:ascii="Times New Roman" w:eastAsia="Times New Roman"/>
        </w:rPr>
        <w:t>88 </w:t>
      </w:r>
      <w:r>
        <w:rPr/>
        <w:t>号法定代表人：陈占维</w:t>
      </w:r>
    </w:p>
    <w:p>
      <w:pPr>
        <w:pStyle w:val="BodyText"/>
        <w:spacing w:line="417" w:lineRule="auto"/>
        <w:ind w:left="960" w:right="625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spacing w:line="269" w:lineRule="exact"/>
        <w:ind w:left="960"/>
      </w:pPr>
      <w:r>
        <w:rPr/>
        <w:t>联系人：李格格</w:t>
      </w:r>
    </w:p>
    <w:p>
      <w:pPr>
        <w:pStyle w:val="BodyText"/>
        <w:spacing w:before="6"/>
        <w:rPr>
          <w:sz w:val="15"/>
        </w:rPr>
      </w:pPr>
    </w:p>
    <w:p>
      <w:pPr>
        <w:pStyle w:val="BodyText"/>
        <w:ind w:left="960"/>
        <w:rPr>
          <w:rFonts w:ascii="Times New Roman" w:eastAsia="Times New Roman"/>
        </w:rPr>
      </w:pPr>
      <w:r>
        <w:rPr/>
        <w:t>网址：</w:t>
      </w:r>
      <w:hyperlink r:id="rId23">
        <w:r>
          <w:rPr>
            <w:rFonts w:ascii="Times New Roman" w:eastAsia="Times New Roman"/>
          </w:rPr>
          <w:t>www.bankofdl.com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400-664-0099</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重庆银行股份有限公司</w:t>
      </w:r>
    </w:p>
    <w:p>
      <w:pPr>
        <w:pStyle w:val="BodyText"/>
        <w:spacing w:before="6"/>
        <w:rPr>
          <w:sz w:val="15"/>
        </w:rPr>
      </w:pPr>
    </w:p>
    <w:p>
      <w:pPr>
        <w:pStyle w:val="BodyText"/>
        <w:ind w:left="960"/>
      </w:pPr>
      <w:r>
        <w:rPr/>
        <w:t>住所：重庆市江北区永平门街 </w:t>
      </w:r>
      <w:r>
        <w:rPr>
          <w:rFonts w:ascii="Times New Roman" w:eastAsia="Times New Roman"/>
        </w:rPr>
        <w:t>6 </w:t>
      </w:r>
      <w:r>
        <w:rPr/>
        <w:t>号</w:t>
      </w:r>
    </w:p>
    <w:p>
      <w:pPr>
        <w:pStyle w:val="BodyText"/>
        <w:spacing w:before="7"/>
        <w:rPr>
          <w:sz w:val="15"/>
        </w:rPr>
      </w:pPr>
    </w:p>
    <w:p>
      <w:pPr>
        <w:pStyle w:val="BodyText"/>
        <w:spacing w:line="417" w:lineRule="auto"/>
        <w:ind w:left="960" w:right="4568"/>
      </w:pPr>
      <w:r>
        <w:rPr/>
        <w:t>办公地址：重庆市江北区永平门街 </w:t>
      </w:r>
      <w:r>
        <w:rPr>
          <w:rFonts w:ascii="Times New Roman" w:eastAsia="Times New Roman"/>
        </w:rPr>
        <w:t>6 </w:t>
      </w:r>
      <w:r>
        <w:rPr/>
        <w:t>号法定代表人：林军</w:t>
      </w:r>
    </w:p>
    <w:p>
      <w:pPr>
        <w:pStyle w:val="BodyText"/>
        <w:spacing w:line="417" w:lineRule="auto"/>
        <w:ind w:left="960" w:right="6346"/>
        <w:rPr>
          <w:rFonts w:ascii="Times New Roman" w:eastAsia="Times New Roman"/>
        </w:rPr>
      </w:pPr>
      <w:r>
        <w:rPr/>
        <w:t>电话：</w:t>
      </w:r>
      <w:r>
        <w:rPr>
          <w:rFonts w:ascii="Times New Roman" w:eastAsia="Times New Roman"/>
        </w:rPr>
        <w:t>023-63367470 </w:t>
      </w:r>
      <w:r>
        <w:rPr/>
        <w:t>传真：</w:t>
      </w:r>
      <w:r>
        <w:rPr>
          <w:rFonts w:ascii="Times New Roman" w:eastAsia="Times New Roman"/>
        </w:rPr>
        <w:t>023-63367205</w:t>
      </w:r>
    </w:p>
    <w:p>
      <w:pPr>
        <w:pStyle w:val="BodyText"/>
        <w:ind w:left="960"/>
      </w:pPr>
      <w:r>
        <w:rPr/>
        <w:t>联系人：张鹏</w:t>
      </w:r>
    </w:p>
    <w:p>
      <w:pPr>
        <w:pStyle w:val="BodyText"/>
        <w:spacing w:before="7"/>
        <w:rPr>
          <w:sz w:val="15"/>
        </w:rPr>
      </w:pPr>
    </w:p>
    <w:p>
      <w:pPr>
        <w:pStyle w:val="BodyText"/>
        <w:spacing w:line="417" w:lineRule="auto"/>
        <w:ind w:left="960" w:right="5920"/>
        <w:rPr>
          <w:rFonts w:ascii="Times New Roman" w:eastAsia="Times New Roman"/>
        </w:rPr>
      </w:pPr>
      <w:r>
        <w:rPr/>
        <w:t>网址：</w:t>
      </w:r>
      <w:hyperlink r:id="rId24">
        <w:r>
          <w:rPr>
            <w:rFonts w:ascii="Times New Roman" w:eastAsia="Times New Roman"/>
          </w:rPr>
          <w:t>www.cqcbank.com </w:t>
        </w:r>
      </w:hyperlink>
      <w:r>
        <w:rPr/>
        <w:t>客户服务电话：</w:t>
      </w:r>
      <w:r>
        <w:rPr>
          <w:rFonts w:ascii="Times New Roman" w:eastAsia="Times New Roman"/>
        </w:rPr>
        <w:t>96899</w:t>
      </w:r>
    </w:p>
    <w:p>
      <w:pPr>
        <w:pStyle w:val="ListParagraph"/>
        <w:numPr>
          <w:ilvl w:val="0"/>
          <w:numId w:val="10"/>
        </w:numPr>
        <w:tabs>
          <w:tab w:pos="1595" w:val="left" w:leader="none"/>
        </w:tabs>
        <w:spacing w:line="417" w:lineRule="auto" w:before="0" w:after="0"/>
        <w:ind w:left="960" w:right="4418" w:firstLine="0"/>
        <w:jc w:val="left"/>
        <w:rPr>
          <w:sz w:val="21"/>
        </w:rPr>
      </w:pPr>
      <w:r>
        <w:rPr>
          <w:spacing w:val="-3"/>
          <w:sz w:val="21"/>
        </w:rPr>
        <w:t>东莞农村商业银行股份有限公司 </w:t>
      </w:r>
      <w:r>
        <w:rPr>
          <w:spacing w:val="-6"/>
          <w:sz w:val="21"/>
        </w:rPr>
        <w:t>住所：广东省东莞市东城区鸿福东路 </w:t>
      </w:r>
      <w:r>
        <w:rPr>
          <w:rFonts w:ascii="Times New Roman" w:eastAsia="Times New Roman"/>
          <w:sz w:val="21"/>
        </w:rPr>
        <w:t>2</w:t>
      </w:r>
      <w:r>
        <w:rPr>
          <w:rFonts w:ascii="Times New Roman" w:eastAsia="Times New Roman"/>
          <w:spacing w:val="9"/>
          <w:sz w:val="21"/>
        </w:rPr>
        <w:t> </w:t>
      </w:r>
      <w:r>
        <w:rPr>
          <w:spacing w:val="-12"/>
          <w:sz w:val="21"/>
        </w:rPr>
        <w:t>号</w:t>
      </w:r>
    </w:p>
    <w:p>
      <w:pPr>
        <w:pStyle w:val="BodyText"/>
        <w:spacing w:line="417" w:lineRule="auto"/>
        <w:ind w:left="960" w:right="3937"/>
      </w:pPr>
      <w:r>
        <w:rPr/>
        <w:t>办公地址：广东省东莞市东城区鸿福东路 </w:t>
      </w:r>
      <w:r>
        <w:rPr>
          <w:rFonts w:ascii="Times New Roman" w:eastAsia="Times New Roman"/>
        </w:rPr>
        <w:t>2 </w:t>
      </w:r>
      <w:r>
        <w:rPr/>
        <w:t>号法定代表人：王耀球</w:t>
      </w:r>
    </w:p>
    <w:p>
      <w:pPr>
        <w:pStyle w:val="BodyText"/>
        <w:spacing w:line="417" w:lineRule="auto"/>
        <w:ind w:left="960" w:right="487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联系人：刘托福</w:t>
      </w:r>
    </w:p>
    <w:p>
      <w:pPr>
        <w:pStyle w:val="BodyText"/>
        <w:spacing w:before="6"/>
        <w:rPr>
          <w:sz w:val="15"/>
        </w:rPr>
      </w:pPr>
    </w:p>
    <w:p>
      <w:pPr>
        <w:pStyle w:val="BodyText"/>
        <w:ind w:left="960"/>
        <w:rPr>
          <w:rFonts w:ascii="Times New Roman" w:eastAsia="Times New Roman"/>
        </w:rPr>
      </w:pPr>
      <w:r>
        <w:rPr/>
        <w:t>网址：</w:t>
      </w:r>
      <w:hyperlink r:id="rId25">
        <w:r>
          <w:rPr>
            <w:rFonts w:ascii="Times New Roman" w:eastAsia="Times New Roman"/>
          </w:rPr>
          <w:t>www.drcbank.com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0769-961122</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河北银行股份有限公司</w:t>
      </w:r>
    </w:p>
    <w:p>
      <w:pPr>
        <w:pStyle w:val="BodyText"/>
        <w:spacing w:before="7"/>
        <w:rPr>
          <w:sz w:val="15"/>
        </w:rPr>
      </w:pPr>
    </w:p>
    <w:p>
      <w:pPr>
        <w:pStyle w:val="BodyText"/>
        <w:ind w:left="960"/>
      </w:pPr>
      <w:r>
        <w:rPr/>
        <w:t>住所：河北省石家庄市平安北大街 </w:t>
      </w:r>
      <w:r>
        <w:rPr>
          <w:rFonts w:ascii="Times New Roman" w:eastAsia="Times New Roman"/>
        </w:rPr>
        <w:t>28 </w:t>
      </w:r>
      <w:r>
        <w:rPr/>
        <w:t>号</w:t>
      </w:r>
    </w:p>
    <w:p>
      <w:pPr>
        <w:pStyle w:val="BodyText"/>
        <w:spacing w:before="7"/>
        <w:rPr>
          <w:sz w:val="15"/>
        </w:rPr>
      </w:pPr>
    </w:p>
    <w:p>
      <w:pPr>
        <w:pStyle w:val="BodyText"/>
        <w:spacing w:line="417" w:lineRule="auto"/>
        <w:ind w:left="960" w:right="4043"/>
      </w:pPr>
      <w:r>
        <w:rPr/>
        <w:t>办公地址：河北省石家庄市平安北大街 </w:t>
      </w:r>
      <w:r>
        <w:rPr>
          <w:rFonts w:ascii="Times New Roman" w:eastAsia="Times New Roman"/>
        </w:rPr>
        <w:t>28 </w:t>
      </w:r>
      <w:r>
        <w:rPr/>
        <w:t>号法定代表人：乔志强</w:t>
      </w:r>
    </w:p>
    <w:p>
      <w:pPr>
        <w:pStyle w:val="BodyText"/>
        <w:spacing w:line="417" w:lineRule="auto"/>
        <w:ind w:left="960" w:right="625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pStyle w:val="BodyText"/>
        <w:spacing w:line="269" w:lineRule="exact"/>
        <w:ind w:left="960"/>
      </w:pPr>
      <w:r>
        <w:rPr/>
        <w:t>联系人：王栋</w:t>
      </w:r>
    </w:p>
    <w:p>
      <w:pPr>
        <w:pStyle w:val="BodyText"/>
        <w:spacing w:before="7"/>
        <w:rPr>
          <w:sz w:val="15"/>
        </w:rPr>
      </w:pPr>
    </w:p>
    <w:p>
      <w:pPr>
        <w:pStyle w:val="BodyText"/>
        <w:ind w:left="960"/>
        <w:rPr>
          <w:rFonts w:ascii="Times New Roman" w:eastAsia="Times New Roman"/>
        </w:rPr>
      </w:pPr>
      <w:r>
        <w:rPr/>
        <w:t>网址：</w:t>
      </w:r>
      <w:hyperlink r:id="rId26">
        <w:r>
          <w:rPr>
            <w:rFonts w:ascii="Times New Roman" w:eastAsia="Times New Roman"/>
          </w:rPr>
          <w:t>www.hebbank.com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400-612-9999</w:t>
      </w:r>
    </w:p>
    <w:p>
      <w:pPr>
        <w:pStyle w:val="BodyText"/>
        <w:spacing w:before="4"/>
        <w:rPr>
          <w:rFonts w:ascii="Times New Roman"/>
          <w:sz w:val="17"/>
        </w:rPr>
      </w:pPr>
    </w:p>
    <w:p>
      <w:pPr>
        <w:pStyle w:val="ListParagraph"/>
        <w:numPr>
          <w:ilvl w:val="0"/>
          <w:numId w:val="10"/>
        </w:numPr>
        <w:tabs>
          <w:tab w:pos="1595" w:val="left" w:leader="none"/>
        </w:tabs>
        <w:spacing w:line="417" w:lineRule="auto" w:before="0" w:after="0"/>
        <w:ind w:left="960" w:right="4104" w:firstLine="0"/>
        <w:jc w:val="left"/>
        <w:rPr>
          <w:sz w:val="21"/>
        </w:rPr>
      </w:pPr>
      <w:r>
        <w:rPr>
          <w:spacing w:val="-3"/>
          <w:sz w:val="21"/>
        </w:rPr>
        <w:t>江苏苏州农村商业银行股份有限公司</w:t>
      </w:r>
      <w:r>
        <w:rPr>
          <w:spacing w:val="-6"/>
          <w:sz w:val="21"/>
        </w:rPr>
        <w:t>住所：江苏省苏州市吴江区中山南路 </w:t>
      </w:r>
      <w:r>
        <w:rPr>
          <w:rFonts w:ascii="Times New Roman" w:eastAsia="Times New Roman"/>
          <w:sz w:val="21"/>
        </w:rPr>
        <w:t>1777</w:t>
      </w:r>
      <w:r>
        <w:rPr>
          <w:rFonts w:ascii="Times New Roman" w:eastAsia="Times New Roman"/>
          <w:spacing w:val="8"/>
          <w:sz w:val="21"/>
        </w:rPr>
        <w:t> </w:t>
      </w:r>
      <w:r>
        <w:rPr>
          <w:spacing w:val="-11"/>
          <w:sz w:val="21"/>
        </w:rPr>
        <w:t>号</w:t>
      </w:r>
    </w:p>
    <w:p>
      <w:pPr>
        <w:pStyle w:val="BodyText"/>
        <w:spacing w:line="417" w:lineRule="auto"/>
        <w:ind w:left="960" w:right="3622"/>
      </w:pPr>
      <w:r>
        <w:rPr/>
        <w:t>办公地址：江苏省苏州市吴江区中山南路 </w:t>
      </w:r>
      <w:r>
        <w:rPr>
          <w:rFonts w:ascii="Times New Roman" w:eastAsia="Times New Roman"/>
        </w:rPr>
        <w:t>1777 </w:t>
      </w:r>
      <w:r>
        <w:rPr/>
        <w:t>号法定代表人：魏礼亚</w:t>
      </w:r>
    </w:p>
    <w:p>
      <w:pPr>
        <w:pStyle w:val="BodyText"/>
        <w:spacing w:line="417" w:lineRule="auto"/>
        <w:ind w:left="960" w:right="624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9" w:lineRule="exact"/>
        <w:ind w:left="960"/>
      </w:pPr>
      <w:r>
        <w:rPr/>
        <w:t>联系人：葛晓亮</w:t>
      </w:r>
    </w:p>
    <w:p>
      <w:pPr>
        <w:pStyle w:val="BodyText"/>
        <w:spacing w:before="6"/>
        <w:rPr>
          <w:sz w:val="15"/>
        </w:rPr>
      </w:pPr>
    </w:p>
    <w:p>
      <w:pPr>
        <w:pStyle w:val="BodyText"/>
        <w:ind w:left="960"/>
        <w:rPr>
          <w:rFonts w:ascii="Times New Roman" w:eastAsia="Times New Roman"/>
        </w:rPr>
      </w:pPr>
      <w:r>
        <w:rPr/>
        <w:t>网址：</w:t>
      </w:r>
      <w:hyperlink r:id="rId27">
        <w:r>
          <w:rPr>
            <w:rFonts w:ascii="Times New Roman" w:eastAsia="Times New Roman"/>
          </w:rPr>
          <w:t>http://www.szrcb.com</w:t>
        </w:r>
      </w:hyperlink>
    </w:p>
    <w:p>
      <w:pPr>
        <w:pStyle w:val="BodyText"/>
        <w:spacing w:before="4"/>
        <w:rPr>
          <w:rFonts w:ascii="Times New Roman"/>
          <w:sz w:val="17"/>
        </w:rPr>
      </w:pPr>
    </w:p>
    <w:p>
      <w:pPr>
        <w:pStyle w:val="BodyText"/>
        <w:ind w:left="96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rPr>
          <w:sz w:val="15"/>
        </w:rPr>
      </w:pPr>
    </w:p>
    <w:p>
      <w:pPr>
        <w:pStyle w:val="ListParagraph"/>
        <w:numPr>
          <w:ilvl w:val="0"/>
          <w:numId w:val="10"/>
        </w:numPr>
        <w:tabs>
          <w:tab w:pos="1595" w:val="left" w:leader="none"/>
        </w:tabs>
        <w:spacing w:line="417" w:lineRule="auto" w:before="0" w:after="0"/>
        <w:ind w:left="960" w:right="5155" w:firstLine="0"/>
        <w:jc w:val="left"/>
        <w:rPr>
          <w:sz w:val="21"/>
        </w:rPr>
      </w:pPr>
      <w:r>
        <w:rPr>
          <w:spacing w:val="-3"/>
          <w:sz w:val="21"/>
        </w:rPr>
        <w:t>西安银行股份有限公司  </w:t>
      </w:r>
      <w:r>
        <w:rPr>
          <w:spacing w:val="-7"/>
          <w:sz w:val="21"/>
        </w:rPr>
        <w:t>住所：陕西省西安市高新路 </w:t>
      </w:r>
      <w:r>
        <w:rPr>
          <w:rFonts w:ascii="Times New Roman" w:eastAsia="Times New Roman"/>
          <w:sz w:val="21"/>
        </w:rPr>
        <w:t>60</w:t>
      </w:r>
      <w:r>
        <w:rPr>
          <w:rFonts w:ascii="Times New Roman" w:eastAsia="Times New Roman"/>
          <w:spacing w:val="3"/>
          <w:sz w:val="21"/>
        </w:rPr>
        <w:t> </w:t>
      </w:r>
      <w:r>
        <w:rPr>
          <w:spacing w:val="-13"/>
          <w:sz w:val="21"/>
        </w:rPr>
        <w:t>号</w:t>
      </w:r>
    </w:p>
    <w:p>
      <w:pPr>
        <w:pStyle w:val="BodyText"/>
        <w:spacing w:line="417" w:lineRule="auto"/>
        <w:ind w:left="960" w:right="4673"/>
      </w:pPr>
      <w:r>
        <w:rPr/>
        <w:t>办公地址：陕西省西安市高新路 </w:t>
      </w:r>
      <w:r>
        <w:rPr>
          <w:rFonts w:ascii="Times New Roman" w:eastAsia="Times New Roman"/>
        </w:rPr>
        <w:t>60 </w:t>
      </w:r>
      <w:r>
        <w:rPr/>
        <w:t>号法定代表人：郭军</w:t>
      </w:r>
    </w:p>
    <w:p>
      <w:pPr>
        <w:pStyle w:val="BodyText"/>
        <w:spacing w:line="417" w:lineRule="auto"/>
        <w:ind w:left="960" w:right="634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9" w:lineRule="exact"/>
        <w:ind w:left="960"/>
      </w:pPr>
      <w:r>
        <w:rPr/>
        <w:t>联系人：白智</w:t>
      </w:r>
    </w:p>
    <w:p>
      <w:pPr>
        <w:pStyle w:val="BodyText"/>
        <w:spacing w:before="6"/>
        <w:rPr>
          <w:sz w:val="15"/>
        </w:rPr>
      </w:pPr>
    </w:p>
    <w:p>
      <w:pPr>
        <w:pStyle w:val="BodyText"/>
        <w:spacing w:before="1"/>
        <w:ind w:left="960"/>
        <w:rPr>
          <w:rFonts w:ascii="Times New Roman" w:eastAsia="Times New Roman"/>
        </w:rPr>
      </w:pPr>
      <w:r>
        <w:rPr/>
        <w:t>网址：</w:t>
      </w:r>
      <w:hyperlink r:id="rId28">
        <w:r>
          <w:rPr>
            <w:rFonts w:ascii="Times New Roman" w:eastAsia="Times New Roman"/>
          </w:rPr>
          <w:t>www.xacbank.com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400-869-6779</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10"/>
        </w:numPr>
        <w:tabs>
          <w:tab w:pos="1595" w:val="left" w:leader="none"/>
        </w:tabs>
        <w:spacing w:line="240" w:lineRule="auto" w:before="110" w:after="0"/>
        <w:ind w:left="1595" w:right="0" w:hanging="635"/>
        <w:jc w:val="left"/>
        <w:rPr>
          <w:sz w:val="21"/>
        </w:rPr>
      </w:pPr>
      <w:r>
        <w:rPr>
          <w:spacing w:val="-3"/>
          <w:sz w:val="21"/>
        </w:rPr>
        <w:t>厦门银行股份有限公司</w:t>
      </w:r>
    </w:p>
    <w:p>
      <w:pPr>
        <w:pStyle w:val="BodyText"/>
        <w:spacing w:before="6"/>
        <w:rPr>
          <w:sz w:val="15"/>
        </w:rPr>
      </w:pPr>
    </w:p>
    <w:p>
      <w:pPr>
        <w:pStyle w:val="BodyText"/>
        <w:ind w:left="960"/>
      </w:pPr>
      <w:r>
        <w:rPr/>
        <w:t>住所：厦门市湖滨北路 </w:t>
      </w:r>
      <w:r>
        <w:rPr>
          <w:rFonts w:ascii="Times New Roman" w:eastAsia="Times New Roman"/>
        </w:rPr>
        <w:t>101 </w:t>
      </w:r>
      <w:r>
        <w:rPr/>
        <w:t>号商业银行大厦</w:t>
      </w:r>
    </w:p>
    <w:p>
      <w:pPr>
        <w:pStyle w:val="BodyText"/>
        <w:spacing w:before="7"/>
        <w:rPr>
          <w:sz w:val="15"/>
        </w:rPr>
      </w:pPr>
    </w:p>
    <w:p>
      <w:pPr>
        <w:pStyle w:val="BodyText"/>
        <w:spacing w:line="417" w:lineRule="auto"/>
        <w:ind w:left="960" w:right="3728"/>
      </w:pPr>
      <w:r>
        <w:rPr/>
        <w:t>办公地址：厦门市湖滨北路 </w:t>
      </w:r>
      <w:r>
        <w:rPr>
          <w:rFonts w:ascii="Times New Roman" w:eastAsia="Times New Roman"/>
        </w:rPr>
        <w:t>101 </w:t>
      </w:r>
      <w:r>
        <w:rPr/>
        <w:t>号商业银行大厦法定代表人：吴世群</w:t>
      </w:r>
    </w:p>
    <w:p>
      <w:pPr>
        <w:pStyle w:val="BodyText"/>
        <w:spacing w:line="417" w:lineRule="auto"/>
        <w:ind w:left="960" w:right="634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spacing w:line="269" w:lineRule="exact"/>
        <w:ind w:left="960"/>
      </w:pPr>
      <w:r>
        <w:rPr/>
        <w:t>联系人：孙瑜</w:t>
      </w:r>
    </w:p>
    <w:p>
      <w:pPr>
        <w:pStyle w:val="BodyText"/>
        <w:spacing w:before="7"/>
        <w:rPr>
          <w:sz w:val="15"/>
        </w:rPr>
      </w:pPr>
    </w:p>
    <w:p>
      <w:pPr>
        <w:pStyle w:val="BodyText"/>
        <w:ind w:left="960"/>
        <w:rPr>
          <w:rFonts w:ascii="Times New Roman" w:eastAsia="Times New Roman"/>
        </w:rPr>
      </w:pPr>
      <w:r>
        <w:rPr/>
        <w:t>网址：</w:t>
      </w:r>
      <w:hyperlink r:id="rId29">
        <w:r>
          <w:rPr>
            <w:rFonts w:ascii="Times New Roman" w:eastAsia="Times New Roman"/>
          </w:rPr>
          <w:t>www.xmccb.com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400-858-8888</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苏州银行股份有限公司</w:t>
      </w:r>
    </w:p>
    <w:p>
      <w:pPr>
        <w:pStyle w:val="BodyText"/>
        <w:spacing w:before="7"/>
        <w:rPr>
          <w:sz w:val="15"/>
        </w:rPr>
      </w:pPr>
    </w:p>
    <w:p>
      <w:pPr>
        <w:pStyle w:val="BodyText"/>
        <w:ind w:left="960"/>
      </w:pPr>
      <w:r>
        <w:rPr/>
        <w:t>住所：江苏省苏州市工业园区钟园路 </w:t>
      </w:r>
      <w:r>
        <w:rPr>
          <w:rFonts w:ascii="Times New Roman" w:eastAsia="Times New Roman"/>
        </w:rPr>
        <w:t>728 </w:t>
      </w:r>
      <w:r>
        <w:rPr/>
        <w:t>号</w:t>
      </w:r>
    </w:p>
    <w:p>
      <w:pPr>
        <w:pStyle w:val="BodyText"/>
        <w:spacing w:before="6"/>
        <w:rPr>
          <w:sz w:val="15"/>
        </w:rPr>
      </w:pPr>
    </w:p>
    <w:p>
      <w:pPr>
        <w:pStyle w:val="BodyText"/>
        <w:spacing w:line="417" w:lineRule="auto" w:before="1"/>
        <w:ind w:left="960" w:right="3728"/>
      </w:pPr>
      <w:r>
        <w:rPr/>
        <w:t>办公地址：江苏省苏州市工业园区钟园路 </w:t>
      </w:r>
      <w:r>
        <w:rPr>
          <w:rFonts w:ascii="Times New Roman" w:eastAsia="Times New Roman"/>
        </w:rPr>
        <w:t>728 </w:t>
      </w:r>
      <w:r>
        <w:rPr/>
        <w:t>号法定代表人：王兰凤</w:t>
      </w:r>
    </w:p>
    <w:p>
      <w:pPr>
        <w:pStyle w:val="BodyText"/>
        <w:spacing w:line="269" w:lineRule="exact"/>
        <w:ind w:left="960"/>
        <w:rPr>
          <w:rFonts w:ascii="Times New Roman" w:eastAsia="Times New Roman"/>
        </w:rPr>
      </w:pPr>
      <w:r>
        <w:rPr/>
        <w:t>电话：</w:t>
      </w:r>
      <w:r>
        <w:rPr>
          <w:rFonts w:ascii="Times New Roman" w:eastAsia="Times New Roman"/>
        </w:rPr>
        <w:t>0512-69868373</w:t>
      </w:r>
    </w:p>
    <w:p>
      <w:pPr>
        <w:pStyle w:val="BodyText"/>
        <w:spacing w:before="3"/>
        <w:rPr>
          <w:rFonts w:ascii="Times New Roman"/>
          <w:sz w:val="17"/>
        </w:rPr>
      </w:pPr>
    </w:p>
    <w:p>
      <w:pPr>
        <w:pStyle w:val="BodyText"/>
        <w:ind w:left="960"/>
      </w:pPr>
      <w:r>
        <w:rPr/>
        <w:t>联系人：吴骏</w:t>
      </w:r>
    </w:p>
    <w:p>
      <w:pPr>
        <w:pStyle w:val="BodyText"/>
        <w:spacing w:before="7"/>
        <w:rPr>
          <w:sz w:val="15"/>
        </w:rPr>
      </w:pPr>
    </w:p>
    <w:p>
      <w:pPr>
        <w:pStyle w:val="BodyText"/>
        <w:spacing w:line="417" w:lineRule="auto"/>
        <w:ind w:left="960" w:right="5618"/>
        <w:rPr>
          <w:rFonts w:ascii="Times New Roman" w:eastAsia="Times New Roman"/>
        </w:rPr>
      </w:pPr>
      <w:r>
        <w:rPr/>
        <w:t>网址：</w:t>
      </w:r>
      <w:hyperlink r:id="rId30">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华融湘江银行股份有限公司</w:t>
      </w:r>
    </w:p>
    <w:p>
      <w:pPr>
        <w:pStyle w:val="BodyText"/>
        <w:spacing w:before="7"/>
        <w:rPr>
          <w:sz w:val="15"/>
        </w:rPr>
      </w:pPr>
    </w:p>
    <w:p>
      <w:pPr>
        <w:pStyle w:val="BodyText"/>
        <w:ind w:left="960"/>
      </w:pPr>
      <w:r>
        <w:rPr/>
        <w:t>住所：湖南省长沙市天心区芙蓉南路二段 </w:t>
      </w:r>
      <w:r>
        <w:rPr>
          <w:rFonts w:ascii="Times New Roman" w:eastAsia="Times New Roman"/>
        </w:rPr>
        <w:t>828 </w:t>
      </w:r>
      <w:r>
        <w:rPr/>
        <w:t>号鑫远杰座</w:t>
      </w:r>
    </w:p>
    <w:p>
      <w:pPr>
        <w:pStyle w:val="BodyText"/>
        <w:spacing w:before="7"/>
        <w:rPr>
          <w:sz w:val="15"/>
        </w:rPr>
      </w:pPr>
    </w:p>
    <w:p>
      <w:pPr>
        <w:pStyle w:val="BodyText"/>
        <w:spacing w:line="417" w:lineRule="auto"/>
        <w:ind w:left="960" w:right="1626"/>
      </w:pPr>
      <w:r>
        <w:rPr/>
        <w:t>办公地址：湖南省长沙市雨花区湘府东路二段 </w:t>
      </w:r>
      <w:r>
        <w:rPr>
          <w:rFonts w:ascii="Times New Roman" w:eastAsia="Times New Roman"/>
        </w:rPr>
        <w:t>208 </w:t>
      </w:r>
      <w:r>
        <w:rPr/>
        <w:t>号万境财智中心南栋法定代表人：张永宏</w:t>
      </w:r>
    </w:p>
    <w:p>
      <w:pPr>
        <w:pStyle w:val="BodyText"/>
        <w:spacing w:line="417" w:lineRule="auto"/>
        <w:ind w:left="960" w:right="624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ind w:left="960"/>
      </w:pPr>
      <w:r>
        <w:rPr/>
        <w:t>联系人：曾玉姣</w:t>
      </w:r>
    </w:p>
    <w:p>
      <w:pPr>
        <w:pStyle w:val="BodyText"/>
        <w:spacing w:before="7"/>
        <w:rPr>
          <w:sz w:val="15"/>
        </w:rPr>
      </w:pPr>
    </w:p>
    <w:p>
      <w:pPr>
        <w:pStyle w:val="BodyText"/>
        <w:spacing w:line="417" w:lineRule="auto"/>
        <w:ind w:left="960" w:right="5623"/>
        <w:rPr>
          <w:rFonts w:ascii="Times New Roman" w:eastAsia="Times New Roman"/>
        </w:rPr>
      </w:pPr>
      <w:r>
        <w:rPr/>
        <w:t>网址：</w:t>
      </w:r>
      <w:hyperlink r:id="rId31">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中原银行股份有限公司</w:t>
      </w:r>
    </w:p>
    <w:p>
      <w:pPr>
        <w:pStyle w:val="BodyText"/>
        <w:spacing w:before="6"/>
        <w:rPr>
          <w:sz w:val="15"/>
        </w:rPr>
      </w:pPr>
    </w:p>
    <w:p>
      <w:pPr>
        <w:pStyle w:val="BodyText"/>
        <w:ind w:left="960"/>
      </w:pPr>
      <w:r>
        <w:rPr/>
        <w:t>住所：河南省郑州市郑东新区</w:t>
      </w:r>
      <w:r>
        <w:rPr>
          <w:rFonts w:ascii="Times New Roman" w:eastAsia="Times New Roman"/>
        </w:rPr>
        <w:t>CBD </w:t>
      </w:r>
      <w:r>
        <w:rPr/>
        <w:t>商务外环路 </w:t>
      </w:r>
      <w:r>
        <w:rPr>
          <w:rFonts w:ascii="Times New Roman" w:eastAsia="Times New Roman"/>
        </w:rPr>
        <w:t>23 </w:t>
      </w:r>
      <w:r>
        <w:rPr/>
        <w:t>号中科金座</w:t>
      </w:r>
    </w:p>
    <w:p>
      <w:pPr>
        <w:pStyle w:val="BodyText"/>
        <w:spacing w:before="7"/>
        <w:rPr>
          <w:sz w:val="15"/>
        </w:rPr>
      </w:pPr>
    </w:p>
    <w:p>
      <w:pPr>
        <w:pStyle w:val="BodyText"/>
        <w:spacing w:line="417" w:lineRule="auto" w:before="1"/>
        <w:ind w:left="960" w:right="2097"/>
      </w:pPr>
      <w:r>
        <w:rPr/>
        <w:t>办公地址：河南省郑州市郑东新区</w:t>
      </w:r>
      <w:r>
        <w:rPr>
          <w:rFonts w:ascii="Times New Roman" w:eastAsia="Times New Roman"/>
        </w:rPr>
        <w:t>CBD </w:t>
      </w:r>
      <w:r>
        <w:rPr/>
        <w:t>商务外环路 </w:t>
      </w:r>
      <w:r>
        <w:rPr>
          <w:rFonts w:ascii="Times New Roman" w:eastAsia="Times New Roman"/>
        </w:rPr>
        <w:t>23 </w:t>
      </w:r>
      <w:r>
        <w:rPr/>
        <w:t>号中科金座法定代表人：窦荣兴</w:t>
      </w:r>
    </w:p>
    <w:p>
      <w:pPr>
        <w:spacing w:after="0" w:line="417" w:lineRule="auto"/>
        <w:sectPr>
          <w:pgSz w:w="11910" w:h="16840"/>
          <w:pgMar w:header="877" w:footer="995" w:top="1420" w:bottom="11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0371-85517710 </w:t>
      </w:r>
      <w:r>
        <w:rPr/>
        <w:t>传真：</w:t>
      </w:r>
      <w:r>
        <w:rPr>
          <w:rFonts w:ascii="Times New Roman" w:eastAsia="Times New Roman"/>
        </w:rPr>
        <w:t>0371-85519869</w:t>
      </w:r>
    </w:p>
    <w:p>
      <w:pPr>
        <w:pStyle w:val="BodyText"/>
        <w:spacing w:line="269" w:lineRule="exact"/>
        <w:ind w:left="960"/>
      </w:pPr>
      <w:r>
        <w:rPr/>
        <w:t>联系人：牛映雪</w:t>
      </w:r>
    </w:p>
    <w:p>
      <w:pPr>
        <w:pStyle w:val="BodyText"/>
        <w:spacing w:before="6"/>
        <w:rPr>
          <w:sz w:val="15"/>
        </w:rPr>
      </w:pPr>
    </w:p>
    <w:p>
      <w:pPr>
        <w:pStyle w:val="BodyText"/>
        <w:spacing w:line="417" w:lineRule="auto"/>
        <w:ind w:left="960" w:right="5764"/>
        <w:rPr>
          <w:rFonts w:ascii="Times New Roman" w:eastAsia="Times New Roman"/>
        </w:rPr>
      </w:pPr>
      <w:r>
        <w:rPr/>
        <w:t>网址：</w:t>
      </w:r>
      <w:hyperlink r:id="rId32">
        <w:r>
          <w:rPr>
            <w:rFonts w:ascii="Times New Roman" w:eastAsia="Times New Roman"/>
          </w:rPr>
          <w:t>www.zybank.com.cn </w:t>
        </w:r>
      </w:hyperlink>
      <w:r>
        <w:rPr/>
        <w:t>客户服务电话：</w:t>
      </w:r>
      <w:r>
        <w:rPr>
          <w:rFonts w:ascii="Times New Roman" w:eastAsia="Times New Roman"/>
        </w:rPr>
        <w:t>95186</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天相投资顾问有限公司</w:t>
      </w:r>
    </w:p>
    <w:p>
      <w:pPr>
        <w:pStyle w:val="BodyText"/>
        <w:spacing w:before="7"/>
        <w:rPr>
          <w:sz w:val="15"/>
        </w:rPr>
      </w:pPr>
    </w:p>
    <w:p>
      <w:pPr>
        <w:pStyle w:val="BodyText"/>
        <w:spacing w:line="417" w:lineRule="auto"/>
        <w:ind w:left="960" w:right="3230"/>
      </w:pPr>
      <w:r>
        <w:rPr>
          <w:spacing w:val="-6"/>
        </w:rPr>
        <w:t>住所：北京市西城区金融街 </w:t>
      </w:r>
      <w:r>
        <w:rPr>
          <w:rFonts w:ascii="Times New Roman" w:eastAsia="Times New Roman"/>
        </w:rPr>
        <w:t>19</w:t>
      </w:r>
      <w:r>
        <w:rPr>
          <w:rFonts w:ascii="Times New Roman" w:eastAsia="Times New Roman"/>
          <w:spacing w:val="18"/>
        </w:rPr>
        <w:t> </w:t>
      </w:r>
      <w:r>
        <w:rPr>
          <w:spacing w:val="7"/>
        </w:rPr>
        <w:t>号富凯大厦</w:t>
      </w:r>
      <w:r>
        <w:rPr>
          <w:rFonts w:ascii="Times New Roman" w:eastAsia="Times New Roman"/>
        </w:rPr>
        <w:t>B</w:t>
      </w:r>
      <w:r>
        <w:rPr>
          <w:rFonts w:ascii="Times New Roman" w:eastAsia="Times New Roman"/>
          <w:spacing w:val="23"/>
        </w:rPr>
        <w:t> </w:t>
      </w:r>
      <w:r>
        <w:rPr>
          <w:spacing w:val="-16"/>
        </w:rPr>
        <w:t>座 </w:t>
      </w:r>
      <w:r>
        <w:rPr>
          <w:rFonts w:ascii="Times New Roman" w:eastAsia="Times New Roman"/>
        </w:rPr>
        <w:t>701 </w:t>
      </w:r>
      <w:r>
        <w:rPr>
          <w:spacing w:val="-6"/>
        </w:rPr>
        <w:t>办公地址：北京市西城区新街口外大街 </w:t>
      </w:r>
      <w:r>
        <w:rPr>
          <w:rFonts w:ascii="Times New Roman" w:eastAsia="Times New Roman"/>
        </w:rPr>
        <w:t>28</w:t>
      </w:r>
      <w:r>
        <w:rPr>
          <w:rFonts w:ascii="Times New Roman" w:eastAsia="Times New Roman"/>
          <w:spacing w:val="5"/>
        </w:rPr>
        <w:t> </w:t>
      </w:r>
      <w:r>
        <w:rPr>
          <w:spacing w:val="50"/>
        </w:rPr>
        <w:t>号</w:t>
      </w:r>
      <w:r>
        <w:rPr>
          <w:rFonts w:ascii="Times New Roman" w:eastAsia="Times New Roman"/>
        </w:rPr>
        <w:t>C</w:t>
      </w:r>
      <w:r>
        <w:rPr>
          <w:rFonts w:ascii="Times New Roman" w:eastAsia="Times New Roman"/>
          <w:spacing w:val="2"/>
        </w:rPr>
        <w:t> </w:t>
      </w:r>
      <w:r>
        <w:rPr>
          <w:spacing w:val="-25"/>
        </w:rPr>
        <w:t>座 </w:t>
      </w:r>
      <w:r>
        <w:rPr>
          <w:rFonts w:ascii="Times New Roman" w:eastAsia="Times New Roman"/>
        </w:rPr>
        <w:t>5</w:t>
      </w:r>
      <w:r>
        <w:rPr>
          <w:rFonts w:ascii="Times New Roman" w:eastAsia="Times New Roman"/>
          <w:spacing w:val="2"/>
        </w:rPr>
        <w:t> </w:t>
      </w:r>
      <w:r>
        <w:rPr/>
        <w:t>层</w:t>
      </w:r>
      <w:r>
        <w:rPr>
          <w:spacing w:val="-3"/>
        </w:rPr>
        <w:t>法定代表人：林义相</w:t>
      </w:r>
    </w:p>
    <w:p>
      <w:pPr>
        <w:pStyle w:val="BodyText"/>
        <w:spacing w:line="417" w:lineRule="auto"/>
        <w:ind w:left="960" w:right="634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960"/>
      </w:pPr>
      <w:r>
        <w:rPr/>
        <w:t>联系人：尹伶</w:t>
      </w:r>
    </w:p>
    <w:p>
      <w:pPr>
        <w:pStyle w:val="BodyText"/>
        <w:spacing w:before="7"/>
        <w:rPr>
          <w:sz w:val="15"/>
        </w:rPr>
      </w:pPr>
    </w:p>
    <w:p>
      <w:pPr>
        <w:pStyle w:val="BodyText"/>
        <w:ind w:left="960"/>
        <w:rPr>
          <w:rFonts w:ascii="Times New Roman" w:eastAsia="Times New Roman"/>
        </w:rPr>
      </w:pPr>
      <w:r>
        <w:rPr/>
        <w:t>网址：</w:t>
      </w:r>
      <w:hyperlink r:id="rId33">
        <w:r>
          <w:rPr>
            <w:rFonts w:ascii="Times New Roman" w:eastAsia="Times New Roman"/>
          </w:rPr>
          <w:t>www.txsec.com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010-66045678</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7"/>
        <w:rPr>
          <w:sz w:val="15"/>
        </w:rPr>
      </w:pPr>
    </w:p>
    <w:p>
      <w:pPr>
        <w:pStyle w:val="BodyText"/>
        <w:ind w:left="96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7"/>
        <w:rPr>
          <w:sz w:val="15"/>
        </w:rPr>
      </w:pPr>
    </w:p>
    <w:p>
      <w:pPr>
        <w:pStyle w:val="BodyText"/>
        <w:spacing w:line="417" w:lineRule="auto"/>
        <w:ind w:left="960" w:right="284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17" w:lineRule="auto"/>
        <w:ind w:left="960" w:right="634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spacing w:line="269" w:lineRule="exact"/>
        <w:ind w:left="960"/>
      </w:pPr>
      <w:r>
        <w:rPr/>
        <w:t>联系人：阮志凌</w:t>
      </w:r>
    </w:p>
    <w:p>
      <w:pPr>
        <w:pStyle w:val="BodyText"/>
        <w:spacing w:before="7"/>
        <w:rPr>
          <w:sz w:val="15"/>
        </w:rPr>
      </w:pPr>
    </w:p>
    <w:p>
      <w:pPr>
        <w:pStyle w:val="BodyText"/>
        <w:ind w:left="960"/>
        <w:rPr>
          <w:rFonts w:ascii="Times New Roman" w:eastAsia="Times New Roman"/>
        </w:rPr>
      </w:pPr>
      <w:r>
        <w:rPr/>
        <w:t>网址：</w:t>
      </w:r>
      <w:hyperlink r:id="rId34">
        <w:r>
          <w:rPr>
            <w:rFonts w:ascii="Times New Roman" w:eastAsia="Times New Roman"/>
          </w:rPr>
          <w:t>www.9ifund.com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400-158-5050</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深圳市新兰德证券投资咨询有限公司</w:t>
      </w:r>
    </w:p>
    <w:p>
      <w:pPr>
        <w:pStyle w:val="BodyText"/>
        <w:spacing w:before="6"/>
        <w:rPr>
          <w:sz w:val="15"/>
        </w:rPr>
      </w:pPr>
    </w:p>
    <w:p>
      <w:pPr>
        <w:pStyle w:val="BodyText"/>
        <w:spacing w:before="1"/>
        <w:ind w:left="96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3"/>
        <w:rPr>
          <w:rFonts w:ascii="Times New Roman"/>
          <w:sz w:val="17"/>
        </w:rPr>
      </w:pPr>
    </w:p>
    <w:p>
      <w:pPr>
        <w:pStyle w:val="BodyText"/>
        <w:spacing w:line="417" w:lineRule="auto"/>
        <w:ind w:left="960" w:right="274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spacing w:line="417" w:lineRule="auto"/>
        <w:ind w:left="960" w:right="634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ind w:left="960"/>
      </w:pPr>
      <w:r>
        <w:rPr/>
        <w:t>联系人：文雯</w:t>
      </w:r>
    </w:p>
    <w:p>
      <w:pPr>
        <w:spacing w:after="0"/>
        <w:sectPr>
          <w:pgSz w:w="11910" w:h="16840"/>
          <w:pgMar w:header="877" w:footer="995" w:top="1420" w:bottom="1180" w:left="1260" w:right="1480"/>
        </w:sectPr>
      </w:pPr>
    </w:p>
    <w:p>
      <w:pPr>
        <w:pStyle w:val="BodyText"/>
        <w:spacing w:before="110"/>
        <w:ind w:left="960"/>
        <w:rPr>
          <w:rFonts w:ascii="Times New Roman" w:eastAsia="Times New Roman"/>
        </w:rPr>
      </w:pPr>
      <w:r>
        <w:rPr/>
        <w:t>网址：</w:t>
      </w:r>
      <w:hyperlink r:id="rId35">
        <w:r>
          <w:rPr>
            <w:rFonts w:ascii="Times New Roman" w:eastAsia="Times New Roman"/>
          </w:rPr>
          <w:t>http://8.jrj.com.cn/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10"/>
        </w:numPr>
        <w:tabs>
          <w:tab w:pos="1595" w:val="left" w:leader="none"/>
        </w:tabs>
        <w:spacing w:line="240" w:lineRule="auto" w:before="1" w:after="0"/>
        <w:ind w:left="1595" w:right="0" w:hanging="635"/>
        <w:jc w:val="left"/>
        <w:rPr>
          <w:sz w:val="21"/>
        </w:rPr>
      </w:pPr>
      <w:r>
        <w:rPr>
          <w:spacing w:val="-3"/>
          <w:sz w:val="21"/>
        </w:rPr>
        <w:t>江苏汇林保大基金销售有限公司</w:t>
      </w:r>
    </w:p>
    <w:p>
      <w:pPr>
        <w:pStyle w:val="BodyText"/>
        <w:spacing w:before="6"/>
        <w:rPr>
          <w:sz w:val="15"/>
        </w:rPr>
      </w:pPr>
    </w:p>
    <w:p>
      <w:pPr>
        <w:pStyle w:val="BodyText"/>
        <w:ind w:left="960"/>
      </w:pPr>
      <w:r>
        <w:rPr/>
        <w:t>住所：南京市高淳区经济开发区古檀大道 </w:t>
      </w:r>
      <w:r>
        <w:rPr>
          <w:rFonts w:ascii="Times New Roman" w:eastAsia="Times New Roman"/>
        </w:rPr>
        <w:t>47 </w:t>
      </w:r>
      <w:r>
        <w:rPr/>
        <w:t>号</w:t>
      </w:r>
    </w:p>
    <w:p>
      <w:pPr>
        <w:pStyle w:val="BodyText"/>
        <w:spacing w:before="7"/>
        <w:rPr>
          <w:sz w:val="15"/>
        </w:rPr>
      </w:pPr>
    </w:p>
    <w:p>
      <w:pPr>
        <w:pStyle w:val="BodyText"/>
        <w:spacing w:line="417" w:lineRule="auto"/>
        <w:ind w:left="960" w:right="263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spacing w:line="269" w:lineRule="exact"/>
        <w:ind w:left="96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4"/>
        <w:rPr>
          <w:rFonts w:ascii="Times New Roman"/>
          <w:sz w:val="17"/>
        </w:rPr>
      </w:pPr>
    </w:p>
    <w:p>
      <w:pPr>
        <w:pStyle w:val="BodyText"/>
        <w:ind w:left="960"/>
      </w:pPr>
      <w:r>
        <w:rPr/>
        <w:t>联系人：孙平</w:t>
      </w:r>
    </w:p>
    <w:p>
      <w:pPr>
        <w:pStyle w:val="BodyText"/>
        <w:spacing w:before="7"/>
        <w:rPr>
          <w:sz w:val="15"/>
        </w:rPr>
      </w:pPr>
    </w:p>
    <w:p>
      <w:pPr>
        <w:pStyle w:val="BodyText"/>
        <w:ind w:left="960"/>
        <w:rPr>
          <w:rFonts w:ascii="Times New Roman" w:eastAsia="Times New Roman"/>
        </w:rPr>
      </w:pPr>
      <w:r>
        <w:rPr/>
        <w:t>网址：</w:t>
      </w:r>
      <w:hyperlink r:id="rId36">
        <w:r>
          <w:rPr>
            <w:rFonts w:ascii="Times New Roman" w:eastAsia="Times New Roman"/>
          </w:rPr>
          <w:t>www.huilinbd.com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025-66046166</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上海挖财基金销售有限公司</w:t>
      </w:r>
    </w:p>
    <w:p>
      <w:pPr>
        <w:pStyle w:val="BodyText"/>
        <w:spacing w:before="6"/>
        <w:rPr>
          <w:sz w:val="15"/>
        </w:rPr>
      </w:pPr>
    </w:p>
    <w:p>
      <w:pPr>
        <w:pStyle w:val="BodyText"/>
        <w:spacing w:before="1"/>
        <w:ind w:left="96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6"/>
        <w:rPr>
          <w:sz w:val="15"/>
        </w:rPr>
      </w:pPr>
    </w:p>
    <w:p>
      <w:pPr>
        <w:pStyle w:val="BodyText"/>
        <w:spacing w:line="417" w:lineRule="auto"/>
        <w:ind w:left="960" w:right="116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17" w:lineRule="auto"/>
        <w:ind w:left="960" w:right="634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960"/>
      </w:pPr>
      <w:r>
        <w:rPr/>
        <w:t>联系人：李娟</w:t>
      </w:r>
    </w:p>
    <w:p>
      <w:pPr>
        <w:pStyle w:val="BodyText"/>
        <w:spacing w:before="7"/>
        <w:rPr>
          <w:sz w:val="15"/>
        </w:rPr>
      </w:pPr>
    </w:p>
    <w:p>
      <w:pPr>
        <w:pStyle w:val="BodyText"/>
        <w:ind w:left="960"/>
        <w:rPr>
          <w:rFonts w:ascii="Times New Roman" w:eastAsia="Times New Roman"/>
        </w:rPr>
      </w:pPr>
      <w:r>
        <w:rPr/>
        <w:t>网址：</w:t>
      </w:r>
      <w:hyperlink r:id="rId37">
        <w:r>
          <w:rPr>
            <w:rFonts w:ascii="Times New Roman" w:eastAsia="Times New Roman"/>
          </w:rPr>
          <w:t>www.wacaijijin.com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喜鹊财富基金销售有限公司</w:t>
      </w:r>
    </w:p>
    <w:p>
      <w:pPr>
        <w:pStyle w:val="BodyText"/>
        <w:spacing w:before="7"/>
        <w:rPr>
          <w:sz w:val="15"/>
        </w:rPr>
      </w:pPr>
    </w:p>
    <w:p>
      <w:pPr>
        <w:pStyle w:val="BodyText"/>
        <w:ind w:left="960"/>
      </w:pPr>
      <w:r>
        <w:rPr/>
        <w:t>住所：西藏拉萨市柳梧新区柳梧大厦 </w:t>
      </w:r>
      <w:r>
        <w:rPr>
          <w:rFonts w:ascii="Times New Roman" w:eastAsia="Times New Roman"/>
        </w:rPr>
        <w:t>1513 </w:t>
      </w:r>
      <w:r>
        <w:rPr/>
        <w:t>室</w:t>
      </w:r>
    </w:p>
    <w:p>
      <w:pPr>
        <w:pStyle w:val="BodyText"/>
        <w:spacing w:before="7"/>
        <w:rPr>
          <w:sz w:val="15"/>
        </w:rPr>
      </w:pPr>
    </w:p>
    <w:p>
      <w:pPr>
        <w:pStyle w:val="BodyText"/>
        <w:spacing w:line="417" w:lineRule="auto"/>
        <w:ind w:left="960" w:right="3622"/>
      </w:pPr>
      <w:r>
        <w:rPr/>
        <w:t>办公地址：西藏拉萨市柳梧新区柳梧大厦 </w:t>
      </w:r>
      <w:r>
        <w:rPr>
          <w:rFonts w:ascii="Times New Roman" w:eastAsia="Times New Roman"/>
        </w:rPr>
        <w:t>1513 </w:t>
      </w:r>
      <w:r>
        <w:rPr/>
        <w:t>室法定代表人：陈皓</w:t>
      </w:r>
    </w:p>
    <w:p>
      <w:pPr>
        <w:pStyle w:val="BodyText"/>
        <w:spacing w:line="417" w:lineRule="auto"/>
        <w:ind w:left="960" w:right="513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960"/>
      </w:pPr>
      <w:r>
        <w:rPr/>
        <w:t>联系人：张萌</w:t>
      </w:r>
    </w:p>
    <w:p>
      <w:pPr>
        <w:pStyle w:val="BodyText"/>
        <w:spacing w:before="6"/>
        <w:rPr>
          <w:sz w:val="15"/>
        </w:rPr>
      </w:pPr>
    </w:p>
    <w:p>
      <w:pPr>
        <w:pStyle w:val="BodyText"/>
        <w:spacing w:before="1"/>
        <w:ind w:left="960"/>
        <w:rPr>
          <w:rFonts w:ascii="Times New Roman" w:eastAsia="Times New Roman"/>
        </w:rPr>
      </w:pPr>
      <w:r>
        <w:rPr/>
        <w:t>网址：</w:t>
      </w:r>
      <w:hyperlink r:id="rId38">
        <w:r>
          <w:rPr>
            <w:rFonts w:ascii="Times New Roman" w:eastAsia="Times New Roman"/>
          </w:rPr>
          <w:t>www.xiquefund.com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400-699-7719</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北京度小满基金销售有限公司</w:t>
      </w:r>
    </w:p>
    <w:p>
      <w:pPr>
        <w:pStyle w:val="BodyText"/>
        <w:spacing w:before="6"/>
        <w:rPr>
          <w:sz w:val="15"/>
        </w:rPr>
      </w:pPr>
    </w:p>
    <w:p>
      <w:pPr>
        <w:pStyle w:val="BodyText"/>
        <w:spacing w:before="1"/>
        <w:ind w:left="96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spacing w:after="0"/>
        <w:sectPr>
          <w:pgSz w:w="11910" w:h="16840"/>
          <w:pgMar w:header="877" w:footer="995" w:top="1420" w:bottom="1180" w:left="1260" w:right="1480"/>
        </w:sectPr>
      </w:pPr>
    </w:p>
    <w:p>
      <w:pPr>
        <w:pStyle w:val="BodyText"/>
        <w:spacing w:line="417" w:lineRule="auto" w:before="110"/>
        <w:ind w:left="960" w:right="305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960" w:right="634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spacing w:line="269" w:lineRule="exact"/>
        <w:ind w:left="960"/>
      </w:pPr>
      <w:r>
        <w:rPr/>
        <w:t>联系人：孙博超</w:t>
      </w:r>
    </w:p>
    <w:p>
      <w:pPr>
        <w:pStyle w:val="BodyText"/>
        <w:spacing w:before="6"/>
        <w:rPr>
          <w:sz w:val="15"/>
        </w:rPr>
      </w:pPr>
    </w:p>
    <w:p>
      <w:pPr>
        <w:pStyle w:val="BodyText"/>
        <w:spacing w:line="417" w:lineRule="auto"/>
        <w:ind w:left="960" w:right="5606"/>
        <w:rPr>
          <w:rFonts w:ascii="Times New Roman" w:eastAsia="Times New Roman"/>
        </w:rPr>
      </w:pPr>
      <w:r>
        <w:rPr/>
        <w:t>网址：</w:t>
      </w:r>
      <w:hyperlink r:id="rId39">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诺亚正行基金销售有限公司</w:t>
      </w:r>
    </w:p>
    <w:p>
      <w:pPr>
        <w:pStyle w:val="BodyText"/>
        <w:spacing w:before="7"/>
        <w:rPr>
          <w:sz w:val="15"/>
        </w:rPr>
      </w:pPr>
    </w:p>
    <w:p>
      <w:pPr>
        <w:pStyle w:val="BodyText"/>
        <w:ind w:left="96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7"/>
        <w:rPr>
          <w:sz w:val="15"/>
        </w:rPr>
      </w:pPr>
    </w:p>
    <w:p>
      <w:pPr>
        <w:pStyle w:val="BodyText"/>
        <w:spacing w:line="417" w:lineRule="auto"/>
        <w:ind w:left="960" w:right="274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960" w:right="634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960"/>
      </w:pPr>
      <w:r>
        <w:rPr/>
        <w:t>联系人：张裕</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40">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深圳众禄基金销售股份有限公司</w:t>
      </w:r>
    </w:p>
    <w:p>
      <w:pPr>
        <w:pStyle w:val="BodyText"/>
        <w:spacing w:before="6"/>
        <w:rPr>
          <w:sz w:val="15"/>
        </w:rPr>
      </w:pPr>
    </w:p>
    <w:p>
      <w:pPr>
        <w:pStyle w:val="BodyText"/>
        <w:ind w:left="96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4"/>
        <w:rPr>
          <w:rFonts w:ascii="Times New Roman"/>
          <w:sz w:val="17"/>
        </w:rPr>
      </w:pPr>
    </w:p>
    <w:p>
      <w:pPr>
        <w:pStyle w:val="BodyText"/>
        <w:ind w:left="96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spacing w:line="417" w:lineRule="auto"/>
        <w:ind w:left="960" w:right="617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ind w:left="960"/>
      </w:pPr>
      <w:r>
        <w:rPr/>
        <w:t>联系人：童彩平</w:t>
      </w:r>
    </w:p>
    <w:p>
      <w:pPr>
        <w:pStyle w:val="BodyText"/>
        <w:spacing w:before="7"/>
        <w:rPr>
          <w:sz w:val="15"/>
        </w:rPr>
      </w:pPr>
    </w:p>
    <w:p>
      <w:pPr>
        <w:pStyle w:val="BodyText"/>
        <w:ind w:left="960"/>
        <w:rPr>
          <w:rFonts w:ascii="Times New Roman" w:eastAsia="Times New Roman"/>
        </w:rPr>
      </w:pPr>
      <w:r>
        <w:rPr/>
        <w:t>网址：</w:t>
      </w:r>
      <w:hyperlink r:id="rId41">
        <w:r>
          <w:rPr>
            <w:rFonts w:ascii="Times New Roman" w:eastAsia="Times New Roman"/>
          </w:rPr>
          <w:t>www.zlfund.cn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上海天天基金销售有限公司</w:t>
      </w:r>
    </w:p>
    <w:p>
      <w:pPr>
        <w:pStyle w:val="BodyText"/>
        <w:spacing w:before="7"/>
        <w:rPr>
          <w:sz w:val="15"/>
        </w:rPr>
      </w:pPr>
    </w:p>
    <w:p>
      <w:pPr>
        <w:pStyle w:val="BodyText"/>
        <w:ind w:left="96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6"/>
        <w:rPr>
          <w:sz w:val="15"/>
        </w:rPr>
      </w:pPr>
    </w:p>
    <w:p>
      <w:pPr>
        <w:pStyle w:val="BodyText"/>
        <w:spacing w:line="417" w:lineRule="auto" w:before="1"/>
        <w:ind w:left="960" w:right="2782"/>
      </w:pPr>
      <w:r>
        <w:rPr/>
        <w:t>办公地址：上海市徐汇区宛平南路 </w:t>
      </w:r>
      <w:r>
        <w:rPr>
          <w:rFonts w:ascii="Times New Roman" w:eastAsia="Times New Roman"/>
        </w:rPr>
        <w:t>88 </w:t>
      </w:r>
      <w:r>
        <w:rPr/>
        <w:t>号金座东方财富大厦法定代表人：其实</w:t>
      </w:r>
    </w:p>
    <w:p>
      <w:pPr>
        <w:pStyle w:val="BodyText"/>
        <w:ind w:left="960"/>
        <w:rPr>
          <w:rFonts w:ascii="Times New Roman" w:eastAsia="Times New Roman"/>
        </w:rPr>
      </w:pPr>
      <w:r>
        <w:rPr/>
        <w:t>电话：</w:t>
      </w:r>
      <w:r>
        <w:rPr>
          <w:rFonts w:ascii="Times New Roman" w:eastAsia="Times New Roman"/>
        </w:rPr>
        <w:t>95021</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960"/>
      </w:pPr>
      <w:r>
        <w:rPr/>
        <w:t>联系人：屠彦洋</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42">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上海好买基金销售有限公司</w:t>
      </w:r>
    </w:p>
    <w:p>
      <w:pPr>
        <w:pStyle w:val="BodyText"/>
        <w:spacing w:before="6"/>
        <w:rPr>
          <w:sz w:val="15"/>
        </w:rPr>
      </w:pPr>
    </w:p>
    <w:p>
      <w:pPr>
        <w:pStyle w:val="BodyText"/>
        <w:spacing w:before="1"/>
        <w:ind w:left="96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6"/>
        <w:rPr>
          <w:sz w:val="15"/>
        </w:rPr>
      </w:pPr>
    </w:p>
    <w:p>
      <w:pPr>
        <w:pStyle w:val="BodyText"/>
        <w:spacing w:line="417" w:lineRule="auto"/>
        <w:ind w:left="960" w:right="137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before="1"/>
        <w:ind w:left="960" w:right="634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960"/>
      </w:pPr>
      <w:r>
        <w:rPr/>
        <w:t>联系人：周天雪</w:t>
      </w:r>
    </w:p>
    <w:p>
      <w:pPr>
        <w:pStyle w:val="BodyText"/>
        <w:spacing w:before="6"/>
        <w:rPr>
          <w:sz w:val="15"/>
        </w:rPr>
      </w:pPr>
    </w:p>
    <w:p>
      <w:pPr>
        <w:pStyle w:val="BodyText"/>
        <w:ind w:left="960"/>
        <w:rPr>
          <w:rFonts w:ascii="Times New Roman" w:eastAsia="Times New Roman"/>
        </w:rPr>
      </w:pPr>
      <w:r>
        <w:rPr/>
        <w:t>网址：</w:t>
      </w:r>
      <w:hyperlink r:id="rId43">
        <w:r>
          <w:rPr>
            <w:rFonts w:ascii="Times New Roman" w:eastAsia="Times New Roman"/>
          </w:rPr>
          <w:t>www.ehowbuy.com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960" w:right="189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spacing w:line="269" w:lineRule="exact"/>
        <w:ind w:left="960"/>
        <w:rPr>
          <w:rFonts w:ascii="Times New Roman" w:eastAsia="Times New Roman"/>
        </w:rPr>
      </w:pPr>
      <w:r>
        <w:rPr/>
        <w:t>电话：</w:t>
      </w:r>
      <w:r>
        <w:rPr>
          <w:rFonts w:ascii="Times New Roman" w:eastAsia="Times New Roman"/>
        </w:rPr>
        <w:t>18205712248</w:t>
      </w:r>
    </w:p>
    <w:p>
      <w:pPr>
        <w:pStyle w:val="BodyText"/>
        <w:spacing w:before="4"/>
        <w:rPr>
          <w:rFonts w:ascii="Times New Roman"/>
          <w:sz w:val="17"/>
        </w:rPr>
      </w:pPr>
    </w:p>
    <w:p>
      <w:pPr>
        <w:pStyle w:val="BodyText"/>
        <w:ind w:left="960"/>
      </w:pPr>
      <w:r>
        <w:rPr/>
        <w:t>联系人：韩爱斌</w:t>
      </w:r>
    </w:p>
    <w:p>
      <w:pPr>
        <w:pStyle w:val="BodyText"/>
        <w:spacing w:before="6"/>
        <w:rPr>
          <w:sz w:val="15"/>
        </w:rPr>
      </w:pPr>
    </w:p>
    <w:p>
      <w:pPr>
        <w:pStyle w:val="BodyText"/>
        <w:spacing w:before="1"/>
        <w:ind w:left="960"/>
        <w:rPr>
          <w:rFonts w:ascii="Times New Roman" w:eastAsia="Times New Roman"/>
        </w:rPr>
      </w:pPr>
      <w:r>
        <w:rPr/>
        <w:t>网址：</w:t>
      </w:r>
      <w:hyperlink r:id="rId44">
        <w:r>
          <w:rPr>
            <w:rFonts w:ascii="Times New Roman" w:eastAsia="Times New Roman"/>
          </w:rPr>
          <w:t>www.fund123.cn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4000-766-123</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上海长量基金销售有限公司</w:t>
      </w:r>
    </w:p>
    <w:p>
      <w:pPr>
        <w:pStyle w:val="BodyText"/>
        <w:spacing w:before="7"/>
        <w:rPr>
          <w:sz w:val="15"/>
        </w:rPr>
      </w:pPr>
    </w:p>
    <w:p>
      <w:pPr>
        <w:pStyle w:val="BodyText"/>
        <w:ind w:left="96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6"/>
        <w:rPr>
          <w:sz w:val="15"/>
        </w:rPr>
      </w:pPr>
    </w:p>
    <w:p>
      <w:pPr>
        <w:pStyle w:val="BodyText"/>
        <w:spacing w:line="417" w:lineRule="auto" w:before="1"/>
        <w:ind w:left="960" w:right="238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960" w:right="634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ind w:left="960"/>
      </w:pPr>
      <w:r>
        <w:rPr/>
        <w:t>联系人：黄辉</w:t>
      </w:r>
    </w:p>
    <w:p>
      <w:pPr>
        <w:pStyle w:val="BodyText"/>
        <w:spacing w:before="6"/>
        <w:rPr>
          <w:sz w:val="15"/>
        </w:rPr>
      </w:pPr>
    </w:p>
    <w:p>
      <w:pPr>
        <w:pStyle w:val="BodyText"/>
        <w:spacing w:before="1"/>
        <w:ind w:left="960"/>
        <w:rPr>
          <w:rFonts w:ascii="Times New Roman" w:eastAsia="Times New Roman"/>
        </w:rPr>
      </w:pPr>
      <w:r>
        <w:rPr/>
        <w:t>网址：</w:t>
      </w:r>
      <w:hyperlink r:id="rId45">
        <w:r>
          <w:rPr>
            <w:rFonts w:ascii="Times New Roman" w:eastAsia="Times New Roman"/>
          </w:rPr>
          <w:t>www.erichfund.com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400-820-2899</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10"/>
        </w:numPr>
        <w:tabs>
          <w:tab w:pos="1595" w:val="left" w:leader="none"/>
        </w:tabs>
        <w:spacing w:line="240" w:lineRule="auto" w:before="110" w:after="0"/>
        <w:ind w:left="1595" w:right="0" w:hanging="635"/>
        <w:jc w:val="left"/>
        <w:rPr>
          <w:sz w:val="21"/>
        </w:rPr>
      </w:pPr>
      <w:r>
        <w:rPr>
          <w:spacing w:val="-3"/>
          <w:sz w:val="21"/>
        </w:rPr>
        <w:t>浙江同花顺基金销售有限公司</w:t>
      </w:r>
    </w:p>
    <w:p>
      <w:pPr>
        <w:pStyle w:val="BodyText"/>
        <w:spacing w:before="6"/>
        <w:rPr>
          <w:sz w:val="15"/>
        </w:rPr>
      </w:pPr>
    </w:p>
    <w:p>
      <w:pPr>
        <w:pStyle w:val="BodyText"/>
        <w:ind w:left="960"/>
      </w:pPr>
      <w:r>
        <w:rPr/>
        <w:t>住所：浙江省杭州市文二西路一号元茂大厦 </w:t>
      </w:r>
      <w:r>
        <w:rPr>
          <w:rFonts w:ascii="Times New Roman" w:eastAsia="Times New Roman"/>
        </w:rPr>
        <w:t>903 </w:t>
      </w:r>
      <w:r>
        <w:rPr/>
        <w:t>室</w:t>
      </w:r>
    </w:p>
    <w:p>
      <w:pPr>
        <w:pStyle w:val="BodyText"/>
        <w:spacing w:before="7"/>
        <w:rPr>
          <w:sz w:val="15"/>
        </w:rPr>
      </w:pPr>
    </w:p>
    <w:p>
      <w:pPr>
        <w:pStyle w:val="BodyText"/>
        <w:spacing w:line="417" w:lineRule="auto"/>
        <w:ind w:left="960" w:right="179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ind w:left="960" w:right="576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960"/>
      </w:pPr>
      <w:r>
        <w:rPr/>
        <w:t>联系人：吴强</w:t>
      </w:r>
    </w:p>
    <w:p>
      <w:pPr>
        <w:pStyle w:val="BodyText"/>
        <w:spacing w:before="7"/>
        <w:rPr>
          <w:sz w:val="15"/>
        </w:rPr>
      </w:pPr>
    </w:p>
    <w:p>
      <w:pPr>
        <w:pStyle w:val="BodyText"/>
        <w:ind w:left="960"/>
        <w:rPr>
          <w:rFonts w:ascii="Times New Roman" w:eastAsia="Times New Roman"/>
        </w:rPr>
      </w:pPr>
      <w:r>
        <w:rPr/>
        <w:t>网址：</w:t>
      </w:r>
      <w:hyperlink r:id="rId46">
        <w:r>
          <w:rPr>
            <w:rFonts w:ascii="Times New Roman" w:eastAsia="Times New Roman"/>
          </w:rPr>
          <w:t>www.5ifund.com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北京展恒基金销售有限公司</w:t>
      </w:r>
    </w:p>
    <w:p>
      <w:pPr>
        <w:pStyle w:val="BodyText"/>
        <w:spacing w:before="7"/>
        <w:rPr>
          <w:sz w:val="15"/>
        </w:rPr>
      </w:pPr>
    </w:p>
    <w:p>
      <w:pPr>
        <w:pStyle w:val="BodyText"/>
        <w:ind w:left="960"/>
      </w:pPr>
      <w:r>
        <w:rPr/>
        <w:t>住所：北京市顺义区后沙峪镇安富街 </w:t>
      </w:r>
      <w:r>
        <w:rPr>
          <w:rFonts w:ascii="Times New Roman" w:eastAsia="Times New Roman"/>
        </w:rPr>
        <w:t>6 </w:t>
      </w:r>
      <w:r>
        <w:rPr/>
        <w:t>号</w:t>
      </w:r>
    </w:p>
    <w:p>
      <w:pPr>
        <w:pStyle w:val="BodyText"/>
        <w:spacing w:before="6"/>
        <w:rPr>
          <w:sz w:val="15"/>
        </w:rPr>
      </w:pPr>
    </w:p>
    <w:p>
      <w:pPr>
        <w:pStyle w:val="BodyText"/>
        <w:spacing w:line="417" w:lineRule="auto" w:before="1"/>
        <w:ind w:left="960" w:right="3369"/>
      </w:pPr>
      <w:r>
        <w:rPr>
          <w:spacing w:val="-6"/>
        </w:rPr>
        <w:t>办公地址：北京市朝阳区华严北里 </w:t>
      </w:r>
      <w:r>
        <w:rPr>
          <w:rFonts w:ascii="Times New Roman" w:eastAsia="Times New Roman"/>
        </w:rPr>
        <w:t>2</w:t>
      </w:r>
      <w:r>
        <w:rPr>
          <w:rFonts w:ascii="Times New Roman" w:eastAsia="Times New Roman"/>
          <w:spacing w:val="3"/>
        </w:rPr>
        <w:t> </w:t>
      </w:r>
      <w:r>
        <w:rPr>
          <w:spacing w:val="-11"/>
        </w:rPr>
        <w:t>号民建大厦 </w:t>
      </w:r>
      <w:r>
        <w:rPr>
          <w:rFonts w:ascii="Times New Roman" w:eastAsia="Times New Roman"/>
        </w:rPr>
        <w:t>6</w:t>
      </w:r>
      <w:r>
        <w:rPr>
          <w:rFonts w:ascii="Times New Roman" w:eastAsia="Times New Roman"/>
          <w:spacing w:val="3"/>
        </w:rPr>
        <w:t> </w:t>
      </w:r>
      <w:r>
        <w:rPr/>
        <w:t>层</w:t>
      </w:r>
      <w:r>
        <w:rPr>
          <w:spacing w:val="-3"/>
        </w:rPr>
        <w:t>法定代表人：闫振杰</w:t>
      </w:r>
    </w:p>
    <w:p>
      <w:pPr>
        <w:pStyle w:val="BodyText"/>
        <w:spacing w:line="417" w:lineRule="auto"/>
        <w:ind w:left="960" w:right="585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ind w:left="960"/>
      </w:pPr>
      <w:r>
        <w:rPr/>
        <w:t>联系人：翟飞飞</w:t>
      </w:r>
    </w:p>
    <w:p>
      <w:pPr>
        <w:pStyle w:val="BodyText"/>
        <w:spacing w:before="6"/>
        <w:rPr>
          <w:sz w:val="15"/>
        </w:rPr>
      </w:pPr>
    </w:p>
    <w:p>
      <w:pPr>
        <w:pStyle w:val="BodyText"/>
        <w:ind w:left="960"/>
        <w:rPr>
          <w:rFonts w:ascii="Times New Roman" w:eastAsia="Times New Roman"/>
        </w:rPr>
      </w:pPr>
      <w:r>
        <w:rPr/>
        <w:t>网址：</w:t>
      </w:r>
      <w:hyperlink r:id="rId47">
        <w:r>
          <w:rPr>
            <w:rFonts w:ascii="Times New Roman" w:eastAsia="Times New Roman"/>
          </w:rPr>
          <w:t>www.myfund.com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400-888-6661</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上海利得基金销售有限公司</w:t>
      </w:r>
    </w:p>
    <w:p>
      <w:pPr>
        <w:pStyle w:val="BodyText"/>
        <w:spacing w:before="7"/>
        <w:rPr>
          <w:sz w:val="15"/>
        </w:rPr>
      </w:pPr>
    </w:p>
    <w:p>
      <w:pPr>
        <w:pStyle w:val="BodyText"/>
        <w:ind w:left="96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6"/>
        <w:rPr>
          <w:sz w:val="15"/>
        </w:rPr>
      </w:pPr>
    </w:p>
    <w:p>
      <w:pPr>
        <w:pStyle w:val="BodyText"/>
        <w:spacing w:line="417" w:lineRule="auto" w:before="1"/>
        <w:ind w:left="960" w:right="378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960" w:right="634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960"/>
      </w:pPr>
      <w:r>
        <w:rPr/>
        <w:t>联系人：曹怡晨</w:t>
      </w:r>
    </w:p>
    <w:p>
      <w:pPr>
        <w:pStyle w:val="BodyText"/>
        <w:spacing w:before="6"/>
        <w:rPr>
          <w:sz w:val="15"/>
        </w:rPr>
      </w:pPr>
    </w:p>
    <w:p>
      <w:pPr>
        <w:pStyle w:val="BodyText"/>
        <w:spacing w:line="417" w:lineRule="auto" w:before="1"/>
        <w:ind w:left="960" w:right="5077"/>
        <w:rPr>
          <w:rFonts w:ascii="Times New Roman" w:eastAsia="Times New Roman"/>
        </w:rPr>
      </w:pPr>
      <w:r>
        <w:rPr/>
        <w:t>网址：</w:t>
      </w:r>
      <w:hyperlink r:id="rId48">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浙江金观诚基金销售有限公司</w:t>
      </w:r>
    </w:p>
    <w:p>
      <w:pPr>
        <w:pStyle w:val="BodyText"/>
        <w:spacing w:before="6"/>
        <w:rPr>
          <w:sz w:val="15"/>
        </w:rPr>
      </w:pPr>
    </w:p>
    <w:p>
      <w:pPr>
        <w:pStyle w:val="BodyText"/>
        <w:spacing w:before="1"/>
        <w:ind w:left="960"/>
      </w:pPr>
      <w:r>
        <w:rPr/>
        <w:t>住所：杭州市拱墅区登云路 </w:t>
      </w:r>
      <w:r>
        <w:rPr>
          <w:rFonts w:ascii="Times New Roman" w:eastAsia="Times New Roman"/>
        </w:rPr>
        <w:t>45 </w:t>
      </w:r>
      <w:r>
        <w:rPr/>
        <w:t>号（锦昌大厦）</w:t>
      </w:r>
      <w:r>
        <w:rPr>
          <w:rFonts w:ascii="Times New Roman" w:eastAsia="Times New Roman"/>
        </w:rPr>
        <w:t>1 </w:t>
      </w:r>
      <w:r>
        <w:rPr/>
        <w:t>幢 </w:t>
      </w:r>
      <w:r>
        <w:rPr>
          <w:rFonts w:ascii="Times New Roman" w:eastAsia="Times New Roman"/>
        </w:rPr>
        <w:t>10 </w:t>
      </w:r>
      <w:r>
        <w:rPr/>
        <w:t>楼 </w:t>
      </w:r>
      <w:r>
        <w:rPr>
          <w:rFonts w:ascii="Times New Roman" w:eastAsia="Times New Roman"/>
        </w:rPr>
        <w:t>1001 </w:t>
      </w:r>
      <w:r>
        <w:rPr/>
        <w:t>室</w:t>
      </w:r>
    </w:p>
    <w:p>
      <w:pPr>
        <w:pStyle w:val="BodyText"/>
        <w:spacing w:before="6"/>
        <w:rPr>
          <w:sz w:val="15"/>
        </w:rPr>
      </w:pPr>
    </w:p>
    <w:p>
      <w:pPr>
        <w:pStyle w:val="BodyText"/>
        <w:ind w:left="960"/>
      </w:pPr>
      <w:r>
        <w:rPr/>
        <w:t>办公地址：杭州市拱墅区登云路 </w:t>
      </w:r>
      <w:r>
        <w:rPr>
          <w:rFonts w:ascii="Times New Roman" w:eastAsia="Times New Roman"/>
        </w:rPr>
        <w:t>45 </w:t>
      </w:r>
      <w:r>
        <w:rPr/>
        <w:t>号锦昌大厦一楼金观诚财富</w:t>
      </w:r>
    </w:p>
    <w:p>
      <w:pPr>
        <w:spacing w:after="0"/>
        <w:sectPr>
          <w:pgSz w:w="11910" w:h="16840"/>
          <w:pgMar w:header="877" w:footer="995" w:top="1420" w:bottom="1180" w:left="1260" w:right="1480"/>
        </w:sectPr>
      </w:pPr>
    </w:p>
    <w:p>
      <w:pPr>
        <w:pStyle w:val="BodyText"/>
        <w:spacing w:line="417" w:lineRule="auto" w:before="110"/>
        <w:ind w:left="960" w:right="6240"/>
        <w:rPr>
          <w:rFonts w:ascii="Times New Roman" w:eastAsia="Times New Roman"/>
        </w:rPr>
      </w:pPr>
      <w:r>
        <w:rPr/>
        <w:t>法定代表人：徐黎云电话：</w:t>
      </w:r>
      <w:r>
        <w:rPr>
          <w:rFonts w:ascii="Times New Roman" w:eastAsia="Times New Roman"/>
        </w:rPr>
        <w:t>0571-88337717 </w:t>
      </w:r>
      <w:r>
        <w:rPr/>
        <w:t>传真：</w:t>
      </w:r>
      <w:r>
        <w:rPr>
          <w:rFonts w:ascii="Times New Roman" w:eastAsia="Times New Roman"/>
        </w:rPr>
        <w:t>0571-88337666</w:t>
      </w:r>
    </w:p>
    <w:p>
      <w:pPr>
        <w:pStyle w:val="BodyText"/>
        <w:spacing w:line="269" w:lineRule="exact"/>
        <w:ind w:left="960"/>
      </w:pPr>
      <w:r>
        <w:rPr/>
        <w:t>联系人：孙成岩</w:t>
      </w:r>
    </w:p>
    <w:p>
      <w:pPr>
        <w:pStyle w:val="BodyText"/>
        <w:spacing w:before="6"/>
        <w:rPr>
          <w:sz w:val="15"/>
        </w:rPr>
      </w:pPr>
    </w:p>
    <w:p>
      <w:pPr>
        <w:pStyle w:val="BodyText"/>
        <w:spacing w:line="417" w:lineRule="auto"/>
        <w:ind w:left="960" w:right="5442"/>
        <w:rPr>
          <w:rFonts w:ascii="Times New Roman" w:eastAsia="Times New Roman"/>
        </w:rPr>
      </w:pPr>
      <w:r>
        <w:rPr/>
        <w:t>网址：</w:t>
      </w:r>
      <w:hyperlink r:id="rId49">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嘉实财富管理有限公司</w:t>
      </w:r>
    </w:p>
    <w:p>
      <w:pPr>
        <w:pStyle w:val="BodyText"/>
        <w:spacing w:before="8"/>
        <w:rPr>
          <w:sz w:val="15"/>
        </w:rPr>
      </w:pPr>
    </w:p>
    <w:p>
      <w:pPr>
        <w:pStyle w:val="BodyText"/>
        <w:spacing w:line="417" w:lineRule="auto"/>
        <w:ind w:left="960" w:right="776"/>
      </w:pPr>
      <w:r>
        <w:rPr>
          <w:spacing w:val="-6"/>
        </w:rPr>
        <w:t>住所：上海市浦东新区世纪大道 </w:t>
      </w:r>
      <w:r>
        <w:rPr>
          <w:rFonts w:ascii="Times New Roman" w:eastAsia="Times New Roman"/>
        </w:rPr>
        <w:t>8 </w:t>
      </w:r>
      <w:r>
        <w:rPr>
          <w:spacing w:val="-7"/>
        </w:rPr>
        <w:t>号上海国金中心办公楼二期 </w:t>
      </w:r>
      <w:r>
        <w:rPr>
          <w:rFonts w:ascii="Times New Roman" w:eastAsia="Times New Roman"/>
        </w:rPr>
        <w:t>53 </w:t>
      </w:r>
      <w:r>
        <w:rPr>
          <w:spacing w:val="-24"/>
        </w:rPr>
        <w:t>层 </w:t>
      </w:r>
      <w:r>
        <w:rPr>
          <w:rFonts w:ascii="Times New Roman" w:eastAsia="Times New Roman"/>
        </w:rPr>
        <w:t>5312-15 </w:t>
      </w:r>
      <w:r>
        <w:rPr/>
        <w:t>单元</w:t>
      </w:r>
      <w:r>
        <w:rPr>
          <w:spacing w:val="-7"/>
        </w:rPr>
        <w:t>办公地址：北京市朝阳区建国路 </w:t>
      </w:r>
      <w:r>
        <w:rPr>
          <w:rFonts w:ascii="Times New Roman" w:eastAsia="Times New Roman"/>
        </w:rPr>
        <w:t>91 </w:t>
      </w:r>
      <w:r>
        <w:rPr>
          <w:spacing w:val="7"/>
        </w:rPr>
        <w:t>号金地中心</w:t>
      </w:r>
      <w:r>
        <w:rPr>
          <w:rFonts w:ascii="Times New Roman" w:eastAsia="Times New Roman"/>
        </w:rPr>
        <w:t>A </w:t>
      </w:r>
      <w:r>
        <w:rPr>
          <w:spacing w:val="-26"/>
        </w:rPr>
        <w:t>座 </w:t>
      </w:r>
      <w:r>
        <w:rPr>
          <w:rFonts w:ascii="Times New Roman" w:eastAsia="Times New Roman"/>
        </w:rPr>
        <w:t>6 </w:t>
      </w:r>
      <w:r>
        <w:rPr/>
        <w:t>层</w:t>
      </w:r>
    </w:p>
    <w:p>
      <w:pPr>
        <w:pStyle w:val="BodyText"/>
        <w:spacing w:line="417" w:lineRule="auto"/>
        <w:ind w:left="960" w:right="631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spacing w:line="269" w:lineRule="exact"/>
        <w:ind w:left="960"/>
      </w:pPr>
      <w:r>
        <w:rPr/>
        <w:t>联系人：余永键</w:t>
      </w:r>
    </w:p>
    <w:p>
      <w:pPr>
        <w:pStyle w:val="BodyText"/>
        <w:spacing w:before="6"/>
        <w:rPr>
          <w:sz w:val="15"/>
        </w:rPr>
      </w:pPr>
    </w:p>
    <w:p>
      <w:pPr>
        <w:pStyle w:val="BodyText"/>
        <w:ind w:left="960"/>
        <w:rPr>
          <w:rFonts w:ascii="Times New Roman" w:eastAsia="Times New Roman"/>
        </w:rPr>
      </w:pPr>
      <w:r>
        <w:rPr/>
        <w:t>网址：</w:t>
      </w:r>
      <w:hyperlink r:id="rId50">
        <w:r>
          <w:rPr>
            <w:rFonts w:ascii="Times New Roman" w:eastAsia="Times New Roman"/>
          </w:rPr>
          <w:t>www.harvestwm.cn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400-021-8850</w:t>
      </w:r>
    </w:p>
    <w:p>
      <w:pPr>
        <w:pStyle w:val="BodyText"/>
        <w:spacing w:before="3"/>
        <w:rPr>
          <w:rFonts w:ascii="Times New Roman"/>
          <w:sz w:val="17"/>
        </w:rPr>
      </w:pPr>
    </w:p>
    <w:p>
      <w:pPr>
        <w:pStyle w:val="ListParagraph"/>
        <w:numPr>
          <w:ilvl w:val="0"/>
          <w:numId w:val="10"/>
        </w:numPr>
        <w:tabs>
          <w:tab w:pos="1595" w:val="left" w:leader="none"/>
        </w:tabs>
        <w:spacing w:line="240" w:lineRule="auto" w:before="1" w:after="0"/>
        <w:ind w:left="1595" w:right="0" w:hanging="635"/>
        <w:jc w:val="left"/>
        <w:rPr>
          <w:sz w:val="21"/>
        </w:rPr>
      </w:pPr>
      <w:r>
        <w:rPr>
          <w:spacing w:val="-3"/>
          <w:sz w:val="21"/>
        </w:rPr>
        <w:t>北京创金启富基金销售有限公司</w:t>
      </w:r>
    </w:p>
    <w:p>
      <w:pPr>
        <w:pStyle w:val="BodyText"/>
        <w:spacing w:before="6"/>
        <w:rPr>
          <w:sz w:val="15"/>
        </w:rPr>
      </w:pPr>
    </w:p>
    <w:p>
      <w:pPr>
        <w:pStyle w:val="BodyText"/>
        <w:ind w:left="96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7"/>
        <w:rPr>
          <w:sz w:val="15"/>
        </w:rPr>
      </w:pPr>
    </w:p>
    <w:p>
      <w:pPr>
        <w:pStyle w:val="BodyText"/>
        <w:spacing w:line="417" w:lineRule="auto"/>
        <w:ind w:left="960" w:right="2949"/>
      </w:pPr>
      <w:r>
        <w:rPr>
          <w:spacing w:val="-6"/>
        </w:rPr>
        <w:t>办公地址：北京市西城区白纸坊东街 </w:t>
      </w:r>
      <w:r>
        <w:rPr>
          <w:rFonts w:ascii="Times New Roman" w:eastAsia="Times New Roman"/>
        </w:rPr>
        <w:t>2 </w:t>
      </w:r>
      <w:r>
        <w:rPr>
          <w:spacing w:val="-18"/>
        </w:rPr>
        <w:t>号院 </w:t>
      </w:r>
      <w:r>
        <w:rPr>
          <w:rFonts w:ascii="Times New Roman" w:eastAsia="Times New Roman"/>
        </w:rPr>
        <w:t>6 </w:t>
      </w:r>
      <w:r>
        <w:rPr>
          <w:spacing w:val="-18"/>
        </w:rPr>
        <w:t>号楼 </w:t>
      </w:r>
      <w:r>
        <w:rPr>
          <w:rFonts w:ascii="Times New Roman" w:eastAsia="Times New Roman"/>
        </w:rPr>
        <w:t>712 </w:t>
      </w:r>
      <w:r>
        <w:rPr/>
        <w:t>室</w:t>
      </w:r>
      <w:r>
        <w:rPr>
          <w:spacing w:val="-3"/>
        </w:rPr>
        <w:t>法定代表人：梁蓉</w:t>
      </w:r>
    </w:p>
    <w:p>
      <w:pPr>
        <w:pStyle w:val="BodyText"/>
        <w:spacing w:line="417" w:lineRule="auto"/>
        <w:ind w:left="960" w:right="596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ind w:left="960"/>
      </w:pPr>
      <w:r>
        <w:rPr/>
        <w:t>联系人：马浩</w:t>
      </w:r>
    </w:p>
    <w:p>
      <w:pPr>
        <w:pStyle w:val="BodyText"/>
        <w:spacing w:before="7"/>
        <w:rPr>
          <w:sz w:val="15"/>
        </w:rPr>
      </w:pPr>
    </w:p>
    <w:p>
      <w:pPr>
        <w:pStyle w:val="BodyText"/>
        <w:ind w:left="960"/>
        <w:rPr>
          <w:rFonts w:ascii="Times New Roman" w:eastAsia="Times New Roman"/>
        </w:rPr>
      </w:pPr>
      <w:r>
        <w:rPr/>
        <w:t>网址：</w:t>
      </w:r>
      <w:hyperlink r:id="rId51">
        <w:r>
          <w:rPr>
            <w:rFonts w:ascii="Times New Roman" w:eastAsia="Times New Roman"/>
          </w:rPr>
          <w:t>www.5irich.com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10"/>
        </w:numPr>
        <w:tabs>
          <w:tab w:pos="1595" w:val="left" w:leader="none"/>
        </w:tabs>
        <w:spacing w:line="240" w:lineRule="auto" w:before="1" w:after="0"/>
        <w:ind w:left="1595" w:right="0" w:hanging="635"/>
        <w:jc w:val="left"/>
        <w:rPr>
          <w:sz w:val="21"/>
        </w:rPr>
      </w:pPr>
      <w:r>
        <w:rPr>
          <w:spacing w:val="-3"/>
          <w:sz w:val="21"/>
        </w:rPr>
        <w:t>泛华普益基金销售有限公司</w:t>
      </w:r>
    </w:p>
    <w:p>
      <w:pPr>
        <w:pStyle w:val="BodyText"/>
        <w:spacing w:before="6"/>
        <w:rPr>
          <w:sz w:val="15"/>
        </w:rPr>
      </w:pPr>
    </w:p>
    <w:p>
      <w:pPr>
        <w:pStyle w:val="BodyText"/>
        <w:ind w:left="960"/>
      </w:pPr>
      <w:r>
        <w:rPr/>
        <w:t>住所：成都市成华区建设路 </w:t>
      </w:r>
      <w:r>
        <w:rPr>
          <w:rFonts w:ascii="Times New Roman" w:eastAsia="Times New Roman"/>
        </w:rPr>
        <w:t>9 </w:t>
      </w:r>
      <w:r>
        <w:rPr/>
        <w:t>号高地中心 </w:t>
      </w:r>
      <w:r>
        <w:rPr>
          <w:rFonts w:ascii="Times New Roman" w:eastAsia="Times New Roman"/>
        </w:rPr>
        <w:t>1101 </w:t>
      </w:r>
      <w:r>
        <w:rPr/>
        <w:t>室</w:t>
      </w:r>
    </w:p>
    <w:p>
      <w:pPr>
        <w:pStyle w:val="BodyText"/>
        <w:spacing w:before="7"/>
        <w:rPr>
          <w:sz w:val="15"/>
        </w:rPr>
      </w:pPr>
    </w:p>
    <w:p>
      <w:pPr>
        <w:pStyle w:val="BodyText"/>
        <w:spacing w:line="417" w:lineRule="auto"/>
        <w:ind w:left="960" w:right="49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ind w:left="96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spacing w:before="1"/>
        <w:ind w:left="960"/>
        <w:rPr>
          <w:rFonts w:ascii="Times New Roman" w:eastAsia="Times New Roman"/>
        </w:rPr>
      </w:pPr>
      <w:r>
        <w:rPr/>
        <w:t>传真：</w:t>
      </w:r>
      <w:r>
        <w:rPr>
          <w:rFonts w:ascii="Times New Roman" w:eastAsia="Times New Roman"/>
        </w:rPr>
        <w:t>-</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pPr>
      <w:r>
        <w:rPr/>
        <w:t>联系人：隋亚方</w:t>
      </w:r>
    </w:p>
    <w:p>
      <w:pPr>
        <w:pStyle w:val="BodyText"/>
        <w:spacing w:before="6"/>
        <w:rPr>
          <w:sz w:val="15"/>
        </w:rPr>
      </w:pPr>
    </w:p>
    <w:p>
      <w:pPr>
        <w:pStyle w:val="BodyText"/>
        <w:spacing w:line="417" w:lineRule="auto"/>
        <w:ind w:left="960" w:right="5221"/>
        <w:rPr>
          <w:rFonts w:ascii="Times New Roman" w:eastAsia="Times New Roman"/>
        </w:rPr>
      </w:pPr>
      <w:r>
        <w:rPr/>
        <w:t>网址：</w:t>
      </w:r>
      <w:r>
        <w:rPr>
          <w:rFonts w:ascii="Times New Roman" w:eastAsia="Times New Roman"/>
        </w:rPr>
        <w:t>https://</w:t>
      </w:r>
      <w:hyperlink r:id="rId52">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10"/>
        </w:numPr>
        <w:tabs>
          <w:tab w:pos="1595" w:val="left" w:leader="none"/>
        </w:tabs>
        <w:spacing w:line="417" w:lineRule="auto" w:before="0" w:after="0"/>
        <w:ind w:left="960" w:right="487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960" w:right="4209"/>
      </w:pPr>
      <w:r>
        <w:rPr/>
        <w:t>办公地址：南京市玄武区苏宁大道苏宁总部法定代表人：刘汉青</w:t>
      </w:r>
    </w:p>
    <w:p>
      <w:pPr>
        <w:pStyle w:val="BodyText"/>
        <w:spacing w:line="417" w:lineRule="auto"/>
        <w:ind w:left="960" w:right="564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960"/>
      </w:pPr>
      <w:r>
        <w:rPr/>
        <w:t>联系人：王峰</w:t>
      </w:r>
    </w:p>
    <w:p>
      <w:pPr>
        <w:pStyle w:val="BodyText"/>
        <w:spacing w:before="7"/>
        <w:rPr>
          <w:sz w:val="15"/>
        </w:rPr>
      </w:pPr>
    </w:p>
    <w:p>
      <w:pPr>
        <w:pStyle w:val="BodyText"/>
        <w:spacing w:line="417" w:lineRule="auto"/>
        <w:ind w:left="960" w:right="6095"/>
        <w:rPr>
          <w:rFonts w:ascii="Times New Roman" w:eastAsia="Times New Roman"/>
        </w:rPr>
      </w:pPr>
      <w:r>
        <w:rPr/>
        <w:t>网址：</w:t>
      </w:r>
      <w:hyperlink r:id="rId53">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浦领基金销售有限公司</w:t>
      </w:r>
    </w:p>
    <w:p>
      <w:pPr>
        <w:pStyle w:val="BodyText"/>
        <w:spacing w:before="6"/>
        <w:rPr>
          <w:sz w:val="15"/>
        </w:rPr>
      </w:pPr>
    </w:p>
    <w:p>
      <w:pPr>
        <w:pStyle w:val="BodyText"/>
        <w:spacing w:before="1"/>
        <w:ind w:left="960"/>
      </w:pPr>
      <w:r>
        <w:rPr/>
        <w:t>住所：北京市朝阳区望京东园四区 </w:t>
      </w:r>
      <w:r>
        <w:rPr>
          <w:rFonts w:ascii="Times New Roman" w:eastAsia="Times New Roman"/>
        </w:rPr>
        <w:t>2 </w:t>
      </w:r>
      <w:r>
        <w:rPr/>
        <w:t>号楼 </w:t>
      </w:r>
      <w:r>
        <w:rPr>
          <w:rFonts w:ascii="Times New Roman" w:eastAsia="Times New Roman"/>
        </w:rPr>
        <w:t>10 </w:t>
      </w:r>
      <w:r>
        <w:rPr/>
        <w:t>层 </w:t>
      </w:r>
      <w:r>
        <w:rPr>
          <w:rFonts w:ascii="Times New Roman" w:eastAsia="Times New Roman"/>
        </w:rPr>
        <w:t>1001 </w:t>
      </w:r>
      <w:r>
        <w:rPr/>
        <w:t>号 </w:t>
      </w:r>
      <w:r>
        <w:rPr>
          <w:rFonts w:ascii="Times New Roman" w:eastAsia="Times New Roman"/>
        </w:rPr>
        <w:t>04 </w:t>
      </w:r>
      <w:r>
        <w:rPr/>
        <w:t>室</w:t>
      </w:r>
    </w:p>
    <w:p>
      <w:pPr>
        <w:pStyle w:val="BodyText"/>
        <w:spacing w:before="6"/>
        <w:rPr>
          <w:sz w:val="15"/>
        </w:rPr>
      </w:pPr>
    </w:p>
    <w:p>
      <w:pPr>
        <w:pStyle w:val="BodyText"/>
        <w:spacing w:line="417" w:lineRule="auto" w:before="1"/>
        <w:ind w:left="960" w:right="3622"/>
      </w:pPr>
      <w:r>
        <w:rPr/>
        <w:t>办公地址：北京市朝阳区望京中航资本大厦 </w:t>
      </w:r>
      <w:r>
        <w:rPr>
          <w:rFonts w:ascii="Times New Roman" w:eastAsia="Times New Roman"/>
        </w:rPr>
        <w:t>10 </w:t>
      </w:r>
      <w:r>
        <w:rPr/>
        <w:t>层法定代表人：聂婉君</w:t>
      </w:r>
    </w:p>
    <w:p>
      <w:pPr>
        <w:pStyle w:val="BodyText"/>
        <w:spacing w:line="417" w:lineRule="auto"/>
        <w:ind w:left="960" w:right="6346"/>
        <w:rPr>
          <w:rFonts w:ascii="Times New Roman" w:eastAsia="Times New Roman"/>
        </w:rPr>
      </w:pPr>
      <w:r>
        <w:rPr/>
        <w:t>电话：</w:t>
      </w:r>
      <w:r>
        <w:rPr>
          <w:rFonts w:ascii="Times New Roman" w:eastAsia="Times New Roman"/>
        </w:rPr>
        <w:t>010-59497361 </w:t>
      </w:r>
      <w:r>
        <w:rPr/>
        <w:t>传真：</w:t>
      </w:r>
      <w:r>
        <w:rPr>
          <w:rFonts w:ascii="Times New Roman" w:eastAsia="Times New Roman"/>
        </w:rPr>
        <w:t>010-64788016</w:t>
      </w:r>
    </w:p>
    <w:p>
      <w:pPr>
        <w:pStyle w:val="BodyText"/>
        <w:spacing w:line="269" w:lineRule="exact"/>
        <w:ind w:left="960"/>
      </w:pPr>
      <w:r>
        <w:rPr/>
        <w:t>联系人：李艳</w:t>
      </w:r>
    </w:p>
    <w:p>
      <w:pPr>
        <w:pStyle w:val="BodyText"/>
        <w:spacing w:before="6"/>
        <w:rPr>
          <w:sz w:val="15"/>
        </w:rPr>
      </w:pPr>
    </w:p>
    <w:p>
      <w:pPr>
        <w:pStyle w:val="BodyText"/>
        <w:ind w:left="960"/>
        <w:rPr>
          <w:rFonts w:ascii="Times New Roman" w:eastAsia="Times New Roman"/>
        </w:rPr>
      </w:pPr>
      <w:r>
        <w:rPr/>
        <w:t>网址：</w:t>
      </w:r>
      <w:hyperlink r:id="rId54">
        <w:r>
          <w:rPr>
            <w:rFonts w:ascii="Times New Roman" w:eastAsia="Times New Roman"/>
          </w:rPr>
          <w:t>www.zscffund.com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400-012-5899</w:t>
      </w:r>
    </w:p>
    <w:p>
      <w:pPr>
        <w:pStyle w:val="BodyText"/>
        <w:spacing w:before="3"/>
        <w:rPr>
          <w:rFonts w:ascii="Times New Roman"/>
          <w:sz w:val="17"/>
        </w:rPr>
      </w:pPr>
    </w:p>
    <w:p>
      <w:pPr>
        <w:pStyle w:val="ListParagraph"/>
        <w:numPr>
          <w:ilvl w:val="0"/>
          <w:numId w:val="10"/>
        </w:numPr>
        <w:tabs>
          <w:tab w:pos="1595" w:val="left" w:leader="none"/>
        </w:tabs>
        <w:spacing w:line="240" w:lineRule="auto" w:before="1" w:after="0"/>
        <w:ind w:left="1595" w:right="0" w:hanging="635"/>
        <w:jc w:val="left"/>
        <w:rPr>
          <w:sz w:val="21"/>
        </w:rPr>
      </w:pPr>
      <w:r>
        <w:rPr>
          <w:spacing w:val="-3"/>
          <w:sz w:val="21"/>
        </w:rPr>
        <w:t>深圳腾元基金销售有限公司</w:t>
      </w:r>
    </w:p>
    <w:p>
      <w:pPr>
        <w:pStyle w:val="BodyText"/>
        <w:spacing w:before="6"/>
        <w:rPr>
          <w:sz w:val="15"/>
        </w:rPr>
      </w:pPr>
    </w:p>
    <w:p>
      <w:pPr>
        <w:pStyle w:val="BodyText"/>
        <w:ind w:left="960"/>
      </w:pPr>
      <w:r>
        <w:rPr/>
        <w:t>住所：深圳市福田区金田路 </w:t>
      </w:r>
      <w:r>
        <w:rPr>
          <w:rFonts w:ascii="Times New Roman" w:eastAsia="Times New Roman"/>
        </w:rPr>
        <w:t>2028 </w:t>
      </w:r>
      <w:r>
        <w:rPr/>
        <w:t>号卓越世纪中心 </w:t>
      </w:r>
      <w:r>
        <w:rPr>
          <w:rFonts w:ascii="Times New Roman" w:eastAsia="Times New Roman"/>
        </w:rPr>
        <w:t>1 </w:t>
      </w:r>
      <w:r>
        <w:rPr/>
        <w:t>号楼 </w:t>
      </w:r>
      <w:r>
        <w:rPr>
          <w:rFonts w:ascii="Times New Roman" w:eastAsia="Times New Roman"/>
        </w:rPr>
        <w:t>1806-1808 </w:t>
      </w:r>
      <w:r>
        <w:rPr/>
        <w:t>单元</w:t>
      </w:r>
    </w:p>
    <w:p>
      <w:pPr>
        <w:pStyle w:val="BodyText"/>
        <w:spacing w:before="7"/>
        <w:rPr>
          <w:sz w:val="15"/>
        </w:rPr>
      </w:pPr>
    </w:p>
    <w:p>
      <w:pPr>
        <w:pStyle w:val="BodyText"/>
        <w:spacing w:line="417" w:lineRule="auto"/>
        <w:ind w:left="960" w:right="1199"/>
      </w:pPr>
      <w:r>
        <w:rPr>
          <w:spacing w:val="-7"/>
        </w:rPr>
        <w:t>办公地址：深圳市福田区金田路 </w:t>
      </w:r>
      <w:r>
        <w:rPr>
          <w:rFonts w:ascii="Times New Roman" w:eastAsia="Times New Roman"/>
        </w:rPr>
        <w:t>2028 </w:t>
      </w:r>
      <w:r>
        <w:rPr>
          <w:spacing w:val="-9"/>
        </w:rPr>
        <w:t>号卓越世纪中心 </w:t>
      </w:r>
      <w:r>
        <w:rPr>
          <w:rFonts w:ascii="Times New Roman" w:eastAsia="Times New Roman"/>
        </w:rPr>
        <w:t>1 </w:t>
      </w:r>
      <w:r>
        <w:rPr>
          <w:spacing w:val="-18"/>
        </w:rPr>
        <w:t>号楼 </w:t>
      </w:r>
      <w:r>
        <w:rPr>
          <w:rFonts w:ascii="Times New Roman" w:eastAsia="Times New Roman"/>
        </w:rPr>
        <w:t>1806-1808 </w:t>
      </w:r>
      <w:r>
        <w:rPr/>
        <w:t>单元</w:t>
      </w:r>
      <w:r>
        <w:rPr>
          <w:spacing w:val="-3"/>
        </w:rPr>
        <w:t>法定代表人：曾革</w:t>
      </w:r>
    </w:p>
    <w:p>
      <w:pPr>
        <w:pStyle w:val="BodyText"/>
        <w:spacing w:line="417" w:lineRule="auto"/>
        <w:ind w:left="960" w:right="624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spacing w:line="269" w:lineRule="exact"/>
        <w:ind w:left="960"/>
      </w:pPr>
      <w:r>
        <w:rPr/>
        <w:t>联系人：鄢萌莎</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55">
        <w:r>
          <w:rPr>
            <w:rFonts w:ascii="Times New Roman" w:eastAsia="Times New Roman"/>
          </w:rPr>
          <w:t>www.tenyuanfund.com </w:t>
        </w:r>
      </w:hyperlink>
      <w:r>
        <w:rPr/>
        <w:t>客户服务电话：</w:t>
      </w:r>
      <w:r>
        <w:rPr>
          <w:rFonts w:ascii="Times New Roman" w:eastAsia="Times New Roman"/>
        </w:rPr>
        <w:t>400-687-7899</w:t>
      </w:r>
    </w:p>
    <w:p>
      <w:pPr>
        <w:spacing w:after="0" w:line="417" w:lineRule="auto"/>
        <w:rPr>
          <w:rFonts w:ascii="Times New Roman" w:eastAsia="Times New Roman"/>
        </w:rPr>
        <w:sectPr>
          <w:pgSz w:w="11910" w:h="16840"/>
          <w:pgMar w:header="877" w:footer="995" w:top="1420" w:bottom="1180" w:left="1260" w:right="1480"/>
        </w:sectPr>
      </w:pPr>
    </w:p>
    <w:p>
      <w:pPr>
        <w:pStyle w:val="ListParagraph"/>
        <w:numPr>
          <w:ilvl w:val="0"/>
          <w:numId w:val="10"/>
        </w:numPr>
        <w:tabs>
          <w:tab w:pos="1595" w:val="left" w:leader="none"/>
        </w:tabs>
        <w:spacing w:line="240" w:lineRule="auto" w:before="110" w:after="0"/>
        <w:ind w:left="159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6"/>
        <w:rPr>
          <w:sz w:val="15"/>
        </w:rPr>
      </w:pPr>
    </w:p>
    <w:p>
      <w:pPr>
        <w:pStyle w:val="BodyText"/>
        <w:ind w:left="96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7"/>
        <w:rPr>
          <w:sz w:val="15"/>
        </w:rPr>
      </w:pPr>
    </w:p>
    <w:p>
      <w:pPr>
        <w:pStyle w:val="BodyText"/>
        <w:spacing w:line="417" w:lineRule="auto"/>
        <w:ind w:left="960" w:right="284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960" w:right="634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960"/>
      </w:pPr>
      <w:r>
        <w:rPr/>
        <w:t>联系人：周晶</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56">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北京恒天明泽基金销售有限公司</w:t>
      </w:r>
    </w:p>
    <w:p>
      <w:pPr>
        <w:pStyle w:val="BodyText"/>
        <w:spacing w:before="7"/>
        <w:rPr>
          <w:sz w:val="15"/>
        </w:rPr>
      </w:pPr>
    </w:p>
    <w:p>
      <w:pPr>
        <w:pStyle w:val="BodyText"/>
        <w:ind w:left="96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7"/>
        <w:rPr>
          <w:sz w:val="15"/>
        </w:rPr>
      </w:pPr>
    </w:p>
    <w:p>
      <w:pPr>
        <w:pStyle w:val="BodyText"/>
        <w:spacing w:line="417" w:lineRule="auto"/>
        <w:ind w:left="960" w:right="242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960" w:right="634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ind w:left="960"/>
      </w:pPr>
      <w:r>
        <w:rPr/>
        <w:t>联系人：马鹏程</w:t>
      </w:r>
    </w:p>
    <w:p>
      <w:pPr>
        <w:pStyle w:val="BodyText"/>
        <w:spacing w:before="6"/>
        <w:rPr>
          <w:sz w:val="15"/>
        </w:rPr>
      </w:pPr>
    </w:p>
    <w:p>
      <w:pPr>
        <w:pStyle w:val="BodyText"/>
        <w:ind w:left="960"/>
        <w:rPr>
          <w:rFonts w:ascii="Times New Roman" w:eastAsia="Times New Roman"/>
        </w:rPr>
      </w:pPr>
      <w:r>
        <w:rPr/>
        <w:t>网址：</w:t>
      </w:r>
      <w:hyperlink r:id="rId57">
        <w:r>
          <w:rPr>
            <w:rFonts w:ascii="Times New Roman" w:eastAsia="Times New Roman"/>
          </w:rPr>
          <w:t>www.chtwm.com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北京汇成基金销售有限公司</w:t>
      </w:r>
    </w:p>
    <w:p>
      <w:pPr>
        <w:pStyle w:val="BodyText"/>
        <w:spacing w:before="7"/>
        <w:rPr>
          <w:sz w:val="15"/>
        </w:rPr>
      </w:pPr>
    </w:p>
    <w:p>
      <w:pPr>
        <w:pStyle w:val="BodyText"/>
        <w:ind w:left="96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ind w:left="96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960"/>
      </w:pPr>
      <w:r>
        <w:rPr/>
        <w:t>联系人：丁向坤</w:t>
      </w:r>
    </w:p>
    <w:p>
      <w:pPr>
        <w:pStyle w:val="BodyText"/>
        <w:spacing w:before="7"/>
        <w:rPr>
          <w:sz w:val="15"/>
        </w:rPr>
      </w:pPr>
    </w:p>
    <w:p>
      <w:pPr>
        <w:pStyle w:val="BodyText"/>
        <w:ind w:left="960"/>
        <w:rPr>
          <w:rFonts w:ascii="Times New Roman" w:eastAsia="Times New Roman"/>
        </w:rPr>
      </w:pPr>
      <w:r>
        <w:rPr/>
        <w:t>网址： </w:t>
      </w:r>
      <w:hyperlink r:id="rId58">
        <w:r>
          <w:rPr>
            <w:rFonts w:ascii="Times New Roman" w:eastAsia="Times New Roman"/>
          </w:rPr>
          <w:t>www.hcjijin.com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北京晟视天下投资管理有限公司</w:t>
      </w:r>
    </w:p>
    <w:p>
      <w:pPr>
        <w:pStyle w:val="BodyText"/>
        <w:spacing w:before="7"/>
        <w:rPr>
          <w:sz w:val="15"/>
        </w:rPr>
      </w:pPr>
    </w:p>
    <w:p>
      <w:pPr>
        <w:pStyle w:val="BodyText"/>
        <w:ind w:left="960"/>
      </w:pPr>
      <w:r>
        <w:rPr/>
        <w:t>住所：北京市怀柔区九渡河镇黄坎村 </w:t>
      </w:r>
      <w:r>
        <w:rPr>
          <w:rFonts w:ascii="Times New Roman" w:eastAsia="Times New Roman"/>
        </w:rPr>
        <w:t>735 </w:t>
      </w:r>
      <w:r>
        <w:rPr/>
        <w:t>号 </w:t>
      </w:r>
      <w:r>
        <w:rPr>
          <w:rFonts w:ascii="Times New Roman" w:eastAsia="Times New Roman"/>
        </w:rPr>
        <w:t>03 </w:t>
      </w:r>
      <w:r>
        <w:rPr/>
        <w:t>室</w:t>
      </w:r>
    </w:p>
    <w:p>
      <w:pPr>
        <w:pStyle w:val="BodyText"/>
        <w:spacing w:before="7"/>
        <w:rPr>
          <w:sz w:val="15"/>
        </w:rPr>
      </w:pPr>
    </w:p>
    <w:p>
      <w:pPr>
        <w:pStyle w:val="BodyText"/>
        <w:ind w:left="960"/>
      </w:pPr>
      <w:r>
        <w:rPr/>
        <w:t>办公地址：北京市朝阳区朝外大街甲 </w:t>
      </w:r>
      <w:r>
        <w:rPr>
          <w:rFonts w:ascii="Times New Roman" w:eastAsia="Times New Roman"/>
        </w:rPr>
        <w:t>6 </w:t>
      </w:r>
      <w:r>
        <w:rPr/>
        <w:t>号万通中心</w:t>
      </w:r>
      <w:r>
        <w:rPr>
          <w:rFonts w:ascii="Times New Roman" w:eastAsia="Times New Roman"/>
        </w:rPr>
        <w:t>D </w:t>
      </w:r>
      <w:r>
        <w:rPr/>
        <w:t>座 </w:t>
      </w:r>
      <w:r>
        <w:rPr>
          <w:rFonts w:ascii="Times New Roman" w:eastAsia="Times New Roman"/>
        </w:rPr>
        <w:t>21 </w:t>
      </w:r>
      <w:r>
        <w:rPr/>
        <w:t>层</w:t>
      </w:r>
    </w:p>
    <w:p>
      <w:pPr>
        <w:spacing w:after="0"/>
        <w:sectPr>
          <w:pgSz w:w="11910" w:h="16840"/>
          <w:pgMar w:header="877" w:footer="995" w:top="1420" w:bottom="1180" w:left="1260" w:right="1480"/>
        </w:sectPr>
      </w:pPr>
    </w:p>
    <w:p>
      <w:pPr>
        <w:pStyle w:val="BodyText"/>
        <w:spacing w:line="417" w:lineRule="auto" w:before="110"/>
        <w:ind w:left="960" w:right="6284"/>
        <w:rPr>
          <w:rFonts w:ascii="Times New Roman" w:eastAsia="Times New Roman"/>
        </w:rPr>
      </w:pPr>
      <w:r>
        <w:rPr/>
        <w:t>法定代表人：蒋煜电话：</w:t>
      </w:r>
      <w:r>
        <w:rPr>
          <w:rFonts w:ascii="Times New Roman" w:eastAsia="Times New Roman"/>
        </w:rPr>
        <w:t>010-58170806 </w:t>
      </w:r>
      <w:r>
        <w:rPr/>
        <w:t>传真：</w:t>
      </w:r>
      <w:r>
        <w:rPr>
          <w:rFonts w:ascii="Times New Roman" w:eastAsia="Times New Roman"/>
        </w:rPr>
        <w:t>010-58170910</w:t>
      </w:r>
    </w:p>
    <w:p>
      <w:pPr>
        <w:pStyle w:val="BodyText"/>
        <w:spacing w:line="269" w:lineRule="exact"/>
        <w:ind w:left="960"/>
      </w:pPr>
      <w:r>
        <w:rPr/>
        <w:t>联系人：蒋煜</w:t>
      </w:r>
    </w:p>
    <w:p>
      <w:pPr>
        <w:pStyle w:val="BodyText"/>
        <w:spacing w:before="6"/>
        <w:rPr>
          <w:sz w:val="15"/>
        </w:rPr>
      </w:pPr>
    </w:p>
    <w:p>
      <w:pPr>
        <w:pStyle w:val="BodyText"/>
        <w:spacing w:line="417" w:lineRule="auto"/>
        <w:ind w:left="960" w:right="5234"/>
        <w:rPr>
          <w:rFonts w:ascii="Times New Roman" w:eastAsia="Times New Roman"/>
        </w:rPr>
      </w:pPr>
      <w:r>
        <w:rPr/>
        <w:t>网址：</w:t>
      </w:r>
      <w:hyperlink r:id="rId59">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北京钱景基金销售有限公司</w:t>
      </w:r>
    </w:p>
    <w:p>
      <w:pPr>
        <w:pStyle w:val="BodyText"/>
        <w:spacing w:before="8"/>
        <w:rPr>
          <w:sz w:val="15"/>
        </w:rPr>
      </w:pPr>
    </w:p>
    <w:p>
      <w:pPr>
        <w:pStyle w:val="BodyText"/>
        <w:ind w:left="960"/>
        <w:rPr>
          <w:rFonts w:ascii="Times New Roman" w:eastAsia="Times New Roman"/>
        </w:rPr>
      </w:pPr>
      <w:r>
        <w:rPr>
          <w:spacing w:val="-7"/>
        </w:rPr>
        <w:t>住所：北京市海淀区丹棱街 </w:t>
      </w:r>
      <w:r>
        <w:rPr>
          <w:rFonts w:ascii="Times New Roman" w:eastAsia="Times New Roman"/>
        </w:rPr>
        <w:t>6 </w:t>
      </w:r>
      <w:r>
        <w:rPr>
          <w:spacing w:val="-26"/>
        </w:rPr>
        <w:t>号 </w:t>
      </w:r>
      <w:r>
        <w:rPr>
          <w:rFonts w:ascii="Times New Roman" w:eastAsia="Times New Roman"/>
        </w:rPr>
        <w:t>1 </w:t>
      </w:r>
      <w:r>
        <w:rPr>
          <w:spacing w:val="-26"/>
        </w:rPr>
        <w:t>幢 </w:t>
      </w:r>
      <w:r>
        <w:rPr>
          <w:rFonts w:ascii="Times New Roman" w:eastAsia="Times New Roman"/>
        </w:rPr>
        <w:t>9 </w:t>
      </w:r>
      <w:r>
        <w:rPr>
          <w:spacing w:val="-26"/>
        </w:rPr>
        <w:t>层 </w:t>
      </w:r>
      <w:r>
        <w:rPr>
          <w:rFonts w:ascii="Times New Roman" w:eastAsia="Times New Roman"/>
        </w:rPr>
        <w:t>1008-1012</w:t>
      </w:r>
    </w:p>
    <w:p>
      <w:pPr>
        <w:pStyle w:val="BodyText"/>
        <w:spacing w:before="3"/>
        <w:rPr>
          <w:rFonts w:ascii="Times New Roman"/>
          <w:sz w:val="17"/>
        </w:rPr>
      </w:pPr>
    </w:p>
    <w:p>
      <w:pPr>
        <w:pStyle w:val="BodyText"/>
        <w:ind w:left="96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法定代表人：赵荣春电话：</w:t>
      </w:r>
      <w:r>
        <w:rPr>
          <w:rFonts w:ascii="Times New Roman" w:eastAsia="Times New Roman"/>
        </w:rPr>
        <w:t>010-57418829 </w:t>
      </w:r>
      <w:r>
        <w:rPr/>
        <w:t>传真：</w:t>
      </w:r>
      <w:r>
        <w:rPr>
          <w:rFonts w:ascii="Times New Roman" w:eastAsia="Times New Roman"/>
        </w:rPr>
        <w:t>010-57569671</w:t>
      </w:r>
    </w:p>
    <w:p>
      <w:pPr>
        <w:pStyle w:val="BodyText"/>
        <w:spacing w:line="269" w:lineRule="exact"/>
        <w:ind w:left="960"/>
      </w:pPr>
      <w:r>
        <w:rPr/>
        <w:t>联系人：魏争</w:t>
      </w:r>
    </w:p>
    <w:p>
      <w:pPr>
        <w:pStyle w:val="BodyText"/>
        <w:spacing w:before="6"/>
        <w:rPr>
          <w:sz w:val="15"/>
        </w:rPr>
      </w:pPr>
    </w:p>
    <w:p>
      <w:pPr>
        <w:pStyle w:val="BodyText"/>
        <w:ind w:left="960"/>
        <w:rPr>
          <w:rFonts w:ascii="Times New Roman" w:eastAsia="Times New Roman"/>
        </w:rPr>
      </w:pPr>
      <w:r>
        <w:rPr/>
        <w:t>网址：</w:t>
      </w:r>
      <w:hyperlink r:id="rId60">
        <w:r>
          <w:rPr>
            <w:rFonts w:ascii="Times New Roman" w:eastAsia="Times New Roman"/>
          </w:rPr>
          <w:t>www.niuji.net</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400-893-6885</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北京植信基金销售有限公司</w:t>
      </w:r>
    </w:p>
    <w:p>
      <w:pPr>
        <w:pStyle w:val="BodyText"/>
        <w:spacing w:before="6"/>
        <w:rPr>
          <w:sz w:val="15"/>
        </w:rPr>
      </w:pPr>
    </w:p>
    <w:p>
      <w:pPr>
        <w:pStyle w:val="BodyText"/>
        <w:spacing w:before="1"/>
        <w:ind w:left="96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3"/>
        <w:rPr>
          <w:rFonts w:ascii="Times New Roman"/>
          <w:sz w:val="17"/>
        </w:rPr>
      </w:pPr>
    </w:p>
    <w:p>
      <w:pPr>
        <w:pStyle w:val="BodyText"/>
        <w:spacing w:line="417" w:lineRule="auto"/>
        <w:ind w:left="960" w:right="3623"/>
      </w:pPr>
      <w:r>
        <w:rPr/>
        <w:t>办公地址：北京市朝阳区盛世龙源国食苑 </w:t>
      </w:r>
      <w:r>
        <w:rPr>
          <w:rFonts w:ascii="Times New Roman" w:eastAsia="Times New Roman"/>
        </w:rPr>
        <w:t>10 </w:t>
      </w:r>
      <w:r>
        <w:rPr/>
        <w:t>号楼法定代表人：王军辉</w:t>
      </w:r>
    </w:p>
    <w:p>
      <w:pPr>
        <w:pStyle w:val="BodyText"/>
        <w:spacing w:line="417" w:lineRule="auto"/>
        <w:ind w:left="960" w:right="5541"/>
      </w:pPr>
      <w:r>
        <w:rPr/>
        <w:t>客户服务电话：</w:t>
      </w:r>
      <w:r>
        <w:rPr>
          <w:rFonts w:ascii="Times New Roman" w:eastAsia="Times New Roman"/>
        </w:rPr>
        <w:t>400-680-2123 </w:t>
      </w:r>
      <w:r>
        <w:rPr/>
        <w:t>联系人：吴鹏</w:t>
      </w:r>
    </w:p>
    <w:p>
      <w:pPr>
        <w:pStyle w:val="BodyText"/>
        <w:ind w:left="960"/>
        <w:rPr>
          <w:rFonts w:ascii="Times New Roman" w:eastAsia="Times New Roman"/>
        </w:rPr>
      </w:pPr>
      <w:r>
        <w:rPr/>
        <w:t>网址：</w:t>
      </w:r>
      <w:hyperlink r:id="rId61">
        <w:r>
          <w:rPr>
            <w:rFonts w:ascii="Times New Roman" w:eastAsia="Times New Roman"/>
          </w:rPr>
          <w:t>www.zhixin-inv.com</w:t>
        </w:r>
      </w:hyperlink>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海银基金销售有限公司</w:t>
      </w:r>
    </w:p>
    <w:p>
      <w:pPr>
        <w:pStyle w:val="BodyText"/>
        <w:spacing w:before="7"/>
        <w:rPr>
          <w:sz w:val="15"/>
        </w:rPr>
      </w:pPr>
    </w:p>
    <w:p>
      <w:pPr>
        <w:pStyle w:val="BodyText"/>
        <w:ind w:left="96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7"/>
        <w:rPr>
          <w:sz w:val="15"/>
        </w:rPr>
      </w:pPr>
    </w:p>
    <w:p>
      <w:pPr>
        <w:pStyle w:val="BodyText"/>
        <w:spacing w:line="417" w:lineRule="auto"/>
        <w:ind w:left="960" w:right="336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960" w:right="634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ind w:left="960"/>
      </w:pPr>
      <w:r>
        <w:rPr/>
        <w:t>联系人：秦琼</w:t>
      </w:r>
    </w:p>
    <w:p>
      <w:pPr>
        <w:pStyle w:val="BodyText"/>
        <w:spacing w:before="6"/>
        <w:rPr>
          <w:sz w:val="15"/>
        </w:rPr>
      </w:pPr>
    </w:p>
    <w:p>
      <w:pPr>
        <w:pStyle w:val="BodyText"/>
        <w:ind w:left="960"/>
        <w:rPr>
          <w:rFonts w:ascii="Times New Roman" w:eastAsia="Times New Roman"/>
        </w:rPr>
      </w:pPr>
      <w:r>
        <w:rPr/>
        <w:t>网址：</w:t>
      </w:r>
      <w:hyperlink r:id="rId62">
        <w:r>
          <w:rPr>
            <w:rFonts w:ascii="Times New Roman" w:eastAsia="Times New Roman"/>
          </w:rPr>
          <w:t>www.fundhaiyin.com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400-808-1016</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天津国美基金销售有限公司</w:t>
      </w:r>
    </w:p>
    <w:p>
      <w:pPr>
        <w:pStyle w:val="BodyText"/>
        <w:spacing w:before="7"/>
        <w:rPr>
          <w:sz w:val="15"/>
        </w:rPr>
      </w:pPr>
    </w:p>
    <w:p>
      <w:pPr>
        <w:pStyle w:val="BodyText"/>
        <w:spacing w:line="417" w:lineRule="auto"/>
        <w:ind w:left="960" w:right="1048"/>
      </w:pPr>
      <w:r>
        <w:rPr/>
        <w:t>住所：天津经济技术开发区南港工业区综合服务区办公楼</w:t>
      </w:r>
      <w:r>
        <w:rPr>
          <w:rFonts w:ascii="Times New Roman" w:eastAsia="Times New Roman"/>
        </w:rPr>
        <w:t>D </w:t>
      </w:r>
      <w:r>
        <w:rPr/>
        <w:t>座二层 </w:t>
      </w:r>
      <w:r>
        <w:rPr>
          <w:rFonts w:ascii="Times New Roman" w:eastAsia="Times New Roman"/>
        </w:rPr>
        <w:t>202-124 </w:t>
      </w:r>
      <w:r>
        <w:rPr/>
        <w:t>室办公地址：北京市朝阳区霄云路 </w:t>
      </w:r>
      <w:r>
        <w:rPr>
          <w:rFonts w:ascii="Times New Roman" w:eastAsia="Times New Roman"/>
        </w:rPr>
        <w:t>26 </w:t>
      </w:r>
      <w:r>
        <w:rPr/>
        <w:t>号鹏润大厦</w:t>
      </w:r>
      <w:r>
        <w:rPr>
          <w:rFonts w:ascii="Times New Roman" w:eastAsia="Times New Roman"/>
        </w:rPr>
        <w:t>B </w:t>
      </w:r>
      <w:r>
        <w:rPr/>
        <w:t>座 </w:t>
      </w:r>
      <w:r>
        <w:rPr>
          <w:rFonts w:ascii="Times New Roman" w:eastAsia="Times New Roman"/>
        </w:rPr>
        <w:t>9 </w:t>
      </w:r>
      <w:r>
        <w:rPr/>
        <w:t>层</w:t>
      </w:r>
    </w:p>
    <w:p>
      <w:pPr>
        <w:pStyle w:val="BodyText"/>
        <w:spacing w:line="417" w:lineRule="auto"/>
        <w:ind w:left="960" w:right="631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ind w:left="960"/>
      </w:pPr>
      <w:r>
        <w:rPr/>
        <w:t>联系人：郭宝亮</w:t>
      </w:r>
    </w:p>
    <w:p>
      <w:pPr>
        <w:pStyle w:val="BodyText"/>
        <w:spacing w:before="6"/>
        <w:rPr>
          <w:sz w:val="15"/>
        </w:rPr>
      </w:pPr>
    </w:p>
    <w:p>
      <w:pPr>
        <w:pStyle w:val="BodyText"/>
        <w:spacing w:line="417" w:lineRule="auto"/>
        <w:ind w:left="960" w:right="5514"/>
        <w:rPr>
          <w:rFonts w:ascii="Times New Roman" w:eastAsia="Times New Roman"/>
        </w:rPr>
      </w:pPr>
      <w:r>
        <w:rPr/>
        <w:t>网 址 ：</w:t>
      </w:r>
      <w:hyperlink r:id="rId63">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上海大智慧基金销售有限公司</w:t>
      </w:r>
    </w:p>
    <w:p>
      <w:pPr>
        <w:pStyle w:val="BodyText"/>
        <w:spacing w:before="7"/>
        <w:rPr>
          <w:sz w:val="15"/>
        </w:rPr>
      </w:pPr>
    </w:p>
    <w:p>
      <w:pPr>
        <w:pStyle w:val="BodyText"/>
        <w:ind w:left="96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pStyle w:val="BodyText"/>
        <w:spacing w:before="7"/>
        <w:rPr>
          <w:sz w:val="15"/>
        </w:rPr>
      </w:pPr>
    </w:p>
    <w:p>
      <w:pPr>
        <w:pStyle w:val="BodyText"/>
        <w:spacing w:line="417" w:lineRule="auto"/>
        <w:ind w:left="960" w:right="138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17" w:lineRule="auto"/>
        <w:ind w:left="960" w:right="634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ind w:left="960"/>
      </w:pPr>
      <w:r>
        <w:rPr/>
        <w:t>联系人：张蜓</w:t>
      </w:r>
    </w:p>
    <w:p>
      <w:pPr>
        <w:pStyle w:val="BodyText"/>
        <w:spacing w:before="7"/>
        <w:rPr>
          <w:sz w:val="15"/>
        </w:rPr>
      </w:pPr>
    </w:p>
    <w:p>
      <w:pPr>
        <w:pStyle w:val="BodyText"/>
        <w:spacing w:line="417" w:lineRule="auto"/>
        <w:ind w:left="960" w:right="5505"/>
        <w:rPr>
          <w:rFonts w:ascii="Times New Roman" w:eastAsia="Times New Roman"/>
        </w:rPr>
      </w:pPr>
      <w:r>
        <w:rPr/>
        <w:t>网址：</w:t>
      </w:r>
      <w:r>
        <w:rPr>
          <w:rFonts w:ascii="Times New Roman" w:eastAsia="Times New Roman"/>
        </w:rPr>
        <w:t>https://</w:t>
      </w:r>
      <w:hyperlink r:id="rId64">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北京新浪仓石基金销售有限公司</w:t>
      </w:r>
    </w:p>
    <w:p>
      <w:pPr>
        <w:pStyle w:val="BodyText"/>
        <w:spacing w:before="6"/>
        <w:rPr>
          <w:sz w:val="15"/>
        </w:rPr>
      </w:pPr>
    </w:p>
    <w:p>
      <w:pPr>
        <w:pStyle w:val="BodyText"/>
        <w:spacing w:line="417" w:lineRule="auto"/>
        <w:ind w:left="540" w:right="311" w:firstLine="419"/>
      </w:pPr>
      <w:r>
        <w:rPr/>
        <w:t>住所：北京市海淀区东北旺西路中关村软件园二期（西扩）</w:t>
      </w:r>
      <w:r>
        <w:rPr>
          <w:rFonts w:ascii="Times New Roman" w:eastAsia="Times New Roman"/>
        </w:rPr>
        <w:t>N-1</w:t>
      </w:r>
      <w:r>
        <w:rPr/>
        <w:t>、</w:t>
      </w:r>
      <w:r>
        <w:rPr>
          <w:rFonts w:ascii="Times New Roman" w:eastAsia="Times New Roman"/>
        </w:rPr>
        <w:t>N-2 </w:t>
      </w:r>
      <w:r>
        <w:rPr/>
        <w:t>地块新浪总部科研楼 </w:t>
      </w:r>
      <w:r>
        <w:rPr>
          <w:rFonts w:ascii="Times New Roman" w:eastAsia="Times New Roman"/>
        </w:rPr>
        <w:t>5 </w:t>
      </w:r>
      <w:r>
        <w:rPr/>
        <w:t>层 </w:t>
      </w:r>
      <w:r>
        <w:rPr>
          <w:rFonts w:ascii="Times New Roman" w:eastAsia="Times New Roman"/>
        </w:rPr>
        <w:t>518 </w:t>
      </w:r>
      <w:r>
        <w:rPr/>
        <w:t>室</w:t>
      </w:r>
    </w:p>
    <w:p>
      <w:pPr>
        <w:pStyle w:val="BodyText"/>
        <w:spacing w:line="417" w:lineRule="auto" w:before="1"/>
        <w:ind w:left="960" w:right="1698"/>
      </w:pPr>
      <w:r>
        <w:rPr/>
        <w:t>办公地址：北京市海淀区西北旺东路 </w:t>
      </w:r>
      <w:r>
        <w:rPr>
          <w:rFonts w:ascii="Times New Roman" w:eastAsia="Times New Roman"/>
        </w:rPr>
        <w:t>10 </w:t>
      </w:r>
      <w:r>
        <w:rPr/>
        <w:t>号院东区 </w:t>
      </w:r>
      <w:r>
        <w:rPr>
          <w:rFonts w:ascii="Times New Roman" w:eastAsia="Times New Roman"/>
        </w:rPr>
        <w:t>3 </w:t>
      </w:r>
      <w:r>
        <w:rPr/>
        <w:t>号楼为明大厦</w:t>
      </w:r>
      <w:r>
        <w:rPr>
          <w:rFonts w:ascii="Times New Roman" w:eastAsia="Times New Roman"/>
        </w:rPr>
        <w:t>C </w:t>
      </w:r>
      <w:r>
        <w:rPr/>
        <w:t>座法定代表人：赵芯蕊</w:t>
      </w:r>
    </w:p>
    <w:p>
      <w:pPr>
        <w:pStyle w:val="BodyText"/>
        <w:spacing w:line="417" w:lineRule="auto"/>
        <w:ind w:left="960" w:right="634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spacing w:line="269" w:lineRule="exact"/>
        <w:ind w:left="960"/>
      </w:pPr>
      <w:r>
        <w:rPr/>
        <w:t>联系人：赵芯蕊</w:t>
      </w:r>
    </w:p>
    <w:p>
      <w:pPr>
        <w:pStyle w:val="BodyText"/>
        <w:spacing w:before="6"/>
        <w:rPr>
          <w:sz w:val="15"/>
        </w:rPr>
      </w:pPr>
    </w:p>
    <w:p>
      <w:pPr>
        <w:pStyle w:val="BodyText"/>
        <w:ind w:left="960"/>
        <w:rPr>
          <w:rFonts w:ascii="Times New Roman" w:eastAsia="Times New Roman"/>
        </w:rPr>
      </w:pPr>
      <w:r>
        <w:rPr/>
        <w:t>网址：</w:t>
      </w:r>
      <w:hyperlink r:id="rId65">
        <w:r>
          <w:rPr>
            <w:rFonts w:ascii="Times New Roman" w:eastAsia="Times New Roman"/>
          </w:rPr>
          <w:t>www.xincai.com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北京辉腾汇富基金销售有限公司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rPr>
          <w:rFonts w:ascii="Times New Roman" w:eastAsia="Times New Roman"/>
        </w:rPr>
      </w:pPr>
      <w:r>
        <w:rPr/>
        <w:t>住所：北京市东城区朝阳门北大街 </w:t>
      </w:r>
      <w:r>
        <w:rPr>
          <w:rFonts w:ascii="Times New Roman" w:eastAsia="Times New Roman"/>
        </w:rPr>
        <w:t>8 </w:t>
      </w:r>
      <w:r>
        <w:rPr/>
        <w:t>号 </w:t>
      </w:r>
      <w:r>
        <w:rPr>
          <w:rFonts w:ascii="Times New Roman" w:eastAsia="Times New Roman"/>
        </w:rPr>
        <w:t>2-2-1</w:t>
      </w:r>
    </w:p>
    <w:p>
      <w:pPr>
        <w:pStyle w:val="BodyText"/>
        <w:spacing w:before="3"/>
        <w:rPr>
          <w:rFonts w:ascii="Times New Roman"/>
          <w:sz w:val="17"/>
        </w:rPr>
      </w:pPr>
    </w:p>
    <w:p>
      <w:pPr>
        <w:pStyle w:val="BodyText"/>
        <w:ind w:left="960"/>
        <w:rPr>
          <w:rFonts w:ascii="Times New Roman" w:eastAsia="Times New Roman"/>
        </w:rPr>
      </w:pPr>
      <w:r>
        <w:rPr/>
        <w:t>办公地址：北京市东城区朝阳门北大街 </w:t>
      </w:r>
      <w:r>
        <w:rPr>
          <w:rFonts w:ascii="Times New Roman" w:eastAsia="Times New Roman"/>
        </w:rPr>
        <w:t>8 </w:t>
      </w:r>
      <w:r>
        <w:rPr/>
        <w:t>号富华大厦 </w:t>
      </w:r>
      <w:r>
        <w:rPr>
          <w:rFonts w:ascii="Times New Roman" w:eastAsia="Times New Roman"/>
        </w:rPr>
        <w:t>F </w:t>
      </w:r>
      <w:r>
        <w:rPr/>
        <w:t>座 </w:t>
      </w:r>
      <w:r>
        <w:rPr>
          <w:rFonts w:ascii="Times New Roman" w:eastAsia="Times New Roman"/>
        </w:rPr>
        <w:t>12 </w:t>
      </w:r>
      <w:r>
        <w:rPr/>
        <w:t>层</w:t>
      </w:r>
      <w:r>
        <w:rPr>
          <w:rFonts w:ascii="Times New Roman" w:eastAsia="Times New Roman"/>
        </w:rPr>
        <w:t>B</w:t>
      </w:r>
    </w:p>
    <w:p>
      <w:pPr>
        <w:pStyle w:val="BodyText"/>
        <w:spacing w:before="3"/>
        <w:rPr>
          <w:rFonts w:ascii="Times New Roman"/>
          <w:sz w:val="17"/>
        </w:rPr>
      </w:pPr>
    </w:p>
    <w:p>
      <w:pPr>
        <w:pStyle w:val="BodyText"/>
        <w:spacing w:line="417" w:lineRule="auto" w:before="1"/>
        <w:ind w:left="960" w:right="6284"/>
        <w:rPr>
          <w:rFonts w:ascii="Times New Roman" w:eastAsia="Times New Roman"/>
        </w:rPr>
      </w:pPr>
      <w:r>
        <w:rPr/>
        <w:t>法定代表人：许宁电话：</w:t>
      </w:r>
      <w:r>
        <w:rPr>
          <w:rFonts w:ascii="Times New Roman" w:eastAsia="Times New Roman"/>
        </w:rPr>
        <w:t>010-85610733 </w:t>
      </w:r>
      <w:r>
        <w:rPr/>
        <w:t>传真：</w:t>
      </w:r>
      <w:r>
        <w:rPr>
          <w:rFonts w:ascii="Times New Roman" w:eastAsia="Times New Roman"/>
        </w:rPr>
        <w:t>010-85622351</w:t>
      </w:r>
    </w:p>
    <w:p>
      <w:pPr>
        <w:pStyle w:val="BodyText"/>
        <w:spacing w:line="269" w:lineRule="exact"/>
        <w:ind w:left="960"/>
      </w:pPr>
      <w:r>
        <w:rPr/>
        <w:t>联系人：彭雪琳</w:t>
      </w:r>
    </w:p>
    <w:p>
      <w:pPr>
        <w:pStyle w:val="BodyText"/>
        <w:spacing w:before="6"/>
        <w:rPr>
          <w:sz w:val="15"/>
        </w:rPr>
      </w:pPr>
    </w:p>
    <w:p>
      <w:pPr>
        <w:pStyle w:val="BodyText"/>
        <w:spacing w:line="417" w:lineRule="auto"/>
        <w:ind w:left="960" w:right="5432"/>
        <w:rPr>
          <w:rFonts w:ascii="Times New Roman" w:eastAsia="Times New Roman"/>
        </w:rPr>
      </w:pPr>
      <w:r>
        <w:rPr/>
        <w:t>网址：</w:t>
      </w:r>
      <w:r>
        <w:rPr>
          <w:rFonts w:ascii="Times New Roman" w:eastAsia="Times New Roman"/>
        </w:rPr>
        <w:t>https://</w:t>
      </w:r>
      <w:hyperlink r:id="rId66">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10"/>
        </w:numPr>
        <w:tabs>
          <w:tab w:pos="1595" w:val="left" w:leader="none"/>
        </w:tabs>
        <w:spacing w:line="240" w:lineRule="auto" w:before="1" w:after="0"/>
        <w:ind w:left="1595" w:right="0" w:hanging="635"/>
        <w:jc w:val="left"/>
        <w:rPr>
          <w:sz w:val="21"/>
        </w:rPr>
      </w:pPr>
      <w:r>
        <w:rPr>
          <w:spacing w:val="-3"/>
          <w:sz w:val="21"/>
        </w:rPr>
        <w:t>上海万得基金销售有限公司</w:t>
      </w:r>
    </w:p>
    <w:p>
      <w:pPr>
        <w:pStyle w:val="BodyText"/>
        <w:spacing w:before="6"/>
        <w:rPr>
          <w:sz w:val="15"/>
        </w:rPr>
      </w:pPr>
    </w:p>
    <w:p>
      <w:pPr>
        <w:pStyle w:val="BodyText"/>
        <w:spacing w:line="417" w:lineRule="auto"/>
        <w:ind w:left="960" w:right="263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17" w:lineRule="auto"/>
        <w:ind w:left="960" w:right="634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ind w:left="960"/>
      </w:pPr>
      <w:r>
        <w:rPr/>
        <w:t>联系人：徐亚丹</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67">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5"/>
        <w:rPr>
          <w:sz w:val="9"/>
        </w:rPr>
      </w:pPr>
    </w:p>
    <w:p>
      <w:pPr>
        <w:pStyle w:val="BodyText"/>
        <w:spacing w:before="78"/>
        <w:ind w:left="96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00</w:t>
      </w:r>
      <w:r>
        <w:rPr>
          <w:w w:val="100"/>
        </w:rPr>
        <w:t>）</w:t>
      </w:r>
    </w:p>
    <w:p>
      <w:pPr>
        <w:pStyle w:val="BodyText"/>
        <w:spacing w:before="6"/>
        <w:rPr>
          <w:sz w:val="9"/>
        </w:rPr>
      </w:pPr>
    </w:p>
    <w:p>
      <w:pPr>
        <w:pStyle w:val="BodyText"/>
        <w:spacing w:line="417" w:lineRule="auto" w:before="78"/>
        <w:ind w:left="960" w:right="106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17" w:lineRule="auto"/>
        <w:ind w:left="960" w:right="634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960"/>
      </w:pPr>
      <w:r>
        <w:rPr/>
        <w:t>联系人：张旭</w:t>
      </w:r>
    </w:p>
    <w:p>
      <w:pPr>
        <w:pStyle w:val="BodyText"/>
        <w:spacing w:before="7"/>
        <w:rPr>
          <w:sz w:val="15"/>
        </w:rPr>
      </w:pPr>
    </w:p>
    <w:p>
      <w:pPr>
        <w:pStyle w:val="BodyText"/>
        <w:ind w:left="960"/>
        <w:rPr>
          <w:rFonts w:ascii="Times New Roman" w:eastAsia="Times New Roman"/>
        </w:rPr>
      </w:pPr>
      <w:r>
        <w:rPr/>
        <w:t>网址：</w:t>
      </w:r>
      <w:hyperlink r:id="rId68">
        <w:r>
          <w:rPr>
            <w:rFonts w:ascii="Times New Roman" w:eastAsia="Times New Roman"/>
          </w:rPr>
          <w:t>www.fengfd.com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400-810-5919</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上海联泰基金销售有限公司</w:t>
      </w:r>
    </w:p>
    <w:p>
      <w:pPr>
        <w:pStyle w:val="BodyText"/>
        <w:spacing w:before="6"/>
        <w:rPr>
          <w:sz w:val="15"/>
        </w:rPr>
      </w:pPr>
    </w:p>
    <w:p>
      <w:pPr>
        <w:pStyle w:val="BodyText"/>
        <w:spacing w:before="1"/>
        <w:ind w:left="960"/>
      </w:pPr>
      <w:r>
        <w:rPr/>
        <w:t>住所：中国（上海）自由贸易试验区富特北路 </w:t>
      </w:r>
      <w:r>
        <w:rPr>
          <w:rFonts w:ascii="Times New Roman" w:eastAsia="Times New Roman"/>
        </w:rPr>
        <w:t>277 </w:t>
      </w:r>
      <w:r>
        <w:rPr/>
        <w:t>号 </w:t>
      </w:r>
      <w:r>
        <w:rPr>
          <w:rFonts w:ascii="Times New Roman" w:eastAsia="Times New Roman"/>
        </w:rPr>
        <w:t>3 </w:t>
      </w:r>
      <w:r>
        <w:rPr/>
        <w:t>层 </w:t>
      </w:r>
      <w:r>
        <w:rPr>
          <w:rFonts w:ascii="Times New Roman" w:eastAsia="Times New Roman"/>
        </w:rPr>
        <w:t>310 </w:t>
      </w:r>
      <w:r>
        <w:rPr/>
        <w:t>室</w:t>
      </w:r>
    </w:p>
    <w:p>
      <w:pPr>
        <w:pStyle w:val="BodyText"/>
        <w:spacing w:before="7"/>
        <w:rPr>
          <w:sz w:val="15"/>
        </w:rPr>
      </w:pPr>
    </w:p>
    <w:p>
      <w:pPr>
        <w:pStyle w:val="BodyText"/>
        <w:spacing w:line="417" w:lineRule="auto"/>
        <w:ind w:left="960" w:right="2947"/>
      </w:pPr>
      <w:r>
        <w:rPr>
          <w:spacing w:val="-3"/>
        </w:rPr>
        <w:t>办公地址：中国</w:t>
      </w:r>
      <w:r>
        <w:rPr/>
        <w:t>（</w:t>
      </w:r>
      <w:r>
        <w:rPr>
          <w:spacing w:val="-2"/>
        </w:rPr>
        <w:t>上海</w:t>
      </w:r>
      <w:r>
        <w:rPr>
          <w:spacing w:val="-3"/>
        </w:rPr>
        <w:t>）</w:t>
      </w:r>
      <w:r>
        <w:rPr>
          <w:spacing w:val="-9"/>
        </w:rPr>
        <w:t>长宁区福泉北路 </w:t>
      </w:r>
      <w:r>
        <w:rPr>
          <w:rFonts w:ascii="Times New Roman" w:eastAsia="Times New Roman"/>
        </w:rPr>
        <w:t>518 </w:t>
      </w:r>
      <w:r>
        <w:rPr>
          <w:spacing w:val="-24"/>
        </w:rPr>
        <w:t>号 </w:t>
      </w:r>
      <w:r>
        <w:rPr>
          <w:rFonts w:ascii="Times New Roman" w:eastAsia="Times New Roman"/>
        </w:rPr>
        <w:t>8 </w:t>
      </w:r>
      <w:r>
        <w:rPr>
          <w:spacing w:val="-24"/>
        </w:rPr>
        <w:t>座 </w:t>
      </w:r>
      <w:r>
        <w:rPr>
          <w:rFonts w:ascii="Times New Roman" w:eastAsia="Times New Roman"/>
        </w:rPr>
        <w:t>3 </w:t>
      </w:r>
      <w:r>
        <w:rPr/>
        <w:t>层</w:t>
      </w:r>
      <w:r>
        <w:rPr>
          <w:spacing w:val="-3"/>
        </w:rPr>
        <w:t>法定代表人：尹彬彬</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960"/>
      </w:pPr>
      <w:r>
        <w:rPr/>
        <w:t>联系人：兰敏</w:t>
      </w:r>
    </w:p>
    <w:p>
      <w:pPr>
        <w:pStyle w:val="BodyText"/>
        <w:spacing w:before="6"/>
        <w:rPr>
          <w:sz w:val="15"/>
        </w:rPr>
      </w:pPr>
    </w:p>
    <w:p>
      <w:pPr>
        <w:pStyle w:val="BodyText"/>
        <w:ind w:left="960"/>
        <w:rPr>
          <w:rFonts w:ascii="Times New Roman" w:eastAsia="Times New Roman"/>
        </w:rPr>
      </w:pPr>
      <w:r>
        <w:rPr/>
        <w:t>网址：</w:t>
      </w:r>
      <w:hyperlink r:id="rId69">
        <w:r>
          <w:rPr>
            <w:rFonts w:ascii="Times New Roman" w:eastAsia="Times New Roman"/>
          </w:rPr>
          <w:t>www.66liantai.com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深圳市金海九州基金销售有限公司</w:t>
      </w:r>
    </w:p>
    <w:p>
      <w:pPr>
        <w:pStyle w:val="BodyText"/>
        <w:spacing w:before="7"/>
        <w:rPr>
          <w:sz w:val="15"/>
        </w:rPr>
      </w:pPr>
    </w:p>
    <w:p>
      <w:pPr>
        <w:pStyle w:val="BodyText"/>
        <w:spacing w:line="417" w:lineRule="auto"/>
        <w:ind w:left="540" w:right="23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960" w:right="3417"/>
      </w:pPr>
      <w:r>
        <w:rPr/>
        <w:t>办公地址：深圳市福田区富德生命保险大厦 </w:t>
      </w:r>
      <w:r>
        <w:rPr>
          <w:rFonts w:ascii="Times New Roman" w:eastAsia="Times New Roman"/>
        </w:rPr>
        <w:t>1106 </w:t>
      </w:r>
      <w:r>
        <w:rPr/>
        <w:t>室法定代表人：彭维熙</w:t>
      </w:r>
    </w:p>
    <w:p>
      <w:pPr>
        <w:pStyle w:val="BodyText"/>
        <w:spacing w:line="417" w:lineRule="auto"/>
        <w:ind w:left="960" w:right="624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960"/>
      </w:pPr>
      <w:r>
        <w:rPr/>
        <w:t>联系人：彭维熙</w:t>
      </w:r>
    </w:p>
    <w:p>
      <w:pPr>
        <w:pStyle w:val="BodyText"/>
        <w:spacing w:before="7"/>
        <w:rPr>
          <w:sz w:val="15"/>
        </w:rPr>
      </w:pPr>
    </w:p>
    <w:p>
      <w:pPr>
        <w:pStyle w:val="BodyText"/>
        <w:ind w:left="960"/>
        <w:rPr>
          <w:rFonts w:ascii="Times New Roman" w:eastAsia="Times New Roman"/>
        </w:rPr>
      </w:pPr>
      <w:r>
        <w:rPr/>
        <w:t>网址：</w:t>
      </w:r>
      <w:hyperlink r:id="rId70">
        <w:r>
          <w:rPr>
            <w:rFonts w:ascii="Times New Roman" w:eastAsia="Times New Roman"/>
          </w:rPr>
          <w:t>www.jhjzfund.com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10"/>
        </w:numPr>
        <w:tabs>
          <w:tab w:pos="1595" w:val="left" w:leader="none"/>
        </w:tabs>
        <w:spacing w:line="417" w:lineRule="auto" w:before="0" w:after="0"/>
        <w:ind w:left="960" w:right="399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pStyle w:val="BodyText"/>
        <w:spacing w:line="417" w:lineRule="auto"/>
        <w:ind w:left="960" w:right="3517"/>
      </w:pPr>
      <w:r>
        <w:rPr/>
        <w:t>办公地址：辽宁省大连市沙河口区星海中龙园 </w:t>
      </w:r>
      <w:r>
        <w:rPr>
          <w:rFonts w:ascii="Times New Roman" w:eastAsia="Times New Roman"/>
        </w:rPr>
        <w:t>3 </w:t>
      </w:r>
      <w:r>
        <w:rPr/>
        <w:t>号法定代表人：李春光</w:t>
      </w:r>
    </w:p>
    <w:p>
      <w:pPr>
        <w:pStyle w:val="BodyText"/>
        <w:spacing w:line="417" w:lineRule="auto"/>
        <w:ind w:left="960" w:right="586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ind w:left="960"/>
      </w:pPr>
      <w:r>
        <w:rPr/>
        <w:t>联系人：张晓辉</w:t>
      </w:r>
    </w:p>
    <w:p>
      <w:pPr>
        <w:pStyle w:val="BodyText"/>
        <w:spacing w:before="6"/>
        <w:rPr>
          <w:sz w:val="15"/>
        </w:rPr>
      </w:pPr>
    </w:p>
    <w:p>
      <w:pPr>
        <w:pStyle w:val="BodyText"/>
        <w:spacing w:line="417" w:lineRule="auto"/>
        <w:ind w:left="960" w:right="5549"/>
        <w:rPr>
          <w:rFonts w:ascii="Times New Roman" w:eastAsia="Times New Roman"/>
        </w:rPr>
      </w:pPr>
      <w:r>
        <w:rPr/>
        <w:t>网址：</w:t>
      </w:r>
      <w:hyperlink r:id="rId71">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上海汇付基金销售有限公司</w:t>
      </w:r>
    </w:p>
    <w:p>
      <w:pPr>
        <w:pStyle w:val="BodyText"/>
        <w:spacing w:before="7"/>
        <w:rPr>
          <w:sz w:val="15"/>
        </w:rPr>
      </w:pPr>
    </w:p>
    <w:p>
      <w:pPr>
        <w:pStyle w:val="BodyText"/>
        <w:ind w:left="96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6"/>
        </w:rPr>
        <w:t>区 </w:t>
      </w:r>
      <w:r>
        <w:rPr>
          <w:rFonts w:ascii="Times New Roman" w:eastAsia="Times New Roman"/>
        </w:rPr>
        <w:t>056 </w:t>
      </w:r>
      <w:r>
        <w:rPr/>
        <w:t>单元</w:t>
      </w:r>
    </w:p>
    <w:p>
      <w:pPr>
        <w:pStyle w:val="BodyText"/>
        <w:spacing w:before="7"/>
        <w:rPr>
          <w:sz w:val="15"/>
        </w:rPr>
      </w:pPr>
    </w:p>
    <w:p>
      <w:pPr>
        <w:pStyle w:val="BodyText"/>
        <w:spacing w:line="417" w:lineRule="auto"/>
        <w:ind w:left="960" w:right="2118"/>
      </w:pPr>
      <w:r>
        <w:rPr/>
        <w:t>办公地址：上海市徐汇区宜山路 </w:t>
      </w:r>
      <w:r>
        <w:rPr>
          <w:rFonts w:ascii="Times New Roman" w:eastAsia="Times New Roman"/>
        </w:rPr>
        <w:t>700 </w:t>
      </w:r>
      <w:r>
        <w:rPr/>
        <w:t>号普天信息产业园 </w:t>
      </w:r>
      <w:r>
        <w:rPr>
          <w:rFonts w:ascii="Times New Roman" w:eastAsia="Times New Roman"/>
        </w:rPr>
        <w:t>2 </w:t>
      </w:r>
      <w:r>
        <w:rPr/>
        <w:t>期</w:t>
      </w:r>
      <w:r>
        <w:rPr>
          <w:rFonts w:ascii="Times New Roman" w:eastAsia="Times New Roman"/>
        </w:rPr>
        <w:t>C5 </w:t>
      </w:r>
      <w:r>
        <w:rPr/>
        <w:t>栋法定代表人：金佶</w:t>
      </w:r>
    </w:p>
    <w:p>
      <w:pPr>
        <w:pStyle w:val="BodyText"/>
        <w:spacing w:line="417" w:lineRule="auto"/>
        <w:ind w:left="960" w:right="634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联系人：甄宝林</w:t>
      </w:r>
    </w:p>
    <w:p>
      <w:pPr>
        <w:pStyle w:val="BodyText"/>
        <w:spacing w:before="6"/>
        <w:rPr>
          <w:sz w:val="15"/>
        </w:rPr>
      </w:pPr>
    </w:p>
    <w:p>
      <w:pPr>
        <w:pStyle w:val="BodyText"/>
        <w:ind w:left="960"/>
        <w:rPr>
          <w:rFonts w:ascii="Times New Roman" w:eastAsia="Times New Roman"/>
        </w:rPr>
      </w:pPr>
      <w:r>
        <w:rPr/>
        <w:t>网址：</w:t>
      </w:r>
      <w:hyperlink r:id="rId72">
        <w:r>
          <w:rPr>
            <w:rFonts w:ascii="Times New Roman" w:eastAsia="Times New Roman"/>
          </w:rPr>
          <w:t>www.hotjijin.com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上海基煜基金销售有限公司</w:t>
      </w:r>
    </w:p>
    <w:p>
      <w:pPr>
        <w:pStyle w:val="BodyText"/>
        <w:spacing w:before="7"/>
        <w:rPr>
          <w:sz w:val="15"/>
        </w:rPr>
      </w:pPr>
    </w:p>
    <w:p>
      <w:pPr>
        <w:pStyle w:val="BodyText"/>
        <w:ind w:left="96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7"/>
        <w:rPr>
          <w:sz w:val="15"/>
        </w:rPr>
      </w:pPr>
    </w:p>
    <w:p>
      <w:pPr>
        <w:pStyle w:val="BodyText"/>
        <w:spacing w:line="417" w:lineRule="auto"/>
        <w:ind w:left="960" w:right="221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960" w:right="592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960"/>
      </w:pPr>
      <w:r>
        <w:rPr/>
        <w:t>联系人：蓝杰</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73">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上海中正达广基金销售有限公司</w:t>
      </w:r>
    </w:p>
    <w:p>
      <w:pPr>
        <w:pStyle w:val="BodyText"/>
        <w:spacing w:before="6"/>
        <w:rPr>
          <w:sz w:val="15"/>
        </w:rPr>
      </w:pPr>
    </w:p>
    <w:p>
      <w:pPr>
        <w:pStyle w:val="BodyText"/>
        <w:spacing w:before="1"/>
        <w:ind w:left="96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7"/>
        <w:rPr>
          <w:sz w:val="15"/>
        </w:rPr>
      </w:pPr>
    </w:p>
    <w:p>
      <w:pPr>
        <w:pStyle w:val="BodyText"/>
        <w:spacing w:line="417" w:lineRule="auto"/>
        <w:ind w:left="960" w:right="368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spacing w:line="417" w:lineRule="auto"/>
        <w:ind w:left="960" w:right="596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spacing w:line="269" w:lineRule="exact"/>
        <w:ind w:left="960"/>
      </w:pPr>
      <w:r>
        <w:rPr/>
        <w:t>联系人：戴珉微</w:t>
      </w:r>
    </w:p>
    <w:p>
      <w:pPr>
        <w:pStyle w:val="BodyText"/>
        <w:spacing w:before="6"/>
        <w:rPr>
          <w:sz w:val="15"/>
        </w:rPr>
      </w:pPr>
    </w:p>
    <w:p>
      <w:pPr>
        <w:pStyle w:val="BodyText"/>
        <w:spacing w:line="417" w:lineRule="auto"/>
        <w:ind w:left="960" w:right="5220"/>
        <w:rPr>
          <w:rFonts w:ascii="Times New Roman" w:eastAsia="Times New Roman"/>
        </w:rPr>
      </w:pPr>
      <w:r>
        <w:rPr/>
        <w:t>网址：</w:t>
      </w:r>
      <w:hyperlink r:id="rId74">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上海陆金所基金销售有限公司</w:t>
      </w:r>
    </w:p>
    <w:p>
      <w:pPr>
        <w:pStyle w:val="BodyText"/>
        <w:spacing w:before="7"/>
        <w:rPr>
          <w:sz w:val="15"/>
        </w:rPr>
      </w:pPr>
    </w:p>
    <w:p>
      <w:pPr>
        <w:pStyle w:val="BodyText"/>
        <w:ind w:left="96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7"/>
        <w:rPr>
          <w:sz w:val="15"/>
        </w:rPr>
      </w:pPr>
    </w:p>
    <w:p>
      <w:pPr>
        <w:pStyle w:val="BodyText"/>
        <w:spacing w:line="417" w:lineRule="auto"/>
        <w:ind w:left="960" w:right="3833"/>
      </w:pPr>
      <w:r>
        <w:rPr/>
        <w:t>办公地址：上海市浦东新区陆家嘴环路 </w:t>
      </w:r>
      <w:r>
        <w:rPr>
          <w:rFonts w:ascii="Times New Roman" w:eastAsia="Times New Roman"/>
        </w:rPr>
        <w:t>1333 </w:t>
      </w:r>
      <w:r>
        <w:rPr/>
        <w:t>号法定代表人：王之光</w:t>
      </w:r>
    </w:p>
    <w:p>
      <w:pPr>
        <w:pStyle w:val="BodyText"/>
        <w:spacing w:line="417" w:lineRule="auto"/>
        <w:ind w:left="960" w:right="634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spacing w:line="269" w:lineRule="exact"/>
        <w:ind w:left="960"/>
      </w:pPr>
      <w:r>
        <w:rPr/>
        <w:t>联系人：宁博宇</w:t>
      </w:r>
    </w:p>
    <w:p>
      <w:pPr>
        <w:pStyle w:val="BodyText"/>
        <w:spacing w:before="7"/>
        <w:rPr>
          <w:sz w:val="15"/>
        </w:rPr>
      </w:pPr>
    </w:p>
    <w:p>
      <w:pPr>
        <w:pStyle w:val="BodyText"/>
        <w:ind w:left="960"/>
        <w:rPr>
          <w:rFonts w:ascii="Times New Roman" w:eastAsia="Times New Roman"/>
        </w:rPr>
      </w:pPr>
      <w:r>
        <w:rPr/>
        <w:t>网址：</w:t>
      </w:r>
      <w:hyperlink r:id="rId75">
        <w:r>
          <w:rPr>
            <w:rFonts w:ascii="Times New Roman" w:eastAsia="Times New Roman"/>
          </w:rPr>
          <w:t>www.lufunds.com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400-821-9031</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10"/>
        </w:numPr>
        <w:tabs>
          <w:tab w:pos="1595" w:val="left" w:leader="none"/>
        </w:tabs>
        <w:spacing w:line="240" w:lineRule="auto" w:before="110" w:after="0"/>
        <w:ind w:left="1595" w:right="0" w:hanging="635"/>
        <w:jc w:val="left"/>
        <w:rPr>
          <w:sz w:val="21"/>
        </w:rPr>
      </w:pPr>
      <w:r>
        <w:rPr>
          <w:spacing w:val="-3"/>
          <w:sz w:val="21"/>
        </w:rPr>
        <w:t>大泰金石基金销售有限公司</w:t>
      </w:r>
    </w:p>
    <w:p>
      <w:pPr>
        <w:pStyle w:val="BodyText"/>
        <w:spacing w:before="6"/>
        <w:rPr>
          <w:sz w:val="15"/>
        </w:rPr>
      </w:pPr>
    </w:p>
    <w:p>
      <w:pPr>
        <w:pStyle w:val="BodyText"/>
        <w:ind w:left="960"/>
      </w:pPr>
      <w:r>
        <w:rPr/>
        <w:t>住所：南京市建邺区江东中路 </w:t>
      </w:r>
      <w:r>
        <w:rPr>
          <w:rFonts w:ascii="Times New Roman" w:eastAsia="Times New Roman"/>
        </w:rPr>
        <w:t>222 </w:t>
      </w:r>
      <w:r>
        <w:rPr/>
        <w:t>号南京奥体中心现代五项馆 </w:t>
      </w:r>
      <w:r>
        <w:rPr>
          <w:rFonts w:ascii="Times New Roman" w:eastAsia="Times New Roman"/>
        </w:rPr>
        <w:t>2105 </w:t>
      </w:r>
      <w:r>
        <w:rPr/>
        <w:t>室</w:t>
      </w:r>
    </w:p>
    <w:p>
      <w:pPr>
        <w:pStyle w:val="BodyText"/>
        <w:spacing w:before="7"/>
        <w:rPr>
          <w:sz w:val="15"/>
        </w:rPr>
      </w:pPr>
    </w:p>
    <w:p>
      <w:pPr>
        <w:pStyle w:val="BodyText"/>
        <w:spacing w:line="417" w:lineRule="auto"/>
        <w:ind w:left="960" w:right="2632"/>
      </w:pPr>
      <w:r>
        <w:rPr>
          <w:spacing w:val="-6"/>
        </w:rPr>
        <w:t>办公地址：上海市浦东新区峨山路 </w:t>
      </w:r>
      <w:r>
        <w:rPr>
          <w:rFonts w:ascii="Times New Roman" w:eastAsia="Times New Roman"/>
        </w:rPr>
        <w:t>505 </w:t>
      </w:r>
      <w:r>
        <w:rPr>
          <w:spacing w:val="-9"/>
        </w:rPr>
        <w:t>号东方纯一大厦 </w:t>
      </w:r>
      <w:r>
        <w:rPr>
          <w:rFonts w:ascii="Times New Roman" w:eastAsia="Times New Roman"/>
        </w:rPr>
        <w:t>15 </w:t>
      </w:r>
      <w:r>
        <w:rPr/>
        <w:t>楼</w:t>
      </w:r>
      <w:r>
        <w:rPr>
          <w:spacing w:val="-3"/>
        </w:rPr>
        <w:t>法定代表人：袁顾明</w:t>
      </w:r>
    </w:p>
    <w:p>
      <w:pPr>
        <w:pStyle w:val="BodyText"/>
        <w:spacing w:line="417" w:lineRule="auto"/>
        <w:ind w:left="960" w:right="6346"/>
        <w:rPr>
          <w:rFonts w:ascii="Times New Roman" w:eastAsia="Times New Roman"/>
        </w:rPr>
      </w:pPr>
      <w:r>
        <w:rPr/>
        <w:t>电话：</w:t>
      </w:r>
      <w:r>
        <w:rPr>
          <w:rFonts w:ascii="Times New Roman" w:eastAsia="Times New Roman"/>
        </w:rPr>
        <w:t>13671788303 </w:t>
      </w:r>
      <w:r>
        <w:rPr/>
        <w:t>传真：</w:t>
      </w:r>
      <w:r>
        <w:rPr>
          <w:rFonts w:ascii="Times New Roman" w:eastAsia="Times New Roman"/>
        </w:rPr>
        <w:t>021-20324199</w:t>
      </w:r>
    </w:p>
    <w:p>
      <w:pPr>
        <w:pStyle w:val="BodyText"/>
        <w:spacing w:line="269" w:lineRule="exact"/>
        <w:ind w:left="960"/>
      </w:pPr>
      <w:r>
        <w:rPr/>
        <w:t>联系人：刘璐</w:t>
      </w:r>
    </w:p>
    <w:p>
      <w:pPr>
        <w:pStyle w:val="BodyText"/>
        <w:spacing w:before="7"/>
        <w:rPr>
          <w:sz w:val="15"/>
        </w:rPr>
      </w:pPr>
    </w:p>
    <w:p>
      <w:pPr>
        <w:pStyle w:val="BodyText"/>
        <w:ind w:left="960"/>
        <w:rPr>
          <w:rFonts w:ascii="Times New Roman" w:eastAsia="Times New Roman"/>
        </w:rPr>
      </w:pPr>
      <w:r>
        <w:rPr/>
        <w:t>网址：</w:t>
      </w:r>
      <w:hyperlink r:id="rId76">
        <w:r>
          <w:rPr>
            <w:rFonts w:ascii="Times New Roman" w:eastAsia="Times New Roman"/>
          </w:rPr>
          <w:t>www.dtfunds.com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400-928-2266</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珠海盈米基金销售有限公司</w:t>
      </w:r>
    </w:p>
    <w:p>
      <w:pPr>
        <w:pStyle w:val="BodyText"/>
        <w:spacing w:before="7"/>
        <w:rPr>
          <w:sz w:val="15"/>
        </w:rPr>
      </w:pPr>
    </w:p>
    <w:p>
      <w:pPr>
        <w:pStyle w:val="BodyText"/>
        <w:ind w:left="96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3"/>
        <w:rPr>
          <w:rFonts w:ascii="Times New Roman"/>
          <w:sz w:val="17"/>
        </w:rPr>
      </w:pPr>
    </w:p>
    <w:p>
      <w:pPr>
        <w:pStyle w:val="BodyText"/>
        <w:ind w:left="96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960" w:right="628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ind w:left="960"/>
      </w:pPr>
      <w:r>
        <w:rPr/>
        <w:t>联系人：吴煜浩</w:t>
      </w:r>
    </w:p>
    <w:p>
      <w:pPr>
        <w:pStyle w:val="BodyText"/>
        <w:spacing w:before="6"/>
        <w:rPr>
          <w:sz w:val="15"/>
        </w:rPr>
      </w:pPr>
    </w:p>
    <w:p>
      <w:pPr>
        <w:pStyle w:val="BodyText"/>
        <w:ind w:left="960"/>
        <w:rPr>
          <w:rFonts w:ascii="Times New Roman" w:eastAsia="Times New Roman"/>
        </w:rPr>
      </w:pPr>
      <w:r>
        <w:rPr/>
        <w:t>网址：</w:t>
      </w:r>
      <w:hyperlink r:id="rId77">
        <w:r>
          <w:rPr>
            <w:rFonts w:ascii="Times New Roman" w:eastAsia="Times New Roman"/>
          </w:rPr>
          <w:t>www.yingmi.cn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和耕传承基金销售有限公司</w:t>
      </w:r>
    </w:p>
    <w:p>
      <w:pPr>
        <w:pStyle w:val="BodyText"/>
        <w:spacing w:before="7"/>
        <w:rPr>
          <w:sz w:val="15"/>
        </w:rPr>
      </w:pPr>
    </w:p>
    <w:p>
      <w:pPr>
        <w:pStyle w:val="BodyText"/>
        <w:ind w:left="96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3"/>
        <w:rPr>
          <w:rFonts w:ascii="Times New Roman"/>
          <w:sz w:val="17"/>
        </w:rPr>
      </w:pPr>
    </w:p>
    <w:p>
      <w:pPr>
        <w:pStyle w:val="BodyText"/>
        <w:spacing w:before="1"/>
        <w:ind w:left="540"/>
      </w:pPr>
      <w:r>
        <w:rPr/>
        <w:t>房间</w:t>
      </w:r>
    </w:p>
    <w:p>
      <w:pPr>
        <w:pStyle w:val="BodyText"/>
        <w:spacing w:before="7"/>
        <w:rPr>
          <w:sz w:val="15"/>
        </w:rPr>
      </w:pPr>
    </w:p>
    <w:p>
      <w:pPr>
        <w:pStyle w:val="BodyText"/>
        <w:spacing w:line="417" w:lineRule="auto"/>
        <w:ind w:left="960" w:right="294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960" w:right="624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960"/>
      </w:pPr>
      <w:r>
        <w:rPr/>
        <w:t>联系人：胡静华</w:t>
      </w:r>
    </w:p>
    <w:p>
      <w:pPr>
        <w:pStyle w:val="BodyText"/>
        <w:spacing w:before="6"/>
        <w:rPr>
          <w:sz w:val="15"/>
        </w:rPr>
      </w:pPr>
    </w:p>
    <w:p>
      <w:pPr>
        <w:pStyle w:val="BodyText"/>
        <w:ind w:left="960"/>
        <w:rPr>
          <w:rFonts w:ascii="Times New Roman" w:eastAsia="Times New Roman"/>
        </w:rPr>
      </w:pPr>
      <w:r>
        <w:rPr/>
        <w:t>网址：</w:t>
      </w:r>
      <w:hyperlink r:id="rId78">
        <w:r>
          <w:rPr>
            <w:rFonts w:ascii="Times New Roman" w:eastAsia="Times New Roman"/>
          </w:rPr>
          <w:t>www.hgccpb.com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4000-555-671</w:t>
      </w:r>
    </w:p>
    <w:p>
      <w:pPr>
        <w:pStyle w:val="BodyText"/>
        <w:spacing w:before="3"/>
        <w:rPr>
          <w:rFonts w:ascii="Times New Roman"/>
          <w:sz w:val="17"/>
        </w:rPr>
      </w:pPr>
    </w:p>
    <w:p>
      <w:pPr>
        <w:pStyle w:val="ListParagraph"/>
        <w:numPr>
          <w:ilvl w:val="0"/>
          <w:numId w:val="10"/>
        </w:numPr>
        <w:tabs>
          <w:tab w:pos="1595" w:val="left" w:leader="none"/>
        </w:tabs>
        <w:spacing w:line="240" w:lineRule="auto" w:before="1" w:after="0"/>
        <w:ind w:left="1595" w:right="0" w:hanging="635"/>
        <w:jc w:val="left"/>
        <w:rPr>
          <w:sz w:val="21"/>
        </w:rPr>
      </w:pPr>
      <w:r>
        <w:rPr>
          <w:spacing w:val="-3"/>
          <w:sz w:val="21"/>
        </w:rPr>
        <w:t>奕丰基金销售有限公司</w:t>
      </w:r>
    </w:p>
    <w:p>
      <w:pPr>
        <w:pStyle w:val="BodyText"/>
        <w:spacing w:before="6"/>
        <w:rPr>
          <w:sz w:val="15"/>
        </w:rPr>
      </w:pPr>
    </w:p>
    <w:p>
      <w:pPr>
        <w:pStyle w:val="BodyText"/>
        <w:ind w:left="96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7"/>
        </w:rPr>
        <w:t>栋 </w:t>
      </w:r>
      <w:r>
        <w:rPr>
          <w:rFonts w:ascii="Times New Roman" w:eastAsia="Times New Roman"/>
        </w:rPr>
        <w:t>201 </w:t>
      </w:r>
      <w:r>
        <w:rPr/>
        <w:t>室</w:t>
      </w:r>
    </w:p>
    <w:p>
      <w:pPr>
        <w:spacing w:after="0"/>
        <w:sectPr>
          <w:pgSz w:w="11910" w:h="16840"/>
          <w:pgMar w:header="877" w:footer="995" w:top="1420" w:bottom="1180" w:left="1260" w:right="1480"/>
        </w:sectPr>
      </w:pPr>
    </w:p>
    <w:p>
      <w:pPr>
        <w:pStyle w:val="BodyText"/>
        <w:spacing w:line="417" w:lineRule="auto" w:before="110"/>
        <w:ind w:left="960" w:right="200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17" w:lineRule="auto"/>
        <w:ind w:left="960" w:right="624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960"/>
      </w:pPr>
      <w:r>
        <w:rPr/>
        <w:t>联系人：叶健</w:t>
      </w:r>
    </w:p>
    <w:p>
      <w:pPr>
        <w:pStyle w:val="BodyText"/>
        <w:spacing w:before="6"/>
        <w:rPr>
          <w:sz w:val="15"/>
        </w:rPr>
      </w:pPr>
    </w:p>
    <w:p>
      <w:pPr>
        <w:pStyle w:val="BodyText"/>
        <w:ind w:left="960"/>
        <w:rPr>
          <w:rFonts w:ascii="Times New Roman" w:eastAsia="Times New Roman"/>
        </w:rPr>
      </w:pPr>
      <w:r>
        <w:rPr/>
        <w:t>网址：</w:t>
      </w:r>
      <w:hyperlink r:id="rId79">
        <w:r>
          <w:rPr>
            <w:rFonts w:ascii="Times New Roman" w:eastAsia="Times New Roman"/>
          </w:rPr>
          <w:t>www.ifastps.com.cn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400-684-0500</w:t>
      </w:r>
    </w:p>
    <w:p>
      <w:pPr>
        <w:pStyle w:val="BodyText"/>
        <w:spacing w:before="3"/>
        <w:rPr>
          <w:rFonts w:ascii="Times New Roman"/>
          <w:sz w:val="17"/>
        </w:rPr>
      </w:pPr>
    </w:p>
    <w:p>
      <w:pPr>
        <w:pStyle w:val="ListParagraph"/>
        <w:numPr>
          <w:ilvl w:val="0"/>
          <w:numId w:val="10"/>
        </w:numPr>
        <w:tabs>
          <w:tab w:pos="1595" w:val="left" w:leader="none"/>
        </w:tabs>
        <w:spacing w:line="417" w:lineRule="auto" w:before="1" w:after="0"/>
        <w:ind w:left="960" w:right="392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960" w:right="206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960" w:right="634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960"/>
      </w:pPr>
      <w:r>
        <w:rPr/>
        <w:t>联系人：孙雯</w:t>
      </w:r>
    </w:p>
    <w:p>
      <w:pPr>
        <w:pStyle w:val="BodyText"/>
        <w:spacing w:before="6"/>
        <w:rPr>
          <w:sz w:val="15"/>
        </w:rPr>
      </w:pPr>
    </w:p>
    <w:p>
      <w:pPr>
        <w:pStyle w:val="BodyText"/>
        <w:ind w:left="960"/>
        <w:rPr>
          <w:rFonts w:ascii="Times New Roman" w:eastAsia="Times New Roman"/>
        </w:rPr>
      </w:pPr>
      <w:r>
        <w:rPr/>
        <w:t>网址：</w:t>
      </w:r>
      <w:hyperlink r:id="rId80">
        <w:r>
          <w:rPr>
            <w:rFonts w:ascii="Times New Roman" w:eastAsia="Times New Roman"/>
          </w:rPr>
          <w:t>www.jnlc.com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京东肯特瑞基金销售有限公司</w:t>
      </w:r>
    </w:p>
    <w:p>
      <w:pPr>
        <w:pStyle w:val="BodyText"/>
        <w:spacing w:before="7"/>
        <w:rPr>
          <w:sz w:val="15"/>
        </w:rPr>
      </w:pPr>
    </w:p>
    <w:p>
      <w:pPr>
        <w:pStyle w:val="BodyText"/>
        <w:ind w:left="96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3"/>
        <w:rPr>
          <w:rFonts w:ascii="Times New Roman"/>
          <w:sz w:val="17"/>
        </w:rPr>
      </w:pPr>
    </w:p>
    <w:p>
      <w:pPr>
        <w:pStyle w:val="BodyText"/>
        <w:spacing w:line="417" w:lineRule="auto"/>
        <w:ind w:left="960" w:right="1266"/>
      </w:pPr>
      <w:r>
        <w:rPr/>
        <w:t>办公地址：北京市大兴区亦庄经济开发区科创十一街十八号院京东集团总部法定代表人：江卉</w:t>
      </w:r>
    </w:p>
    <w:p>
      <w:pPr>
        <w:pStyle w:val="BodyText"/>
        <w:spacing w:line="417" w:lineRule="auto"/>
        <w:ind w:left="960" w:right="634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ind w:left="960"/>
      </w:pPr>
      <w:r>
        <w:rPr/>
        <w:t>联系人：黄立影</w:t>
      </w:r>
    </w:p>
    <w:p>
      <w:pPr>
        <w:pStyle w:val="BodyText"/>
        <w:spacing w:before="7"/>
        <w:rPr>
          <w:sz w:val="15"/>
        </w:rPr>
      </w:pPr>
    </w:p>
    <w:p>
      <w:pPr>
        <w:pStyle w:val="BodyText"/>
        <w:ind w:left="960"/>
        <w:rPr>
          <w:rFonts w:ascii="Times New Roman" w:eastAsia="Times New Roman"/>
        </w:rPr>
      </w:pPr>
      <w:r>
        <w:rPr/>
        <w:t>网址：</w:t>
      </w:r>
      <w:hyperlink r:id="rId81">
        <w:r>
          <w:rPr>
            <w:rFonts w:ascii="Times New Roman" w:eastAsia="Times New Roman"/>
          </w:rPr>
          <w:t>http://fund.jd.com/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大连网金基金销售有限公司</w:t>
      </w:r>
    </w:p>
    <w:p>
      <w:pPr>
        <w:pStyle w:val="BodyText"/>
        <w:spacing w:before="6"/>
        <w:rPr>
          <w:sz w:val="15"/>
        </w:rPr>
      </w:pPr>
    </w:p>
    <w:p>
      <w:pPr>
        <w:pStyle w:val="BodyText"/>
        <w:spacing w:before="1"/>
        <w:ind w:left="96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ind w:left="96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4"/>
        <w:rPr>
          <w:rFonts w:ascii="Times New Roman"/>
          <w:sz w:val="17"/>
        </w:rPr>
      </w:pPr>
    </w:p>
    <w:p>
      <w:pPr>
        <w:pStyle w:val="BodyText"/>
        <w:spacing w:line="417" w:lineRule="auto"/>
        <w:ind w:left="960" w:right="6310"/>
        <w:rPr>
          <w:rFonts w:ascii="Times New Roman" w:eastAsia="Times New Roman"/>
        </w:rPr>
      </w:pPr>
      <w:r>
        <w:rPr/>
        <w:t>法定代表人：樊怀东电话：</w:t>
      </w:r>
      <w:r>
        <w:rPr>
          <w:rFonts w:ascii="Times New Roman" w:eastAsia="Times New Roman"/>
        </w:rPr>
        <w:t>13522300698</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0411-39027835</w:t>
      </w:r>
    </w:p>
    <w:p>
      <w:pPr>
        <w:pStyle w:val="BodyText"/>
        <w:spacing w:before="3"/>
        <w:rPr>
          <w:rFonts w:ascii="Times New Roman"/>
          <w:sz w:val="17"/>
        </w:rPr>
      </w:pPr>
    </w:p>
    <w:p>
      <w:pPr>
        <w:pStyle w:val="BodyText"/>
        <w:ind w:left="960"/>
      </w:pPr>
      <w:r>
        <w:rPr/>
        <w:t>联系人：王清臣</w:t>
      </w:r>
    </w:p>
    <w:p>
      <w:pPr>
        <w:pStyle w:val="BodyText"/>
        <w:spacing w:before="7"/>
        <w:rPr>
          <w:sz w:val="15"/>
        </w:rPr>
      </w:pPr>
    </w:p>
    <w:p>
      <w:pPr>
        <w:pStyle w:val="BodyText"/>
        <w:spacing w:line="417" w:lineRule="auto"/>
        <w:ind w:left="960" w:right="5421"/>
        <w:rPr>
          <w:rFonts w:ascii="Times New Roman" w:eastAsia="Times New Roman"/>
        </w:rPr>
      </w:pPr>
      <w:r>
        <w:rPr/>
        <w:t>网址：</w:t>
      </w:r>
      <w:hyperlink r:id="rId82">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6"/>
        <w:rPr>
          <w:sz w:val="15"/>
        </w:rPr>
      </w:pPr>
    </w:p>
    <w:p>
      <w:pPr>
        <w:pStyle w:val="BodyText"/>
        <w:spacing w:before="1"/>
        <w:ind w:left="96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6"/>
        <w:rPr>
          <w:sz w:val="15"/>
        </w:rPr>
      </w:pPr>
    </w:p>
    <w:p>
      <w:pPr>
        <w:pStyle w:val="BodyText"/>
        <w:spacing w:line="417" w:lineRule="auto"/>
        <w:ind w:left="960" w:right="169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17" w:lineRule="auto" w:before="1"/>
        <w:ind w:left="960" w:right="634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960"/>
      </w:pPr>
      <w:r>
        <w:rPr/>
        <w:t>联系人：李娜</w:t>
      </w:r>
    </w:p>
    <w:p>
      <w:pPr>
        <w:pStyle w:val="BodyText"/>
        <w:spacing w:before="6"/>
        <w:rPr>
          <w:sz w:val="15"/>
        </w:rPr>
      </w:pPr>
    </w:p>
    <w:p>
      <w:pPr>
        <w:pStyle w:val="BodyText"/>
        <w:ind w:left="960"/>
        <w:rPr>
          <w:rFonts w:ascii="Times New Roman" w:eastAsia="Times New Roman"/>
        </w:rPr>
      </w:pPr>
      <w:r>
        <w:rPr/>
        <w:t>网址：</w:t>
      </w:r>
      <w:hyperlink r:id="rId83">
        <w:r>
          <w:rPr>
            <w:rFonts w:ascii="Times New Roman" w:eastAsia="Times New Roman"/>
          </w:rPr>
          <w:t>www.cmiwm.com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400-876-5716</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深圳市金斧子基金销售有限公司</w:t>
      </w:r>
    </w:p>
    <w:p>
      <w:pPr>
        <w:pStyle w:val="BodyText"/>
        <w:spacing w:before="7"/>
        <w:rPr>
          <w:sz w:val="15"/>
        </w:rPr>
      </w:pPr>
    </w:p>
    <w:p>
      <w:pPr>
        <w:pStyle w:val="BodyText"/>
        <w:ind w:left="96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4"/>
        <w:rPr>
          <w:rFonts w:ascii="Times New Roman"/>
          <w:sz w:val="17"/>
        </w:rPr>
      </w:pPr>
    </w:p>
    <w:p>
      <w:pPr>
        <w:pStyle w:val="BodyText"/>
        <w:ind w:left="96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3"/>
        <w:rPr>
          <w:rFonts w:ascii="Times New Roman"/>
          <w:sz w:val="17"/>
        </w:rPr>
      </w:pPr>
    </w:p>
    <w:p>
      <w:pPr>
        <w:pStyle w:val="BodyText"/>
        <w:ind w:left="540"/>
        <w:rPr>
          <w:rFonts w:ascii="Times New Roman" w:eastAsia="Times New Roman"/>
        </w:rPr>
      </w:pPr>
      <w:r>
        <w:rPr/>
        <w:t>层 </w:t>
      </w:r>
      <w:r>
        <w:rPr>
          <w:rFonts w:ascii="Times New Roman" w:eastAsia="Times New Roman"/>
        </w:rPr>
        <w:t>1108</w:t>
      </w:r>
    </w:p>
    <w:p>
      <w:pPr>
        <w:pStyle w:val="BodyText"/>
        <w:spacing w:before="4"/>
        <w:rPr>
          <w:rFonts w:ascii="Times New Roman"/>
          <w:sz w:val="17"/>
        </w:rPr>
      </w:pPr>
    </w:p>
    <w:p>
      <w:pPr>
        <w:pStyle w:val="BodyText"/>
        <w:spacing w:line="417" w:lineRule="auto"/>
        <w:ind w:left="960" w:right="624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ind w:left="960"/>
      </w:pPr>
      <w:r>
        <w:rPr/>
        <w:t>联系人：陈丽霞</w:t>
      </w:r>
    </w:p>
    <w:p>
      <w:pPr>
        <w:pStyle w:val="BodyText"/>
        <w:spacing w:before="7"/>
        <w:rPr>
          <w:sz w:val="15"/>
        </w:rPr>
      </w:pPr>
    </w:p>
    <w:p>
      <w:pPr>
        <w:pStyle w:val="BodyText"/>
        <w:ind w:left="960"/>
        <w:rPr>
          <w:rFonts w:ascii="Times New Roman" w:eastAsia="Times New Roman"/>
        </w:rPr>
      </w:pPr>
      <w:r>
        <w:rPr/>
        <w:t>网址：</w:t>
      </w:r>
      <w:hyperlink r:id="rId84">
        <w:r>
          <w:rPr>
            <w:rFonts w:ascii="Times New Roman" w:eastAsia="Times New Roman"/>
          </w:rPr>
          <w:t>www.jfzinv.com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北京蛋卷基金销售有限公司</w:t>
      </w:r>
    </w:p>
    <w:p>
      <w:pPr>
        <w:pStyle w:val="BodyText"/>
        <w:spacing w:before="7"/>
        <w:rPr>
          <w:sz w:val="15"/>
        </w:rPr>
      </w:pPr>
    </w:p>
    <w:p>
      <w:pPr>
        <w:pStyle w:val="BodyText"/>
        <w:ind w:left="96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ind w:left="96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pStyle w:val="BodyText"/>
        <w:ind w:left="960"/>
      </w:pPr>
      <w:r>
        <w:rPr/>
        <w:t>联系人：袁永姣</w:t>
      </w:r>
    </w:p>
    <w:p>
      <w:pPr>
        <w:spacing w:after="0"/>
        <w:sectPr>
          <w:pgSz w:w="11910" w:h="16840"/>
          <w:pgMar w:header="877" w:footer="995" w:top="1420" w:bottom="1180" w:left="1260" w:right="1480"/>
        </w:sectPr>
      </w:pPr>
    </w:p>
    <w:p>
      <w:pPr>
        <w:pStyle w:val="BodyText"/>
        <w:spacing w:line="417" w:lineRule="auto" w:before="110"/>
        <w:ind w:left="960" w:right="554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天津万家财富资产管理有限公司</w:t>
      </w:r>
    </w:p>
    <w:p>
      <w:pPr>
        <w:pStyle w:val="BodyText"/>
        <w:spacing w:before="6"/>
        <w:rPr>
          <w:sz w:val="15"/>
        </w:rPr>
      </w:pPr>
    </w:p>
    <w:p>
      <w:pPr>
        <w:pStyle w:val="BodyText"/>
        <w:ind w:left="960"/>
      </w:pPr>
      <w:r>
        <w:rPr/>
        <w:t>住所：天津自贸区（中心商务区）迎宾大道 </w:t>
      </w:r>
      <w:r>
        <w:rPr>
          <w:rFonts w:ascii="Times New Roman" w:eastAsia="Times New Roman"/>
        </w:rPr>
        <w:t>1988 </w:t>
      </w:r>
      <w:r>
        <w:rPr/>
        <w:t>号滨海浙商大厦公寓 </w:t>
      </w:r>
      <w:r>
        <w:rPr>
          <w:rFonts w:ascii="Times New Roman" w:eastAsia="Times New Roman"/>
        </w:rPr>
        <w:t>2-2413 </w:t>
      </w:r>
      <w:r>
        <w:rPr/>
        <w:t>室</w:t>
      </w:r>
    </w:p>
    <w:p>
      <w:pPr>
        <w:pStyle w:val="BodyText"/>
        <w:spacing w:before="7"/>
        <w:rPr>
          <w:sz w:val="15"/>
        </w:rPr>
      </w:pPr>
    </w:p>
    <w:p>
      <w:pPr>
        <w:pStyle w:val="BodyText"/>
        <w:spacing w:line="417" w:lineRule="auto"/>
        <w:ind w:left="960" w:right="2635"/>
      </w:pPr>
      <w:r>
        <w:rPr>
          <w:spacing w:val="-6"/>
        </w:rPr>
        <w:t>办公地址：北京市西城区丰盛胡同 </w:t>
      </w:r>
      <w:r>
        <w:rPr>
          <w:rFonts w:ascii="Times New Roman" w:eastAsia="Times New Roman"/>
        </w:rPr>
        <w:t>28 </w:t>
      </w:r>
      <w:r>
        <w:rPr>
          <w:spacing w:val="-8"/>
        </w:rPr>
        <w:t>号太平洋保险大厦 </w:t>
      </w:r>
      <w:r>
        <w:rPr>
          <w:rFonts w:ascii="Times New Roman" w:eastAsia="Times New Roman"/>
        </w:rPr>
        <w:t>5 </w:t>
      </w:r>
      <w:r>
        <w:rPr/>
        <w:t>层</w:t>
      </w:r>
      <w:r>
        <w:rPr>
          <w:spacing w:val="-3"/>
        </w:rPr>
        <w:t>法定代表人：李修辞</w:t>
      </w:r>
    </w:p>
    <w:p>
      <w:pPr>
        <w:pStyle w:val="BodyText"/>
        <w:spacing w:line="417" w:lineRule="auto"/>
        <w:ind w:left="960" w:right="6346"/>
        <w:rPr>
          <w:rFonts w:ascii="Times New Roman" w:eastAsia="Times New Roman"/>
        </w:rPr>
      </w:pPr>
      <w:r>
        <w:rPr/>
        <w:t>电话：</w:t>
      </w:r>
      <w:r>
        <w:rPr>
          <w:rFonts w:ascii="Times New Roman" w:eastAsia="Times New Roman"/>
        </w:rPr>
        <w:t>18511290872 </w:t>
      </w:r>
      <w:r>
        <w:rPr/>
        <w:t>传真：</w:t>
      </w:r>
      <w:r>
        <w:rPr>
          <w:rFonts w:ascii="Times New Roman" w:eastAsia="Times New Roman"/>
        </w:rPr>
        <w:t>010-59013828</w:t>
      </w:r>
    </w:p>
    <w:p>
      <w:pPr>
        <w:pStyle w:val="BodyText"/>
        <w:ind w:left="960"/>
      </w:pPr>
      <w:r>
        <w:rPr/>
        <w:t>联系人：邵玉磊</w:t>
      </w:r>
    </w:p>
    <w:p>
      <w:pPr>
        <w:pStyle w:val="BodyText"/>
        <w:spacing w:before="7"/>
        <w:rPr>
          <w:sz w:val="15"/>
        </w:rPr>
      </w:pPr>
    </w:p>
    <w:p>
      <w:pPr>
        <w:pStyle w:val="BodyText"/>
        <w:spacing w:line="417" w:lineRule="auto"/>
        <w:ind w:left="960" w:right="5505"/>
        <w:rPr>
          <w:rFonts w:ascii="Times New Roman" w:eastAsia="Times New Roman"/>
        </w:rPr>
      </w:pPr>
      <w:r>
        <w:rPr/>
        <w:t>网址：</w:t>
      </w:r>
      <w:hyperlink r:id="rId85">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上海华夏财富投资管理有限公司</w:t>
      </w:r>
    </w:p>
    <w:p>
      <w:pPr>
        <w:pStyle w:val="BodyText"/>
        <w:spacing w:before="6"/>
        <w:rPr>
          <w:sz w:val="15"/>
        </w:rPr>
      </w:pPr>
    </w:p>
    <w:p>
      <w:pPr>
        <w:pStyle w:val="BodyText"/>
        <w:spacing w:before="1"/>
        <w:ind w:left="96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6"/>
        <w:rPr>
          <w:sz w:val="15"/>
        </w:rPr>
      </w:pPr>
    </w:p>
    <w:p>
      <w:pPr>
        <w:pStyle w:val="BodyText"/>
        <w:spacing w:line="417" w:lineRule="auto"/>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960" w:right="634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960"/>
      </w:pPr>
      <w:r>
        <w:rPr/>
        <w:t>联系人：张静怡</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86">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中信期货有限公司</w:t>
      </w:r>
    </w:p>
    <w:p>
      <w:pPr>
        <w:pStyle w:val="BodyText"/>
        <w:spacing w:before="7"/>
        <w:rPr>
          <w:sz w:val="15"/>
        </w:rPr>
      </w:pPr>
    </w:p>
    <w:p>
      <w:pPr>
        <w:pStyle w:val="BodyText"/>
        <w:spacing w:line="417" w:lineRule="auto" w:before="1"/>
        <w:ind w:left="960" w:right="31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ListParagraph"/>
        <w:numPr>
          <w:ilvl w:val="0"/>
          <w:numId w:val="11"/>
        </w:numPr>
        <w:tabs>
          <w:tab w:pos="805" w:val="left" w:leader="none"/>
        </w:tabs>
        <w:spacing w:line="269" w:lineRule="exact" w:before="0" w:after="0"/>
        <w:ind w:left="804" w:right="0" w:hanging="265"/>
        <w:jc w:val="left"/>
        <w:rPr>
          <w:sz w:val="21"/>
        </w:rPr>
      </w:pPr>
      <w:r>
        <w:rPr>
          <w:w w:val="100"/>
          <w:sz w:val="21"/>
        </w:rPr>
        <w:t>层</w:t>
      </w:r>
    </w:p>
    <w:p>
      <w:pPr>
        <w:pStyle w:val="BodyText"/>
        <w:spacing w:before="6"/>
        <w:rPr>
          <w:sz w:val="15"/>
        </w:rPr>
      </w:pPr>
    </w:p>
    <w:p>
      <w:pPr>
        <w:pStyle w:val="BodyText"/>
        <w:spacing w:line="417" w:lineRule="auto"/>
        <w:ind w:left="960" w:right="618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line="269" w:lineRule="exact"/>
        <w:ind w:left="960"/>
      </w:pPr>
      <w:r>
        <w:rPr/>
        <w:t>联系人：刘宏莹</w:t>
      </w:r>
    </w:p>
    <w:p>
      <w:pPr>
        <w:pStyle w:val="BodyText"/>
        <w:spacing w:before="7"/>
        <w:rPr>
          <w:sz w:val="15"/>
        </w:rPr>
      </w:pPr>
    </w:p>
    <w:p>
      <w:pPr>
        <w:pStyle w:val="BodyText"/>
        <w:ind w:left="960"/>
        <w:rPr>
          <w:rFonts w:ascii="Times New Roman" w:eastAsia="Times New Roman"/>
        </w:rPr>
      </w:pPr>
      <w:r>
        <w:rPr/>
        <w:t>网址：</w:t>
      </w:r>
      <w:hyperlink r:id="rId87">
        <w:r>
          <w:rPr>
            <w:rFonts w:ascii="Times New Roman" w:eastAsia="Times New Roman"/>
          </w:rPr>
          <w:t>www.citicsf.com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400-990-8826</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10"/>
        </w:numPr>
        <w:tabs>
          <w:tab w:pos="1595" w:val="left" w:leader="none"/>
        </w:tabs>
        <w:spacing w:line="417" w:lineRule="auto" w:before="110" w:after="0"/>
        <w:ind w:left="960" w:right="547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ind w:left="960" w:right="4464"/>
      </w:pPr>
      <w:r>
        <w:rPr/>
        <w:t>办公地址：南京市中华路 </w:t>
      </w:r>
      <w:r>
        <w:rPr>
          <w:rFonts w:ascii="Times New Roman" w:eastAsia="Times New Roman"/>
        </w:rPr>
        <w:t>50 </w:t>
      </w:r>
      <w:r>
        <w:rPr/>
        <w:t>号弘业大厦法定代表人：周剑秋</w:t>
      </w:r>
    </w:p>
    <w:p>
      <w:pPr>
        <w:pStyle w:val="BodyText"/>
        <w:spacing w:line="417" w:lineRule="auto"/>
        <w:ind w:left="960" w:right="634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9" w:lineRule="exact"/>
        <w:ind w:left="960"/>
      </w:pPr>
      <w:r>
        <w:rPr/>
        <w:t>联系人：张苏怡</w:t>
      </w:r>
    </w:p>
    <w:p>
      <w:pPr>
        <w:pStyle w:val="BodyText"/>
        <w:spacing w:before="6"/>
        <w:rPr>
          <w:sz w:val="15"/>
        </w:rPr>
      </w:pPr>
    </w:p>
    <w:p>
      <w:pPr>
        <w:pStyle w:val="BodyText"/>
        <w:ind w:left="960"/>
        <w:rPr>
          <w:rFonts w:ascii="Times New Roman" w:eastAsia="Times New Roman"/>
        </w:rPr>
      </w:pPr>
      <w:r>
        <w:rPr/>
        <w:t>网址：</w:t>
      </w:r>
      <w:hyperlink r:id="rId88">
        <w:r>
          <w:rPr>
            <w:rFonts w:ascii="Times New Roman" w:eastAsia="Times New Roman"/>
          </w:rPr>
          <w:t>www.ftol.com.cn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400-828-8288</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国泰君安证券股份有限公司</w:t>
      </w:r>
    </w:p>
    <w:p>
      <w:pPr>
        <w:pStyle w:val="BodyText"/>
        <w:spacing w:before="7"/>
        <w:rPr>
          <w:sz w:val="15"/>
        </w:rPr>
      </w:pPr>
    </w:p>
    <w:p>
      <w:pPr>
        <w:pStyle w:val="BodyText"/>
        <w:ind w:left="960"/>
      </w:pPr>
      <w:r>
        <w:rPr/>
        <w:t>住所：中国（上海）自由贸易试验区商城路 </w:t>
      </w:r>
      <w:r>
        <w:rPr>
          <w:rFonts w:ascii="Times New Roman" w:eastAsia="Times New Roman"/>
        </w:rPr>
        <w:t>618 </w:t>
      </w:r>
      <w:r>
        <w:rPr/>
        <w:t>号</w:t>
      </w:r>
    </w:p>
    <w:p>
      <w:pPr>
        <w:pStyle w:val="BodyText"/>
        <w:spacing w:before="7"/>
        <w:rPr>
          <w:sz w:val="15"/>
        </w:rPr>
      </w:pPr>
    </w:p>
    <w:p>
      <w:pPr>
        <w:pStyle w:val="BodyText"/>
        <w:spacing w:line="417" w:lineRule="auto"/>
        <w:ind w:left="960" w:right="3097"/>
      </w:pPr>
      <w:r>
        <w:rPr/>
        <w:t>办公地址：上海市静安区南京西路 </w:t>
      </w:r>
      <w:r>
        <w:rPr>
          <w:rFonts w:ascii="Times New Roman" w:eastAsia="Times New Roman"/>
        </w:rPr>
        <w:t>768 </w:t>
      </w:r>
      <w:r>
        <w:rPr/>
        <w:t>号国泰君安大厦法定代表人：贺青</w:t>
      </w:r>
    </w:p>
    <w:p>
      <w:pPr>
        <w:pStyle w:val="BodyText"/>
        <w:spacing w:line="417" w:lineRule="auto"/>
        <w:ind w:left="960" w:right="634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ind w:left="960"/>
      </w:pPr>
      <w:r>
        <w:rPr/>
        <w:t>联系人：黄博铭</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89">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中信建投证券股份有限公司</w:t>
      </w:r>
    </w:p>
    <w:p>
      <w:pPr>
        <w:pStyle w:val="BodyText"/>
        <w:spacing w:before="7"/>
        <w:rPr>
          <w:sz w:val="15"/>
        </w:rPr>
      </w:pPr>
    </w:p>
    <w:p>
      <w:pPr>
        <w:pStyle w:val="BodyText"/>
        <w:ind w:left="96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7"/>
        <w:rPr>
          <w:sz w:val="15"/>
        </w:rPr>
      </w:pPr>
    </w:p>
    <w:p>
      <w:pPr>
        <w:pStyle w:val="BodyText"/>
        <w:spacing w:line="417" w:lineRule="auto"/>
        <w:ind w:left="960" w:right="462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960"/>
      </w:pPr>
      <w:r>
        <w:rPr/>
        <w:t>联系人：权唐</w:t>
      </w:r>
    </w:p>
    <w:p>
      <w:pPr>
        <w:pStyle w:val="BodyText"/>
        <w:spacing w:before="7"/>
        <w:rPr>
          <w:sz w:val="15"/>
        </w:rPr>
      </w:pPr>
    </w:p>
    <w:p>
      <w:pPr>
        <w:pStyle w:val="BodyText"/>
        <w:ind w:left="960"/>
        <w:rPr>
          <w:rFonts w:ascii="Times New Roman" w:eastAsia="Times New Roman"/>
        </w:rPr>
      </w:pPr>
      <w:r>
        <w:rPr/>
        <w:t>网址：</w:t>
      </w:r>
      <w:hyperlink r:id="rId90">
        <w:r>
          <w:rPr>
            <w:rFonts w:ascii="Times New Roman" w:eastAsia="Times New Roman"/>
          </w:rPr>
          <w:t>www.csc108.com</w:t>
        </w:r>
      </w:hyperlink>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国信证券股份有限公司</w:t>
      </w:r>
    </w:p>
    <w:p>
      <w:pPr>
        <w:pStyle w:val="BodyText"/>
        <w:spacing w:before="7"/>
        <w:rPr>
          <w:sz w:val="15"/>
        </w:rPr>
      </w:pPr>
    </w:p>
    <w:p>
      <w:pPr>
        <w:pStyle w:val="BodyText"/>
        <w:ind w:left="960"/>
      </w:pPr>
      <w:r>
        <w:rPr/>
        <w:t>住所：深圳市罗湖区红岭中路 </w:t>
      </w:r>
      <w:r>
        <w:rPr>
          <w:rFonts w:ascii="Times New Roman" w:eastAsia="Times New Roman"/>
        </w:rPr>
        <w:t>1012 </w:t>
      </w:r>
      <w:r>
        <w:rPr/>
        <w:t>号国信证券大厦十六层至二十六层</w:t>
      </w:r>
    </w:p>
    <w:p>
      <w:pPr>
        <w:pStyle w:val="BodyText"/>
        <w:spacing w:before="7"/>
        <w:rPr>
          <w:sz w:val="15"/>
        </w:rPr>
      </w:pPr>
    </w:p>
    <w:p>
      <w:pPr>
        <w:pStyle w:val="BodyText"/>
        <w:spacing w:line="417" w:lineRule="auto"/>
        <w:ind w:left="960" w:right="1313"/>
      </w:pPr>
      <w:r>
        <w:rPr/>
        <w:t>办公地址：深圳市罗湖区红岭中路 </w:t>
      </w:r>
      <w:r>
        <w:rPr>
          <w:rFonts w:ascii="Times New Roman" w:eastAsia="Times New Roman"/>
        </w:rPr>
        <w:t>1012 </w:t>
      </w:r>
      <w:r>
        <w:rPr/>
        <w:t>号国信证券大厦十六层至二十六层法定代表人：何如</w:t>
      </w:r>
    </w:p>
    <w:p>
      <w:pPr>
        <w:spacing w:after="0" w:line="417" w:lineRule="auto"/>
        <w:sectPr>
          <w:pgSz w:w="11910" w:h="16840"/>
          <w:pgMar w:header="877" w:footer="995" w:top="1420" w:bottom="11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960"/>
      </w:pPr>
      <w:r>
        <w:rPr/>
        <w:t>联系人：李颖</w:t>
      </w:r>
    </w:p>
    <w:p>
      <w:pPr>
        <w:pStyle w:val="BodyText"/>
        <w:spacing w:before="6"/>
        <w:rPr>
          <w:sz w:val="15"/>
        </w:rPr>
      </w:pPr>
    </w:p>
    <w:p>
      <w:pPr>
        <w:pStyle w:val="BodyText"/>
        <w:spacing w:line="417" w:lineRule="auto"/>
        <w:ind w:left="960" w:right="5775"/>
        <w:rPr>
          <w:rFonts w:ascii="Times New Roman" w:eastAsia="Times New Roman"/>
        </w:rPr>
      </w:pPr>
      <w:r>
        <w:rPr/>
        <w:t>网址：</w:t>
      </w:r>
      <w:hyperlink r:id="rId91">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招商证券股份有限公司</w:t>
      </w:r>
    </w:p>
    <w:p>
      <w:pPr>
        <w:pStyle w:val="BodyText"/>
        <w:spacing w:before="7"/>
        <w:rPr>
          <w:sz w:val="15"/>
        </w:rPr>
      </w:pPr>
    </w:p>
    <w:p>
      <w:pPr>
        <w:pStyle w:val="BodyText"/>
        <w:ind w:left="960"/>
      </w:pPr>
      <w:r>
        <w:rPr/>
        <w:t>住所：深圳市福田区福田街道福华一路 </w:t>
      </w:r>
      <w:r>
        <w:rPr>
          <w:rFonts w:ascii="Times New Roman" w:eastAsia="Times New Roman"/>
        </w:rPr>
        <w:t>111 </w:t>
      </w:r>
      <w:r>
        <w:rPr/>
        <w:t>号</w:t>
      </w:r>
    </w:p>
    <w:p>
      <w:pPr>
        <w:pStyle w:val="BodyText"/>
        <w:spacing w:before="7"/>
        <w:rPr>
          <w:sz w:val="15"/>
        </w:rPr>
      </w:pPr>
    </w:p>
    <w:p>
      <w:pPr>
        <w:pStyle w:val="BodyText"/>
        <w:spacing w:line="417" w:lineRule="auto" w:before="1"/>
        <w:ind w:left="960" w:right="3526"/>
      </w:pPr>
      <w:r>
        <w:rPr/>
        <w:t>办公地址：深圳市福田区福田街道福华一路 </w:t>
      </w:r>
      <w:r>
        <w:rPr>
          <w:rFonts w:ascii="Times New Roman" w:eastAsia="Times New Roman"/>
        </w:rPr>
        <w:t>111 </w:t>
      </w:r>
      <w:r>
        <w:rPr/>
        <w:t>号法定代表人：霍达</w:t>
      </w:r>
    </w:p>
    <w:p>
      <w:pPr>
        <w:pStyle w:val="BodyText"/>
        <w:spacing w:line="417" w:lineRule="auto"/>
        <w:ind w:left="960" w:right="624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spacing w:line="269" w:lineRule="exact"/>
        <w:ind w:left="960"/>
      </w:pPr>
      <w:r>
        <w:rPr/>
        <w:t>联系人：黄健</w:t>
      </w:r>
    </w:p>
    <w:p>
      <w:pPr>
        <w:pStyle w:val="BodyText"/>
        <w:spacing w:before="6"/>
        <w:rPr>
          <w:sz w:val="15"/>
        </w:rPr>
      </w:pPr>
    </w:p>
    <w:p>
      <w:pPr>
        <w:pStyle w:val="BodyText"/>
        <w:spacing w:line="417" w:lineRule="auto"/>
        <w:ind w:left="960" w:right="5717"/>
        <w:rPr>
          <w:rFonts w:ascii="Times New Roman" w:eastAsia="Times New Roman"/>
        </w:rPr>
      </w:pPr>
      <w:r>
        <w:rPr/>
        <w:t>网址：</w:t>
      </w:r>
      <w:hyperlink r:id="rId92">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广发证券股份有限公司</w:t>
      </w:r>
    </w:p>
    <w:p>
      <w:pPr>
        <w:pStyle w:val="BodyText"/>
        <w:spacing w:before="7"/>
        <w:rPr>
          <w:sz w:val="15"/>
        </w:rPr>
      </w:pPr>
    </w:p>
    <w:p>
      <w:pPr>
        <w:pStyle w:val="BodyText"/>
        <w:ind w:left="96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6"/>
        <w:rPr>
          <w:sz w:val="15"/>
        </w:rPr>
      </w:pPr>
    </w:p>
    <w:p>
      <w:pPr>
        <w:pStyle w:val="BodyText"/>
        <w:spacing w:line="417" w:lineRule="auto" w:before="1"/>
        <w:ind w:left="960" w:right="294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17" w:lineRule="auto"/>
        <w:ind w:left="960" w:right="634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spacing w:line="269" w:lineRule="exact"/>
        <w:ind w:left="960"/>
      </w:pPr>
      <w:r>
        <w:rPr/>
        <w:t>联系人：陈姗姗</w:t>
      </w:r>
    </w:p>
    <w:p>
      <w:pPr>
        <w:pStyle w:val="BodyText"/>
        <w:spacing w:before="6"/>
        <w:rPr>
          <w:sz w:val="15"/>
        </w:rPr>
      </w:pPr>
    </w:p>
    <w:p>
      <w:pPr>
        <w:pStyle w:val="BodyText"/>
        <w:spacing w:before="1"/>
        <w:ind w:left="960"/>
        <w:rPr>
          <w:rFonts w:ascii="Times New Roman" w:eastAsia="Times New Roman"/>
        </w:rPr>
      </w:pPr>
      <w:r>
        <w:rPr/>
        <w:t>网址：</w:t>
      </w:r>
      <w:hyperlink r:id="rId93">
        <w:r>
          <w:rPr>
            <w:rFonts w:ascii="Times New Roman" w:eastAsia="Times New Roman"/>
          </w:rPr>
          <w:t>www.gf.com.cn</w:t>
        </w:r>
      </w:hyperlink>
    </w:p>
    <w:p>
      <w:pPr>
        <w:pStyle w:val="BodyText"/>
        <w:spacing w:before="3"/>
        <w:rPr>
          <w:rFonts w:ascii="Times New Roman"/>
          <w:sz w:val="17"/>
        </w:rPr>
      </w:pPr>
    </w:p>
    <w:p>
      <w:pPr>
        <w:pStyle w:val="BodyText"/>
        <w:ind w:left="960"/>
      </w:pPr>
      <w:r>
        <w:rPr/>
        <w:t>客户服务电话：</w:t>
      </w:r>
      <w:r>
        <w:rPr>
          <w:rFonts w:ascii="Times New Roman" w:eastAsia="Times New Roman"/>
        </w:rPr>
        <w:t>95575 </w:t>
      </w:r>
      <w:r>
        <w:rPr/>
        <w:t>或致电各地营业网点</w:t>
      </w:r>
    </w:p>
    <w:p>
      <w:pPr>
        <w:pStyle w:val="BodyText"/>
        <w:spacing w:before="7"/>
        <w:rPr>
          <w:sz w:val="15"/>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中信证券股份有限公司</w:t>
      </w:r>
    </w:p>
    <w:p>
      <w:pPr>
        <w:pStyle w:val="BodyText"/>
        <w:spacing w:before="6"/>
        <w:rPr>
          <w:sz w:val="15"/>
        </w:rPr>
      </w:pPr>
    </w:p>
    <w:p>
      <w:pPr>
        <w:pStyle w:val="BodyText"/>
        <w:ind w:left="960"/>
      </w:pPr>
      <w:r>
        <w:rPr/>
        <w:t>住所：广东省深圳市福田区中心三路 </w:t>
      </w:r>
      <w:r>
        <w:rPr>
          <w:rFonts w:ascii="Times New Roman" w:eastAsia="Times New Roman"/>
        </w:rPr>
        <w:t>8 </w:t>
      </w:r>
      <w:r>
        <w:rPr/>
        <w:t>号卓越时代广场（二期）北座</w:t>
      </w:r>
    </w:p>
    <w:p>
      <w:pPr>
        <w:pStyle w:val="BodyText"/>
        <w:spacing w:before="7"/>
        <w:rPr>
          <w:sz w:val="15"/>
        </w:rPr>
      </w:pPr>
    </w:p>
    <w:p>
      <w:pPr>
        <w:pStyle w:val="BodyText"/>
        <w:spacing w:line="417" w:lineRule="auto"/>
        <w:ind w:left="960" w:right="320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960" w:right="634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ind w:left="960"/>
      </w:pPr>
      <w:r>
        <w:rPr/>
        <w:t>联系人：郑慧</w:t>
      </w:r>
    </w:p>
    <w:p>
      <w:pPr>
        <w:spacing w:after="0"/>
        <w:sectPr>
          <w:pgSz w:w="11910" w:h="16840"/>
          <w:pgMar w:header="877" w:footer="995" w:top="1420" w:bottom="1180" w:left="1260" w:right="1480"/>
        </w:sectPr>
      </w:pPr>
    </w:p>
    <w:p>
      <w:pPr>
        <w:pStyle w:val="BodyText"/>
        <w:spacing w:line="417" w:lineRule="auto" w:before="110"/>
        <w:ind w:left="960" w:right="5938"/>
        <w:rPr>
          <w:rFonts w:ascii="Times New Roman" w:eastAsia="Times New Roman"/>
        </w:rPr>
      </w:pPr>
      <w:r>
        <w:rPr/>
        <w:t>网址：</w:t>
      </w:r>
      <w:hyperlink r:id="rId94">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中国银河证券股份有限公司</w:t>
      </w:r>
    </w:p>
    <w:p>
      <w:pPr>
        <w:pStyle w:val="BodyText"/>
        <w:spacing w:before="6"/>
        <w:rPr>
          <w:sz w:val="15"/>
        </w:rPr>
      </w:pPr>
    </w:p>
    <w:p>
      <w:pPr>
        <w:pStyle w:val="BodyText"/>
        <w:ind w:left="96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7"/>
        <w:rPr>
          <w:sz w:val="15"/>
        </w:rPr>
      </w:pPr>
    </w:p>
    <w:p>
      <w:pPr>
        <w:pStyle w:val="BodyText"/>
        <w:spacing w:line="417" w:lineRule="auto"/>
        <w:ind w:left="960" w:right="281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pStyle w:val="BodyText"/>
        <w:spacing w:line="417" w:lineRule="auto"/>
        <w:ind w:left="960" w:right="634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ind w:left="960"/>
      </w:pPr>
      <w:r>
        <w:rPr/>
        <w:t>联系人：辛国政</w:t>
      </w:r>
    </w:p>
    <w:p>
      <w:pPr>
        <w:pStyle w:val="BodyText"/>
        <w:spacing w:before="7"/>
        <w:rPr>
          <w:sz w:val="15"/>
        </w:rPr>
      </w:pPr>
    </w:p>
    <w:p>
      <w:pPr>
        <w:pStyle w:val="BodyText"/>
        <w:ind w:left="960"/>
        <w:rPr>
          <w:rFonts w:ascii="Times New Roman" w:eastAsia="Times New Roman"/>
        </w:rPr>
      </w:pPr>
      <w:r>
        <w:rPr/>
        <w:t>网址：</w:t>
      </w:r>
      <w:hyperlink r:id="rId95">
        <w:r>
          <w:rPr>
            <w:rFonts w:ascii="Times New Roman" w:eastAsia="Times New Roman"/>
          </w:rPr>
          <w:t>www.chinastock.com.cn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海通证券股份有限公司</w:t>
      </w:r>
    </w:p>
    <w:p>
      <w:pPr>
        <w:pStyle w:val="BodyText"/>
        <w:spacing w:before="6"/>
        <w:rPr>
          <w:sz w:val="15"/>
        </w:rPr>
      </w:pPr>
    </w:p>
    <w:p>
      <w:pPr>
        <w:pStyle w:val="BodyText"/>
        <w:spacing w:before="1"/>
        <w:ind w:left="960"/>
      </w:pPr>
      <w:r>
        <w:rPr/>
        <w:t>住所：上海市黄浦区广东路 </w:t>
      </w:r>
      <w:r>
        <w:rPr>
          <w:rFonts w:ascii="Times New Roman" w:eastAsia="Times New Roman"/>
        </w:rPr>
        <w:t>689 </w:t>
      </w:r>
      <w:r>
        <w:rPr/>
        <w:t>号</w:t>
      </w:r>
    </w:p>
    <w:p>
      <w:pPr>
        <w:pStyle w:val="BodyText"/>
        <w:spacing w:before="6"/>
        <w:rPr>
          <w:sz w:val="15"/>
        </w:rPr>
      </w:pPr>
    </w:p>
    <w:p>
      <w:pPr>
        <w:pStyle w:val="BodyText"/>
        <w:spacing w:line="417" w:lineRule="auto"/>
        <w:ind w:left="960" w:right="4568"/>
      </w:pPr>
      <w:r>
        <w:rPr/>
        <w:t>办公地址：上海市黄浦区广东路 </w:t>
      </w:r>
      <w:r>
        <w:rPr>
          <w:rFonts w:ascii="Times New Roman" w:eastAsia="Times New Roman"/>
        </w:rPr>
        <w:t>689 </w:t>
      </w:r>
      <w:r>
        <w:rPr/>
        <w:t>号法定代表人：周杰</w:t>
      </w:r>
    </w:p>
    <w:p>
      <w:pPr>
        <w:pStyle w:val="BodyText"/>
        <w:spacing w:line="417" w:lineRule="auto"/>
        <w:ind w:left="960" w:right="634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960" w:right="6101"/>
        <w:rPr>
          <w:rFonts w:ascii="Times New Roman" w:eastAsia="Times New Roman"/>
        </w:rPr>
      </w:pPr>
      <w:r>
        <w:rPr/>
        <w:t>联系人：金芸、李笑鸣网址：</w:t>
      </w:r>
      <w:hyperlink r:id="rId96">
        <w:r>
          <w:rPr>
            <w:rFonts w:ascii="Times New Roman" w:eastAsia="Times New Roman"/>
          </w:rPr>
          <w:t>www.htsec.com</w:t>
        </w:r>
      </w:hyperlink>
    </w:p>
    <w:p>
      <w:pPr>
        <w:pStyle w:val="BodyText"/>
        <w:spacing w:line="269" w:lineRule="exact"/>
        <w:ind w:left="96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申万宏源证券有限公司</w:t>
      </w:r>
    </w:p>
    <w:p>
      <w:pPr>
        <w:pStyle w:val="BodyText"/>
        <w:spacing w:before="8"/>
        <w:rPr>
          <w:sz w:val="15"/>
        </w:rPr>
      </w:pPr>
    </w:p>
    <w:p>
      <w:pPr>
        <w:pStyle w:val="BodyText"/>
        <w:ind w:left="96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6"/>
        <w:rPr>
          <w:sz w:val="15"/>
        </w:rPr>
      </w:pPr>
    </w:p>
    <w:p>
      <w:pPr>
        <w:pStyle w:val="BodyText"/>
        <w:spacing w:line="417" w:lineRule="auto" w:before="1"/>
        <w:ind w:left="960" w:right="305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ind w:left="960" w:right="634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960"/>
      </w:pPr>
      <w:r>
        <w:rPr/>
        <w:t>联系人：陈宇</w:t>
      </w:r>
    </w:p>
    <w:p>
      <w:pPr>
        <w:pStyle w:val="BodyText"/>
        <w:spacing w:before="6"/>
        <w:rPr>
          <w:sz w:val="15"/>
        </w:rPr>
      </w:pPr>
    </w:p>
    <w:p>
      <w:pPr>
        <w:pStyle w:val="BodyText"/>
        <w:ind w:left="960"/>
        <w:rPr>
          <w:rFonts w:ascii="Times New Roman" w:eastAsia="Times New Roman"/>
        </w:rPr>
      </w:pPr>
      <w:r>
        <w:rPr/>
        <w:t>网址：</w:t>
      </w:r>
      <w:hyperlink r:id="rId97">
        <w:r>
          <w:rPr>
            <w:rFonts w:ascii="Times New Roman" w:eastAsia="Times New Roman"/>
          </w:rPr>
          <w:t>www.swhysc.com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兴业证券股份有限公司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住所：福州市湖东路 </w:t>
      </w:r>
      <w:r>
        <w:rPr>
          <w:rFonts w:ascii="Times New Roman" w:eastAsia="Times New Roman"/>
        </w:rPr>
        <w:t>268 </w:t>
      </w:r>
      <w:r>
        <w:rPr/>
        <w:t>号</w:t>
      </w:r>
    </w:p>
    <w:p>
      <w:pPr>
        <w:pStyle w:val="BodyText"/>
        <w:spacing w:before="6"/>
        <w:rPr>
          <w:sz w:val="15"/>
        </w:rPr>
      </w:pPr>
    </w:p>
    <w:p>
      <w:pPr>
        <w:pStyle w:val="BodyText"/>
        <w:spacing w:line="417" w:lineRule="auto"/>
        <w:ind w:left="960" w:right="4463"/>
      </w:pPr>
      <w:r>
        <w:rPr/>
        <w:t>办公地址：上海市浦东新区长柳路 </w:t>
      </w:r>
      <w:r>
        <w:rPr>
          <w:rFonts w:ascii="Times New Roman" w:eastAsia="Times New Roman"/>
        </w:rPr>
        <w:t>36 </w:t>
      </w:r>
      <w:r>
        <w:rPr/>
        <w:t>号法定代表人：杨华辉</w:t>
      </w:r>
    </w:p>
    <w:p>
      <w:pPr>
        <w:pStyle w:val="BodyText"/>
        <w:spacing w:line="417" w:lineRule="auto"/>
        <w:ind w:left="960" w:right="634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spacing w:line="269" w:lineRule="exact"/>
        <w:ind w:left="960"/>
      </w:pPr>
      <w:r>
        <w:rPr/>
        <w:t>联系人：乔琳雪</w:t>
      </w:r>
    </w:p>
    <w:p>
      <w:pPr>
        <w:pStyle w:val="BodyText"/>
        <w:spacing w:before="7"/>
        <w:rPr>
          <w:sz w:val="15"/>
        </w:rPr>
      </w:pPr>
    </w:p>
    <w:p>
      <w:pPr>
        <w:pStyle w:val="BodyText"/>
        <w:spacing w:line="417" w:lineRule="auto"/>
        <w:ind w:left="960" w:right="5963"/>
        <w:rPr>
          <w:rFonts w:ascii="Times New Roman" w:eastAsia="Times New Roman"/>
        </w:rPr>
      </w:pPr>
      <w:r>
        <w:rPr/>
        <w:t>网址：</w:t>
      </w:r>
      <w:hyperlink r:id="rId98">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长江证券股份有限公司</w:t>
      </w:r>
    </w:p>
    <w:p>
      <w:pPr>
        <w:pStyle w:val="BodyText"/>
        <w:spacing w:before="7"/>
        <w:rPr>
          <w:sz w:val="15"/>
        </w:rPr>
      </w:pPr>
    </w:p>
    <w:p>
      <w:pPr>
        <w:pStyle w:val="BodyText"/>
        <w:ind w:left="960"/>
      </w:pPr>
      <w:r>
        <w:rPr/>
        <w:t>住所：武汉市新华路特 </w:t>
      </w:r>
      <w:r>
        <w:rPr>
          <w:rFonts w:ascii="Times New Roman" w:eastAsia="Times New Roman"/>
        </w:rPr>
        <w:t>8 </w:t>
      </w:r>
      <w:r>
        <w:rPr/>
        <w:t>号长江证券大厦</w:t>
      </w:r>
    </w:p>
    <w:p>
      <w:pPr>
        <w:pStyle w:val="BodyText"/>
        <w:spacing w:before="6"/>
        <w:rPr>
          <w:sz w:val="15"/>
        </w:rPr>
      </w:pPr>
    </w:p>
    <w:p>
      <w:pPr>
        <w:pStyle w:val="BodyText"/>
        <w:spacing w:line="417" w:lineRule="auto" w:before="1"/>
        <w:ind w:left="960" w:right="3937"/>
      </w:pPr>
      <w:r>
        <w:rPr/>
        <w:t>办公地址：武汉市新华路特 </w:t>
      </w:r>
      <w:r>
        <w:rPr>
          <w:rFonts w:ascii="Times New Roman" w:eastAsia="Times New Roman"/>
        </w:rPr>
        <w:t>8 </w:t>
      </w:r>
      <w:r>
        <w:rPr/>
        <w:t>号长江证券大厦法定代表人：杨泽柱</w:t>
      </w:r>
    </w:p>
    <w:p>
      <w:pPr>
        <w:pStyle w:val="BodyText"/>
        <w:spacing w:line="417" w:lineRule="auto"/>
        <w:ind w:left="960" w:right="634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ind w:left="960"/>
      </w:pPr>
      <w:r>
        <w:rPr/>
        <w:t>联系人：李良</w:t>
      </w:r>
    </w:p>
    <w:p>
      <w:pPr>
        <w:pStyle w:val="BodyText"/>
        <w:spacing w:before="6"/>
        <w:rPr>
          <w:sz w:val="15"/>
        </w:rPr>
      </w:pPr>
    </w:p>
    <w:p>
      <w:pPr>
        <w:pStyle w:val="BodyText"/>
        <w:ind w:left="960"/>
        <w:rPr>
          <w:rFonts w:ascii="Times New Roman" w:eastAsia="Times New Roman"/>
        </w:rPr>
      </w:pPr>
      <w:r>
        <w:rPr/>
        <w:t>网址：</w:t>
      </w:r>
      <w:hyperlink r:id="rId99">
        <w:r>
          <w:rPr>
            <w:rFonts w:ascii="Times New Roman" w:eastAsia="Times New Roman"/>
          </w:rPr>
          <w:t>www.95579.com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安信证券股份有限公司</w:t>
      </w:r>
    </w:p>
    <w:p>
      <w:pPr>
        <w:pStyle w:val="BodyText"/>
        <w:spacing w:before="7"/>
        <w:rPr>
          <w:sz w:val="15"/>
        </w:rPr>
      </w:pPr>
    </w:p>
    <w:p>
      <w:pPr>
        <w:pStyle w:val="BodyText"/>
        <w:ind w:left="96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6"/>
        <w:rPr>
          <w:sz w:val="15"/>
        </w:rPr>
      </w:pPr>
    </w:p>
    <w:p>
      <w:pPr>
        <w:pStyle w:val="BodyText"/>
        <w:spacing w:line="417" w:lineRule="auto" w:before="1"/>
        <w:ind w:left="960" w:right="159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960" w:right="624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960"/>
      </w:pPr>
      <w:r>
        <w:rPr/>
        <w:t>联系人：陈剑虹</w:t>
      </w:r>
    </w:p>
    <w:p>
      <w:pPr>
        <w:pStyle w:val="BodyText"/>
        <w:spacing w:before="6"/>
        <w:rPr>
          <w:sz w:val="15"/>
        </w:rPr>
      </w:pPr>
    </w:p>
    <w:p>
      <w:pPr>
        <w:pStyle w:val="BodyText"/>
        <w:spacing w:line="417" w:lineRule="auto" w:before="1"/>
        <w:ind w:left="960" w:right="5729"/>
        <w:rPr>
          <w:rFonts w:ascii="Times New Roman" w:eastAsia="Times New Roman"/>
        </w:rPr>
      </w:pPr>
      <w:r>
        <w:rPr/>
        <w:t>网址：</w:t>
      </w:r>
      <w:hyperlink r:id="rId100">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10"/>
        </w:numPr>
        <w:tabs>
          <w:tab w:pos="1595" w:val="left" w:leader="none"/>
        </w:tabs>
        <w:spacing w:line="417" w:lineRule="auto" w:before="0" w:after="0"/>
        <w:ind w:left="960" w:right="5258" w:firstLine="0"/>
        <w:jc w:val="left"/>
        <w:rPr>
          <w:sz w:val="21"/>
        </w:rPr>
      </w:pPr>
      <w:r>
        <w:rPr>
          <w:spacing w:val="-3"/>
          <w:sz w:val="21"/>
        </w:rPr>
        <w:t>西南证券股份有限公司 </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spacing w:line="417" w:lineRule="auto"/>
        <w:ind w:left="960" w:right="3517"/>
      </w:pPr>
      <w:r>
        <w:rPr/>
        <w:t>办公地址：重庆市江北区桥北苑 </w:t>
      </w:r>
      <w:r>
        <w:rPr>
          <w:rFonts w:ascii="Times New Roman" w:eastAsia="Times New Roman"/>
        </w:rPr>
        <w:t>8 </w:t>
      </w:r>
      <w:r>
        <w:rPr/>
        <w:t>号西南证券大厦法定代表人：廖庆轩</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960"/>
      </w:pPr>
      <w:r>
        <w:rPr/>
        <w:t>联系人：周青</w:t>
      </w:r>
    </w:p>
    <w:p>
      <w:pPr>
        <w:pStyle w:val="BodyText"/>
        <w:spacing w:before="6"/>
        <w:rPr>
          <w:sz w:val="15"/>
        </w:rPr>
      </w:pPr>
    </w:p>
    <w:p>
      <w:pPr>
        <w:pStyle w:val="BodyText"/>
        <w:ind w:left="960"/>
        <w:rPr>
          <w:rFonts w:ascii="Times New Roman" w:eastAsia="Times New Roman"/>
        </w:rPr>
      </w:pPr>
      <w:r>
        <w:rPr/>
        <w:t>网址：</w:t>
      </w:r>
      <w:hyperlink r:id="rId101">
        <w:r>
          <w:rPr>
            <w:rFonts w:ascii="Times New Roman" w:eastAsia="Times New Roman"/>
          </w:rPr>
          <w:t>www.swsc.com.cn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万联证券股份有限公司</w:t>
      </w:r>
    </w:p>
    <w:p>
      <w:pPr>
        <w:pStyle w:val="BodyText"/>
        <w:spacing w:before="7"/>
        <w:rPr>
          <w:sz w:val="15"/>
        </w:rPr>
      </w:pPr>
    </w:p>
    <w:p>
      <w:pPr>
        <w:pStyle w:val="BodyText"/>
        <w:ind w:left="96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7"/>
        <w:rPr>
          <w:sz w:val="15"/>
        </w:rPr>
      </w:pPr>
    </w:p>
    <w:p>
      <w:pPr>
        <w:pStyle w:val="BodyText"/>
        <w:spacing w:line="417" w:lineRule="auto"/>
        <w:ind w:left="960" w:right="1895"/>
      </w:pPr>
      <w:r>
        <w:rPr>
          <w:spacing w:val="-6"/>
        </w:rPr>
        <w:t>办公地址：广州市天河区珠江东路 </w:t>
      </w:r>
      <w:r>
        <w:rPr>
          <w:rFonts w:ascii="Times New Roman" w:eastAsia="Times New Roman"/>
          <w:spacing w:val="-4"/>
        </w:rPr>
        <w:t>11</w:t>
      </w:r>
      <w:r>
        <w:rPr>
          <w:rFonts w:ascii="Times New Roman" w:eastAsia="Times New Roman"/>
          <w:spacing w:val="5"/>
        </w:rPr>
        <w:t> </w:t>
      </w:r>
      <w:r>
        <w:rPr>
          <w:spacing w:val="-9"/>
        </w:rPr>
        <w:t>号高德置地广场 </w:t>
      </w:r>
      <w:r>
        <w:rPr>
          <w:rFonts w:ascii="Times New Roman" w:eastAsia="Times New Roman"/>
        </w:rPr>
        <w:t>F </w:t>
      </w:r>
      <w:r>
        <w:rPr>
          <w:spacing w:val="-24"/>
        </w:rPr>
        <w:t>座 </w:t>
      </w:r>
      <w:r>
        <w:rPr>
          <w:rFonts w:ascii="Times New Roman" w:eastAsia="Times New Roman"/>
        </w:rPr>
        <w:t>18</w:t>
      </w:r>
      <w:r>
        <w:rPr/>
        <w:t>、</w:t>
      </w:r>
      <w:r>
        <w:rPr>
          <w:rFonts w:ascii="Times New Roman" w:eastAsia="Times New Roman"/>
        </w:rPr>
        <w:t>19</w:t>
      </w:r>
      <w:r>
        <w:rPr>
          <w:rFonts w:ascii="Times New Roman" w:eastAsia="Times New Roman"/>
          <w:spacing w:val="3"/>
        </w:rPr>
        <w:t> </w:t>
      </w:r>
      <w:r>
        <w:rPr/>
        <w:t>楼</w:t>
      </w:r>
      <w:r>
        <w:rPr>
          <w:spacing w:val="-3"/>
        </w:rPr>
        <w:t>法定代表人：张建军</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020-38286588</w:t>
      </w:r>
    </w:p>
    <w:p>
      <w:pPr>
        <w:pStyle w:val="BodyText"/>
        <w:spacing w:before="4"/>
        <w:rPr>
          <w:rFonts w:ascii="Times New Roman"/>
          <w:sz w:val="17"/>
        </w:rPr>
      </w:pPr>
    </w:p>
    <w:p>
      <w:pPr>
        <w:pStyle w:val="BodyText"/>
        <w:ind w:left="96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ind w:left="960"/>
      </w:pPr>
      <w:r>
        <w:rPr/>
        <w:t>联系人：王鑫</w:t>
      </w:r>
    </w:p>
    <w:p>
      <w:pPr>
        <w:pStyle w:val="BodyText"/>
        <w:spacing w:before="7"/>
        <w:rPr>
          <w:sz w:val="15"/>
        </w:rPr>
      </w:pPr>
    </w:p>
    <w:p>
      <w:pPr>
        <w:pStyle w:val="BodyText"/>
        <w:spacing w:line="417" w:lineRule="auto"/>
        <w:ind w:left="960" w:right="5962"/>
        <w:rPr>
          <w:rFonts w:ascii="Times New Roman" w:eastAsia="Times New Roman"/>
        </w:rPr>
      </w:pPr>
      <w:r>
        <w:rPr/>
        <w:t>网址：</w:t>
      </w:r>
      <w:hyperlink r:id="rId102">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民生证券股份有限公司</w:t>
      </w:r>
    </w:p>
    <w:p>
      <w:pPr>
        <w:pStyle w:val="BodyText"/>
        <w:spacing w:before="7"/>
        <w:rPr>
          <w:sz w:val="15"/>
        </w:rPr>
      </w:pPr>
    </w:p>
    <w:p>
      <w:pPr>
        <w:pStyle w:val="BodyText"/>
        <w:ind w:left="960"/>
      </w:pPr>
      <w:r>
        <w:rPr/>
        <w:t>住所：北京市东城区建国门内大街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w:t>
      </w:r>
    </w:p>
    <w:p>
      <w:pPr>
        <w:pStyle w:val="BodyText"/>
        <w:spacing w:before="6"/>
        <w:rPr>
          <w:sz w:val="15"/>
        </w:rPr>
      </w:pPr>
    </w:p>
    <w:p>
      <w:pPr>
        <w:pStyle w:val="BodyText"/>
        <w:spacing w:line="417" w:lineRule="auto" w:before="1"/>
        <w:ind w:left="960" w:right="1512"/>
      </w:pPr>
      <w:r>
        <w:rPr/>
        <w:t>办公地址：北京市东城区建国门内大街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层法定代表人：冯鹤年</w:t>
      </w:r>
    </w:p>
    <w:p>
      <w:pPr>
        <w:pStyle w:val="BodyText"/>
        <w:spacing w:line="417" w:lineRule="auto"/>
        <w:ind w:left="960" w:right="634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9" w:lineRule="exact"/>
        <w:ind w:left="960"/>
      </w:pPr>
      <w:r>
        <w:rPr/>
        <w:t>联系人：韩秀萍</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03">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渤海证券股份有限公司</w:t>
      </w:r>
    </w:p>
    <w:p>
      <w:pPr>
        <w:pStyle w:val="BodyText"/>
        <w:spacing w:before="6"/>
        <w:rPr>
          <w:sz w:val="15"/>
        </w:rPr>
      </w:pPr>
    </w:p>
    <w:p>
      <w:pPr>
        <w:pStyle w:val="BodyText"/>
        <w:ind w:left="96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7"/>
        <w:rPr>
          <w:sz w:val="15"/>
        </w:rPr>
      </w:pPr>
    </w:p>
    <w:p>
      <w:pPr>
        <w:pStyle w:val="BodyText"/>
        <w:spacing w:line="417" w:lineRule="auto"/>
        <w:ind w:left="960" w:right="4568"/>
      </w:pPr>
      <w:r>
        <w:rPr/>
        <w:t>办公地址：天津市南开区滨水西道 </w:t>
      </w:r>
      <w:r>
        <w:rPr>
          <w:rFonts w:ascii="Times New Roman" w:eastAsia="Times New Roman"/>
        </w:rPr>
        <w:t>8 </w:t>
      </w:r>
      <w:r>
        <w:rPr/>
        <w:t>号法定代表人：王春峰</w:t>
      </w:r>
    </w:p>
    <w:p>
      <w:pPr>
        <w:pStyle w:val="BodyText"/>
        <w:spacing w:line="417" w:lineRule="auto"/>
        <w:ind w:left="960" w:right="634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ind w:left="960"/>
      </w:pPr>
      <w:r>
        <w:rPr/>
        <w:t>联系人：蔡霆</w:t>
      </w:r>
    </w:p>
    <w:p>
      <w:pPr>
        <w:spacing w:after="0"/>
        <w:sectPr>
          <w:pgSz w:w="11910" w:h="16840"/>
          <w:pgMar w:header="877" w:footer="995" w:top="1420" w:bottom="1180" w:left="1260" w:right="1480"/>
        </w:sectPr>
      </w:pPr>
    </w:p>
    <w:p>
      <w:pPr>
        <w:pStyle w:val="BodyText"/>
        <w:spacing w:before="110"/>
        <w:ind w:left="960"/>
        <w:rPr>
          <w:rFonts w:ascii="Times New Roman" w:eastAsia="Times New Roman"/>
        </w:rPr>
      </w:pPr>
      <w:r>
        <w:rPr/>
        <w:t>网址：</w:t>
      </w:r>
      <w:hyperlink r:id="rId104">
        <w:r>
          <w:rPr>
            <w:rFonts w:ascii="Times New Roman" w:eastAsia="Times New Roman"/>
          </w:rPr>
          <w:t>www.ewww.com.cn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400-651-5988</w:t>
      </w:r>
    </w:p>
    <w:p>
      <w:pPr>
        <w:pStyle w:val="BodyText"/>
        <w:spacing w:before="3"/>
        <w:rPr>
          <w:rFonts w:ascii="Times New Roman"/>
          <w:sz w:val="17"/>
        </w:rPr>
      </w:pPr>
    </w:p>
    <w:p>
      <w:pPr>
        <w:pStyle w:val="ListParagraph"/>
        <w:numPr>
          <w:ilvl w:val="0"/>
          <w:numId w:val="10"/>
        </w:numPr>
        <w:tabs>
          <w:tab w:pos="1595" w:val="left" w:leader="none"/>
        </w:tabs>
        <w:spacing w:line="417" w:lineRule="auto" w:before="1" w:after="0"/>
        <w:ind w:left="960" w:right="5470" w:firstLine="0"/>
        <w:jc w:val="left"/>
        <w:rPr>
          <w:sz w:val="21"/>
        </w:rPr>
      </w:pPr>
      <w:r>
        <w:rPr>
          <w:spacing w:val="-5"/>
          <w:sz w:val="21"/>
        </w:rPr>
        <w:t>华泰证券股份有限公司</w:t>
      </w:r>
      <w:r>
        <w:rPr>
          <w:spacing w:val="-8"/>
          <w:sz w:val="21"/>
        </w:rPr>
        <w:t>住所：南京市江东中路 </w:t>
      </w:r>
      <w:r>
        <w:rPr>
          <w:rFonts w:ascii="Times New Roman" w:eastAsia="Times New Roman"/>
          <w:sz w:val="21"/>
        </w:rPr>
        <w:t>228</w:t>
      </w:r>
      <w:r>
        <w:rPr>
          <w:rFonts w:ascii="Times New Roman" w:eastAsia="Times New Roman"/>
          <w:spacing w:val="4"/>
          <w:sz w:val="21"/>
        </w:rPr>
        <w:t> </w:t>
      </w:r>
      <w:r>
        <w:rPr>
          <w:spacing w:val="-12"/>
          <w:sz w:val="21"/>
        </w:rPr>
        <w:t>号</w:t>
      </w:r>
    </w:p>
    <w:p>
      <w:pPr>
        <w:pStyle w:val="BodyText"/>
        <w:spacing w:line="417" w:lineRule="auto"/>
        <w:ind w:left="960" w:right="3097"/>
      </w:pPr>
      <w:r>
        <w:rPr/>
        <w:t>办公地址：南京市建邺区江东中路 </w:t>
      </w:r>
      <w:r>
        <w:rPr>
          <w:rFonts w:ascii="Times New Roman" w:eastAsia="Times New Roman"/>
        </w:rPr>
        <w:t>228 </w:t>
      </w:r>
      <w:r>
        <w:rPr/>
        <w:t>号华泰证券广场法定代表人：周易</w:t>
      </w:r>
    </w:p>
    <w:p>
      <w:pPr>
        <w:pStyle w:val="BodyText"/>
        <w:spacing w:line="269" w:lineRule="exact"/>
        <w:ind w:left="960"/>
        <w:rPr>
          <w:rFonts w:ascii="Times New Roman" w:eastAsia="Times New Roman"/>
        </w:rPr>
      </w:pPr>
      <w:r>
        <w:rPr/>
        <w:t>电话：</w:t>
      </w:r>
      <w:r>
        <w:rPr>
          <w:rFonts w:ascii="Times New Roman" w:eastAsia="Times New Roman"/>
        </w:rPr>
        <w:t>0755-82492193</w:t>
      </w:r>
    </w:p>
    <w:p>
      <w:pPr>
        <w:pStyle w:val="BodyText"/>
        <w:spacing w:before="3"/>
        <w:rPr>
          <w:rFonts w:ascii="Times New Roman"/>
          <w:sz w:val="17"/>
        </w:rPr>
      </w:pPr>
    </w:p>
    <w:p>
      <w:pPr>
        <w:pStyle w:val="BodyText"/>
        <w:spacing w:line="417" w:lineRule="auto"/>
        <w:ind w:left="960" w:right="5400"/>
      </w:pPr>
      <w:r>
        <w:rPr/>
        <w:t>传真：</w:t>
      </w:r>
      <w:r>
        <w:rPr>
          <w:rFonts w:ascii="Times New Roman" w:eastAsia="Times New Roman"/>
        </w:rPr>
        <w:t>0755-82492962</w:t>
      </w:r>
      <w:r>
        <w:rPr/>
        <w:t>（深圳） 联系人：庞晓芸</w:t>
      </w:r>
    </w:p>
    <w:p>
      <w:pPr>
        <w:pStyle w:val="BodyText"/>
        <w:spacing w:line="417" w:lineRule="auto"/>
        <w:ind w:left="960" w:right="6031"/>
        <w:rPr>
          <w:rFonts w:ascii="Times New Roman" w:eastAsia="Times New Roman"/>
        </w:rPr>
      </w:pPr>
      <w:r>
        <w:rPr/>
        <w:t>网址：</w:t>
      </w:r>
      <w:hyperlink r:id="rId105">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山西证券股份有限公司</w:t>
      </w:r>
    </w:p>
    <w:p>
      <w:pPr>
        <w:pStyle w:val="BodyText"/>
        <w:spacing w:before="7"/>
        <w:rPr>
          <w:sz w:val="15"/>
        </w:rPr>
      </w:pPr>
    </w:p>
    <w:p>
      <w:pPr>
        <w:pStyle w:val="BodyText"/>
        <w:ind w:left="960"/>
      </w:pPr>
      <w:r>
        <w:rPr/>
        <w:t>住所：山西省太原市府西街 </w:t>
      </w:r>
      <w:r>
        <w:rPr>
          <w:rFonts w:ascii="Times New Roman" w:eastAsia="Times New Roman"/>
        </w:rPr>
        <w:t>69 </w:t>
      </w:r>
      <w:r>
        <w:rPr/>
        <w:t>号山西国贸中心东塔楼</w:t>
      </w:r>
    </w:p>
    <w:p>
      <w:pPr>
        <w:pStyle w:val="BodyText"/>
        <w:spacing w:before="6"/>
        <w:rPr>
          <w:sz w:val="15"/>
        </w:rPr>
      </w:pPr>
    </w:p>
    <w:p>
      <w:pPr>
        <w:pStyle w:val="BodyText"/>
        <w:spacing w:line="417" w:lineRule="auto"/>
        <w:ind w:left="960" w:right="2782"/>
      </w:pPr>
      <w:r>
        <w:rPr/>
        <w:t>办公地址：山西省太原市府西街 </w:t>
      </w:r>
      <w:r>
        <w:rPr>
          <w:rFonts w:ascii="Times New Roman" w:eastAsia="Times New Roman"/>
        </w:rPr>
        <w:t>69 </w:t>
      </w:r>
      <w:r>
        <w:rPr/>
        <w:t>号山西国贸中心东塔楼法定代表人：侯巍</w:t>
      </w:r>
    </w:p>
    <w:p>
      <w:pPr>
        <w:pStyle w:val="BodyText"/>
        <w:spacing w:line="417" w:lineRule="auto" w:before="1"/>
        <w:ind w:left="960" w:right="634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pStyle w:val="BodyText"/>
        <w:spacing w:line="269" w:lineRule="exact"/>
        <w:ind w:left="960"/>
      </w:pPr>
      <w:r>
        <w:rPr/>
        <w:t>联系人：张治国</w:t>
      </w:r>
    </w:p>
    <w:p>
      <w:pPr>
        <w:pStyle w:val="BodyText"/>
        <w:spacing w:before="6"/>
        <w:rPr>
          <w:sz w:val="15"/>
        </w:rPr>
      </w:pPr>
    </w:p>
    <w:p>
      <w:pPr>
        <w:pStyle w:val="BodyText"/>
        <w:spacing w:line="417" w:lineRule="auto"/>
        <w:ind w:left="960" w:right="5997"/>
        <w:rPr>
          <w:rFonts w:ascii="Times New Roman" w:eastAsia="Times New Roman"/>
        </w:rPr>
      </w:pPr>
      <w:r>
        <w:rPr/>
        <w:t>网址：</w:t>
      </w:r>
      <w:hyperlink r:id="rId106">
        <w:r>
          <w:rPr>
            <w:rFonts w:ascii="Times New Roman" w:eastAsia="Times New Roman"/>
          </w:rPr>
          <w:t>www.i618.com.cn </w:t>
        </w:r>
      </w:hyperlink>
      <w:r>
        <w:rPr/>
        <w:t>客户服务电话：</w:t>
      </w:r>
      <w:r>
        <w:rPr>
          <w:rFonts w:ascii="Times New Roman" w:eastAsia="Times New Roman"/>
        </w:rPr>
        <w:t>95573</w:t>
      </w:r>
    </w:p>
    <w:p>
      <w:pPr>
        <w:pStyle w:val="ListParagraph"/>
        <w:numPr>
          <w:ilvl w:val="0"/>
          <w:numId w:val="10"/>
        </w:numPr>
        <w:tabs>
          <w:tab w:pos="1595" w:val="left" w:leader="none"/>
        </w:tabs>
        <w:spacing w:line="269" w:lineRule="exact" w:before="0" w:after="0"/>
        <w:ind w:left="159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spacing w:before="1"/>
        <w:ind w:left="96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ind w:left="960" w:right="221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960" w:right="624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960"/>
      </w:pPr>
      <w:r>
        <w:rPr/>
        <w:t>联系人：刘晓明</w:t>
      </w:r>
    </w:p>
    <w:p>
      <w:pPr>
        <w:pStyle w:val="BodyText"/>
        <w:spacing w:before="6"/>
        <w:rPr>
          <w:sz w:val="15"/>
        </w:rPr>
      </w:pPr>
    </w:p>
    <w:p>
      <w:pPr>
        <w:pStyle w:val="BodyText"/>
        <w:spacing w:line="417" w:lineRule="auto" w:before="1"/>
        <w:ind w:left="960" w:right="5975"/>
        <w:rPr>
          <w:rFonts w:ascii="Times New Roman" w:eastAsia="Times New Roman"/>
        </w:rPr>
      </w:pPr>
      <w:r>
        <w:rPr/>
        <w:t>网址：</w:t>
      </w:r>
      <w:hyperlink r:id="rId107">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东兴证券股份有限公司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w:t>
      </w:r>
    </w:p>
    <w:p>
      <w:pPr>
        <w:pStyle w:val="BodyText"/>
        <w:spacing w:before="6"/>
        <w:rPr>
          <w:sz w:val="15"/>
        </w:rPr>
      </w:pPr>
    </w:p>
    <w:p>
      <w:pPr>
        <w:pStyle w:val="BodyText"/>
        <w:spacing w:line="417" w:lineRule="auto"/>
        <w:ind w:left="960" w:right="2468"/>
      </w:pPr>
      <w:r>
        <w:rPr/>
        <w:t>办公地址：北京市西城区金融大街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层法定代表人：魏庆华</w:t>
      </w:r>
    </w:p>
    <w:p>
      <w:pPr>
        <w:pStyle w:val="BodyText"/>
        <w:spacing w:line="417" w:lineRule="auto"/>
        <w:ind w:left="960" w:right="634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spacing w:line="269" w:lineRule="exact"/>
        <w:ind w:left="960"/>
      </w:pPr>
      <w:r>
        <w:rPr/>
        <w:t>联系人：汤漫川</w:t>
      </w:r>
    </w:p>
    <w:p>
      <w:pPr>
        <w:pStyle w:val="BodyText"/>
        <w:spacing w:before="7"/>
        <w:rPr>
          <w:sz w:val="15"/>
        </w:rPr>
      </w:pPr>
    </w:p>
    <w:p>
      <w:pPr>
        <w:pStyle w:val="BodyText"/>
        <w:spacing w:line="417" w:lineRule="auto"/>
        <w:ind w:left="960" w:right="6066"/>
        <w:rPr>
          <w:rFonts w:ascii="Times New Roman" w:eastAsia="Times New Roman"/>
        </w:rPr>
      </w:pPr>
      <w:r>
        <w:rPr/>
        <w:t>网址：</w:t>
      </w:r>
      <w:hyperlink r:id="rId108">
        <w:r>
          <w:rPr>
            <w:rFonts w:ascii="Times New Roman" w:eastAsia="Times New Roman"/>
          </w:rPr>
          <w:t>www.dxzq.net.cn </w:t>
        </w:r>
      </w:hyperlink>
      <w:r>
        <w:rPr/>
        <w:t>客户服务电话：</w:t>
      </w:r>
      <w:r>
        <w:rPr>
          <w:rFonts w:ascii="Times New Roman" w:eastAsia="Times New Roman"/>
        </w:rPr>
        <w:t>95309</w:t>
      </w: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东吴证券股份有限公司</w:t>
      </w:r>
    </w:p>
    <w:p>
      <w:pPr>
        <w:pStyle w:val="BodyText"/>
        <w:spacing w:before="7"/>
        <w:rPr>
          <w:sz w:val="15"/>
        </w:rPr>
      </w:pPr>
    </w:p>
    <w:p>
      <w:pPr>
        <w:pStyle w:val="BodyText"/>
        <w:ind w:left="960"/>
      </w:pPr>
      <w:r>
        <w:rPr/>
        <w:t>住所：苏州工业园区翠园路 </w:t>
      </w:r>
      <w:r>
        <w:rPr>
          <w:rFonts w:ascii="Times New Roman" w:eastAsia="Times New Roman"/>
        </w:rPr>
        <w:t>181 </w:t>
      </w:r>
      <w:r>
        <w:rPr/>
        <w:t>号</w:t>
      </w:r>
    </w:p>
    <w:p>
      <w:pPr>
        <w:pStyle w:val="BodyText"/>
        <w:spacing w:before="6"/>
        <w:rPr>
          <w:sz w:val="15"/>
        </w:rPr>
      </w:pPr>
    </w:p>
    <w:p>
      <w:pPr>
        <w:pStyle w:val="BodyText"/>
        <w:spacing w:line="417" w:lineRule="auto" w:before="1"/>
        <w:ind w:left="960" w:right="4777"/>
      </w:pPr>
      <w:r>
        <w:rPr/>
        <w:t>办公地址：苏州工业园区星阳街 </w:t>
      </w:r>
      <w:r>
        <w:rPr>
          <w:rFonts w:ascii="Times New Roman" w:eastAsia="Times New Roman"/>
        </w:rPr>
        <w:t>5 </w:t>
      </w:r>
      <w:r>
        <w:rPr/>
        <w:t>号法定代表人：范力</w:t>
      </w:r>
    </w:p>
    <w:p>
      <w:pPr>
        <w:pStyle w:val="BodyText"/>
        <w:spacing w:line="417" w:lineRule="auto"/>
        <w:ind w:left="960" w:right="624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ind w:left="960"/>
      </w:pPr>
      <w:r>
        <w:rPr/>
        <w:t>联系人：方晓丹</w:t>
      </w:r>
    </w:p>
    <w:p>
      <w:pPr>
        <w:pStyle w:val="BodyText"/>
        <w:spacing w:before="6"/>
        <w:rPr>
          <w:sz w:val="15"/>
        </w:rPr>
      </w:pPr>
    </w:p>
    <w:p>
      <w:pPr>
        <w:pStyle w:val="BodyText"/>
        <w:spacing w:line="417" w:lineRule="auto"/>
        <w:ind w:left="960" w:right="5915"/>
        <w:rPr>
          <w:rFonts w:ascii="Times New Roman" w:eastAsia="Times New Roman"/>
        </w:rPr>
      </w:pPr>
      <w:r>
        <w:rPr/>
        <w:t>网址：</w:t>
      </w:r>
      <w:hyperlink r:id="rId109">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信达证券股份有限公司</w:t>
      </w:r>
    </w:p>
    <w:p>
      <w:pPr>
        <w:pStyle w:val="BodyText"/>
        <w:spacing w:before="7"/>
        <w:rPr>
          <w:sz w:val="15"/>
        </w:rPr>
      </w:pPr>
    </w:p>
    <w:p>
      <w:pPr>
        <w:pStyle w:val="BodyText"/>
        <w:ind w:left="960"/>
      </w:pPr>
      <w:r>
        <w:rPr/>
        <w:t>住所：北京市西城区闹市口大街 </w:t>
      </w:r>
      <w:r>
        <w:rPr>
          <w:rFonts w:ascii="Times New Roman" w:eastAsia="Times New Roman"/>
        </w:rPr>
        <w:t>9 </w:t>
      </w:r>
      <w:r>
        <w:rPr/>
        <w:t>号院 </w:t>
      </w:r>
      <w:r>
        <w:rPr>
          <w:rFonts w:ascii="Times New Roman" w:eastAsia="Times New Roman"/>
        </w:rPr>
        <w:t>1 </w:t>
      </w:r>
      <w:r>
        <w:rPr/>
        <w:t>号楼</w:t>
      </w:r>
    </w:p>
    <w:p>
      <w:pPr>
        <w:pStyle w:val="BodyText"/>
        <w:spacing w:before="6"/>
        <w:rPr>
          <w:sz w:val="15"/>
        </w:rPr>
      </w:pPr>
    </w:p>
    <w:p>
      <w:pPr>
        <w:pStyle w:val="BodyText"/>
        <w:spacing w:line="417" w:lineRule="auto" w:before="1"/>
        <w:ind w:left="960" w:right="3578"/>
      </w:pPr>
      <w:r>
        <w:rPr>
          <w:spacing w:val="-6"/>
        </w:rPr>
        <w:t>办公地址：北京市西城区闹市口大街 </w:t>
      </w:r>
      <w:r>
        <w:rPr>
          <w:rFonts w:ascii="Times New Roman" w:eastAsia="Times New Roman"/>
        </w:rPr>
        <w:t>9 </w:t>
      </w:r>
      <w:r>
        <w:rPr>
          <w:spacing w:val="-17"/>
        </w:rPr>
        <w:t>号院 </w:t>
      </w:r>
      <w:r>
        <w:rPr>
          <w:rFonts w:ascii="Times New Roman" w:eastAsia="Times New Roman"/>
        </w:rPr>
        <w:t>1 </w:t>
      </w:r>
      <w:r>
        <w:rPr/>
        <w:t>号楼</w:t>
      </w:r>
      <w:r>
        <w:rPr>
          <w:spacing w:val="-3"/>
        </w:rPr>
        <w:t>法定代表人：肖林</w:t>
      </w:r>
    </w:p>
    <w:p>
      <w:pPr>
        <w:pStyle w:val="BodyText"/>
        <w:spacing w:line="417" w:lineRule="auto"/>
        <w:ind w:left="960" w:right="634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ind w:left="960"/>
      </w:pPr>
      <w:r>
        <w:rPr/>
        <w:t>联系人：付婷</w:t>
      </w:r>
    </w:p>
    <w:p>
      <w:pPr>
        <w:pStyle w:val="BodyText"/>
        <w:spacing w:before="6"/>
        <w:rPr>
          <w:sz w:val="15"/>
        </w:rPr>
      </w:pPr>
    </w:p>
    <w:p>
      <w:pPr>
        <w:pStyle w:val="BodyText"/>
        <w:spacing w:line="417" w:lineRule="auto" w:before="1"/>
        <w:ind w:left="960" w:right="5990"/>
        <w:rPr>
          <w:rFonts w:ascii="Times New Roman" w:eastAsia="Times New Roman"/>
        </w:rPr>
      </w:pPr>
      <w:r>
        <w:rPr/>
        <w:t>网址：</w:t>
      </w:r>
      <w:hyperlink r:id="rId110">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长城证券股份有限公司</w:t>
      </w:r>
    </w:p>
    <w:p>
      <w:pPr>
        <w:pStyle w:val="BodyText"/>
        <w:spacing w:before="6"/>
        <w:rPr>
          <w:sz w:val="15"/>
        </w:rPr>
      </w:pPr>
    </w:p>
    <w:p>
      <w:pPr>
        <w:pStyle w:val="BodyText"/>
        <w:ind w:left="960"/>
      </w:pPr>
      <w:r>
        <w:rPr/>
        <w:t>住所：深圳市福田区福田街道金田路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pStyle w:val="BodyText"/>
        <w:spacing w:before="7"/>
        <w:rPr>
          <w:sz w:val="15"/>
        </w:rPr>
      </w:pPr>
    </w:p>
    <w:p>
      <w:pPr>
        <w:pStyle w:val="BodyText"/>
        <w:spacing w:line="417" w:lineRule="auto" w:before="1"/>
        <w:ind w:left="960" w:right="1411"/>
      </w:pPr>
      <w:r>
        <w:rPr>
          <w:spacing w:val="-6"/>
        </w:rPr>
        <w:t>办公地址：深圳市福田区福田街道金田路 </w:t>
      </w:r>
      <w:r>
        <w:rPr>
          <w:rFonts w:ascii="Times New Roman" w:eastAsia="Times New Roman"/>
        </w:rPr>
        <w:t>2026 </w:t>
      </w:r>
      <w:r>
        <w:rPr>
          <w:spacing w:val="-8"/>
        </w:rPr>
        <w:t>号能源大厦南塔楼 </w:t>
      </w:r>
      <w:r>
        <w:rPr>
          <w:rFonts w:ascii="Times New Roman" w:eastAsia="Times New Roman"/>
        </w:rPr>
        <w:t>10-19 </w:t>
      </w:r>
      <w:r>
        <w:rPr/>
        <w:t>层</w:t>
      </w:r>
      <w:r>
        <w:rPr>
          <w:spacing w:val="-3"/>
        </w:rPr>
        <w:t>法定代表人：曹宏</w:t>
      </w:r>
    </w:p>
    <w:p>
      <w:pPr>
        <w:spacing w:after="0" w:line="417" w:lineRule="auto"/>
        <w:sectPr>
          <w:pgSz w:w="11910" w:h="16840"/>
          <w:pgMar w:header="877" w:footer="995" w:top="1420" w:bottom="11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9" w:lineRule="exact"/>
        <w:ind w:left="960"/>
      </w:pPr>
      <w:r>
        <w:rPr/>
        <w:t>联系人：梁浩</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111">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光大证券股份有限公司</w:t>
      </w:r>
    </w:p>
    <w:p>
      <w:pPr>
        <w:pStyle w:val="BodyText"/>
        <w:spacing w:before="7"/>
        <w:rPr>
          <w:sz w:val="15"/>
        </w:rPr>
      </w:pPr>
    </w:p>
    <w:p>
      <w:pPr>
        <w:pStyle w:val="BodyText"/>
        <w:ind w:left="960"/>
      </w:pPr>
      <w:r>
        <w:rPr/>
        <w:t>住所：上海市静安区新闸路 </w:t>
      </w:r>
      <w:r>
        <w:rPr>
          <w:rFonts w:ascii="Times New Roman" w:eastAsia="Times New Roman"/>
        </w:rPr>
        <w:t>1508 </w:t>
      </w:r>
      <w:r>
        <w:rPr/>
        <w:t>号</w:t>
      </w:r>
    </w:p>
    <w:p>
      <w:pPr>
        <w:pStyle w:val="BodyText"/>
        <w:spacing w:before="7"/>
        <w:rPr>
          <w:sz w:val="15"/>
        </w:rPr>
      </w:pPr>
    </w:p>
    <w:p>
      <w:pPr>
        <w:pStyle w:val="BodyText"/>
        <w:spacing w:line="417" w:lineRule="auto" w:before="1"/>
        <w:ind w:left="960" w:right="4463"/>
      </w:pPr>
      <w:r>
        <w:rPr/>
        <w:t>办公地址：上海市静安区新闸路 </w:t>
      </w:r>
      <w:r>
        <w:rPr>
          <w:rFonts w:ascii="Times New Roman" w:eastAsia="Times New Roman"/>
        </w:rPr>
        <w:t>1508 </w:t>
      </w:r>
      <w:r>
        <w:rPr/>
        <w:t>号法定代表人：薛峰</w:t>
      </w:r>
    </w:p>
    <w:p>
      <w:pPr>
        <w:pStyle w:val="BodyText"/>
        <w:spacing w:line="417" w:lineRule="auto"/>
        <w:ind w:left="960" w:right="634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960"/>
      </w:pPr>
      <w:r>
        <w:rPr/>
        <w:t>联系人：刘晨</w:t>
      </w:r>
    </w:p>
    <w:p>
      <w:pPr>
        <w:pStyle w:val="BodyText"/>
        <w:spacing w:before="6"/>
        <w:rPr>
          <w:sz w:val="15"/>
        </w:rPr>
      </w:pPr>
    </w:p>
    <w:p>
      <w:pPr>
        <w:pStyle w:val="BodyText"/>
        <w:ind w:left="960"/>
        <w:rPr>
          <w:rFonts w:ascii="Times New Roman" w:eastAsia="Times New Roman"/>
        </w:rPr>
      </w:pPr>
      <w:r>
        <w:rPr/>
        <w:t>网址：</w:t>
      </w:r>
      <w:hyperlink r:id="rId112">
        <w:r>
          <w:rPr>
            <w:rFonts w:ascii="Times New Roman" w:eastAsia="Times New Roman"/>
          </w:rPr>
          <w:t>www.ebscn.com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4"/>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中信证券华南股份有限公司</w:t>
      </w:r>
    </w:p>
    <w:p>
      <w:pPr>
        <w:pStyle w:val="BodyText"/>
        <w:spacing w:before="7"/>
        <w:rPr>
          <w:sz w:val="15"/>
        </w:rPr>
      </w:pPr>
    </w:p>
    <w:p>
      <w:pPr>
        <w:pStyle w:val="BodyText"/>
        <w:ind w:left="96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7"/>
        <w:rPr>
          <w:sz w:val="15"/>
        </w:rPr>
      </w:pPr>
    </w:p>
    <w:p>
      <w:pPr>
        <w:pStyle w:val="BodyText"/>
        <w:spacing w:line="417" w:lineRule="auto"/>
        <w:ind w:left="960" w:right="131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960" w:right="634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960"/>
      </w:pPr>
      <w:r>
        <w:rPr/>
        <w:t>联系人：陈靖</w:t>
      </w:r>
    </w:p>
    <w:p>
      <w:pPr>
        <w:pStyle w:val="BodyText"/>
        <w:spacing w:before="7"/>
        <w:rPr>
          <w:sz w:val="15"/>
        </w:rPr>
      </w:pPr>
    </w:p>
    <w:p>
      <w:pPr>
        <w:pStyle w:val="BodyText"/>
        <w:spacing w:line="417" w:lineRule="auto"/>
        <w:ind w:left="960" w:right="6091"/>
        <w:rPr>
          <w:rFonts w:ascii="Times New Roman" w:eastAsia="Times New Roman"/>
        </w:rPr>
      </w:pPr>
      <w:r>
        <w:rPr/>
        <w:t>网址：</w:t>
      </w:r>
      <w:hyperlink r:id="rId113">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10"/>
        </w:numPr>
        <w:tabs>
          <w:tab w:pos="1699" w:val="left" w:leader="none"/>
        </w:tabs>
        <w:spacing w:line="417" w:lineRule="auto" w:before="0" w:after="0"/>
        <w:ind w:left="960" w:right="5366" w:firstLine="0"/>
        <w:jc w:val="left"/>
        <w:rPr>
          <w:sz w:val="21"/>
        </w:rPr>
      </w:pPr>
      <w:r>
        <w:rPr>
          <w:spacing w:val="-4"/>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17" w:lineRule="auto"/>
        <w:ind w:left="960" w:right="4883"/>
      </w:pPr>
      <w:r>
        <w:rPr/>
        <w:t>办公地址：长春市生态大街 </w:t>
      </w:r>
      <w:r>
        <w:rPr>
          <w:rFonts w:ascii="Times New Roman" w:eastAsia="Times New Roman"/>
        </w:rPr>
        <w:t>6666 </w:t>
      </w:r>
      <w:r>
        <w:rPr/>
        <w:t>号法定代表人：李福春</w:t>
      </w:r>
    </w:p>
    <w:p>
      <w:pPr>
        <w:pStyle w:val="BodyText"/>
        <w:spacing w:line="417" w:lineRule="auto"/>
        <w:ind w:left="960" w:right="624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ind w:left="960"/>
      </w:pPr>
      <w:r>
        <w:rPr/>
        <w:t>联系人：安岩岩</w:t>
      </w:r>
    </w:p>
    <w:p>
      <w:pPr>
        <w:spacing w:after="0"/>
        <w:sectPr>
          <w:pgSz w:w="11910" w:h="16840"/>
          <w:pgMar w:header="877" w:footer="995" w:top="1420" w:bottom="1180" w:left="1260" w:right="1480"/>
        </w:sectPr>
      </w:pPr>
    </w:p>
    <w:p>
      <w:pPr>
        <w:pStyle w:val="BodyText"/>
        <w:spacing w:line="417" w:lineRule="auto" w:before="110"/>
        <w:ind w:left="960" w:right="6207"/>
        <w:rPr>
          <w:rFonts w:ascii="Times New Roman" w:eastAsia="Times New Roman"/>
        </w:rPr>
      </w:pPr>
      <w:r>
        <w:rPr/>
        <w:t>网 址 ：</w:t>
      </w:r>
      <w:hyperlink r:id="rId114">
        <w:r>
          <w:rPr>
            <w:rFonts w:ascii="Times New Roman" w:eastAsia="Times New Roman"/>
          </w:rPr>
          <w:t>www.nesc.cn</w:t>
        </w:r>
      </w:hyperlink>
      <w:r>
        <w:rPr>
          <w:rFonts w:ascii="Times New Roman" w:eastAsia="Times New Roman"/>
        </w:rPr>
        <w:t> </w:t>
      </w:r>
      <w:r>
        <w:rPr/>
        <w:t>客户服务电话：</w:t>
      </w:r>
      <w:r>
        <w:rPr>
          <w:rFonts w:ascii="Times New Roman" w:eastAsia="Times New Roman"/>
        </w:rPr>
        <w:t>95360</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南京证券股份有限公司</w:t>
      </w:r>
    </w:p>
    <w:p>
      <w:pPr>
        <w:pStyle w:val="BodyText"/>
        <w:spacing w:before="6"/>
        <w:rPr>
          <w:sz w:val="15"/>
        </w:rPr>
      </w:pPr>
    </w:p>
    <w:p>
      <w:pPr>
        <w:pStyle w:val="BodyText"/>
        <w:ind w:left="960"/>
      </w:pPr>
      <w:r>
        <w:rPr/>
        <w:t>住所：江苏省南京市江东中路 </w:t>
      </w:r>
      <w:r>
        <w:rPr>
          <w:rFonts w:ascii="Times New Roman" w:eastAsia="Times New Roman"/>
        </w:rPr>
        <w:t>389 </w:t>
      </w:r>
      <w:r>
        <w:rPr/>
        <w:t>号</w:t>
      </w:r>
    </w:p>
    <w:p>
      <w:pPr>
        <w:pStyle w:val="BodyText"/>
        <w:spacing w:before="7"/>
        <w:rPr>
          <w:sz w:val="15"/>
        </w:rPr>
      </w:pPr>
    </w:p>
    <w:p>
      <w:pPr>
        <w:pStyle w:val="BodyText"/>
        <w:spacing w:line="417" w:lineRule="auto"/>
        <w:ind w:left="960" w:right="4357"/>
      </w:pPr>
      <w:r>
        <w:rPr/>
        <w:t>办公地址：江苏省南京市江东中路 </w:t>
      </w:r>
      <w:r>
        <w:rPr>
          <w:rFonts w:ascii="Times New Roman" w:eastAsia="Times New Roman"/>
        </w:rPr>
        <w:t>389 </w:t>
      </w:r>
      <w:r>
        <w:rPr/>
        <w:t>号法定代表人：李剑锋</w:t>
      </w:r>
    </w:p>
    <w:p>
      <w:pPr>
        <w:pStyle w:val="BodyText"/>
        <w:spacing w:line="417" w:lineRule="auto"/>
        <w:ind w:left="960" w:right="634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ind w:left="960"/>
      </w:pPr>
      <w:r>
        <w:rPr/>
        <w:t>联系人：王万君</w:t>
      </w:r>
    </w:p>
    <w:p>
      <w:pPr>
        <w:pStyle w:val="BodyText"/>
        <w:spacing w:before="7"/>
        <w:rPr>
          <w:sz w:val="15"/>
        </w:rPr>
      </w:pPr>
    </w:p>
    <w:p>
      <w:pPr>
        <w:pStyle w:val="BodyText"/>
        <w:spacing w:line="417" w:lineRule="auto"/>
        <w:ind w:left="960" w:right="6009"/>
        <w:rPr>
          <w:rFonts w:ascii="Times New Roman" w:eastAsia="Times New Roman"/>
        </w:rPr>
      </w:pPr>
      <w:r>
        <w:rPr/>
        <w:t>网址：</w:t>
      </w:r>
      <w:hyperlink r:id="rId115">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10"/>
        </w:numPr>
        <w:tabs>
          <w:tab w:pos="1699" w:val="left" w:leader="none"/>
        </w:tabs>
        <w:spacing w:line="417" w:lineRule="auto" w:before="0" w:after="0"/>
        <w:ind w:left="960" w:right="5366" w:firstLine="0"/>
        <w:jc w:val="left"/>
        <w:rPr>
          <w:sz w:val="21"/>
        </w:rPr>
      </w:pPr>
      <w:r>
        <w:rPr>
          <w:spacing w:val="-4"/>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2"/>
          <w:sz w:val="21"/>
        </w:rPr>
        <w:t> </w:t>
      </w:r>
      <w:r>
        <w:rPr>
          <w:sz w:val="21"/>
        </w:rPr>
        <w:t>号</w:t>
      </w:r>
    </w:p>
    <w:p>
      <w:pPr>
        <w:pStyle w:val="BodyText"/>
        <w:spacing w:line="417" w:lineRule="auto"/>
        <w:ind w:left="960" w:right="4988"/>
      </w:pPr>
      <w:r>
        <w:rPr/>
        <w:t>办公地址：上海市西藏中路 </w:t>
      </w:r>
      <w:r>
        <w:rPr>
          <w:rFonts w:ascii="Times New Roman" w:eastAsia="Times New Roman"/>
        </w:rPr>
        <w:t>336 </w:t>
      </w:r>
      <w:r>
        <w:rPr/>
        <w:t>号法定代表人：龚德雄</w:t>
      </w:r>
    </w:p>
    <w:p>
      <w:pPr>
        <w:pStyle w:val="BodyText"/>
        <w:spacing w:line="417" w:lineRule="auto"/>
        <w:ind w:left="960" w:right="634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960"/>
      </w:pPr>
      <w:r>
        <w:rPr/>
        <w:t>联系人：张瑾</w:t>
      </w:r>
    </w:p>
    <w:p>
      <w:pPr>
        <w:pStyle w:val="BodyText"/>
        <w:spacing w:before="6"/>
        <w:rPr>
          <w:sz w:val="15"/>
        </w:rPr>
      </w:pPr>
    </w:p>
    <w:p>
      <w:pPr>
        <w:pStyle w:val="BodyText"/>
        <w:ind w:left="960"/>
        <w:rPr>
          <w:rFonts w:ascii="Times New Roman" w:eastAsia="Times New Roman"/>
        </w:rPr>
      </w:pPr>
      <w:r>
        <w:rPr/>
        <w:t>网址：</w:t>
      </w:r>
      <w:hyperlink r:id="rId116">
        <w:r>
          <w:rPr>
            <w:rFonts w:ascii="Times New Roman" w:eastAsia="Times New Roman"/>
          </w:rPr>
          <w:t>www.962518.com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400-891-8918</w:t>
      </w:r>
    </w:p>
    <w:p>
      <w:pPr>
        <w:pStyle w:val="BodyText"/>
        <w:spacing w:before="4"/>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新时代证券股份有限公司</w:t>
      </w:r>
    </w:p>
    <w:p>
      <w:pPr>
        <w:pStyle w:val="BodyText"/>
        <w:spacing w:before="7"/>
        <w:rPr>
          <w:sz w:val="15"/>
        </w:rPr>
      </w:pPr>
    </w:p>
    <w:p>
      <w:pPr>
        <w:pStyle w:val="BodyText"/>
        <w:ind w:left="96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4"/>
        <w:rPr>
          <w:rFonts w:ascii="Times New Roman"/>
          <w:sz w:val="17"/>
        </w:rPr>
      </w:pPr>
    </w:p>
    <w:p>
      <w:pPr>
        <w:pStyle w:val="BodyText"/>
        <w:ind w:left="96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spacing w:line="417" w:lineRule="auto"/>
        <w:ind w:left="960" w:right="634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960"/>
      </w:pPr>
      <w:r>
        <w:rPr/>
        <w:t>联系人：田芳芳</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17">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大同证券有限责任公司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6"/>
        <w:rPr>
          <w:sz w:val="15"/>
        </w:rPr>
      </w:pPr>
    </w:p>
    <w:p>
      <w:pPr>
        <w:pStyle w:val="BodyText"/>
        <w:ind w:left="96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4"/>
        <w:rPr>
          <w:rFonts w:ascii="Times New Roman"/>
          <w:sz w:val="17"/>
        </w:rPr>
      </w:pPr>
    </w:p>
    <w:p>
      <w:pPr>
        <w:pStyle w:val="BodyText"/>
        <w:spacing w:line="417" w:lineRule="auto"/>
        <w:ind w:left="960" w:right="628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960"/>
      </w:pPr>
      <w:r>
        <w:rPr/>
        <w:t>联系人：薛津</w:t>
      </w:r>
    </w:p>
    <w:p>
      <w:pPr>
        <w:pStyle w:val="BodyText"/>
        <w:spacing w:before="6"/>
        <w:rPr>
          <w:sz w:val="15"/>
        </w:rPr>
      </w:pPr>
    </w:p>
    <w:p>
      <w:pPr>
        <w:pStyle w:val="BodyText"/>
        <w:spacing w:before="1"/>
        <w:ind w:left="960"/>
        <w:rPr>
          <w:rFonts w:ascii="Times New Roman" w:eastAsia="Times New Roman"/>
        </w:rPr>
      </w:pPr>
      <w:r>
        <w:rPr/>
        <w:t>网址：</w:t>
      </w:r>
      <w:hyperlink r:id="rId118">
        <w:r>
          <w:rPr>
            <w:rFonts w:ascii="Times New Roman" w:eastAsia="Times New Roman"/>
          </w:rPr>
          <w:t>www.dtsbc.com.cn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400-712-1212</w:t>
      </w:r>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国联证券股份有限公司</w:t>
      </w:r>
    </w:p>
    <w:p>
      <w:pPr>
        <w:pStyle w:val="BodyText"/>
        <w:spacing w:before="7"/>
        <w:rPr>
          <w:sz w:val="15"/>
        </w:rPr>
      </w:pPr>
    </w:p>
    <w:p>
      <w:pPr>
        <w:pStyle w:val="BodyText"/>
        <w:ind w:left="960"/>
      </w:pPr>
      <w:r>
        <w:rPr/>
        <w:t>住所：无锡市太湖新城金融一街 </w:t>
      </w:r>
      <w:r>
        <w:rPr>
          <w:rFonts w:ascii="Times New Roman" w:eastAsia="Times New Roman"/>
        </w:rPr>
        <w:t>8 </w:t>
      </w:r>
      <w:r>
        <w:rPr/>
        <w:t>号国联金融大厦</w:t>
      </w:r>
    </w:p>
    <w:p>
      <w:pPr>
        <w:pStyle w:val="BodyText"/>
        <w:spacing w:before="6"/>
        <w:rPr>
          <w:sz w:val="15"/>
        </w:rPr>
      </w:pPr>
    </w:p>
    <w:p>
      <w:pPr>
        <w:pStyle w:val="BodyText"/>
        <w:spacing w:line="417" w:lineRule="auto" w:before="1"/>
        <w:ind w:left="960" w:right="3097"/>
      </w:pPr>
      <w:r>
        <w:rPr/>
        <w:t>办公地址：无锡市太湖新城金融一街 </w:t>
      </w:r>
      <w:r>
        <w:rPr>
          <w:rFonts w:ascii="Times New Roman" w:eastAsia="Times New Roman"/>
        </w:rPr>
        <w:t>8 </w:t>
      </w:r>
      <w:r>
        <w:rPr/>
        <w:t>号国联金融大厦法定代表人：姚志勇</w:t>
      </w:r>
    </w:p>
    <w:p>
      <w:pPr>
        <w:pStyle w:val="BodyText"/>
        <w:spacing w:line="417" w:lineRule="auto"/>
        <w:ind w:left="960" w:right="624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ind w:left="960"/>
      </w:pPr>
      <w:r>
        <w:rPr/>
        <w:t>联系人：祁昊</w:t>
      </w:r>
    </w:p>
    <w:p>
      <w:pPr>
        <w:pStyle w:val="BodyText"/>
        <w:spacing w:before="6"/>
        <w:rPr>
          <w:sz w:val="15"/>
        </w:rPr>
      </w:pPr>
    </w:p>
    <w:p>
      <w:pPr>
        <w:pStyle w:val="BodyText"/>
        <w:spacing w:line="417" w:lineRule="auto"/>
        <w:ind w:left="960" w:right="6031"/>
        <w:rPr>
          <w:rFonts w:ascii="Times New Roman" w:eastAsia="Times New Roman"/>
        </w:rPr>
      </w:pPr>
      <w:r>
        <w:rPr/>
        <w:t>网址：</w:t>
      </w:r>
      <w:hyperlink r:id="rId119">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10"/>
        </w:numPr>
        <w:tabs>
          <w:tab w:pos="1691" w:val="left" w:leader="none"/>
        </w:tabs>
        <w:spacing w:line="269" w:lineRule="exact" w:before="0" w:after="0"/>
        <w:ind w:left="1691" w:right="0" w:hanging="731"/>
        <w:jc w:val="left"/>
        <w:rPr>
          <w:sz w:val="21"/>
        </w:rPr>
      </w:pPr>
      <w:r>
        <w:rPr>
          <w:spacing w:val="-3"/>
          <w:sz w:val="21"/>
        </w:rPr>
        <w:t>浙商证券股份有限公司</w:t>
      </w:r>
    </w:p>
    <w:p>
      <w:pPr>
        <w:pStyle w:val="BodyText"/>
        <w:spacing w:before="7"/>
        <w:rPr>
          <w:sz w:val="15"/>
        </w:rPr>
      </w:pPr>
    </w:p>
    <w:p>
      <w:pPr>
        <w:pStyle w:val="BodyText"/>
        <w:ind w:left="960"/>
      </w:pPr>
      <w:r>
        <w:rPr/>
        <w:t>住所：杭州市江干区五星路 </w:t>
      </w:r>
      <w:r>
        <w:rPr>
          <w:rFonts w:ascii="Times New Roman" w:eastAsia="Times New Roman"/>
        </w:rPr>
        <w:t>201 </w:t>
      </w:r>
      <w:r>
        <w:rPr/>
        <w:t>号</w:t>
      </w:r>
    </w:p>
    <w:p>
      <w:pPr>
        <w:pStyle w:val="BodyText"/>
        <w:spacing w:before="6"/>
        <w:rPr>
          <w:sz w:val="15"/>
        </w:rPr>
      </w:pPr>
    </w:p>
    <w:p>
      <w:pPr>
        <w:pStyle w:val="BodyText"/>
        <w:spacing w:line="417" w:lineRule="auto" w:before="1"/>
        <w:ind w:left="960" w:right="2947"/>
      </w:pPr>
      <w:r>
        <w:rPr>
          <w:spacing w:val="-6"/>
        </w:rPr>
        <w:t>办公地址：杭州市江干区五星路 </w:t>
      </w:r>
      <w:r>
        <w:rPr>
          <w:rFonts w:ascii="Times New Roman" w:eastAsia="Times New Roman"/>
        </w:rPr>
        <w:t>201 </w:t>
      </w:r>
      <w:r>
        <w:rPr>
          <w:spacing w:val="-9"/>
        </w:rPr>
        <w:t>号浙商证券大楼 </w:t>
      </w:r>
      <w:r>
        <w:rPr>
          <w:rFonts w:ascii="Times New Roman" w:eastAsia="Times New Roman"/>
        </w:rPr>
        <w:t>8 </w:t>
      </w:r>
      <w:r>
        <w:rPr/>
        <w:t>楼</w:t>
      </w:r>
      <w:r>
        <w:rPr>
          <w:spacing w:val="-3"/>
        </w:rPr>
        <w:t>法定代表人：吴承根</w:t>
      </w:r>
    </w:p>
    <w:p>
      <w:pPr>
        <w:pStyle w:val="BodyText"/>
        <w:spacing w:line="417" w:lineRule="auto"/>
        <w:ind w:left="960" w:right="624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spacing w:line="269" w:lineRule="exact"/>
        <w:ind w:left="960"/>
      </w:pPr>
      <w:r>
        <w:rPr/>
        <w:t>联系人：谢相辉</w:t>
      </w:r>
    </w:p>
    <w:p>
      <w:pPr>
        <w:pStyle w:val="BodyText"/>
        <w:spacing w:before="6"/>
        <w:rPr>
          <w:sz w:val="15"/>
        </w:rPr>
      </w:pPr>
    </w:p>
    <w:p>
      <w:pPr>
        <w:pStyle w:val="BodyText"/>
        <w:spacing w:line="417" w:lineRule="auto" w:before="1"/>
        <w:ind w:left="960" w:right="5834"/>
        <w:rPr>
          <w:rFonts w:ascii="Times New Roman" w:eastAsia="Times New Roman"/>
        </w:rPr>
      </w:pPr>
      <w:r>
        <w:rPr/>
        <w:t>网址：</w:t>
      </w:r>
      <w:hyperlink r:id="rId120">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10"/>
        </w:numPr>
        <w:tabs>
          <w:tab w:pos="1684" w:val="left" w:leader="none"/>
        </w:tabs>
        <w:spacing w:line="269" w:lineRule="exact" w:before="0" w:after="0"/>
        <w:ind w:left="1683" w:right="0" w:hanging="724"/>
        <w:jc w:val="left"/>
        <w:rPr>
          <w:sz w:val="21"/>
        </w:rPr>
      </w:pPr>
      <w:r>
        <w:rPr>
          <w:spacing w:val="-3"/>
          <w:sz w:val="21"/>
        </w:rPr>
        <w:t>平安证券股份有限公司</w:t>
      </w:r>
    </w:p>
    <w:p>
      <w:pPr>
        <w:pStyle w:val="BodyText"/>
        <w:spacing w:before="6"/>
        <w:rPr>
          <w:sz w:val="15"/>
        </w:rPr>
      </w:pPr>
    </w:p>
    <w:p>
      <w:pPr>
        <w:pStyle w:val="BodyText"/>
        <w:spacing w:line="417" w:lineRule="auto"/>
        <w:ind w:left="960" w:right="137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ind w:left="960"/>
      </w:pPr>
      <w:r>
        <w:rPr/>
        <w:t>法定代表人：何之江</w:t>
      </w:r>
    </w:p>
    <w:p>
      <w:pPr>
        <w:spacing w:after="0"/>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960"/>
      </w:pPr>
      <w:r>
        <w:rPr/>
        <w:t>联系人：王阳</w:t>
      </w:r>
    </w:p>
    <w:p>
      <w:pPr>
        <w:pStyle w:val="BodyText"/>
        <w:spacing w:before="6"/>
        <w:rPr>
          <w:sz w:val="15"/>
        </w:rPr>
      </w:pPr>
    </w:p>
    <w:p>
      <w:pPr>
        <w:pStyle w:val="BodyText"/>
        <w:spacing w:line="417" w:lineRule="auto"/>
        <w:ind w:left="960" w:right="6000"/>
        <w:rPr>
          <w:rFonts w:ascii="Times New Roman" w:eastAsia="Times New Roman"/>
        </w:rPr>
      </w:pPr>
      <w:r>
        <w:rPr/>
        <w:t>网址：</w:t>
      </w:r>
      <w:hyperlink r:id="rId121">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10"/>
        </w:numPr>
        <w:tabs>
          <w:tab w:pos="1691" w:val="left" w:leader="none"/>
        </w:tabs>
        <w:spacing w:line="269" w:lineRule="exact" w:before="0" w:after="0"/>
        <w:ind w:left="1691" w:right="0" w:hanging="731"/>
        <w:jc w:val="left"/>
        <w:rPr>
          <w:sz w:val="21"/>
        </w:rPr>
      </w:pPr>
      <w:r>
        <w:rPr>
          <w:spacing w:val="-3"/>
          <w:sz w:val="21"/>
        </w:rPr>
        <w:t>华安证券股份有限公司</w:t>
      </w:r>
    </w:p>
    <w:p>
      <w:pPr>
        <w:pStyle w:val="BodyText"/>
        <w:spacing w:before="7"/>
        <w:rPr>
          <w:sz w:val="15"/>
        </w:rPr>
      </w:pPr>
    </w:p>
    <w:p>
      <w:pPr>
        <w:pStyle w:val="BodyText"/>
        <w:ind w:left="960"/>
      </w:pPr>
      <w:r>
        <w:rPr/>
        <w:t>住所：安徽省合肥市政务文化新区天鹅湖路 </w:t>
      </w:r>
      <w:r>
        <w:rPr>
          <w:rFonts w:ascii="Times New Roman" w:eastAsia="Times New Roman"/>
        </w:rPr>
        <w:t>198 </w:t>
      </w:r>
      <w:r>
        <w:rPr/>
        <w:t>号</w:t>
      </w:r>
    </w:p>
    <w:p>
      <w:pPr>
        <w:pStyle w:val="BodyText"/>
        <w:spacing w:before="7"/>
        <w:rPr>
          <w:sz w:val="15"/>
        </w:rPr>
      </w:pPr>
    </w:p>
    <w:p>
      <w:pPr>
        <w:pStyle w:val="BodyText"/>
        <w:spacing w:line="417" w:lineRule="auto" w:before="1"/>
        <w:ind w:left="960" w:right="175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960" w:right="624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960"/>
      </w:pPr>
      <w:r>
        <w:rPr/>
        <w:t>联系人：范超</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122">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10"/>
        </w:numPr>
        <w:tabs>
          <w:tab w:pos="1691" w:val="left" w:leader="none"/>
        </w:tabs>
        <w:spacing w:line="417" w:lineRule="auto" w:before="0" w:after="0"/>
        <w:ind w:left="960" w:right="5366" w:firstLine="0"/>
        <w:jc w:val="left"/>
        <w:rPr>
          <w:sz w:val="21"/>
        </w:rPr>
      </w:pPr>
      <w:r>
        <w:rPr>
          <w:spacing w:val="-3"/>
          <w:sz w:val="21"/>
        </w:rPr>
        <w:t>国海证券股份有限公司</w:t>
      </w:r>
      <w:r>
        <w:rPr>
          <w:spacing w:val="-7"/>
          <w:sz w:val="21"/>
        </w:rPr>
        <w:t>住所：广西桂林市辅星路 </w:t>
      </w:r>
      <w:r>
        <w:rPr>
          <w:rFonts w:ascii="Times New Roman" w:eastAsia="Times New Roman"/>
          <w:sz w:val="21"/>
        </w:rPr>
        <w:t>13</w:t>
      </w:r>
      <w:r>
        <w:rPr>
          <w:rFonts w:ascii="Times New Roman" w:eastAsia="Times New Roman"/>
          <w:spacing w:val="6"/>
          <w:sz w:val="21"/>
        </w:rPr>
        <w:t> </w:t>
      </w:r>
      <w:r>
        <w:rPr>
          <w:spacing w:val="-13"/>
          <w:sz w:val="21"/>
        </w:rPr>
        <w:t>号</w:t>
      </w:r>
    </w:p>
    <w:p>
      <w:pPr>
        <w:pStyle w:val="BodyText"/>
        <w:spacing w:line="417" w:lineRule="auto"/>
        <w:ind w:left="960" w:right="3833"/>
      </w:pPr>
      <w:r>
        <w:rPr/>
        <w:t>办公地址：广西壮族自治区南宁市滨湖路 </w:t>
      </w:r>
      <w:r>
        <w:rPr>
          <w:rFonts w:ascii="Times New Roman" w:eastAsia="Times New Roman"/>
        </w:rPr>
        <w:t>46 </w:t>
      </w:r>
      <w:r>
        <w:rPr/>
        <w:t>号法定代表人：何春梅</w:t>
      </w:r>
    </w:p>
    <w:p>
      <w:pPr>
        <w:pStyle w:val="BodyText"/>
        <w:spacing w:line="417" w:lineRule="auto"/>
        <w:ind w:left="960" w:right="6240"/>
        <w:rPr>
          <w:rFonts w:ascii="Times New Roman" w:eastAsia="Times New Roman"/>
        </w:rPr>
      </w:pPr>
      <w:r>
        <w:rPr/>
        <w:t>电话：</w:t>
      </w:r>
      <w:r>
        <w:rPr>
          <w:rFonts w:ascii="Times New Roman" w:eastAsia="Times New Roman"/>
        </w:rPr>
        <w:t>0755-83709350 </w:t>
      </w:r>
      <w:r>
        <w:rPr/>
        <w:t>传真：</w:t>
      </w:r>
      <w:r>
        <w:rPr>
          <w:rFonts w:ascii="Times New Roman" w:eastAsia="Times New Roman"/>
        </w:rPr>
        <w:t>0755-83704850</w:t>
      </w:r>
    </w:p>
    <w:p>
      <w:pPr>
        <w:pStyle w:val="BodyText"/>
        <w:spacing w:line="269" w:lineRule="exact"/>
        <w:ind w:left="960"/>
      </w:pPr>
      <w:r>
        <w:rPr/>
        <w:t>联系人：牛孟宇</w:t>
      </w:r>
    </w:p>
    <w:p>
      <w:pPr>
        <w:pStyle w:val="BodyText"/>
        <w:spacing w:before="7"/>
        <w:rPr>
          <w:sz w:val="15"/>
        </w:rPr>
      </w:pPr>
    </w:p>
    <w:p>
      <w:pPr>
        <w:pStyle w:val="BodyText"/>
        <w:spacing w:line="417" w:lineRule="auto"/>
        <w:ind w:left="960" w:right="5962"/>
        <w:rPr>
          <w:rFonts w:ascii="Times New Roman" w:eastAsia="Times New Roman"/>
        </w:rPr>
      </w:pPr>
      <w:r>
        <w:rPr/>
        <w:t>网址：</w:t>
      </w:r>
      <w:hyperlink r:id="rId123">
        <w:r>
          <w:rPr>
            <w:rFonts w:ascii="Times New Roman" w:eastAsia="Times New Roman"/>
          </w:rPr>
          <w:t>www.ghzq.com.cn </w:t>
        </w:r>
      </w:hyperlink>
      <w:r>
        <w:rPr/>
        <w:t>客户服务电话：</w:t>
      </w:r>
      <w:r>
        <w:rPr>
          <w:rFonts w:ascii="Times New Roman" w:eastAsia="Times New Roman"/>
        </w:rPr>
        <w:t>95563</w:t>
      </w:r>
    </w:p>
    <w:p>
      <w:pPr>
        <w:pStyle w:val="ListParagraph"/>
        <w:numPr>
          <w:ilvl w:val="0"/>
          <w:numId w:val="10"/>
        </w:numPr>
        <w:tabs>
          <w:tab w:pos="1691" w:val="left" w:leader="none"/>
        </w:tabs>
        <w:spacing w:line="269" w:lineRule="exact" w:before="0" w:after="0"/>
        <w:ind w:left="1691" w:right="0" w:hanging="731"/>
        <w:jc w:val="left"/>
        <w:rPr>
          <w:sz w:val="21"/>
        </w:rPr>
      </w:pPr>
      <w:r>
        <w:rPr>
          <w:spacing w:val="-3"/>
          <w:sz w:val="21"/>
        </w:rPr>
        <w:t>财信证券有限责任公司</w:t>
      </w:r>
    </w:p>
    <w:p>
      <w:pPr>
        <w:pStyle w:val="BodyText"/>
        <w:spacing w:before="6"/>
        <w:rPr>
          <w:sz w:val="15"/>
        </w:rPr>
      </w:pPr>
    </w:p>
    <w:p>
      <w:pPr>
        <w:pStyle w:val="BodyText"/>
        <w:ind w:left="960"/>
      </w:pPr>
      <w:r>
        <w:rPr/>
        <w:t>住所：长沙市芙蓉中路二段 </w:t>
      </w:r>
      <w:r>
        <w:rPr>
          <w:rFonts w:ascii="Times New Roman" w:eastAsia="Times New Roman"/>
        </w:rPr>
        <w:t>80 </w:t>
      </w:r>
      <w:r>
        <w:rPr/>
        <w:t>号顺天国际财富中心 </w:t>
      </w:r>
      <w:r>
        <w:rPr>
          <w:rFonts w:ascii="Times New Roman" w:eastAsia="Times New Roman"/>
        </w:rPr>
        <w:t>26 </w:t>
      </w:r>
      <w:r>
        <w:rPr/>
        <w:t>层</w:t>
      </w:r>
    </w:p>
    <w:p>
      <w:pPr>
        <w:pStyle w:val="BodyText"/>
        <w:spacing w:before="7"/>
        <w:rPr>
          <w:sz w:val="15"/>
        </w:rPr>
      </w:pPr>
    </w:p>
    <w:p>
      <w:pPr>
        <w:pStyle w:val="BodyText"/>
        <w:spacing w:line="417" w:lineRule="auto"/>
        <w:ind w:left="960" w:right="2251"/>
      </w:pPr>
      <w:r>
        <w:rPr>
          <w:spacing w:val="-6"/>
        </w:rPr>
        <w:t>办公地址：长沙市芙蓉中路二段 </w:t>
      </w:r>
      <w:r>
        <w:rPr>
          <w:rFonts w:ascii="Times New Roman" w:eastAsia="Times New Roman"/>
        </w:rPr>
        <w:t>80 </w:t>
      </w:r>
      <w:r>
        <w:rPr>
          <w:spacing w:val="-8"/>
        </w:rPr>
        <w:t>号顺天国际财富中心 </w:t>
      </w:r>
      <w:r>
        <w:rPr>
          <w:rFonts w:ascii="Times New Roman" w:eastAsia="Times New Roman"/>
        </w:rPr>
        <w:t>26-28 </w:t>
      </w:r>
      <w:r>
        <w:rPr/>
        <w:t>层</w:t>
      </w:r>
      <w:r>
        <w:rPr>
          <w:spacing w:val="-3"/>
        </w:rPr>
        <w:t>法定代表人：蔡一兵</w:t>
      </w:r>
    </w:p>
    <w:p>
      <w:pPr>
        <w:pStyle w:val="BodyText"/>
        <w:spacing w:line="417" w:lineRule="auto"/>
        <w:ind w:left="960" w:right="624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pStyle w:val="BodyText"/>
        <w:ind w:left="960"/>
      </w:pPr>
      <w:r>
        <w:rPr/>
        <w:t>联系人：郭静</w:t>
      </w:r>
    </w:p>
    <w:p>
      <w:pPr>
        <w:spacing w:after="0"/>
        <w:sectPr>
          <w:pgSz w:w="11910" w:h="16840"/>
          <w:pgMar w:header="877" w:footer="995" w:top="1420" w:bottom="1180" w:left="1260" w:right="1480"/>
        </w:sectPr>
      </w:pPr>
    </w:p>
    <w:p>
      <w:pPr>
        <w:pStyle w:val="BodyText"/>
        <w:spacing w:line="417" w:lineRule="auto" w:before="110"/>
        <w:ind w:left="960" w:right="6207"/>
        <w:rPr>
          <w:rFonts w:ascii="Times New Roman" w:eastAsia="Times New Roman"/>
        </w:rPr>
      </w:pPr>
      <w:r>
        <w:rPr/>
        <w:t>网址：</w:t>
      </w:r>
      <w:hyperlink r:id="rId124">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10"/>
        </w:numPr>
        <w:tabs>
          <w:tab w:pos="1691" w:val="left" w:leader="none"/>
        </w:tabs>
        <w:spacing w:line="269" w:lineRule="exact" w:before="0" w:after="0"/>
        <w:ind w:left="1691" w:right="0" w:hanging="731"/>
        <w:jc w:val="left"/>
        <w:rPr>
          <w:sz w:val="21"/>
        </w:rPr>
      </w:pPr>
      <w:r>
        <w:rPr>
          <w:spacing w:val="-3"/>
          <w:sz w:val="21"/>
        </w:rPr>
        <w:t>东莞证券股份有限公司</w:t>
      </w:r>
    </w:p>
    <w:p>
      <w:pPr>
        <w:pStyle w:val="BodyText"/>
        <w:spacing w:before="6"/>
        <w:rPr>
          <w:sz w:val="15"/>
        </w:rPr>
      </w:pPr>
    </w:p>
    <w:p>
      <w:pPr>
        <w:pStyle w:val="BodyText"/>
        <w:ind w:left="960"/>
      </w:pPr>
      <w:r>
        <w:rPr/>
        <w:t>住所：东莞市莞城区可园南路 </w:t>
      </w:r>
      <w:r>
        <w:rPr>
          <w:rFonts w:ascii="Times New Roman" w:eastAsia="Times New Roman"/>
        </w:rPr>
        <w:t>1 </w:t>
      </w:r>
      <w:r>
        <w:rPr/>
        <w:t>号金源中心</w:t>
      </w:r>
    </w:p>
    <w:p>
      <w:pPr>
        <w:pStyle w:val="BodyText"/>
        <w:spacing w:before="7"/>
        <w:rPr>
          <w:sz w:val="15"/>
        </w:rPr>
      </w:pPr>
    </w:p>
    <w:p>
      <w:pPr>
        <w:pStyle w:val="BodyText"/>
        <w:spacing w:line="417" w:lineRule="auto"/>
        <w:ind w:left="960" w:right="3266"/>
      </w:pPr>
      <w:r>
        <w:rPr>
          <w:spacing w:val="-6"/>
        </w:rPr>
        <w:t>办公地址：东莞市莞城区可园南路 </w:t>
      </w:r>
      <w:r>
        <w:rPr>
          <w:rFonts w:ascii="Times New Roman" w:eastAsia="Times New Roman"/>
        </w:rPr>
        <w:t>1 </w:t>
      </w:r>
      <w:r>
        <w:rPr>
          <w:spacing w:val="-11"/>
        </w:rPr>
        <w:t>号金源中心 </w:t>
      </w:r>
      <w:r>
        <w:rPr>
          <w:rFonts w:ascii="Times New Roman" w:eastAsia="Times New Roman"/>
        </w:rPr>
        <w:t>30 </w:t>
      </w:r>
      <w:r>
        <w:rPr/>
        <w:t>楼</w:t>
      </w:r>
      <w:r>
        <w:rPr>
          <w:spacing w:val="-3"/>
        </w:rPr>
        <w:t>法定代表人：张运勇</w:t>
      </w:r>
    </w:p>
    <w:p>
      <w:pPr>
        <w:pStyle w:val="BodyText"/>
        <w:spacing w:line="417" w:lineRule="auto"/>
        <w:ind w:left="960" w:right="467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960" w:right="6005"/>
        <w:rPr>
          <w:rFonts w:ascii="Times New Roman" w:eastAsia="Times New Roman"/>
        </w:rPr>
      </w:pPr>
      <w:r>
        <w:rPr>
          <w:spacing w:val="-3"/>
        </w:rPr>
        <w:t>联系人：李荣、孙旭  网址：</w:t>
      </w:r>
      <w:hyperlink r:id="rId125">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10"/>
        </w:numPr>
        <w:tabs>
          <w:tab w:pos="1691" w:val="left" w:leader="none"/>
        </w:tabs>
        <w:spacing w:line="269" w:lineRule="exact" w:before="0" w:after="0"/>
        <w:ind w:left="1691" w:right="0" w:hanging="731"/>
        <w:jc w:val="left"/>
        <w:rPr>
          <w:sz w:val="21"/>
        </w:rPr>
      </w:pPr>
      <w:r>
        <w:rPr>
          <w:spacing w:val="-3"/>
          <w:sz w:val="21"/>
        </w:rPr>
        <w:t>中原证券股份有限公司</w:t>
      </w:r>
    </w:p>
    <w:p>
      <w:pPr>
        <w:pStyle w:val="BodyText"/>
        <w:spacing w:before="7"/>
        <w:rPr>
          <w:sz w:val="15"/>
        </w:rPr>
      </w:pPr>
    </w:p>
    <w:p>
      <w:pPr>
        <w:pStyle w:val="BodyText"/>
        <w:ind w:left="960"/>
      </w:pPr>
      <w:r>
        <w:rPr/>
        <w:t>住所：郑州市郑东新区商务外环路 </w:t>
      </w:r>
      <w:r>
        <w:rPr>
          <w:rFonts w:ascii="Times New Roman" w:eastAsia="Times New Roman"/>
        </w:rPr>
        <w:t>10 </w:t>
      </w:r>
      <w:r>
        <w:rPr/>
        <w:t>号</w:t>
      </w:r>
    </w:p>
    <w:p>
      <w:pPr>
        <w:pStyle w:val="BodyText"/>
        <w:spacing w:before="6"/>
        <w:rPr>
          <w:sz w:val="15"/>
        </w:rPr>
      </w:pPr>
    </w:p>
    <w:p>
      <w:pPr>
        <w:pStyle w:val="BodyText"/>
        <w:spacing w:line="417" w:lineRule="auto" w:before="1"/>
        <w:ind w:left="960" w:right="4043"/>
      </w:pPr>
      <w:r>
        <w:rPr/>
        <w:t>办公地址：郑州市郑东新区商务外环路 </w:t>
      </w:r>
      <w:r>
        <w:rPr>
          <w:rFonts w:ascii="Times New Roman" w:eastAsia="Times New Roman"/>
        </w:rPr>
        <w:t>10 </w:t>
      </w:r>
      <w:r>
        <w:rPr/>
        <w:t>号法定代表人：菅明军</w:t>
      </w:r>
    </w:p>
    <w:p>
      <w:pPr>
        <w:pStyle w:val="BodyText"/>
        <w:spacing w:line="417" w:lineRule="auto"/>
        <w:ind w:left="960" w:right="624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left="960" w:right="5258"/>
        <w:rPr>
          <w:rFonts w:ascii="Times New Roman" w:eastAsia="Times New Roman"/>
        </w:rPr>
      </w:pPr>
      <w:r>
        <w:rPr/>
        <w:t>联系人：程月艳、李盼盼、党静网址：</w:t>
      </w:r>
      <w:hyperlink r:id="rId126">
        <w:r>
          <w:rPr>
            <w:rFonts w:ascii="Times New Roman" w:eastAsia="Times New Roman"/>
          </w:rPr>
          <w:t>www.ccnew.com</w:t>
        </w:r>
      </w:hyperlink>
    </w:p>
    <w:p>
      <w:pPr>
        <w:pStyle w:val="BodyText"/>
        <w:spacing w:line="269" w:lineRule="exact"/>
        <w:ind w:left="960"/>
        <w:rPr>
          <w:rFonts w:ascii="Times New Roman" w:eastAsia="Times New Roman"/>
        </w:rPr>
      </w:pPr>
      <w:r>
        <w:rPr/>
        <w:t>客户服务电话：</w:t>
      </w:r>
      <w:r>
        <w:rPr>
          <w:rFonts w:ascii="Times New Roman" w:eastAsia="Times New Roman"/>
        </w:rPr>
        <w:t>95377</w:t>
      </w:r>
    </w:p>
    <w:p>
      <w:pPr>
        <w:pStyle w:val="BodyText"/>
        <w:spacing w:before="3"/>
        <w:rPr>
          <w:rFonts w:ascii="Times New Roman"/>
          <w:sz w:val="17"/>
        </w:rPr>
      </w:pPr>
    </w:p>
    <w:p>
      <w:pPr>
        <w:pStyle w:val="ListParagraph"/>
        <w:numPr>
          <w:ilvl w:val="0"/>
          <w:numId w:val="10"/>
        </w:numPr>
        <w:tabs>
          <w:tab w:pos="1691" w:val="left" w:leader="none"/>
        </w:tabs>
        <w:spacing w:line="240" w:lineRule="auto" w:before="0" w:after="0"/>
        <w:ind w:left="1691" w:right="0" w:hanging="731"/>
        <w:jc w:val="left"/>
        <w:rPr>
          <w:sz w:val="21"/>
        </w:rPr>
      </w:pPr>
      <w:r>
        <w:rPr>
          <w:spacing w:val="-3"/>
          <w:sz w:val="21"/>
        </w:rPr>
        <w:t>国都证券股份有限公司</w:t>
      </w:r>
    </w:p>
    <w:p>
      <w:pPr>
        <w:pStyle w:val="BodyText"/>
        <w:spacing w:before="7"/>
        <w:rPr>
          <w:sz w:val="15"/>
        </w:rPr>
      </w:pPr>
    </w:p>
    <w:p>
      <w:pPr>
        <w:pStyle w:val="BodyText"/>
        <w:ind w:left="96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7"/>
        <w:rPr>
          <w:sz w:val="15"/>
        </w:rPr>
      </w:pPr>
    </w:p>
    <w:p>
      <w:pPr>
        <w:pStyle w:val="BodyText"/>
        <w:spacing w:line="417" w:lineRule="auto"/>
        <w:ind w:left="960" w:right="184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6"/>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010-84183311-3389</w:t>
      </w:r>
    </w:p>
    <w:p>
      <w:pPr>
        <w:pStyle w:val="BodyText"/>
        <w:spacing w:before="4"/>
        <w:rPr>
          <w:rFonts w:ascii="Times New Roman"/>
          <w:sz w:val="17"/>
        </w:rPr>
      </w:pPr>
    </w:p>
    <w:p>
      <w:pPr>
        <w:pStyle w:val="BodyText"/>
        <w:ind w:left="960"/>
      </w:pPr>
      <w:r>
        <w:rPr/>
        <w:t>联系人：黄静</w:t>
      </w:r>
    </w:p>
    <w:p>
      <w:pPr>
        <w:pStyle w:val="BodyText"/>
        <w:spacing w:before="6"/>
        <w:rPr>
          <w:sz w:val="15"/>
        </w:rPr>
      </w:pPr>
    </w:p>
    <w:p>
      <w:pPr>
        <w:pStyle w:val="BodyText"/>
        <w:spacing w:before="1"/>
        <w:ind w:left="960"/>
        <w:rPr>
          <w:rFonts w:ascii="Times New Roman" w:eastAsia="Times New Roman"/>
        </w:rPr>
      </w:pPr>
      <w:r>
        <w:rPr/>
        <w:t>网址：</w:t>
      </w:r>
      <w:hyperlink r:id="rId127">
        <w:r>
          <w:rPr>
            <w:rFonts w:ascii="Times New Roman" w:eastAsia="Times New Roman"/>
          </w:rPr>
          <w:t>www.guodu.com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400-818-8118</w:t>
      </w:r>
    </w:p>
    <w:p>
      <w:pPr>
        <w:pStyle w:val="BodyText"/>
        <w:spacing w:before="4"/>
        <w:rPr>
          <w:rFonts w:ascii="Times New Roman"/>
          <w:sz w:val="17"/>
        </w:rPr>
      </w:pPr>
    </w:p>
    <w:p>
      <w:pPr>
        <w:pStyle w:val="ListParagraph"/>
        <w:numPr>
          <w:ilvl w:val="0"/>
          <w:numId w:val="10"/>
        </w:numPr>
        <w:tabs>
          <w:tab w:pos="1691" w:val="left" w:leader="none"/>
        </w:tabs>
        <w:spacing w:line="240" w:lineRule="auto" w:before="0" w:after="0"/>
        <w:ind w:left="1691" w:right="0" w:hanging="731"/>
        <w:jc w:val="left"/>
        <w:rPr>
          <w:sz w:val="21"/>
        </w:rPr>
      </w:pPr>
      <w:r>
        <w:rPr>
          <w:spacing w:val="-3"/>
          <w:sz w:val="21"/>
        </w:rPr>
        <w:t>东海证券股份有限公司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6"/>
        <w:rPr>
          <w:sz w:val="15"/>
        </w:rPr>
      </w:pPr>
    </w:p>
    <w:p>
      <w:pPr>
        <w:pStyle w:val="BodyText"/>
        <w:spacing w:line="417" w:lineRule="auto"/>
        <w:ind w:left="960" w:right="299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960" w:right="634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960"/>
      </w:pPr>
      <w:r>
        <w:rPr/>
        <w:t>联系人：王一彦</w:t>
      </w:r>
    </w:p>
    <w:p>
      <w:pPr>
        <w:pStyle w:val="BodyText"/>
        <w:spacing w:before="7"/>
        <w:rPr>
          <w:sz w:val="15"/>
        </w:rPr>
      </w:pPr>
    </w:p>
    <w:p>
      <w:pPr>
        <w:pStyle w:val="BodyText"/>
        <w:ind w:left="960"/>
        <w:rPr>
          <w:rFonts w:ascii="Times New Roman" w:eastAsia="Times New Roman"/>
        </w:rPr>
      </w:pPr>
      <w:r>
        <w:rPr/>
        <w:t>网址：</w:t>
      </w:r>
      <w:hyperlink r:id="rId128">
        <w:r>
          <w:rPr>
            <w:rFonts w:ascii="Times New Roman" w:eastAsia="Times New Roman"/>
          </w:rPr>
          <w:t>www.longone.com.cn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3"/>
        <w:rPr>
          <w:rFonts w:ascii="Times New Roman"/>
          <w:sz w:val="17"/>
        </w:rPr>
      </w:pPr>
    </w:p>
    <w:p>
      <w:pPr>
        <w:pStyle w:val="ListParagraph"/>
        <w:numPr>
          <w:ilvl w:val="0"/>
          <w:numId w:val="10"/>
        </w:numPr>
        <w:tabs>
          <w:tab w:pos="1691" w:val="left" w:leader="none"/>
        </w:tabs>
        <w:spacing w:line="240" w:lineRule="auto" w:before="0" w:after="0"/>
        <w:ind w:left="1691" w:right="0" w:hanging="731"/>
        <w:jc w:val="left"/>
        <w:rPr>
          <w:sz w:val="21"/>
        </w:rPr>
      </w:pPr>
      <w:r>
        <w:rPr>
          <w:spacing w:val="-3"/>
          <w:sz w:val="21"/>
        </w:rPr>
        <w:t>中银国际证券股份有限公司</w:t>
      </w:r>
    </w:p>
    <w:p>
      <w:pPr>
        <w:pStyle w:val="BodyText"/>
        <w:spacing w:before="7"/>
        <w:rPr>
          <w:sz w:val="15"/>
        </w:rPr>
      </w:pPr>
    </w:p>
    <w:p>
      <w:pPr>
        <w:pStyle w:val="BodyText"/>
        <w:ind w:left="960"/>
      </w:pPr>
      <w:r>
        <w:rPr/>
        <w:t>住所：上海浦东新区银城中路 </w:t>
      </w:r>
      <w:r>
        <w:rPr>
          <w:rFonts w:ascii="Times New Roman" w:eastAsia="Times New Roman"/>
        </w:rPr>
        <w:t>200 </w:t>
      </w:r>
      <w:r>
        <w:rPr/>
        <w:t>号中银大厦 </w:t>
      </w:r>
      <w:r>
        <w:rPr>
          <w:rFonts w:ascii="Times New Roman" w:eastAsia="Times New Roman"/>
        </w:rPr>
        <w:t>39 </w:t>
      </w:r>
      <w:r>
        <w:rPr/>
        <w:t>层</w:t>
      </w:r>
    </w:p>
    <w:p>
      <w:pPr>
        <w:pStyle w:val="BodyText"/>
        <w:spacing w:before="7"/>
        <w:rPr>
          <w:sz w:val="15"/>
        </w:rPr>
      </w:pPr>
    </w:p>
    <w:p>
      <w:pPr>
        <w:pStyle w:val="BodyText"/>
        <w:spacing w:line="417" w:lineRule="auto"/>
        <w:ind w:left="960" w:right="3055"/>
      </w:pPr>
      <w:r>
        <w:rPr>
          <w:spacing w:val="-6"/>
        </w:rPr>
        <w:t>办公地址：上海浦东新区银城中路 </w:t>
      </w:r>
      <w:r>
        <w:rPr>
          <w:rFonts w:ascii="Times New Roman" w:eastAsia="Times New Roman"/>
        </w:rPr>
        <w:t>200 </w:t>
      </w:r>
      <w:r>
        <w:rPr>
          <w:spacing w:val="-11"/>
        </w:rPr>
        <w:t>号中银大厦 </w:t>
      </w:r>
      <w:r>
        <w:rPr>
          <w:rFonts w:ascii="Times New Roman" w:eastAsia="Times New Roman"/>
        </w:rPr>
        <w:t>39 </w:t>
      </w:r>
      <w:r>
        <w:rPr/>
        <w:t>层</w:t>
      </w:r>
      <w:r>
        <w:rPr>
          <w:spacing w:val="-3"/>
        </w:rPr>
        <w:t>法定代表人：宁敏</w:t>
      </w:r>
    </w:p>
    <w:p>
      <w:pPr>
        <w:pStyle w:val="BodyText"/>
        <w:spacing w:line="417" w:lineRule="auto"/>
        <w:ind w:left="960" w:right="634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ind w:left="960"/>
      </w:pPr>
      <w:r>
        <w:rPr/>
        <w:t>联系人：王炜哲</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129">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国盛证券有限责任公司</w:t>
      </w:r>
    </w:p>
    <w:p>
      <w:pPr>
        <w:pStyle w:val="BodyText"/>
        <w:spacing w:before="7"/>
        <w:rPr>
          <w:sz w:val="15"/>
        </w:rPr>
      </w:pPr>
    </w:p>
    <w:p>
      <w:pPr>
        <w:pStyle w:val="BodyText"/>
        <w:ind w:left="960"/>
      </w:pPr>
      <w:r>
        <w:rPr/>
        <w:t>住所：南昌市北京西路 </w:t>
      </w:r>
      <w:r>
        <w:rPr>
          <w:rFonts w:ascii="Times New Roman" w:eastAsia="Times New Roman"/>
        </w:rPr>
        <w:t>88 </w:t>
      </w:r>
      <w:r>
        <w:rPr/>
        <w:t>号江信国际金融大厦</w:t>
      </w:r>
    </w:p>
    <w:p>
      <w:pPr>
        <w:pStyle w:val="BodyText"/>
        <w:spacing w:before="7"/>
        <w:rPr>
          <w:sz w:val="15"/>
        </w:rPr>
      </w:pPr>
    </w:p>
    <w:p>
      <w:pPr>
        <w:pStyle w:val="BodyText"/>
        <w:spacing w:line="417" w:lineRule="auto"/>
        <w:ind w:left="960" w:right="1740"/>
      </w:pPr>
      <w:r>
        <w:rPr/>
        <w:t>办公地址：江西省南昌市红谷滩新区凤凰中大道 </w:t>
      </w:r>
      <w:r>
        <w:rPr>
          <w:rFonts w:ascii="Times New Roman" w:eastAsia="Times New Roman"/>
        </w:rPr>
        <w:t>1115 </w:t>
      </w:r>
      <w:r>
        <w:rPr/>
        <w:t>号北京银行大楼法定代表人：徐丽峰</w:t>
      </w:r>
    </w:p>
    <w:p>
      <w:pPr>
        <w:pStyle w:val="BodyText"/>
        <w:spacing w:line="417" w:lineRule="auto"/>
        <w:ind w:left="960" w:right="487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ind w:left="960"/>
      </w:pPr>
      <w:r>
        <w:rPr/>
        <w:t>联系人：占文驰</w:t>
      </w:r>
    </w:p>
    <w:p>
      <w:pPr>
        <w:pStyle w:val="BodyText"/>
        <w:spacing w:before="7"/>
        <w:rPr>
          <w:sz w:val="15"/>
        </w:rPr>
      </w:pPr>
    </w:p>
    <w:p>
      <w:pPr>
        <w:pStyle w:val="BodyText"/>
        <w:spacing w:line="417" w:lineRule="auto"/>
        <w:ind w:left="960" w:right="6101"/>
        <w:rPr>
          <w:rFonts w:ascii="Times New Roman" w:eastAsia="Times New Roman"/>
        </w:rPr>
      </w:pPr>
      <w:r>
        <w:rPr/>
        <w:t>网址：</w:t>
      </w:r>
      <w:hyperlink r:id="rId130">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华西证券股份有限公司</w:t>
      </w:r>
    </w:p>
    <w:p>
      <w:pPr>
        <w:pStyle w:val="BodyText"/>
        <w:spacing w:before="6"/>
        <w:rPr>
          <w:sz w:val="15"/>
        </w:rPr>
      </w:pPr>
    </w:p>
    <w:p>
      <w:pPr>
        <w:pStyle w:val="BodyText"/>
        <w:spacing w:before="1"/>
        <w:ind w:left="960"/>
      </w:pPr>
      <w:r>
        <w:rPr/>
        <w:t>住所：四川省成都市高新区天府二街 </w:t>
      </w:r>
      <w:r>
        <w:rPr>
          <w:rFonts w:ascii="Times New Roman" w:eastAsia="Times New Roman"/>
        </w:rPr>
        <w:t>198 </w:t>
      </w:r>
      <w:r>
        <w:rPr/>
        <w:t>号</w:t>
      </w:r>
    </w:p>
    <w:p>
      <w:pPr>
        <w:pStyle w:val="BodyText"/>
        <w:spacing w:before="7"/>
        <w:rPr>
          <w:sz w:val="15"/>
        </w:rPr>
      </w:pPr>
    </w:p>
    <w:p>
      <w:pPr>
        <w:pStyle w:val="BodyText"/>
        <w:spacing w:line="417" w:lineRule="auto"/>
        <w:ind w:left="960" w:right="3728"/>
      </w:pPr>
      <w:r>
        <w:rPr/>
        <w:t>办公地址：四川省成都市高新区天府二街 </w:t>
      </w:r>
      <w:r>
        <w:rPr>
          <w:rFonts w:ascii="Times New Roman" w:eastAsia="Times New Roman"/>
        </w:rPr>
        <w:t>198 </w:t>
      </w:r>
      <w:r>
        <w:rPr/>
        <w:t>号法定代表人：杨炯洋</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960"/>
      </w:pPr>
      <w:r>
        <w:rPr/>
        <w:t>联系人：谢国梅</w:t>
      </w:r>
    </w:p>
    <w:p>
      <w:pPr>
        <w:pStyle w:val="BodyText"/>
        <w:spacing w:before="6"/>
        <w:rPr>
          <w:sz w:val="15"/>
        </w:rPr>
      </w:pPr>
    </w:p>
    <w:p>
      <w:pPr>
        <w:pStyle w:val="BodyText"/>
        <w:spacing w:line="417" w:lineRule="auto"/>
        <w:ind w:left="960" w:right="5844"/>
        <w:rPr>
          <w:rFonts w:ascii="Times New Roman" w:eastAsia="Times New Roman"/>
        </w:rPr>
      </w:pPr>
      <w:r>
        <w:rPr/>
        <w:t>网址：</w:t>
      </w:r>
      <w:hyperlink r:id="rId131">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申万宏源西部证券有限公司</w:t>
      </w:r>
    </w:p>
    <w:p>
      <w:pPr>
        <w:pStyle w:val="BodyText"/>
        <w:spacing w:before="7"/>
        <w:rPr>
          <w:sz w:val="15"/>
        </w:rPr>
      </w:pPr>
    </w:p>
    <w:p>
      <w:pPr>
        <w:pStyle w:val="BodyText"/>
        <w:ind w:left="96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7"/>
        <w:rPr>
          <w:sz w:val="15"/>
        </w:rPr>
      </w:pPr>
    </w:p>
    <w:p>
      <w:pPr>
        <w:pStyle w:val="BodyText"/>
        <w:spacing w:before="1"/>
        <w:ind w:left="96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3"/>
        <w:rPr>
          <w:rFonts w:ascii="Times New Roman"/>
          <w:sz w:val="17"/>
        </w:rPr>
      </w:pPr>
    </w:p>
    <w:p>
      <w:pPr>
        <w:pStyle w:val="BodyText"/>
        <w:ind w:left="540"/>
      </w:pPr>
      <w:r>
        <w:rPr/>
        <w:t>室（</w:t>
      </w:r>
      <w:r>
        <w:rPr>
          <w:rFonts w:ascii="Times New Roman" w:eastAsia="Times New Roman"/>
        </w:rPr>
        <w:t>830002</w:t>
      </w:r>
      <w:r>
        <w:rPr/>
        <w:t>）</w:t>
      </w:r>
    </w:p>
    <w:p>
      <w:pPr>
        <w:pStyle w:val="BodyText"/>
        <w:spacing w:before="7"/>
        <w:rPr>
          <w:sz w:val="15"/>
        </w:rPr>
      </w:pPr>
    </w:p>
    <w:p>
      <w:pPr>
        <w:pStyle w:val="BodyText"/>
        <w:spacing w:line="417" w:lineRule="auto"/>
        <w:ind w:left="960" w:right="631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960"/>
      </w:pPr>
      <w:r>
        <w:rPr/>
        <w:t>联系人：王怀春</w:t>
      </w:r>
    </w:p>
    <w:p>
      <w:pPr>
        <w:pStyle w:val="BodyText"/>
        <w:spacing w:before="6"/>
        <w:rPr>
          <w:sz w:val="15"/>
        </w:rPr>
      </w:pPr>
    </w:p>
    <w:p>
      <w:pPr>
        <w:pStyle w:val="BodyText"/>
        <w:spacing w:before="1"/>
        <w:ind w:left="960"/>
        <w:rPr>
          <w:rFonts w:ascii="Times New Roman" w:eastAsia="Times New Roman"/>
        </w:rPr>
      </w:pPr>
      <w:r>
        <w:rPr/>
        <w:t>网址：</w:t>
      </w:r>
      <w:hyperlink r:id="rId132">
        <w:r>
          <w:rPr>
            <w:rFonts w:ascii="Times New Roman" w:eastAsia="Times New Roman"/>
          </w:rPr>
          <w:t>www.hysec.com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400-800-0562</w:t>
      </w:r>
    </w:p>
    <w:p>
      <w:pPr>
        <w:pStyle w:val="BodyText"/>
        <w:spacing w:before="4"/>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中泰证券股份有限公司</w:t>
      </w:r>
    </w:p>
    <w:p>
      <w:pPr>
        <w:pStyle w:val="BodyText"/>
        <w:spacing w:before="6"/>
        <w:rPr>
          <w:sz w:val="15"/>
        </w:rPr>
      </w:pPr>
    </w:p>
    <w:p>
      <w:pPr>
        <w:pStyle w:val="BodyText"/>
        <w:spacing w:before="1"/>
        <w:ind w:left="960"/>
      </w:pPr>
      <w:r>
        <w:rPr/>
        <w:t>住所：山东省济南市市中区经七路 </w:t>
      </w:r>
      <w:r>
        <w:rPr>
          <w:rFonts w:ascii="Times New Roman" w:eastAsia="Times New Roman"/>
        </w:rPr>
        <w:t>86 </w:t>
      </w:r>
      <w:r>
        <w:rPr/>
        <w:t>号</w:t>
      </w:r>
    </w:p>
    <w:p>
      <w:pPr>
        <w:pStyle w:val="BodyText"/>
        <w:spacing w:before="6"/>
        <w:rPr>
          <w:sz w:val="15"/>
        </w:rPr>
      </w:pPr>
    </w:p>
    <w:p>
      <w:pPr>
        <w:pStyle w:val="BodyText"/>
        <w:spacing w:line="417" w:lineRule="auto"/>
        <w:ind w:left="960" w:right="4043"/>
      </w:pPr>
      <w:r>
        <w:rPr/>
        <w:t>办公地址：山东省济南市市中区经七路 </w:t>
      </w:r>
      <w:r>
        <w:rPr>
          <w:rFonts w:ascii="Times New Roman" w:eastAsia="Times New Roman"/>
        </w:rPr>
        <w:t>86 </w:t>
      </w:r>
      <w:r>
        <w:rPr/>
        <w:t>号法定代表人：李玮</w:t>
      </w:r>
    </w:p>
    <w:p>
      <w:pPr>
        <w:pStyle w:val="BodyText"/>
        <w:spacing w:line="417" w:lineRule="auto"/>
        <w:ind w:left="960" w:right="634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ind w:left="960"/>
      </w:pPr>
      <w:r>
        <w:rPr/>
        <w:t>联系人：许曼华</w:t>
      </w:r>
    </w:p>
    <w:p>
      <w:pPr>
        <w:pStyle w:val="BodyText"/>
        <w:spacing w:before="7"/>
        <w:rPr>
          <w:sz w:val="15"/>
        </w:rPr>
      </w:pPr>
    </w:p>
    <w:p>
      <w:pPr>
        <w:pStyle w:val="BodyText"/>
        <w:spacing w:line="417" w:lineRule="auto"/>
        <w:ind w:left="960" w:right="6137"/>
        <w:rPr>
          <w:rFonts w:ascii="Times New Roman" w:eastAsia="Times New Roman"/>
        </w:rPr>
      </w:pPr>
      <w:r>
        <w:rPr/>
        <w:t>网址：</w:t>
      </w:r>
      <w:hyperlink r:id="rId133">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世纪证券有限责任公司</w:t>
      </w:r>
    </w:p>
    <w:p>
      <w:pPr>
        <w:pStyle w:val="BodyText"/>
        <w:spacing w:before="5"/>
        <w:rPr>
          <w:sz w:val="9"/>
        </w:rPr>
      </w:pPr>
    </w:p>
    <w:p>
      <w:pPr>
        <w:pStyle w:val="BodyText"/>
        <w:spacing w:before="79"/>
        <w:ind w:left="960"/>
      </w:pPr>
      <w:r>
        <w:rPr/>
        <w:t>住所：深圳市前海深港合作区南山街道桂湾五路 </w:t>
      </w:r>
      <w:r>
        <w:rPr>
          <w:rFonts w:ascii="Times New Roman" w:eastAsia="Times New Roman"/>
        </w:rPr>
        <w:t>128 </w:t>
      </w:r>
      <w:r>
        <w:rPr/>
        <w:t>号前海深港基金小镇对冲基金中心</w:t>
      </w:r>
    </w:p>
    <w:p>
      <w:pPr>
        <w:pStyle w:val="BodyText"/>
        <w:spacing w:before="5"/>
        <w:rPr>
          <w:sz w:val="16"/>
        </w:rPr>
      </w:pPr>
    </w:p>
    <w:p>
      <w:pPr>
        <w:pStyle w:val="BodyText"/>
        <w:ind w:left="54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960" w:right="2922"/>
      </w:pPr>
      <w:r>
        <w:rPr/>
        <w:t>办公地址：深圳市福田区深南大道招商银行大厦 </w:t>
      </w:r>
      <w:r>
        <w:rPr>
          <w:rFonts w:ascii="Times New Roman" w:eastAsia="Times New Roman"/>
        </w:rPr>
        <w:t>40-42 </w:t>
      </w:r>
      <w:r>
        <w:rPr/>
        <w:t>层法定代表人：李强</w:t>
      </w:r>
    </w:p>
    <w:p>
      <w:pPr>
        <w:pStyle w:val="BodyText"/>
        <w:ind w:left="960"/>
        <w:rPr>
          <w:rFonts w:ascii="Times New Roman" w:eastAsia="Times New Roman"/>
        </w:rPr>
      </w:pPr>
      <w:r>
        <w:rPr/>
        <w:t>客户服务电话：</w:t>
      </w:r>
      <w:r>
        <w:rPr>
          <w:rFonts w:ascii="Times New Roman" w:eastAsia="Times New Roman"/>
        </w:rPr>
        <w:t>400-832-3000</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0755-83199511</w:t>
      </w:r>
    </w:p>
    <w:p>
      <w:pPr>
        <w:pStyle w:val="BodyText"/>
        <w:spacing w:before="3"/>
        <w:rPr>
          <w:rFonts w:ascii="Times New Roman"/>
          <w:sz w:val="17"/>
        </w:rPr>
      </w:pPr>
    </w:p>
    <w:p>
      <w:pPr>
        <w:pStyle w:val="BodyText"/>
        <w:ind w:left="960"/>
      </w:pPr>
      <w:r>
        <w:rPr/>
        <w:t>联系人：王雯</w:t>
      </w:r>
    </w:p>
    <w:p>
      <w:pPr>
        <w:pStyle w:val="BodyText"/>
        <w:spacing w:before="7"/>
        <w:rPr>
          <w:sz w:val="15"/>
        </w:rPr>
      </w:pPr>
    </w:p>
    <w:p>
      <w:pPr>
        <w:pStyle w:val="BodyText"/>
        <w:ind w:left="960"/>
        <w:rPr>
          <w:rFonts w:ascii="Times New Roman" w:eastAsia="Times New Roman"/>
        </w:rPr>
      </w:pPr>
      <w:r>
        <w:rPr/>
        <w:t>网址：</w:t>
      </w:r>
      <w:hyperlink r:id="rId134">
        <w:r>
          <w:rPr>
            <w:rFonts w:ascii="Times New Roman" w:eastAsia="Times New Roman"/>
          </w:rPr>
          <w:t>www.csco.com.cn</w:t>
        </w:r>
      </w:hyperlink>
    </w:p>
    <w:p>
      <w:pPr>
        <w:pStyle w:val="BodyText"/>
        <w:spacing w:before="3"/>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第一创业证券股份有限公司</w:t>
      </w:r>
    </w:p>
    <w:p>
      <w:pPr>
        <w:pStyle w:val="BodyText"/>
        <w:spacing w:before="7"/>
        <w:rPr>
          <w:sz w:val="15"/>
        </w:rPr>
      </w:pPr>
    </w:p>
    <w:p>
      <w:pPr>
        <w:pStyle w:val="BodyText"/>
        <w:ind w:left="960"/>
      </w:pPr>
      <w:r>
        <w:rPr/>
        <w:t>住所：深圳市福田区福华一路 </w:t>
      </w:r>
      <w:r>
        <w:rPr>
          <w:rFonts w:ascii="Times New Roman" w:eastAsia="Times New Roman"/>
        </w:rPr>
        <w:t>115 </w:t>
      </w:r>
      <w:r>
        <w:rPr/>
        <w:t>号投行大厦 </w:t>
      </w:r>
      <w:r>
        <w:rPr>
          <w:rFonts w:ascii="Times New Roman" w:eastAsia="Times New Roman"/>
        </w:rPr>
        <w:t>20 </w:t>
      </w:r>
      <w:r>
        <w:rPr/>
        <w:t>楼</w:t>
      </w:r>
    </w:p>
    <w:p>
      <w:pPr>
        <w:pStyle w:val="BodyText"/>
        <w:spacing w:before="7"/>
        <w:rPr>
          <w:sz w:val="15"/>
        </w:rPr>
      </w:pPr>
    </w:p>
    <w:p>
      <w:pPr>
        <w:pStyle w:val="BodyText"/>
        <w:spacing w:line="417" w:lineRule="auto"/>
        <w:ind w:left="960" w:right="306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960" w:right="624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ind w:left="960"/>
      </w:pPr>
      <w:r>
        <w:rPr/>
        <w:t>联系人：单晶</w:t>
      </w:r>
    </w:p>
    <w:p>
      <w:pPr>
        <w:pStyle w:val="BodyText"/>
        <w:spacing w:before="7"/>
        <w:rPr>
          <w:sz w:val="15"/>
        </w:rPr>
      </w:pPr>
    </w:p>
    <w:p>
      <w:pPr>
        <w:pStyle w:val="BodyText"/>
        <w:spacing w:line="417" w:lineRule="auto"/>
        <w:ind w:left="960" w:right="5472"/>
        <w:rPr>
          <w:rFonts w:ascii="Times New Roman" w:eastAsia="Times New Roman"/>
        </w:rPr>
      </w:pPr>
      <w:r>
        <w:rPr/>
        <w:t>网址：</w:t>
      </w:r>
      <w:hyperlink r:id="rId135">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金元证券股份有限公司</w:t>
      </w:r>
    </w:p>
    <w:p>
      <w:pPr>
        <w:pStyle w:val="BodyText"/>
        <w:spacing w:before="6"/>
        <w:rPr>
          <w:sz w:val="15"/>
        </w:rPr>
      </w:pPr>
    </w:p>
    <w:p>
      <w:pPr>
        <w:pStyle w:val="BodyText"/>
        <w:spacing w:before="1"/>
        <w:ind w:left="960"/>
      </w:pPr>
      <w:r>
        <w:rPr/>
        <w:t>住所：海口市南宝路 </w:t>
      </w:r>
      <w:r>
        <w:rPr>
          <w:rFonts w:ascii="Times New Roman" w:eastAsia="Times New Roman"/>
        </w:rPr>
        <w:t>36 </w:t>
      </w:r>
      <w:r>
        <w:rPr/>
        <w:t>号证券大厦 </w:t>
      </w:r>
      <w:r>
        <w:rPr>
          <w:rFonts w:ascii="Times New Roman" w:eastAsia="Times New Roman"/>
        </w:rPr>
        <w:t>4 </w:t>
      </w:r>
      <w:r>
        <w:rPr/>
        <w:t>楼</w:t>
      </w:r>
    </w:p>
    <w:p>
      <w:pPr>
        <w:pStyle w:val="BodyText"/>
        <w:spacing w:before="7"/>
        <w:rPr>
          <w:sz w:val="15"/>
        </w:rPr>
      </w:pPr>
    </w:p>
    <w:p>
      <w:pPr>
        <w:pStyle w:val="BodyText"/>
        <w:spacing w:line="417" w:lineRule="auto"/>
        <w:ind w:left="960" w:right="3160"/>
      </w:pPr>
      <w:r>
        <w:rPr>
          <w:spacing w:val="-7"/>
        </w:rPr>
        <w:t>办公地址：深圳市深南大道 </w:t>
      </w:r>
      <w:r>
        <w:rPr>
          <w:rFonts w:ascii="Times New Roman" w:eastAsia="Times New Roman"/>
        </w:rPr>
        <w:t>4001 </w:t>
      </w:r>
      <w:r>
        <w:rPr>
          <w:spacing w:val="-9"/>
        </w:rPr>
        <w:t>号时代金融中心 </w:t>
      </w:r>
      <w:r>
        <w:rPr>
          <w:rFonts w:ascii="Times New Roman" w:eastAsia="Times New Roman"/>
        </w:rPr>
        <w:t>17 </w:t>
      </w:r>
      <w:r>
        <w:rPr/>
        <w:t>层</w:t>
      </w:r>
      <w:r>
        <w:rPr>
          <w:spacing w:val="-3"/>
        </w:rPr>
        <w:t>法定代表人：陆涛</w:t>
      </w:r>
    </w:p>
    <w:p>
      <w:pPr>
        <w:pStyle w:val="BodyText"/>
        <w:spacing w:line="417" w:lineRule="auto"/>
        <w:ind w:left="960" w:right="624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960" w:right="6468"/>
        <w:rPr>
          <w:rFonts w:ascii="Times New Roman" w:eastAsia="Times New Roman"/>
        </w:rPr>
      </w:pPr>
      <w:r>
        <w:rPr>
          <w:spacing w:val="-2"/>
        </w:rPr>
        <w:t>联系人：马贤清 </w:t>
      </w:r>
      <w:r>
        <w:rPr>
          <w:spacing w:val="-4"/>
        </w:rPr>
        <w:t>网址：</w:t>
      </w:r>
      <w:hyperlink r:id="rId136">
        <w:r>
          <w:rPr>
            <w:rFonts w:ascii="Times New Roman" w:eastAsia="Times New Roman"/>
            <w:spacing w:val="-5"/>
          </w:rPr>
          <w:t>www.jyzq.cn</w:t>
        </w:r>
      </w:hyperlink>
    </w:p>
    <w:p>
      <w:pPr>
        <w:pStyle w:val="BodyText"/>
        <w:spacing w:line="269" w:lineRule="exact"/>
        <w:ind w:left="96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中航证券有限公司</w:t>
      </w:r>
    </w:p>
    <w:p>
      <w:pPr>
        <w:pStyle w:val="BodyText"/>
        <w:spacing w:before="7"/>
        <w:rPr>
          <w:sz w:val="15"/>
        </w:rPr>
      </w:pPr>
    </w:p>
    <w:p>
      <w:pPr>
        <w:pStyle w:val="BodyText"/>
        <w:ind w:left="960"/>
      </w:pPr>
      <w:r>
        <w:rPr/>
        <w:t>住所：江西省南昌市红谷滩新区红谷中大道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w:t>
      </w:r>
    </w:p>
    <w:p>
      <w:pPr>
        <w:pStyle w:val="BodyText"/>
        <w:spacing w:before="6"/>
        <w:rPr>
          <w:sz w:val="15"/>
        </w:rPr>
      </w:pPr>
    </w:p>
    <w:p>
      <w:pPr>
        <w:pStyle w:val="BodyText"/>
        <w:spacing w:line="417" w:lineRule="auto" w:before="1"/>
        <w:ind w:left="960" w:right="321"/>
      </w:pPr>
      <w:r>
        <w:rPr/>
        <w:t>办公地址：江西省南昌市红谷滩新区红谷中大道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层法定代表人：王宜四</w:t>
      </w:r>
    </w:p>
    <w:p>
      <w:pPr>
        <w:pStyle w:val="BodyText"/>
        <w:spacing w:line="417" w:lineRule="auto"/>
        <w:ind w:left="960" w:right="624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spacing w:line="269" w:lineRule="exact"/>
        <w:ind w:left="960"/>
      </w:pPr>
      <w:r>
        <w:rPr/>
        <w:t>联系人：戴蕾</w:t>
      </w:r>
    </w:p>
    <w:p>
      <w:pPr>
        <w:pStyle w:val="BodyText"/>
        <w:spacing w:before="6"/>
        <w:rPr>
          <w:sz w:val="15"/>
        </w:rPr>
      </w:pPr>
    </w:p>
    <w:p>
      <w:pPr>
        <w:pStyle w:val="BodyText"/>
        <w:spacing w:line="417" w:lineRule="auto"/>
        <w:ind w:left="960" w:right="6002"/>
        <w:rPr>
          <w:rFonts w:ascii="Times New Roman" w:eastAsia="Times New Roman"/>
        </w:rPr>
      </w:pPr>
      <w:r>
        <w:rPr/>
        <w:t>网址：</w:t>
      </w:r>
      <w:hyperlink r:id="rId137">
        <w:r>
          <w:rPr>
            <w:rFonts w:ascii="Times New Roman" w:eastAsia="Times New Roman"/>
          </w:rPr>
          <w:t>www.avicsec.com </w:t>
        </w:r>
      </w:hyperlink>
      <w:r>
        <w:rPr/>
        <w:t>客户服务电话：</w:t>
      </w:r>
      <w:r>
        <w:rPr>
          <w:rFonts w:ascii="Times New Roman" w:eastAsia="Times New Roman"/>
        </w:rPr>
        <w:t>95335</w:t>
      </w:r>
    </w:p>
    <w:p>
      <w:pPr>
        <w:spacing w:after="0" w:line="417" w:lineRule="auto"/>
        <w:rPr>
          <w:rFonts w:ascii="Times New Roman" w:eastAsia="Times New Roman"/>
        </w:rPr>
        <w:sectPr>
          <w:pgSz w:w="11910" w:h="16840"/>
          <w:pgMar w:header="877" w:footer="995" w:top="1420" w:bottom="1180" w:left="1260" w:right="1480"/>
        </w:sectPr>
      </w:pPr>
    </w:p>
    <w:p>
      <w:pPr>
        <w:pStyle w:val="ListParagraph"/>
        <w:numPr>
          <w:ilvl w:val="0"/>
          <w:numId w:val="12"/>
        </w:numPr>
        <w:tabs>
          <w:tab w:pos="1699" w:val="left" w:leader="none"/>
        </w:tabs>
        <w:spacing w:line="240" w:lineRule="auto" w:before="110" w:after="0"/>
        <w:ind w:left="1698" w:right="0" w:hanging="739"/>
        <w:jc w:val="left"/>
        <w:rPr>
          <w:sz w:val="21"/>
        </w:rPr>
      </w:pPr>
      <w:r>
        <w:rPr>
          <w:spacing w:val="-3"/>
          <w:sz w:val="21"/>
        </w:rPr>
        <w:t>西部证券股份有限公司</w:t>
      </w:r>
    </w:p>
    <w:p>
      <w:pPr>
        <w:pStyle w:val="BodyText"/>
        <w:spacing w:before="6"/>
        <w:rPr>
          <w:sz w:val="15"/>
        </w:rPr>
      </w:pPr>
    </w:p>
    <w:p>
      <w:pPr>
        <w:pStyle w:val="BodyText"/>
        <w:ind w:left="96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pStyle w:val="BodyText"/>
        <w:spacing w:before="7"/>
        <w:rPr>
          <w:sz w:val="15"/>
        </w:rPr>
      </w:pPr>
    </w:p>
    <w:p>
      <w:pPr>
        <w:pStyle w:val="BodyText"/>
        <w:spacing w:line="417" w:lineRule="auto"/>
        <w:ind w:left="960" w:right="2740"/>
      </w:pPr>
      <w:r>
        <w:rPr>
          <w:spacing w:val="-6"/>
        </w:rPr>
        <w:t>办公地址：陕西省西安市新城区东新街 </w:t>
      </w:r>
      <w:r>
        <w:rPr>
          <w:rFonts w:ascii="Times New Roman" w:eastAsia="Times New Roman"/>
        </w:rPr>
        <w:t>319 </w:t>
      </w:r>
      <w:r>
        <w:rPr>
          <w:spacing w:val="-24"/>
        </w:rPr>
        <w:t>号 </w:t>
      </w:r>
      <w:r>
        <w:rPr>
          <w:rFonts w:ascii="Times New Roman" w:eastAsia="Times New Roman"/>
        </w:rPr>
        <w:t>8 </w:t>
      </w:r>
      <w:r>
        <w:rPr>
          <w:spacing w:val="-26"/>
        </w:rPr>
        <w:t>幢 </w:t>
      </w:r>
      <w:r>
        <w:rPr>
          <w:rFonts w:ascii="Times New Roman" w:eastAsia="Times New Roman"/>
        </w:rPr>
        <w:t>10000 </w:t>
      </w:r>
      <w:r>
        <w:rPr/>
        <w:t>室</w:t>
      </w:r>
      <w:r>
        <w:rPr>
          <w:spacing w:val="-3"/>
        </w:rPr>
        <w:t>法定代表人：徐朝晖</w:t>
      </w:r>
    </w:p>
    <w:p>
      <w:pPr>
        <w:pStyle w:val="BodyText"/>
        <w:spacing w:line="417" w:lineRule="auto"/>
        <w:ind w:left="960" w:right="634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960"/>
      </w:pPr>
      <w:r>
        <w:rPr/>
        <w:t>联系人：梁承华</w:t>
      </w:r>
    </w:p>
    <w:p>
      <w:pPr>
        <w:pStyle w:val="BodyText"/>
        <w:spacing w:before="7"/>
        <w:rPr>
          <w:sz w:val="15"/>
        </w:rPr>
      </w:pPr>
    </w:p>
    <w:p>
      <w:pPr>
        <w:pStyle w:val="BodyText"/>
        <w:spacing w:line="417" w:lineRule="auto"/>
        <w:ind w:left="960" w:right="5861"/>
        <w:rPr>
          <w:rFonts w:ascii="Times New Roman" w:eastAsia="Times New Roman"/>
        </w:rPr>
      </w:pPr>
      <w:r>
        <w:rPr/>
        <w:t>网址：</w:t>
      </w:r>
      <w:hyperlink r:id="rId138">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华福证券有限责任公司</w:t>
      </w:r>
    </w:p>
    <w:p>
      <w:pPr>
        <w:pStyle w:val="BodyText"/>
        <w:spacing w:before="7"/>
        <w:rPr>
          <w:sz w:val="15"/>
        </w:rPr>
      </w:pPr>
    </w:p>
    <w:p>
      <w:pPr>
        <w:pStyle w:val="BodyText"/>
        <w:ind w:left="960"/>
      </w:pPr>
      <w:r>
        <w:rPr/>
        <w:t>住所：福州市五四路 </w:t>
      </w:r>
      <w:r>
        <w:rPr>
          <w:rFonts w:ascii="Times New Roman" w:eastAsia="Times New Roman"/>
        </w:rPr>
        <w:t>157 </w:t>
      </w:r>
      <w:r>
        <w:rPr/>
        <w:t>号新天地大厦 </w:t>
      </w:r>
      <w:r>
        <w:rPr>
          <w:rFonts w:ascii="Times New Roman" w:eastAsia="Times New Roman"/>
        </w:rPr>
        <w:t>7</w:t>
      </w:r>
      <w:r>
        <w:rPr/>
        <w:t>、</w:t>
      </w:r>
      <w:r>
        <w:rPr>
          <w:rFonts w:ascii="Times New Roman" w:eastAsia="Times New Roman"/>
        </w:rPr>
        <w:t>8 </w:t>
      </w:r>
      <w:r>
        <w:rPr/>
        <w:t>层</w:t>
      </w:r>
    </w:p>
    <w:p>
      <w:pPr>
        <w:pStyle w:val="BodyText"/>
        <w:spacing w:before="7"/>
        <w:rPr>
          <w:sz w:val="15"/>
        </w:rPr>
      </w:pPr>
    </w:p>
    <w:p>
      <w:pPr>
        <w:pStyle w:val="BodyText"/>
        <w:spacing w:line="417" w:lineRule="auto"/>
        <w:ind w:left="960" w:right="3268"/>
      </w:pPr>
      <w:r>
        <w:rPr>
          <w:spacing w:val="-8"/>
        </w:rPr>
        <w:t>办公地址：福州市五四路 </w:t>
      </w:r>
      <w:r>
        <w:rPr>
          <w:rFonts w:ascii="Times New Roman" w:eastAsia="Times New Roman"/>
        </w:rPr>
        <w:t>157 </w:t>
      </w:r>
      <w:r>
        <w:rPr>
          <w:spacing w:val="-10"/>
        </w:rPr>
        <w:t>号新天地大厦 </w:t>
      </w:r>
      <w:r>
        <w:rPr>
          <w:rFonts w:ascii="Times New Roman" w:eastAsia="Times New Roman"/>
        </w:rPr>
        <w:t>7 </w:t>
      </w:r>
      <w:r>
        <w:rPr>
          <w:spacing w:val="-25"/>
        </w:rPr>
        <w:t>至 </w:t>
      </w:r>
      <w:r>
        <w:rPr>
          <w:rFonts w:ascii="Times New Roman" w:eastAsia="Times New Roman"/>
        </w:rPr>
        <w:t>10 </w:t>
      </w:r>
      <w:r>
        <w:rPr/>
        <w:t>层</w:t>
      </w:r>
      <w:r>
        <w:rPr>
          <w:spacing w:val="-3"/>
        </w:rPr>
        <w:t>法定代表人：黄金琳</w:t>
      </w:r>
    </w:p>
    <w:p>
      <w:pPr>
        <w:pStyle w:val="BodyText"/>
        <w:spacing w:line="417" w:lineRule="auto"/>
        <w:ind w:left="960" w:right="624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ind w:left="960"/>
      </w:pPr>
      <w:r>
        <w:rPr/>
        <w:t>联系人：张腾</w:t>
      </w:r>
    </w:p>
    <w:p>
      <w:pPr>
        <w:pStyle w:val="BodyText"/>
        <w:spacing w:before="6"/>
        <w:rPr>
          <w:sz w:val="15"/>
        </w:rPr>
      </w:pPr>
    </w:p>
    <w:p>
      <w:pPr>
        <w:pStyle w:val="BodyText"/>
        <w:spacing w:line="417" w:lineRule="auto"/>
        <w:ind w:left="960" w:right="5997"/>
        <w:rPr>
          <w:rFonts w:ascii="Times New Roman" w:eastAsia="Times New Roman"/>
        </w:rPr>
      </w:pPr>
      <w:r>
        <w:rPr/>
        <w:t>网址：</w:t>
      </w:r>
      <w:hyperlink r:id="rId139">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华龙证券股份有限公司</w:t>
      </w:r>
    </w:p>
    <w:p>
      <w:pPr>
        <w:pStyle w:val="BodyText"/>
        <w:spacing w:before="7"/>
        <w:rPr>
          <w:sz w:val="15"/>
        </w:rPr>
      </w:pPr>
    </w:p>
    <w:p>
      <w:pPr>
        <w:pStyle w:val="BodyText"/>
        <w:ind w:left="960"/>
      </w:pPr>
      <w:r>
        <w:rPr/>
        <w:t>住所：甘肃省兰州市静宁路 </w:t>
      </w:r>
      <w:r>
        <w:rPr>
          <w:rFonts w:ascii="Times New Roman" w:eastAsia="Times New Roman"/>
        </w:rPr>
        <w:t>308 </w:t>
      </w:r>
      <w:r>
        <w:rPr/>
        <w:t>号</w:t>
      </w:r>
    </w:p>
    <w:p>
      <w:pPr>
        <w:pStyle w:val="BodyText"/>
        <w:spacing w:before="6"/>
        <w:rPr>
          <w:sz w:val="15"/>
        </w:rPr>
      </w:pPr>
    </w:p>
    <w:p>
      <w:pPr>
        <w:pStyle w:val="BodyText"/>
        <w:spacing w:line="417" w:lineRule="auto" w:before="1"/>
        <w:ind w:left="960" w:right="4629"/>
      </w:pPr>
      <w:r>
        <w:rPr>
          <w:spacing w:val="-6"/>
        </w:rPr>
        <w:t>办公地址：甘肃省兰州市静宁路 </w:t>
      </w:r>
      <w:r>
        <w:rPr>
          <w:rFonts w:ascii="Times New Roman" w:eastAsia="Times New Roman"/>
        </w:rPr>
        <w:t>308</w:t>
      </w:r>
      <w:r>
        <w:rPr>
          <w:rFonts w:ascii="Times New Roman" w:eastAsia="Times New Roman"/>
          <w:spacing w:val="5"/>
        </w:rPr>
        <w:t> </w:t>
      </w:r>
      <w:r>
        <w:rPr>
          <w:spacing w:val="-11"/>
        </w:rPr>
        <w:t>号</w:t>
      </w:r>
      <w:r>
        <w:rPr>
          <w:spacing w:val="-3"/>
        </w:rPr>
        <w:t>法定代表人：李晓安</w:t>
      </w:r>
    </w:p>
    <w:p>
      <w:pPr>
        <w:pStyle w:val="BodyText"/>
        <w:ind w:left="96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960"/>
      </w:pPr>
      <w:r>
        <w:rPr/>
        <w:t>联系人：李昕田</w:t>
      </w:r>
    </w:p>
    <w:p>
      <w:pPr>
        <w:pStyle w:val="BodyText"/>
        <w:spacing w:before="7"/>
        <w:rPr>
          <w:sz w:val="15"/>
        </w:rPr>
      </w:pPr>
    </w:p>
    <w:p>
      <w:pPr>
        <w:pStyle w:val="BodyText"/>
        <w:ind w:left="960"/>
        <w:rPr>
          <w:rFonts w:ascii="Times New Roman" w:eastAsia="Times New Roman"/>
        </w:rPr>
      </w:pPr>
      <w:r>
        <w:rPr/>
        <w:t>网址：</w:t>
      </w:r>
      <w:hyperlink r:id="rId140">
        <w:r>
          <w:rPr>
            <w:rFonts w:ascii="Times New Roman" w:eastAsia="Times New Roman"/>
          </w:rPr>
          <w:t>www.hlzqgs.com</w:t>
        </w:r>
      </w:hyperlink>
    </w:p>
    <w:p>
      <w:pPr>
        <w:pStyle w:val="BodyText"/>
        <w:spacing w:before="3"/>
        <w:rPr>
          <w:rFonts w:ascii="Times New Roman"/>
          <w:sz w:val="17"/>
        </w:rPr>
      </w:pPr>
    </w:p>
    <w:p>
      <w:pPr>
        <w:pStyle w:val="BodyText"/>
        <w:spacing w:before="1"/>
        <w:ind w:left="96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6"/>
        <w:rPr>
          <w:sz w:val="15"/>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中国国际金融股份有限公司</w:t>
      </w:r>
    </w:p>
    <w:p>
      <w:pPr>
        <w:pStyle w:val="BodyText"/>
        <w:spacing w:before="7"/>
        <w:rPr>
          <w:sz w:val="15"/>
        </w:rPr>
      </w:pPr>
    </w:p>
    <w:p>
      <w:pPr>
        <w:pStyle w:val="BodyText"/>
        <w:ind w:left="96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7"/>
        <w:rPr>
          <w:sz w:val="15"/>
        </w:rPr>
      </w:pPr>
    </w:p>
    <w:p>
      <w:pPr>
        <w:pStyle w:val="BodyText"/>
        <w:spacing w:line="417" w:lineRule="auto"/>
        <w:ind w:left="960" w:right="232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960" w:right="5890"/>
        <w:rPr>
          <w:rFonts w:ascii="Times New Roman" w:eastAsia="Times New Roman"/>
        </w:rPr>
      </w:pPr>
      <w:r>
        <w:rPr/>
        <w:t>联系人：罗春蓉、武明明网址：</w:t>
      </w:r>
      <w:hyperlink r:id="rId141">
        <w:r>
          <w:rPr>
            <w:rFonts w:ascii="Times New Roman" w:eastAsia="Times New Roman"/>
          </w:rPr>
          <w:t>www.cicc.com.cn</w:t>
        </w:r>
      </w:hyperlink>
    </w:p>
    <w:p>
      <w:pPr>
        <w:pStyle w:val="BodyText"/>
        <w:spacing w:line="269" w:lineRule="exact"/>
        <w:ind w:left="96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上海华信证券有限责任公司</w:t>
      </w:r>
    </w:p>
    <w:p>
      <w:pPr>
        <w:pStyle w:val="BodyText"/>
        <w:spacing w:before="6"/>
        <w:rPr>
          <w:sz w:val="15"/>
        </w:rPr>
      </w:pPr>
    </w:p>
    <w:p>
      <w:pPr>
        <w:pStyle w:val="BodyText"/>
        <w:spacing w:before="1"/>
        <w:ind w:left="960"/>
      </w:pPr>
      <w:r>
        <w:rPr/>
        <w:t>住所：上海市浦东新区世纪大道 </w:t>
      </w:r>
      <w:r>
        <w:rPr>
          <w:rFonts w:ascii="Times New Roman" w:eastAsia="Times New Roman"/>
        </w:rPr>
        <w:t>100 </w:t>
      </w:r>
      <w:r>
        <w:rPr/>
        <w:t>号环球金融中心</w:t>
      </w:r>
    </w:p>
    <w:p>
      <w:pPr>
        <w:pStyle w:val="BodyText"/>
        <w:spacing w:before="7"/>
        <w:rPr>
          <w:sz w:val="15"/>
        </w:rPr>
      </w:pPr>
    </w:p>
    <w:p>
      <w:pPr>
        <w:pStyle w:val="BodyText"/>
        <w:spacing w:line="417" w:lineRule="auto"/>
        <w:ind w:left="960" w:right="3055"/>
      </w:pPr>
      <w:r>
        <w:rPr>
          <w:spacing w:val="-6"/>
        </w:rPr>
        <w:t>办公地址：上海市黄埔区南京西路 </w:t>
      </w:r>
      <w:r>
        <w:rPr>
          <w:rFonts w:ascii="Times New Roman" w:eastAsia="Times New Roman"/>
        </w:rPr>
        <w:t>399</w:t>
      </w:r>
      <w:r>
        <w:rPr>
          <w:rFonts w:ascii="Times New Roman" w:eastAsia="Times New Roman"/>
          <w:spacing w:val="6"/>
        </w:rPr>
        <w:t> </w:t>
      </w:r>
      <w:r>
        <w:rPr>
          <w:spacing w:val="-11"/>
        </w:rPr>
        <w:t>号明天广场 </w:t>
      </w:r>
      <w:r>
        <w:rPr>
          <w:rFonts w:ascii="Times New Roman" w:eastAsia="Times New Roman"/>
        </w:rPr>
        <w:t>20</w:t>
      </w:r>
      <w:r>
        <w:rPr>
          <w:rFonts w:ascii="Times New Roman" w:eastAsia="Times New Roman"/>
          <w:spacing w:val="6"/>
        </w:rPr>
        <w:t> </w:t>
      </w:r>
      <w:r>
        <w:rPr/>
        <w:t>楼</w:t>
      </w:r>
      <w:r>
        <w:rPr>
          <w:spacing w:val="-3"/>
        </w:rPr>
        <w:t>法定代表人：陈灿辉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021-63898427</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021-68776977-8427</w:t>
      </w:r>
    </w:p>
    <w:p>
      <w:pPr>
        <w:pStyle w:val="BodyText"/>
        <w:spacing w:before="4"/>
        <w:rPr>
          <w:rFonts w:ascii="Times New Roman"/>
          <w:sz w:val="17"/>
        </w:rPr>
      </w:pPr>
    </w:p>
    <w:p>
      <w:pPr>
        <w:pStyle w:val="BodyText"/>
        <w:ind w:left="960"/>
      </w:pPr>
      <w:r>
        <w:rPr/>
        <w:t>联系人：徐璐</w:t>
      </w:r>
    </w:p>
    <w:p>
      <w:pPr>
        <w:pStyle w:val="BodyText"/>
        <w:spacing w:before="6"/>
        <w:rPr>
          <w:sz w:val="15"/>
        </w:rPr>
      </w:pPr>
    </w:p>
    <w:p>
      <w:pPr>
        <w:pStyle w:val="BodyText"/>
        <w:spacing w:before="1"/>
        <w:ind w:left="960"/>
        <w:rPr>
          <w:rFonts w:ascii="Times New Roman" w:eastAsia="Times New Roman"/>
        </w:rPr>
      </w:pPr>
      <w:r>
        <w:rPr/>
        <w:t>网址：</w:t>
      </w:r>
      <w:hyperlink r:id="rId142">
        <w:r>
          <w:rPr>
            <w:rFonts w:ascii="Times New Roman" w:eastAsia="Times New Roman"/>
          </w:rPr>
          <w:t>www.shhxzq.com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400-820-5999</w:t>
      </w:r>
    </w:p>
    <w:p>
      <w:pPr>
        <w:pStyle w:val="BodyText"/>
        <w:spacing w:before="4"/>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华鑫证券有限责任公司</w:t>
      </w:r>
    </w:p>
    <w:p>
      <w:pPr>
        <w:pStyle w:val="BodyText"/>
        <w:spacing w:before="6"/>
        <w:rPr>
          <w:sz w:val="15"/>
        </w:rPr>
      </w:pPr>
    </w:p>
    <w:p>
      <w:pPr>
        <w:pStyle w:val="BodyText"/>
        <w:spacing w:line="417" w:lineRule="auto" w:before="1"/>
        <w:ind w:left="960" w:right="53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4"/>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17" w:lineRule="auto"/>
        <w:ind w:left="960" w:right="628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960"/>
      </w:pPr>
      <w:r>
        <w:rPr/>
        <w:t>联系人：杨莉娟</w:t>
      </w:r>
    </w:p>
    <w:p>
      <w:pPr>
        <w:pStyle w:val="BodyText"/>
        <w:spacing w:before="6"/>
        <w:rPr>
          <w:sz w:val="15"/>
        </w:rPr>
      </w:pPr>
    </w:p>
    <w:p>
      <w:pPr>
        <w:pStyle w:val="BodyText"/>
        <w:spacing w:before="1"/>
        <w:ind w:left="960"/>
        <w:rPr>
          <w:rFonts w:ascii="Times New Roman" w:eastAsia="Times New Roman"/>
        </w:rPr>
      </w:pPr>
      <w:r>
        <w:rPr/>
        <w:t>网址：</w:t>
      </w:r>
      <w:hyperlink r:id="rId143">
        <w:r>
          <w:rPr>
            <w:rFonts w:ascii="Times New Roman" w:eastAsia="Times New Roman"/>
          </w:rPr>
          <w:t>www.cfsc.com.cn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12"/>
        </w:numPr>
        <w:tabs>
          <w:tab w:pos="1699" w:val="left" w:leader="none"/>
        </w:tabs>
        <w:spacing w:line="240" w:lineRule="auto" w:before="1" w:after="0"/>
        <w:ind w:left="1698" w:right="0" w:hanging="739"/>
        <w:jc w:val="left"/>
        <w:rPr>
          <w:sz w:val="21"/>
        </w:rPr>
      </w:pPr>
      <w:r>
        <w:rPr>
          <w:spacing w:val="-3"/>
          <w:sz w:val="21"/>
        </w:rPr>
        <w:t>中国中金财富证券有限公司</w:t>
      </w:r>
    </w:p>
    <w:p>
      <w:pPr>
        <w:pStyle w:val="BodyText"/>
        <w:spacing w:before="6"/>
        <w:rPr>
          <w:sz w:val="15"/>
        </w:rPr>
      </w:pPr>
    </w:p>
    <w:p>
      <w:pPr>
        <w:pStyle w:val="BodyText"/>
        <w:ind w:left="960"/>
      </w:pPr>
      <w:r>
        <w:rPr/>
        <w:t>住所：深圳市福田区益田路与福中路交界处荣超商务中心 </w:t>
      </w:r>
      <w:r>
        <w:rPr>
          <w:rFonts w:ascii="Times New Roman" w:eastAsia="Times New Roman"/>
        </w:rPr>
        <w:t>A </w:t>
      </w:r>
      <w:r>
        <w:rPr/>
        <w:t>栋第 </w:t>
      </w:r>
      <w:r>
        <w:rPr>
          <w:rFonts w:ascii="Times New Roman" w:eastAsia="Times New Roman"/>
        </w:rPr>
        <w:t>18 </w:t>
      </w:r>
      <w:r>
        <w:rPr/>
        <w:t>层</w:t>
      </w:r>
      <w:r>
        <w:rPr>
          <w:rFonts w:ascii="Times New Roman" w:eastAsia="Times New Roman"/>
        </w:rPr>
        <w:t>-21 </w:t>
      </w:r>
      <w:r>
        <w:rPr/>
        <w:t>层及第 </w:t>
      </w:r>
      <w:r>
        <w:rPr>
          <w:rFonts w:ascii="Times New Roman" w:eastAsia="Times New Roman"/>
        </w:rPr>
        <w:t>04 </w:t>
      </w:r>
      <w:r>
        <w:rPr/>
        <w:t>层</w:t>
      </w:r>
    </w:p>
    <w:p>
      <w:pPr>
        <w:pStyle w:val="BodyText"/>
        <w:spacing w:before="7"/>
        <w:rPr>
          <w:sz w:val="15"/>
        </w:rPr>
      </w:pPr>
    </w:p>
    <w:p>
      <w:pPr>
        <w:pStyle w:val="BodyText"/>
        <w:ind w:left="540"/>
      </w:pPr>
      <w:r>
        <w:rPr>
          <w:rFonts w:ascii="Times New Roman" w:eastAsia="Times New Roman"/>
        </w:rPr>
        <w:t>01.02.03.05.11.12.13.15.16.18.19.20.21.22.23 </w:t>
      </w:r>
      <w:r>
        <w:rPr/>
        <w:t>单元</w:t>
      </w:r>
    </w:p>
    <w:p>
      <w:pPr>
        <w:pStyle w:val="BodyText"/>
        <w:spacing w:before="7"/>
        <w:rPr>
          <w:sz w:val="15"/>
        </w:rPr>
      </w:pPr>
    </w:p>
    <w:p>
      <w:pPr>
        <w:pStyle w:val="BodyText"/>
        <w:spacing w:line="417" w:lineRule="auto"/>
        <w:ind w:left="960" w:right="908"/>
      </w:pPr>
      <w:r>
        <w:rPr>
          <w:spacing w:val="-7"/>
        </w:rPr>
        <w:t>办公地址：深圳市福田区益田路 </w:t>
      </w:r>
      <w:r>
        <w:rPr>
          <w:rFonts w:ascii="Times New Roman" w:eastAsia="Times New Roman"/>
        </w:rPr>
        <w:t>6003 </w:t>
      </w:r>
      <w:r>
        <w:rPr>
          <w:spacing w:val="4"/>
        </w:rPr>
        <w:t>号荣超商务中心</w:t>
      </w:r>
      <w:r>
        <w:rPr>
          <w:rFonts w:ascii="Times New Roman" w:eastAsia="Times New Roman"/>
        </w:rPr>
        <w:t>A </w:t>
      </w:r>
      <w:r>
        <w:rPr>
          <w:spacing w:val="-18"/>
        </w:rPr>
        <w:t>栋第 </w:t>
      </w:r>
      <w:r>
        <w:rPr>
          <w:rFonts w:ascii="Times New Roman" w:eastAsia="Times New Roman"/>
        </w:rPr>
        <w:t>04</w:t>
      </w:r>
      <w:r>
        <w:rPr/>
        <w:t>、</w:t>
      </w:r>
      <w:r>
        <w:rPr>
          <w:rFonts w:ascii="Times New Roman" w:eastAsia="Times New Roman"/>
        </w:rPr>
        <w:t>18 </w:t>
      </w:r>
      <w:r>
        <w:rPr>
          <w:spacing w:val="-17"/>
        </w:rPr>
        <w:t>层至 </w:t>
      </w:r>
      <w:r>
        <w:rPr>
          <w:rFonts w:ascii="Times New Roman" w:eastAsia="Times New Roman"/>
        </w:rPr>
        <w:t>21 </w:t>
      </w:r>
      <w:r>
        <w:rPr/>
        <w:t>层</w:t>
      </w:r>
      <w:r>
        <w:rPr>
          <w:spacing w:val="-3"/>
        </w:rPr>
        <w:t>法定代表人：高涛</w:t>
      </w:r>
    </w:p>
    <w:p>
      <w:pPr>
        <w:pStyle w:val="BodyText"/>
        <w:spacing w:line="417" w:lineRule="auto"/>
        <w:ind w:left="960" w:right="624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联系人：胡芷境</w:t>
      </w:r>
    </w:p>
    <w:p>
      <w:pPr>
        <w:pStyle w:val="BodyText"/>
        <w:spacing w:before="6"/>
        <w:rPr>
          <w:sz w:val="15"/>
        </w:rPr>
      </w:pPr>
    </w:p>
    <w:p>
      <w:pPr>
        <w:pStyle w:val="BodyText"/>
        <w:ind w:left="960"/>
        <w:rPr>
          <w:rFonts w:ascii="Times New Roman" w:eastAsia="Times New Roman"/>
        </w:rPr>
      </w:pPr>
      <w:r>
        <w:rPr/>
        <w:t>网址：</w:t>
      </w:r>
      <w:hyperlink r:id="rId144">
        <w:r>
          <w:rPr>
            <w:rFonts w:ascii="Times New Roman" w:eastAsia="Times New Roman"/>
          </w:rPr>
          <w:t>www.china-invs.cn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3"/>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中山证券有限责任公司</w:t>
      </w:r>
    </w:p>
    <w:p>
      <w:pPr>
        <w:pStyle w:val="BodyText"/>
        <w:spacing w:before="7"/>
        <w:rPr>
          <w:sz w:val="15"/>
        </w:rPr>
      </w:pPr>
    </w:p>
    <w:p>
      <w:pPr>
        <w:pStyle w:val="BodyText"/>
        <w:ind w:left="96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7"/>
        <w:rPr>
          <w:sz w:val="15"/>
        </w:rPr>
      </w:pPr>
    </w:p>
    <w:p>
      <w:pPr>
        <w:pStyle w:val="BodyText"/>
        <w:spacing w:line="417" w:lineRule="auto"/>
        <w:ind w:left="960" w:right="232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17" w:lineRule="auto"/>
        <w:ind w:left="960" w:right="624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9" w:lineRule="exact"/>
        <w:ind w:left="960"/>
      </w:pPr>
      <w:r>
        <w:rPr/>
        <w:t>联系人：罗艺琳</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45">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12"/>
        </w:numPr>
        <w:tabs>
          <w:tab w:pos="1699" w:val="left" w:leader="none"/>
        </w:tabs>
        <w:spacing w:line="417" w:lineRule="auto" w:before="0" w:after="0"/>
        <w:ind w:left="960" w:right="4946" w:firstLine="0"/>
        <w:jc w:val="left"/>
        <w:rPr>
          <w:sz w:val="21"/>
        </w:rPr>
      </w:pPr>
      <w:r>
        <w:rPr>
          <w:spacing w:val="-4"/>
          <w:sz w:val="21"/>
        </w:rPr>
        <w:t>东方财富证券股份有限公司</w:t>
      </w:r>
      <w:r>
        <w:rPr>
          <w:spacing w:val="-8"/>
          <w:sz w:val="21"/>
        </w:rPr>
        <w:t>住所：拉萨市北京中路 </w:t>
      </w:r>
      <w:r>
        <w:rPr>
          <w:rFonts w:ascii="Times New Roman" w:eastAsia="Times New Roman"/>
          <w:sz w:val="21"/>
        </w:rPr>
        <w:t>101</w:t>
      </w:r>
      <w:r>
        <w:rPr>
          <w:rFonts w:ascii="Times New Roman" w:eastAsia="Times New Roman"/>
          <w:spacing w:val="1"/>
          <w:sz w:val="21"/>
        </w:rPr>
        <w:t> </w:t>
      </w:r>
      <w:r>
        <w:rPr>
          <w:sz w:val="21"/>
        </w:rPr>
        <w:t>号</w:t>
      </w:r>
    </w:p>
    <w:p>
      <w:pPr>
        <w:pStyle w:val="BodyText"/>
        <w:spacing w:line="417" w:lineRule="auto"/>
        <w:ind w:left="960" w:right="3693"/>
      </w:pPr>
      <w:r>
        <w:rPr>
          <w:spacing w:val="-7"/>
        </w:rPr>
        <w:t>办公地址：上海市永和路 </w:t>
      </w:r>
      <w:r>
        <w:rPr>
          <w:rFonts w:ascii="Times New Roman" w:eastAsia="Times New Roman"/>
          <w:spacing w:val="-3"/>
        </w:rPr>
        <w:t>118 </w:t>
      </w:r>
      <w:r>
        <w:rPr>
          <w:spacing w:val="-10"/>
        </w:rPr>
        <w:t>弄东方企业园 </w:t>
      </w:r>
      <w:r>
        <w:rPr>
          <w:rFonts w:ascii="Times New Roman" w:eastAsia="Times New Roman"/>
        </w:rPr>
        <w:t>24 </w:t>
      </w:r>
      <w:r>
        <w:rPr/>
        <w:t>号</w:t>
      </w:r>
      <w:r>
        <w:rPr>
          <w:spacing w:val="-3"/>
        </w:rPr>
        <w:t>法定代表人：贾绍君</w:t>
      </w:r>
    </w:p>
    <w:p>
      <w:pPr>
        <w:pStyle w:val="BodyText"/>
        <w:spacing w:line="417" w:lineRule="auto"/>
        <w:ind w:left="960" w:right="6346"/>
        <w:rPr>
          <w:rFonts w:ascii="Times New Roman" w:eastAsia="Times New Roman"/>
        </w:rPr>
      </w:pPr>
      <w:r>
        <w:rPr/>
        <w:t>电话：</w:t>
      </w:r>
      <w:r>
        <w:rPr>
          <w:rFonts w:ascii="Times New Roman" w:eastAsia="Times New Roman"/>
        </w:rPr>
        <w:t>021-36533016 </w:t>
      </w:r>
      <w:r>
        <w:rPr/>
        <w:t>传真：</w:t>
      </w:r>
      <w:r>
        <w:rPr>
          <w:rFonts w:ascii="Times New Roman" w:eastAsia="Times New Roman"/>
        </w:rPr>
        <w:t>021-36533017</w:t>
      </w:r>
    </w:p>
    <w:p>
      <w:pPr>
        <w:pStyle w:val="BodyText"/>
        <w:spacing w:line="269" w:lineRule="exact"/>
        <w:ind w:left="960"/>
      </w:pPr>
      <w:r>
        <w:rPr/>
        <w:t>联系人：王伟光</w:t>
      </w:r>
    </w:p>
    <w:p>
      <w:pPr>
        <w:pStyle w:val="BodyText"/>
        <w:spacing w:before="6"/>
        <w:rPr>
          <w:sz w:val="15"/>
        </w:rPr>
      </w:pPr>
    </w:p>
    <w:p>
      <w:pPr>
        <w:pStyle w:val="BodyText"/>
        <w:ind w:left="960"/>
        <w:rPr>
          <w:rFonts w:ascii="Times New Roman" w:eastAsia="Times New Roman"/>
        </w:rPr>
      </w:pPr>
      <w:r>
        <w:rPr/>
        <w:t>网址： </w:t>
      </w:r>
      <w:hyperlink r:id="rId146">
        <w:r>
          <w:rPr>
            <w:rFonts w:ascii="Times New Roman" w:eastAsia="Times New Roman"/>
          </w:rPr>
          <w:t>http://www.18.cn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95357</w:t>
      </w:r>
    </w:p>
    <w:p>
      <w:pPr>
        <w:pStyle w:val="BodyText"/>
        <w:spacing w:before="4"/>
        <w:rPr>
          <w:rFonts w:ascii="Times New Roman"/>
          <w:sz w:val="17"/>
        </w:rPr>
      </w:pPr>
    </w:p>
    <w:p>
      <w:pPr>
        <w:pStyle w:val="ListParagraph"/>
        <w:numPr>
          <w:ilvl w:val="0"/>
          <w:numId w:val="12"/>
        </w:numPr>
        <w:tabs>
          <w:tab w:pos="1699" w:val="left" w:leader="none"/>
        </w:tabs>
        <w:spacing w:line="240" w:lineRule="auto" w:before="1" w:after="0"/>
        <w:ind w:left="1698" w:right="0" w:hanging="739"/>
        <w:jc w:val="left"/>
        <w:rPr>
          <w:sz w:val="21"/>
        </w:rPr>
      </w:pPr>
      <w:r>
        <w:rPr>
          <w:spacing w:val="-3"/>
          <w:sz w:val="21"/>
        </w:rPr>
        <w:t>粤开证券股份有限公司</w:t>
      </w:r>
    </w:p>
    <w:p>
      <w:pPr>
        <w:pStyle w:val="BodyText"/>
        <w:spacing w:before="6"/>
        <w:rPr>
          <w:sz w:val="15"/>
        </w:rPr>
      </w:pPr>
    </w:p>
    <w:p>
      <w:pPr>
        <w:pStyle w:val="BodyText"/>
        <w:spacing w:line="417" w:lineRule="auto"/>
        <w:ind w:left="960" w:right="148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17" w:lineRule="auto"/>
        <w:ind w:left="960" w:right="6250"/>
        <w:rPr>
          <w:rFonts w:ascii="Times New Roman" w:eastAsia="Times New Roman"/>
        </w:rPr>
      </w:pPr>
      <w:r>
        <w:rPr/>
        <w:t>法定代表人：严亦斌电话：</w:t>
      </w:r>
      <w:r>
        <w:rPr>
          <w:rFonts w:ascii="Times New Roman" w:eastAsia="Times New Roman"/>
        </w:rPr>
        <w:t>0755-83331195</w:t>
      </w:r>
    </w:p>
    <w:p>
      <w:pPr>
        <w:pStyle w:val="BodyText"/>
        <w:spacing w:line="269" w:lineRule="exact"/>
        <w:ind w:left="960"/>
      </w:pPr>
      <w:r>
        <w:rPr/>
        <w:t>联系人：彭莲</w:t>
      </w:r>
    </w:p>
    <w:p>
      <w:pPr>
        <w:pStyle w:val="BodyText"/>
        <w:spacing w:before="6"/>
        <w:rPr>
          <w:sz w:val="15"/>
        </w:rPr>
      </w:pPr>
    </w:p>
    <w:p>
      <w:pPr>
        <w:pStyle w:val="BodyText"/>
        <w:spacing w:line="417" w:lineRule="auto" w:before="1"/>
        <w:ind w:left="960" w:right="5711"/>
        <w:rPr>
          <w:rFonts w:ascii="Times New Roman" w:eastAsia="Times New Roman"/>
        </w:rPr>
      </w:pPr>
      <w:r>
        <w:rPr/>
        <w:t>网址：</w:t>
      </w:r>
      <w:hyperlink r:id="rId147">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江海证券有限公司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住所：哈尔滨市香坊区赣水路 </w:t>
      </w:r>
      <w:r>
        <w:rPr>
          <w:rFonts w:ascii="Times New Roman" w:eastAsia="Times New Roman"/>
        </w:rPr>
        <w:t>56 </w:t>
      </w:r>
      <w:r>
        <w:rPr/>
        <w:t>号</w:t>
      </w:r>
    </w:p>
    <w:p>
      <w:pPr>
        <w:pStyle w:val="BodyText"/>
        <w:spacing w:before="6"/>
        <w:rPr>
          <w:sz w:val="15"/>
        </w:rPr>
      </w:pPr>
    </w:p>
    <w:p>
      <w:pPr>
        <w:pStyle w:val="BodyText"/>
        <w:spacing w:line="417" w:lineRule="auto"/>
        <w:ind w:left="960" w:right="4148"/>
      </w:pPr>
      <w:r>
        <w:rPr/>
        <w:t>办公地址：哈尔滨市松北区创新三路 </w:t>
      </w:r>
      <w:r>
        <w:rPr>
          <w:rFonts w:ascii="Times New Roman" w:eastAsia="Times New Roman"/>
        </w:rPr>
        <w:t>833 </w:t>
      </w:r>
      <w:r>
        <w:rPr/>
        <w:t>号法定代表人：赵洪波</w:t>
      </w:r>
    </w:p>
    <w:p>
      <w:pPr>
        <w:pStyle w:val="BodyText"/>
        <w:spacing w:line="417" w:lineRule="auto"/>
        <w:ind w:left="960" w:right="624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pStyle w:val="BodyText"/>
        <w:spacing w:line="269" w:lineRule="exact"/>
        <w:ind w:left="960"/>
      </w:pPr>
      <w:r>
        <w:rPr/>
        <w:t>联系人：姜志伟</w:t>
      </w:r>
    </w:p>
    <w:p>
      <w:pPr>
        <w:pStyle w:val="BodyText"/>
        <w:spacing w:before="7"/>
        <w:rPr>
          <w:sz w:val="15"/>
        </w:rPr>
      </w:pPr>
    </w:p>
    <w:p>
      <w:pPr>
        <w:pStyle w:val="BodyText"/>
        <w:spacing w:line="417" w:lineRule="auto"/>
        <w:ind w:left="960" w:right="6009"/>
        <w:rPr>
          <w:rFonts w:ascii="Times New Roman" w:eastAsia="Times New Roman"/>
        </w:rPr>
      </w:pPr>
      <w:r>
        <w:rPr/>
        <w:t>网址：</w:t>
      </w:r>
      <w:hyperlink r:id="rId148">
        <w:r>
          <w:rPr>
            <w:rFonts w:ascii="Times New Roman" w:eastAsia="Times New Roman"/>
          </w:rPr>
          <w:t>www.jhzq.com.cn </w:t>
        </w:r>
      </w:hyperlink>
      <w:r>
        <w:rPr/>
        <w:t>客户服务电话：</w:t>
      </w:r>
      <w:r>
        <w:rPr>
          <w:rFonts w:ascii="Times New Roman" w:eastAsia="Times New Roman"/>
        </w:rPr>
        <w:t>956007</w:t>
      </w: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国金证券股份有限公司</w:t>
      </w:r>
    </w:p>
    <w:p>
      <w:pPr>
        <w:pStyle w:val="BodyText"/>
        <w:spacing w:before="7"/>
        <w:rPr>
          <w:sz w:val="15"/>
        </w:rPr>
      </w:pPr>
    </w:p>
    <w:p>
      <w:pPr>
        <w:pStyle w:val="BodyText"/>
        <w:ind w:left="960"/>
      </w:pPr>
      <w:r>
        <w:rPr/>
        <w:t>住所：成都市青羊区东城根上街 </w:t>
      </w:r>
      <w:r>
        <w:rPr>
          <w:rFonts w:ascii="Times New Roman" w:eastAsia="Times New Roman"/>
        </w:rPr>
        <w:t>95 </w:t>
      </w:r>
      <w:r>
        <w:rPr/>
        <w:t>号</w:t>
      </w:r>
    </w:p>
    <w:p>
      <w:pPr>
        <w:pStyle w:val="BodyText"/>
        <w:spacing w:before="6"/>
        <w:rPr>
          <w:sz w:val="15"/>
        </w:rPr>
      </w:pPr>
    </w:p>
    <w:p>
      <w:pPr>
        <w:pStyle w:val="BodyText"/>
        <w:spacing w:line="417" w:lineRule="auto" w:before="1"/>
        <w:ind w:left="960" w:right="4253"/>
      </w:pPr>
      <w:r>
        <w:rPr/>
        <w:t>办公地址：成都市青羊区东城根上街 </w:t>
      </w:r>
      <w:r>
        <w:rPr>
          <w:rFonts w:ascii="Times New Roman" w:eastAsia="Times New Roman"/>
        </w:rPr>
        <w:t>95 </w:t>
      </w:r>
      <w:r>
        <w:rPr/>
        <w:t>号法定代表人：冉云</w:t>
      </w:r>
    </w:p>
    <w:p>
      <w:pPr>
        <w:pStyle w:val="BodyText"/>
        <w:spacing w:line="417" w:lineRule="auto"/>
        <w:ind w:left="960" w:right="491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960" w:right="6053"/>
        <w:jc w:val="both"/>
        <w:rPr>
          <w:rFonts w:ascii="Times New Roman" w:eastAsia="Times New Roman"/>
        </w:rPr>
      </w:pPr>
      <w:r>
        <w:rPr>
          <w:spacing w:val="-3"/>
        </w:rPr>
        <w:t>联系人：刘婧漪、贾鹏网址：</w:t>
      </w:r>
      <w:hyperlink r:id="rId149">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爱建证券有限责任公司</w:t>
      </w:r>
    </w:p>
    <w:p>
      <w:pPr>
        <w:pStyle w:val="BodyText"/>
        <w:spacing w:before="6"/>
        <w:rPr>
          <w:sz w:val="15"/>
        </w:rPr>
      </w:pPr>
    </w:p>
    <w:p>
      <w:pPr>
        <w:pStyle w:val="BodyText"/>
        <w:ind w:left="96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7"/>
        <w:rPr>
          <w:sz w:val="15"/>
        </w:rPr>
      </w:pPr>
    </w:p>
    <w:p>
      <w:pPr>
        <w:pStyle w:val="BodyText"/>
        <w:spacing w:line="417" w:lineRule="auto"/>
        <w:ind w:left="960" w:right="190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spacing w:line="417" w:lineRule="auto"/>
        <w:ind w:left="960" w:right="634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960"/>
      </w:pPr>
      <w:r>
        <w:rPr/>
        <w:t>联系人：庄丽珍</w:t>
      </w:r>
    </w:p>
    <w:p>
      <w:pPr>
        <w:pStyle w:val="BodyText"/>
        <w:spacing w:before="7"/>
        <w:rPr>
          <w:sz w:val="15"/>
        </w:rPr>
      </w:pPr>
    </w:p>
    <w:p>
      <w:pPr>
        <w:pStyle w:val="BodyText"/>
        <w:ind w:left="960"/>
        <w:rPr>
          <w:rFonts w:ascii="Times New Roman" w:eastAsia="Times New Roman"/>
        </w:rPr>
      </w:pPr>
      <w:r>
        <w:rPr/>
        <w:t>网址：</w:t>
      </w:r>
      <w:hyperlink r:id="rId150">
        <w:r>
          <w:rPr>
            <w:rFonts w:ascii="Times New Roman" w:eastAsia="Times New Roman"/>
          </w:rPr>
          <w:t>www.ajzq.com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400-196-2502</w:t>
      </w:r>
    </w:p>
    <w:p>
      <w:pPr>
        <w:pStyle w:val="BodyText"/>
        <w:spacing w:before="4"/>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华融证券股份有限公司</w:t>
      </w:r>
    </w:p>
    <w:p>
      <w:pPr>
        <w:pStyle w:val="BodyText"/>
        <w:spacing w:before="6"/>
        <w:rPr>
          <w:sz w:val="15"/>
        </w:rPr>
      </w:pPr>
    </w:p>
    <w:p>
      <w:pPr>
        <w:pStyle w:val="BodyText"/>
        <w:spacing w:before="1"/>
        <w:ind w:left="960"/>
      </w:pPr>
      <w:r>
        <w:rPr/>
        <w:t>住所：北京市西城区金融大街 </w:t>
      </w:r>
      <w:r>
        <w:rPr>
          <w:rFonts w:ascii="Times New Roman" w:eastAsia="Times New Roman"/>
        </w:rPr>
        <w:t>8 </w:t>
      </w:r>
      <w:r>
        <w:rPr/>
        <w:t>号</w:t>
      </w:r>
    </w:p>
    <w:p>
      <w:pPr>
        <w:pStyle w:val="BodyText"/>
        <w:spacing w:before="6"/>
        <w:rPr>
          <w:sz w:val="15"/>
        </w:rPr>
      </w:pPr>
    </w:p>
    <w:p>
      <w:pPr>
        <w:pStyle w:val="BodyText"/>
        <w:spacing w:line="417" w:lineRule="auto" w:before="1"/>
        <w:ind w:left="960" w:right="2362"/>
      </w:pPr>
      <w:r>
        <w:rPr/>
        <w:t>办公地址：北京市朝阳区朝阳门北大街 </w:t>
      </w:r>
      <w:r>
        <w:rPr>
          <w:rFonts w:ascii="Times New Roman" w:eastAsia="Times New Roman"/>
        </w:rPr>
        <w:t>18 </w:t>
      </w:r>
      <w:r>
        <w:rPr/>
        <w:t>号中国人保寿险大厦法定代表人：祝献忠</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960"/>
      </w:pPr>
      <w:r>
        <w:rPr/>
        <w:t>联系人：孙燕波</w:t>
      </w:r>
    </w:p>
    <w:p>
      <w:pPr>
        <w:pStyle w:val="BodyText"/>
        <w:spacing w:before="6"/>
        <w:rPr>
          <w:sz w:val="15"/>
        </w:rPr>
      </w:pPr>
    </w:p>
    <w:p>
      <w:pPr>
        <w:pStyle w:val="BodyText"/>
        <w:spacing w:line="417" w:lineRule="auto"/>
        <w:ind w:left="960" w:right="5927"/>
        <w:rPr>
          <w:rFonts w:ascii="Times New Roman" w:eastAsia="Times New Roman"/>
        </w:rPr>
      </w:pPr>
      <w:r>
        <w:rPr/>
        <w:t>网址：</w:t>
      </w:r>
      <w:hyperlink r:id="rId151">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天风证券股份有限公司</w:t>
      </w:r>
    </w:p>
    <w:p>
      <w:pPr>
        <w:pStyle w:val="BodyText"/>
        <w:spacing w:before="7"/>
        <w:rPr>
          <w:sz w:val="15"/>
        </w:rPr>
      </w:pPr>
    </w:p>
    <w:p>
      <w:pPr>
        <w:pStyle w:val="BodyText"/>
        <w:ind w:left="960"/>
      </w:pPr>
      <w:r>
        <w:rPr/>
        <w:t>住所：湖北省武汉市东湖新技术开发区关东园路 </w:t>
      </w:r>
      <w:r>
        <w:rPr>
          <w:rFonts w:ascii="Times New Roman" w:eastAsia="Times New Roman"/>
        </w:rPr>
        <w:t>2 </w:t>
      </w:r>
      <w:r>
        <w:rPr/>
        <w:t>号高科大厦四楼</w:t>
      </w:r>
    </w:p>
    <w:p>
      <w:pPr>
        <w:pStyle w:val="BodyText"/>
        <w:spacing w:before="7"/>
        <w:rPr>
          <w:sz w:val="15"/>
        </w:rPr>
      </w:pPr>
    </w:p>
    <w:p>
      <w:pPr>
        <w:pStyle w:val="BodyText"/>
        <w:spacing w:line="417" w:lineRule="auto" w:before="1"/>
        <w:ind w:left="960" w:right="162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ind w:left="960" w:right="634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960"/>
      </w:pPr>
      <w:r>
        <w:rPr/>
        <w:t>联系人：翟璟</w:t>
      </w:r>
    </w:p>
    <w:p>
      <w:pPr>
        <w:pStyle w:val="BodyText"/>
        <w:spacing w:before="6"/>
        <w:rPr>
          <w:sz w:val="15"/>
        </w:rPr>
      </w:pPr>
    </w:p>
    <w:p>
      <w:pPr>
        <w:pStyle w:val="BodyText"/>
        <w:ind w:left="960"/>
        <w:rPr>
          <w:rFonts w:ascii="Times New Roman" w:eastAsia="Times New Roman"/>
        </w:rPr>
      </w:pPr>
      <w:r>
        <w:rPr/>
        <w:t>网址：</w:t>
      </w:r>
      <w:hyperlink r:id="rId152">
        <w:r>
          <w:rPr>
            <w:rFonts w:ascii="Times New Roman" w:eastAsia="Times New Roman"/>
          </w:rPr>
          <w:t>www.tfzq.com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400-800-5000</w:t>
      </w:r>
    </w:p>
    <w:p>
      <w:pPr>
        <w:pStyle w:val="BodyText"/>
        <w:spacing w:before="4"/>
        <w:rPr>
          <w:rFonts w:ascii="Times New Roman"/>
          <w:sz w:val="17"/>
        </w:rPr>
      </w:pPr>
    </w:p>
    <w:p>
      <w:pPr>
        <w:pStyle w:val="ListParagraph"/>
        <w:numPr>
          <w:ilvl w:val="0"/>
          <w:numId w:val="12"/>
        </w:numPr>
        <w:tabs>
          <w:tab w:pos="1699" w:val="left" w:leader="none"/>
        </w:tabs>
        <w:spacing w:line="417" w:lineRule="auto" w:before="0" w:after="0"/>
        <w:ind w:left="960" w:right="5155" w:firstLine="0"/>
        <w:jc w:val="left"/>
        <w:rPr>
          <w:sz w:val="21"/>
        </w:rPr>
      </w:pPr>
      <w:r>
        <w:rPr>
          <w:spacing w:val="-3"/>
          <w:sz w:val="21"/>
        </w:rPr>
        <w:t>中天证券股份有限公司 </w:t>
      </w:r>
      <w:r>
        <w:rPr>
          <w:spacing w:val="-7"/>
          <w:sz w:val="21"/>
        </w:rPr>
        <w:t>住所：沈阳市和平区光荣街 </w:t>
      </w:r>
      <w:r>
        <w:rPr>
          <w:rFonts w:ascii="Times New Roman" w:eastAsia="Times New Roman"/>
          <w:sz w:val="21"/>
        </w:rPr>
        <w:t>23</w:t>
      </w:r>
      <w:r>
        <w:rPr>
          <w:rFonts w:ascii="Times New Roman" w:eastAsia="Times New Roman"/>
          <w:spacing w:val="3"/>
          <w:sz w:val="21"/>
        </w:rPr>
        <w:t> </w:t>
      </w:r>
      <w:r>
        <w:rPr>
          <w:spacing w:val="-13"/>
          <w:sz w:val="21"/>
        </w:rPr>
        <w:t>甲</w:t>
      </w:r>
    </w:p>
    <w:p>
      <w:pPr>
        <w:pStyle w:val="BodyText"/>
        <w:spacing w:line="417" w:lineRule="auto"/>
        <w:ind w:left="960" w:right="4673"/>
      </w:pPr>
      <w:r>
        <w:rPr/>
        <w:t>办公地址：沈阳市和平区光荣街 </w:t>
      </w:r>
      <w:r>
        <w:rPr>
          <w:rFonts w:ascii="Times New Roman" w:eastAsia="Times New Roman"/>
        </w:rPr>
        <w:t>23 </w:t>
      </w:r>
      <w:r>
        <w:rPr/>
        <w:t>甲法定代表人：马功勋</w:t>
      </w:r>
    </w:p>
    <w:p>
      <w:pPr>
        <w:pStyle w:val="BodyText"/>
        <w:spacing w:line="417" w:lineRule="auto"/>
        <w:ind w:left="960" w:right="6346"/>
        <w:rPr>
          <w:rFonts w:ascii="Times New Roman" w:eastAsia="Times New Roman"/>
        </w:rPr>
      </w:pPr>
      <w:r>
        <w:rPr/>
        <w:t>电话：</w:t>
      </w:r>
      <w:r>
        <w:rPr>
          <w:rFonts w:ascii="Times New Roman" w:eastAsia="Times New Roman"/>
        </w:rPr>
        <w:t>024-23280842 </w:t>
      </w:r>
      <w:r>
        <w:rPr/>
        <w:t>传真：</w:t>
      </w:r>
      <w:r>
        <w:rPr>
          <w:rFonts w:ascii="Times New Roman" w:eastAsia="Times New Roman"/>
        </w:rPr>
        <w:t>024-23280844</w:t>
      </w:r>
    </w:p>
    <w:p>
      <w:pPr>
        <w:pStyle w:val="BodyText"/>
        <w:spacing w:line="269" w:lineRule="exact"/>
        <w:ind w:left="960"/>
      </w:pPr>
      <w:r>
        <w:rPr/>
        <w:t>联系人：孙丹华</w:t>
      </w:r>
    </w:p>
    <w:p>
      <w:pPr>
        <w:pStyle w:val="BodyText"/>
        <w:spacing w:before="7"/>
        <w:rPr>
          <w:sz w:val="15"/>
        </w:rPr>
      </w:pPr>
    </w:p>
    <w:p>
      <w:pPr>
        <w:pStyle w:val="BodyText"/>
        <w:ind w:left="960"/>
        <w:rPr>
          <w:rFonts w:ascii="Times New Roman" w:eastAsia="Times New Roman"/>
        </w:rPr>
      </w:pPr>
      <w:r>
        <w:rPr/>
        <w:t>网址：</w:t>
      </w:r>
      <w:hyperlink r:id="rId153">
        <w:r>
          <w:rPr>
            <w:rFonts w:ascii="Times New Roman" w:eastAsia="Times New Roman"/>
          </w:rPr>
          <w:t>www.iztzq.com</w:t>
        </w:r>
      </w:hyperlink>
    </w:p>
    <w:p>
      <w:pPr>
        <w:pStyle w:val="BodyText"/>
        <w:spacing w:before="3"/>
        <w:rPr>
          <w:rFonts w:ascii="Times New Roman"/>
          <w:sz w:val="17"/>
        </w:rPr>
      </w:pPr>
    </w:p>
    <w:p>
      <w:pPr>
        <w:pStyle w:val="BodyText"/>
        <w:ind w:left="960"/>
        <w:rPr>
          <w:rFonts w:ascii="Times New Roman" w:eastAsia="Times New Roman"/>
        </w:rPr>
      </w:pPr>
      <w:r>
        <w:rPr>
          <w:spacing w:val="-18"/>
          <w:w w:val="100"/>
        </w:rPr>
        <w:t>客户服务电话：</w:t>
      </w:r>
      <w:r>
        <w:rPr>
          <w:spacing w:val="-1"/>
          <w:w w:val="100"/>
        </w:rPr>
        <w:t>（</w:t>
      </w:r>
      <w:r>
        <w:rPr>
          <w:rFonts w:ascii="Times New Roman" w:eastAsia="Times New Roman"/>
          <w:w w:val="100"/>
        </w:rPr>
        <w:t>02</w:t>
      </w:r>
      <w:r>
        <w:rPr>
          <w:rFonts w:ascii="Times New Roman" w:eastAsia="Times New Roman"/>
          <w:spacing w:val="-2"/>
          <w:w w:val="100"/>
        </w:rPr>
        <w:t>4</w:t>
      </w:r>
      <w:r>
        <w:rPr>
          <w:w w:val="100"/>
        </w:rPr>
        <w:t>）</w:t>
      </w:r>
      <w:r>
        <w:rPr>
          <w:rFonts w:ascii="Times New Roman" w:eastAsia="Times New Roman"/>
          <w:w w:val="100"/>
        </w:rPr>
        <w:t>9</w:t>
      </w:r>
      <w:r>
        <w:rPr>
          <w:rFonts w:ascii="Times New Roman" w:eastAsia="Times New Roman"/>
          <w:spacing w:val="-3"/>
          <w:w w:val="100"/>
        </w:rPr>
        <w:t>53</w:t>
      </w:r>
      <w:r>
        <w:rPr>
          <w:rFonts w:ascii="Times New Roman" w:eastAsia="Times New Roman"/>
          <w:w w:val="100"/>
        </w:rPr>
        <w:t>46</w:t>
      </w:r>
    </w:p>
    <w:p>
      <w:pPr>
        <w:pStyle w:val="BodyText"/>
        <w:spacing w:before="4"/>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万和证券股份有限公司</w:t>
      </w:r>
    </w:p>
    <w:p>
      <w:pPr>
        <w:pStyle w:val="BodyText"/>
        <w:spacing w:before="6"/>
        <w:rPr>
          <w:sz w:val="15"/>
        </w:rPr>
      </w:pPr>
    </w:p>
    <w:p>
      <w:pPr>
        <w:pStyle w:val="BodyText"/>
        <w:spacing w:before="1"/>
        <w:ind w:left="960"/>
      </w:pPr>
      <w:r>
        <w:rPr/>
        <w:t>住所：海口市南沙路 </w:t>
      </w:r>
      <w:r>
        <w:rPr>
          <w:rFonts w:ascii="Times New Roman" w:eastAsia="Times New Roman"/>
        </w:rPr>
        <w:t>49 </w:t>
      </w:r>
      <w:r>
        <w:rPr/>
        <w:t>号通信广场二楼</w:t>
      </w:r>
    </w:p>
    <w:p>
      <w:pPr>
        <w:pStyle w:val="BodyText"/>
        <w:spacing w:before="6"/>
        <w:rPr>
          <w:sz w:val="15"/>
        </w:rPr>
      </w:pPr>
    </w:p>
    <w:p>
      <w:pPr>
        <w:pStyle w:val="BodyText"/>
        <w:spacing w:line="417" w:lineRule="auto"/>
        <w:ind w:left="960" w:right="210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960" w:right="624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ind w:left="960"/>
      </w:pPr>
      <w:r>
        <w:rPr/>
        <w:t>联系人：王少峰</w:t>
      </w:r>
    </w:p>
    <w:p>
      <w:pPr>
        <w:spacing w:after="0"/>
        <w:sectPr>
          <w:pgSz w:w="11910" w:h="16840"/>
          <w:pgMar w:header="877" w:footer="995" w:top="1420" w:bottom="1180" w:left="1260" w:right="1480"/>
        </w:sectPr>
      </w:pPr>
    </w:p>
    <w:p>
      <w:pPr>
        <w:pStyle w:val="BodyText"/>
        <w:spacing w:line="417" w:lineRule="auto" w:before="110"/>
        <w:ind w:left="960" w:right="5053"/>
        <w:rPr>
          <w:rFonts w:ascii="Times New Roman" w:eastAsia="Times New Roman"/>
        </w:rPr>
      </w:pPr>
      <w:r>
        <w:rPr/>
        <w:t>网址：</w:t>
      </w:r>
      <w:hyperlink r:id="rId154">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宏信证券有限责任公司</w:t>
      </w:r>
    </w:p>
    <w:p>
      <w:pPr>
        <w:pStyle w:val="BodyText"/>
        <w:spacing w:before="6"/>
        <w:rPr>
          <w:sz w:val="15"/>
        </w:rPr>
      </w:pPr>
    </w:p>
    <w:p>
      <w:pPr>
        <w:pStyle w:val="BodyText"/>
        <w:ind w:left="960"/>
      </w:pPr>
      <w:r>
        <w:rPr/>
        <w:t>住所：四川省成都市锦江区人民南路二段 </w:t>
      </w:r>
      <w:r>
        <w:rPr>
          <w:rFonts w:ascii="Times New Roman" w:eastAsia="Times New Roman"/>
        </w:rPr>
        <w:t>18 </w:t>
      </w:r>
      <w:r>
        <w:rPr/>
        <w:t>号川信大厦 </w:t>
      </w:r>
      <w:r>
        <w:rPr>
          <w:rFonts w:ascii="Times New Roman" w:eastAsia="Times New Roman"/>
        </w:rPr>
        <w:t>10 </w:t>
      </w:r>
      <w:r>
        <w:rPr/>
        <w:t>楼</w:t>
      </w:r>
    </w:p>
    <w:p>
      <w:pPr>
        <w:pStyle w:val="BodyText"/>
        <w:spacing w:before="7"/>
        <w:rPr>
          <w:sz w:val="15"/>
        </w:rPr>
      </w:pPr>
    </w:p>
    <w:p>
      <w:pPr>
        <w:pStyle w:val="BodyText"/>
        <w:spacing w:line="417" w:lineRule="auto"/>
        <w:ind w:left="960" w:right="2109"/>
      </w:pPr>
      <w:r>
        <w:rPr>
          <w:spacing w:val="-5"/>
        </w:rPr>
        <w:t>办公地址：四川省成都市锦江区人民南路二段 </w:t>
      </w:r>
      <w:r>
        <w:rPr>
          <w:rFonts w:ascii="Times New Roman" w:eastAsia="Times New Roman"/>
        </w:rPr>
        <w:t>18 </w:t>
      </w:r>
      <w:r>
        <w:rPr>
          <w:spacing w:val="-11"/>
        </w:rPr>
        <w:t>号川信大厦 </w:t>
      </w:r>
      <w:r>
        <w:rPr>
          <w:rFonts w:ascii="Times New Roman" w:eastAsia="Times New Roman"/>
        </w:rPr>
        <w:t>10 </w:t>
      </w:r>
      <w:r>
        <w:rPr/>
        <w:t>楼</w:t>
      </w:r>
      <w:r>
        <w:rPr>
          <w:spacing w:val="-3"/>
        </w:rPr>
        <w:t>法定代表人：吴玉明</w:t>
      </w:r>
    </w:p>
    <w:p>
      <w:pPr>
        <w:pStyle w:val="BodyText"/>
        <w:spacing w:line="417" w:lineRule="auto"/>
        <w:ind w:left="960" w:right="634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960" w:right="6418"/>
        <w:rPr>
          <w:rFonts w:ascii="Times New Roman" w:eastAsia="Times New Roman"/>
        </w:rPr>
      </w:pPr>
      <w:r>
        <w:rPr>
          <w:spacing w:val="-2"/>
        </w:rPr>
        <w:t>联系人：郝俊杰  </w:t>
      </w:r>
      <w:r>
        <w:rPr>
          <w:spacing w:val="-3"/>
        </w:rPr>
        <w:t>网址：</w:t>
      </w:r>
      <w:hyperlink r:id="rId155">
        <w:r>
          <w:rPr>
            <w:rFonts w:ascii="Times New Roman" w:eastAsia="Times New Roman"/>
            <w:spacing w:val="-4"/>
          </w:rPr>
          <w:t>www.hxzq.cn</w:t>
        </w:r>
      </w:hyperlink>
    </w:p>
    <w:p>
      <w:pPr>
        <w:pStyle w:val="BodyText"/>
        <w:spacing w:line="269" w:lineRule="exact"/>
        <w:ind w:left="96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12"/>
        </w:numPr>
        <w:tabs>
          <w:tab w:pos="1699" w:val="left" w:leader="none"/>
        </w:tabs>
        <w:spacing w:line="240" w:lineRule="auto" w:before="1" w:after="0"/>
        <w:ind w:left="1698" w:right="0" w:hanging="739"/>
        <w:jc w:val="left"/>
        <w:rPr>
          <w:sz w:val="21"/>
        </w:rPr>
      </w:pPr>
      <w:r>
        <w:rPr>
          <w:spacing w:val="-3"/>
          <w:sz w:val="21"/>
        </w:rPr>
        <w:t>太平洋证券股份有限公司</w:t>
      </w:r>
    </w:p>
    <w:p>
      <w:pPr>
        <w:pStyle w:val="BodyText"/>
        <w:spacing w:before="6"/>
        <w:rPr>
          <w:sz w:val="15"/>
        </w:rPr>
      </w:pPr>
    </w:p>
    <w:p>
      <w:pPr>
        <w:pStyle w:val="BodyText"/>
        <w:ind w:left="960"/>
      </w:pPr>
      <w:r>
        <w:rPr/>
        <w:t>住所：云南省昆明市青年路 </w:t>
      </w:r>
      <w:r>
        <w:rPr>
          <w:rFonts w:ascii="Times New Roman" w:eastAsia="Times New Roman"/>
        </w:rPr>
        <w:t>389 </w:t>
      </w:r>
      <w:r>
        <w:rPr/>
        <w:t>号志远大厦 </w:t>
      </w:r>
      <w:r>
        <w:rPr>
          <w:rFonts w:ascii="Times New Roman" w:eastAsia="Times New Roman"/>
        </w:rPr>
        <w:t>18 </w:t>
      </w:r>
      <w:r>
        <w:rPr/>
        <w:t>层</w:t>
      </w:r>
    </w:p>
    <w:p>
      <w:pPr>
        <w:pStyle w:val="BodyText"/>
        <w:spacing w:before="7"/>
        <w:rPr>
          <w:sz w:val="15"/>
        </w:rPr>
      </w:pPr>
    </w:p>
    <w:p>
      <w:pPr>
        <w:pStyle w:val="BodyText"/>
        <w:spacing w:line="417" w:lineRule="auto"/>
        <w:ind w:left="960" w:right="248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5"/>
        </w:rPr>
        <w:t> </w:t>
      </w:r>
      <w:r>
        <w:rPr>
          <w:spacing w:val="-3"/>
        </w:rPr>
        <w:t>单元法定代表人：李长伟</w:t>
      </w:r>
    </w:p>
    <w:p>
      <w:pPr>
        <w:pStyle w:val="BodyText"/>
        <w:spacing w:line="417" w:lineRule="auto"/>
        <w:ind w:left="960" w:right="498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ind w:left="960"/>
      </w:pPr>
      <w:r>
        <w:rPr/>
        <w:t>联系人：唐昌田</w:t>
      </w:r>
    </w:p>
    <w:p>
      <w:pPr>
        <w:pStyle w:val="BodyText"/>
        <w:spacing w:before="7"/>
        <w:rPr>
          <w:sz w:val="15"/>
        </w:rPr>
      </w:pPr>
    </w:p>
    <w:p>
      <w:pPr>
        <w:pStyle w:val="BodyText"/>
        <w:spacing w:line="417" w:lineRule="auto"/>
        <w:ind w:left="960" w:right="6154"/>
        <w:rPr>
          <w:rFonts w:ascii="Times New Roman" w:eastAsia="Times New Roman"/>
        </w:rPr>
      </w:pPr>
      <w:r>
        <w:rPr/>
        <w:t>网址：</w:t>
      </w:r>
      <w:hyperlink r:id="rId156">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开源证券股份有限公司</w:t>
      </w:r>
    </w:p>
    <w:p>
      <w:pPr>
        <w:pStyle w:val="BodyText"/>
        <w:spacing w:before="7"/>
        <w:rPr>
          <w:sz w:val="15"/>
        </w:rPr>
      </w:pPr>
    </w:p>
    <w:p>
      <w:pPr>
        <w:pStyle w:val="BodyText"/>
        <w:ind w:left="96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7"/>
        <w:rPr>
          <w:sz w:val="15"/>
        </w:rPr>
      </w:pPr>
    </w:p>
    <w:p>
      <w:pPr>
        <w:pStyle w:val="BodyText"/>
        <w:spacing w:line="417" w:lineRule="auto"/>
        <w:ind w:left="960" w:right="249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960" w:right="635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960"/>
      </w:pPr>
      <w:r>
        <w:rPr/>
        <w:t>联系人：曹欣</w:t>
      </w:r>
    </w:p>
    <w:p>
      <w:pPr>
        <w:pStyle w:val="BodyText"/>
        <w:spacing w:before="6"/>
        <w:rPr>
          <w:sz w:val="15"/>
        </w:rPr>
      </w:pPr>
    </w:p>
    <w:p>
      <w:pPr>
        <w:pStyle w:val="BodyText"/>
        <w:ind w:left="960"/>
        <w:rPr>
          <w:rFonts w:ascii="Times New Roman" w:eastAsia="Times New Roman"/>
        </w:rPr>
      </w:pPr>
      <w:r>
        <w:rPr/>
        <w:t>网址：</w:t>
      </w:r>
      <w:hyperlink r:id="rId157">
        <w:r>
          <w:rPr>
            <w:rFonts w:ascii="Times New Roman" w:eastAsia="Times New Roman"/>
          </w:rPr>
          <w:t>www.kysec.cn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4"/>
        <w:rPr>
          <w:rFonts w:ascii="Times New Roman"/>
          <w:sz w:val="17"/>
        </w:rPr>
      </w:pP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川财证券有限责任公司</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960" w:right="24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960" w:right="631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9" w:lineRule="exact"/>
        <w:ind w:left="960"/>
      </w:pPr>
      <w:r>
        <w:rPr/>
        <w:t>联系人：匡婷</w:t>
      </w:r>
    </w:p>
    <w:p>
      <w:pPr>
        <w:pStyle w:val="BodyText"/>
        <w:spacing w:before="6"/>
        <w:rPr>
          <w:sz w:val="15"/>
        </w:rPr>
      </w:pPr>
    </w:p>
    <w:p>
      <w:pPr>
        <w:pStyle w:val="BodyText"/>
        <w:ind w:left="960"/>
        <w:rPr>
          <w:rFonts w:ascii="Times New Roman" w:eastAsia="Times New Roman"/>
        </w:rPr>
      </w:pPr>
      <w:r>
        <w:rPr/>
        <w:t>网址：</w:t>
      </w:r>
      <w:hyperlink r:id="rId158">
        <w:r>
          <w:rPr>
            <w:rFonts w:ascii="Times New Roman" w:eastAsia="Times New Roman"/>
          </w:rPr>
          <w:t>http://www.cczp.com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12"/>
        </w:numPr>
        <w:tabs>
          <w:tab w:pos="1699" w:val="left" w:leader="none"/>
        </w:tabs>
        <w:spacing w:line="240" w:lineRule="auto" w:before="1" w:after="0"/>
        <w:ind w:left="1698" w:right="0" w:hanging="739"/>
        <w:jc w:val="left"/>
        <w:rPr>
          <w:sz w:val="21"/>
        </w:rPr>
      </w:pPr>
      <w:r>
        <w:rPr>
          <w:spacing w:val="-3"/>
          <w:sz w:val="21"/>
        </w:rPr>
        <w:t>联储证券有限责任公司</w:t>
      </w:r>
    </w:p>
    <w:p>
      <w:pPr>
        <w:pStyle w:val="BodyText"/>
        <w:spacing w:before="6"/>
        <w:rPr>
          <w:sz w:val="15"/>
        </w:rPr>
      </w:pPr>
    </w:p>
    <w:p>
      <w:pPr>
        <w:pStyle w:val="BodyText"/>
        <w:ind w:left="960"/>
      </w:pPr>
      <w:r>
        <w:rPr/>
        <w:t>住所：深圳市福田区福田街道岗厦社区深南大道南侧金地中心大厦 </w:t>
      </w:r>
      <w:r>
        <w:rPr>
          <w:rFonts w:ascii="Times New Roman" w:eastAsia="Times New Roman"/>
        </w:rPr>
        <w:t>9 </w:t>
      </w:r>
      <w:r>
        <w:rPr/>
        <w:t>楼</w:t>
      </w:r>
    </w:p>
    <w:p>
      <w:pPr>
        <w:pStyle w:val="BodyText"/>
        <w:spacing w:before="7"/>
        <w:rPr>
          <w:sz w:val="15"/>
        </w:rPr>
      </w:pPr>
    </w:p>
    <w:p>
      <w:pPr>
        <w:pStyle w:val="BodyText"/>
        <w:spacing w:line="417" w:lineRule="auto"/>
        <w:ind w:left="960" w:right="1792"/>
      </w:pPr>
      <w:r>
        <w:rPr>
          <w:spacing w:val="-6"/>
        </w:rPr>
        <w:t>办公地址：北京市朝阳区安定路 </w:t>
      </w:r>
      <w:r>
        <w:rPr>
          <w:rFonts w:ascii="Times New Roman" w:eastAsia="Times New Roman"/>
        </w:rPr>
        <w:t>5 </w:t>
      </w:r>
      <w:r>
        <w:rPr>
          <w:spacing w:val="-18"/>
        </w:rPr>
        <w:t>号院 </w:t>
      </w:r>
      <w:r>
        <w:rPr>
          <w:rFonts w:ascii="Times New Roman" w:eastAsia="Times New Roman"/>
        </w:rPr>
        <w:t>3 </w:t>
      </w:r>
      <w:r>
        <w:rPr>
          <w:spacing w:val="-8"/>
        </w:rPr>
        <w:t>号楼中建财富国际中心 </w:t>
      </w:r>
      <w:r>
        <w:rPr>
          <w:rFonts w:ascii="Times New Roman" w:eastAsia="Times New Roman"/>
        </w:rPr>
        <w:t>27 </w:t>
      </w:r>
      <w:r>
        <w:rPr/>
        <w:t>层</w:t>
      </w:r>
      <w:r>
        <w:rPr>
          <w:spacing w:val="-3"/>
        </w:rPr>
        <w:t>法定代表人：吕春卫</w:t>
      </w:r>
    </w:p>
    <w:p>
      <w:pPr>
        <w:pStyle w:val="BodyText"/>
        <w:spacing w:line="417" w:lineRule="auto"/>
        <w:ind w:left="960" w:right="634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ind w:left="960"/>
      </w:pPr>
      <w:r>
        <w:rPr/>
        <w:t>联系人：丁倩云</w:t>
      </w:r>
    </w:p>
    <w:p>
      <w:pPr>
        <w:pStyle w:val="BodyText"/>
        <w:spacing w:before="6"/>
        <w:rPr>
          <w:sz w:val="15"/>
        </w:rPr>
      </w:pPr>
    </w:p>
    <w:p>
      <w:pPr>
        <w:pStyle w:val="BodyText"/>
        <w:spacing w:before="1"/>
        <w:ind w:left="960"/>
        <w:rPr>
          <w:rFonts w:ascii="Times New Roman" w:eastAsia="Times New Roman"/>
        </w:rPr>
      </w:pPr>
      <w:r>
        <w:rPr/>
        <w:t>网址：</w:t>
      </w:r>
      <w:hyperlink r:id="rId159">
        <w:r>
          <w:rPr>
            <w:rFonts w:ascii="Times New Roman" w:eastAsia="Times New Roman"/>
          </w:rPr>
          <w:t>www.lczq.com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400-620-6868</w:t>
      </w:r>
    </w:p>
    <w:p>
      <w:pPr>
        <w:pStyle w:val="BodyText"/>
        <w:spacing w:before="3"/>
        <w:rPr>
          <w:rFonts w:ascii="Times New Roman"/>
          <w:sz w:val="17"/>
        </w:rPr>
      </w:pPr>
    </w:p>
    <w:p>
      <w:pPr>
        <w:pStyle w:val="ListParagraph"/>
        <w:numPr>
          <w:ilvl w:val="0"/>
          <w:numId w:val="12"/>
        </w:numPr>
        <w:tabs>
          <w:tab w:pos="1699" w:val="left" w:leader="none"/>
        </w:tabs>
        <w:spacing w:line="240" w:lineRule="auto" w:before="1" w:after="0"/>
        <w:ind w:left="1698" w:right="0" w:hanging="739"/>
        <w:jc w:val="left"/>
        <w:rPr>
          <w:sz w:val="21"/>
        </w:rPr>
      </w:pPr>
      <w:r>
        <w:rPr>
          <w:spacing w:val="-3"/>
          <w:sz w:val="21"/>
        </w:rPr>
        <w:t>华瑞保险销售有限公司</w:t>
      </w:r>
    </w:p>
    <w:p>
      <w:pPr>
        <w:pStyle w:val="BodyText"/>
        <w:spacing w:before="6"/>
        <w:rPr>
          <w:sz w:val="15"/>
        </w:rPr>
      </w:pPr>
    </w:p>
    <w:p>
      <w:pPr>
        <w:pStyle w:val="BodyText"/>
        <w:spacing w:line="417" w:lineRule="auto"/>
        <w:ind w:left="960" w:right="918"/>
        <w:rPr>
          <w:rFonts w:ascii="Times New Roman" w:eastAsia="Times New Roman"/>
        </w:rPr>
      </w:pPr>
      <w:r>
        <w:rPr>
          <w:spacing w:val="-6"/>
        </w:rPr>
        <w:t>住所：上海市嘉定区南翔镇众仁路 </w:t>
      </w:r>
      <w:r>
        <w:rPr>
          <w:rFonts w:ascii="Times New Roman" w:eastAsia="Times New Roman"/>
        </w:rPr>
        <w:t>399 </w:t>
      </w:r>
      <w:r>
        <w:rPr>
          <w:spacing w:val="-9"/>
        </w:rPr>
        <w:t>号运通星财富广场 </w:t>
      </w:r>
      <w:r>
        <w:rPr>
          <w:rFonts w:ascii="Times New Roman" w:eastAsia="Times New Roman"/>
        </w:rPr>
        <w:t>1 </w:t>
      </w:r>
      <w:r>
        <w:rPr>
          <w:spacing w:val="-19"/>
        </w:rPr>
        <w:t>号楼 </w:t>
      </w:r>
      <w:r>
        <w:rPr>
          <w:rFonts w:ascii="Times New Roman" w:eastAsia="Times New Roman"/>
        </w:rPr>
        <w:t>B </w:t>
      </w:r>
      <w:r>
        <w:rPr>
          <w:spacing w:val="-26"/>
        </w:rPr>
        <w:t>座 </w:t>
      </w:r>
      <w:r>
        <w:rPr>
          <w:rFonts w:ascii="Times New Roman" w:eastAsia="Times New Roman"/>
        </w:rPr>
        <w:t>13</w:t>
      </w:r>
      <w:r>
        <w:rPr/>
        <w:t>、</w:t>
      </w:r>
      <w:r>
        <w:rPr>
          <w:rFonts w:ascii="Times New Roman" w:eastAsia="Times New Roman"/>
        </w:rPr>
        <w:t>14 </w:t>
      </w:r>
      <w:r>
        <w:rPr/>
        <w:t>层</w:t>
      </w:r>
      <w:r>
        <w:rPr>
          <w:spacing w:val="-7"/>
        </w:rPr>
        <w:t>办公地址：上海市浦东新区向城路 </w:t>
      </w:r>
      <w:r>
        <w:rPr>
          <w:rFonts w:ascii="Times New Roman" w:eastAsia="Times New Roman"/>
        </w:rPr>
        <w:t>288 </w:t>
      </w:r>
      <w:r>
        <w:rPr>
          <w:spacing w:val="-8"/>
        </w:rPr>
        <w:t>号国华人寿金融大厦 </w:t>
      </w:r>
      <w:r>
        <w:rPr>
          <w:rFonts w:ascii="Times New Roman" w:eastAsia="Times New Roman"/>
        </w:rPr>
        <w:t>8 </w:t>
      </w:r>
      <w:r>
        <w:rPr>
          <w:spacing w:val="-26"/>
        </w:rPr>
        <w:t>层 </w:t>
      </w:r>
      <w:r>
        <w:rPr>
          <w:rFonts w:ascii="Times New Roman" w:eastAsia="Times New Roman"/>
        </w:rPr>
        <w:t>806</w:t>
      </w:r>
    </w:p>
    <w:p>
      <w:pPr>
        <w:pStyle w:val="BodyText"/>
        <w:spacing w:line="417" w:lineRule="auto"/>
        <w:ind w:left="960" w:right="628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ind w:left="960"/>
      </w:pPr>
      <w:r>
        <w:rPr/>
        <w:t>联系人：茆勇强</w:t>
      </w:r>
    </w:p>
    <w:p>
      <w:pPr>
        <w:pStyle w:val="BodyText"/>
        <w:spacing w:before="7"/>
        <w:rPr>
          <w:sz w:val="15"/>
        </w:rPr>
      </w:pPr>
    </w:p>
    <w:p>
      <w:pPr>
        <w:pStyle w:val="BodyText"/>
        <w:spacing w:line="417" w:lineRule="auto"/>
        <w:ind w:left="960" w:right="5676"/>
        <w:rPr>
          <w:rFonts w:ascii="Times New Roman" w:eastAsia="Times New Roman"/>
        </w:rPr>
      </w:pPr>
      <w:r>
        <w:rPr/>
        <w:t>网址：</w:t>
      </w:r>
      <w:hyperlink r:id="rId160">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玄元保险代理有限公司</w:t>
      </w:r>
    </w:p>
    <w:p>
      <w:pPr>
        <w:pStyle w:val="BodyText"/>
        <w:spacing w:before="6"/>
        <w:rPr>
          <w:sz w:val="15"/>
        </w:rPr>
      </w:pPr>
    </w:p>
    <w:p>
      <w:pPr>
        <w:pStyle w:val="BodyText"/>
        <w:spacing w:before="1"/>
        <w:ind w:left="96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6"/>
        <w:rPr>
          <w:sz w:val="15"/>
        </w:rPr>
      </w:pPr>
    </w:p>
    <w:p>
      <w:pPr>
        <w:pStyle w:val="BodyText"/>
        <w:spacing w:line="417" w:lineRule="auto" w:before="1"/>
        <w:ind w:left="960" w:right="243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960"/>
      </w:pPr>
      <w:r>
        <w:rPr/>
        <w:t>联系人：卢亚博</w:t>
      </w:r>
    </w:p>
    <w:p>
      <w:pPr>
        <w:pStyle w:val="BodyText"/>
        <w:spacing w:before="6"/>
        <w:rPr>
          <w:sz w:val="15"/>
        </w:rPr>
      </w:pPr>
    </w:p>
    <w:p>
      <w:pPr>
        <w:pStyle w:val="BodyText"/>
        <w:spacing w:line="417" w:lineRule="auto"/>
        <w:ind w:left="960" w:right="404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12"/>
        </w:numPr>
        <w:tabs>
          <w:tab w:pos="1699" w:val="left" w:leader="none"/>
        </w:tabs>
        <w:spacing w:line="269" w:lineRule="exact" w:before="0" w:after="0"/>
        <w:ind w:left="1698" w:right="0" w:hanging="739"/>
        <w:jc w:val="left"/>
        <w:rPr>
          <w:sz w:val="21"/>
        </w:rPr>
      </w:pPr>
      <w:r>
        <w:rPr>
          <w:spacing w:val="-3"/>
          <w:sz w:val="21"/>
        </w:rPr>
        <w:t>阳光人寿保险股份有限公司</w:t>
      </w:r>
    </w:p>
    <w:p>
      <w:pPr>
        <w:pStyle w:val="BodyText"/>
        <w:spacing w:before="7"/>
        <w:rPr>
          <w:sz w:val="15"/>
        </w:rPr>
      </w:pPr>
    </w:p>
    <w:p>
      <w:pPr>
        <w:pStyle w:val="BodyText"/>
        <w:ind w:left="96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7"/>
        <w:rPr>
          <w:sz w:val="15"/>
        </w:rPr>
      </w:pPr>
    </w:p>
    <w:p>
      <w:pPr>
        <w:pStyle w:val="BodyText"/>
        <w:spacing w:line="417" w:lineRule="auto" w:before="1"/>
        <w:ind w:left="960" w:right="148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ind w:left="960" w:right="634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960"/>
      </w:pPr>
      <w:r>
        <w:rPr/>
        <w:t>联系人：王超</w:t>
      </w:r>
    </w:p>
    <w:p>
      <w:pPr>
        <w:pStyle w:val="BodyText"/>
        <w:spacing w:before="6"/>
        <w:rPr>
          <w:sz w:val="15"/>
        </w:rPr>
      </w:pPr>
    </w:p>
    <w:p>
      <w:pPr>
        <w:pStyle w:val="BodyText"/>
        <w:spacing w:line="417" w:lineRule="auto"/>
        <w:ind w:left="960" w:right="5570"/>
        <w:rPr>
          <w:rFonts w:ascii="Times New Roman" w:eastAsia="Times New Roman"/>
        </w:rPr>
      </w:pPr>
      <w:r>
        <w:rPr/>
        <w:t>网址：</w:t>
      </w:r>
      <w:hyperlink r:id="rId161">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12"/>
        </w:numPr>
        <w:tabs>
          <w:tab w:pos="1699" w:val="left" w:leader="none"/>
        </w:tabs>
        <w:spacing w:line="240" w:lineRule="auto" w:before="0" w:after="0"/>
        <w:ind w:left="1698" w:right="0" w:hanging="739"/>
        <w:jc w:val="left"/>
        <w:rPr>
          <w:sz w:val="21"/>
        </w:rPr>
      </w:pPr>
      <w:r>
        <w:rPr>
          <w:spacing w:val="-3"/>
          <w:sz w:val="21"/>
        </w:rPr>
        <w:t>中国人寿保险股份有限公司</w:t>
      </w:r>
    </w:p>
    <w:p>
      <w:pPr>
        <w:pStyle w:val="BodyText"/>
        <w:spacing w:before="7"/>
        <w:rPr>
          <w:sz w:val="15"/>
        </w:rPr>
      </w:pPr>
    </w:p>
    <w:p>
      <w:pPr>
        <w:pStyle w:val="BodyText"/>
        <w:ind w:left="960"/>
      </w:pPr>
      <w:r>
        <w:rPr/>
        <w:t>住所：中国北京市西城区金融大街 </w:t>
      </w:r>
      <w:r>
        <w:rPr>
          <w:rFonts w:ascii="Times New Roman" w:eastAsia="Times New Roman"/>
        </w:rPr>
        <w:t>16 </w:t>
      </w:r>
      <w:r>
        <w:rPr/>
        <w:t>号</w:t>
      </w:r>
    </w:p>
    <w:p>
      <w:pPr>
        <w:pStyle w:val="BodyText"/>
        <w:spacing w:before="6"/>
        <w:rPr>
          <w:sz w:val="15"/>
        </w:rPr>
      </w:pPr>
    </w:p>
    <w:p>
      <w:pPr>
        <w:pStyle w:val="BodyText"/>
        <w:spacing w:line="417" w:lineRule="auto" w:before="1"/>
        <w:ind w:left="960" w:right="4043"/>
      </w:pPr>
      <w:r>
        <w:rPr/>
        <w:t>办公地址：中国北京市西城区金融大街 </w:t>
      </w:r>
      <w:r>
        <w:rPr>
          <w:rFonts w:ascii="Times New Roman" w:eastAsia="Times New Roman"/>
        </w:rPr>
        <w:t>16 </w:t>
      </w:r>
      <w:r>
        <w:rPr/>
        <w:t>号法定代表人：王滨</w:t>
      </w:r>
    </w:p>
    <w:p>
      <w:pPr>
        <w:pStyle w:val="BodyText"/>
        <w:spacing w:line="417" w:lineRule="auto"/>
        <w:ind w:left="960" w:right="634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960"/>
      </w:pPr>
      <w:r>
        <w:rPr/>
        <w:t>联系人：柳亚卿</w:t>
      </w:r>
    </w:p>
    <w:p>
      <w:pPr>
        <w:pStyle w:val="BodyText"/>
        <w:spacing w:before="6"/>
        <w:rPr>
          <w:sz w:val="15"/>
        </w:rPr>
      </w:pPr>
    </w:p>
    <w:p>
      <w:pPr>
        <w:pStyle w:val="BodyText"/>
        <w:spacing w:line="417" w:lineRule="auto" w:before="1"/>
        <w:ind w:left="960" w:right="5723"/>
        <w:rPr>
          <w:rFonts w:ascii="Times New Roman" w:eastAsia="Times New Roman"/>
        </w:rPr>
      </w:pPr>
      <w:r>
        <w:rPr/>
        <w:t>网址：</w:t>
      </w:r>
      <w:hyperlink r:id="rId162">
        <w:r>
          <w:rPr>
            <w:rFonts w:ascii="Times New Roman" w:eastAsia="Times New Roman"/>
          </w:rPr>
          <w:t>www.e-chinalife.com </w:t>
        </w:r>
      </w:hyperlink>
      <w:r>
        <w:rPr/>
        <w:t>客户服务电话：</w:t>
      </w:r>
      <w:r>
        <w:rPr>
          <w:rFonts w:ascii="Times New Roman" w:eastAsia="Times New Roman"/>
        </w:rPr>
        <w:t>95519</w:t>
      </w:r>
    </w:p>
    <w:p>
      <w:pPr>
        <w:pStyle w:val="BodyText"/>
        <w:spacing w:line="269" w:lineRule="exact"/>
        <w:ind w:left="960"/>
      </w:pPr>
      <w:r>
        <w:rPr/>
        <w:t>（二）登记机构</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960" w:right="31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联系人：朱威</w:t>
      </w:r>
    </w:p>
    <w:p>
      <w:pPr>
        <w:pStyle w:val="BodyText"/>
        <w:spacing w:before="6"/>
        <w:rPr>
          <w:sz w:val="15"/>
        </w:rPr>
      </w:pPr>
    </w:p>
    <w:p>
      <w:pPr>
        <w:pStyle w:val="BodyText"/>
        <w:ind w:left="960"/>
      </w:pPr>
      <w:r>
        <w:rPr/>
        <w:t>（三）律师事务所</w:t>
      </w:r>
    </w:p>
    <w:p>
      <w:pPr>
        <w:pStyle w:val="BodyText"/>
        <w:spacing w:before="7"/>
        <w:rPr>
          <w:sz w:val="15"/>
        </w:rPr>
      </w:pPr>
    </w:p>
    <w:p>
      <w:pPr>
        <w:pStyle w:val="BodyText"/>
        <w:ind w:left="960"/>
      </w:pPr>
      <w:r>
        <w:rPr/>
        <w:t>名称：北京市天元律师事务所</w:t>
      </w:r>
    </w:p>
    <w:p>
      <w:pPr>
        <w:pStyle w:val="BodyText"/>
        <w:spacing w:before="7"/>
        <w:rPr>
          <w:sz w:val="15"/>
        </w:rPr>
      </w:pPr>
    </w:p>
    <w:p>
      <w:pPr>
        <w:pStyle w:val="BodyText"/>
        <w:ind w:left="96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960" w:right="252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960" w:right="592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ind w:left="960"/>
      </w:pPr>
      <w:r>
        <w:rPr/>
        <w:t>联系人：李晗</w:t>
      </w:r>
    </w:p>
    <w:p>
      <w:pPr>
        <w:pStyle w:val="BodyText"/>
        <w:spacing w:before="6"/>
        <w:rPr>
          <w:sz w:val="15"/>
        </w:rPr>
      </w:pPr>
    </w:p>
    <w:p>
      <w:pPr>
        <w:pStyle w:val="BodyText"/>
        <w:ind w:left="960"/>
      </w:pPr>
      <w:r>
        <w:rPr/>
        <w:t>经办律师：吴冠雄、李晗</w:t>
      </w:r>
    </w:p>
    <w:p>
      <w:pPr>
        <w:pStyle w:val="BodyText"/>
        <w:spacing w:before="7"/>
        <w:rPr>
          <w:sz w:val="15"/>
        </w:rPr>
      </w:pPr>
    </w:p>
    <w:p>
      <w:pPr>
        <w:pStyle w:val="BodyText"/>
        <w:ind w:left="960"/>
      </w:pPr>
      <w:r>
        <w:rPr/>
        <w:t>（四）会计师事务所</w:t>
      </w:r>
    </w:p>
    <w:p>
      <w:pPr>
        <w:pStyle w:val="BodyText"/>
        <w:spacing w:before="7"/>
        <w:rPr>
          <w:sz w:val="15"/>
        </w:rPr>
      </w:pPr>
    </w:p>
    <w:p>
      <w:pPr>
        <w:pStyle w:val="BodyText"/>
        <w:ind w:left="960"/>
      </w:pPr>
      <w:r>
        <w:rPr/>
        <w:t>名称：安永华明会计师事务所（特殊普通合伙）</w:t>
      </w:r>
    </w:p>
    <w:p>
      <w:pPr>
        <w:pStyle w:val="BodyText"/>
        <w:spacing w:before="6"/>
        <w:rPr>
          <w:sz w:val="15"/>
        </w:rPr>
      </w:pPr>
    </w:p>
    <w:p>
      <w:pPr>
        <w:pStyle w:val="BodyText"/>
        <w:spacing w:line="417" w:lineRule="auto" w:before="1"/>
        <w:ind w:left="960" w:right="2354"/>
      </w:pPr>
      <w:r>
        <w:rPr>
          <w:spacing w:val="-3"/>
        </w:rPr>
        <w:t>住所：北京市东城区东长安街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w:t>
      </w:r>
      <w:r>
        <w:rPr>
          <w:rFonts w:ascii="Times New Roman" w:eastAsia="Times New Roman"/>
        </w:rPr>
        <w:t>01-12</w:t>
      </w:r>
      <w:r>
        <w:rPr/>
        <w:t>室</w:t>
      </w:r>
      <w:r>
        <w:rPr>
          <w:spacing w:val="-3"/>
        </w:rPr>
        <w:t>办公地址：北京市东城区东长安街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  </w:t>
      </w:r>
      <w:r>
        <w:rPr>
          <w:spacing w:val="-3"/>
        </w:rPr>
        <w:t>执行事务合伙人：毛鞍宁</w:t>
      </w:r>
    </w:p>
    <w:p>
      <w:pPr>
        <w:pStyle w:val="BodyText"/>
        <w:spacing w:line="417" w:lineRule="auto"/>
        <w:ind w:left="960" w:right="5926"/>
        <w:rPr>
          <w:rFonts w:ascii="Times New Roman" w:eastAsia="Times New Roman"/>
        </w:rPr>
      </w:pPr>
      <w:r>
        <w:rPr/>
        <w:t>联系电话：</w:t>
      </w:r>
      <w:r>
        <w:rPr>
          <w:rFonts w:ascii="Times New Roman" w:eastAsia="Times New Roman"/>
        </w:rPr>
        <w:t>010-58153000 </w:t>
      </w:r>
      <w:r>
        <w:rPr/>
        <w:t>传真：</w:t>
      </w:r>
      <w:r>
        <w:rPr>
          <w:rFonts w:ascii="Times New Roman" w:eastAsia="Times New Roman"/>
        </w:rPr>
        <w:t>010-85188298</w:t>
      </w:r>
    </w:p>
    <w:p>
      <w:pPr>
        <w:pStyle w:val="BodyText"/>
        <w:spacing w:line="269" w:lineRule="exact"/>
        <w:ind w:left="960"/>
      </w:pPr>
      <w:r>
        <w:rPr/>
        <w:t>联系人：王珊珊</w:t>
      </w:r>
    </w:p>
    <w:p>
      <w:pPr>
        <w:pStyle w:val="BodyText"/>
        <w:spacing w:before="6"/>
        <w:rPr>
          <w:sz w:val="15"/>
        </w:rPr>
      </w:pPr>
    </w:p>
    <w:p>
      <w:pPr>
        <w:pStyle w:val="BodyText"/>
        <w:ind w:left="960"/>
      </w:pPr>
      <w:r>
        <w:rPr/>
        <w:t>经办注册会计师：王珊珊、马剑英</w:t>
      </w:r>
    </w:p>
    <w:p>
      <w:pPr>
        <w:pStyle w:val="BodyText"/>
        <w:rPr>
          <w:sz w:val="20"/>
        </w:rPr>
      </w:pPr>
    </w:p>
    <w:p>
      <w:pPr>
        <w:pStyle w:val="BodyText"/>
        <w:spacing w:before="2"/>
        <w:rPr>
          <w:sz w:val="22"/>
        </w:rPr>
      </w:pPr>
    </w:p>
    <w:p>
      <w:pPr>
        <w:pStyle w:val="Heading1"/>
      </w:pPr>
      <w:bookmarkStart w:name="_bookmark5" w:id="6"/>
      <w:bookmarkEnd w:id="6"/>
      <w:r>
        <w:rPr>
          <w:b w:val="0"/>
        </w:rPr>
      </w:r>
      <w:r>
        <w:rPr/>
        <w:t>六、基金的募集</w:t>
      </w:r>
    </w:p>
    <w:p>
      <w:pPr>
        <w:pStyle w:val="BodyText"/>
        <w:rPr>
          <w:b/>
          <w:sz w:val="20"/>
        </w:rPr>
      </w:pPr>
    </w:p>
    <w:p>
      <w:pPr>
        <w:pStyle w:val="BodyText"/>
        <w:spacing w:before="3"/>
        <w:rPr>
          <w:b/>
        </w:rPr>
      </w:pPr>
    </w:p>
    <w:p>
      <w:pPr>
        <w:pStyle w:val="BodyText"/>
        <w:spacing w:line="417" w:lineRule="auto"/>
        <w:ind w:left="540" w:right="314" w:firstLine="419"/>
        <w:jc w:val="both"/>
      </w:pPr>
      <w:r>
        <w:rPr>
          <w:spacing w:val="-27"/>
        </w:rPr>
        <w:t>本基金由基金管理人依照《基金法》、《运作办法》、《销售办法》、基金合同及其他有关</w:t>
      </w:r>
      <w:r>
        <w:rPr>
          <w:spacing w:val="-15"/>
        </w:rPr>
        <w:t>规定募集。本基金的募集申请已经中国证监会 </w:t>
      </w:r>
      <w:r>
        <w:rPr>
          <w:rFonts w:ascii="Times New Roman" w:eastAsia="Times New Roman"/>
        </w:rPr>
        <w:t>2015 </w:t>
      </w:r>
      <w:r>
        <w:rPr>
          <w:spacing w:val="-24"/>
        </w:rPr>
        <w:t>年 </w:t>
      </w:r>
      <w:r>
        <w:rPr>
          <w:rFonts w:ascii="Times New Roman" w:eastAsia="Times New Roman"/>
        </w:rPr>
        <w:t>12 </w:t>
      </w:r>
      <w:r>
        <w:rPr>
          <w:spacing w:val="-24"/>
        </w:rPr>
        <w:t>月 </w:t>
      </w:r>
      <w:r>
        <w:rPr>
          <w:rFonts w:ascii="Times New Roman" w:eastAsia="Times New Roman"/>
        </w:rPr>
        <w:t>4 </w:t>
      </w:r>
      <w:r>
        <w:rPr>
          <w:spacing w:val="-3"/>
        </w:rPr>
        <w:t>日证监许可</w:t>
      </w:r>
      <w:r>
        <w:rPr>
          <w:rFonts w:ascii="Times New Roman" w:eastAsia="Times New Roman"/>
        </w:rPr>
        <w:t>[2015]2839 </w:t>
      </w:r>
      <w:r>
        <w:rPr>
          <w:spacing w:val="-3"/>
        </w:rPr>
        <w:t>号文注册，并经机构部函</w:t>
      </w:r>
      <w:r>
        <w:rPr>
          <w:rFonts w:ascii="Times New Roman" w:eastAsia="Times New Roman"/>
        </w:rPr>
        <w:t>[2016]1459 </w:t>
      </w:r>
      <w:r>
        <w:rPr>
          <w:spacing w:val="-3"/>
        </w:rPr>
        <w:t>号确认。</w:t>
      </w:r>
    </w:p>
    <w:p>
      <w:pPr>
        <w:pStyle w:val="BodyText"/>
        <w:spacing w:line="269" w:lineRule="exact"/>
        <w:ind w:left="960"/>
      </w:pPr>
      <w:r>
        <w:rPr/>
        <w:t>本基金为契约型开放式基金，基金存续期间为不定期。</w:t>
      </w:r>
    </w:p>
    <w:p>
      <w:pPr>
        <w:pStyle w:val="BodyText"/>
        <w:spacing w:before="6"/>
        <w:rPr>
          <w:sz w:val="15"/>
        </w:rPr>
      </w:pPr>
    </w:p>
    <w:p>
      <w:pPr>
        <w:pStyle w:val="BodyText"/>
        <w:spacing w:before="1"/>
        <w:ind w:left="960"/>
      </w:pPr>
      <w:r>
        <w:rPr/>
        <w:t>本基金每份基金份额初始面值为 </w:t>
      </w:r>
      <w:r>
        <w:rPr>
          <w:rFonts w:ascii="Times New Roman" w:eastAsia="Times New Roman"/>
        </w:rPr>
        <w:t>1.00 </w:t>
      </w:r>
      <w:r>
        <w:rPr/>
        <w:t>元人民币，认购价格为 </w:t>
      </w:r>
      <w:r>
        <w:rPr>
          <w:rFonts w:ascii="Times New Roman" w:eastAsia="Times New Roman"/>
        </w:rPr>
        <w:t>1.00 </w:t>
      </w:r>
      <w:r>
        <w:rPr/>
        <w:t>元人民币。</w:t>
      </w:r>
    </w:p>
    <w:p>
      <w:pPr>
        <w:pStyle w:val="BodyText"/>
        <w:spacing w:before="6"/>
        <w:rPr>
          <w:sz w:val="15"/>
        </w:rPr>
      </w:pPr>
    </w:p>
    <w:p>
      <w:pPr>
        <w:pStyle w:val="BodyText"/>
        <w:ind w:left="960"/>
      </w:pPr>
      <w:r>
        <w:rPr/>
        <w:t>本基金自 </w:t>
      </w:r>
      <w:r>
        <w:rPr>
          <w:rFonts w:ascii="Times New Roman" w:eastAsia="Times New Roman"/>
        </w:rPr>
        <w:t>2016 </w:t>
      </w:r>
      <w:r>
        <w:rPr/>
        <w:t>年 </w:t>
      </w:r>
      <w:r>
        <w:rPr>
          <w:rFonts w:ascii="Times New Roman" w:eastAsia="Times New Roman"/>
        </w:rPr>
        <w:t>7 </w:t>
      </w:r>
      <w:r>
        <w:rPr/>
        <w:t>月 </w:t>
      </w:r>
      <w:r>
        <w:rPr>
          <w:rFonts w:ascii="Times New Roman" w:eastAsia="Times New Roman"/>
        </w:rPr>
        <w:t>4 </w:t>
      </w:r>
      <w:r>
        <w:rPr/>
        <w:t>日至 </w:t>
      </w:r>
      <w:r>
        <w:rPr>
          <w:rFonts w:ascii="Times New Roman" w:eastAsia="Times New Roman"/>
        </w:rPr>
        <w:t>2016 </w:t>
      </w:r>
      <w:r>
        <w:rPr/>
        <w:t>年 </w:t>
      </w:r>
      <w:r>
        <w:rPr>
          <w:rFonts w:ascii="Times New Roman" w:eastAsia="Times New Roman"/>
        </w:rPr>
        <w:t>7 </w:t>
      </w:r>
      <w:r>
        <w:rPr/>
        <w:t>月 </w:t>
      </w:r>
      <w:r>
        <w:rPr>
          <w:rFonts w:ascii="Times New Roman" w:eastAsia="Times New Roman"/>
        </w:rPr>
        <w:t>29 </w:t>
      </w:r>
      <w:r>
        <w:rPr/>
        <w:t>日进行发售。募集期间，本基金共募集</w:t>
      </w:r>
    </w:p>
    <w:p>
      <w:pPr>
        <w:pStyle w:val="BodyText"/>
        <w:spacing w:before="7"/>
        <w:rPr>
          <w:sz w:val="15"/>
        </w:rPr>
      </w:pPr>
    </w:p>
    <w:p>
      <w:pPr>
        <w:pStyle w:val="BodyText"/>
        <w:ind w:left="540"/>
      </w:pPr>
      <w:r>
        <w:rPr>
          <w:rFonts w:ascii="Times New Roman" w:eastAsia="Times New Roman"/>
        </w:rPr>
        <w:t>1,448,718,626.78 </w:t>
      </w:r>
      <w:r>
        <w:rPr/>
        <w:t>份基金份额，有效认购户数为 </w:t>
      </w:r>
      <w:r>
        <w:rPr>
          <w:rFonts w:ascii="Times New Roman" w:eastAsia="Times New Roman"/>
        </w:rPr>
        <w:t>22,122 </w:t>
      </w:r>
      <w:r>
        <w:rPr/>
        <w:t>户。</w:t>
      </w:r>
    </w:p>
    <w:p>
      <w:pPr>
        <w:spacing w:after="0"/>
        <w:sectPr>
          <w:pgSz w:w="11910" w:h="16840"/>
          <w:pgMar w:header="877" w:footer="995" w:top="1420" w:bottom="1180" w:left="1260" w:right="1480"/>
        </w:sectPr>
      </w:pPr>
    </w:p>
    <w:p>
      <w:pPr>
        <w:pStyle w:val="Heading1"/>
        <w:spacing w:before="110"/>
      </w:pPr>
      <w:bookmarkStart w:name="_bookmark6" w:id="7"/>
      <w:bookmarkEnd w:id="7"/>
      <w:r>
        <w:rPr>
          <w:b w:val="0"/>
        </w:rPr>
      </w:r>
      <w:r>
        <w:rPr/>
        <w:t>七、基金合同的生效</w:t>
      </w:r>
    </w:p>
    <w:p>
      <w:pPr>
        <w:pStyle w:val="BodyText"/>
        <w:rPr>
          <w:b/>
          <w:sz w:val="20"/>
        </w:rPr>
      </w:pPr>
    </w:p>
    <w:p>
      <w:pPr>
        <w:pStyle w:val="BodyText"/>
        <w:spacing w:before="2"/>
        <w:rPr>
          <w:b/>
        </w:rPr>
      </w:pPr>
    </w:p>
    <w:p>
      <w:pPr>
        <w:pStyle w:val="BodyText"/>
        <w:spacing w:line="417" w:lineRule="auto"/>
        <w:ind w:left="540" w:right="311" w:firstLine="419"/>
        <w:jc w:val="both"/>
      </w:pPr>
      <w:r>
        <w:rPr>
          <w:spacing w:val="-19"/>
        </w:rPr>
        <w:t>根据有关规定，本基金满足基金合同生效条件，基金合同于 </w:t>
      </w:r>
      <w:r>
        <w:rPr>
          <w:rFonts w:ascii="Times New Roman" w:eastAsia="Times New Roman"/>
        </w:rPr>
        <w:t>2016 </w:t>
      </w:r>
      <w:r>
        <w:rPr>
          <w:spacing w:val="-23"/>
        </w:rPr>
        <w:t>年 </w:t>
      </w:r>
      <w:r>
        <w:rPr>
          <w:rFonts w:ascii="Times New Roman" w:eastAsia="Times New Roman"/>
        </w:rPr>
        <w:t>8 </w:t>
      </w:r>
      <w:r>
        <w:rPr>
          <w:spacing w:val="-23"/>
        </w:rPr>
        <w:t>月 </w:t>
      </w:r>
      <w:r>
        <w:rPr>
          <w:rFonts w:ascii="Times New Roman" w:eastAsia="Times New Roman"/>
        </w:rPr>
        <w:t>3 </w:t>
      </w:r>
      <w:r>
        <w:rPr>
          <w:spacing w:val="-3"/>
        </w:rPr>
        <w:t>日正式生效。自基金合同生效日起，本基金管理人正式开始管理本基金。</w:t>
      </w:r>
    </w:p>
    <w:p>
      <w:pPr>
        <w:pStyle w:val="BodyText"/>
        <w:spacing w:line="269" w:lineRule="exact"/>
        <w:ind w:left="96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7"/>
        <w:rPr>
          <w:sz w:val="15"/>
        </w:rPr>
      </w:pPr>
    </w:p>
    <w:p>
      <w:pPr>
        <w:pStyle w:val="BodyText"/>
        <w:spacing w:line="417" w:lineRule="auto"/>
        <w:ind w:left="540" w:right="31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5"/>
        </w:rPr>
        <w:t>其他基金合并或终止基金合同等，并召开基金份额持有人大会进行表决。</w:t>
      </w:r>
    </w:p>
    <w:p>
      <w:pPr>
        <w:pStyle w:val="BodyText"/>
        <w:ind w:left="960"/>
      </w:pPr>
      <w:r>
        <w:rPr/>
        <w:t>法律法规另有规定时，从其规定。</w:t>
      </w:r>
    </w:p>
    <w:p>
      <w:pPr>
        <w:pStyle w:val="BodyText"/>
        <w:rPr>
          <w:sz w:val="20"/>
        </w:rPr>
      </w:pPr>
    </w:p>
    <w:p>
      <w:pPr>
        <w:pStyle w:val="BodyText"/>
        <w:spacing w:before="1"/>
        <w:rPr>
          <w:sz w:val="22"/>
        </w:rPr>
      </w:pPr>
    </w:p>
    <w:p>
      <w:pPr>
        <w:pStyle w:val="Heading1"/>
        <w:spacing w:before="1"/>
      </w:pPr>
      <w:bookmarkStart w:name="_bookmark7" w:id="8"/>
      <w:bookmarkEnd w:id="8"/>
      <w:r>
        <w:rPr>
          <w:b w:val="0"/>
        </w:rPr>
      </w:r>
      <w:r>
        <w:rPr/>
        <w:t>八、基金份额的申购、赎回与转换</w:t>
      </w:r>
    </w:p>
    <w:p>
      <w:pPr>
        <w:pStyle w:val="BodyText"/>
        <w:rPr>
          <w:b/>
          <w:sz w:val="20"/>
        </w:rPr>
      </w:pPr>
    </w:p>
    <w:p>
      <w:pPr>
        <w:pStyle w:val="BodyText"/>
        <w:spacing w:before="4"/>
        <w:rPr>
          <w:b/>
        </w:rPr>
      </w:pPr>
    </w:p>
    <w:p>
      <w:pPr>
        <w:pStyle w:val="BodyText"/>
        <w:ind w:left="960"/>
      </w:pPr>
      <w:r>
        <w:rPr/>
        <w:t>（一）申购和赎回场所</w:t>
      </w:r>
    </w:p>
    <w:p>
      <w:pPr>
        <w:pStyle w:val="BodyText"/>
        <w:spacing w:before="7"/>
        <w:rPr>
          <w:sz w:val="15"/>
        </w:rPr>
      </w:pPr>
    </w:p>
    <w:p>
      <w:pPr>
        <w:pStyle w:val="BodyText"/>
        <w:spacing w:line="417" w:lineRule="auto"/>
        <w:ind w:left="540" w:right="311" w:firstLine="419"/>
        <w:jc w:val="both"/>
      </w:pPr>
      <w:r>
        <w:rPr>
          <w:spacing w:val="-8"/>
        </w:rPr>
        <w:t>本基金的申购与赎回将通过销售机构进行。具体的销售网点将由基金管理人在招募说明</w:t>
      </w:r>
      <w:r>
        <w:rPr>
          <w:spacing w:val="-11"/>
        </w:rPr>
        <w:t>书或其他相关公告中列明。基金管理人可根据情况变更或增减销售机构。基金投资者应当在销售机构办理基金销售业务的营业场所或按销售机构提供的其他方式办理基金份额的申购</w:t>
      </w:r>
      <w:r>
        <w:rPr>
          <w:spacing w:val="-7"/>
        </w:rPr>
        <w:t>与赎回。</w:t>
      </w:r>
    </w:p>
    <w:p>
      <w:pPr>
        <w:pStyle w:val="BodyText"/>
        <w:spacing w:line="269" w:lineRule="exact"/>
        <w:ind w:left="960"/>
      </w:pPr>
      <w:r>
        <w:rPr>
          <w:rFonts w:ascii="Times New Roman" w:eastAsia="Times New Roman"/>
        </w:rPr>
        <w:t>1</w:t>
      </w:r>
      <w:r>
        <w:rPr/>
        <w:t>、直销机构</w:t>
      </w:r>
    </w:p>
    <w:p>
      <w:pPr>
        <w:pStyle w:val="BodyText"/>
        <w:spacing w:before="7"/>
        <w:rPr>
          <w:sz w:val="15"/>
        </w:rPr>
      </w:pPr>
    </w:p>
    <w:p>
      <w:pPr>
        <w:pStyle w:val="BodyText"/>
        <w:spacing w:line="417" w:lineRule="auto"/>
        <w:ind w:left="540" w:right="31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3"/>
        </w:numPr>
        <w:tabs>
          <w:tab w:pos="1490" w:val="left" w:leader="none"/>
        </w:tabs>
        <w:spacing w:line="269" w:lineRule="exact" w:before="0" w:after="0"/>
        <w:ind w:left="1489" w:right="0" w:hanging="530"/>
        <w:jc w:val="left"/>
        <w:rPr>
          <w:sz w:val="21"/>
        </w:rPr>
      </w:pPr>
      <w:r>
        <w:rPr>
          <w:spacing w:val="-3"/>
          <w:sz w:val="21"/>
        </w:rPr>
        <w:t>北京分公司</w:t>
      </w:r>
    </w:p>
    <w:p>
      <w:pPr>
        <w:pStyle w:val="BodyText"/>
        <w:spacing w:before="6"/>
        <w:rPr>
          <w:sz w:val="15"/>
        </w:rPr>
      </w:pPr>
    </w:p>
    <w:p>
      <w:pPr>
        <w:pStyle w:val="BodyText"/>
        <w:spacing w:line="417" w:lineRule="auto" w:before="1"/>
        <w:ind w:left="960" w:right="217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ind w:left="96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960" w:right="238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010-64185180</w:t>
      </w:r>
    </w:p>
    <w:p>
      <w:pPr>
        <w:pStyle w:val="BodyText"/>
        <w:spacing w:before="3"/>
        <w:rPr>
          <w:rFonts w:ascii="Times New Roman"/>
          <w:sz w:val="17"/>
        </w:rPr>
      </w:pPr>
    </w:p>
    <w:p>
      <w:pPr>
        <w:pStyle w:val="ListParagraph"/>
        <w:numPr>
          <w:ilvl w:val="0"/>
          <w:numId w:val="13"/>
        </w:numPr>
        <w:tabs>
          <w:tab w:pos="1490" w:val="left" w:leader="none"/>
        </w:tabs>
        <w:spacing w:line="240" w:lineRule="auto" w:before="1" w:after="0"/>
        <w:ind w:left="1489" w:right="0" w:hanging="530"/>
        <w:jc w:val="left"/>
        <w:rPr>
          <w:sz w:val="21"/>
        </w:rPr>
      </w:pPr>
      <w:r>
        <w:rPr>
          <w:spacing w:val="-3"/>
          <w:sz w:val="21"/>
        </w:rPr>
        <w:t>北京科学院南路投资理财中心</w:t>
      </w:r>
    </w:p>
    <w:p>
      <w:pPr>
        <w:pStyle w:val="BodyText"/>
        <w:spacing w:before="7"/>
        <w:rPr>
          <w:sz w:val="15"/>
        </w:rPr>
      </w:pPr>
    </w:p>
    <w:p>
      <w:pPr>
        <w:pStyle w:val="BodyText"/>
        <w:ind w:left="960"/>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p>
    <w:p>
      <w:pPr>
        <w:spacing w:after="0"/>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010-82523198 </w:t>
      </w:r>
      <w:r>
        <w:rPr/>
        <w:t>传真：</w:t>
      </w:r>
      <w:r>
        <w:rPr>
          <w:rFonts w:ascii="Times New Roman" w:eastAsia="Times New Roman"/>
        </w:rPr>
        <w:t>010-82523196</w:t>
      </w:r>
    </w:p>
    <w:p>
      <w:pPr>
        <w:pStyle w:val="ListParagraph"/>
        <w:numPr>
          <w:ilvl w:val="0"/>
          <w:numId w:val="13"/>
        </w:numPr>
        <w:tabs>
          <w:tab w:pos="1490" w:val="left" w:leader="none"/>
        </w:tabs>
        <w:spacing w:line="269" w:lineRule="exact" w:before="0" w:after="0"/>
        <w:ind w:left="1489" w:right="0" w:hanging="530"/>
        <w:jc w:val="left"/>
        <w:rPr>
          <w:sz w:val="21"/>
        </w:rPr>
      </w:pPr>
      <w:r>
        <w:rPr>
          <w:spacing w:val="-3"/>
          <w:sz w:val="21"/>
        </w:rPr>
        <w:t>北京东四环投资理财中心</w:t>
      </w:r>
    </w:p>
    <w:p>
      <w:pPr>
        <w:pStyle w:val="BodyText"/>
        <w:spacing w:before="6"/>
        <w:rPr>
          <w:sz w:val="15"/>
        </w:rPr>
      </w:pPr>
    </w:p>
    <w:p>
      <w:pPr>
        <w:pStyle w:val="BodyText"/>
        <w:spacing w:line="417" w:lineRule="auto"/>
        <w:ind w:left="960" w:right="74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010-85869575</w:t>
      </w:r>
    </w:p>
    <w:p>
      <w:pPr>
        <w:pStyle w:val="BodyText"/>
        <w:spacing w:before="4"/>
        <w:rPr>
          <w:rFonts w:ascii="Times New Roman"/>
          <w:sz w:val="17"/>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960" w:right="257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96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4"/>
        <w:rPr>
          <w:rFonts w:ascii="Times New Roman"/>
          <w:sz w:val="17"/>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上海分公司</w:t>
      </w:r>
    </w:p>
    <w:p>
      <w:pPr>
        <w:pStyle w:val="BodyText"/>
        <w:spacing w:before="6"/>
        <w:rPr>
          <w:sz w:val="15"/>
        </w:rPr>
      </w:pPr>
    </w:p>
    <w:p>
      <w:pPr>
        <w:pStyle w:val="BodyText"/>
        <w:spacing w:line="417" w:lineRule="auto"/>
        <w:ind w:left="960" w:right="126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深圳分公司</w:t>
      </w:r>
    </w:p>
    <w:p>
      <w:pPr>
        <w:pStyle w:val="BodyText"/>
        <w:spacing w:before="7"/>
        <w:rPr>
          <w:sz w:val="15"/>
        </w:rPr>
      </w:pPr>
    </w:p>
    <w:p>
      <w:pPr>
        <w:pStyle w:val="BodyText"/>
        <w:spacing w:line="417" w:lineRule="auto"/>
        <w:ind w:left="960" w:right="74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13"/>
        </w:numPr>
        <w:tabs>
          <w:tab w:pos="1490" w:val="left" w:leader="none"/>
        </w:tabs>
        <w:spacing w:line="240" w:lineRule="auto" w:before="1" w:after="0"/>
        <w:ind w:left="1489" w:right="0" w:hanging="530"/>
        <w:jc w:val="left"/>
        <w:rPr>
          <w:sz w:val="21"/>
        </w:rPr>
      </w:pPr>
      <w:r>
        <w:rPr>
          <w:spacing w:val="-3"/>
          <w:sz w:val="21"/>
        </w:rPr>
        <w:t>南京分公司</w:t>
      </w:r>
    </w:p>
    <w:p>
      <w:pPr>
        <w:pStyle w:val="BodyText"/>
        <w:spacing w:before="6"/>
        <w:rPr>
          <w:sz w:val="15"/>
        </w:rPr>
      </w:pPr>
    </w:p>
    <w:p>
      <w:pPr>
        <w:pStyle w:val="BodyText"/>
        <w:spacing w:line="417" w:lineRule="auto"/>
        <w:ind w:left="960" w:right="133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before="1"/>
        <w:ind w:left="96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杭州分公司</w:t>
      </w:r>
    </w:p>
    <w:p>
      <w:pPr>
        <w:pStyle w:val="BodyText"/>
        <w:spacing w:before="7"/>
        <w:rPr>
          <w:sz w:val="15"/>
        </w:rPr>
      </w:pPr>
    </w:p>
    <w:p>
      <w:pPr>
        <w:pStyle w:val="BodyText"/>
        <w:spacing w:line="417" w:lineRule="auto"/>
        <w:ind w:left="960" w:right="31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960"/>
        <w:rPr>
          <w:rFonts w:ascii="Times New Roman" w:eastAsia="Times New Roman"/>
        </w:rPr>
      </w:pPr>
      <w:r>
        <w:rPr>
          <w:spacing w:val="-2"/>
        </w:rPr>
        <w:t>传真：</w:t>
      </w:r>
      <w:r>
        <w:rPr>
          <w:rFonts w:ascii="Times New Roman" w:eastAsia="Times New Roman"/>
          <w:spacing w:val="-2"/>
        </w:rPr>
        <w:t>0571-89716611</w:t>
      </w:r>
    </w:p>
    <w:p>
      <w:pPr>
        <w:pStyle w:val="BodyText"/>
        <w:spacing w:before="3"/>
        <w:rPr>
          <w:rFonts w:ascii="Times New Roman"/>
          <w:sz w:val="17"/>
        </w:rPr>
      </w:pPr>
    </w:p>
    <w:p>
      <w:pPr>
        <w:pStyle w:val="ListParagraph"/>
        <w:numPr>
          <w:ilvl w:val="0"/>
          <w:numId w:val="13"/>
        </w:numPr>
        <w:tabs>
          <w:tab w:pos="1595" w:val="left" w:leader="none"/>
        </w:tabs>
        <w:spacing w:line="240" w:lineRule="auto" w:before="0" w:after="0"/>
        <w:ind w:left="1595" w:right="0" w:hanging="635"/>
        <w:jc w:val="left"/>
        <w:rPr>
          <w:sz w:val="21"/>
        </w:rPr>
      </w:pPr>
      <w:r>
        <w:rPr>
          <w:spacing w:val="-3"/>
          <w:sz w:val="21"/>
        </w:rPr>
        <w:t>广州分公司</w:t>
      </w:r>
    </w:p>
    <w:p>
      <w:pPr>
        <w:pStyle w:val="BodyText"/>
        <w:spacing w:before="7"/>
        <w:rPr>
          <w:sz w:val="15"/>
        </w:rPr>
      </w:pPr>
    </w:p>
    <w:p>
      <w:pPr>
        <w:pStyle w:val="BodyText"/>
        <w:spacing w:line="417" w:lineRule="auto"/>
        <w:ind w:left="960" w:right="53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ind w:left="960"/>
        <w:rPr>
          <w:rFonts w:ascii="Times New Roman" w:eastAsia="Times New Roman"/>
        </w:rPr>
      </w:pPr>
      <w:r>
        <w:rPr>
          <w:spacing w:val="-1"/>
        </w:rPr>
        <w:t>传真：</w:t>
      </w:r>
      <w:r>
        <w:rPr>
          <w:rFonts w:ascii="Times New Roman" w:eastAsia="Times New Roman"/>
          <w:spacing w:val="-1"/>
        </w:rPr>
        <w:t>020-38067182</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13"/>
        </w:numPr>
        <w:tabs>
          <w:tab w:pos="1586" w:val="left" w:leader="none"/>
        </w:tabs>
        <w:spacing w:line="240" w:lineRule="auto" w:before="110" w:after="0"/>
        <w:ind w:left="1585" w:right="0" w:hanging="626"/>
        <w:jc w:val="left"/>
        <w:rPr>
          <w:sz w:val="21"/>
        </w:rPr>
      </w:pPr>
      <w:r>
        <w:rPr>
          <w:spacing w:val="-3"/>
          <w:sz w:val="21"/>
        </w:rPr>
        <w:t>广州天河投资理财中心</w:t>
      </w:r>
    </w:p>
    <w:p>
      <w:pPr>
        <w:pStyle w:val="BodyText"/>
        <w:spacing w:before="6"/>
        <w:rPr>
          <w:sz w:val="15"/>
        </w:rPr>
      </w:pPr>
    </w:p>
    <w:p>
      <w:pPr>
        <w:pStyle w:val="BodyText"/>
        <w:spacing w:line="417" w:lineRule="auto"/>
        <w:ind w:left="960" w:right="326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13"/>
        </w:numPr>
        <w:tabs>
          <w:tab w:pos="1595" w:val="left" w:leader="none"/>
        </w:tabs>
        <w:spacing w:line="240" w:lineRule="auto" w:before="0" w:after="0"/>
        <w:ind w:left="1595" w:right="0" w:hanging="635"/>
        <w:jc w:val="left"/>
        <w:rPr>
          <w:sz w:val="21"/>
        </w:rPr>
      </w:pPr>
      <w:r>
        <w:rPr>
          <w:spacing w:val="-3"/>
          <w:sz w:val="21"/>
        </w:rPr>
        <w:t>成都分公司</w:t>
      </w:r>
    </w:p>
    <w:p>
      <w:pPr>
        <w:pStyle w:val="BodyText"/>
        <w:spacing w:before="6"/>
        <w:rPr>
          <w:sz w:val="15"/>
        </w:rPr>
      </w:pPr>
    </w:p>
    <w:p>
      <w:pPr>
        <w:pStyle w:val="BodyText"/>
        <w:spacing w:before="1"/>
        <w:ind w:left="96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6"/>
        <w:rPr>
          <w:sz w:val="15"/>
        </w:rPr>
      </w:pPr>
    </w:p>
    <w:p>
      <w:pPr>
        <w:pStyle w:val="BodyText"/>
        <w:ind w:left="540"/>
      </w:pPr>
      <w:r>
        <w:rPr/>
        <w:t>（</w:t>
      </w:r>
      <w:r>
        <w:rPr>
          <w:rFonts w:ascii="Times New Roman" w:eastAsia="Times New Roman"/>
        </w:rPr>
        <w:t>610000</w:t>
      </w:r>
      <w:r>
        <w:rPr/>
        <w:t>）</w:t>
      </w:r>
    </w:p>
    <w:p>
      <w:pPr>
        <w:pStyle w:val="BodyText"/>
        <w:spacing w:before="8"/>
        <w:rPr>
          <w:sz w:val="15"/>
        </w:rPr>
      </w:pPr>
    </w:p>
    <w:p>
      <w:pPr>
        <w:pStyle w:val="BodyText"/>
        <w:spacing w:line="417" w:lineRule="auto"/>
        <w:ind w:left="960" w:right="634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3"/>
        </w:numPr>
        <w:tabs>
          <w:tab w:pos="1595" w:val="left" w:leader="none"/>
        </w:tabs>
        <w:spacing w:line="269" w:lineRule="exact" w:before="0" w:after="0"/>
        <w:ind w:left="1595" w:right="0" w:hanging="635"/>
        <w:jc w:val="left"/>
        <w:rPr>
          <w:sz w:val="21"/>
        </w:rPr>
      </w:pPr>
      <w:r>
        <w:rPr>
          <w:spacing w:val="-2"/>
          <w:sz w:val="21"/>
        </w:rPr>
        <w:t>电子交易</w:t>
      </w:r>
    </w:p>
    <w:p>
      <w:pPr>
        <w:pStyle w:val="BodyText"/>
        <w:spacing w:before="6"/>
        <w:rPr>
          <w:sz w:val="15"/>
        </w:rPr>
      </w:pPr>
    </w:p>
    <w:p>
      <w:pPr>
        <w:pStyle w:val="BodyText"/>
        <w:spacing w:line="417" w:lineRule="auto" w:before="1"/>
        <w:ind w:left="540" w:right="31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63">
        <w:r>
          <w:rPr>
            <w:rFonts w:ascii="Times New Roman" w:eastAsia="Times New Roman"/>
          </w:rPr>
          <w:t>www.ChinaAMC.com</w:t>
        </w:r>
      </w:hyperlink>
      <w:r>
        <w:rPr/>
        <w:t>。</w:t>
      </w:r>
    </w:p>
    <w:p>
      <w:pPr>
        <w:pStyle w:val="BodyText"/>
        <w:spacing w:line="269" w:lineRule="exact"/>
        <w:ind w:left="960"/>
      </w:pPr>
      <w:r>
        <w:rPr>
          <w:rFonts w:ascii="Times New Roman" w:eastAsia="Times New Roman"/>
        </w:rPr>
        <w:t>2</w:t>
      </w:r>
      <w:r>
        <w:rPr/>
        <w:t>、代销机构</w:t>
      </w:r>
    </w:p>
    <w:p>
      <w:pPr>
        <w:pStyle w:val="BodyText"/>
        <w:spacing w:before="6"/>
        <w:rPr>
          <w:sz w:val="15"/>
        </w:rPr>
      </w:pPr>
    </w:p>
    <w:p>
      <w:pPr>
        <w:pStyle w:val="BodyText"/>
        <w:spacing w:line="417" w:lineRule="auto" w:before="1"/>
        <w:ind w:left="540" w:right="31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540" w:right="311" w:firstLine="419"/>
      </w:pPr>
      <w:r>
        <w:rPr>
          <w:spacing w:val="-8"/>
        </w:rPr>
        <w:t>基金管理人可以根据情况增加或者减少销售机构，并在管理人网站公示。销售机构可以</w:t>
      </w:r>
      <w:r>
        <w:rPr>
          <w:spacing w:val="-5"/>
        </w:rPr>
        <w:t>根据情况增加或者减少其销售城市、网点。</w:t>
      </w:r>
    </w:p>
    <w:p>
      <w:pPr>
        <w:pStyle w:val="BodyText"/>
        <w:spacing w:line="269" w:lineRule="exact"/>
        <w:ind w:left="960"/>
      </w:pPr>
      <w:r>
        <w:rPr/>
        <w:t>（二）申购和赎回的开放日及时间</w:t>
      </w:r>
    </w:p>
    <w:p>
      <w:pPr>
        <w:pStyle w:val="BodyText"/>
        <w:spacing w:before="6"/>
        <w:rPr>
          <w:sz w:val="15"/>
        </w:rPr>
      </w:pPr>
    </w:p>
    <w:p>
      <w:pPr>
        <w:pStyle w:val="BodyText"/>
        <w:ind w:left="960"/>
      </w:pPr>
      <w:r>
        <w:rPr>
          <w:rFonts w:ascii="Times New Roman" w:eastAsia="Times New Roman"/>
        </w:rPr>
        <w:t>1</w:t>
      </w:r>
      <w:r>
        <w:rPr/>
        <w:t>、开放日及开放时间</w:t>
      </w:r>
    </w:p>
    <w:p>
      <w:pPr>
        <w:pStyle w:val="BodyText"/>
        <w:spacing w:before="7"/>
        <w:rPr>
          <w:sz w:val="15"/>
        </w:rPr>
      </w:pPr>
    </w:p>
    <w:p>
      <w:pPr>
        <w:pStyle w:val="BodyText"/>
        <w:spacing w:line="417" w:lineRule="auto"/>
        <w:ind w:left="540" w:right="31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540" w:right="311" w:firstLine="419"/>
        <w:jc w:val="both"/>
      </w:pPr>
      <w:r>
        <w:rPr>
          <w:spacing w:val="-3"/>
        </w:rPr>
        <w:t>基金合同生效后，若出现新的证券</w:t>
      </w:r>
      <w:r>
        <w:rPr>
          <w:rFonts w:ascii="Times New Roman" w:eastAsia="Times New Roman"/>
        </w:rPr>
        <w:t>/</w:t>
      </w:r>
      <w:r>
        <w:rPr>
          <w:spacing w:val="-3"/>
        </w:rPr>
        <w:t>期货交易市场、证券</w:t>
      </w:r>
      <w:r>
        <w:rPr>
          <w:rFonts w:ascii="Times New Roman" w:eastAsia="Times New Roman"/>
        </w:rPr>
        <w:t>/</w:t>
      </w:r>
      <w:r>
        <w:rPr>
          <w:spacing w:val="-3"/>
        </w:rPr>
        <w:t>期货交易所交易时间变更或其</w:t>
      </w:r>
      <w:r>
        <w:rPr>
          <w:spacing w:val="-11"/>
        </w:rPr>
        <w:t>他特殊情况，基金管理人将视情况对前述开放日及开放时间进行相应的调整，但应在实施日</w:t>
      </w:r>
      <w:r>
        <w:rPr>
          <w:spacing w:val="-6"/>
        </w:rPr>
        <w:t>前依照《信息披露办法》的有关规定在指定媒介上公告。</w:t>
      </w:r>
    </w:p>
    <w:p>
      <w:pPr>
        <w:pStyle w:val="BodyText"/>
        <w:spacing w:line="269" w:lineRule="exact"/>
        <w:ind w:left="960"/>
      </w:pPr>
      <w:r>
        <w:rPr>
          <w:rFonts w:ascii="Times New Roman" w:eastAsia="Times New Roman"/>
        </w:rPr>
        <w:t>2</w:t>
      </w:r>
      <w:r>
        <w:rPr/>
        <w:t>、申购、赎回开始日及业务办理时间</w:t>
      </w:r>
    </w:p>
    <w:p>
      <w:pPr>
        <w:pStyle w:val="BodyText"/>
        <w:spacing w:before="6"/>
        <w:rPr>
          <w:sz w:val="15"/>
        </w:rPr>
      </w:pPr>
    </w:p>
    <w:p>
      <w:pPr>
        <w:pStyle w:val="BodyText"/>
        <w:spacing w:before="1"/>
        <w:ind w:left="960"/>
      </w:pPr>
      <w:r>
        <w:rPr/>
        <w:t>本基金已于 </w:t>
      </w:r>
      <w:r>
        <w:rPr>
          <w:rFonts w:ascii="Times New Roman" w:eastAsia="Times New Roman"/>
        </w:rPr>
        <w:t>2016 </w:t>
      </w:r>
      <w:r>
        <w:rPr/>
        <w:t>年 </w:t>
      </w:r>
      <w:r>
        <w:rPr>
          <w:rFonts w:ascii="Times New Roman" w:eastAsia="Times New Roman"/>
        </w:rPr>
        <w:t>9 </w:t>
      </w:r>
      <w:r>
        <w:rPr/>
        <w:t>月 </w:t>
      </w:r>
      <w:r>
        <w:rPr>
          <w:rFonts w:ascii="Times New Roman" w:eastAsia="Times New Roman"/>
        </w:rPr>
        <w:t>8 </w:t>
      </w:r>
      <w:r>
        <w:rPr/>
        <w:t>日开放日常申购、赎回、转换、定期定额申购业务。</w:t>
      </w:r>
    </w:p>
    <w:p>
      <w:pPr>
        <w:pStyle w:val="BodyText"/>
        <w:spacing w:before="7"/>
        <w:rPr>
          <w:sz w:val="15"/>
        </w:rPr>
      </w:pPr>
    </w:p>
    <w:p>
      <w:pPr>
        <w:pStyle w:val="BodyText"/>
        <w:spacing w:line="417" w:lineRule="auto"/>
        <w:ind w:left="540" w:right="311" w:firstLine="419"/>
      </w:pPr>
      <w:r>
        <w:rPr/>
        <w:t>基金管理人不得在基金合同约定之外的日期或者时间办理基金份额的申购或者赎回或</w:t>
      </w:r>
      <w:r>
        <w:rPr>
          <w:spacing w:val="-10"/>
        </w:rPr>
        <w:t>者转换。投资人在基金合同约定之外的日期和时间提出申购、赎回或转换申请且登记机构确</w:t>
      </w:r>
    </w:p>
    <w:p>
      <w:pPr>
        <w:spacing w:after="0" w:line="417" w:lineRule="auto"/>
        <w:sectPr>
          <w:pgSz w:w="11910" w:h="16840"/>
          <w:pgMar w:header="877" w:footer="995" w:top="1420" w:bottom="1180" w:left="1260" w:right="1480"/>
        </w:sectPr>
      </w:pPr>
    </w:p>
    <w:p>
      <w:pPr>
        <w:pStyle w:val="BodyText"/>
        <w:spacing w:before="110"/>
        <w:ind w:left="540"/>
      </w:pPr>
      <w:r>
        <w:rPr/>
        <w:t>认接受的，其基金份额申购、赎回价格为下一开放日基金份额申购、赎回的价格。</w:t>
      </w:r>
    </w:p>
    <w:p>
      <w:pPr>
        <w:pStyle w:val="BodyText"/>
        <w:spacing w:before="6"/>
        <w:rPr>
          <w:sz w:val="15"/>
        </w:rPr>
      </w:pPr>
    </w:p>
    <w:p>
      <w:pPr>
        <w:pStyle w:val="BodyText"/>
        <w:ind w:left="960"/>
      </w:pPr>
      <w:r>
        <w:rPr/>
        <w:t>（三）申购和赎回的原则</w:t>
      </w:r>
    </w:p>
    <w:p>
      <w:pPr>
        <w:pStyle w:val="BodyText"/>
        <w:spacing w:before="7"/>
        <w:rPr>
          <w:sz w:val="15"/>
        </w:rPr>
      </w:pPr>
    </w:p>
    <w:p>
      <w:pPr>
        <w:pStyle w:val="BodyText"/>
        <w:spacing w:line="417" w:lineRule="auto"/>
        <w:ind w:left="540" w:right="31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line="269" w:lineRule="exact"/>
        <w:ind w:left="96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7"/>
        <w:rPr>
          <w:sz w:val="15"/>
        </w:rPr>
      </w:pPr>
    </w:p>
    <w:p>
      <w:pPr>
        <w:pStyle w:val="BodyText"/>
        <w:ind w:left="96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96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7"/>
        <w:rPr>
          <w:sz w:val="15"/>
        </w:rPr>
      </w:pPr>
    </w:p>
    <w:p>
      <w:pPr>
        <w:pStyle w:val="BodyText"/>
        <w:spacing w:line="417" w:lineRule="auto"/>
        <w:ind w:left="540" w:right="314" w:firstLine="419"/>
      </w:pPr>
      <w:r>
        <w:rPr>
          <w:rFonts w:ascii="Times New Roman" w:eastAsia="Times New Roman"/>
        </w:rPr>
        <w:t>5</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540" w:right="31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spacing w:line="269" w:lineRule="exact"/>
        <w:ind w:left="960"/>
      </w:pPr>
      <w:r>
        <w:rPr/>
        <w:t>（四）申购和赎回的数额限制</w:t>
      </w:r>
    </w:p>
    <w:p>
      <w:pPr>
        <w:pStyle w:val="BodyText"/>
        <w:spacing w:before="6"/>
        <w:rPr>
          <w:sz w:val="15"/>
        </w:rPr>
      </w:pPr>
    </w:p>
    <w:p>
      <w:pPr>
        <w:pStyle w:val="BodyText"/>
        <w:spacing w:line="417" w:lineRule="auto"/>
        <w:ind w:left="540" w:right="209" w:firstLine="419"/>
      </w:pPr>
      <w:r>
        <w:rPr>
          <w:rFonts w:ascii="Times New Roman" w:eastAsia="Times New Roman"/>
        </w:rPr>
        <w:t>1</w:t>
      </w:r>
      <w:r>
        <w:rPr>
          <w:spacing w:val="-3"/>
        </w:rPr>
        <w:t>、投资者通过直销机构或华夏财富办理本基金的申购及赎回业务，每次最低申购金额为</w:t>
      </w:r>
      <w:r>
        <w:rPr>
          <w:rFonts w:ascii="Times New Roman" w:eastAsia="Times New Roman"/>
          <w:spacing w:val="-3"/>
        </w:rPr>
        <w:t>1.00</w:t>
      </w:r>
      <w:r>
        <w:rPr>
          <w:spacing w:val="-32"/>
        </w:rPr>
        <w:t>元</w:t>
      </w:r>
      <w:r>
        <w:rPr>
          <w:spacing w:val="-3"/>
        </w:rPr>
        <w:t>（含申购费</w:t>
      </w:r>
      <w:r>
        <w:rPr>
          <w:spacing w:val="-70"/>
        </w:rPr>
        <w:t>）</w:t>
      </w:r>
      <w:r>
        <w:rPr>
          <w:spacing w:val="-10"/>
        </w:rPr>
        <w:t>，每次赎回申请不得低于</w:t>
      </w:r>
      <w:r>
        <w:rPr>
          <w:rFonts w:ascii="Times New Roman" w:eastAsia="Times New Roman"/>
        </w:rPr>
        <w:t>1.00</w:t>
      </w:r>
      <w:r>
        <w:rPr>
          <w:spacing w:val="-7"/>
        </w:rPr>
        <w:t>份基金份额。基金份额持有人赎回时或赎回后在直销机构或华夏财富保留的基金份额余额不足</w:t>
      </w:r>
      <w:r>
        <w:rPr>
          <w:rFonts w:ascii="Times New Roman" w:eastAsia="Times New Roman"/>
        </w:rPr>
        <w:t>1.00</w:t>
      </w:r>
      <w:r>
        <w:rPr>
          <w:spacing w:val="-1"/>
        </w:rPr>
        <w:t>份的，在赎回时需一次全部赎回。</w:t>
      </w:r>
      <w:r>
        <w:rPr>
          <w:spacing w:val="-3"/>
        </w:rPr>
        <w:t>具体业务办理请遵循基金管理人直销机构及华夏财富的相关规定。</w:t>
      </w:r>
    </w:p>
    <w:p>
      <w:pPr>
        <w:pStyle w:val="BodyText"/>
        <w:spacing w:line="417" w:lineRule="auto"/>
        <w:ind w:left="540" w:right="311" w:firstLine="419"/>
        <w:jc w:val="both"/>
      </w:pPr>
      <w:r>
        <w:rPr>
          <w:rFonts w:ascii="Times New Roman" w:eastAsia="Times New Roman"/>
        </w:rPr>
        <w:t>2</w:t>
      </w:r>
      <w:r>
        <w:rPr>
          <w:spacing w:val="-3"/>
        </w:rPr>
        <w:t>、投资者通过其他代销机构办理本基金的申购及赎回业务，每次最低申购金额、每次</w:t>
      </w:r>
      <w:r>
        <w:rPr>
          <w:spacing w:val="-8"/>
        </w:rPr>
        <w:t>最低赎回份额、基金份额持有人赎回时或赎回后在该代销机构</w:t>
      </w:r>
      <w:r>
        <w:rPr>
          <w:spacing w:val="-3"/>
        </w:rPr>
        <w:t>（</w:t>
      </w:r>
      <w:r>
        <w:rPr>
          <w:spacing w:val="-2"/>
        </w:rPr>
        <w:t>网点</w:t>
      </w:r>
      <w:r>
        <w:rPr>
          <w:spacing w:val="-32"/>
        </w:rPr>
        <w:t>）</w:t>
      </w:r>
      <w:r>
        <w:rPr>
          <w:spacing w:val="-3"/>
        </w:rPr>
        <w:t>保留的最低基金份额余额以各代销机构的规定为准。具体业务办理请遵循各代销机构的相关规定。</w:t>
      </w:r>
    </w:p>
    <w:p>
      <w:pPr>
        <w:pStyle w:val="BodyText"/>
        <w:spacing w:line="417" w:lineRule="auto"/>
        <w:ind w:left="540" w:right="31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540" w:right="314"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960"/>
      </w:pPr>
      <w:r>
        <w:rPr/>
        <w:t>（五）申购和赎回的程序</w:t>
      </w:r>
    </w:p>
    <w:p>
      <w:pPr>
        <w:pStyle w:val="BodyText"/>
        <w:spacing w:before="6"/>
        <w:rPr>
          <w:sz w:val="15"/>
        </w:rPr>
      </w:pPr>
    </w:p>
    <w:p>
      <w:pPr>
        <w:pStyle w:val="BodyText"/>
        <w:spacing w:before="1"/>
        <w:ind w:left="960"/>
      </w:pPr>
      <w:r>
        <w:rPr>
          <w:rFonts w:ascii="Times New Roman" w:eastAsia="Times New Roman"/>
        </w:rPr>
        <w:t>1</w:t>
      </w:r>
      <w:r>
        <w:rPr/>
        <w:t>、申购和赎回的申请方式</w:t>
      </w:r>
    </w:p>
    <w:p>
      <w:pPr>
        <w:pStyle w:val="BodyText"/>
        <w:spacing w:before="6"/>
        <w:rPr>
          <w:sz w:val="15"/>
        </w:rPr>
      </w:pPr>
    </w:p>
    <w:p>
      <w:pPr>
        <w:pStyle w:val="BodyText"/>
        <w:spacing w:line="417" w:lineRule="auto"/>
        <w:ind w:left="540" w:right="311" w:firstLine="419"/>
      </w:pPr>
      <w:r>
        <w:rPr>
          <w:spacing w:val="-9"/>
        </w:rPr>
        <w:t>投资人必须根据销售机构规定的程序，在开放日的具体业务办理时间内提出申购或赎回</w:t>
      </w:r>
      <w:r>
        <w:rPr>
          <w:spacing w:val="-6"/>
        </w:rPr>
        <w:t>的申请。</w:t>
      </w:r>
    </w:p>
    <w:p>
      <w:pPr>
        <w:pStyle w:val="BodyText"/>
        <w:ind w:left="960"/>
      </w:pPr>
      <w:r>
        <w:rPr>
          <w:rFonts w:ascii="Times New Roman" w:eastAsia="Times New Roman"/>
        </w:rPr>
        <w:t>2</w:t>
      </w:r>
      <w:r>
        <w:rPr/>
        <w:t>、申购和赎回的款项支付</w:t>
      </w:r>
    </w:p>
    <w:p>
      <w:pPr>
        <w:pStyle w:val="BodyText"/>
        <w:spacing w:before="7"/>
        <w:rPr>
          <w:sz w:val="15"/>
        </w:rPr>
      </w:pPr>
    </w:p>
    <w:p>
      <w:pPr>
        <w:pStyle w:val="BodyText"/>
        <w:ind w:left="960"/>
      </w:pPr>
      <w:r>
        <w:rPr/>
        <w:t>投资人申购基金份额时，必须全额交付申购款项，投资人交付款项，申购成立，申购是</w:t>
      </w:r>
    </w:p>
    <w:p>
      <w:pPr>
        <w:spacing w:after="0"/>
        <w:sectPr>
          <w:pgSz w:w="11910" w:h="16840"/>
          <w:pgMar w:header="877" w:footer="995" w:top="1420" w:bottom="1180" w:left="1260" w:right="1480"/>
        </w:sectPr>
      </w:pPr>
    </w:p>
    <w:p>
      <w:pPr>
        <w:pStyle w:val="BodyText"/>
        <w:spacing w:before="110"/>
        <w:ind w:left="540"/>
      </w:pPr>
      <w:r>
        <w:rPr/>
        <w:t>否生效以基金登记机构确认为准。</w:t>
      </w:r>
    </w:p>
    <w:p>
      <w:pPr>
        <w:pStyle w:val="BodyText"/>
        <w:spacing w:before="6"/>
        <w:rPr>
          <w:sz w:val="15"/>
        </w:rPr>
      </w:pPr>
    </w:p>
    <w:p>
      <w:pPr>
        <w:pStyle w:val="BodyText"/>
        <w:spacing w:line="417" w:lineRule="auto"/>
        <w:ind w:left="540" w:right="31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spacing w:line="269" w:lineRule="exact"/>
        <w:ind w:left="960"/>
      </w:pPr>
      <w:r>
        <w:rPr>
          <w:rFonts w:ascii="Times New Roman" w:eastAsia="Times New Roman"/>
        </w:rPr>
        <w:t>3</w:t>
      </w:r>
      <w:r>
        <w:rPr/>
        <w:t>、申购和赎回申请的确认</w:t>
      </w:r>
    </w:p>
    <w:p>
      <w:pPr>
        <w:pStyle w:val="BodyText"/>
        <w:spacing w:before="7"/>
        <w:rPr>
          <w:sz w:val="15"/>
        </w:rPr>
      </w:pPr>
    </w:p>
    <w:p>
      <w:pPr>
        <w:pStyle w:val="BodyText"/>
        <w:spacing w:line="417" w:lineRule="auto"/>
        <w:ind w:left="540" w:right="31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540" w:right="20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投资者应及时查询。</w:t>
      </w:r>
    </w:p>
    <w:p>
      <w:pPr>
        <w:pStyle w:val="BodyText"/>
        <w:spacing w:line="417" w:lineRule="auto"/>
        <w:ind w:left="540" w:right="314" w:firstLine="419"/>
      </w:pPr>
      <w:r>
        <w:rPr>
          <w:rFonts w:ascii="Times New Roman" w:eastAsia="Times New Roman"/>
        </w:rPr>
        <w:t>4</w:t>
      </w:r>
      <w:r>
        <w:rPr/>
        <w:t>、基金管理人可以在不违反法律法规的前提下，对上述业务办理时间进行调整，并提前公告。</w:t>
      </w:r>
    </w:p>
    <w:p>
      <w:pPr>
        <w:pStyle w:val="BodyText"/>
        <w:ind w:left="960"/>
      </w:pPr>
      <w:r>
        <w:rPr/>
        <w:t>（六）申购费与赎回费</w:t>
      </w:r>
    </w:p>
    <w:p>
      <w:pPr>
        <w:pStyle w:val="BodyText"/>
        <w:spacing w:before="6"/>
        <w:rPr>
          <w:sz w:val="15"/>
        </w:rPr>
      </w:pPr>
    </w:p>
    <w:p>
      <w:pPr>
        <w:pStyle w:val="BodyText"/>
        <w:spacing w:line="417" w:lineRule="auto"/>
        <w:ind w:left="540" w:right="314" w:firstLine="419"/>
      </w:pPr>
      <w:r>
        <w:rPr/>
        <w:pict>
          <v:group style="position:absolute;margin-left:153.139999pt;margin-top:41.819996pt;width:288.45pt;height:123.05pt;mso-position-horizontal-relative:page;mso-position-vertical-relative:paragraph;z-index:-259828736" coordorigin="3063,836" coordsize="5769,2461">
            <v:line style="position:absolute" from="3077,851" to="7245,851" stroked="true" strokeweight="1.44pt" strokecolor="#000000">
              <v:stroke dashstyle="solid"/>
            </v:line>
            <v:shape style="position:absolute;left:7244;top:865;width:10;height:3" type="#_x0000_t75" stroked="false">
              <v:imagedata r:id="rId7" o:title=""/>
            </v:shape>
            <v:rect style="position:absolute;left:7244;top:836;width:29;height:29" filled="true" fillcolor="#000000" stroked="false">
              <v:fill type="solid"/>
            </v:rect>
            <v:line style="position:absolute" from="7273,851" to="8831,851" stroked="true" strokeweight="1.44pt" strokecolor="#000000">
              <v:stroke dashstyle="solid"/>
            </v:line>
            <v:shape style="position:absolute;left:7244;top:867;width:10;height:466" type="#_x0000_t75" stroked="false">
              <v:imagedata r:id="rId164" o:title=""/>
            </v:shape>
            <v:line style="position:absolute" from="3077,1348" to="7245,1348" stroked="true" strokeweight="1.44pt" strokecolor="#000000">
              <v:stroke dashstyle="solid"/>
            </v:line>
            <v:shape style="position:absolute;left:7244;top:1333;width:10;height:32" type="#_x0000_t75" stroked="false">
              <v:imagedata r:id="rId165" o:title=""/>
            </v:shape>
            <v:line style="position:absolute" from="7254,1348" to="8831,1348" stroked="true" strokeweight="1.44pt" strokecolor="#000000">
              <v:stroke dashstyle="solid"/>
            </v:line>
            <v:shape style="position:absolute;left:3077;top:1364;width:5754;height:956" type="#_x0000_t75" stroked="false">
              <v:imagedata r:id="rId166" o:title=""/>
            </v:shape>
            <v:shape style="position:absolute;left:7244;top:2310;width:1587;height:10" type="#_x0000_t75" stroked="false">
              <v:imagedata r:id="rId167" o:title=""/>
            </v:shape>
            <v:shape style="position:absolute;left:7244;top:2319;width:10;height:432" coordorigin="7245,2320" coordsize="10,432" path="m7254,2608l7245,2608,7245,2656,7245,2704,7245,2752,7254,2752,7254,2704,7254,2656,7254,2608m7254,2512l7245,2512,7245,2560,7245,2608,7254,2608,7254,2560,7254,2512m7254,2368l7245,2368,7245,2416,7245,2464,7245,2512,7254,2512,7254,2464,7254,2416,7254,2368m7254,2320l7245,2320,7245,2368,7254,2368,7254,2320e" filled="true" fillcolor="#000000" stroked="false">
              <v:path arrowok="t"/>
              <v:fill type="solid"/>
            </v:shape>
            <v:shape style="position:absolute;left:3077;top:2787;width:4168;height:10" type="#_x0000_t75" stroked="false">
              <v:imagedata r:id="rId168" o:title=""/>
            </v:shape>
            <v:shape style="position:absolute;left:7244;top:2787;width:1587;height:10" type="#_x0000_t75" stroked="false">
              <v:imagedata r:id="rId169" o:title=""/>
            </v:shape>
            <v:shape style="position:absolute;left:7244;top:2797;width:10;height:385" coordorigin="7245,2797" coordsize="10,385" path="m7254,3038l7245,3038,7245,3086,7245,3134,7245,3182,7254,3182,7254,3134,7254,3086,7254,3038m7254,2894l7245,2894,7245,2942,7245,2990,7245,3038,7254,3038,7254,2990,7254,2942,7254,2894m7254,2845l7245,2845,7245,2894,7254,2894,7254,2845m7254,2797l7245,2797,7245,2845,7254,2845,7254,2797e" filled="true" fillcolor="#000000" stroked="false">
              <v:path arrowok="t"/>
              <v:fill type="solid"/>
            </v:shape>
            <v:line style="position:absolute" from="3063,3283" to="7245,3283" stroked="true" strokeweight="1.44pt" strokecolor="#000000">
              <v:stroke dashstyle="solid"/>
            </v:line>
            <v:shape style="position:absolute;left:7249;top:2319;width:2;height:949" coordorigin="7249,2320" coordsize="0,949" path="m7249,3268l7249,2320,7249,3268xe" filled="true" fillcolor="#000000" stroked="false">
              <v:path arrowok="t"/>
              <v:fill type="solid"/>
            </v:shape>
            <v:rect style="position:absolute;left:7244;top:3268;width:29;height:29" filled="true" fillcolor="#000000" stroked="false">
              <v:fill type="solid"/>
            </v:rect>
            <v:line style="position:absolute" from="7273,3283" to="8831,3283" stroked="true" strokeweight="1.44pt" strokecolor="#000000">
              <v:stroke dashstyle="solid"/>
            </v:line>
            <v:shape style="position:absolute;left:4109;top:993;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993;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558;top:1485;width:123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100 </w:t>
                    </w:r>
                    <w:r>
                      <w:rPr>
                        <w:sz w:val="21"/>
                      </w:rPr>
                      <w:t>万元以下</w:t>
                    </w:r>
                  </w:p>
                </w:txbxContent>
              </v:textbox>
              <w10:wrap type="none"/>
            </v:shape>
            <v:shape style="position:absolute;left:7820;top:148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3185;top:1963;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100 </w:t>
                    </w:r>
                    <w:r>
                      <w:rPr>
                        <w:spacing w:val="-3"/>
                        <w:sz w:val="21"/>
                      </w:rPr>
                      <w:t>万元以上（</w:t>
                    </w:r>
                    <w:r>
                      <w:rPr>
                        <w:spacing w:val="-25"/>
                        <w:sz w:val="21"/>
                      </w:rPr>
                      <w:t>含 </w:t>
                    </w:r>
                    <w:r>
                      <w:rPr>
                        <w:rFonts w:ascii="Times New Roman" w:eastAsia="Times New Roman"/>
                        <w:sz w:val="21"/>
                      </w:rPr>
                      <w:t>100 </w:t>
                    </w:r>
                    <w:r>
                      <w:rPr>
                        <w:spacing w:val="-2"/>
                        <w:sz w:val="21"/>
                      </w:rPr>
                      <w:t>万元</w:t>
                    </w:r>
                    <w:r>
                      <w:rPr>
                        <w:sz w:val="21"/>
                      </w:rPr>
                      <w:t>）</w:t>
                    </w:r>
                    <w:r>
                      <w:rPr>
                        <w:rFonts w:ascii="Times New Roman" w:eastAsia="Times New Roman"/>
                        <w:sz w:val="21"/>
                      </w:rPr>
                      <w:t>-200 </w:t>
                    </w:r>
                    <w:r>
                      <w:rPr>
                        <w:spacing w:val="-3"/>
                        <w:sz w:val="21"/>
                      </w:rPr>
                      <w:t>万元以下</w:t>
                    </w:r>
                  </w:p>
                </w:txbxContent>
              </v:textbox>
              <w10:wrap type="none"/>
            </v:shape>
            <v:shape style="position:absolute;left:7820;top:1961;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3185;top:2441;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 </w:t>
                    </w:r>
                    <w:r>
                      <w:rPr>
                        <w:spacing w:val="-3"/>
                        <w:sz w:val="21"/>
                      </w:rPr>
                      <w:t>万元以上（</w:t>
                    </w:r>
                    <w:r>
                      <w:rPr>
                        <w:spacing w:val="-25"/>
                        <w:sz w:val="21"/>
                      </w:rPr>
                      <w:t>含 </w:t>
                    </w:r>
                    <w:r>
                      <w:rPr>
                        <w:rFonts w:ascii="Times New Roman" w:eastAsia="Times New Roman"/>
                        <w:sz w:val="21"/>
                      </w:rPr>
                      <w:t>200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820;top:2438;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3824;top:2919;width:270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p>
                </w:txbxContent>
              </v:textbox>
              <w10:wrap type="none"/>
            </v:shape>
            <v:shape style="position:absolute;left:7357;top:2919;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none"/>
          </v:group>
        </w:pict>
      </w:r>
      <w:r>
        <w:rPr>
          <w:rFonts w:ascii="Times New Roman" w:eastAsia="Times New Roman"/>
        </w:rPr>
        <w:t>1</w:t>
      </w:r>
      <w:r>
        <w:rPr/>
        <w:t>、本基金申购费由申购人承担，用于市场推广、销售、登记结算等各项费用。投资者在申购本基金时需交纳前端申购费，费率按申购金额递减，具体如下：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5"/>
        </w:rPr>
      </w:pPr>
    </w:p>
    <w:p>
      <w:pPr>
        <w:pStyle w:val="BodyText"/>
        <w:spacing w:before="78"/>
        <w:ind w:left="960"/>
      </w:pPr>
      <w:r>
        <w:rPr/>
        <w:pict>
          <v:group style="position:absolute;margin-left:160.940002pt;margin-top:47.159992pt;width:273.55pt;height:120.15pt;mso-position-horizontal-relative:page;mso-position-vertical-relative:paragraph;z-index:-259827712" coordorigin="3219,943" coordsize="5471,2403">
            <v:shape style="position:absolute;left:7623;top:943;width:10;height:3" type="#_x0000_t75" stroked="false">
              <v:imagedata r:id="rId7" o:title=""/>
            </v:shape>
            <v:shape style="position:absolute;left:7623;top:945;width:10;height:466" type="#_x0000_t75" stroked="false">
              <v:imagedata r:id="rId170" o:title=""/>
            </v:shape>
            <v:shape style="position:absolute;left:7623;top:1411;width:10;height:32" type="#_x0000_t75" stroked="false">
              <v:imagedata r:id="rId171" o:title=""/>
            </v:shape>
            <v:shape style="position:absolute;left:3218;top:1442;width:5471;height:1904" type="#_x0000_t75" stroked="false">
              <v:imagedata r:id="rId172" o:title=""/>
            </v:shape>
            <w10:wrap type="none"/>
          </v:group>
        </w:pict>
      </w:r>
      <w:r>
        <w:rPr>
          <w:rFonts w:ascii="Times New Roman" w:eastAsia="Times New Roman"/>
        </w:rPr>
        <w:t>2</w:t>
      </w:r>
      <w:r>
        <w:rPr/>
        <w:t>、本基金赎回费由赎回人承担，在投资者赎回基金份额时收取。费率随基金份额的持</w:t>
      </w:r>
    </w:p>
    <w:p>
      <w:pPr>
        <w:pStyle w:val="BodyText"/>
        <w:spacing w:before="10"/>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8"/>
        <w:gridCol w:w="1382"/>
      </w:tblGrid>
      <w:tr>
        <w:trPr>
          <w:trHeight w:val="339" w:hRule="atLeast"/>
        </w:trPr>
        <w:tc>
          <w:tcPr>
            <w:tcW w:w="5558" w:type="dxa"/>
            <w:tcBorders>
              <w:bottom w:val="single" w:sz="12" w:space="0" w:color="000000"/>
            </w:tcBorders>
          </w:tcPr>
          <w:p>
            <w:pPr>
              <w:pStyle w:val="TableParagraph"/>
              <w:spacing w:line="241" w:lineRule="exact" w:before="0"/>
              <w:ind w:left="50"/>
              <w:rPr>
                <w:rFonts w:ascii="宋体" w:eastAsia="宋体" w:hint="eastAsia"/>
                <w:sz w:val="21"/>
              </w:rPr>
            </w:pPr>
            <w:r>
              <w:rPr>
                <w:rFonts w:ascii="宋体" w:eastAsia="宋体" w:hint="eastAsia"/>
                <w:sz w:val="21"/>
              </w:rPr>
              <w:t>有期限的增加而递减，具体如下：</w:t>
            </w:r>
          </w:p>
        </w:tc>
        <w:tc>
          <w:tcPr>
            <w:tcW w:w="1382" w:type="dxa"/>
            <w:tcBorders>
              <w:bottom w:val="single" w:sz="12" w:space="0" w:color="000000"/>
            </w:tcBorders>
          </w:tcPr>
          <w:p>
            <w:pPr>
              <w:pStyle w:val="TableParagraph"/>
              <w:spacing w:before="0"/>
              <w:rPr>
                <w:sz w:val="20"/>
              </w:rPr>
            </w:pPr>
          </w:p>
        </w:tc>
      </w:tr>
      <w:tr>
        <w:trPr>
          <w:trHeight w:val="466" w:hRule="atLeast"/>
        </w:trPr>
        <w:tc>
          <w:tcPr>
            <w:tcW w:w="5558" w:type="dxa"/>
            <w:tcBorders>
              <w:top w:val="single" w:sz="12" w:space="0" w:color="000000"/>
              <w:bottom w:val="single" w:sz="12" w:space="0" w:color="000000"/>
            </w:tcBorders>
          </w:tcPr>
          <w:p>
            <w:pPr>
              <w:pStyle w:val="TableParagraph"/>
              <w:spacing w:before="99"/>
              <w:ind w:left="3252"/>
              <w:rPr>
                <w:rFonts w:ascii="宋体" w:eastAsia="宋体" w:hint="eastAsia"/>
                <w:b/>
                <w:sz w:val="21"/>
              </w:rPr>
            </w:pPr>
            <w:r>
              <w:rPr>
                <w:rFonts w:ascii="宋体" w:eastAsia="宋体" w:hint="eastAsia"/>
                <w:b/>
                <w:sz w:val="21"/>
              </w:rPr>
              <w:t>持有期限</w:t>
            </w:r>
          </w:p>
        </w:tc>
        <w:tc>
          <w:tcPr>
            <w:tcW w:w="1382" w:type="dxa"/>
            <w:tcBorders>
              <w:top w:val="single" w:sz="12" w:space="0" w:color="000000"/>
              <w:bottom w:val="single" w:sz="12" w:space="0" w:color="000000"/>
            </w:tcBorders>
          </w:tcPr>
          <w:p>
            <w:pPr>
              <w:pStyle w:val="TableParagraph"/>
              <w:spacing w:before="99"/>
              <w:ind w:left="408" w:right="89"/>
              <w:jc w:val="center"/>
              <w:rPr>
                <w:rFonts w:ascii="宋体" w:eastAsia="宋体" w:hint="eastAsia"/>
                <w:b/>
                <w:sz w:val="21"/>
              </w:rPr>
            </w:pPr>
            <w:r>
              <w:rPr>
                <w:rFonts w:ascii="宋体" w:eastAsia="宋体" w:hint="eastAsia"/>
                <w:b/>
                <w:sz w:val="21"/>
              </w:rPr>
              <w:t>赎回费率</w:t>
            </w:r>
          </w:p>
        </w:tc>
      </w:tr>
      <w:tr>
        <w:trPr>
          <w:trHeight w:val="477" w:hRule="atLeast"/>
        </w:trPr>
        <w:tc>
          <w:tcPr>
            <w:tcW w:w="5558" w:type="dxa"/>
            <w:tcBorders>
              <w:top w:val="single" w:sz="12" w:space="0" w:color="000000"/>
            </w:tcBorders>
          </w:tcPr>
          <w:p>
            <w:pPr>
              <w:pStyle w:val="TableParagraph"/>
              <w:spacing w:before="101"/>
              <w:ind w:left="3278"/>
              <w:rPr>
                <w:rFonts w:ascii="宋体" w:eastAsia="宋体" w:hint="eastAsia"/>
                <w:sz w:val="21"/>
              </w:rPr>
            </w:pPr>
            <w:r>
              <w:rPr>
                <w:sz w:val="21"/>
              </w:rPr>
              <w:t>7 </w:t>
            </w:r>
            <w:r>
              <w:rPr>
                <w:rFonts w:ascii="宋体" w:eastAsia="宋体" w:hint="eastAsia"/>
                <w:sz w:val="21"/>
              </w:rPr>
              <w:t>天以内</w:t>
            </w:r>
          </w:p>
        </w:tc>
        <w:tc>
          <w:tcPr>
            <w:tcW w:w="1382" w:type="dxa"/>
            <w:tcBorders>
              <w:top w:val="single" w:sz="12" w:space="0" w:color="000000"/>
            </w:tcBorders>
          </w:tcPr>
          <w:p>
            <w:pPr>
              <w:pStyle w:val="TableParagraph"/>
              <w:spacing w:before="113"/>
              <w:ind w:left="408" w:right="86"/>
              <w:jc w:val="center"/>
              <w:rPr>
                <w:sz w:val="21"/>
              </w:rPr>
            </w:pPr>
            <w:r>
              <w:rPr>
                <w:sz w:val="21"/>
              </w:rPr>
              <w:t>1.5%</w:t>
            </w:r>
          </w:p>
        </w:tc>
      </w:tr>
      <w:tr>
        <w:trPr>
          <w:trHeight w:val="477" w:hRule="atLeast"/>
        </w:trPr>
        <w:tc>
          <w:tcPr>
            <w:tcW w:w="5558" w:type="dxa"/>
          </w:tcPr>
          <w:p>
            <w:pPr>
              <w:pStyle w:val="TableParagraph"/>
              <w:spacing w:before="101"/>
              <w:ind w:right="479"/>
              <w:jc w:val="right"/>
              <w:rPr>
                <w:rFonts w:ascii="宋体" w:eastAsia="宋体" w:hint="eastAsia"/>
                <w:sz w:val="21"/>
              </w:rPr>
            </w:pPr>
            <w:r>
              <w:rPr>
                <w:sz w:val="21"/>
              </w:rPr>
              <w:t>7 </w:t>
            </w:r>
            <w:r>
              <w:rPr>
                <w:rFonts w:ascii="宋体" w:eastAsia="宋体" w:hint="eastAsia"/>
                <w:sz w:val="21"/>
              </w:rPr>
              <w:t>天以上（含 </w:t>
            </w:r>
            <w:r>
              <w:rPr>
                <w:sz w:val="21"/>
              </w:rPr>
              <w:t>7 </w:t>
            </w:r>
            <w:r>
              <w:rPr>
                <w:rFonts w:ascii="宋体" w:eastAsia="宋体" w:hint="eastAsia"/>
                <w:sz w:val="21"/>
              </w:rPr>
              <w:t>天）</w:t>
            </w:r>
            <w:r>
              <w:rPr>
                <w:sz w:val="21"/>
              </w:rPr>
              <w:t>-30 </w:t>
            </w:r>
            <w:r>
              <w:rPr>
                <w:rFonts w:ascii="宋体" w:eastAsia="宋体" w:hint="eastAsia"/>
                <w:sz w:val="21"/>
              </w:rPr>
              <w:t>天以内</w:t>
            </w:r>
          </w:p>
        </w:tc>
        <w:tc>
          <w:tcPr>
            <w:tcW w:w="1382" w:type="dxa"/>
          </w:tcPr>
          <w:p>
            <w:pPr>
              <w:pStyle w:val="TableParagraph"/>
              <w:spacing w:before="113"/>
              <w:ind w:left="408" w:right="86"/>
              <w:jc w:val="center"/>
              <w:rPr>
                <w:sz w:val="21"/>
              </w:rPr>
            </w:pPr>
            <w:r>
              <w:rPr>
                <w:sz w:val="21"/>
              </w:rPr>
              <w:t>0.75%</w:t>
            </w:r>
          </w:p>
        </w:tc>
      </w:tr>
      <w:tr>
        <w:trPr>
          <w:trHeight w:val="477" w:hRule="atLeast"/>
        </w:trPr>
        <w:tc>
          <w:tcPr>
            <w:tcW w:w="5558" w:type="dxa"/>
          </w:tcPr>
          <w:p>
            <w:pPr>
              <w:pStyle w:val="TableParagraph"/>
              <w:spacing w:before="101"/>
              <w:ind w:right="427"/>
              <w:jc w:val="right"/>
              <w:rPr>
                <w:rFonts w:ascii="宋体" w:eastAsia="宋体" w:hint="eastAsia"/>
                <w:sz w:val="21"/>
              </w:rPr>
            </w:pPr>
            <w:r>
              <w:rPr>
                <w:sz w:val="21"/>
              </w:rPr>
              <w:t>30</w:t>
            </w:r>
            <w:r>
              <w:rPr>
                <w:rFonts w:ascii="宋体" w:eastAsia="宋体" w:hint="eastAsia"/>
                <w:sz w:val="21"/>
              </w:rPr>
              <w:t>天以上（含</w:t>
            </w:r>
            <w:r>
              <w:rPr>
                <w:sz w:val="21"/>
              </w:rPr>
              <w:t>30</w:t>
            </w:r>
            <w:r>
              <w:rPr>
                <w:rFonts w:ascii="宋体" w:eastAsia="宋体" w:hint="eastAsia"/>
                <w:sz w:val="21"/>
              </w:rPr>
              <w:t>天）</w:t>
            </w:r>
            <w:r>
              <w:rPr>
                <w:sz w:val="21"/>
              </w:rPr>
              <w:t>-365</w:t>
            </w:r>
            <w:r>
              <w:rPr>
                <w:rFonts w:ascii="宋体" w:eastAsia="宋体" w:hint="eastAsia"/>
                <w:sz w:val="21"/>
              </w:rPr>
              <w:t>天以内</w:t>
            </w:r>
          </w:p>
        </w:tc>
        <w:tc>
          <w:tcPr>
            <w:tcW w:w="1382" w:type="dxa"/>
          </w:tcPr>
          <w:p>
            <w:pPr>
              <w:pStyle w:val="TableParagraph"/>
              <w:spacing w:before="113"/>
              <w:ind w:left="408" w:right="86"/>
              <w:jc w:val="center"/>
              <w:rPr>
                <w:sz w:val="21"/>
              </w:rPr>
            </w:pPr>
            <w:r>
              <w:rPr>
                <w:sz w:val="21"/>
              </w:rPr>
              <w:t>0.5%</w:t>
            </w:r>
          </w:p>
        </w:tc>
      </w:tr>
      <w:tr>
        <w:trPr>
          <w:trHeight w:val="471" w:hRule="atLeast"/>
        </w:trPr>
        <w:tc>
          <w:tcPr>
            <w:tcW w:w="5558" w:type="dxa"/>
            <w:tcBorders>
              <w:bottom w:val="single" w:sz="12" w:space="0" w:color="000000"/>
            </w:tcBorders>
          </w:tcPr>
          <w:p>
            <w:pPr>
              <w:pStyle w:val="TableParagraph"/>
              <w:spacing w:before="101"/>
              <w:ind w:left="2544"/>
              <w:rPr>
                <w:rFonts w:ascii="宋体" w:eastAsia="宋体" w:hint="eastAsia"/>
                <w:sz w:val="21"/>
              </w:rPr>
            </w:pPr>
            <w:r>
              <w:rPr>
                <w:sz w:val="21"/>
              </w:rPr>
              <w:t>365 </w:t>
            </w:r>
            <w:r>
              <w:rPr>
                <w:rFonts w:ascii="宋体" w:eastAsia="宋体" w:hint="eastAsia"/>
                <w:sz w:val="21"/>
              </w:rPr>
              <w:t>天以上（含 </w:t>
            </w:r>
            <w:r>
              <w:rPr>
                <w:sz w:val="21"/>
              </w:rPr>
              <w:t>365 </w:t>
            </w:r>
            <w:r>
              <w:rPr>
                <w:rFonts w:ascii="宋体" w:eastAsia="宋体" w:hint="eastAsia"/>
                <w:sz w:val="21"/>
              </w:rPr>
              <w:t>天）</w:t>
            </w:r>
          </w:p>
        </w:tc>
        <w:tc>
          <w:tcPr>
            <w:tcW w:w="1382" w:type="dxa"/>
            <w:tcBorders>
              <w:bottom w:val="single" w:sz="12" w:space="0" w:color="000000"/>
            </w:tcBorders>
          </w:tcPr>
          <w:p>
            <w:pPr>
              <w:pStyle w:val="TableParagraph"/>
              <w:spacing w:before="113"/>
              <w:ind w:left="319"/>
              <w:jc w:val="center"/>
              <w:rPr>
                <w:sz w:val="21"/>
              </w:rPr>
            </w:pPr>
            <w:r>
              <w:rPr>
                <w:w w:val="100"/>
                <w:sz w:val="21"/>
              </w:rPr>
              <w:t>0</w:t>
            </w:r>
          </w:p>
        </w:tc>
      </w:tr>
    </w:tbl>
    <w:p>
      <w:pPr>
        <w:spacing w:after="0"/>
        <w:jc w:val="center"/>
        <w:rPr>
          <w:sz w:val="21"/>
        </w:rPr>
        <w:sectPr>
          <w:pgSz w:w="11910" w:h="16840"/>
          <w:pgMar w:header="877" w:footer="995" w:top="1420" w:bottom="1180" w:left="1260" w:right="1480"/>
        </w:sectPr>
      </w:pPr>
    </w:p>
    <w:p>
      <w:pPr>
        <w:pStyle w:val="BodyText"/>
        <w:spacing w:before="110"/>
        <w:ind w:right="311"/>
        <w:jc w:val="right"/>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6"/>
        <w:rPr>
          <w:sz w:val="15"/>
        </w:rPr>
      </w:pPr>
    </w:p>
    <w:p>
      <w:pPr>
        <w:pStyle w:val="BodyText"/>
        <w:ind w:right="313"/>
        <w:jc w:val="right"/>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7"/>
        <w:rPr>
          <w:sz w:val="15"/>
        </w:rPr>
      </w:pPr>
    </w:p>
    <w:p>
      <w:pPr>
        <w:pStyle w:val="BodyText"/>
        <w:ind w:right="313"/>
        <w:jc w:val="right"/>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7"/>
        <w:rPr>
          <w:sz w:val="15"/>
        </w:rPr>
      </w:pPr>
    </w:p>
    <w:p>
      <w:pPr>
        <w:pStyle w:val="BodyText"/>
        <w:ind w:right="310"/>
        <w:jc w:val="right"/>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3"/>
        <w:rPr>
          <w:rFonts w:ascii="Times New Roman"/>
          <w:sz w:val="17"/>
        </w:rPr>
      </w:pPr>
    </w:p>
    <w:p>
      <w:pPr>
        <w:pStyle w:val="BodyText"/>
        <w:ind w:left="540"/>
      </w:pPr>
      <w:r>
        <w:rPr/>
        <w:t>计入基金财产。</w:t>
      </w:r>
    </w:p>
    <w:p>
      <w:pPr>
        <w:pStyle w:val="BodyText"/>
        <w:spacing w:before="7"/>
        <w:rPr>
          <w:sz w:val="15"/>
        </w:rPr>
      </w:pPr>
    </w:p>
    <w:p>
      <w:pPr>
        <w:pStyle w:val="BodyText"/>
        <w:spacing w:line="417" w:lineRule="auto"/>
        <w:ind w:left="540" w:right="314"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540" w:right="31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pPr>
        <w:pStyle w:val="BodyText"/>
        <w:spacing w:line="417" w:lineRule="auto"/>
        <w:ind w:left="540" w:right="210"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9" w:lineRule="exact"/>
        <w:ind w:left="960"/>
      </w:pPr>
      <w:r>
        <w:rPr/>
        <w:t>（七）申购份额与赎回金额的计算方式</w:t>
      </w:r>
    </w:p>
    <w:p>
      <w:pPr>
        <w:pStyle w:val="BodyText"/>
        <w:spacing w:before="7"/>
        <w:rPr>
          <w:sz w:val="15"/>
        </w:rPr>
      </w:pPr>
    </w:p>
    <w:p>
      <w:pPr>
        <w:pStyle w:val="BodyText"/>
        <w:ind w:left="960"/>
      </w:pPr>
      <w:r>
        <w:rPr>
          <w:rFonts w:ascii="Times New Roman" w:eastAsia="Times New Roman"/>
        </w:rPr>
        <w:t>1</w:t>
      </w:r>
      <w:r>
        <w:rPr/>
        <w:t>、申购份额的计算</w:t>
      </w:r>
    </w:p>
    <w:p>
      <w:pPr>
        <w:pStyle w:val="BodyText"/>
        <w:spacing w:before="6"/>
        <w:rPr>
          <w:sz w:val="15"/>
        </w:rPr>
      </w:pPr>
    </w:p>
    <w:p>
      <w:pPr>
        <w:pStyle w:val="BodyText"/>
        <w:spacing w:line="417" w:lineRule="auto" w:before="1"/>
        <w:ind w:left="1380" w:right="3158" w:hanging="420"/>
      </w:pPr>
      <w:r>
        <w:rPr/>
        <w:t>申购费用适用比例费率时，申购份额的计算方法如下： 净申购金额＝申购金额</w:t>
      </w:r>
      <w:r>
        <w:rPr>
          <w:rFonts w:ascii="Times New Roman" w:eastAsia="Times New Roman"/>
        </w:rPr>
        <w:t>/</w:t>
      </w:r>
      <w:r>
        <w:rPr/>
        <w:t>（</w:t>
      </w:r>
      <w:r>
        <w:rPr>
          <w:rFonts w:ascii="Times New Roman" w:eastAsia="Times New Roman"/>
        </w:rPr>
        <w:t>1</w:t>
      </w:r>
      <w:r>
        <w:rPr/>
        <w:t>＋前端申购费率）</w:t>
      </w:r>
    </w:p>
    <w:p>
      <w:pPr>
        <w:pStyle w:val="BodyText"/>
        <w:spacing w:line="417" w:lineRule="auto"/>
        <w:ind w:left="1380" w:right="4022"/>
      </w:pPr>
      <w:r>
        <w:rPr>
          <w:spacing w:val="-2"/>
        </w:rPr>
        <w:t>前端申购费用</w:t>
      </w:r>
      <w:r>
        <w:rPr>
          <w:spacing w:val="-3"/>
        </w:rPr>
        <w:t>＝申购金额－净申购金额 申购份额＝净申购金额</w:t>
      </w:r>
      <w:r>
        <w:rPr>
          <w:rFonts w:ascii="Times New Roman" w:eastAsia="Times New Roman"/>
        </w:rPr>
        <w:t>/T</w:t>
      </w:r>
      <w:r>
        <w:rPr>
          <w:spacing w:val="-4"/>
        </w:rPr>
        <w:t>日基金份额净值</w:t>
      </w:r>
    </w:p>
    <w:p>
      <w:pPr>
        <w:pStyle w:val="BodyText"/>
        <w:spacing w:line="417" w:lineRule="auto"/>
        <w:ind w:left="1380" w:right="3369" w:hanging="420"/>
      </w:pPr>
      <w:r>
        <w:rPr/>
        <w:t>申购费用为固定金额时，申购份额的计算方法如下： 前端申购费用＝固定金额</w:t>
      </w:r>
    </w:p>
    <w:p>
      <w:pPr>
        <w:pStyle w:val="BodyText"/>
        <w:spacing w:line="417" w:lineRule="auto"/>
        <w:ind w:left="1380" w:right="4022"/>
      </w:pPr>
      <w:r>
        <w:rPr>
          <w:spacing w:val="-2"/>
        </w:rPr>
        <w:t>净申购金额</w:t>
      </w:r>
      <w:r>
        <w:rPr/>
        <w:t>＝</w:t>
      </w:r>
      <w:r>
        <w:rPr>
          <w:spacing w:val="-3"/>
        </w:rPr>
        <w:t>申购金额－前端申购费用 申购份额＝净申购金额</w:t>
      </w:r>
      <w:r>
        <w:rPr>
          <w:rFonts w:ascii="Times New Roman" w:eastAsia="Times New Roman"/>
        </w:rPr>
        <w:t>/T</w:t>
      </w:r>
      <w:r>
        <w:rPr>
          <w:spacing w:val="-4"/>
        </w:rPr>
        <w:t>日基金份额净值</w:t>
      </w:r>
    </w:p>
    <w:p>
      <w:pPr>
        <w:pStyle w:val="BodyText"/>
        <w:spacing w:line="417" w:lineRule="auto"/>
        <w:ind w:left="540" w:right="20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269" w:lineRule="exact"/>
        <w:ind w:left="960"/>
      </w:pPr>
      <w:r>
        <w:rPr/>
        <w:t>例一：假定</w:t>
      </w:r>
      <w:r>
        <w:rPr>
          <w:rFonts w:ascii="Times New Roman" w:eastAsia="Times New Roman"/>
        </w:rPr>
        <w:t>T</w:t>
      </w:r>
      <w:r>
        <w:rPr/>
        <w:t>日的基金份额净值为</w:t>
      </w:r>
      <w:r>
        <w:rPr>
          <w:rFonts w:ascii="Times New Roman" w:eastAsia="Times New Roman"/>
        </w:rPr>
        <w:t>1.230</w:t>
      </w:r>
      <w:r>
        <w:rPr/>
        <w:t>元，四笔申购金额分别为</w:t>
      </w:r>
      <w:r>
        <w:rPr>
          <w:rFonts w:ascii="Times New Roman" w:eastAsia="Times New Roman"/>
        </w:rPr>
        <w:t>1,000.00</w:t>
      </w:r>
      <w:r>
        <w:rPr/>
        <w:t>元、</w:t>
      </w:r>
      <w:r>
        <w:rPr>
          <w:rFonts w:ascii="Times New Roman" w:eastAsia="Times New Roman"/>
        </w:rPr>
        <w:t>100</w:t>
      </w:r>
      <w:r>
        <w:rPr/>
        <w:t>万元、</w:t>
      </w:r>
    </w:p>
    <w:p>
      <w:pPr>
        <w:pStyle w:val="BodyText"/>
        <w:spacing w:before="5"/>
        <w:rPr>
          <w:sz w:val="15"/>
        </w:rPr>
      </w:pPr>
    </w:p>
    <w:p>
      <w:pPr>
        <w:pStyle w:val="BodyText"/>
        <w:spacing w:before="1"/>
        <w:ind w:left="540"/>
      </w:pPr>
      <w:r>
        <w:rPr>
          <w:rFonts w:ascii="Times New Roman" w:eastAsia="Times New Roman"/>
        </w:rPr>
        <w:t>200</w:t>
      </w:r>
      <w:r>
        <w:rPr/>
        <w:t>万元和</w:t>
      </w:r>
      <w:r>
        <w:rPr>
          <w:rFonts w:ascii="Times New Roman" w:eastAsia="Times New Roman"/>
        </w:rPr>
        <w:t>500</w:t>
      </w:r>
      <w:r>
        <w:rPr/>
        <w:t>万元，则各笔申购负担的前端申购费用和获得的基金份额计算如下：</w:t>
      </w:r>
    </w:p>
    <w:p>
      <w:pPr>
        <w:pStyle w:val="BodyText"/>
        <w:spacing w:before="9"/>
        <w:rPr>
          <w:sz w:val="7"/>
        </w:rPr>
      </w:pPr>
    </w:p>
    <w:tbl>
      <w:tblPr>
        <w:tblW w:w="0" w:type="auto"/>
        <w:jc w:val="left"/>
        <w:tblInd w:w="1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50"/>
        <w:gridCol w:w="1287"/>
        <w:gridCol w:w="1560"/>
        <w:gridCol w:w="1546"/>
      </w:tblGrid>
      <w:tr>
        <w:trPr>
          <w:trHeight w:val="466" w:hRule="atLeast"/>
        </w:trPr>
        <w:tc>
          <w:tcPr>
            <w:tcW w:w="2650" w:type="dxa"/>
            <w:tcBorders>
              <w:left w:val="nil"/>
              <w:right w:val="single" w:sz="4" w:space="0" w:color="000000"/>
            </w:tcBorders>
          </w:tcPr>
          <w:p>
            <w:pPr>
              <w:pStyle w:val="TableParagraph"/>
              <w:spacing w:before="0"/>
              <w:rPr>
                <w:rFonts w:ascii="宋体"/>
                <w:sz w:val="20"/>
              </w:rPr>
            </w:pPr>
          </w:p>
          <w:p>
            <w:pPr>
              <w:pStyle w:val="TableParagraph"/>
              <w:spacing w:before="6"/>
              <w:rPr>
                <w:rFonts w:ascii="宋体"/>
                <w:sz w:val="16"/>
              </w:rPr>
            </w:pPr>
          </w:p>
          <w:p>
            <w:pPr>
              <w:pStyle w:val="TableParagraph"/>
              <w:spacing w:line="31" w:lineRule="exact" w:before="0"/>
              <w:ind w:left="2659" w:right="-72"/>
              <w:rPr>
                <w:rFonts w:ascii="宋体"/>
                <w:sz w:val="3"/>
              </w:rPr>
            </w:pPr>
            <w:r>
              <w:rPr>
                <w:rFonts w:ascii="宋体"/>
                <w:position w:val="0"/>
                <w:sz w:val="3"/>
              </w:rPr>
              <w:drawing>
                <wp:inline distT="0" distB="0" distL="0" distR="0">
                  <wp:extent cx="6095" cy="19812"/>
                  <wp:effectExtent l="0" t="0" r="0" b="0"/>
                  <wp:docPr id="5" name="image15.png"/>
                  <wp:cNvGraphicFramePr>
                    <a:graphicFrameLocks noChangeAspect="1"/>
                  </wp:cNvGraphicFramePr>
                  <a:graphic>
                    <a:graphicData uri="http://schemas.openxmlformats.org/drawingml/2006/picture">
                      <pic:pic>
                        <pic:nvPicPr>
                          <pic:cNvPr id="6" name="image15.png"/>
                          <pic:cNvPicPr/>
                        </pic:nvPicPr>
                        <pic:blipFill>
                          <a:blip r:embed="rId173" cstate="print"/>
                          <a:stretch>
                            <a:fillRect/>
                          </a:stretch>
                        </pic:blipFill>
                        <pic:spPr>
                          <a:xfrm>
                            <a:off x="0" y="0"/>
                            <a:ext cx="6095" cy="19812"/>
                          </a:xfrm>
                          <a:prstGeom prst="rect">
                            <a:avLst/>
                          </a:prstGeom>
                        </pic:spPr>
                      </pic:pic>
                    </a:graphicData>
                  </a:graphic>
                </wp:inline>
              </w:drawing>
            </w:r>
            <w:r>
              <w:rPr>
                <w:rFonts w:ascii="宋体"/>
                <w:position w:val="0"/>
                <w:sz w:val="3"/>
              </w:rPr>
            </w:r>
          </w:p>
        </w:tc>
        <w:tc>
          <w:tcPr>
            <w:tcW w:w="1287" w:type="dxa"/>
            <w:tcBorders>
              <w:left w:val="single" w:sz="4" w:space="0" w:color="000000"/>
              <w:right w:val="single" w:sz="4" w:space="0" w:color="000000"/>
            </w:tcBorders>
          </w:tcPr>
          <w:p>
            <w:pPr>
              <w:pStyle w:val="TableParagraph"/>
              <w:spacing w:before="99"/>
              <w:ind w:left="388"/>
              <w:rPr>
                <w:sz w:val="21"/>
              </w:rPr>
            </w:pPr>
            <w:r>
              <w:rPr>
                <w:rFonts w:ascii="宋体" w:eastAsia="宋体" w:hint="eastAsia"/>
                <w:sz w:val="21"/>
              </w:rPr>
              <w:t>申购</w:t>
            </w:r>
            <w:r>
              <w:rPr>
                <w:sz w:val="21"/>
              </w:rPr>
              <w:t>1</w:t>
            </w:r>
          </w:p>
          <w:p>
            <w:pPr>
              <w:pStyle w:val="TableParagraph"/>
              <w:spacing w:before="9"/>
              <w:rPr>
                <w:rFonts w:ascii="宋体"/>
                <w:sz w:val="7"/>
              </w:rPr>
            </w:pPr>
          </w:p>
          <w:p>
            <w:pPr>
              <w:pStyle w:val="TableParagraph"/>
              <w:spacing w:line="31" w:lineRule="exact" w:before="0"/>
              <w:ind w:left="1291" w:right="-72"/>
              <w:rPr>
                <w:rFonts w:ascii="宋体"/>
                <w:sz w:val="3"/>
              </w:rPr>
            </w:pPr>
            <w:r>
              <w:rPr>
                <w:rFonts w:ascii="宋体"/>
                <w:position w:val="0"/>
                <w:sz w:val="3"/>
              </w:rPr>
              <w:drawing>
                <wp:inline distT="0" distB="0" distL="0" distR="0">
                  <wp:extent cx="6096" cy="19812"/>
                  <wp:effectExtent l="0" t="0" r="0" b="0"/>
                  <wp:docPr id="7" name="image15.png"/>
                  <wp:cNvGraphicFramePr>
                    <a:graphicFrameLocks noChangeAspect="1"/>
                  </wp:cNvGraphicFramePr>
                  <a:graphic>
                    <a:graphicData uri="http://schemas.openxmlformats.org/drawingml/2006/picture">
                      <pic:pic>
                        <pic:nvPicPr>
                          <pic:cNvPr id="8" name="image15.png"/>
                          <pic:cNvPicPr/>
                        </pic:nvPicPr>
                        <pic:blipFill>
                          <a:blip r:embed="rId173" cstate="print"/>
                          <a:stretch>
                            <a:fillRect/>
                          </a:stretch>
                        </pic:blipFill>
                        <pic:spPr>
                          <a:xfrm>
                            <a:off x="0" y="0"/>
                            <a:ext cx="6096" cy="19812"/>
                          </a:xfrm>
                          <a:prstGeom prst="rect">
                            <a:avLst/>
                          </a:prstGeom>
                        </pic:spPr>
                      </pic:pic>
                    </a:graphicData>
                  </a:graphic>
                </wp:inline>
              </w:drawing>
            </w:r>
            <w:r>
              <w:rPr>
                <w:rFonts w:ascii="宋体"/>
                <w:position w:val="0"/>
                <w:sz w:val="3"/>
              </w:rPr>
            </w:r>
          </w:p>
        </w:tc>
        <w:tc>
          <w:tcPr>
            <w:tcW w:w="1560" w:type="dxa"/>
            <w:tcBorders>
              <w:left w:val="single" w:sz="4" w:space="0" w:color="000000"/>
              <w:right w:val="single" w:sz="4" w:space="0" w:color="000000"/>
            </w:tcBorders>
          </w:tcPr>
          <w:p>
            <w:pPr>
              <w:pStyle w:val="TableParagraph"/>
              <w:spacing w:before="99"/>
              <w:ind w:left="525"/>
              <w:rPr>
                <w:sz w:val="21"/>
              </w:rPr>
            </w:pPr>
            <w:r>
              <w:rPr>
                <w:rFonts w:ascii="宋体" w:eastAsia="宋体" w:hint="eastAsia"/>
                <w:sz w:val="21"/>
              </w:rPr>
              <w:t>申购</w:t>
            </w:r>
            <w:r>
              <w:rPr>
                <w:sz w:val="21"/>
              </w:rPr>
              <w:t>2</w:t>
            </w:r>
          </w:p>
          <w:p>
            <w:pPr>
              <w:pStyle w:val="TableParagraph"/>
              <w:spacing w:before="9"/>
              <w:rPr>
                <w:rFonts w:ascii="宋体"/>
                <w:sz w:val="7"/>
              </w:rPr>
            </w:pPr>
          </w:p>
          <w:p>
            <w:pPr>
              <w:pStyle w:val="TableParagraph"/>
              <w:spacing w:line="31" w:lineRule="exact" w:before="0"/>
              <w:ind w:left="1564" w:right="-72"/>
              <w:rPr>
                <w:rFonts w:ascii="宋体"/>
                <w:sz w:val="3"/>
              </w:rPr>
            </w:pPr>
            <w:r>
              <w:rPr>
                <w:rFonts w:ascii="宋体"/>
                <w:position w:val="0"/>
                <w:sz w:val="3"/>
              </w:rPr>
              <w:drawing>
                <wp:inline distT="0" distB="0" distL="0" distR="0">
                  <wp:extent cx="6096" cy="19812"/>
                  <wp:effectExtent l="0" t="0" r="0" b="0"/>
                  <wp:docPr id="9" name="image15.png"/>
                  <wp:cNvGraphicFramePr>
                    <a:graphicFrameLocks noChangeAspect="1"/>
                  </wp:cNvGraphicFramePr>
                  <a:graphic>
                    <a:graphicData uri="http://schemas.openxmlformats.org/drawingml/2006/picture">
                      <pic:pic>
                        <pic:nvPicPr>
                          <pic:cNvPr id="10" name="image15.png"/>
                          <pic:cNvPicPr/>
                        </pic:nvPicPr>
                        <pic:blipFill>
                          <a:blip r:embed="rId173" cstate="print"/>
                          <a:stretch>
                            <a:fillRect/>
                          </a:stretch>
                        </pic:blipFill>
                        <pic:spPr>
                          <a:xfrm>
                            <a:off x="0" y="0"/>
                            <a:ext cx="6096" cy="19812"/>
                          </a:xfrm>
                          <a:prstGeom prst="rect">
                            <a:avLst/>
                          </a:prstGeom>
                        </pic:spPr>
                      </pic:pic>
                    </a:graphicData>
                  </a:graphic>
                </wp:inline>
              </w:drawing>
            </w:r>
            <w:r>
              <w:rPr>
                <w:rFonts w:ascii="宋体"/>
                <w:position w:val="0"/>
                <w:sz w:val="3"/>
              </w:rPr>
            </w:r>
          </w:p>
        </w:tc>
        <w:tc>
          <w:tcPr>
            <w:tcW w:w="1546" w:type="dxa"/>
            <w:tcBorders>
              <w:left w:val="single" w:sz="4" w:space="0" w:color="000000"/>
              <w:right w:val="nil"/>
            </w:tcBorders>
          </w:tcPr>
          <w:p>
            <w:pPr>
              <w:pStyle w:val="TableParagraph"/>
              <w:spacing w:before="99"/>
              <w:ind w:left="518"/>
              <w:rPr>
                <w:sz w:val="21"/>
              </w:rPr>
            </w:pPr>
            <w:r>
              <w:rPr>
                <w:rFonts w:ascii="宋体" w:eastAsia="宋体" w:hint="eastAsia"/>
                <w:sz w:val="21"/>
              </w:rPr>
              <w:t>申购</w:t>
            </w:r>
            <w:r>
              <w:rPr>
                <w:sz w:val="21"/>
              </w:rPr>
              <w:t>3</w:t>
            </w:r>
          </w:p>
        </w:tc>
      </w:tr>
      <w:tr>
        <w:trPr>
          <w:trHeight w:val="437" w:hRule="atLeast"/>
        </w:trPr>
        <w:tc>
          <w:tcPr>
            <w:tcW w:w="2650" w:type="dxa"/>
            <w:tcBorders>
              <w:left w:val="nil"/>
              <w:bottom w:val="nil"/>
              <w:right w:val="single" w:sz="4" w:space="0" w:color="000000"/>
            </w:tcBorders>
          </w:tcPr>
          <w:p>
            <w:pPr>
              <w:pStyle w:val="TableParagraph"/>
              <w:spacing w:before="70"/>
              <w:ind w:left="451"/>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p>
            <w:pPr>
              <w:pStyle w:val="TableParagraph"/>
              <w:spacing w:before="9"/>
              <w:rPr>
                <w:rFonts w:ascii="宋体"/>
                <w:sz w:val="7"/>
              </w:rPr>
            </w:pPr>
          </w:p>
          <w:p>
            <w:pPr>
              <w:pStyle w:val="TableParagraph"/>
              <w:spacing w:line="20" w:lineRule="exact" w:before="0"/>
              <w:ind w:right="-44"/>
              <w:rPr>
                <w:rFonts w:ascii="宋体"/>
                <w:sz w:val="2"/>
              </w:rPr>
            </w:pPr>
            <w:r>
              <w:rPr>
                <w:rFonts w:ascii="宋体"/>
                <w:sz w:val="2"/>
              </w:rPr>
              <w:drawing>
                <wp:inline distT="0" distB="0" distL="0" distR="0">
                  <wp:extent cx="1676641" cy="6096"/>
                  <wp:effectExtent l="0" t="0" r="0" b="0"/>
                  <wp:docPr id="11" name="image16.png"/>
                  <wp:cNvGraphicFramePr>
                    <a:graphicFrameLocks noChangeAspect="1"/>
                  </wp:cNvGraphicFramePr>
                  <a:graphic>
                    <a:graphicData uri="http://schemas.openxmlformats.org/drawingml/2006/picture">
                      <pic:pic>
                        <pic:nvPicPr>
                          <pic:cNvPr id="12" name="image16.png"/>
                          <pic:cNvPicPr/>
                        </pic:nvPicPr>
                        <pic:blipFill>
                          <a:blip r:embed="rId174" cstate="print"/>
                          <a:stretch>
                            <a:fillRect/>
                          </a:stretch>
                        </pic:blipFill>
                        <pic:spPr>
                          <a:xfrm>
                            <a:off x="0" y="0"/>
                            <a:ext cx="1676641" cy="6096"/>
                          </a:xfrm>
                          <a:prstGeom prst="rect">
                            <a:avLst/>
                          </a:prstGeom>
                        </pic:spPr>
                      </pic:pic>
                    </a:graphicData>
                  </a:graphic>
                </wp:inline>
              </w:drawing>
            </w:r>
            <w:r>
              <w:rPr>
                <w:rFonts w:ascii="宋体"/>
                <w:sz w:val="2"/>
              </w:rPr>
            </w:r>
          </w:p>
        </w:tc>
        <w:tc>
          <w:tcPr>
            <w:tcW w:w="1287" w:type="dxa"/>
            <w:tcBorders>
              <w:left w:val="single" w:sz="4" w:space="0" w:color="000000"/>
              <w:bottom w:val="single" w:sz="4" w:space="0" w:color="000000"/>
              <w:right w:val="single" w:sz="4" w:space="0" w:color="000000"/>
            </w:tcBorders>
          </w:tcPr>
          <w:p>
            <w:pPr>
              <w:pStyle w:val="TableParagraph"/>
              <w:spacing w:before="81"/>
              <w:ind w:left="453"/>
              <w:rPr>
                <w:sz w:val="21"/>
              </w:rPr>
            </w:pPr>
            <w:r>
              <w:rPr>
                <w:sz w:val="21"/>
              </w:rPr>
              <w:t>1,000.00</w:t>
            </w:r>
          </w:p>
        </w:tc>
        <w:tc>
          <w:tcPr>
            <w:tcW w:w="1560" w:type="dxa"/>
            <w:tcBorders>
              <w:left w:val="single" w:sz="4" w:space="0" w:color="000000"/>
              <w:bottom w:val="nil"/>
              <w:right w:val="single" w:sz="4" w:space="0" w:color="000000"/>
            </w:tcBorders>
          </w:tcPr>
          <w:p>
            <w:pPr>
              <w:pStyle w:val="TableParagraph"/>
              <w:spacing w:before="81"/>
              <w:ind w:left="359"/>
              <w:rPr>
                <w:sz w:val="21"/>
              </w:rPr>
            </w:pPr>
            <w:r>
              <w:rPr>
                <w:sz w:val="21"/>
              </w:rPr>
              <w:t>1,000,000.00</w:t>
            </w:r>
          </w:p>
          <w:p>
            <w:pPr>
              <w:pStyle w:val="TableParagraph"/>
              <w:spacing w:before="0" w:after="1"/>
              <w:rPr>
                <w:rFonts w:ascii="宋体"/>
                <w:sz w:val="9"/>
              </w:rPr>
            </w:pPr>
          </w:p>
          <w:p>
            <w:pPr>
              <w:pStyle w:val="TableParagraph"/>
              <w:spacing w:line="20" w:lineRule="exact" w:before="0"/>
              <w:ind w:left="14" w:right="-44"/>
              <w:rPr>
                <w:rFonts w:ascii="宋体"/>
                <w:sz w:val="2"/>
              </w:rPr>
            </w:pPr>
            <w:r>
              <w:rPr>
                <w:rFonts w:ascii="宋体"/>
                <w:sz w:val="2"/>
              </w:rPr>
              <w:drawing>
                <wp:inline distT="0" distB="0" distL="0" distR="0">
                  <wp:extent cx="975278" cy="6096"/>
                  <wp:effectExtent l="0" t="0" r="0" b="0"/>
                  <wp:docPr id="13" name="image17.png"/>
                  <wp:cNvGraphicFramePr>
                    <a:graphicFrameLocks noChangeAspect="1"/>
                  </wp:cNvGraphicFramePr>
                  <a:graphic>
                    <a:graphicData uri="http://schemas.openxmlformats.org/drawingml/2006/picture">
                      <pic:pic>
                        <pic:nvPicPr>
                          <pic:cNvPr id="14" name="image17.png"/>
                          <pic:cNvPicPr/>
                        </pic:nvPicPr>
                        <pic:blipFill>
                          <a:blip r:embed="rId175" cstate="print"/>
                          <a:stretch>
                            <a:fillRect/>
                          </a:stretch>
                        </pic:blipFill>
                        <pic:spPr>
                          <a:xfrm>
                            <a:off x="0" y="0"/>
                            <a:ext cx="975278" cy="6096"/>
                          </a:xfrm>
                          <a:prstGeom prst="rect">
                            <a:avLst/>
                          </a:prstGeom>
                        </pic:spPr>
                      </pic:pic>
                    </a:graphicData>
                  </a:graphic>
                </wp:inline>
              </w:drawing>
            </w:r>
            <w:r>
              <w:rPr>
                <w:rFonts w:ascii="宋体"/>
                <w:sz w:val="2"/>
              </w:rPr>
            </w:r>
          </w:p>
        </w:tc>
        <w:tc>
          <w:tcPr>
            <w:tcW w:w="1546" w:type="dxa"/>
            <w:tcBorders>
              <w:left w:val="single" w:sz="4" w:space="0" w:color="000000"/>
              <w:bottom w:val="single" w:sz="4" w:space="0" w:color="000000"/>
              <w:right w:val="nil"/>
            </w:tcBorders>
          </w:tcPr>
          <w:p>
            <w:pPr>
              <w:pStyle w:val="TableParagraph"/>
              <w:spacing w:before="81"/>
              <w:ind w:left="345"/>
              <w:rPr>
                <w:sz w:val="21"/>
              </w:rPr>
            </w:pPr>
            <w:r>
              <w:rPr>
                <w:sz w:val="21"/>
              </w:rPr>
              <w:t>2,000,000.00</w:t>
            </w:r>
          </w:p>
        </w:tc>
      </w:tr>
    </w:tbl>
    <w:p>
      <w:pPr>
        <w:spacing w:after="0"/>
        <w:rPr>
          <w:sz w:val="21"/>
        </w:rPr>
        <w:sectPr>
          <w:pgSz w:w="11910" w:h="16840"/>
          <w:pgMar w:header="877" w:footer="995" w:top="1420" w:bottom="1180" w:left="1260" w:right="1480"/>
        </w:sectPr>
      </w:pPr>
    </w:p>
    <w:tbl>
      <w:tblPr>
        <w:tblW w:w="0" w:type="auto"/>
        <w:jc w:val="left"/>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5"/>
        <w:gridCol w:w="1301"/>
        <w:gridCol w:w="1536"/>
        <w:gridCol w:w="1565"/>
      </w:tblGrid>
      <w:tr>
        <w:trPr>
          <w:trHeight w:val="468" w:hRule="atLeast"/>
        </w:trPr>
        <w:tc>
          <w:tcPr>
            <w:tcW w:w="2655" w:type="dxa"/>
          </w:tcPr>
          <w:p>
            <w:pPr>
              <w:pStyle w:val="TableParagraph"/>
              <w:spacing w:before="99"/>
              <w:ind w:left="108" w:right="84"/>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301" w:type="dxa"/>
            <w:tcBorders>
              <w:top w:val="single" w:sz="4" w:space="0" w:color="000000"/>
              <w:bottom w:val="single" w:sz="4" w:space="0" w:color="000000"/>
            </w:tcBorders>
          </w:tcPr>
          <w:p>
            <w:pPr>
              <w:pStyle w:val="TableParagraph"/>
              <w:spacing w:before="111"/>
              <w:ind w:right="107"/>
              <w:jc w:val="right"/>
              <w:rPr>
                <w:sz w:val="21"/>
              </w:rPr>
            </w:pPr>
            <w:r>
              <w:rPr>
                <w:sz w:val="21"/>
              </w:rPr>
              <w:t>1.5%</w:t>
            </w:r>
          </w:p>
        </w:tc>
        <w:tc>
          <w:tcPr>
            <w:tcW w:w="1536" w:type="dxa"/>
          </w:tcPr>
          <w:p>
            <w:pPr>
              <w:pStyle w:val="TableParagraph"/>
              <w:spacing w:before="111"/>
              <w:ind w:right="83"/>
              <w:jc w:val="right"/>
              <w:rPr>
                <w:sz w:val="21"/>
              </w:rPr>
            </w:pPr>
            <w:r>
              <w:rPr>
                <w:sz w:val="21"/>
              </w:rPr>
              <w:t>1.2%</w:t>
            </w:r>
          </w:p>
        </w:tc>
        <w:tc>
          <w:tcPr>
            <w:tcW w:w="1565" w:type="dxa"/>
            <w:tcBorders>
              <w:top w:val="single" w:sz="4" w:space="0" w:color="000000"/>
              <w:bottom w:val="single" w:sz="4" w:space="0" w:color="000000"/>
            </w:tcBorders>
          </w:tcPr>
          <w:p>
            <w:pPr>
              <w:pStyle w:val="TableParagraph"/>
              <w:spacing w:before="111"/>
              <w:ind w:right="102"/>
              <w:jc w:val="right"/>
              <w:rPr>
                <w:sz w:val="21"/>
              </w:rPr>
            </w:pPr>
            <w:r>
              <w:rPr>
                <w:sz w:val="21"/>
              </w:rPr>
              <w:t>0.8%</w:t>
            </w:r>
          </w:p>
        </w:tc>
      </w:tr>
      <w:tr>
        <w:trPr>
          <w:trHeight w:val="467" w:hRule="atLeast"/>
        </w:trPr>
        <w:tc>
          <w:tcPr>
            <w:tcW w:w="2655" w:type="dxa"/>
          </w:tcPr>
          <w:p>
            <w:pPr>
              <w:pStyle w:val="TableParagraph"/>
              <w:spacing w:before="99"/>
              <w:ind w:left="108" w:right="144"/>
              <w:jc w:val="center"/>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301" w:type="dxa"/>
            <w:tcBorders>
              <w:top w:val="single" w:sz="4" w:space="0" w:color="000000"/>
              <w:bottom w:val="single" w:sz="4" w:space="0" w:color="000000"/>
            </w:tcBorders>
          </w:tcPr>
          <w:p>
            <w:pPr>
              <w:pStyle w:val="TableParagraph"/>
              <w:spacing w:before="111"/>
              <w:ind w:right="108"/>
              <w:jc w:val="right"/>
              <w:rPr>
                <w:sz w:val="21"/>
              </w:rPr>
            </w:pPr>
            <w:r>
              <w:rPr>
                <w:sz w:val="21"/>
              </w:rPr>
              <w:t>985.22</w:t>
            </w:r>
          </w:p>
        </w:tc>
        <w:tc>
          <w:tcPr>
            <w:tcW w:w="1536" w:type="dxa"/>
          </w:tcPr>
          <w:p>
            <w:pPr>
              <w:pStyle w:val="TableParagraph"/>
              <w:spacing w:before="104"/>
              <w:ind w:right="84"/>
              <w:jc w:val="right"/>
              <w:rPr>
                <w:sz w:val="22"/>
              </w:rPr>
            </w:pPr>
            <w:r>
              <w:rPr>
                <w:sz w:val="22"/>
              </w:rPr>
              <w:t>988,142.29</w:t>
            </w:r>
          </w:p>
        </w:tc>
        <w:tc>
          <w:tcPr>
            <w:tcW w:w="1565" w:type="dxa"/>
            <w:tcBorders>
              <w:top w:val="single" w:sz="4" w:space="0" w:color="000000"/>
              <w:bottom w:val="single" w:sz="4" w:space="0" w:color="000000"/>
            </w:tcBorders>
          </w:tcPr>
          <w:p>
            <w:pPr>
              <w:pStyle w:val="TableParagraph"/>
              <w:spacing w:before="111"/>
              <w:ind w:right="103"/>
              <w:jc w:val="right"/>
              <w:rPr>
                <w:sz w:val="21"/>
              </w:rPr>
            </w:pPr>
            <w:r>
              <w:rPr>
                <w:sz w:val="21"/>
              </w:rPr>
              <w:t>1,984,126.98</w:t>
            </w:r>
          </w:p>
        </w:tc>
      </w:tr>
      <w:tr>
        <w:trPr>
          <w:trHeight w:val="467" w:hRule="atLeast"/>
        </w:trPr>
        <w:tc>
          <w:tcPr>
            <w:tcW w:w="2655" w:type="dxa"/>
          </w:tcPr>
          <w:p>
            <w:pPr>
              <w:pStyle w:val="TableParagraph"/>
              <w:spacing w:before="99"/>
              <w:ind w:left="108" w:right="82"/>
              <w:jc w:val="center"/>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301" w:type="dxa"/>
            <w:tcBorders>
              <w:top w:val="single" w:sz="4" w:space="0" w:color="000000"/>
              <w:bottom w:val="single" w:sz="4" w:space="0" w:color="000000"/>
            </w:tcBorders>
          </w:tcPr>
          <w:p>
            <w:pPr>
              <w:pStyle w:val="TableParagraph"/>
              <w:spacing w:before="111"/>
              <w:ind w:right="112"/>
              <w:jc w:val="right"/>
              <w:rPr>
                <w:sz w:val="21"/>
              </w:rPr>
            </w:pPr>
            <w:r>
              <w:rPr>
                <w:sz w:val="21"/>
              </w:rPr>
              <w:t>14.78</w:t>
            </w:r>
          </w:p>
        </w:tc>
        <w:tc>
          <w:tcPr>
            <w:tcW w:w="1536" w:type="dxa"/>
          </w:tcPr>
          <w:p>
            <w:pPr>
              <w:pStyle w:val="TableParagraph"/>
              <w:spacing w:before="104"/>
              <w:ind w:right="86"/>
              <w:jc w:val="right"/>
              <w:rPr>
                <w:sz w:val="22"/>
              </w:rPr>
            </w:pPr>
            <w:r>
              <w:rPr>
                <w:sz w:val="22"/>
              </w:rPr>
              <w:t>11,857.71</w:t>
            </w:r>
          </w:p>
        </w:tc>
        <w:tc>
          <w:tcPr>
            <w:tcW w:w="1565" w:type="dxa"/>
            <w:tcBorders>
              <w:top w:val="single" w:sz="4" w:space="0" w:color="000000"/>
              <w:bottom w:val="single" w:sz="4" w:space="0" w:color="000000"/>
            </w:tcBorders>
          </w:tcPr>
          <w:p>
            <w:pPr>
              <w:pStyle w:val="TableParagraph"/>
              <w:spacing w:before="111"/>
              <w:ind w:right="105"/>
              <w:jc w:val="right"/>
              <w:rPr>
                <w:sz w:val="21"/>
              </w:rPr>
            </w:pPr>
            <w:r>
              <w:rPr>
                <w:sz w:val="21"/>
              </w:rPr>
              <w:t>15,873.02</w:t>
            </w:r>
          </w:p>
        </w:tc>
      </w:tr>
      <w:tr>
        <w:trPr>
          <w:trHeight w:val="470" w:hRule="atLeast"/>
        </w:trPr>
        <w:tc>
          <w:tcPr>
            <w:tcW w:w="2655" w:type="dxa"/>
          </w:tcPr>
          <w:p>
            <w:pPr>
              <w:pStyle w:val="TableParagraph"/>
              <w:spacing w:before="101"/>
              <w:ind w:left="108" w:right="82"/>
              <w:jc w:val="center"/>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301" w:type="dxa"/>
            <w:tcBorders>
              <w:top w:val="single" w:sz="4" w:space="0" w:color="000000"/>
              <w:bottom w:val="single" w:sz="4" w:space="0" w:color="000000"/>
            </w:tcBorders>
          </w:tcPr>
          <w:p>
            <w:pPr>
              <w:pStyle w:val="TableParagraph"/>
              <w:spacing w:before="113"/>
              <w:ind w:right="108"/>
              <w:jc w:val="right"/>
              <w:rPr>
                <w:sz w:val="21"/>
              </w:rPr>
            </w:pPr>
            <w:r>
              <w:rPr>
                <w:sz w:val="21"/>
              </w:rPr>
              <w:t>1.230</w:t>
            </w:r>
          </w:p>
        </w:tc>
        <w:tc>
          <w:tcPr>
            <w:tcW w:w="1536" w:type="dxa"/>
          </w:tcPr>
          <w:p>
            <w:pPr>
              <w:pStyle w:val="TableParagraph"/>
              <w:spacing w:before="113"/>
              <w:ind w:right="84"/>
              <w:jc w:val="right"/>
              <w:rPr>
                <w:sz w:val="21"/>
              </w:rPr>
            </w:pPr>
            <w:r>
              <w:rPr>
                <w:sz w:val="21"/>
              </w:rPr>
              <w:t>1.230</w:t>
            </w:r>
          </w:p>
        </w:tc>
        <w:tc>
          <w:tcPr>
            <w:tcW w:w="1565" w:type="dxa"/>
            <w:tcBorders>
              <w:top w:val="single" w:sz="4" w:space="0" w:color="000000"/>
              <w:bottom w:val="single" w:sz="4" w:space="0" w:color="000000"/>
            </w:tcBorders>
          </w:tcPr>
          <w:p>
            <w:pPr>
              <w:pStyle w:val="TableParagraph"/>
              <w:spacing w:before="113"/>
              <w:ind w:right="104"/>
              <w:jc w:val="right"/>
              <w:rPr>
                <w:sz w:val="21"/>
              </w:rPr>
            </w:pPr>
            <w:r>
              <w:rPr>
                <w:sz w:val="21"/>
              </w:rPr>
              <w:t>1.230</w:t>
            </w:r>
          </w:p>
        </w:tc>
      </w:tr>
      <w:tr>
        <w:trPr>
          <w:trHeight w:val="467" w:hRule="atLeast"/>
        </w:trPr>
        <w:tc>
          <w:tcPr>
            <w:tcW w:w="2655" w:type="dxa"/>
            <w:tcBorders>
              <w:bottom w:val="single" w:sz="12" w:space="0" w:color="000000"/>
            </w:tcBorders>
          </w:tcPr>
          <w:p>
            <w:pPr>
              <w:pStyle w:val="TableParagraph"/>
              <w:spacing w:before="99"/>
              <w:ind w:left="108" w:right="82"/>
              <w:jc w:val="center"/>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tc>
        <w:tc>
          <w:tcPr>
            <w:tcW w:w="1301" w:type="dxa"/>
            <w:tcBorders>
              <w:top w:val="single" w:sz="4" w:space="0" w:color="000000"/>
              <w:bottom w:val="single" w:sz="12" w:space="0" w:color="000000"/>
            </w:tcBorders>
          </w:tcPr>
          <w:p>
            <w:pPr>
              <w:pStyle w:val="TableParagraph"/>
              <w:spacing w:before="111"/>
              <w:ind w:right="108"/>
              <w:jc w:val="right"/>
              <w:rPr>
                <w:sz w:val="21"/>
              </w:rPr>
            </w:pPr>
            <w:r>
              <w:rPr>
                <w:sz w:val="21"/>
              </w:rPr>
              <w:t>800.99</w:t>
            </w:r>
          </w:p>
        </w:tc>
        <w:tc>
          <w:tcPr>
            <w:tcW w:w="1536" w:type="dxa"/>
            <w:tcBorders>
              <w:bottom w:val="single" w:sz="12" w:space="0" w:color="000000"/>
            </w:tcBorders>
          </w:tcPr>
          <w:p>
            <w:pPr>
              <w:pStyle w:val="TableParagraph"/>
              <w:spacing w:before="104"/>
              <w:ind w:right="84"/>
              <w:jc w:val="right"/>
              <w:rPr>
                <w:sz w:val="22"/>
              </w:rPr>
            </w:pPr>
            <w:r>
              <w:rPr>
                <w:sz w:val="22"/>
              </w:rPr>
              <w:t>803,367.72</w:t>
            </w:r>
          </w:p>
        </w:tc>
        <w:tc>
          <w:tcPr>
            <w:tcW w:w="1565" w:type="dxa"/>
            <w:tcBorders>
              <w:top w:val="single" w:sz="4" w:space="0" w:color="000000"/>
              <w:bottom w:val="single" w:sz="12" w:space="0" w:color="000000"/>
            </w:tcBorders>
          </w:tcPr>
          <w:p>
            <w:pPr>
              <w:pStyle w:val="TableParagraph"/>
              <w:spacing w:before="111"/>
              <w:ind w:right="105"/>
              <w:jc w:val="right"/>
              <w:rPr>
                <w:sz w:val="21"/>
              </w:rPr>
            </w:pPr>
            <w:r>
              <w:rPr>
                <w:sz w:val="21"/>
              </w:rPr>
              <w:t>1,613,111.37</w:t>
            </w:r>
          </w:p>
        </w:tc>
      </w:tr>
    </w:tbl>
    <w:p>
      <w:pPr>
        <w:pStyle w:val="BodyText"/>
        <w:spacing w:before="100"/>
        <w:ind w:left="960"/>
      </w:pPr>
      <w:r>
        <w:rPr/>
        <w:pict>
          <v:group style="position:absolute;margin-left:121.580002pt;margin-top:-120.959961pt;width:132.75pt;height:119.55pt;mso-position-horizontal-relative:page;mso-position-vertical-relative:paragraph;z-index:-259826688" coordorigin="2432,-2419" coordsize="2655,2391">
            <v:shape style="position:absolute;left:2431;top:-2420;width:2641;height:10" type="#_x0000_t75" stroked="false">
              <v:imagedata r:id="rId176" o:title=""/>
            </v:shape>
            <v:shape style="position:absolute;left:2431;top:-2410;width:2655;height:478" type="#_x0000_t75" stroked="false">
              <v:imagedata r:id="rId177" o:title=""/>
            </v:shape>
            <v:shape style="position:absolute;left:2431;top:-1932;width:2655;height:478" type="#_x0000_t75" stroked="false">
              <v:imagedata r:id="rId177" o:title=""/>
            </v:shape>
            <v:shape style="position:absolute;left:2431;top:-1454;width:2655;height:478" type="#_x0000_t75" stroked="false">
              <v:imagedata r:id="rId177" o:title=""/>
            </v:shape>
            <v:shape style="position:absolute;left:2431;top:-977;width:2655;height:480" type="#_x0000_t75" stroked="false">
              <v:imagedata r:id="rId178" o:title=""/>
            </v:shape>
            <v:shape style="position:absolute;left:5077;top:-497;width:10;height:468" type="#_x0000_t75" stroked="false">
              <v:imagedata r:id="rId170" o:title=""/>
            </v:shape>
            <w10:wrap type="none"/>
          </v:group>
        </w:pict>
      </w:r>
      <w:r>
        <w:rPr/>
        <w:pict>
          <v:group style="position:absolute;margin-left:318.190002pt;margin-top:-120.959961pt;width:78.5pt;height:119.55pt;mso-position-horizontal-relative:page;mso-position-vertical-relative:paragraph;z-index:-259825664" coordorigin="6364,-2419" coordsize="1570,2391">
            <v:shape style="position:absolute;left:6363;top:-2420;width:1570;height:488" type="#_x0000_t75" stroked="false">
              <v:imagedata r:id="rId179" o:title=""/>
            </v:shape>
            <v:shape style="position:absolute;left:6363;top:-1932;width:1570;height:478" type="#_x0000_t75" stroked="false">
              <v:imagedata r:id="rId180" o:title=""/>
            </v:shape>
            <v:shape style="position:absolute;left:6363;top:-1454;width:1570;height:478" type="#_x0000_t75" stroked="false">
              <v:imagedata r:id="rId180" o:title=""/>
            </v:shape>
            <v:shape style="position:absolute;left:6363;top:-977;width:1570;height:480" type="#_x0000_t75" stroked="false">
              <v:imagedata r:id="rId181" o:title=""/>
            </v:shape>
            <v:shape style="position:absolute;left:6363;top:-497;width:10;height:468" type="#_x0000_t75" stroked="false">
              <v:imagedata r:id="rId170" o:title=""/>
            </v:shape>
            <v:shape style="position:absolute;left:7923;top:-497;width:10;height:468" type="#_x0000_t75" stroked="false">
              <v:imagedata r:id="rId170" o:title=""/>
            </v:shape>
            <w10:wrap type="none"/>
          </v:group>
        </w:pict>
      </w:r>
      <w:r>
        <w:rPr/>
        <w:pict>
          <v:group style="position:absolute;margin-left:307.369995pt;margin-top:48.38002pt;width:.5pt;height:143.950pt;mso-position-horizontal-relative:page;mso-position-vertical-relative:paragraph;z-index:-259824640" coordorigin="6147,968" coordsize="10,2879">
            <v:shape style="position:absolute;left:6147;top:967;width:10;height:469" type="#_x0000_t75" stroked="false">
              <v:imagedata r:id="rId164" o:title=""/>
            </v:shape>
            <v:shape style="position:absolute;left:6147;top:1436;width:10;height:32" type="#_x0000_t75" stroked="false">
              <v:imagedata r:id="rId173" o:title=""/>
            </v:shape>
            <v:shape style="position:absolute;left:6147;top:1467;width:10;height:432" coordorigin="6147,1467" coordsize="10,432" path="m6157,1755l6147,1755,6147,1803,6147,1851,6147,1899,6157,1899,6157,1851,6157,1803,6157,1755m6157,1515l6147,1515,6147,1563,6147,1611,6147,1659,6147,1707,6147,1755,6157,1755,6157,1707,6157,1659,6157,1611,6157,1563,6157,1515m6157,1467l6147,1467,6147,1515,6157,1515,6157,1467e" filled="true" fillcolor="#000000" stroked="false">
              <v:path arrowok="t"/>
              <v:fill type="solid"/>
            </v:shape>
            <v:shape style="position:absolute;left:6147;top:1942;width:10;height:1904" type="#_x0000_t75" stroked="false">
              <v:imagedata r:id="rId182" o:title=""/>
            </v:shape>
            <w10:wrap type="none"/>
          </v:group>
        </w:pict>
      </w:r>
      <w:r>
        <w:rPr/>
        <w:t>若该投资者申购金额为</w:t>
      </w:r>
      <w:r>
        <w:rPr>
          <w:rFonts w:ascii="Times New Roman" w:eastAsia="Times New Roman"/>
        </w:rPr>
        <w:t>500</w:t>
      </w:r>
      <w:r>
        <w:rPr/>
        <w:t>万元，则申购负担的前端申购费用和获得的基金份额计算如</w:t>
      </w:r>
    </w:p>
    <w:p>
      <w:pPr>
        <w:pStyle w:val="BodyText"/>
        <w:spacing w:before="9"/>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391"/>
        <w:gridCol w:w="1369"/>
      </w:tblGrid>
      <w:tr>
        <w:trPr>
          <w:trHeight w:val="339" w:hRule="atLeast"/>
        </w:trPr>
        <w:tc>
          <w:tcPr>
            <w:tcW w:w="2321" w:type="dxa"/>
          </w:tcPr>
          <w:p>
            <w:pPr>
              <w:pStyle w:val="TableParagraph"/>
              <w:spacing w:line="241" w:lineRule="exact" w:before="0"/>
              <w:ind w:left="50"/>
              <w:rPr>
                <w:rFonts w:ascii="宋体" w:eastAsia="宋体" w:hint="eastAsia"/>
                <w:sz w:val="21"/>
              </w:rPr>
            </w:pPr>
            <w:r>
              <w:rPr>
                <w:rFonts w:ascii="宋体" w:eastAsia="宋体" w:hint="eastAsia"/>
                <w:sz w:val="21"/>
              </w:rPr>
              <w:t>下：</w:t>
            </w:r>
          </w:p>
        </w:tc>
        <w:tc>
          <w:tcPr>
            <w:tcW w:w="3760" w:type="dxa"/>
            <w:gridSpan w:val="2"/>
            <w:tcBorders>
              <w:bottom w:val="single" w:sz="12" w:space="0" w:color="000000"/>
            </w:tcBorders>
          </w:tcPr>
          <w:p>
            <w:pPr>
              <w:pStyle w:val="TableParagraph"/>
              <w:spacing w:before="0"/>
              <w:rPr>
                <w:sz w:val="20"/>
              </w:rPr>
            </w:pPr>
          </w:p>
        </w:tc>
      </w:tr>
      <w:tr>
        <w:trPr>
          <w:trHeight w:val="469" w:hRule="atLeast"/>
        </w:trPr>
        <w:tc>
          <w:tcPr>
            <w:tcW w:w="2321" w:type="dxa"/>
          </w:tcPr>
          <w:p>
            <w:pPr>
              <w:pStyle w:val="TableParagraph"/>
              <w:spacing w:before="0"/>
              <w:rPr>
                <w:sz w:val="20"/>
              </w:rPr>
            </w:pPr>
          </w:p>
        </w:tc>
        <w:tc>
          <w:tcPr>
            <w:tcW w:w="2391" w:type="dxa"/>
            <w:tcBorders>
              <w:top w:val="single" w:sz="12" w:space="0" w:color="000000"/>
              <w:bottom w:val="single" w:sz="12" w:space="0" w:color="000000"/>
            </w:tcBorders>
          </w:tcPr>
          <w:p>
            <w:pPr>
              <w:pStyle w:val="TableParagraph"/>
              <w:spacing w:before="0"/>
              <w:rPr>
                <w:sz w:val="20"/>
              </w:rPr>
            </w:pPr>
          </w:p>
        </w:tc>
        <w:tc>
          <w:tcPr>
            <w:tcW w:w="1369" w:type="dxa"/>
            <w:tcBorders>
              <w:top w:val="single" w:sz="12" w:space="0" w:color="000000"/>
              <w:bottom w:val="single" w:sz="12" w:space="0" w:color="000000"/>
            </w:tcBorders>
          </w:tcPr>
          <w:p>
            <w:pPr>
              <w:pStyle w:val="TableParagraph"/>
              <w:spacing w:before="102"/>
              <w:ind w:left="263"/>
              <w:rPr>
                <w:sz w:val="21"/>
              </w:rPr>
            </w:pPr>
            <w:r>
              <w:rPr>
                <w:rFonts w:ascii="宋体" w:eastAsia="宋体" w:hint="eastAsia"/>
                <w:sz w:val="21"/>
              </w:rPr>
              <w:t>申购</w:t>
            </w:r>
            <w:r>
              <w:rPr>
                <w:sz w:val="21"/>
              </w:rPr>
              <w:t>4</w:t>
            </w:r>
          </w:p>
        </w:tc>
      </w:tr>
      <w:tr>
        <w:trPr>
          <w:trHeight w:val="449" w:hRule="atLeast"/>
        </w:trPr>
        <w:tc>
          <w:tcPr>
            <w:tcW w:w="2321" w:type="dxa"/>
          </w:tcPr>
          <w:p>
            <w:pPr>
              <w:pStyle w:val="TableParagraph"/>
              <w:spacing w:before="0"/>
              <w:rPr>
                <w:sz w:val="20"/>
              </w:rPr>
            </w:pPr>
          </w:p>
        </w:tc>
        <w:tc>
          <w:tcPr>
            <w:tcW w:w="2391" w:type="dxa"/>
            <w:tcBorders>
              <w:top w:val="single" w:sz="12" w:space="0" w:color="000000"/>
              <w:bottom w:val="single" w:sz="18" w:space="0" w:color="000000"/>
            </w:tcBorders>
          </w:tcPr>
          <w:p>
            <w:pPr>
              <w:pStyle w:val="TableParagraph"/>
              <w:spacing w:before="99"/>
              <w:ind w:left="38"/>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369" w:type="dxa"/>
            <w:tcBorders>
              <w:top w:val="single" w:sz="12" w:space="0" w:color="000000"/>
              <w:bottom w:val="single" w:sz="4" w:space="0" w:color="000000"/>
            </w:tcBorders>
          </w:tcPr>
          <w:p>
            <w:pPr>
              <w:pStyle w:val="TableParagraph"/>
              <w:spacing w:before="110"/>
              <w:ind w:right="27"/>
              <w:jc w:val="right"/>
              <w:rPr>
                <w:sz w:val="21"/>
              </w:rPr>
            </w:pPr>
            <w:r>
              <w:rPr>
                <w:sz w:val="21"/>
              </w:rPr>
              <w:t>5,000,000.00</w:t>
            </w:r>
          </w:p>
        </w:tc>
      </w:tr>
      <w:tr>
        <w:trPr>
          <w:trHeight w:val="450" w:hRule="atLeast"/>
        </w:trPr>
        <w:tc>
          <w:tcPr>
            <w:tcW w:w="2321" w:type="dxa"/>
          </w:tcPr>
          <w:p>
            <w:pPr>
              <w:pStyle w:val="TableParagraph"/>
              <w:spacing w:before="0"/>
              <w:rPr>
                <w:sz w:val="20"/>
              </w:rPr>
            </w:pPr>
          </w:p>
        </w:tc>
        <w:tc>
          <w:tcPr>
            <w:tcW w:w="2391" w:type="dxa"/>
            <w:tcBorders>
              <w:top w:val="single" w:sz="18" w:space="0" w:color="000000"/>
              <w:bottom w:val="single" w:sz="4" w:space="0" w:color="000000"/>
            </w:tcBorders>
          </w:tcPr>
          <w:p>
            <w:pPr>
              <w:pStyle w:val="TableParagraph"/>
              <w:spacing w:before="82"/>
              <w:ind w:left="38"/>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93"/>
              <w:ind w:right="28"/>
              <w:jc w:val="right"/>
              <w:rPr>
                <w:sz w:val="21"/>
              </w:rPr>
            </w:pPr>
            <w:r>
              <w:rPr>
                <w:sz w:val="21"/>
              </w:rPr>
              <w:t>1,000.00</w:t>
            </w:r>
          </w:p>
        </w:tc>
      </w:tr>
      <w:tr>
        <w:trPr>
          <w:trHeight w:val="450" w:hRule="atLeast"/>
        </w:trPr>
        <w:tc>
          <w:tcPr>
            <w:tcW w:w="2321" w:type="dxa"/>
          </w:tcPr>
          <w:p>
            <w:pPr>
              <w:pStyle w:val="TableParagraph"/>
              <w:spacing w:before="0"/>
              <w:rPr>
                <w:sz w:val="20"/>
              </w:rPr>
            </w:pPr>
          </w:p>
        </w:tc>
        <w:tc>
          <w:tcPr>
            <w:tcW w:w="2391" w:type="dxa"/>
            <w:tcBorders>
              <w:top w:val="single" w:sz="4" w:space="0" w:color="000000"/>
              <w:bottom w:val="single" w:sz="4" w:space="0" w:color="000000"/>
            </w:tcBorders>
          </w:tcPr>
          <w:p>
            <w:pPr>
              <w:pStyle w:val="TableParagraph"/>
              <w:spacing w:before="102"/>
              <w:ind w:left="38"/>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13"/>
              <w:ind w:right="30"/>
              <w:jc w:val="right"/>
              <w:rPr>
                <w:sz w:val="21"/>
              </w:rPr>
            </w:pPr>
            <w:r>
              <w:rPr>
                <w:sz w:val="21"/>
              </w:rPr>
              <w:t>4,999,000.00</w:t>
            </w:r>
          </w:p>
        </w:tc>
      </w:tr>
      <w:tr>
        <w:trPr>
          <w:trHeight w:val="486" w:hRule="atLeast"/>
        </w:trPr>
        <w:tc>
          <w:tcPr>
            <w:tcW w:w="2321" w:type="dxa"/>
          </w:tcPr>
          <w:p>
            <w:pPr>
              <w:pStyle w:val="TableParagraph"/>
              <w:spacing w:before="0"/>
              <w:rPr>
                <w:sz w:val="20"/>
              </w:rPr>
            </w:pPr>
          </w:p>
        </w:tc>
        <w:tc>
          <w:tcPr>
            <w:tcW w:w="2391" w:type="dxa"/>
            <w:tcBorders>
              <w:top w:val="single" w:sz="4" w:space="0" w:color="000000"/>
              <w:bottom w:val="single" w:sz="4" w:space="0" w:color="000000"/>
            </w:tcBorders>
          </w:tcPr>
          <w:p>
            <w:pPr>
              <w:pStyle w:val="TableParagraph"/>
              <w:spacing w:before="118"/>
              <w:ind w:left="38"/>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30"/>
              <w:ind w:right="28"/>
              <w:jc w:val="right"/>
              <w:rPr>
                <w:sz w:val="21"/>
              </w:rPr>
            </w:pPr>
            <w:r>
              <w:rPr>
                <w:sz w:val="21"/>
              </w:rPr>
              <w:t>1.230</w:t>
            </w:r>
          </w:p>
        </w:tc>
      </w:tr>
      <w:tr>
        <w:trPr>
          <w:trHeight w:val="467" w:hRule="atLeast"/>
        </w:trPr>
        <w:tc>
          <w:tcPr>
            <w:tcW w:w="2321" w:type="dxa"/>
          </w:tcPr>
          <w:p>
            <w:pPr>
              <w:pStyle w:val="TableParagraph"/>
              <w:spacing w:before="0"/>
              <w:rPr>
                <w:sz w:val="20"/>
              </w:rPr>
            </w:pPr>
          </w:p>
        </w:tc>
        <w:tc>
          <w:tcPr>
            <w:tcW w:w="2391" w:type="dxa"/>
            <w:tcBorders>
              <w:top w:val="single" w:sz="4" w:space="0" w:color="000000"/>
              <w:bottom w:val="single" w:sz="12" w:space="0" w:color="000000"/>
            </w:tcBorders>
          </w:tcPr>
          <w:p>
            <w:pPr>
              <w:pStyle w:val="TableParagraph"/>
              <w:spacing w:before="99"/>
              <w:ind w:left="38"/>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69" w:type="dxa"/>
            <w:tcBorders>
              <w:top w:val="single" w:sz="4" w:space="0" w:color="000000"/>
              <w:bottom w:val="single" w:sz="12" w:space="0" w:color="000000"/>
            </w:tcBorders>
          </w:tcPr>
          <w:p>
            <w:pPr>
              <w:pStyle w:val="TableParagraph"/>
              <w:spacing w:before="111"/>
              <w:ind w:right="27"/>
              <w:jc w:val="right"/>
              <w:rPr>
                <w:sz w:val="21"/>
              </w:rPr>
            </w:pPr>
            <w:r>
              <w:rPr>
                <w:sz w:val="21"/>
              </w:rPr>
              <w:t>4,064,227.64</w:t>
            </w:r>
          </w:p>
        </w:tc>
      </w:tr>
      <w:tr>
        <w:trPr>
          <w:trHeight w:val="354" w:hRule="atLeast"/>
        </w:trPr>
        <w:tc>
          <w:tcPr>
            <w:tcW w:w="2321" w:type="dxa"/>
          </w:tcPr>
          <w:p>
            <w:pPr>
              <w:pStyle w:val="TableParagraph"/>
              <w:spacing w:line="236" w:lineRule="exact" w:before="99"/>
              <w:ind w:left="469"/>
              <w:rPr>
                <w:rFonts w:ascii="宋体" w:eastAsia="宋体" w:hint="eastAsia"/>
                <w:sz w:val="21"/>
              </w:rPr>
            </w:pPr>
            <w:r>
              <w:rPr>
                <w:sz w:val="21"/>
              </w:rPr>
              <w:t>2</w:t>
            </w:r>
            <w:r>
              <w:rPr>
                <w:rFonts w:ascii="宋体" w:eastAsia="宋体" w:hint="eastAsia"/>
                <w:sz w:val="21"/>
              </w:rPr>
              <w:t>、赎回金额的计算</w:t>
            </w:r>
          </w:p>
        </w:tc>
        <w:tc>
          <w:tcPr>
            <w:tcW w:w="2391" w:type="dxa"/>
            <w:tcBorders>
              <w:top w:val="single" w:sz="12" w:space="0" w:color="000000"/>
            </w:tcBorders>
          </w:tcPr>
          <w:p>
            <w:pPr>
              <w:pStyle w:val="TableParagraph"/>
              <w:spacing w:before="0"/>
              <w:rPr>
                <w:sz w:val="20"/>
              </w:rPr>
            </w:pPr>
          </w:p>
        </w:tc>
        <w:tc>
          <w:tcPr>
            <w:tcW w:w="1369" w:type="dxa"/>
            <w:tcBorders>
              <w:top w:val="single" w:sz="12" w:space="0" w:color="000000"/>
            </w:tcBorders>
          </w:tcPr>
          <w:p>
            <w:pPr>
              <w:pStyle w:val="TableParagraph"/>
              <w:spacing w:before="0"/>
              <w:rPr>
                <w:sz w:val="20"/>
              </w:rPr>
            </w:pPr>
          </w:p>
        </w:tc>
      </w:tr>
    </w:tbl>
    <w:p>
      <w:pPr>
        <w:pStyle w:val="BodyText"/>
        <w:spacing w:before="7"/>
        <w:rPr>
          <w:sz w:val="16"/>
        </w:rPr>
      </w:pPr>
    </w:p>
    <w:p>
      <w:pPr>
        <w:pStyle w:val="BodyText"/>
        <w:ind w:left="960"/>
      </w:pPr>
      <w:r>
        <w:rPr/>
        <w:t>赎回金额的计算方法如下：</w:t>
      </w:r>
    </w:p>
    <w:p>
      <w:pPr>
        <w:pStyle w:val="BodyText"/>
        <w:spacing w:before="7"/>
        <w:rPr>
          <w:sz w:val="15"/>
        </w:rPr>
      </w:pPr>
    </w:p>
    <w:p>
      <w:pPr>
        <w:pStyle w:val="BodyText"/>
        <w:spacing w:line="417" w:lineRule="auto"/>
        <w:ind w:left="1380" w:right="4111"/>
      </w:pPr>
      <w:r>
        <w:rPr/>
        <w:t>赎回金额＝赎回份额</w:t>
      </w:r>
      <w:r>
        <w:rPr>
          <w:rFonts w:ascii="Times New Roman" w:hAnsi="Times New Roman" w:eastAsia="Times New Roman"/>
        </w:rPr>
        <w:t>×T </w:t>
      </w:r>
      <w:r>
        <w:rPr/>
        <w:t>日基金份额净值赎回费用＝赎回金额</w:t>
      </w:r>
      <w:r>
        <w:rPr>
          <w:rFonts w:ascii="Times New Roman" w:hAnsi="Times New Roman" w:eastAsia="Times New Roman"/>
        </w:rPr>
        <w:t>×</w:t>
      </w:r>
      <w:r>
        <w:rPr/>
        <w:t>赎回费率</w:t>
      </w:r>
    </w:p>
    <w:p>
      <w:pPr>
        <w:pStyle w:val="BodyText"/>
        <w:spacing w:line="269" w:lineRule="exact"/>
        <w:ind w:left="1380"/>
      </w:pPr>
      <w:r>
        <w:rPr/>
        <w:t>净赎回金额＝赎回金额</w:t>
      </w:r>
      <w:r>
        <w:rPr>
          <w:rFonts w:ascii="Times New Roman" w:eastAsia="Times New Roman"/>
        </w:rPr>
        <w:t>-</w:t>
      </w:r>
      <w:r>
        <w:rPr/>
        <w:t>赎回费用</w:t>
      </w:r>
    </w:p>
    <w:p>
      <w:pPr>
        <w:pStyle w:val="BodyText"/>
        <w:spacing w:before="7"/>
        <w:rPr>
          <w:sz w:val="15"/>
        </w:rPr>
      </w:pPr>
    </w:p>
    <w:p>
      <w:pPr>
        <w:pStyle w:val="BodyText"/>
        <w:spacing w:line="417" w:lineRule="auto"/>
        <w:ind w:left="540" w:right="311" w:firstLine="419"/>
      </w:pPr>
      <w:r>
        <w:rPr>
          <w:spacing w:val="-6"/>
        </w:rPr>
        <w:t>例二：假定某投资者在</w:t>
      </w:r>
      <w:r>
        <w:rPr>
          <w:rFonts w:ascii="Times New Roman" w:eastAsia="Times New Roman"/>
        </w:rPr>
        <w:t>T</w:t>
      </w:r>
      <w:r>
        <w:rPr>
          <w:spacing w:val="-2"/>
        </w:rPr>
        <w:t>日赎回</w:t>
      </w:r>
      <w:r>
        <w:rPr>
          <w:rFonts w:ascii="Times New Roman" w:eastAsia="Times New Roman"/>
        </w:rPr>
        <w:t>10,000.00</w:t>
      </w:r>
      <w:r>
        <w:rPr>
          <w:spacing w:val="-8"/>
        </w:rPr>
        <w:t>份，持有期限半年，该日基金份额净值为</w:t>
      </w:r>
      <w:r>
        <w:rPr>
          <w:rFonts w:ascii="Times New Roman" w:eastAsia="Times New Roman"/>
        </w:rPr>
        <w:t>1.250 </w:t>
      </w:r>
      <w:r>
        <w:rPr>
          <w:spacing w:val="-3"/>
        </w:rPr>
        <w:t>元，则其获得的净赎回金额计算如下：</w:t>
      </w:r>
    </w:p>
    <w:p>
      <w:pPr>
        <w:pStyle w:val="BodyText"/>
        <w:spacing w:line="417" w:lineRule="auto"/>
        <w:ind w:left="1380" w:right="4160"/>
      </w:pPr>
      <w:r>
        <w:rPr/>
        <w:t>赎回金额</w:t>
      </w:r>
      <w:r>
        <w:rPr>
          <w:rFonts w:ascii="Times New Roman" w:hAnsi="Times New Roman" w:eastAsia="Times New Roman"/>
        </w:rPr>
        <w:t>=10,000.00×1.250=12,500.00 </w:t>
      </w:r>
      <w:r>
        <w:rPr/>
        <w:t>元赎回费用</w:t>
      </w:r>
      <w:r>
        <w:rPr>
          <w:rFonts w:ascii="Times New Roman" w:hAnsi="Times New Roman" w:eastAsia="Times New Roman"/>
        </w:rPr>
        <w:t>=12,500.00×0.5%=62.50 </w:t>
      </w:r>
      <w:r>
        <w:rPr/>
        <w:t>元</w:t>
      </w:r>
    </w:p>
    <w:p>
      <w:pPr>
        <w:pStyle w:val="BodyText"/>
        <w:ind w:left="1380"/>
      </w:pPr>
      <w:r>
        <w:rPr/>
        <w:t>净赎回金额</w:t>
      </w:r>
      <w:r>
        <w:rPr>
          <w:rFonts w:ascii="Times New Roman" w:eastAsia="Times New Roman"/>
        </w:rPr>
        <w:t>=12,500.00-62.50=12,437.50 </w:t>
      </w:r>
      <w:r>
        <w:rPr/>
        <w:t>元</w:t>
      </w:r>
    </w:p>
    <w:p>
      <w:pPr>
        <w:pStyle w:val="BodyText"/>
        <w:spacing w:before="6"/>
        <w:rPr>
          <w:sz w:val="15"/>
        </w:rPr>
      </w:pPr>
    </w:p>
    <w:p>
      <w:pPr>
        <w:pStyle w:val="BodyText"/>
        <w:spacing w:line="417" w:lineRule="auto" w:before="1"/>
        <w:ind w:left="540" w:right="313" w:firstLine="419"/>
        <w:jc w:val="both"/>
      </w:pPr>
      <w:r>
        <w:rPr>
          <w:rFonts w:ascii="Times New Roman" w:eastAsia="Times New Roman"/>
        </w:rPr>
        <w:t>3</w:t>
      </w:r>
      <w:r>
        <w:rPr>
          <w:spacing w:val="-17"/>
        </w:rPr>
        <w:t>、</w:t>
      </w:r>
      <w:r>
        <w:rPr>
          <w:rFonts w:ascii="Times New Roman" w:eastAsia="Times New Roman"/>
        </w:rPr>
        <w:t>T</w:t>
      </w:r>
      <w:r>
        <w:rPr>
          <w:spacing w:val="-4"/>
        </w:rPr>
        <w:t>日的基金份额净值在当日收市后计算，并在</w:t>
      </w:r>
      <w:r>
        <w:rPr>
          <w:rFonts w:ascii="Times New Roman" w:eastAsia="Times New Roman"/>
        </w:rPr>
        <w:t>T+1</w:t>
      </w:r>
      <w:r>
        <w:rPr>
          <w:spacing w:val="-5"/>
        </w:rPr>
        <w:t>日公告，计算公式为计算日基金资产净值除以计算日基金份额余额。基金份额净值的计算保留到小数点后</w:t>
      </w:r>
      <w:r>
        <w:rPr>
          <w:rFonts w:ascii="Times New Roman" w:eastAsia="Times New Roman"/>
        </w:rPr>
        <w:t>3</w:t>
      </w:r>
      <w:r>
        <w:rPr/>
        <w:t>位，小数点后第</w:t>
      </w:r>
      <w:r>
        <w:rPr>
          <w:rFonts w:ascii="Times New Roman" w:eastAsia="Times New Roman"/>
          <w:spacing w:val="-11"/>
        </w:rPr>
        <w:t>4 </w:t>
      </w:r>
      <w:r>
        <w:rPr>
          <w:spacing w:val="-3"/>
        </w:rPr>
        <w:t>位四舍五入。如遇特殊情况，经中国证监会同意，可以适当延迟计算或公告。</w:t>
      </w:r>
    </w:p>
    <w:p>
      <w:pPr>
        <w:pStyle w:val="BodyText"/>
        <w:spacing w:line="269" w:lineRule="exact"/>
        <w:ind w:left="960"/>
      </w:pPr>
      <w:r>
        <w:rPr/>
        <w:t>（八）拒绝或暂停申购的情形</w:t>
      </w:r>
    </w:p>
    <w:p>
      <w:pPr>
        <w:pStyle w:val="BodyText"/>
        <w:spacing w:before="6"/>
        <w:rPr>
          <w:sz w:val="15"/>
        </w:rPr>
      </w:pPr>
    </w:p>
    <w:p>
      <w:pPr>
        <w:pStyle w:val="BodyText"/>
        <w:ind w:left="960"/>
      </w:pPr>
      <w:r>
        <w:rPr/>
        <w:t>发生下列情况时，基金管理人可拒绝或暂停接受投资人的申购申请：</w:t>
      </w:r>
    </w:p>
    <w:p>
      <w:pPr>
        <w:pStyle w:val="BodyText"/>
        <w:spacing w:before="7"/>
        <w:rPr>
          <w:sz w:val="15"/>
        </w:rPr>
      </w:pPr>
    </w:p>
    <w:p>
      <w:pPr>
        <w:pStyle w:val="BodyText"/>
        <w:ind w:left="960"/>
      </w:pPr>
      <w:r>
        <w:rPr>
          <w:rFonts w:ascii="Times New Roman" w:eastAsia="Times New Roman"/>
        </w:rPr>
        <w:t>1</w:t>
      </w:r>
      <w:r>
        <w:rPr/>
        <w:t>、因不可抗力导致基金无法正常运作。</w:t>
      </w:r>
    </w:p>
    <w:p>
      <w:pPr>
        <w:spacing w:after="0"/>
        <w:sectPr>
          <w:pgSz w:w="11910" w:h="16840"/>
          <w:pgMar w:header="877" w:footer="995" w:top="1420" w:bottom="1180" w:left="1260" w:right="1480"/>
        </w:sectPr>
      </w:pPr>
    </w:p>
    <w:p>
      <w:pPr>
        <w:pStyle w:val="BodyText"/>
        <w:spacing w:line="417" w:lineRule="auto" w:before="110"/>
        <w:ind w:left="540" w:right="31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spacing w:line="268" w:lineRule="exact"/>
        <w:ind w:left="96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6"/>
        <w:rPr>
          <w:sz w:val="15"/>
        </w:rPr>
      </w:pPr>
    </w:p>
    <w:p>
      <w:pPr>
        <w:pStyle w:val="BodyText"/>
        <w:spacing w:line="417" w:lineRule="auto"/>
        <w:ind w:left="540" w:right="314" w:firstLine="419"/>
      </w:pPr>
      <w:r>
        <w:rPr>
          <w:rFonts w:ascii="Times New Roman" w:eastAsia="Times New Roman"/>
        </w:rPr>
        <w:t>4</w:t>
      </w:r>
      <w:r>
        <w:rPr/>
        <w:t>、基金管理人认为接受某笔或某些申购申请可能会影响或损害现有基金份额持有人利益时。</w:t>
      </w:r>
    </w:p>
    <w:p>
      <w:pPr>
        <w:pStyle w:val="BodyText"/>
        <w:spacing w:line="417" w:lineRule="auto" w:before="1"/>
        <w:ind w:left="540" w:right="31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269" w:lineRule="exact"/>
        <w:ind w:left="960"/>
      </w:pPr>
      <w:r>
        <w:rPr>
          <w:rFonts w:ascii="Times New Roman" w:eastAsia="Times New Roman"/>
        </w:rPr>
        <w:t>6</w:t>
      </w:r>
      <w:r>
        <w:rPr/>
        <w:t>、基金管理人、基金托管人、登记机构、销售机构等因异常情况无法办理申购业务。</w:t>
      </w:r>
    </w:p>
    <w:p>
      <w:pPr>
        <w:pStyle w:val="BodyText"/>
        <w:spacing w:before="6"/>
        <w:rPr>
          <w:sz w:val="15"/>
        </w:rPr>
      </w:pPr>
    </w:p>
    <w:p>
      <w:pPr>
        <w:pStyle w:val="BodyText"/>
        <w:spacing w:line="417" w:lineRule="auto"/>
        <w:ind w:left="540" w:right="314" w:firstLine="41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269" w:lineRule="exact"/>
        <w:ind w:left="960"/>
      </w:pPr>
      <w:r>
        <w:rPr>
          <w:rFonts w:ascii="Times New Roman" w:eastAsia="Times New Roman"/>
        </w:rPr>
        <w:t>8</w:t>
      </w:r>
      <w:r>
        <w:rPr/>
        <w:t>、法律法规规定或中国证监会认定的其他情形。</w:t>
      </w:r>
    </w:p>
    <w:p>
      <w:pPr>
        <w:pStyle w:val="BodyText"/>
        <w:spacing w:before="7"/>
        <w:rPr>
          <w:sz w:val="15"/>
        </w:rPr>
      </w:pPr>
    </w:p>
    <w:p>
      <w:pPr>
        <w:pStyle w:val="BodyText"/>
        <w:spacing w:line="417" w:lineRule="auto"/>
        <w:ind w:left="540" w:right="311" w:firstLine="419"/>
        <w:jc w:val="both"/>
      </w:pPr>
      <w:r>
        <w:rPr>
          <w:spacing w:val="-7"/>
        </w:rPr>
        <w:t>发生上述第 </w:t>
      </w:r>
      <w:r>
        <w:rPr>
          <w:rFonts w:ascii="Times New Roman" w:eastAsia="Times New Roman"/>
        </w:rPr>
        <w:t>1</w:t>
      </w:r>
      <w:r>
        <w:rPr/>
        <w:t>、</w:t>
      </w:r>
      <w:r>
        <w:rPr>
          <w:rFonts w:ascii="Times New Roman" w:eastAsia="Times New Roman"/>
          <w:spacing w:val="-3"/>
        </w:rPr>
        <w:t>2</w:t>
      </w:r>
      <w:r>
        <w:rPr/>
        <w:t>、</w:t>
      </w:r>
      <w:r>
        <w:rPr>
          <w:rFonts w:ascii="Times New Roman" w:eastAsia="Times New Roman"/>
          <w:spacing w:val="-3"/>
        </w:rPr>
        <w:t>3</w:t>
      </w:r>
      <w:r>
        <w:rPr/>
        <w:t>、</w:t>
      </w:r>
      <w:r>
        <w:rPr>
          <w:rFonts w:ascii="Times New Roman" w:eastAsia="Times New Roman"/>
        </w:rPr>
        <w:t>5</w:t>
      </w:r>
      <w:r>
        <w:rPr>
          <w:spacing w:val="-3"/>
        </w:rPr>
        <w:t>、</w:t>
      </w:r>
      <w:r>
        <w:rPr>
          <w:rFonts w:ascii="Times New Roman" w:eastAsia="Times New Roman"/>
        </w:rPr>
        <w:t>6</w:t>
      </w:r>
      <w:r>
        <w:rPr/>
        <w:t>、</w:t>
      </w:r>
      <w:r>
        <w:rPr>
          <w:rFonts w:ascii="Times New Roman" w:eastAsia="Times New Roman"/>
        </w:rPr>
        <w:t>8 </w:t>
      </w:r>
      <w:r>
        <w:rPr>
          <w:spacing w:val="-3"/>
        </w:rPr>
        <w:t>项暂停申购情形且基金管理人决定暂停申购时，基金管</w:t>
      </w:r>
      <w:r>
        <w:rPr>
          <w:spacing w:val="-7"/>
        </w:rPr>
        <w:t>理人应当根据有关规定在指定媒介上刊登暂停申购公告。如果投资人的申购申请被拒绝，被</w:t>
      </w:r>
      <w:r>
        <w:rPr>
          <w:spacing w:val="-10"/>
        </w:rPr>
        <w:t>拒绝的申购款项将退还给投资人。在暂停申购的情况消除时，基金管理人应及时恢复申购业</w:t>
      </w:r>
      <w:r>
        <w:rPr>
          <w:spacing w:val="-5"/>
        </w:rPr>
        <w:t>务的办理。</w:t>
      </w:r>
    </w:p>
    <w:p>
      <w:pPr>
        <w:pStyle w:val="BodyText"/>
        <w:spacing w:line="269" w:lineRule="exact"/>
        <w:ind w:left="960"/>
      </w:pPr>
      <w:r>
        <w:rPr/>
        <w:t>（九）暂停赎回或延缓支付赎回款项的情形</w:t>
      </w:r>
    </w:p>
    <w:p>
      <w:pPr>
        <w:pStyle w:val="BodyText"/>
        <w:spacing w:before="7"/>
        <w:rPr>
          <w:sz w:val="15"/>
        </w:rPr>
      </w:pPr>
    </w:p>
    <w:p>
      <w:pPr>
        <w:pStyle w:val="BodyText"/>
        <w:ind w:left="960"/>
      </w:pPr>
      <w:r>
        <w:rPr/>
        <w:t>发生下列情形时，基金管理人可暂停接受投资人的赎回申请或延缓支付赎回款项：</w:t>
      </w:r>
    </w:p>
    <w:p>
      <w:pPr>
        <w:pStyle w:val="BodyText"/>
        <w:spacing w:before="7"/>
        <w:rPr>
          <w:sz w:val="15"/>
        </w:rPr>
      </w:pPr>
    </w:p>
    <w:p>
      <w:pPr>
        <w:pStyle w:val="BodyText"/>
        <w:ind w:left="960"/>
      </w:pPr>
      <w:r>
        <w:rPr>
          <w:rFonts w:ascii="Times New Roman" w:eastAsia="Times New Roman"/>
        </w:rPr>
        <w:t>1</w:t>
      </w:r>
      <w:r>
        <w:rPr/>
        <w:t>、因不可抗力导致基金管理人不能支付赎回款项。</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ind w:left="96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960"/>
      </w:pPr>
      <w:r>
        <w:rPr>
          <w:rFonts w:ascii="Times New Roman" w:eastAsia="Times New Roman"/>
        </w:rPr>
        <w:t>4</w:t>
      </w:r>
      <w:r>
        <w:rPr/>
        <w:t>、连续两个或两个以上开放日发生巨额赎回。</w:t>
      </w:r>
    </w:p>
    <w:p>
      <w:pPr>
        <w:pStyle w:val="BodyText"/>
        <w:spacing w:before="7"/>
        <w:rPr>
          <w:sz w:val="15"/>
        </w:rPr>
      </w:pPr>
    </w:p>
    <w:p>
      <w:pPr>
        <w:pStyle w:val="BodyText"/>
        <w:ind w:left="960"/>
      </w:pPr>
      <w:r>
        <w:rPr>
          <w:rFonts w:ascii="Times New Roman" w:eastAsia="Times New Roman"/>
        </w:rPr>
        <w:t>5</w:t>
      </w:r>
      <w:r>
        <w:rPr/>
        <w:t>、基金管理人、基金托管人、登记机构、销售机构等因异常情况无法办理赎回业务。</w:t>
      </w:r>
    </w:p>
    <w:p>
      <w:pPr>
        <w:pStyle w:val="BodyText"/>
        <w:spacing w:before="6"/>
        <w:rPr>
          <w:sz w:val="15"/>
        </w:rPr>
      </w:pPr>
    </w:p>
    <w:p>
      <w:pPr>
        <w:pStyle w:val="BodyText"/>
        <w:spacing w:before="1"/>
        <w:ind w:left="960"/>
      </w:pPr>
      <w:r>
        <w:rPr>
          <w:rFonts w:ascii="Times New Roman" w:eastAsia="Times New Roman"/>
        </w:rPr>
        <w:t>6</w:t>
      </w:r>
      <w:r>
        <w:rPr/>
        <w:t>、继续接受赎回申请可能会影响或损害现有基金份额持有人利益时。</w:t>
      </w:r>
    </w:p>
    <w:p>
      <w:pPr>
        <w:pStyle w:val="BodyText"/>
        <w:spacing w:before="7"/>
        <w:rPr>
          <w:sz w:val="15"/>
        </w:rPr>
      </w:pPr>
    </w:p>
    <w:p>
      <w:pPr>
        <w:pStyle w:val="BodyText"/>
        <w:ind w:left="960"/>
      </w:pPr>
      <w:r>
        <w:rPr>
          <w:rFonts w:ascii="Times New Roman" w:eastAsia="Times New Roman"/>
        </w:rPr>
        <w:t>7</w:t>
      </w:r>
      <w:r>
        <w:rPr/>
        <w:t>、法律法规规定或中国证监会认定的其他情形。</w:t>
      </w:r>
    </w:p>
    <w:p>
      <w:pPr>
        <w:pStyle w:val="BodyText"/>
        <w:spacing w:before="6"/>
        <w:rPr>
          <w:sz w:val="15"/>
        </w:rPr>
      </w:pPr>
    </w:p>
    <w:p>
      <w:pPr>
        <w:pStyle w:val="BodyText"/>
        <w:spacing w:before="1"/>
        <w:ind w:left="960"/>
      </w:pPr>
      <w:r>
        <w:rPr/>
        <w:t>发生上述情形且基金管理人决定暂停赎回或延缓支付赎回款项时，基金管理人应在当日</w:t>
      </w:r>
    </w:p>
    <w:p>
      <w:pPr>
        <w:spacing w:after="0"/>
        <w:sectPr>
          <w:pgSz w:w="11910" w:h="16840"/>
          <w:pgMar w:header="877" w:footer="995" w:top="1420" w:bottom="1180" w:left="1260" w:right="1480"/>
        </w:sectPr>
      </w:pPr>
    </w:p>
    <w:p>
      <w:pPr>
        <w:pStyle w:val="BodyText"/>
        <w:spacing w:line="417" w:lineRule="auto" w:before="110"/>
        <w:ind w:left="540" w:right="311"/>
        <w:jc w:val="both"/>
      </w:pPr>
      <w:r>
        <w:rPr>
          <w:spacing w:val="-10"/>
        </w:rPr>
        <w:t>报中国证监会备案，已确认的赎回申请，基金管理人应足额支付；如暂时不能足额支付，应</w:t>
      </w:r>
      <w:r>
        <w:rPr>
          <w:spacing w:val="-8"/>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Times New Roman" w:eastAsia="Times New Roman"/>
        </w:rPr>
        <w:t>4 </w:t>
      </w:r>
      <w:r>
        <w:rPr>
          <w:spacing w:val="-7"/>
        </w:rPr>
        <w:t>项所述情形，按</w:t>
      </w:r>
      <w:r>
        <w:rPr>
          <w:spacing w:val="-12"/>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pStyle w:val="BodyText"/>
        <w:spacing w:line="268" w:lineRule="exact"/>
        <w:ind w:left="960"/>
      </w:pPr>
      <w:r>
        <w:rPr/>
        <w:t>（十）巨额赎回的情形及处理方式</w:t>
      </w:r>
    </w:p>
    <w:p>
      <w:pPr>
        <w:pStyle w:val="BodyText"/>
        <w:spacing w:before="6"/>
        <w:rPr>
          <w:sz w:val="15"/>
        </w:rPr>
      </w:pPr>
    </w:p>
    <w:p>
      <w:pPr>
        <w:pStyle w:val="BodyText"/>
        <w:ind w:left="960"/>
      </w:pPr>
      <w:r>
        <w:rPr>
          <w:rFonts w:ascii="Times New Roman" w:eastAsia="Times New Roman"/>
        </w:rPr>
        <w:t>1</w:t>
      </w:r>
      <w:r>
        <w:rPr/>
        <w:t>、巨额赎回的认定</w:t>
      </w:r>
    </w:p>
    <w:p>
      <w:pPr>
        <w:pStyle w:val="BodyText"/>
        <w:spacing w:before="8"/>
        <w:rPr>
          <w:sz w:val="15"/>
        </w:rPr>
      </w:pPr>
    </w:p>
    <w:p>
      <w:pPr>
        <w:pStyle w:val="BodyText"/>
        <w:spacing w:line="417" w:lineRule="auto"/>
        <w:ind w:left="540" w:right="31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spacing w:line="269" w:lineRule="exact"/>
        <w:ind w:left="960"/>
      </w:pPr>
      <w:r>
        <w:rPr>
          <w:rFonts w:ascii="Times New Roman" w:eastAsia="Times New Roman"/>
        </w:rPr>
        <w:t>2</w:t>
      </w:r>
      <w:r>
        <w:rPr/>
        <w:t>、巨额赎回的处理方式</w:t>
      </w:r>
    </w:p>
    <w:p>
      <w:pPr>
        <w:pStyle w:val="BodyText"/>
        <w:spacing w:before="6"/>
        <w:rPr>
          <w:sz w:val="15"/>
        </w:rPr>
      </w:pPr>
    </w:p>
    <w:p>
      <w:pPr>
        <w:pStyle w:val="BodyText"/>
        <w:spacing w:line="417" w:lineRule="auto" w:before="1"/>
        <w:ind w:left="540" w:right="31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4"/>
        </w:numPr>
        <w:tabs>
          <w:tab w:pos="1490" w:val="left" w:leader="none"/>
        </w:tabs>
        <w:spacing w:line="417" w:lineRule="auto" w:before="0" w:after="0"/>
        <w:ind w:left="540" w:right="31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4"/>
        </w:numPr>
        <w:tabs>
          <w:tab w:pos="1490" w:val="left" w:leader="none"/>
        </w:tabs>
        <w:spacing w:line="417" w:lineRule="auto" w:before="0" w:after="0"/>
        <w:ind w:left="540" w:right="20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4"/>
        </w:numPr>
        <w:tabs>
          <w:tab w:pos="1490" w:val="left" w:leader="none"/>
        </w:tabs>
        <w:spacing w:line="417" w:lineRule="auto" w:before="0" w:after="0"/>
        <w:ind w:left="540" w:right="31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4"/>
        </w:numPr>
        <w:tabs>
          <w:tab w:pos="1487" w:val="left" w:leader="none"/>
        </w:tabs>
        <w:spacing w:line="417" w:lineRule="auto" w:before="0" w:after="0"/>
        <w:ind w:left="540" w:right="31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p>
    <w:p>
      <w:pPr>
        <w:spacing w:after="0" w:line="417" w:lineRule="auto"/>
        <w:jc w:val="both"/>
        <w:rPr>
          <w:sz w:val="21"/>
        </w:rPr>
        <w:sectPr>
          <w:pgSz w:w="11910" w:h="16840"/>
          <w:pgMar w:header="877" w:footer="995" w:top="1420" w:bottom="1180" w:left="1260" w:right="1480"/>
        </w:sectPr>
      </w:pPr>
    </w:p>
    <w:p>
      <w:pPr>
        <w:pStyle w:val="BodyText"/>
        <w:spacing w:before="110"/>
        <w:ind w:left="540"/>
      </w:pPr>
      <w:r>
        <w:rPr/>
        <w:t>以延期办理赎回申请。具体分为两种情况：</w:t>
      </w:r>
    </w:p>
    <w:p>
      <w:pPr>
        <w:pStyle w:val="BodyText"/>
        <w:spacing w:before="6"/>
        <w:rPr>
          <w:sz w:val="15"/>
        </w:rPr>
      </w:pPr>
    </w:p>
    <w:p>
      <w:pPr>
        <w:pStyle w:val="BodyText"/>
        <w:spacing w:line="417" w:lineRule="auto"/>
        <w:ind w:left="540" w:right="31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540" w:right="31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269" w:lineRule="exact"/>
        <w:ind w:left="960"/>
      </w:pPr>
      <w:r>
        <w:rPr>
          <w:rFonts w:ascii="Times New Roman" w:eastAsia="Times New Roman"/>
        </w:rPr>
        <w:t>3</w:t>
      </w:r>
      <w:r>
        <w:rPr/>
        <w:t>、巨额赎回的公告</w:t>
      </w:r>
    </w:p>
    <w:p>
      <w:pPr>
        <w:pStyle w:val="BodyText"/>
        <w:spacing w:before="6"/>
        <w:rPr>
          <w:sz w:val="15"/>
        </w:rPr>
      </w:pPr>
    </w:p>
    <w:p>
      <w:pPr>
        <w:pStyle w:val="BodyText"/>
        <w:spacing w:line="417" w:lineRule="auto" w:before="1"/>
        <w:ind w:left="540" w:right="311" w:firstLine="419"/>
        <w:jc w:val="both"/>
      </w:pPr>
      <w:r>
        <w:rPr>
          <w:spacing w:val="-8"/>
        </w:rPr>
        <w:t>当发生上述延期赎回并延期办理时，基金管理人应当通过邮寄、传真或者招募说明书规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ind w:left="960"/>
      </w:pPr>
      <w:r>
        <w:rPr/>
        <w:t>（十一）暂停申购或赎回的公告和重新开放申购或赎回的公告</w:t>
      </w:r>
    </w:p>
    <w:p>
      <w:pPr>
        <w:pStyle w:val="BodyText"/>
        <w:spacing w:before="6"/>
        <w:rPr>
          <w:sz w:val="15"/>
        </w:rPr>
      </w:pPr>
    </w:p>
    <w:p>
      <w:pPr>
        <w:pStyle w:val="BodyText"/>
        <w:spacing w:line="417" w:lineRule="auto"/>
        <w:ind w:left="540" w:right="31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540" w:right="25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540" w:right="31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960"/>
      </w:pPr>
      <w:r>
        <w:rPr/>
        <w:t>（十二）基金转换</w:t>
      </w:r>
    </w:p>
    <w:p>
      <w:pPr>
        <w:pStyle w:val="BodyText"/>
        <w:spacing w:before="6"/>
        <w:rPr>
          <w:sz w:val="15"/>
        </w:rPr>
      </w:pPr>
    </w:p>
    <w:p>
      <w:pPr>
        <w:pStyle w:val="BodyText"/>
        <w:ind w:left="960"/>
      </w:pPr>
      <w:r>
        <w:rPr>
          <w:rFonts w:ascii="Times New Roman" w:eastAsia="Times New Roman"/>
        </w:rPr>
        <w:t>1</w:t>
      </w:r>
      <w:r>
        <w:rPr/>
        <w:t>、基金转换的原则</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基金转换以份额为单位进行申请。</w:t>
      </w:r>
    </w:p>
    <w:p>
      <w:pPr>
        <w:pStyle w:val="BodyText"/>
        <w:spacing w:before="6"/>
        <w:rPr>
          <w:sz w:val="15"/>
        </w:rPr>
      </w:pPr>
    </w:p>
    <w:p>
      <w:pPr>
        <w:pStyle w:val="ListParagraph"/>
        <w:numPr>
          <w:ilvl w:val="0"/>
          <w:numId w:val="15"/>
        </w:numPr>
        <w:tabs>
          <w:tab w:pos="1490" w:val="left" w:leader="none"/>
        </w:tabs>
        <w:spacing w:line="417" w:lineRule="auto" w:before="1" w:after="0"/>
        <w:ind w:left="540" w:right="313" w:firstLine="419"/>
        <w:jc w:val="left"/>
        <w:rPr>
          <w:sz w:val="21"/>
        </w:rPr>
      </w:pPr>
      <w:r>
        <w:rPr>
          <w:sz w:val="21"/>
        </w:rPr>
        <w:t>基金转换采取</w:t>
      </w:r>
      <w:r>
        <w:rPr>
          <w:rFonts w:ascii="Times New Roman" w:hAnsi="Times New Roman" w:eastAsia="Times New Roman"/>
          <w:sz w:val="21"/>
        </w:rPr>
        <w:t>“</w:t>
      </w:r>
      <w:r>
        <w:rPr>
          <w:spacing w:val="-2"/>
          <w:sz w:val="21"/>
        </w:rPr>
        <w:t>未知价</w:t>
      </w:r>
      <w:r>
        <w:rPr>
          <w:rFonts w:ascii="Times New Roman" w:hAnsi="Times New Roman" w:eastAsia="Times New Roman"/>
          <w:sz w:val="21"/>
        </w:rPr>
        <w:t>”</w:t>
      </w:r>
      <w:r>
        <w:rPr>
          <w:spacing w:val="-2"/>
          <w:sz w:val="21"/>
        </w:rPr>
        <w:t>法，即基金的转换价格以转换申请受理当日转出、转入基</w:t>
      </w:r>
      <w:r>
        <w:rPr>
          <w:spacing w:val="-3"/>
          <w:sz w:val="21"/>
        </w:rPr>
        <w:t>金的份额净值为基准进行计算。</w:t>
      </w: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投资者Ｔ日申请基金转换后，</w:t>
      </w:r>
      <w:r>
        <w:rPr>
          <w:rFonts w:ascii="Times New Roman" w:eastAsia="Times New Roman"/>
          <w:sz w:val="21"/>
        </w:rPr>
        <w:t>T+1 </w:t>
      </w:r>
      <w:r>
        <w:rPr>
          <w:spacing w:val="-3"/>
          <w:sz w:val="21"/>
        </w:rPr>
        <w:t>日可获得确认。</w:t>
      </w:r>
    </w:p>
    <w:p>
      <w:pPr>
        <w:spacing w:after="0" w:line="240" w:lineRule="auto"/>
        <w:jc w:val="left"/>
        <w:rPr>
          <w:sz w:val="21"/>
        </w:rPr>
        <w:sectPr>
          <w:pgSz w:w="11910" w:h="16840"/>
          <w:pgMar w:header="877" w:footer="995" w:top="1420" w:bottom="1180" w:left="1260" w:right="1480"/>
        </w:sectPr>
      </w:pPr>
    </w:p>
    <w:p>
      <w:pPr>
        <w:pStyle w:val="ListParagraph"/>
        <w:numPr>
          <w:ilvl w:val="0"/>
          <w:numId w:val="15"/>
        </w:numPr>
        <w:tabs>
          <w:tab w:pos="1487" w:val="left" w:leader="none"/>
        </w:tabs>
        <w:spacing w:line="417" w:lineRule="auto" w:before="110" w:after="0"/>
        <w:ind w:left="540" w:right="31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5"/>
        </w:numPr>
        <w:tabs>
          <w:tab w:pos="1490" w:val="left" w:leader="none"/>
        </w:tabs>
        <w:spacing w:line="417" w:lineRule="auto" w:before="0" w:after="0"/>
        <w:ind w:left="540" w:right="31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5"/>
        </w:numPr>
        <w:tabs>
          <w:tab w:pos="1490" w:val="left" w:leader="none"/>
        </w:tabs>
        <w:spacing w:line="417" w:lineRule="auto" w:before="0" w:after="0"/>
        <w:ind w:left="540" w:right="313"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540" w:right="31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269" w:lineRule="exact"/>
        <w:ind w:left="960"/>
        <w:rPr>
          <w:rFonts w:ascii="Times New Roman" w:eastAsia="Times New Roman"/>
        </w:rPr>
      </w:pPr>
      <w:r>
        <w:rPr/>
        <w:t>基金管理人有权根据市场情况调整转换的程序及有关限制，但应最迟在调整生效前 </w:t>
      </w:r>
      <w:r>
        <w:rPr>
          <w:rFonts w:ascii="Times New Roman" w:eastAsia="Times New Roman"/>
        </w:rPr>
        <w:t>2</w:t>
      </w:r>
    </w:p>
    <w:p>
      <w:pPr>
        <w:pStyle w:val="BodyText"/>
        <w:spacing w:before="2"/>
        <w:rPr>
          <w:rFonts w:ascii="Times New Roman"/>
          <w:sz w:val="17"/>
        </w:rPr>
      </w:pPr>
    </w:p>
    <w:p>
      <w:pPr>
        <w:pStyle w:val="BodyText"/>
        <w:ind w:left="540"/>
      </w:pPr>
      <w:r>
        <w:rPr/>
        <w:t>个工作日在至少一种中国证监会指定的信息披露媒介公告。</w:t>
      </w:r>
    </w:p>
    <w:p>
      <w:pPr>
        <w:pStyle w:val="BodyText"/>
        <w:spacing w:before="7"/>
        <w:rPr>
          <w:sz w:val="15"/>
        </w:rPr>
      </w:pPr>
    </w:p>
    <w:p>
      <w:pPr>
        <w:pStyle w:val="BodyText"/>
        <w:ind w:left="960"/>
      </w:pPr>
      <w:r>
        <w:rPr>
          <w:rFonts w:ascii="Times New Roman" w:eastAsia="Times New Roman"/>
        </w:rPr>
        <w:t>2</w:t>
      </w:r>
      <w:r>
        <w:rPr/>
        <w:t>、暂停基金转换的情形及处理</w:t>
      </w:r>
    </w:p>
    <w:p>
      <w:pPr>
        <w:pStyle w:val="BodyText"/>
        <w:spacing w:before="7"/>
        <w:rPr>
          <w:sz w:val="15"/>
        </w:rPr>
      </w:pPr>
    </w:p>
    <w:p>
      <w:pPr>
        <w:pStyle w:val="BodyText"/>
        <w:ind w:left="960"/>
      </w:pPr>
      <w:r>
        <w:rPr/>
        <w:t>出现下列情况之一时，基金管理人可以暂停基金转换业务：</w:t>
      </w:r>
    </w:p>
    <w:p>
      <w:pPr>
        <w:pStyle w:val="BodyText"/>
        <w:spacing w:before="7"/>
        <w:rPr>
          <w:sz w:val="15"/>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6"/>
        </w:numPr>
        <w:tabs>
          <w:tab w:pos="1490" w:val="left" w:leader="none"/>
        </w:tabs>
        <w:spacing w:line="417" w:lineRule="auto" w:before="0" w:after="0"/>
        <w:ind w:left="540" w:right="314" w:firstLine="419"/>
        <w:jc w:val="left"/>
        <w:rPr>
          <w:sz w:val="21"/>
        </w:rPr>
      </w:pPr>
      <w:r>
        <w:rPr>
          <w:spacing w:val="-3"/>
          <w:sz w:val="21"/>
        </w:rPr>
        <w:t>证券交易场所在交易时间非正常停市，导致基金管理人无法计算当日基金资产净值。</w:t>
      </w:r>
    </w:p>
    <w:p>
      <w:pPr>
        <w:pStyle w:val="ListParagraph"/>
        <w:numPr>
          <w:ilvl w:val="0"/>
          <w:numId w:val="16"/>
        </w:numPr>
        <w:tabs>
          <w:tab w:pos="1490" w:val="left" w:leader="none"/>
        </w:tabs>
        <w:spacing w:line="417" w:lineRule="auto" w:before="0" w:after="0"/>
        <w:ind w:left="540" w:right="31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6"/>
        </w:numPr>
        <w:tabs>
          <w:tab w:pos="1490" w:val="left" w:leader="none"/>
        </w:tabs>
        <w:spacing w:line="269" w:lineRule="exact" w:before="0" w:after="0"/>
        <w:ind w:left="148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6"/>
        </w:numPr>
        <w:tabs>
          <w:tab w:pos="1490" w:val="left" w:leader="none"/>
        </w:tabs>
        <w:spacing w:line="240" w:lineRule="auto" w:before="1" w:after="0"/>
        <w:ind w:left="1489" w:right="0" w:hanging="530"/>
        <w:jc w:val="left"/>
        <w:rPr>
          <w:sz w:val="21"/>
        </w:rPr>
      </w:pPr>
      <w:r>
        <w:rPr>
          <w:spacing w:val="-3"/>
          <w:sz w:val="21"/>
        </w:rPr>
        <w:t>发生基金合同规定的暂停基金申购或赎回的情形。</w:t>
      </w:r>
    </w:p>
    <w:p>
      <w:pPr>
        <w:pStyle w:val="BodyText"/>
        <w:spacing w:before="6"/>
        <w:rPr>
          <w:sz w:val="15"/>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540" w:right="31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spacing w:line="269" w:lineRule="exact"/>
        <w:ind w:left="960"/>
      </w:pPr>
      <w:r>
        <w:rPr>
          <w:rFonts w:ascii="Times New Roman" w:eastAsia="Times New Roman"/>
        </w:rPr>
        <w:t>3</w:t>
      </w:r>
      <w:r>
        <w:rPr/>
        <w:t>、基金转换费用</w:t>
      </w:r>
    </w:p>
    <w:p>
      <w:pPr>
        <w:pStyle w:val="BodyText"/>
        <w:spacing w:before="7"/>
        <w:rPr>
          <w:sz w:val="15"/>
        </w:rPr>
      </w:pPr>
    </w:p>
    <w:p>
      <w:pPr>
        <w:pStyle w:val="ListParagraph"/>
        <w:numPr>
          <w:ilvl w:val="0"/>
          <w:numId w:val="17"/>
        </w:numPr>
        <w:tabs>
          <w:tab w:pos="1490" w:val="left" w:leader="none"/>
        </w:tabs>
        <w:spacing w:line="240" w:lineRule="auto" w:before="0" w:after="0"/>
        <w:ind w:left="1489" w:right="0" w:hanging="530"/>
        <w:jc w:val="left"/>
        <w:rPr>
          <w:sz w:val="21"/>
        </w:rPr>
      </w:pPr>
      <w:r>
        <w:rPr>
          <w:spacing w:val="-3"/>
          <w:sz w:val="21"/>
        </w:rPr>
        <w:t>基金转换费：无。</w:t>
      </w:r>
    </w:p>
    <w:p>
      <w:pPr>
        <w:pStyle w:val="BodyText"/>
        <w:spacing w:before="7"/>
        <w:rPr>
          <w:sz w:val="15"/>
        </w:rPr>
      </w:pPr>
    </w:p>
    <w:p>
      <w:pPr>
        <w:pStyle w:val="ListParagraph"/>
        <w:numPr>
          <w:ilvl w:val="0"/>
          <w:numId w:val="17"/>
        </w:numPr>
        <w:tabs>
          <w:tab w:pos="1490" w:val="left" w:leader="none"/>
        </w:tabs>
        <w:spacing w:line="417" w:lineRule="auto" w:before="0" w:after="0"/>
        <w:ind w:left="540" w:right="311" w:firstLine="419"/>
        <w:jc w:val="left"/>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p>
    <w:p>
      <w:pPr>
        <w:spacing w:after="0" w:line="417" w:lineRule="auto"/>
        <w:jc w:val="left"/>
        <w:rPr>
          <w:sz w:val="21"/>
        </w:rPr>
        <w:sectPr>
          <w:pgSz w:w="11910" w:h="16840"/>
          <w:pgMar w:header="877" w:footer="995" w:top="1420" w:bottom="1180" w:left="1260" w:right="1480"/>
        </w:sectPr>
      </w:pPr>
    </w:p>
    <w:p>
      <w:pPr>
        <w:pStyle w:val="BodyText"/>
        <w:spacing w:before="110"/>
        <w:ind w:left="540"/>
      </w:pPr>
      <w:r>
        <w:rPr/>
        <w:t>与后端申购费（若有）后的余额。</w:t>
      </w:r>
    </w:p>
    <w:p>
      <w:pPr>
        <w:pStyle w:val="BodyText"/>
        <w:spacing w:before="6"/>
        <w:rPr>
          <w:sz w:val="15"/>
        </w:rPr>
      </w:pPr>
    </w:p>
    <w:p>
      <w:pPr>
        <w:pStyle w:val="ListParagraph"/>
        <w:numPr>
          <w:ilvl w:val="0"/>
          <w:numId w:val="17"/>
        </w:numPr>
        <w:tabs>
          <w:tab w:pos="1490" w:val="left" w:leader="none"/>
        </w:tabs>
        <w:spacing w:line="240" w:lineRule="auto" w:before="0" w:after="0"/>
        <w:ind w:left="148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960"/>
      </w:pPr>
      <w:r>
        <w:rPr/>
        <w:t>①从前端（比例费率）收费基金转出，转入其他前端（比例费率）收费基金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中例一。</w:t>
      </w:r>
    </w:p>
    <w:p>
      <w:pPr>
        <w:pStyle w:val="BodyText"/>
        <w:spacing w:before="6"/>
        <w:rPr>
          <w:sz w:val="15"/>
        </w:rPr>
      </w:pPr>
    </w:p>
    <w:p>
      <w:pPr>
        <w:pStyle w:val="BodyText"/>
        <w:spacing w:before="1"/>
        <w:ind w:left="960"/>
      </w:pPr>
      <w:r>
        <w:rPr/>
        <w:t>②从前端（比例费率）收费基金转出，转入其他前端（固定费用）收费基金</w:t>
      </w:r>
    </w:p>
    <w:p>
      <w:pPr>
        <w:pStyle w:val="BodyText"/>
        <w:spacing w:before="6"/>
        <w:rPr>
          <w:sz w:val="15"/>
        </w:rPr>
      </w:pPr>
    </w:p>
    <w:p>
      <w:pPr>
        <w:pStyle w:val="BodyText"/>
        <w:spacing w:line="417" w:lineRule="auto"/>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中例二。</w:t>
      </w:r>
    </w:p>
    <w:p>
      <w:pPr>
        <w:pStyle w:val="BodyText"/>
        <w:spacing w:before="7"/>
        <w:rPr>
          <w:sz w:val="15"/>
        </w:rPr>
      </w:pPr>
    </w:p>
    <w:p>
      <w:pPr>
        <w:pStyle w:val="BodyText"/>
        <w:ind w:left="960"/>
      </w:pPr>
      <w:r>
        <w:rPr/>
        <w:t>③从前端（比例费率）收费基金转出，转入其他后端收费基金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中例三。</w:t>
      </w:r>
    </w:p>
    <w:p>
      <w:pPr>
        <w:pStyle w:val="BodyText"/>
        <w:spacing w:before="6"/>
        <w:rPr>
          <w:sz w:val="15"/>
        </w:rPr>
      </w:pPr>
    </w:p>
    <w:p>
      <w:pPr>
        <w:pStyle w:val="BodyText"/>
        <w:ind w:left="960"/>
      </w:pPr>
      <w:r>
        <w:rPr/>
        <w:t>④从前端（比例费率）收费基金转出，转入其他不收取申购费用的基金</w:t>
      </w:r>
    </w:p>
    <w:p>
      <w:pPr>
        <w:pStyle w:val="BodyText"/>
        <w:spacing w:before="8"/>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960"/>
      </w:pPr>
      <w:r>
        <w:rPr/>
        <w:t>费用收取方式：不收取申购费用。</w:t>
      </w:r>
    </w:p>
    <w:p>
      <w:pPr>
        <w:pStyle w:val="BodyText"/>
        <w:spacing w:before="6"/>
        <w:rPr>
          <w:sz w:val="15"/>
        </w:rPr>
      </w:pP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中例四。</w:t>
      </w:r>
    </w:p>
    <w:p>
      <w:pPr>
        <w:pStyle w:val="BodyText"/>
        <w:spacing w:before="7"/>
        <w:rPr>
          <w:sz w:val="15"/>
        </w:rPr>
      </w:pPr>
    </w:p>
    <w:p>
      <w:pPr>
        <w:pStyle w:val="BodyText"/>
        <w:ind w:left="960"/>
      </w:pPr>
      <w:r>
        <w:rPr/>
        <w:t>⑤从前端（固定费用）收费基金转出，转入其他前端（比例费率）收费基金</w:t>
      </w:r>
    </w:p>
    <w:p>
      <w:pPr>
        <w:pStyle w:val="BodyText"/>
        <w:spacing w:before="7"/>
        <w:rPr>
          <w:sz w:val="15"/>
        </w:rPr>
      </w:pPr>
    </w:p>
    <w:p>
      <w:pPr>
        <w:pStyle w:val="BodyText"/>
        <w:spacing w:line="417" w:lineRule="auto"/>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spacing w:after="0" w:line="417" w:lineRule="auto"/>
        <w:sectPr>
          <w:pgSz w:w="11910" w:h="16840"/>
          <w:pgMar w:header="877" w:footer="995" w:top="1420" w:bottom="1180" w:left="1260" w:right="1480"/>
        </w:sectPr>
      </w:pPr>
    </w:p>
    <w:p>
      <w:pPr>
        <w:pStyle w:val="BodyText"/>
        <w:spacing w:before="110"/>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中例五。</w:t>
      </w:r>
    </w:p>
    <w:p>
      <w:pPr>
        <w:pStyle w:val="BodyText"/>
        <w:spacing w:before="6"/>
        <w:rPr>
          <w:sz w:val="15"/>
        </w:rPr>
      </w:pPr>
    </w:p>
    <w:p>
      <w:pPr>
        <w:pStyle w:val="BodyText"/>
        <w:ind w:left="960"/>
      </w:pPr>
      <w:r>
        <w:rPr/>
        <w:t>⑥从前端（固定费用）收费基金转出，转入其他前端（固定费用）收费基金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960" w:right="21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w:t>
      </w:r>
      <w:r>
        <w:rPr>
          <w:rFonts w:ascii="Times New Roman" w:hAnsi="Times New Roman" w:eastAsia="Times New Roman"/>
        </w:rPr>
        <w:t>”</w:t>
      </w:r>
      <w:r>
        <w:rPr/>
        <w:t>中例六。</w:t>
      </w:r>
    </w:p>
    <w:p>
      <w:pPr>
        <w:pStyle w:val="BodyText"/>
        <w:spacing w:line="269" w:lineRule="exact"/>
        <w:ind w:left="960"/>
      </w:pPr>
      <w:r>
        <w:rPr/>
        <w:t>⑦从前端（固定费用）收费基金转出，转入其他后端收费基金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中例七。</w:t>
      </w:r>
    </w:p>
    <w:p>
      <w:pPr>
        <w:pStyle w:val="BodyText"/>
        <w:spacing w:before="6"/>
        <w:rPr>
          <w:sz w:val="15"/>
        </w:rPr>
      </w:pPr>
    </w:p>
    <w:p>
      <w:pPr>
        <w:pStyle w:val="BodyText"/>
        <w:spacing w:before="1"/>
        <w:ind w:left="960"/>
      </w:pPr>
      <w:r>
        <w:rPr/>
        <w:t>⑧从前端（固定费用）收费基金转出，转入其他不收取申购费用的基金</w:t>
      </w:r>
    </w:p>
    <w:p>
      <w:pPr>
        <w:pStyle w:val="BodyText"/>
        <w:spacing w:before="6"/>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中例八。</w:t>
      </w:r>
    </w:p>
    <w:p>
      <w:pPr>
        <w:pStyle w:val="BodyText"/>
        <w:spacing w:before="7"/>
        <w:rPr>
          <w:sz w:val="15"/>
        </w:rPr>
      </w:pPr>
    </w:p>
    <w:p>
      <w:pPr>
        <w:pStyle w:val="BodyText"/>
        <w:ind w:left="960"/>
      </w:pPr>
      <w:r>
        <w:rPr/>
        <w:t>⑨从后端收费基金转出，转入其他前端（比例费率）收费基金</w:t>
      </w:r>
    </w:p>
    <w:p>
      <w:pPr>
        <w:pStyle w:val="BodyText"/>
        <w:spacing w:before="6"/>
        <w:rPr>
          <w:sz w:val="15"/>
        </w:rPr>
      </w:pPr>
    </w:p>
    <w:p>
      <w:pPr>
        <w:pStyle w:val="BodyText"/>
        <w:spacing w:line="417" w:lineRule="auto" w:before="1"/>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中例九。</w:t>
      </w:r>
    </w:p>
    <w:p>
      <w:pPr>
        <w:pStyle w:val="BodyText"/>
        <w:spacing w:before="6"/>
        <w:rPr>
          <w:sz w:val="15"/>
        </w:rPr>
      </w:pPr>
    </w:p>
    <w:p>
      <w:pPr>
        <w:pStyle w:val="BodyText"/>
        <w:ind w:left="960"/>
      </w:pPr>
      <w:r>
        <w:rPr/>
        <w:t>⑩从后端收费基金转出，转入其他前端（固定费用）收费基金</w:t>
      </w:r>
    </w:p>
    <w:p>
      <w:pPr>
        <w:pStyle w:val="BodyText"/>
        <w:spacing w:before="7"/>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w:t>
      </w:r>
    </w:p>
    <w:p>
      <w:pPr>
        <w:pStyle w:val="BodyText"/>
        <w:spacing w:before="6"/>
        <w:rPr>
          <w:sz w:val="15"/>
        </w:rPr>
      </w:pPr>
    </w:p>
    <w:p>
      <w:pPr>
        <w:pStyle w:val="BodyText"/>
        <w:spacing w:before="1"/>
        <w:ind w:left="960"/>
      </w:pPr>
      <w:r>
        <w:rPr>
          <w:rFonts w:ascii="Cambria Math" w:hAnsi="Cambria Math" w:eastAsia="Cambria Math"/>
        </w:rPr>
        <w:t>⑪</w:t>
      </w:r>
      <w:r>
        <w:rPr/>
        <w:t>从后端收费基金转出，转入其他后端收费基金</w:t>
      </w:r>
    </w:p>
    <w:p>
      <w:pPr>
        <w:spacing w:after="0"/>
        <w:sectPr>
          <w:pgSz w:w="11910" w:h="16840"/>
          <w:pgMar w:header="877" w:footer="995" w:top="1420" w:bottom="1180" w:left="1260" w:right="1480"/>
        </w:sectPr>
      </w:pPr>
    </w:p>
    <w:p>
      <w:pPr>
        <w:pStyle w:val="BodyText"/>
        <w:spacing w:line="417" w:lineRule="auto" w:before="110"/>
        <w:ind w:left="540" w:right="31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540" w:right="31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中例十一。</w:t>
      </w:r>
    </w:p>
    <w:p>
      <w:pPr>
        <w:pStyle w:val="BodyText"/>
        <w:spacing w:before="6"/>
        <w:rPr>
          <w:sz w:val="15"/>
        </w:rPr>
      </w:pPr>
    </w:p>
    <w:p>
      <w:pPr>
        <w:pStyle w:val="BodyText"/>
        <w:ind w:left="960"/>
      </w:pPr>
      <w:r>
        <w:rPr>
          <w:rFonts w:ascii="Cambria Math" w:hAnsi="Cambria Math" w:eastAsia="Cambria Math"/>
        </w:rPr>
        <w:t>⑫</w:t>
      </w:r>
      <w:r>
        <w:rPr/>
        <w:t>从后端收费基金转出，转入其他不收取申购费用的基金</w:t>
      </w:r>
    </w:p>
    <w:p>
      <w:pPr>
        <w:pStyle w:val="BodyText"/>
        <w:spacing w:line="417" w:lineRule="auto" w:before="199"/>
        <w:ind w:left="540" w:right="311" w:firstLine="419"/>
      </w:pPr>
      <w:r>
        <w:rPr>
          <w:spacing w:val="-12"/>
        </w:rPr>
        <w:t>情形描述：投资者将其持有的某一后端收费基金的基金份额转换为本公司管理的其他不</w:t>
      </w:r>
      <w:r>
        <w:rPr>
          <w:spacing w:val="-6"/>
        </w:rPr>
        <w:t>收取申购费用的基金基金份额。</w:t>
      </w:r>
    </w:p>
    <w:p>
      <w:pPr>
        <w:pStyle w:val="BodyTex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w:t>
      </w:r>
      <w:r>
        <w:rPr/>
        <w:t>务、业务举例</w:t>
      </w:r>
      <w:r>
        <w:rPr>
          <w:rFonts w:ascii="Times New Roman" w:hAnsi="Times New Roman" w:eastAsia="Times New Roman"/>
        </w:rPr>
        <w:t>”</w:t>
      </w:r>
      <w:r>
        <w:rPr/>
        <w:t>中例十二。</w:t>
      </w:r>
    </w:p>
    <w:p>
      <w:pPr>
        <w:pStyle w:val="BodyText"/>
        <w:spacing w:before="7"/>
        <w:rPr>
          <w:sz w:val="15"/>
        </w:rPr>
      </w:pPr>
    </w:p>
    <w:p>
      <w:pPr>
        <w:pStyle w:val="BodyText"/>
        <w:ind w:left="96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540" w:right="313" w:firstLine="419"/>
      </w:pPr>
      <w:r>
        <w:rPr/>
        <w:t>费用收取方式：收取的申购费率</w:t>
      </w:r>
      <w:r>
        <w:rPr>
          <w:rFonts w:ascii="Times New Roman" w:hAnsi="Times New Roman" w:eastAsia="Times New Roman"/>
        </w:rPr>
        <w:t>=</w:t>
      </w:r>
      <w:r>
        <w:rPr/>
        <w:t>转入基金的申购费率－转出基金的销售服务费率</w:t>
      </w:r>
      <w:r>
        <w:rPr>
          <w:rFonts w:ascii="Times New Roman" w:hAnsi="Times New Roman" w:eastAsia="Times New Roman"/>
        </w:rPr>
        <w:t>×</w:t>
      </w:r>
      <w:r>
        <w:rPr>
          <w:spacing w:val="-11"/>
        </w:rPr>
        <w:t>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ind w:left="960"/>
      </w:pPr>
      <w:r>
        <w:rPr/>
        <w:t>业务举例：详见</w:t>
      </w:r>
      <w:r>
        <w:rPr>
          <w:rFonts w:ascii="Times New Roman" w:hAnsi="Times New Roman" w:eastAsia="Times New Roman"/>
        </w:rPr>
        <w:t>“</w:t>
      </w:r>
      <w:r>
        <w:rPr/>
        <w:t>务、业务举例</w:t>
      </w:r>
      <w:r>
        <w:rPr>
          <w:rFonts w:ascii="Times New Roman" w:hAnsi="Times New Roman" w:eastAsia="Times New Roman"/>
        </w:rPr>
        <w:t>”</w:t>
      </w:r>
      <w:r>
        <w:rPr/>
        <w:t>中例十三。</w:t>
      </w:r>
    </w:p>
    <w:p>
      <w:pPr>
        <w:pStyle w:val="BodyText"/>
        <w:spacing w:before="6"/>
        <w:rPr>
          <w:sz w:val="15"/>
        </w:rPr>
      </w:pPr>
    </w:p>
    <w:p>
      <w:pPr>
        <w:pStyle w:val="BodyText"/>
        <w:ind w:left="960"/>
      </w:pPr>
      <w:r>
        <w:rPr>
          <w:rFonts w:ascii="Cambria Math" w:hAnsi="Cambria Math" w:eastAsia="Cambria Math"/>
        </w:rPr>
        <w:t>⑭</w:t>
      </w:r>
      <w:r>
        <w:rPr/>
        <w:t>从不收取申购费用基金转出，转入其他前端（固定费用）收费基金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540" w:right="313" w:firstLine="419"/>
      </w:pPr>
      <w:r>
        <w:rPr>
          <w:spacing w:val="-7"/>
        </w:rPr>
        <w:t>费用收取方式：收取的申购费用</w:t>
      </w:r>
      <w:r>
        <w:rPr>
          <w:rFonts w:ascii="Times New Roman" w:hAnsi="Times New Roman" w:eastAsia="Times New Roman"/>
        </w:rPr>
        <w:t>=</w:t>
      </w:r>
      <w:r>
        <w:rPr>
          <w:spacing w:val="-3"/>
        </w:rPr>
        <w:t>固定费用－转换金额</w:t>
      </w:r>
      <w:r>
        <w:rPr>
          <w:rFonts w:ascii="Times New Roman" w:hAnsi="Times New Roman" w:eastAsia="Times New Roman"/>
          <w:spacing w:val="-4"/>
        </w:rPr>
        <w:t>×</w:t>
      </w:r>
      <w:r>
        <w:rPr>
          <w:spacing w:val="-3"/>
        </w:rPr>
        <w:t>转出基金的销售服务费率</w:t>
      </w:r>
      <w:r>
        <w:rPr>
          <w:rFonts w:ascii="Times New Roman" w:hAnsi="Times New Roman" w:eastAsia="Times New Roman"/>
          <w:spacing w:val="-4"/>
        </w:rPr>
        <w:t>×</w:t>
      </w:r>
      <w:r>
        <w:rPr/>
        <w:t>转出</w:t>
      </w:r>
      <w:r>
        <w:rPr>
          <w:spacing w:val="-3"/>
          <w:w w:val="100"/>
        </w:rPr>
        <w:t>基金的持有时间</w:t>
      </w:r>
      <w:r>
        <w:rPr>
          <w:w w:val="100"/>
        </w:rPr>
        <w:t>（</w:t>
      </w:r>
      <w:r>
        <w:rPr>
          <w:spacing w:val="-3"/>
          <w:w w:val="100"/>
        </w:rPr>
        <w:t>单位为年</w:t>
      </w:r>
      <w:r>
        <w:rPr>
          <w:spacing w:val="-106"/>
          <w:w w:val="100"/>
        </w:rPr>
        <w:t>）</w:t>
      </w:r>
      <w:r>
        <w:rPr>
          <w:spacing w:val="-3"/>
          <w:w w:val="100"/>
        </w:rPr>
        <w:t>，最低为</w:t>
      </w:r>
      <w:r>
        <w:rPr>
          <w:spacing w:val="-3"/>
        </w:rPr>
        <w:t> </w:t>
      </w:r>
      <w:r>
        <w:rPr>
          <w:rFonts w:ascii="Times New Roman" w:hAnsi="Times New Roman" w:eastAsia="Times New Roman"/>
          <w:spacing w:val="-3"/>
          <w:w w:val="100"/>
        </w:rPr>
        <w:t>0</w:t>
      </w:r>
      <w:r>
        <w:rPr>
          <w:w w:val="100"/>
        </w:rPr>
        <w:t>。</w:t>
      </w:r>
    </w:p>
    <w:p>
      <w:pPr>
        <w:pStyle w:val="BodyText"/>
        <w:ind w:left="960"/>
      </w:pPr>
      <w:r>
        <w:rPr/>
        <w:t>业务举例：详见</w:t>
      </w:r>
      <w:r>
        <w:rPr>
          <w:rFonts w:ascii="Times New Roman" w:hAnsi="Times New Roman" w:eastAsia="Times New Roman"/>
        </w:rPr>
        <w:t>“</w:t>
      </w:r>
      <w:r>
        <w:rPr/>
        <w:t>务、业务举例</w:t>
      </w:r>
      <w:r>
        <w:rPr>
          <w:rFonts w:ascii="Times New Roman" w:hAnsi="Times New Roman" w:eastAsia="Times New Roman"/>
        </w:rPr>
        <w:t>”</w:t>
      </w:r>
      <w:r>
        <w:rPr/>
        <w:t>中例十四。</w:t>
      </w:r>
    </w:p>
    <w:p>
      <w:pPr>
        <w:pStyle w:val="BodyText"/>
        <w:spacing w:before="7"/>
        <w:rPr>
          <w:sz w:val="15"/>
        </w:rPr>
      </w:pPr>
    </w:p>
    <w:p>
      <w:pPr>
        <w:pStyle w:val="BodyText"/>
        <w:ind w:left="960"/>
      </w:pPr>
      <w:r>
        <w:rPr>
          <w:rFonts w:ascii="Cambria Math" w:hAnsi="Cambria Math" w:eastAsia="Cambria Math"/>
        </w:rPr>
        <w:t>⑮</w:t>
      </w:r>
      <w:r>
        <w:rPr/>
        <w:t>从不收取申购费用的基金转出，转入其他后端收费基金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540" w:right="31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960"/>
      </w:pPr>
      <w:r>
        <w:rPr/>
        <w:t>业务举例：详见</w:t>
      </w:r>
      <w:r>
        <w:rPr>
          <w:rFonts w:ascii="Times New Roman" w:hAnsi="Times New Roman" w:eastAsia="Times New Roman"/>
        </w:rPr>
        <w:t>“</w:t>
      </w:r>
      <w:r>
        <w:rPr/>
        <w:t>务、业务举例</w:t>
      </w:r>
      <w:r>
        <w:rPr>
          <w:rFonts w:ascii="Times New Roman" w:hAnsi="Times New Roman" w:eastAsia="Times New Roman"/>
        </w:rPr>
        <w:t>”</w:t>
      </w:r>
      <w:r>
        <w:rPr/>
        <w:t>中例十五。</w:t>
      </w:r>
    </w:p>
    <w:p>
      <w:pPr>
        <w:pStyle w:val="BodyText"/>
        <w:spacing w:before="6"/>
        <w:rPr>
          <w:sz w:val="15"/>
        </w:rPr>
      </w:pPr>
    </w:p>
    <w:p>
      <w:pPr>
        <w:pStyle w:val="BodyText"/>
        <w:spacing w:before="1"/>
        <w:ind w:left="960"/>
      </w:pPr>
      <w:r>
        <w:rPr>
          <w:rFonts w:ascii="Cambria Math" w:hAnsi="Cambria Math" w:eastAsia="Cambria Math"/>
        </w:rPr>
        <w:t>⑯</w:t>
      </w:r>
      <w:r>
        <w:rPr/>
        <w:t>从不收取申购费用的基金转出，转入其他不收取申购费用的基金</w:t>
      </w:r>
    </w:p>
    <w:p>
      <w:pPr>
        <w:pStyle w:val="BodyText"/>
        <w:spacing w:before="199"/>
        <w:ind w:left="960"/>
      </w:pPr>
      <w:r>
        <w:rPr/>
        <w:t>情形描述：投资者将其持有的某一不收取申购费用基金的基金份额转换为本公司管理的</w:t>
      </w:r>
    </w:p>
    <w:p>
      <w:pPr>
        <w:spacing w:after="0"/>
        <w:sectPr>
          <w:pgSz w:w="11910" w:h="16840"/>
          <w:pgMar w:header="877" w:footer="995" w:top="1420" w:bottom="1180" w:left="1260" w:right="1480"/>
        </w:sectPr>
      </w:pPr>
    </w:p>
    <w:p>
      <w:pPr>
        <w:pStyle w:val="BodyText"/>
        <w:spacing w:line="417" w:lineRule="auto" w:before="110"/>
        <w:ind w:left="960" w:right="5049" w:hanging="420"/>
      </w:pPr>
      <w:r>
        <w:rPr/>
        <w:t>其他不收取申购费用的基金基金份额。费用收取方式：不收取申购费用。</w:t>
      </w:r>
    </w:p>
    <w:p>
      <w:pPr>
        <w:pStyle w:val="BodyText"/>
        <w:spacing w:line="269" w:lineRule="exact"/>
        <w:ind w:left="960"/>
      </w:pPr>
      <w:r>
        <w:rPr/>
        <w:t>业务举例：详见</w:t>
      </w:r>
      <w:r>
        <w:rPr>
          <w:rFonts w:ascii="Times New Roman" w:hAnsi="Times New Roman" w:eastAsia="Times New Roman"/>
        </w:rPr>
        <w:t>“</w:t>
      </w:r>
      <w:r>
        <w:rPr/>
        <w:t>务、业务举例</w:t>
      </w:r>
      <w:r>
        <w:rPr>
          <w:rFonts w:ascii="Times New Roman" w:hAnsi="Times New Roman" w:eastAsia="Times New Roman"/>
        </w:rPr>
        <w:t>”</w:t>
      </w:r>
      <w:r>
        <w:rPr/>
        <w:t>中例十六。</w:t>
      </w:r>
    </w:p>
    <w:p>
      <w:pPr>
        <w:pStyle w:val="BodyText"/>
        <w:spacing w:before="6"/>
        <w:rPr>
          <w:sz w:val="15"/>
        </w:rPr>
      </w:pPr>
    </w:p>
    <w:p>
      <w:pPr>
        <w:pStyle w:val="BodyText"/>
        <w:ind w:left="960"/>
      </w:pPr>
      <w:r>
        <w:rPr>
          <w:rFonts w:ascii="Cambria Math" w:hAnsi="Cambria Math" w:eastAsia="Cambria Math"/>
        </w:rPr>
        <w:t>⑰</w:t>
      </w:r>
      <w:r>
        <w:rPr/>
        <w:t>对于货币基金的基金份额转出情况的补充说明</w:t>
      </w:r>
    </w:p>
    <w:p>
      <w:pPr>
        <w:pStyle w:val="BodyText"/>
        <w:spacing w:line="417" w:lineRule="auto" w:before="199"/>
        <w:ind w:left="960" w:right="105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7"/>
        </w:numPr>
        <w:tabs>
          <w:tab w:pos="1490" w:val="left" w:leader="none"/>
        </w:tabs>
        <w:spacing w:line="269" w:lineRule="exact" w:before="0" w:after="0"/>
        <w:ind w:left="1489" w:right="0" w:hanging="530"/>
        <w:jc w:val="left"/>
        <w:rPr>
          <w:sz w:val="21"/>
        </w:rPr>
      </w:pPr>
      <w:r>
        <w:rPr>
          <w:spacing w:val="-3"/>
          <w:sz w:val="21"/>
        </w:rPr>
        <w:t>上述费用另有优惠的，从其规定。</w:t>
      </w:r>
    </w:p>
    <w:p>
      <w:pPr>
        <w:pStyle w:val="BodyText"/>
        <w:spacing w:before="8"/>
        <w:rPr>
          <w:sz w:val="15"/>
        </w:rPr>
      </w:pPr>
    </w:p>
    <w:p>
      <w:pPr>
        <w:pStyle w:val="BodyText"/>
        <w:ind w:left="960"/>
      </w:pPr>
      <w:r>
        <w:rPr/>
        <w:t>基金管理人可以在法律法规和基金合同规定范围内调整基金转换的有关业务规则。</w:t>
      </w:r>
    </w:p>
    <w:p>
      <w:pPr>
        <w:pStyle w:val="BodyText"/>
        <w:spacing w:before="6"/>
        <w:rPr>
          <w:sz w:val="15"/>
        </w:rPr>
      </w:pPr>
    </w:p>
    <w:p>
      <w:pPr>
        <w:pStyle w:val="BodyText"/>
        <w:ind w:left="960"/>
      </w:pPr>
      <w:r>
        <w:rPr>
          <w:rFonts w:ascii="Times New Roman" w:eastAsia="Times New Roman"/>
        </w:rPr>
        <w:t>4</w:t>
      </w:r>
      <w:r>
        <w:rPr/>
        <w:t>、业务举例</w:t>
      </w:r>
    </w:p>
    <w:p>
      <w:pPr>
        <w:pStyle w:val="BodyText"/>
        <w:spacing w:before="7"/>
        <w:rPr>
          <w:sz w:val="15"/>
        </w:rPr>
      </w:pPr>
    </w:p>
    <w:p>
      <w:pPr>
        <w:pStyle w:val="BodyText"/>
        <w:spacing w:line="417" w:lineRule="auto"/>
        <w:ind w:left="540" w:right="31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8"/>
        </w:numPr>
        <w:tabs>
          <w:tab w:pos="1490" w:val="left" w:leader="none"/>
        </w:tabs>
        <w:spacing w:line="417" w:lineRule="auto" w:before="0" w:after="0"/>
        <w:ind w:left="540" w:right="208" w:firstLine="419"/>
        <w:jc w:val="left"/>
        <w:rPr>
          <w:sz w:val="21"/>
        </w:rPr>
      </w:pPr>
      <w:r>
        <w:rPr/>
        <w:pict>
          <v:shape style="position:absolute;margin-left:110.300003pt;margin-top:41.820011pt;width:375.1pt;height:193.7pt;mso-position-horizontal-relative:page;mso-position-vertical-relative:paragraph;z-index:251675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2"/>
                          <w:ind w:left="1173" w:right="1162"/>
                          <w:jc w:val="center"/>
                          <w:rPr>
                            <w:rFonts w:ascii="宋体" w:eastAsia="宋体" w:hint="eastAsia"/>
                            <w:sz w:val="21"/>
                          </w:rPr>
                        </w:pPr>
                        <w:r>
                          <w:rPr>
                            <w:rFonts w:ascii="宋体" w:eastAsia="宋体" w:hint="eastAsia"/>
                            <w:sz w:val="21"/>
                          </w:rPr>
                          <w:t>费用计算</w:t>
                        </w:r>
                      </w:p>
                    </w:tc>
                  </w:tr>
                  <w:tr>
                    <w:trPr>
                      <w:trHeight w:val="309" w:hRule="atLeast"/>
                    </w:trPr>
                    <w:tc>
                      <w:tcPr>
                        <w:tcW w:w="4261" w:type="dxa"/>
                        <w:tcBorders>
                          <w:bottom w:val="single" w:sz="6" w:space="0" w:color="000000"/>
                        </w:tcBorders>
                      </w:tcPr>
                      <w:p>
                        <w:pPr>
                          <w:pStyle w:val="TableParagraph"/>
                          <w:spacing w:line="267" w:lineRule="exact"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Borders>
                          <w:bottom w:val="single" w:sz="6" w:space="0" w:color="000000"/>
                        </w:tcBorders>
                      </w:tcPr>
                      <w:p>
                        <w:pPr>
                          <w:pStyle w:val="TableParagraph"/>
                          <w:ind w:right="94"/>
                          <w:jc w:val="right"/>
                          <w:rPr>
                            <w:sz w:val="21"/>
                          </w:rPr>
                        </w:pPr>
                        <w:r>
                          <w:rPr>
                            <w:sz w:val="21"/>
                          </w:rPr>
                          <w:t>1,000.00</w:t>
                        </w:r>
                      </w:p>
                    </w:tc>
                  </w:tr>
                  <w:tr>
                    <w:trPr>
                      <w:trHeight w:val="309" w:hRule="atLeast"/>
                    </w:trPr>
                    <w:tc>
                      <w:tcPr>
                        <w:tcW w:w="4261" w:type="dxa"/>
                        <w:tcBorders>
                          <w:top w:val="single" w:sz="6" w:space="0" w:color="000000"/>
                        </w:tcBorders>
                      </w:tcPr>
                      <w:p>
                        <w:pPr>
                          <w:pStyle w:val="TableParagraph"/>
                          <w:spacing w:before="20"/>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Borders>
                          <w:top w:val="single" w:sz="6" w:space="0" w:color="000000"/>
                        </w:tcBorders>
                      </w:tcPr>
                      <w:p>
                        <w:pPr>
                          <w:pStyle w:val="TableParagraph"/>
                          <w:spacing w:before="32"/>
                          <w:ind w:right="93"/>
                          <w:jc w:val="right"/>
                          <w:rPr>
                            <w:sz w:val="21"/>
                          </w:rPr>
                        </w:pPr>
                        <w:r>
                          <w:rPr>
                            <w:sz w:val="21"/>
                          </w:rPr>
                          <w:t>1.200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6"/>
                          <w:ind w:right="94"/>
                          <w:jc w:val="right"/>
                          <w:rPr>
                            <w:sz w:val="21"/>
                          </w:rPr>
                        </w:pPr>
                        <w:r>
                          <w:rPr>
                            <w:sz w:val="21"/>
                          </w:rPr>
                          <w:t>1,200.00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jc w:val="right"/>
                          <w:rPr>
                            <w:sz w:val="21"/>
                          </w:rPr>
                        </w:pPr>
                        <w:r>
                          <w:rPr>
                            <w:sz w:val="21"/>
                          </w:rPr>
                          <w:t>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jc w:val="right"/>
                          <w:rPr>
                            <w:sz w:val="21"/>
                          </w:rPr>
                        </w:pPr>
                        <w:r>
                          <w:rPr>
                            <w:sz w:val="21"/>
                          </w:rPr>
                          <w:t>6.00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jc w:val="right"/>
                          <w:rPr>
                            <w:sz w:val="21"/>
                          </w:rPr>
                        </w:pPr>
                        <w:r>
                          <w:rPr>
                            <w:sz w:val="21"/>
                          </w:rPr>
                          <w:t>1,194.00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jc w:val="right"/>
                          <w:rPr>
                            <w:sz w:val="21"/>
                          </w:rPr>
                        </w:pPr>
                        <w:r>
                          <w:rPr>
                            <w:sz w:val="21"/>
                          </w:rPr>
                          <w:t>2.0%-1.5%=0.5%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ind w:right="94"/>
                          <w:jc w:val="right"/>
                          <w:rPr>
                            <w:sz w:val="21"/>
                          </w:rPr>
                        </w:pPr>
                        <w:r>
                          <w:rPr>
                            <w:sz w:val="21"/>
                          </w:rPr>
                          <w:t>1,188.06</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jc w:val="right"/>
                          <w:rPr>
                            <w:sz w:val="21"/>
                          </w:rPr>
                        </w:pPr>
                        <w:r>
                          <w:rPr>
                            <w:sz w:val="21"/>
                          </w:rPr>
                          <w:t>5.94</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jc w:val="right"/>
                          <w:rPr>
                            <w:sz w:val="21"/>
                          </w:rPr>
                        </w:pPr>
                        <w:r>
                          <w:rPr>
                            <w:sz w:val="21"/>
                          </w:rPr>
                          <w:t>1.300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jc w:val="right"/>
                          <w:rPr>
                            <w:sz w:val="21"/>
                          </w:rPr>
                        </w:pPr>
                        <w:r>
                          <w:rPr>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6"/>
        </w:rPr>
      </w:pPr>
    </w:p>
    <w:p>
      <w:pPr>
        <w:pStyle w:val="ListParagraph"/>
        <w:numPr>
          <w:ilvl w:val="0"/>
          <w:numId w:val="18"/>
        </w:numPr>
        <w:tabs>
          <w:tab w:pos="1490" w:val="left" w:leader="none"/>
        </w:tabs>
        <w:spacing w:line="417" w:lineRule="auto" w:before="0" w:after="0"/>
        <w:ind w:left="540" w:right="208" w:firstLine="419"/>
        <w:jc w:val="left"/>
        <w:rPr>
          <w:sz w:val="21"/>
        </w:rPr>
      </w:pPr>
      <w:r>
        <w:rPr/>
        <w:pict>
          <v:shape style="position:absolute;margin-left:110.779999pt;margin-top:41.820011pt;width:374.15pt;height:145.5pt;mso-position-horizontal-relative:page;mso-position-vertical-relative:paragraph;z-index:2516766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jc w:val="right"/>
                          <w:rPr>
                            <w:sz w:val="21"/>
                          </w:rPr>
                        </w:pPr>
                        <w:r>
                          <w:rPr>
                            <w:sz w:val="21"/>
                          </w:rPr>
                          <w:t>1,000.00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jc w:val="right"/>
                          <w:rPr>
                            <w:sz w:val="21"/>
                          </w:rPr>
                        </w:pPr>
                        <w:r>
                          <w:rPr>
                            <w:sz w:val="21"/>
                          </w:rPr>
                          <w:t>1.200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jc w:val="right"/>
                          <w:rPr>
                            <w:sz w:val="21"/>
                          </w:rPr>
                        </w:pPr>
                        <w:r>
                          <w:rPr>
                            <w:sz w:val="21"/>
                          </w:rPr>
                          <w:t>1,200.00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jc w:val="right"/>
                          <w:rPr>
                            <w:sz w:val="21"/>
                          </w:rPr>
                        </w:pPr>
                        <w:r>
                          <w:rPr>
                            <w:sz w:val="21"/>
                          </w:rPr>
                          <w:t>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jc w:val="right"/>
                          <w:rPr>
                            <w:sz w:val="21"/>
                          </w:rPr>
                        </w:pPr>
                        <w:r>
                          <w:rPr>
                            <w:sz w:val="21"/>
                          </w:rPr>
                          <w:t>6.00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jc w:val="right"/>
                          <w:rPr>
                            <w:sz w:val="21"/>
                          </w:rPr>
                        </w:pPr>
                        <w:r>
                          <w:rPr>
                            <w:sz w:val="21"/>
                          </w:rPr>
                          <w:t>1,194.00</w:t>
                        </w:r>
                      </w:p>
                    </w:tc>
                  </w:tr>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jc w:val="right"/>
                          <w:rPr>
                            <w:sz w:val="21"/>
                          </w:rPr>
                        </w:pPr>
                        <w:r>
                          <w:rPr>
                            <w:sz w:val="21"/>
                          </w:rPr>
                          <w:t>0.00%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07" w:type="dxa"/>
                      </w:tcPr>
                      <w:p>
                        <w:pPr>
                          <w:pStyle w:val="TableParagraph"/>
                          <w:spacing w:before="36"/>
                          <w:ind w:right="94"/>
                          <w:jc w:val="right"/>
                          <w:rPr>
                            <w:sz w:val="21"/>
                          </w:rPr>
                        </w:pPr>
                        <w:r>
                          <w:rPr>
                            <w:sz w:val="21"/>
                          </w:rPr>
                          <w:t>1,194.00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260" w:right="1480"/>
        </w:sect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ind w:right="93"/>
              <w:jc w:val="right"/>
              <w:rPr>
                <w:sz w:val="21"/>
              </w:rPr>
            </w:pPr>
            <w:r>
              <w:rPr>
                <w:sz w:val="21"/>
              </w:rPr>
              <w:t>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jc w:val="right"/>
              <w:rPr>
                <w:sz w:val="21"/>
              </w:rPr>
            </w:pPr>
            <w:r>
              <w:rPr>
                <w:sz w:val="21"/>
              </w:rPr>
              <w:t>1.300</w:t>
            </w:r>
          </w:p>
        </w:tc>
      </w:tr>
      <w:tr>
        <w:trPr>
          <w:trHeight w:val="314"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jc w:val="right"/>
              <w:rPr>
                <w:sz w:val="21"/>
              </w:rPr>
            </w:pPr>
            <w:r>
              <w:rPr>
                <w:sz w:val="21"/>
              </w:rPr>
              <w:t>918.46</w:t>
            </w:r>
          </w:p>
        </w:tc>
      </w:tr>
    </w:tbl>
    <w:p>
      <w:pPr>
        <w:pStyle w:val="BodyText"/>
        <w:spacing w:line="417" w:lineRule="auto" w:before="109"/>
        <w:ind w:left="540" w:right="31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9"/>
        </w:numPr>
        <w:tabs>
          <w:tab w:pos="1490" w:val="left" w:leader="none"/>
        </w:tabs>
        <w:spacing w:line="417" w:lineRule="auto" w:before="0" w:after="0"/>
        <w:ind w:left="540" w:right="311" w:firstLine="419"/>
        <w:jc w:val="both"/>
        <w:rPr>
          <w:sz w:val="21"/>
        </w:rPr>
      </w:pPr>
      <w:r>
        <w:rPr/>
        <w:pict>
          <v:shape style="position:absolute;margin-left:111.5pt;margin-top:65.249992pt;width:372.7pt;height:177.65pt;mso-position-horizontal-relative:page;mso-position-vertical-relative:paragraph;z-index:2516776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2"/>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ind w:right="95"/>
                          <w:jc w:val="right"/>
                          <w:rPr>
                            <w:sz w:val="21"/>
                          </w:rPr>
                        </w:pPr>
                        <w:r>
                          <w:rPr>
                            <w:sz w:val="21"/>
                          </w:rPr>
                          <w:t>10,000,000.00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ind w:right="94"/>
                          <w:jc w:val="right"/>
                          <w:rPr>
                            <w:sz w:val="21"/>
                          </w:rPr>
                        </w:pPr>
                        <w:r>
                          <w:rPr>
                            <w:sz w:val="21"/>
                          </w:rPr>
                          <w:t>1.200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ind w:right="95"/>
                          <w:jc w:val="right"/>
                          <w:rPr>
                            <w:sz w:val="21"/>
                          </w:rPr>
                        </w:pPr>
                        <w:r>
                          <w:rPr>
                            <w:sz w:val="21"/>
                          </w:rPr>
                          <w:t>12,000,000.00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ind w:right="93"/>
                          <w:jc w:val="right"/>
                          <w:rPr>
                            <w:sz w:val="21"/>
                          </w:rPr>
                        </w:pPr>
                        <w:r>
                          <w:rPr>
                            <w:sz w:val="21"/>
                          </w:rPr>
                          <w:t>0.5%</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spacing w:before="36"/>
                          <w:ind w:right="95"/>
                          <w:jc w:val="right"/>
                          <w:rPr>
                            <w:sz w:val="21"/>
                          </w:rPr>
                        </w:pPr>
                        <w:r>
                          <w:rPr>
                            <w:sz w:val="21"/>
                          </w:rPr>
                          <w:t>60,000.00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ind w:right="95"/>
                          <w:jc w:val="right"/>
                          <w:rPr>
                            <w:sz w:val="21"/>
                          </w:rPr>
                        </w:pPr>
                        <w:r>
                          <w:rPr>
                            <w:sz w:val="21"/>
                          </w:rPr>
                          <w:t>11,940,000.00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ind w:right="95"/>
                          <w:jc w:val="right"/>
                          <w:rPr>
                            <w:sz w:val="21"/>
                          </w:rPr>
                        </w:pPr>
                        <w:r>
                          <w:rPr>
                            <w:sz w:val="21"/>
                          </w:rPr>
                          <w:t>1,000.00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ind w:right="95"/>
                          <w:jc w:val="right"/>
                          <w:rPr>
                            <w:sz w:val="21"/>
                          </w:rPr>
                        </w:pPr>
                        <w:r>
                          <w:rPr>
                            <w:sz w:val="21"/>
                          </w:rPr>
                          <w:t>11,939,000.00</w:t>
                        </w:r>
                      </w:p>
                    </w:tc>
                  </w:tr>
                  <w:tr>
                    <w:trPr>
                      <w:trHeight w:val="312"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ind w:right="94"/>
                          <w:jc w:val="right"/>
                          <w:rPr>
                            <w:sz w:val="21"/>
                          </w:rPr>
                        </w:pPr>
                        <w:r>
                          <w:rPr>
                            <w:sz w:val="21"/>
                          </w:rPr>
                          <w:t>1.300</w:t>
                        </w:r>
                      </w:p>
                    </w:tc>
                  </w:tr>
                  <w:tr>
                    <w:trPr>
                      <w:trHeight w:val="313"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ind w:right="95"/>
                          <w:jc w:val="right"/>
                          <w:rPr>
                            <w:sz w:val="21"/>
                          </w:rPr>
                        </w:pPr>
                        <w:r>
                          <w:rPr>
                            <w:sz w:val="21"/>
                          </w:rPr>
                          <w:t>9,183,846.15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9"/>
        </w:numPr>
        <w:tabs>
          <w:tab w:pos="1490" w:val="left" w:leader="none"/>
        </w:tabs>
        <w:spacing w:line="417" w:lineRule="auto" w:before="0" w:after="0"/>
        <w:ind w:left="540" w:right="311" w:firstLine="419"/>
        <w:jc w:val="both"/>
        <w:rPr>
          <w:sz w:val="21"/>
        </w:rPr>
      </w:pPr>
      <w:r>
        <w:rPr/>
        <w:pict>
          <v:shape style="position:absolute;margin-left:111.139999pt;margin-top:65.219986pt;width:373.4pt;height:177.65pt;mso-position-horizontal-relative:page;mso-position-vertical-relative:paragraph;z-index:2516787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2"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before="36"/>
                          <w:ind w:right="94"/>
                          <w:jc w:val="right"/>
                          <w:rPr>
                            <w:sz w:val="21"/>
                          </w:rPr>
                        </w:pPr>
                        <w:r>
                          <w:rPr>
                            <w:sz w:val="21"/>
                          </w:rPr>
                          <w:t>60,000.00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ind w:right="94"/>
                          <w:jc w:val="right"/>
                          <w:rPr>
                            <w:sz w:val="21"/>
                          </w:rPr>
                        </w:pPr>
                        <w:r>
                          <w:rPr>
                            <w:sz w:val="21"/>
                          </w:rPr>
                          <w:t>11,940,000.00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ind w:right="94"/>
                          <w:jc w:val="right"/>
                          <w:rPr>
                            <w:sz w:val="21"/>
                          </w:rPr>
                        </w:pPr>
                        <w:r>
                          <w:rPr>
                            <w:sz w:val="21"/>
                          </w:rPr>
                          <w:t>11,940,000.00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3"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ind w:right="94"/>
                          <w:jc w:val="right"/>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p>
    <w:p>
      <w:pPr>
        <w:spacing w:after="0" w:line="417" w:lineRule="auto"/>
        <w:jc w:val="both"/>
        <w:sectPr>
          <w:pgSz w:w="11910" w:h="16840"/>
          <w:pgMar w:header="877" w:footer="995" w:top="1420" w:bottom="1180" w:left="1260" w:right="1480"/>
        </w:sectPr>
      </w:pPr>
    </w:p>
    <w:p>
      <w:pPr>
        <w:pStyle w:val="BodyText"/>
        <w:spacing w:before="110"/>
        <w:ind w:left="540"/>
      </w:pPr>
      <w:r>
        <w:rPr/>
        <w:t>转入基金费用及份额计算如下：</w:t>
      </w:r>
    </w:p>
    <w:p>
      <w:pPr>
        <w:pStyle w:val="BodyText"/>
        <w:spacing w:before="9"/>
        <w:rPr>
          <w:sz w:val="7"/>
        </w:rPr>
      </w:pPr>
    </w:p>
    <w:tbl>
      <w:tblPr>
        <w:tblW w:w="0" w:type="auto"/>
        <w:jc w:val="left"/>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spacing w:before="22"/>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6"/>
              <w:ind w:right="93"/>
              <w:jc w:val="right"/>
              <w:rPr>
                <w:sz w:val="21"/>
              </w:rPr>
            </w:pPr>
            <w:r>
              <w:rPr>
                <w:sz w:val="21"/>
              </w:rPr>
              <w:t>1,200.00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jc w:val="right"/>
              <w:rPr>
                <w:sz w:val="21"/>
              </w:rPr>
            </w:pPr>
            <w:r>
              <w:rPr>
                <w:sz w:val="21"/>
              </w:rPr>
              <w:t>0.5%</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jc w:val="right"/>
              <w:rPr>
                <w:sz w:val="21"/>
              </w:rPr>
            </w:pPr>
            <w:r>
              <w:rPr>
                <w:sz w:val="21"/>
              </w:rPr>
              <w:t>6.00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jc w:val="right"/>
              <w:rPr>
                <w:sz w:val="21"/>
              </w:rPr>
            </w:pPr>
            <w:r>
              <w:rPr>
                <w:sz w:val="21"/>
              </w:rPr>
              <w:t>1,194.00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7"/>
              <w:ind w:right="92"/>
              <w:jc w:val="right"/>
              <w:rPr>
                <w:sz w:val="21"/>
              </w:rPr>
            </w:pPr>
            <w:r>
              <w:rPr>
                <w:sz w:val="21"/>
              </w:rPr>
              <w:t>1.500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jc w:val="right"/>
              <w:rPr>
                <w:sz w:val="21"/>
              </w:rPr>
            </w:pPr>
            <w:r>
              <w:rPr>
                <w:sz w:val="21"/>
              </w:rPr>
              <w:t>796.00</w:t>
            </w:r>
          </w:p>
        </w:tc>
      </w:tr>
    </w:tbl>
    <w:p>
      <w:pPr>
        <w:pStyle w:val="BodyText"/>
        <w:spacing w:line="417" w:lineRule="auto" w:before="100"/>
        <w:ind w:left="540" w:right="311" w:firstLine="419"/>
        <w:jc w:val="both"/>
      </w:pPr>
      <w:r>
        <w:rPr/>
        <w:pict>
          <v:shape style="position:absolute;margin-left:111.379997pt;margin-top:70.220032pt;width:372.95pt;height:129.3pt;mso-position-horizontal-relative:page;mso-position-vertical-relative:paragraph;z-index:2516797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jc w:val="right"/>
                          <w:rPr>
                            <w:sz w:val="21"/>
                          </w:rPr>
                        </w:pPr>
                        <w:r>
                          <w:rPr>
                            <w:sz w:val="21"/>
                          </w:rPr>
                          <w:t>796.00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jc w:val="right"/>
                          <w:rPr>
                            <w:sz w:val="21"/>
                          </w:rPr>
                        </w:pPr>
                        <w:r>
                          <w:rPr>
                            <w:sz w:val="21"/>
                          </w:rPr>
                          <w:t>1,034.80</w:t>
                        </w:r>
                      </w:p>
                    </w:tc>
                  </w:tr>
                  <w:tr>
                    <w:trPr>
                      <w:trHeight w:val="311"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ind w:right="93"/>
                          <w:jc w:val="right"/>
                          <w:rPr>
                            <w:sz w:val="21"/>
                          </w:rPr>
                        </w:pPr>
                        <w:r>
                          <w:rPr>
                            <w:sz w:val="21"/>
                          </w:rPr>
                          <w:t>14.16</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ind w:left="540" w:right="205" w:firstLine="419"/>
      </w:pPr>
      <w:r>
        <w:rPr/>
        <w:pict>
          <v:shape style="position:absolute;margin-left:110.779999pt;margin-top:65.219955pt;width:374.15pt;height:177.65pt;mso-position-horizontal-relative:page;mso-position-vertical-relative:paragraph;z-index:251680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4" w:hRule="atLeast"/>
                    </w:trPr>
                    <w:tc>
                      <w:tcPr>
                        <w:tcW w:w="4244" w:type="dxa"/>
                      </w:tcPr>
                      <w:p>
                        <w:pPr>
                          <w:pStyle w:val="TableParagraph"/>
                          <w:spacing w:before="25"/>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401"/>
                          <w:rPr>
                            <w:rFonts w:ascii="宋体" w:eastAsia="宋体" w:hint="eastAsia"/>
                            <w:sz w:val="21"/>
                          </w:rPr>
                        </w:pPr>
                        <w:r>
                          <w:rPr>
                            <w:rFonts w:ascii="宋体" w:eastAsia="宋体" w:hint="eastAsia"/>
                            <w:sz w:val="21"/>
                          </w:rPr>
                          <w:t>费用计算</w:t>
                        </w:r>
                      </w:p>
                    </w:tc>
                  </w:tr>
                  <w:tr>
                    <w:trPr>
                      <w:trHeight w:val="312"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jc w:val="right"/>
                          <w:rPr>
                            <w:sz w:val="21"/>
                          </w:rPr>
                        </w:pPr>
                        <w:r>
                          <w:rPr>
                            <w:sz w:val="21"/>
                          </w:rPr>
                          <w:t>1,000.00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jc w:val="right"/>
                          <w:rPr>
                            <w:sz w:val="21"/>
                          </w:rPr>
                        </w:pPr>
                        <w:r>
                          <w:rPr>
                            <w:sz w:val="21"/>
                          </w:rPr>
                          <w:t>1,300.00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311" w:hRule="atLeast"/>
                    </w:trPr>
                    <w:tc>
                      <w:tcPr>
                        <w:tcW w:w="4244" w:type="dxa"/>
                      </w:tcPr>
                      <w:p>
                        <w:pPr>
                          <w:pStyle w:val="TableParagraph"/>
                          <w:spacing w:before="22"/>
                          <w:ind w:left="148"/>
                          <w:rPr>
                            <w:sz w:val="21"/>
                          </w:rPr>
                        </w:pPr>
                        <w:r>
                          <w:rPr>
                            <w:rFonts w:ascii="宋体" w:eastAsia="宋体" w:hint="eastAsia"/>
                            <w:sz w:val="21"/>
                          </w:rPr>
                          <w:t>转出基金费用</w:t>
                        </w:r>
                        <w:r>
                          <w:rPr>
                            <w:sz w:val="21"/>
                          </w:rPr>
                          <w:t>(E=C*D)</w:t>
                        </w:r>
                      </w:p>
                    </w:tc>
                    <w:tc>
                      <w:tcPr>
                        <w:tcW w:w="3224" w:type="dxa"/>
                      </w:tcPr>
                      <w:p>
                        <w:pPr>
                          <w:pStyle w:val="TableParagraph"/>
                          <w:ind w:right="93"/>
                          <w:jc w:val="right"/>
                          <w:rPr>
                            <w:sz w:val="21"/>
                          </w:rPr>
                        </w:pPr>
                        <w:r>
                          <w:rPr>
                            <w:sz w:val="21"/>
                          </w:rPr>
                          <w:t>6.50</w:t>
                        </w:r>
                      </w:p>
                    </w:tc>
                  </w:tr>
                  <w:tr>
                    <w:trPr>
                      <w:trHeight w:val="313" w:hRule="atLeast"/>
                    </w:trPr>
                    <w:tc>
                      <w:tcPr>
                        <w:tcW w:w="4244" w:type="dxa"/>
                      </w:tcPr>
                      <w:p>
                        <w:pPr>
                          <w:pStyle w:val="TableParagraph"/>
                          <w:spacing w:before="25"/>
                          <w:ind w:left="148"/>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jc w:val="right"/>
                          <w:rPr>
                            <w:sz w:val="21"/>
                          </w:rPr>
                        </w:pPr>
                        <w:r>
                          <w:rPr>
                            <w:sz w:val="21"/>
                          </w:rPr>
                          <w:t>1,293.50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jc w:val="right"/>
                          <w:rPr>
                            <w:sz w:val="21"/>
                          </w:rPr>
                        </w:pPr>
                        <w:r>
                          <w:rPr>
                            <w:sz w:val="21"/>
                          </w:rPr>
                          <w:t>1,293.50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jc w:val="right"/>
                          <w:rPr>
                            <w:sz w:val="21"/>
                          </w:rPr>
                        </w:pPr>
                        <w:r>
                          <w:rPr>
                            <w:sz w:val="21"/>
                          </w:rPr>
                          <w:t>1.500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jc w:val="right"/>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17" w:lineRule="auto"/>
        <w:ind w:left="540" w:right="311" w:firstLine="419"/>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p>
    <w:p>
      <w:pPr>
        <w:spacing w:after="0" w:line="417" w:lineRule="auto"/>
        <w:sectPr>
          <w:pgSz w:w="11910" w:h="16840"/>
          <w:pgMar w:header="877" w:footer="995" w:top="1420" w:bottom="1180" w:left="1260" w:right="1480"/>
        </w:sectPr>
      </w:pPr>
    </w:p>
    <w:p>
      <w:pPr>
        <w:pStyle w:val="BodyText"/>
        <w:spacing w:before="110"/>
        <w:ind w:left="540"/>
      </w:pPr>
      <w:r>
        <w:rPr/>
        <w:t>为 </w:t>
      </w:r>
      <w:r>
        <w:rPr>
          <w:rFonts w:ascii="Times New Roman" w:eastAsia="Times New Roman"/>
        </w:rPr>
        <w:t>1.2%</w:t>
      </w:r>
      <w:r>
        <w:rPr/>
        <w:t>，赎回费率为 </w:t>
      </w:r>
      <w:r>
        <w:rPr>
          <w:rFonts w:ascii="Times New Roman" w:eastAsia="Times New Roman"/>
        </w:rPr>
        <w:t>0.5%</w:t>
      </w:r>
      <w:r>
        <w:rPr/>
        <w:t>。</w:t>
      </w:r>
    </w:p>
    <w:p>
      <w:pPr>
        <w:pStyle w:val="BodyText"/>
        <w:spacing w:before="6"/>
        <w:rPr>
          <w:sz w:val="15"/>
        </w:rPr>
      </w:pPr>
    </w:p>
    <w:p>
      <w:pPr>
        <w:pStyle w:val="ListParagraph"/>
        <w:numPr>
          <w:ilvl w:val="0"/>
          <w:numId w:val="20"/>
        </w:numPr>
        <w:tabs>
          <w:tab w:pos="1490" w:val="left" w:leader="none"/>
        </w:tabs>
        <w:spacing w:line="417" w:lineRule="auto" w:before="0" w:after="0"/>
        <w:ind w:left="540" w:right="313" w:firstLine="419"/>
        <w:jc w:val="both"/>
        <w:rPr>
          <w:sz w:val="21"/>
        </w:rPr>
      </w:pPr>
      <w:r>
        <w:rPr/>
        <w:pict>
          <v:shape style="position:absolute;margin-left:110.540001pt;margin-top:65.220016pt;width:374.6pt;height:193.75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1" w:hRule="atLeast"/>
                    </w:trPr>
                    <w:tc>
                      <w:tcPr>
                        <w:tcW w:w="4266" w:type="dxa"/>
                      </w:tcPr>
                      <w:p>
                        <w:pPr>
                          <w:pStyle w:val="TableParagraph"/>
                          <w:spacing w:before="22"/>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jc w:val="right"/>
                          <w:rPr>
                            <w:sz w:val="21"/>
                          </w:rPr>
                        </w:pPr>
                        <w:r>
                          <w:rPr>
                            <w:sz w:val="21"/>
                          </w:rPr>
                          <w:t>10,000,000.00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jc w:val="right"/>
                          <w:rPr>
                            <w:sz w:val="21"/>
                          </w:rPr>
                        </w:pPr>
                        <w:r>
                          <w:rPr>
                            <w:sz w:val="21"/>
                          </w:rPr>
                          <w:t>1.200</w:t>
                        </w:r>
                      </w:p>
                    </w:tc>
                  </w:tr>
                  <w:tr>
                    <w:trPr>
                      <w:trHeight w:val="314" w:hRule="atLeast"/>
                    </w:trPr>
                    <w:tc>
                      <w:tcPr>
                        <w:tcW w:w="4266" w:type="dxa"/>
                      </w:tcPr>
                      <w:p>
                        <w:pPr>
                          <w:pStyle w:val="TableParagraph"/>
                          <w:spacing w:before="25"/>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6"/>
                          <w:ind w:right="94"/>
                          <w:jc w:val="right"/>
                          <w:rPr>
                            <w:sz w:val="21"/>
                          </w:rPr>
                        </w:pPr>
                        <w:r>
                          <w:rPr>
                            <w:sz w:val="21"/>
                          </w:rPr>
                          <w:t>12,000,000.00</w:t>
                        </w:r>
                      </w:p>
                    </w:tc>
                  </w:tr>
                  <w:tr>
                    <w:trPr>
                      <w:trHeight w:val="312"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0.5%</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60,000.00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ind w:right="94"/>
                          <w:jc w:val="right"/>
                          <w:rPr>
                            <w:sz w:val="21"/>
                          </w:rPr>
                        </w:pPr>
                        <w:r>
                          <w:rPr>
                            <w:sz w:val="21"/>
                          </w:rPr>
                          <w:t>11,940,000.00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jc w:val="right"/>
                          <w:rPr>
                            <w:sz w:val="21"/>
                          </w:rPr>
                        </w:pPr>
                        <w:r>
                          <w:rPr>
                            <w:sz w:val="21"/>
                          </w:rPr>
                          <w:t>1.5%-1.2%=0.3%</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pPr>
                          <w:pStyle w:val="TableParagraph"/>
                          <w:ind w:right="94"/>
                          <w:jc w:val="right"/>
                          <w:rPr>
                            <w:sz w:val="21"/>
                          </w:rPr>
                        </w:pPr>
                        <w:r>
                          <w:rPr>
                            <w:sz w:val="21"/>
                          </w:rPr>
                          <w:t>11,904,287.14</w:t>
                        </w:r>
                      </w:p>
                    </w:tc>
                  </w:tr>
                  <w:tr>
                    <w:trPr>
                      <w:trHeight w:val="314" w:hRule="atLeast"/>
                    </w:trPr>
                    <w:tc>
                      <w:tcPr>
                        <w:tcW w:w="4266" w:type="dxa"/>
                      </w:tcPr>
                      <w:p>
                        <w:pPr>
                          <w:pStyle w:val="TableParagraph"/>
                          <w:spacing w:before="25"/>
                          <w:ind w:left="105"/>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6"/>
                          <w:ind w:right="94"/>
                          <w:jc w:val="right"/>
                          <w:rPr>
                            <w:sz w:val="21"/>
                          </w:rPr>
                        </w:pPr>
                        <w:r>
                          <w:rPr>
                            <w:sz w:val="21"/>
                          </w:rPr>
                          <w:t>35,712.86</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jc w:val="right"/>
                          <w:rPr>
                            <w:sz w:val="21"/>
                          </w:rPr>
                        </w:pPr>
                        <w:r>
                          <w:rPr>
                            <w:sz w:val="21"/>
                          </w:rPr>
                          <w:t>1.300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jc w:val="right"/>
                          <w:rPr>
                            <w:sz w:val="21"/>
                          </w:rPr>
                        </w:pPr>
                        <w:r>
                          <w:rPr>
                            <w:sz w:val="21"/>
                          </w:rPr>
                          <w:t>9,157,143.95</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ListParagraph"/>
        <w:numPr>
          <w:ilvl w:val="0"/>
          <w:numId w:val="20"/>
        </w:numPr>
        <w:tabs>
          <w:tab w:pos="1490" w:val="left" w:leader="none"/>
        </w:tabs>
        <w:spacing w:line="417" w:lineRule="auto" w:before="0" w:after="0"/>
        <w:ind w:left="540" w:right="313" w:firstLine="419"/>
        <w:jc w:val="both"/>
        <w:rPr>
          <w:sz w:val="21"/>
        </w:rPr>
      </w:pPr>
      <w:r>
        <w:rPr/>
        <w:pict>
          <v:shape style="position:absolute;margin-left:110.779999pt;margin-top:65.239975pt;width:374.15pt;height:193.75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570" w:right="560"/>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1"/>
                          <w:jc w:val="right"/>
                          <w:rPr>
                            <w:sz w:val="21"/>
                          </w:rPr>
                        </w:pPr>
                        <w:r>
                          <w:rPr>
                            <w:sz w:val="21"/>
                          </w:rPr>
                          <w:t>10,000,000.00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6"/>
                          <w:ind w:right="91"/>
                          <w:jc w:val="right"/>
                          <w:rPr>
                            <w:sz w:val="21"/>
                          </w:rPr>
                        </w:pPr>
                        <w:r>
                          <w:rPr>
                            <w:sz w:val="21"/>
                          </w:rPr>
                          <w:t>1.200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jc w:val="right"/>
                          <w:rPr>
                            <w:sz w:val="21"/>
                          </w:rPr>
                        </w:pPr>
                        <w:r>
                          <w:rPr>
                            <w:sz w:val="21"/>
                          </w:rPr>
                          <w:t>12,000,000.00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jc w:val="right"/>
                          <w:rPr>
                            <w:sz w:val="21"/>
                          </w:rPr>
                        </w:pPr>
                        <w:r>
                          <w:rPr>
                            <w:sz w:val="21"/>
                          </w:rPr>
                          <w:t>60,000.00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jc w:val="right"/>
                          <w:rPr>
                            <w:sz w:val="21"/>
                          </w:rPr>
                        </w:pPr>
                        <w:r>
                          <w:rPr>
                            <w:sz w:val="21"/>
                          </w:rPr>
                          <w:t>11,940,000.00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ind w:right="90"/>
                          <w:jc w:val="right"/>
                          <w:rPr>
                            <w:sz w:val="21"/>
                          </w:rPr>
                        </w:pPr>
                        <w:r>
                          <w:rPr>
                            <w:sz w:val="21"/>
                          </w:rPr>
                          <w:t>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4" w:type="dxa"/>
                      </w:tcPr>
                      <w:p>
                        <w:pPr>
                          <w:pStyle w:val="TableParagraph"/>
                          <w:spacing w:before="36"/>
                          <w:ind w:right="91"/>
                          <w:jc w:val="right"/>
                          <w:rPr>
                            <w:sz w:val="21"/>
                          </w:rPr>
                        </w:pPr>
                        <w:r>
                          <w:rPr>
                            <w:sz w:val="21"/>
                          </w:rPr>
                          <w:t>11,940,000.00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jc w:val="right"/>
                          <w:rPr>
                            <w:sz w:val="21"/>
                          </w:rPr>
                        </w:pPr>
                        <w:r>
                          <w:rPr>
                            <w:sz w:val="21"/>
                          </w:rPr>
                          <w:t>1.300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jc w:val="right"/>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417" w:lineRule="auto"/>
        <w:ind w:left="540" w:right="31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21"/>
        </w:numPr>
        <w:tabs>
          <w:tab w:pos="1490" w:val="left" w:leader="none"/>
        </w:tabs>
        <w:spacing w:line="417" w:lineRule="auto" w:before="0" w:after="0"/>
        <w:ind w:left="540" w:right="311" w:firstLine="419"/>
        <w:jc w:val="both"/>
        <w:rPr>
          <w:sz w:val="21"/>
        </w:rPr>
      </w:pPr>
      <w:r>
        <w:rPr/>
        <w:pict>
          <v:shape style="position:absolute;margin-left:111.019997pt;margin-top:65.240028pt;width:373.65pt;height:16.7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3" w:hRule="atLeast"/>
                    </w:trPr>
                    <w:tc>
                      <w:tcPr>
                        <w:tcW w:w="4239" w:type="dxa"/>
                      </w:tcPr>
                      <w:p>
                        <w:pPr>
                          <w:pStyle w:val="TableParagraph"/>
                          <w:spacing w:before="22"/>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2" w:hRule="atLeast"/>
        </w:trPr>
        <w:tc>
          <w:tcPr>
            <w:tcW w:w="4239"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ind w:right="93"/>
              <w:jc w:val="right"/>
              <w:rPr>
                <w:sz w:val="21"/>
              </w:rPr>
            </w:pPr>
            <w:r>
              <w:rPr>
                <w:sz w:val="21"/>
              </w:rPr>
              <w:t>10,000,000.00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jc w:val="right"/>
              <w:rPr>
                <w:sz w:val="21"/>
              </w:rPr>
            </w:pPr>
            <w:r>
              <w:rPr>
                <w:sz w:val="21"/>
              </w:rPr>
              <w:t>1.200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jc w:val="right"/>
              <w:rPr>
                <w:sz w:val="21"/>
              </w:rPr>
            </w:pPr>
            <w:r>
              <w:rPr>
                <w:sz w:val="21"/>
              </w:rPr>
              <w:t>12,000,000.00</w:t>
            </w:r>
          </w:p>
        </w:tc>
      </w:tr>
      <w:tr>
        <w:trPr>
          <w:trHeight w:val="313"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36"/>
              <w:ind w:right="92"/>
              <w:jc w:val="right"/>
              <w:rPr>
                <w:sz w:val="21"/>
              </w:rPr>
            </w:pPr>
            <w:r>
              <w:rPr>
                <w:sz w:val="21"/>
              </w:rPr>
              <w:t>0.5%</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jc w:val="right"/>
              <w:rPr>
                <w:sz w:val="21"/>
              </w:rPr>
            </w:pPr>
            <w:r>
              <w:rPr>
                <w:sz w:val="21"/>
              </w:rPr>
              <w:t>60,000.00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ind w:right="93"/>
              <w:jc w:val="right"/>
              <w:rPr>
                <w:sz w:val="21"/>
              </w:rPr>
            </w:pPr>
            <w:r>
              <w:rPr>
                <w:sz w:val="21"/>
              </w:rPr>
              <w:t>11,940,000.00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jc w:val="right"/>
              <w:rPr>
                <w:sz w:val="21"/>
              </w:rPr>
            </w:pPr>
            <w:r>
              <w:rPr>
                <w:sz w:val="21"/>
              </w:rPr>
              <w:t>1,000-500=500.00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jc w:val="right"/>
              <w:rPr>
                <w:sz w:val="21"/>
              </w:rPr>
            </w:pPr>
            <w:r>
              <w:rPr>
                <w:sz w:val="21"/>
              </w:rPr>
              <w:t>11,939,500.00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ind w:right="93"/>
              <w:jc w:val="right"/>
              <w:rPr>
                <w:sz w:val="21"/>
              </w:rPr>
            </w:pPr>
            <w:r>
              <w:rPr>
                <w:sz w:val="21"/>
              </w:rPr>
              <w:t>1.300</w:t>
            </w:r>
          </w:p>
        </w:tc>
      </w:tr>
      <w:tr>
        <w:trPr>
          <w:trHeight w:val="314"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36"/>
              <w:ind w:right="93"/>
              <w:jc w:val="right"/>
              <w:rPr>
                <w:sz w:val="21"/>
              </w:rPr>
            </w:pPr>
            <w:r>
              <w:rPr>
                <w:sz w:val="21"/>
              </w:rPr>
              <w:t>9,184,230.77</w:t>
            </w:r>
          </w:p>
        </w:tc>
      </w:tr>
    </w:tbl>
    <w:p>
      <w:pPr>
        <w:pStyle w:val="ListParagraph"/>
        <w:numPr>
          <w:ilvl w:val="0"/>
          <w:numId w:val="21"/>
        </w:numPr>
        <w:tabs>
          <w:tab w:pos="1490" w:val="left" w:leader="none"/>
        </w:tabs>
        <w:spacing w:line="417" w:lineRule="auto" w:before="110" w:after="0"/>
        <w:ind w:left="540" w:right="311" w:firstLine="419"/>
        <w:jc w:val="both"/>
        <w:rPr>
          <w:sz w:val="21"/>
        </w:rPr>
      </w:pPr>
      <w:r>
        <w:rPr/>
        <w:pict>
          <v:shape style="position:absolute;margin-left:111.379997pt;margin-top:70.719986pt;width:372.8pt;height:177.65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spacing w:before="22"/>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spacing w:before="22"/>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jc w:val="right"/>
                          <w:rPr>
                            <w:sz w:val="21"/>
                          </w:rPr>
                        </w:pPr>
                        <w:r>
                          <w:rPr>
                            <w:sz w:val="21"/>
                          </w:rPr>
                          <w:t>10,000,000.00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jc w:val="right"/>
                          <w:rPr>
                            <w:sz w:val="21"/>
                          </w:rPr>
                        </w:pPr>
                        <w:r>
                          <w:rPr>
                            <w:sz w:val="21"/>
                          </w:rPr>
                          <w:t>1.200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ind w:right="91"/>
                          <w:jc w:val="right"/>
                          <w:rPr>
                            <w:sz w:val="21"/>
                          </w:rPr>
                        </w:pPr>
                        <w:r>
                          <w:rPr>
                            <w:sz w:val="21"/>
                          </w:rPr>
                          <w:t>12,000,000.00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36"/>
                          <w:ind w:right="90"/>
                          <w:jc w:val="right"/>
                          <w:rPr>
                            <w:sz w:val="21"/>
                          </w:rPr>
                        </w:pPr>
                        <w:r>
                          <w:rPr>
                            <w:sz w:val="21"/>
                          </w:rPr>
                          <w:t>0.5%</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jc w:val="right"/>
                          <w:rPr>
                            <w:sz w:val="21"/>
                          </w:rPr>
                        </w:pPr>
                        <w:r>
                          <w:rPr>
                            <w:sz w:val="21"/>
                          </w:rPr>
                          <w:t>60,000.00</w:t>
                        </w:r>
                      </w:p>
                    </w:tc>
                  </w:tr>
                  <w:tr>
                    <w:trPr>
                      <w:trHeight w:val="311"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ind w:right="90"/>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36"/>
                          <w:ind w:right="91"/>
                          <w:jc w:val="right"/>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ind w:left="96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6"/>
        <w:rPr>
          <w:sz w:val="15"/>
        </w:rPr>
      </w:pPr>
    </w:p>
    <w:p>
      <w:pPr>
        <w:pStyle w:val="BodyText"/>
        <w:spacing w:line="417" w:lineRule="auto"/>
        <w:ind w:left="540" w:right="312"/>
        <w:jc w:val="both"/>
      </w:pPr>
      <w:r>
        <w:rPr/>
        <w:pict>
          <v:shape style="position:absolute;margin-left:111.260002pt;margin-top:65.249954pt;width:373.2pt;height:177.65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spacing w:before="22"/>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jc w:val="right"/>
                          <w:rPr>
                            <w:sz w:val="21"/>
                          </w:rPr>
                        </w:pPr>
                        <w:r>
                          <w:rPr>
                            <w:sz w:val="21"/>
                          </w:rPr>
                          <w:t>12,000,000.00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6"/>
                          <w:ind w:right="91"/>
                          <w:jc w:val="right"/>
                          <w:rPr>
                            <w:sz w:val="21"/>
                          </w:rPr>
                        </w:pPr>
                        <w:r>
                          <w:rPr>
                            <w:sz w:val="21"/>
                          </w:rPr>
                          <w:t>0.5%</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jc w:val="right"/>
                          <w:rPr>
                            <w:sz w:val="21"/>
                          </w:rPr>
                        </w:pPr>
                        <w:r>
                          <w:rPr>
                            <w:sz w:val="21"/>
                          </w:rPr>
                          <w:t>60,000.00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jc w:val="right"/>
                          <w:rPr>
                            <w:sz w:val="21"/>
                          </w:rPr>
                        </w:pPr>
                        <w:r>
                          <w:rPr>
                            <w:sz w:val="21"/>
                          </w:rPr>
                          <w:t>1.500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6"/>
                          <w:ind w:right="93"/>
                          <w:jc w:val="right"/>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jc w:val="both"/>
      </w:pPr>
      <w:r>
        <w:rPr/>
        <w:pict>
          <v:shape style="position:absolute;margin-left:111.379997pt;margin-top:70.719986pt;width:372.95pt;height:129.3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jc w:val="right"/>
                          <w:rPr>
                            <w:sz w:val="21"/>
                          </w:rPr>
                        </w:pPr>
                        <w:r>
                          <w:rPr>
                            <w:sz w:val="21"/>
                          </w:rPr>
                          <w:t>7,960,000.00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jc w:val="right"/>
                          <w:rPr>
                            <w:sz w:val="21"/>
                          </w:rPr>
                        </w:pPr>
                        <w:r>
                          <w:rPr>
                            <w:sz w:val="21"/>
                          </w:rPr>
                          <w:t>10,348,000.00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ind w:right="94"/>
                          <w:jc w:val="right"/>
                          <w:rPr>
                            <w:sz w:val="21"/>
                          </w:rPr>
                        </w:pPr>
                        <w:r>
                          <w:rPr>
                            <w:sz w:val="21"/>
                          </w:rPr>
                          <w:t>141,581.03</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ind w:left="540" w:right="311" w:firstLine="419"/>
        <w:jc w:val="both"/>
      </w:pPr>
      <w:r>
        <w:rPr/>
        <w:pict>
          <v:shape style="position:absolute;margin-left:110.779999pt;margin-top:65.220001pt;width:374.15pt;height:177.65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3" w:hRule="atLeast"/>
                    </w:trPr>
                    <w:tc>
                      <w:tcPr>
                        <w:tcW w:w="4244" w:type="dxa"/>
                      </w:tcPr>
                      <w:p>
                        <w:pPr>
                          <w:pStyle w:val="TableParagraph"/>
                          <w:spacing w:before="25"/>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jc w:val="right"/>
                          <w:rPr>
                            <w:sz w:val="21"/>
                          </w:rPr>
                        </w:pPr>
                        <w:r>
                          <w:rPr>
                            <w:sz w:val="21"/>
                          </w:rPr>
                          <w:t>10,000,000.00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jc w:val="right"/>
                          <w:rPr>
                            <w:sz w:val="21"/>
                          </w:rPr>
                        </w:pPr>
                        <w:r>
                          <w:rPr>
                            <w:sz w:val="21"/>
                          </w:rPr>
                          <w:t>13,000,000.00</w:t>
                        </w:r>
                      </w:p>
                    </w:tc>
                  </w:tr>
                  <w:tr>
                    <w:trPr>
                      <w:trHeight w:val="312" w:hRule="atLeast"/>
                    </w:trPr>
                    <w:tc>
                      <w:tcPr>
                        <w:tcW w:w="4244" w:type="dxa"/>
                      </w:tcPr>
                      <w:p>
                        <w:pPr>
                          <w:pStyle w:val="TableParagraph"/>
                          <w:spacing w:before="23"/>
                          <w:ind w:left="148"/>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311" w:hRule="atLeast"/>
                    </w:trPr>
                    <w:tc>
                      <w:tcPr>
                        <w:tcW w:w="4244" w:type="dxa"/>
                      </w:tcPr>
                      <w:p>
                        <w:pPr>
                          <w:pStyle w:val="TableParagraph"/>
                          <w:spacing w:before="22"/>
                          <w:ind w:left="148"/>
                          <w:rPr>
                            <w:sz w:val="21"/>
                          </w:rPr>
                        </w:pPr>
                        <w:r>
                          <w:rPr>
                            <w:rFonts w:ascii="宋体" w:eastAsia="宋体" w:hint="eastAsia"/>
                            <w:sz w:val="21"/>
                          </w:rPr>
                          <w:t>转出基金费用</w:t>
                        </w:r>
                        <w:r>
                          <w:rPr>
                            <w:sz w:val="21"/>
                          </w:rPr>
                          <w:t>(E=C*D)</w:t>
                        </w:r>
                      </w:p>
                    </w:tc>
                    <w:tc>
                      <w:tcPr>
                        <w:tcW w:w="3224" w:type="dxa"/>
                      </w:tcPr>
                      <w:p>
                        <w:pPr>
                          <w:pStyle w:val="TableParagraph"/>
                          <w:ind w:right="94"/>
                          <w:jc w:val="right"/>
                          <w:rPr>
                            <w:sz w:val="21"/>
                          </w:rPr>
                        </w:pPr>
                        <w:r>
                          <w:rPr>
                            <w:sz w:val="21"/>
                          </w:rPr>
                          <w:t>65,000.00</w:t>
                        </w:r>
                      </w:p>
                    </w:tc>
                  </w:tr>
                  <w:tr>
                    <w:trPr>
                      <w:trHeight w:val="313" w:hRule="atLeast"/>
                    </w:trPr>
                    <w:tc>
                      <w:tcPr>
                        <w:tcW w:w="4244" w:type="dxa"/>
                      </w:tcPr>
                      <w:p>
                        <w:pPr>
                          <w:pStyle w:val="TableParagraph"/>
                          <w:spacing w:before="25"/>
                          <w:ind w:left="148"/>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jc w:val="right"/>
                          <w:rPr>
                            <w:sz w:val="21"/>
                          </w:rPr>
                        </w:pPr>
                        <w:r>
                          <w:rPr>
                            <w:sz w:val="21"/>
                          </w:rPr>
                          <w:t>12,935,000.00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jc w:val="right"/>
                          <w:rPr>
                            <w:sz w:val="21"/>
                          </w:rPr>
                        </w:pPr>
                        <w:r>
                          <w:rPr>
                            <w:sz w:val="21"/>
                          </w:rPr>
                          <w:t>12,935,000.00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jc w:val="right"/>
                          <w:rPr>
                            <w:sz w:val="21"/>
                          </w:rPr>
                        </w:pPr>
                        <w:r>
                          <w:rPr>
                            <w:sz w:val="21"/>
                          </w:rPr>
                          <w:t>1.500</w:t>
                        </w:r>
                      </w:p>
                    </w:tc>
                  </w:tr>
                  <w:tr>
                    <w:trPr>
                      <w:trHeight w:val="311" w:hRule="atLeast"/>
                    </w:trPr>
                    <w:tc>
                      <w:tcPr>
                        <w:tcW w:w="4244" w:type="dxa"/>
                      </w:tcPr>
                      <w:p>
                        <w:pPr>
                          <w:pStyle w:val="TableParagraph"/>
                          <w:spacing w:before="22"/>
                          <w:ind w:left="148"/>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jc w:val="right"/>
                          <w:rPr>
                            <w:sz w:val="21"/>
                          </w:rPr>
                        </w:pPr>
                        <w:r>
                          <w:rPr>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540" w:right="20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2"/>
        </w:numPr>
        <w:tabs>
          <w:tab w:pos="1490" w:val="left" w:leader="none"/>
        </w:tabs>
        <w:spacing w:line="417" w:lineRule="auto" w:before="0" w:after="0"/>
        <w:ind w:left="540" w:right="208" w:firstLine="419"/>
        <w:jc w:val="left"/>
        <w:rPr>
          <w:sz w:val="21"/>
        </w:rPr>
      </w:pPr>
      <w:r>
        <w:rPr/>
        <w:pict>
          <v:shape style="position:absolute;margin-left:111.139999pt;margin-top:41.820015pt;width:373.4pt;height:129.4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3" w:hRule="atLeast"/>
                    </w:trPr>
                    <w:tc>
                      <w:tcPr>
                        <w:tcW w:w="4237" w:type="dxa"/>
                      </w:tcPr>
                      <w:p>
                        <w:pPr>
                          <w:pStyle w:val="TableParagraph"/>
                          <w:spacing w:before="25"/>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7"/>
                          <w:ind w:right="94"/>
                          <w:jc w:val="right"/>
                          <w:rPr>
                            <w:sz w:val="21"/>
                          </w:rPr>
                        </w:pPr>
                        <w:r>
                          <w:rPr>
                            <w:sz w:val="21"/>
                          </w:rPr>
                          <w:t>1.100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19.45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jc w:val="right"/>
              <w:rPr>
                <w:sz w:val="21"/>
              </w:rPr>
            </w:pPr>
            <w:r>
              <w:rPr>
                <w:sz w:val="21"/>
              </w:rPr>
              <w:t>25.45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1,174.55</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spacing w:before="36"/>
              <w:ind w:right="94"/>
              <w:jc w:val="right"/>
              <w:rPr>
                <w:sz w:val="21"/>
              </w:rPr>
            </w:pPr>
            <w:r>
              <w:rPr>
                <w:sz w:val="21"/>
              </w:rPr>
              <w:t>2.0%-1.5%=0.5%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pPr>
              <w:pStyle w:val="TableParagraph"/>
              <w:ind w:right="94"/>
              <w:jc w:val="right"/>
              <w:rPr>
                <w:sz w:val="21"/>
              </w:rPr>
            </w:pPr>
            <w:r>
              <w:rPr>
                <w:sz w:val="21"/>
              </w:rPr>
              <w:t>1,168.71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jc w:val="right"/>
              <w:rPr>
                <w:sz w:val="21"/>
              </w:rPr>
            </w:pPr>
            <w:r>
              <w:rPr>
                <w:sz w:val="21"/>
              </w:rPr>
              <w:t>5.84</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ind w:right="94"/>
              <w:jc w:val="right"/>
              <w:rPr>
                <w:sz w:val="21"/>
              </w:rPr>
            </w:pPr>
            <w:r>
              <w:rPr>
                <w:sz w:val="21"/>
              </w:rPr>
              <w:t>899.01</w:t>
            </w:r>
          </w:p>
        </w:tc>
      </w:tr>
    </w:tbl>
    <w:p>
      <w:pPr>
        <w:pStyle w:val="ListParagraph"/>
        <w:numPr>
          <w:ilvl w:val="0"/>
          <w:numId w:val="22"/>
        </w:numPr>
        <w:tabs>
          <w:tab w:pos="1490" w:val="left" w:leader="none"/>
        </w:tabs>
        <w:spacing w:line="417" w:lineRule="auto" w:before="109" w:after="0"/>
        <w:ind w:left="540" w:right="208" w:firstLine="419"/>
        <w:jc w:val="left"/>
        <w:rPr>
          <w:sz w:val="21"/>
        </w:rPr>
      </w:pPr>
      <w:r>
        <w:rPr/>
        <w:pict>
          <v:shape style="position:absolute;margin-left:111.739998pt;margin-top:47.299984pt;width:372.2pt;height:258.1500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4" w:hRule="atLeast"/>
                    </w:trPr>
                    <w:tc>
                      <w:tcPr>
                        <w:tcW w:w="4225" w:type="dxa"/>
                      </w:tcPr>
                      <w:p>
                        <w:pPr>
                          <w:pStyle w:val="TableParagraph"/>
                          <w:spacing w:before="25"/>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5"/>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jc w:val="right"/>
                          <w:rPr>
                            <w:sz w:val="21"/>
                          </w:rPr>
                        </w:pPr>
                        <w:r>
                          <w:rPr>
                            <w:sz w:val="21"/>
                          </w:rPr>
                          <w:t>1,000.00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jc w:val="right"/>
                          <w:rPr>
                            <w:sz w:val="21"/>
                          </w:rPr>
                        </w:pPr>
                        <w:r>
                          <w:rPr>
                            <w:sz w:val="21"/>
                          </w:rPr>
                          <w:t>1.200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ind w:right="92"/>
                          <w:jc w:val="right"/>
                          <w:rPr>
                            <w:sz w:val="21"/>
                          </w:rPr>
                        </w:pPr>
                        <w:r>
                          <w:rPr>
                            <w:sz w:val="21"/>
                          </w:rPr>
                          <w:t>1,200.00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ind w:right="91"/>
                          <w:jc w:val="right"/>
                          <w:rPr>
                            <w:sz w:val="21"/>
                          </w:rPr>
                        </w:pPr>
                        <w:r>
                          <w:rPr>
                            <w:sz w:val="21"/>
                          </w:rPr>
                          <w:t>0.5%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ind w:right="91"/>
                          <w:jc w:val="right"/>
                          <w:rPr>
                            <w:sz w:val="21"/>
                          </w:rPr>
                        </w:pPr>
                        <w:r>
                          <w:rPr>
                            <w:sz w:val="21"/>
                          </w:rPr>
                          <w:t>6.00</w:t>
                        </w:r>
                      </w:p>
                    </w:tc>
                  </w:tr>
                  <w:tr>
                    <w:trPr>
                      <w:trHeight w:val="313"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spacing w:before="36"/>
                          <w:ind w:right="91"/>
                          <w:jc w:val="right"/>
                          <w:rPr>
                            <w:sz w:val="21"/>
                          </w:rPr>
                        </w:pPr>
                        <w:r>
                          <w:rPr>
                            <w:sz w:val="21"/>
                          </w:rPr>
                          <w:t>1.100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jc w:val="right"/>
                          <w:rPr>
                            <w:sz w:val="21"/>
                          </w:rPr>
                        </w:pPr>
                        <w:r>
                          <w:rPr>
                            <w:sz w:val="21"/>
                          </w:rPr>
                          <w:t>1.8%</w:t>
                        </w:r>
                      </w:p>
                    </w:tc>
                  </w:tr>
                  <w:tr>
                    <w:trPr>
                      <w:trHeight w:val="311" w:hRule="atLeast"/>
                    </w:trPr>
                    <w:tc>
                      <w:tcPr>
                        <w:tcW w:w="4225" w:type="dxa"/>
                      </w:tcPr>
                      <w:p>
                        <w:pPr>
                          <w:pStyle w:val="TableParagraph"/>
                          <w:spacing w:before="22"/>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jc w:val="right"/>
                          <w:rPr>
                            <w:sz w:val="21"/>
                          </w:rPr>
                        </w:pPr>
                        <w:r>
                          <w:rPr>
                            <w:sz w:val="21"/>
                          </w:rPr>
                          <w:t>19.45</w:t>
                        </w:r>
                      </w:p>
                    </w:tc>
                  </w:tr>
                  <w:tr>
                    <w:trPr>
                      <w:trHeight w:val="312"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ind w:right="91"/>
                          <w:jc w:val="right"/>
                          <w:rPr>
                            <w:sz w:val="21"/>
                          </w:rPr>
                        </w:pPr>
                        <w:r>
                          <w:rPr>
                            <w:sz w:val="21"/>
                          </w:rPr>
                          <w:t>25.45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ind w:right="92"/>
                          <w:jc w:val="right"/>
                          <w:rPr>
                            <w:sz w:val="21"/>
                          </w:rPr>
                        </w:pPr>
                        <w:r>
                          <w:rPr>
                            <w:sz w:val="21"/>
                          </w:rPr>
                          <w:t>1,174.55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jc w:val="right"/>
                          <w:rPr>
                            <w:sz w:val="21"/>
                          </w:rPr>
                        </w:pPr>
                        <w:r>
                          <w:rPr>
                            <w:sz w:val="21"/>
                          </w:rPr>
                          <w:t>0.00%</w:t>
                        </w:r>
                      </w:p>
                    </w:tc>
                  </w:tr>
                  <w:tr>
                    <w:trPr>
                      <w:trHeight w:val="313"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05" w:type="dxa"/>
                      </w:tcPr>
                      <w:p>
                        <w:pPr>
                          <w:pStyle w:val="TableParagraph"/>
                          <w:spacing w:before="36"/>
                          <w:ind w:right="92"/>
                          <w:jc w:val="right"/>
                          <w:rPr>
                            <w:sz w:val="21"/>
                          </w:rPr>
                        </w:pPr>
                        <w:r>
                          <w:rPr>
                            <w:sz w:val="21"/>
                          </w:rPr>
                          <w:t>1,174.55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ind w:right="91"/>
                          <w:jc w:val="right"/>
                          <w:rPr>
                            <w:sz w:val="21"/>
                          </w:rPr>
                        </w:pPr>
                        <w:r>
                          <w:rPr>
                            <w:sz w:val="21"/>
                          </w:rPr>
                          <w:t>0.00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ind w:right="91"/>
                          <w:jc w:val="right"/>
                          <w:rPr>
                            <w:sz w:val="21"/>
                          </w:rPr>
                        </w:pPr>
                        <w:r>
                          <w:rPr>
                            <w:sz w:val="21"/>
                          </w:rPr>
                          <w:t>1.300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ind w:right="91"/>
                          <w:jc w:val="right"/>
                          <w:rPr>
                            <w:sz w:val="21"/>
                          </w:rPr>
                        </w:pPr>
                        <w:r>
                          <w:rPr>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pStyle w:val="BodyText"/>
        <w:spacing w:line="417" w:lineRule="auto"/>
        <w:ind w:left="540" w:right="20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3"/>
        </w:numPr>
        <w:tabs>
          <w:tab w:pos="1490" w:val="left" w:leader="none"/>
        </w:tabs>
        <w:spacing w:line="417" w:lineRule="auto" w:before="0" w:after="0"/>
        <w:ind w:left="540" w:right="311" w:firstLine="419"/>
        <w:jc w:val="both"/>
        <w:rPr>
          <w:sz w:val="21"/>
        </w:rPr>
      </w:pPr>
      <w:r>
        <w:rPr/>
        <w:pict>
          <v:shape style="position:absolute;margin-left:111.5pt;margin-top:65.220024pt;width:372.6pt;height:97.1pt;mso-position-horizontal-relative:page;mso-position-vertical-relative:paragraph;z-index:251691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6"/>
                          <w:ind w:right="92"/>
                          <w:jc w:val="right"/>
                          <w:rPr>
                            <w:sz w:val="21"/>
                          </w:rPr>
                        </w:pPr>
                        <w:r>
                          <w:rPr>
                            <w:sz w:val="21"/>
                          </w:rPr>
                          <w:t>10,000,000.00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jc w:val="right"/>
                          <w:rPr>
                            <w:sz w:val="21"/>
                          </w:rPr>
                        </w:pPr>
                        <w:r>
                          <w:rPr>
                            <w:sz w:val="21"/>
                          </w:rPr>
                          <w:t>1.200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2"/>
                          <w:jc w:val="right"/>
                          <w:rPr>
                            <w:sz w:val="21"/>
                          </w:rPr>
                        </w:pPr>
                        <w:r>
                          <w:rPr>
                            <w:sz w:val="21"/>
                          </w:rPr>
                          <w:t>12,000,000.00</w:t>
                        </w:r>
                      </w:p>
                    </w:tc>
                  </w:tr>
                  <w:tr>
                    <w:trPr>
                      <w:trHeight w:val="311"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jc w:val="right"/>
                          <w:rPr>
                            <w:sz w:val="21"/>
                          </w:rPr>
                        </w:pPr>
                        <w:r>
                          <w:rPr>
                            <w:sz w:val="21"/>
                          </w:rPr>
                          <w:t>0.5%</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ind w:right="92"/>
                          <w:jc w:val="right"/>
                          <w:rPr>
                            <w:sz w:val="21"/>
                          </w:rPr>
                        </w:pPr>
                        <w:r>
                          <w:rPr>
                            <w:sz w:val="21"/>
                          </w:rPr>
                          <w:t>60,000.00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2"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jc w:val="right"/>
              <w:rPr>
                <w:sz w:val="21"/>
              </w:rPr>
            </w:pPr>
            <w:r>
              <w:rPr>
                <w:sz w:val="21"/>
              </w:rPr>
              <w:t>1.100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jc w:val="right"/>
              <w:rPr>
                <w:sz w:val="21"/>
              </w:rPr>
            </w:pPr>
            <w:r>
              <w:rPr>
                <w:sz w:val="21"/>
              </w:rPr>
              <w:t>1.8%</w:t>
            </w:r>
          </w:p>
        </w:tc>
      </w:tr>
      <w:tr>
        <w:trPr>
          <w:trHeight w:val="311" w:hRule="atLeast"/>
        </w:trPr>
        <w:tc>
          <w:tcPr>
            <w:tcW w:w="4230"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jc w:val="right"/>
              <w:rPr>
                <w:sz w:val="21"/>
              </w:rPr>
            </w:pPr>
            <w:r>
              <w:rPr>
                <w:sz w:val="21"/>
              </w:rPr>
              <w:t>194,499.02</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6"/>
              <w:ind w:right="92"/>
              <w:jc w:val="right"/>
              <w:rPr>
                <w:sz w:val="21"/>
              </w:rPr>
            </w:pPr>
            <w:r>
              <w:rPr>
                <w:sz w:val="21"/>
              </w:rPr>
              <w:t>254,499.02</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jc w:val="right"/>
              <w:rPr>
                <w:sz w:val="21"/>
              </w:rPr>
            </w:pPr>
            <w:r>
              <w:rPr>
                <w:sz w:val="21"/>
              </w:rPr>
              <w:t>11,745,500.98</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ind w:right="92"/>
              <w:jc w:val="right"/>
              <w:rPr>
                <w:sz w:val="21"/>
              </w:rPr>
            </w:pPr>
            <w:r>
              <w:rPr>
                <w:sz w:val="21"/>
              </w:rPr>
              <w:t>1,000.00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jc w:val="right"/>
              <w:rPr>
                <w:sz w:val="21"/>
              </w:rPr>
            </w:pPr>
            <w:r>
              <w:rPr>
                <w:sz w:val="21"/>
              </w:rPr>
              <w:t>11,744,500.98</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jc w:val="right"/>
              <w:rPr>
                <w:sz w:val="21"/>
              </w:rPr>
            </w:pPr>
            <w:r>
              <w:rPr>
                <w:sz w:val="21"/>
              </w:rPr>
              <w:t>1.300</w:t>
            </w:r>
          </w:p>
        </w:tc>
      </w:tr>
      <w:tr>
        <w:trPr>
          <w:trHeight w:val="314"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jc w:val="right"/>
              <w:rPr>
                <w:sz w:val="21"/>
              </w:rPr>
            </w:pPr>
            <w:r>
              <w:rPr>
                <w:sz w:val="21"/>
              </w:rPr>
              <w:t>9,034,231.52</w:t>
            </w:r>
          </w:p>
        </w:tc>
      </w:tr>
    </w:tbl>
    <w:p>
      <w:pPr>
        <w:pStyle w:val="ListParagraph"/>
        <w:numPr>
          <w:ilvl w:val="0"/>
          <w:numId w:val="23"/>
        </w:numPr>
        <w:tabs>
          <w:tab w:pos="1490" w:val="left" w:leader="none"/>
        </w:tabs>
        <w:spacing w:line="417" w:lineRule="auto" w:before="109" w:after="0"/>
        <w:ind w:left="540" w:right="311" w:firstLine="419"/>
        <w:jc w:val="both"/>
        <w:rPr>
          <w:sz w:val="21"/>
        </w:rPr>
      </w:pPr>
      <w:r>
        <w:rPr/>
        <w:pict>
          <v:shape style="position:absolute;margin-left:111.139999pt;margin-top:70.699974pt;width:373.4pt;height:241.95pt;mso-position-horizontal-relative:page;mso-position-vertical-relative:paragraph;z-index:25169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3"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6"/>
                          <w:ind w:right="94"/>
                          <w:jc w:val="right"/>
                          <w:rPr>
                            <w:sz w:val="21"/>
                          </w:rPr>
                        </w:pPr>
                        <w:r>
                          <w:rPr>
                            <w:sz w:val="21"/>
                          </w:rPr>
                          <w:t>60,000.00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311" w:hRule="atLeast"/>
                    </w:trPr>
                    <w:tc>
                      <w:tcPr>
                        <w:tcW w:w="4237" w:type="dxa"/>
                      </w:tcPr>
                      <w:p>
                        <w:pPr>
                          <w:pStyle w:val="TableParagraph"/>
                          <w:spacing w:before="23"/>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r>
                    <w:trPr>
                      <w:trHeight w:val="311" w:hRule="atLeast"/>
                    </w:trPr>
                    <w:tc>
                      <w:tcPr>
                        <w:tcW w:w="4237" w:type="dxa"/>
                      </w:tcPr>
                      <w:p>
                        <w:pPr>
                          <w:pStyle w:val="TableParagraph"/>
                          <w:spacing w:before="22"/>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194,499.02</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jc w:val="right"/>
                          <w:rPr>
                            <w:sz w:val="21"/>
                          </w:rPr>
                        </w:pPr>
                        <w:r>
                          <w:rPr>
                            <w:sz w:val="21"/>
                          </w:rPr>
                          <w:t>254,499.02</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11,745,500.98</w:t>
                        </w:r>
                      </w:p>
                    </w:tc>
                  </w:tr>
                  <w:tr>
                    <w:trPr>
                      <w:trHeight w:val="314"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6"/>
                          <w:ind w:right="94"/>
                          <w:jc w:val="right"/>
                          <w:rPr>
                            <w:sz w:val="21"/>
                          </w:rPr>
                        </w:pPr>
                        <w:r>
                          <w:rPr>
                            <w:sz w:val="21"/>
                          </w:rPr>
                          <w:t>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jc w:val="right"/>
                          <w:rPr>
                            <w:sz w:val="21"/>
                          </w:rPr>
                        </w:pPr>
                        <w:r>
                          <w:rPr>
                            <w:sz w:val="21"/>
                          </w:rPr>
                          <w:t>11,745,500.98</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BodyText"/>
        <w:ind w:left="96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3"/>
        <w:rPr>
          <w:rFonts w:ascii="Times New Roman"/>
          <w:sz w:val="17"/>
        </w:rPr>
      </w:pPr>
    </w:p>
    <w:p>
      <w:pPr>
        <w:pStyle w:val="BodyText"/>
        <w:spacing w:line="417" w:lineRule="auto"/>
        <w:ind w:left="540" w:right="313"/>
        <w:jc w:val="both"/>
      </w:pPr>
      <w:r>
        <w:rPr/>
        <w:pict>
          <v:shape style="position:absolute;margin-left:111.139999pt;margin-top:88.650024pt;width:373.4pt;height:113.3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1,300.00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1"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6.50</w:t>
                        </w:r>
                      </w:p>
                    </w:tc>
                  </w:tr>
                  <w:tr>
                    <w:trPr>
                      <w:trHeight w:val="313"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1.0%</w:t>
            </w:r>
          </w:p>
        </w:tc>
      </w:tr>
      <w:tr>
        <w:trPr>
          <w:trHeight w:val="311" w:hRule="atLeast"/>
        </w:trPr>
        <w:tc>
          <w:tcPr>
            <w:tcW w:w="4237"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10.89</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jc w:val="right"/>
              <w:rPr>
                <w:sz w:val="21"/>
              </w:rPr>
            </w:pPr>
            <w:r>
              <w:rPr>
                <w:sz w:val="21"/>
              </w:rPr>
              <w:t>17.39</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6"/>
              <w:ind w:right="94"/>
              <w:jc w:val="right"/>
              <w:rPr>
                <w:sz w:val="21"/>
              </w:rPr>
            </w:pPr>
            <w:r>
              <w:rPr>
                <w:sz w:val="21"/>
              </w:rPr>
              <w:t>1,282.61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jc w:val="right"/>
              <w:rPr>
                <w:sz w:val="21"/>
              </w:rPr>
            </w:pPr>
            <w:r>
              <w:rPr>
                <w:sz w:val="21"/>
              </w:rPr>
              <w:t>1,282.61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1.500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855.07</w:t>
            </w:r>
          </w:p>
        </w:tc>
      </w:tr>
    </w:tbl>
    <w:p>
      <w:pPr>
        <w:pStyle w:val="BodyText"/>
        <w:spacing w:line="417" w:lineRule="auto" w:before="109"/>
        <w:ind w:left="540" w:right="311" w:firstLine="419"/>
        <w:jc w:val="both"/>
      </w:pPr>
      <w:r>
        <w:rPr/>
        <w:pict>
          <v:shape style="position:absolute;margin-left:110.540001pt;margin-top:70.699982pt;width:374.6pt;height:145.5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4" w:hRule="atLeast"/>
                    </w:trPr>
                    <w:tc>
                      <w:tcPr>
                        <w:tcW w:w="4249" w:type="dxa"/>
                      </w:tcPr>
                      <w:p>
                        <w:pPr>
                          <w:pStyle w:val="TableParagraph"/>
                          <w:spacing w:before="25"/>
                          <w:ind w:left="1894" w:right="1885"/>
                          <w:jc w:val="center"/>
                          <w:rPr>
                            <w:rFonts w:ascii="宋体" w:eastAsia="宋体" w:hint="eastAsia"/>
                            <w:sz w:val="21"/>
                          </w:rPr>
                        </w:pPr>
                        <w:r>
                          <w:rPr>
                            <w:rFonts w:ascii="宋体" w:eastAsia="宋体" w:hint="eastAsia"/>
                            <w:sz w:val="21"/>
                          </w:rPr>
                          <w:t>项目</w:t>
                        </w:r>
                      </w:p>
                    </w:tc>
                    <w:tc>
                      <w:tcPr>
                        <w:tcW w:w="3229" w:type="dxa"/>
                      </w:tcPr>
                      <w:p>
                        <w:pPr>
                          <w:pStyle w:val="TableParagraph"/>
                          <w:spacing w:before="25"/>
                          <w:ind w:left="1173" w:right="1165"/>
                          <w:jc w:val="center"/>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jc w:val="right"/>
                          <w:rPr>
                            <w:sz w:val="21"/>
                          </w:rPr>
                        </w:pPr>
                        <w:r>
                          <w:rPr>
                            <w:sz w:val="21"/>
                          </w:rPr>
                          <w:t>855.07</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ind w:right="94"/>
                          <w:jc w:val="right"/>
                          <w:rPr>
                            <w:sz w:val="21"/>
                          </w:rPr>
                        </w:pPr>
                        <w:r>
                          <w:rPr>
                            <w:sz w:val="21"/>
                          </w:rPr>
                          <w:t>1.300</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ind w:right="94"/>
                          <w:jc w:val="right"/>
                          <w:rPr>
                            <w:sz w:val="21"/>
                          </w:rPr>
                        </w:pPr>
                        <w:r>
                          <w:rPr>
                            <w:sz w:val="21"/>
                          </w:rPr>
                          <w:t>1,111.59</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jc w:val="right"/>
                          <w:rPr>
                            <w:sz w:val="21"/>
                          </w:rPr>
                        </w:pPr>
                        <w:r>
                          <w:rPr>
                            <w:sz w:val="21"/>
                          </w:rPr>
                          <w:t>0.5%</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ind w:right="94"/>
                          <w:jc w:val="right"/>
                          <w:rPr>
                            <w:sz w:val="21"/>
                          </w:rPr>
                        </w:pPr>
                        <w:r>
                          <w:rPr>
                            <w:sz w:val="21"/>
                          </w:rPr>
                          <w:t>5.56</w:t>
                        </w:r>
                      </w:p>
                    </w:tc>
                  </w:tr>
                  <w:tr>
                    <w:trPr>
                      <w:trHeight w:val="313" w:hRule="atLeast"/>
                    </w:trPr>
                    <w:tc>
                      <w:tcPr>
                        <w:tcW w:w="4249" w:type="dxa"/>
                      </w:tcPr>
                      <w:p>
                        <w:pPr>
                          <w:pStyle w:val="TableParagraph"/>
                          <w:spacing w:before="25"/>
                          <w:ind w:left="107"/>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before="36"/>
                          <w:ind w:right="93"/>
                          <w:jc w:val="right"/>
                          <w:rPr>
                            <w:sz w:val="21"/>
                          </w:rPr>
                        </w:pPr>
                        <w:r>
                          <w:rPr>
                            <w:sz w:val="21"/>
                          </w:rPr>
                          <w:t>1.2%</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pPr>
                          <w:pStyle w:val="TableParagraph"/>
                          <w:ind w:right="94"/>
                          <w:jc w:val="right"/>
                          <w:rPr>
                            <w:sz w:val="21"/>
                          </w:rPr>
                        </w:pPr>
                        <w:r>
                          <w:rPr>
                            <w:sz w:val="21"/>
                          </w:rPr>
                          <w:t>15.21</w:t>
                        </w:r>
                      </w:p>
                    </w:tc>
                  </w:tr>
                  <w:tr>
                    <w:trPr>
                      <w:trHeight w:val="311" w:hRule="atLeast"/>
                    </w:trPr>
                    <w:tc>
                      <w:tcPr>
                        <w:tcW w:w="4249" w:type="dxa"/>
                      </w:tcPr>
                      <w:p>
                        <w:pPr>
                          <w:pStyle w:val="TableParagraph"/>
                          <w:spacing w:before="23"/>
                          <w:ind w:left="107"/>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ind w:right="94"/>
                          <w:jc w:val="right"/>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line="417" w:lineRule="auto"/>
        <w:ind w:left="540" w:right="311" w:firstLine="419"/>
        <w:jc w:val="both"/>
      </w:pPr>
      <w:r>
        <w:rPr/>
        <w:pict>
          <v:shape style="position:absolute;margin-left:110.779999pt;margin-top:88.61998pt;width:374pt;height:242.1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spacing w:before="22"/>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2"/>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jc w:val="right"/>
                          <w:rPr>
                            <w:sz w:val="21"/>
                          </w:rPr>
                        </w:pPr>
                        <w:r>
                          <w:rPr>
                            <w:sz w:val="21"/>
                          </w:rPr>
                          <w:t>1,000.00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36"/>
                          <w:ind w:right="90"/>
                          <w:jc w:val="right"/>
                          <w:rPr>
                            <w:sz w:val="21"/>
                          </w:rPr>
                        </w:pPr>
                        <w:r>
                          <w:rPr>
                            <w:sz w:val="21"/>
                          </w:rPr>
                          <w:t>1.200</w:t>
                        </w:r>
                      </w:p>
                    </w:tc>
                  </w:tr>
                  <w:tr>
                    <w:trPr>
                      <w:trHeight w:val="312"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jc w:val="right"/>
                          <w:rPr>
                            <w:sz w:val="21"/>
                          </w:rPr>
                        </w:pPr>
                        <w:r>
                          <w:rPr>
                            <w:sz w:val="21"/>
                          </w:rPr>
                          <w:t>1,200.00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jc w:val="right"/>
                          <w:rPr>
                            <w:sz w:val="21"/>
                          </w:rPr>
                        </w:pPr>
                        <w:r>
                          <w:rPr>
                            <w:sz w:val="21"/>
                          </w:rPr>
                          <w:t>6.00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jc w:val="right"/>
                          <w:rPr>
                            <w:sz w:val="21"/>
                          </w:rPr>
                        </w:pPr>
                        <w:r>
                          <w:rPr>
                            <w:sz w:val="21"/>
                          </w:rPr>
                          <w:t>1.100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jc w:val="right"/>
                          <w:rPr>
                            <w:sz w:val="21"/>
                          </w:rPr>
                        </w:pPr>
                        <w:r>
                          <w:rPr>
                            <w:sz w:val="21"/>
                          </w:rPr>
                          <w:t>1.0%</w:t>
                        </w:r>
                      </w:p>
                    </w:tc>
                  </w:tr>
                  <w:tr>
                    <w:trPr>
                      <w:trHeight w:val="313" w:hRule="atLeast"/>
                    </w:trPr>
                    <w:tc>
                      <w:tcPr>
                        <w:tcW w:w="4244" w:type="dxa"/>
                      </w:tcPr>
                      <w:p>
                        <w:pPr>
                          <w:pStyle w:val="TableParagraph"/>
                          <w:spacing w:before="25"/>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spacing w:before="36"/>
                          <w:ind w:right="90"/>
                          <w:jc w:val="right"/>
                          <w:rPr>
                            <w:sz w:val="21"/>
                          </w:rPr>
                        </w:pPr>
                        <w:r>
                          <w:rPr>
                            <w:sz w:val="21"/>
                          </w:rPr>
                          <w:t>10.89</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ind w:right="90"/>
                          <w:jc w:val="right"/>
                          <w:rPr>
                            <w:sz w:val="21"/>
                          </w:rPr>
                        </w:pPr>
                        <w:r>
                          <w:rPr>
                            <w:sz w:val="21"/>
                          </w:rPr>
                          <w:t>16.89</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ind w:right="91"/>
                          <w:jc w:val="right"/>
                          <w:rPr>
                            <w:sz w:val="21"/>
                          </w:rPr>
                        </w:pPr>
                        <w:r>
                          <w:rPr>
                            <w:sz w:val="21"/>
                          </w:rPr>
                          <w:t>1,183.11</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jc w:val="right"/>
                          <w:rPr>
                            <w:sz w:val="21"/>
                          </w:rPr>
                        </w:pPr>
                        <w:r>
                          <w:rPr>
                            <w:sz w:val="21"/>
                          </w:rPr>
                          <w:t>1,183.11</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jc w:val="right"/>
                          <w:rPr>
                            <w:sz w:val="21"/>
                          </w:rPr>
                        </w:pPr>
                        <w:r>
                          <w:rPr>
                            <w:sz w:val="21"/>
                          </w:rPr>
                          <w:t>1.500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spacing w:before="36"/>
                          <w:ind w:right="90"/>
                          <w:jc w:val="right"/>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jc w:val="both"/>
      </w:pPr>
      <w:r>
        <w:rPr/>
        <w:pict>
          <v:shape style="position:absolute;margin-left:111.139999pt;margin-top:94.11998pt;width:373.4pt;height:225.4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jc w:val="right"/>
                          <w:rPr>
                            <w:sz w:val="21"/>
                          </w:rPr>
                        </w:pPr>
                        <w:r>
                          <w:rPr>
                            <w:sz w:val="21"/>
                          </w:rPr>
                          <w:t>1,200.00</w:t>
                        </w:r>
                      </w:p>
                    </w:tc>
                  </w:tr>
                  <w:tr>
                    <w:trPr>
                      <w:trHeight w:val="312"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1,200.00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jc w:val="right"/>
                          <w:rPr>
                            <w:sz w:val="21"/>
                          </w:rPr>
                        </w:pPr>
                        <w:r>
                          <w:rPr>
                            <w:sz w:val="21"/>
                          </w:rPr>
                          <w:t>0.3%</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2.0%</w:t>
                        </w:r>
                      </w:p>
                    </w:tc>
                  </w:tr>
                  <w:tr>
                    <w:trPr>
                      <w:trHeight w:val="623"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jc w:val="right"/>
                          <w:rPr>
                            <w:sz w:val="21"/>
                          </w:rPr>
                        </w:pPr>
                        <w:r>
                          <w:rPr>
                            <w:sz w:val="21"/>
                          </w:rPr>
                          <w:t>1.88%</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pPr>
                          <w:pStyle w:val="TableParagraph"/>
                          <w:spacing w:before="36"/>
                          <w:ind w:right="94"/>
                          <w:jc w:val="right"/>
                          <w:rPr>
                            <w:sz w:val="21"/>
                          </w:rPr>
                        </w:pPr>
                        <w:r>
                          <w:rPr>
                            <w:sz w:val="21"/>
                          </w:rPr>
                          <w:t>1,177.86</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jc w:val="right"/>
                          <w:rPr>
                            <w:sz w:val="21"/>
                          </w:rPr>
                        </w:pPr>
                        <w:r>
                          <w:rPr>
                            <w:sz w:val="21"/>
                          </w:rPr>
                          <w:t>22.14</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jc w:val="right"/>
                          <w:rPr>
                            <w:sz w:val="21"/>
                          </w:rPr>
                        </w:pPr>
                        <w:r>
                          <w:rPr>
                            <w:sz w:val="21"/>
                          </w:rPr>
                          <w:t>906.05</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1"/>
        <w:ind w:left="540" w:right="311" w:firstLine="419"/>
        <w:jc w:val="both"/>
      </w:pPr>
      <w:r>
        <w:rPr/>
        <w:pict>
          <v:shape style="position:absolute;margin-left:111.379997pt;margin-top:96.19001pt;width:372.95pt;height:209.3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7"/>
                          <w:jc w:val="center"/>
                          <w:rPr>
                            <w:rFonts w:ascii="宋体" w:eastAsia="宋体" w:hint="eastAsia"/>
                            <w:sz w:val="21"/>
                          </w:rPr>
                        </w:pPr>
                        <w:r>
                          <w:rPr>
                            <w:rFonts w:ascii="宋体" w:eastAsia="宋体" w:hint="eastAsia"/>
                            <w:sz w:val="21"/>
                          </w:rPr>
                          <w:t>费用计算</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6"/>
                          <w:ind w:right="94"/>
                          <w:jc w:val="right"/>
                          <w:rPr>
                            <w:sz w:val="21"/>
                          </w:rPr>
                        </w:pPr>
                        <w:r>
                          <w:rPr>
                            <w:sz w:val="21"/>
                          </w:rPr>
                          <w:t>10,000,000.00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jc w:val="right"/>
                          <w:rPr>
                            <w:sz w:val="21"/>
                          </w:rPr>
                        </w:pPr>
                        <w:r>
                          <w:rPr>
                            <w:sz w:val="21"/>
                          </w:rPr>
                          <w:t>1.200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ind w:right="93"/>
                          <w:jc w:val="right"/>
                          <w:rPr>
                            <w:sz w:val="21"/>
                          </w:rPr>
                        </w:pPr>
                        <w:r>
                          <w:rPr>
                            <w:sz w:val="21"/>
                          </w:rPr>
                          <w:t>0.3%</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36"/>
                          <w:ind w:right="94"/>
                          <w:jc w:val="right"/>
                          <w:rPr>
                            <w:sz w:val="21"/>
                          </w:rPr>
                        </w:pPr>
                        <w:r>
                          <w:rPr>
                            <w:sz w:val="21"/>
                          </w:rPr>
                          <w:t>1,000.00</w:t>
                        </w:r>
                      </w:p>
                    </w:tc>
                  </w:tr>
                  <w:tr>
                    <w:trPr>
                      <w:trHeight w:val="623"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jc w:val="right"/>
                          <w:rPr>
                            <w:sz w:val="21"/>
                          </w:rPr>
                        </w:pPr>
                        <w:r>
                          <w:rPr>
                            <w:sz w:val="21"/>
                          </w:rPr>
                          <w:t>13.70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ind w:right="94"/>
                          <w:jc w:val="right"/>
                          <w:rPr>
                            <w:sz w:val="21"/>
                          </w:rPr>
                        </w:pPr>
                        <w:r>
                          <w:rPr>
                            <w:sz w:val="21"/>
                          </w:rPr>
                          <w:t>11,999,986.30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ind w:right="94"/>
                          <w:jc w:val="right"/>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5"/>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before="1"/>
        <w:ind w:left="96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ind w:left="540" w:right="208"/>
      </w:pP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w:t>
      </w:r>
    </w:p>
    <w:p>
      <w:pPr>
        <w:spacing w:after="0" w:line="417" w:lineRule="auto"/>
        <w:sectPr>
          <w:pgSz w:w="11910" w:h="16840"/>
          <w:pgMar w:header="877" w:footer="995" w:top="1420" w:bottom="1180" w:left="1260" w:right="1480"/>
        </w:sectPr>
      </w:pPr>
    </w:p>
    <w:p>
      <w:pPr>
        <w:pStyle w:val="BodyText"/>
        <w:spacing w:before="110"/>
        <w:ind w:left="540"/>
      </w:pPr>
      <w:r>
        <w:rPr/>
        <w:t>则转出基金费用、转入基金费用及份额计算如下：</w:t>
      </w:r>
    </w:p>
    <w:p>
      <w:pPr>
        <w:pStyle w:val="BodyText"/>
        <w:spacing w:before="9"/>
        <w:rPr>
          <w:sz w:val="7"/>
        </w:r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1" w:hRule="atLeast"/>
        </w:trPr>
        <w:tc>
          <w:tcPr>
            <w:tcW w:w="4242" w:type="dxa"/>
          </w:tcPr>
          <w:p>
            <w:pPr>
              <w:pStyle w:val="TableParagraph"/>
              <w:spacing w:before="22"/>
              <w:ind w:right="936"/>
              <w:jc w:val="right"/>
              <w:rPr>
                <w:rFonts w:ascii="宋体" w:eastAsia="宋体" w:hint="eastAsia"/>
                <w:sz w:val="21"/>
              </w:rPr>
            </w:pPr>
            <w:r>
              <w:rPr>
                <w:rFonts w:ascii="宋体" w:eastAsia="宋体" w:hint="eastAsia"/>
                <w:sz w:val="21"/>
              </w:rPr>
              <w:t>项目</w:t>
            </w:r>
          </w:p>
        </w:tc>
        <w:tc>
          <w:tcPr>
            <w:tcW w:w="3222" w:type="dxa"/>
          </w:tcPr>
          <w:p>
            <w:pPr>
              <w:pStyle w:val="TableParagraph"/>
              <w:spacing w:before="22"/>
              <w:ind w:left="1171" w:right="1161"/>
              <w:jc w:val="center"/>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jc w:val="right"/>
              <w:rPr>
                <w:sz w:val="21"/>
              </w:rPr>
            </w:pPr>
            <w:r>
              <w:rPr>
                <w:sz w:val="21"/>
              </w:rPr>
              <w:t>1,000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jc w:val="right"/>
              <w:rPr>
                <w:sz w:val="21"/>
              </w:rPr>
            </w:pPr>
            <w:r>
              <w:rPr>
                <w:sz w:val="21"/>
              </w:rPr>
              <w:t>1.200</w:t>
            </w:r>
          </w:p>
        </w:tc>
      </w:tr>
      <w:tr>
        <w:trPr>
          <w:trHeight w:val="313"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36"/>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jc w:val="right"/>
              <w:rPr>
                <w:sz w:val="21"/>
              </w:rPr>
            </w:pPr>
            <w:r>
              <w:rPr>
                <w:sz w:val="21"/>
              </w:rPr>
              <w:t>1.500</w:t>
            </w:r>
          </w:p>
        </w:tc>
      </w:tr>
      <w:tr>
        <w:trPr>
          <w:trHeight w:val="314"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37"/>
              <w:ind w:right="92"/>
              <w:jc w:val="right"/>
              <w:rPr>
                <w:sz w:val="21"/>
              </w:rPr>
            </w:pPr>
            <w:r>
              <w:rPr>
                <w:sz w:val="21"/>
              </w:rPr>
              <w:t>800.00</w:t>
            </w:r>
          </w:p>
        </w:tc>
      </w:tr>
    </w:tbl>
    <w:p>
      <w:pPr>
        <w:pStyle w:val="BodyText"/>
        <w:spacing w:line="417" w:lineRule="auto" w:before="100"/>
        <w:ind w:left="540" w:right="313" w:firstLine="419"/>
        <w:jc w:val="both"/>
      </w:pPr>
      <w:r>
        <w:rPr/>
        <w:pict>
          <v:shape style="position:absolute;margin-left:110.779999pt;margin-top:70.219963pt;width:374.15pt;height:145.35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right="938"/>
                          <w:jc w:val="right"/>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jc w:val="right"/>
                          <w:rPr>
                            <w:sz w:val="21"/>
                          </w:rPr>
                        </w:pPr>
                        <w:r>
                          <w:rPr>
                            <w:sz w:val="21"/>
                          </w:rPr>
                          <w:t>800.00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ind w:right="94"/>
                          <w:jc w:val="right"/>
                          <w:rPr>
                            <w:sz w:val="21"/>
                          </w:rPr>
                        </w:pPr>
                        <w:r>
                          <w:rPr>
                            <w:sz w:val="21"/>
                          </w:rPr>
                          <w:t>1,040.00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36"/>
                          <w:ind w:right="93"/>
                          <w:jc w:val="right"/>
                          <w:rPr>
                            <w:sz w:val="21"/>
                          </w:rPr>
                        </w:pPr>
                        <w:r>
                          <w:rPr>
                            <w:sz w:val="21"/>
                          </w:rPr>
                          <w:t>0.5%</w:t>
                        </w:r>
                      </w:p>
                    </w:tc>
                  </w:tr>
                  <w:tr>
                    <w:trPr>
                      <w:trHeight w:val="311"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ind w:right="93"/>
                          <w:jc w:val="right"/>
                          <w:rPr>
                            <w:sz w:val="21"/>
                          </w:rPr>
                        </w:pPr>
                        <w:r>
                          <w:rPr>
                            <w:sz w:val="21"/>
                          </w:rPr>
                          <w:t>5.20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jc w:val="right"/>
                          <w:rPr>
                            <w:sz w:val="21"/>
                          </w:rPr>
                        </w:pPr>
                        <w:r>
                          <w:rPr>
                            <w:sz w:val="21"/>
                          </w:rPr>
                          <w:t>1.0%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pPr>
                          <w:pStyle w:val="TableParagraph"/>
                          <w:ind w:right="93"/>
                          <w:jc w:val="right"/>
                          <w:rPr>
                            <w:sz w:val="21"/>
                          </w:rPr>
                        </w:pPr>
                        <w:r>
                          <w:rPr>
                            <w:sz w:val="21"/>
                          </w:rPr>
                          <w:t>11.88</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jc w:val="right"/>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BodyText"/>
        <w:spacing w:line="417" w:lineRule="auto" w:before="1"/>
        <w:ind w:left="540" w:right="311" w:firstLine="419"/>
        <w:jc w:val="both"/>
      </w:pPr>
      <w:r>
        <w:rPr/>
        <w:pict>
          <v:shape style="position:absolute;margin-left:110.779999pt;margin-top:65.269951pt;width:374pt;height:208.85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4" w:hRule="atLeast"/>
                    </w:trPr>
                    <w:tc>
                      <w:tcPr>
                        <w:tcW w:w="4244" w:type="dxa"/>
                      </w:tcPr>
                      <w:p>
                        <w:pPr>
                          <w:pStyle w:val="TableParagraph"/>
                          <w:spacing w:before="25"/>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5"/>
                          <w:ind w:left="1171" w:right="1159"/>
                          <w:jc w:val="center"/>
                          <w:rPr>
                            <w:rFonts w:ascii="宋体" w:eastAsia="宋体" w:hint="eastAsia"/>
                            <w:sz w:val="21"/>
                          </w:rPr>
                        </w:pPr>
                        <w:r>
                          <w:rPr>
                            <w:rFonts w:ascii="宋体" w:eastAsia="宋体" w:hint="eastAsia"/>
                            <w:sz w:val="21"/>
                          </w:rPr>
                          <w:t>费用计算</w:t>
                        </w:r>
                      </w:p>
                    </w:tc>
                  </w:tr>
                  <w:tr>
                    <w:trPr>
                      <w:trHeight w:val="312"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left="1171" w:right="1159"/>
                          <w:jc w:val="center"/>
                          <w:rPr>
                            <w:sz w:val="21"/>
                          </w:rPr>
                        </w:pPr>
                        <w:r>
                          <w:rPr>
                            <w:sz w:val="21"/>
                          </w:rPr>
                          <w:t>1,000.00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left="1171" w:right="1157"/>
                          <w:jc w:val="center"/>
                          <w:rPr>
                            <w:sz w:val="21"/>
                          </w:rPr>
                        </w:pPr>
                        <w:r>
                          <w:rPr>
                            <w:sz w:val="21"/>
                          </w:rPr>
                          <w:t>1.300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left="1171" w:right="1159"/>
                          <w:jc w:val="center"/>
                          <w:rPr>
                            <w:sz w:val="21"/>
                          </w:rPr>
                        </w:pPr>
                        <w:r>
                          <w:rPr>
                            <w:sz w:val="21"/>
                          </w:rPr>
                          <w:t>1,300.00</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left="1171" w:right="1159"/>
                          <w:jc w:val="center"/>
                          <w:rPr>
                            <w:sz w:val="21"/>
                          </w:rPr>
                        </w:pPr>
                        <w:r>
                          <w:rPr>
                            <w:sz w:val="21"/>
                          </w:rPr>
                          <w:t>0.1%</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left="1171" w:right="1157"/>
                          <w:jc w:val="center"/>
                          <w:rPr>
                            <w:sz w:val="21"/>
                          </w:rPr>
                        </w:pPr>
                        <w:r>
                          <w:rPr>
                            <w:sz w:val="21"/>
                          </w:rPr>
                          <w:t>1.30</w:t>
                        </w:r>
                      </w:p>
                    </w:tc>
                  </w:tr>
                  <w:tr>
                    <w:trPr>
                      <w:trHeight w:val="313" w:hRule="atLeast"/>
                    </w:trPr>
                    <w:tc>
                      <w:tcPr>
                        <w:tcW w:w="4244" w:type="dxa"/>
                      </w:tcPr>
                      <w:p>
                        <w:pPr>
                          <w:pStyle w:val="TableParagraph"/>
                          <w:spacing w:before="25"/>
                          <w:ind w:left="571" w:right="560"/>
                          <w:jc w:val="center"/>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left="1171" w:right="1159"/>
                          <w:jc w:val="center"/>
                          <w:rPr>
                            <w:sz w:val="21"/>
                          </w:rPr>
                        </w:pPr>
                        <w:r>
                          <w:rPr>
                            <w:sz w:val="21"/>
                          </w:rPr>
                          <w:t>1,298.70</w:t>
                        </w:r>
                      </w:p>
                    </w:tc>
                  </w:tr>
                  <w:tr>
                    <w:trPr>
                      <w:trHeight w:val="467" w:hRule="atLeast"/>
                    </w:trPr>
                    <w:tc>
                      <w:tcPr>
                        <w:tcW w:w="4244" w:type="dxa"/>
                      </w:tcPr>
                      <w:p>
                        <w:pPr>
                          <w:pStyle w:val="TableParagraph"/>
                          <w:spacing w:before="99"/>
                          <w:ind w:left="567" w:right="560"/>
                          <w:jc w:val="center"/>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spacing w:before="111"/>
                          <w:ind w:left="1171" w:right="1157"/>
                          <w:jc w:val="center"/>
                          <w:rPr>
                            <w:sz w:val="21"/>
                          </w:rPr>
                        </w:pPr>
                        <w:r>
                          <w:rPr>
                            <w:sz w:val="21"/>
                          </w:rPr>
                          <w:t>0.00</w:t>
                        </w:r>
                      </w:p>
                    </w:tc>
                  </w:tr>
                  <w:tr>
                    <w:trPr>
                      <w:trHeight w:val="467" w:hRule="atLeast"/>
                    </w:trPr>
                    <w:tc>
                      <w:tcPr>
                        <w:tcW w:w="4244" w:type="dxa"/>
                      </w:tcPr>
                      <w:p>
                        <w:pPr>
                          <w:pStyle w:val="TableParagraph"/>
                          <w:spacing w:before="99"/>
                          <w:ind w:left="569" w:right="560"/>
                          <w:jc w:val="center"/>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spacing w:before="111"/>
                          <w:ind w:left="1171" w:right="1159"/>
                          <w:jc w:val="center"/>
                          <w:rPr>
                            <w:sz w:val="21"/>
                          </w:rPr>
                        </w:pPr>
                        <w:r>
                          <w:rPr>
                            <w:sz w:val="21"/>
                          </w:rPr>
                          <w:t>1,298.70</w:t>
                        </w:r>
                      </w:p>
                    </w:tc>
                  </w:tr>
                  <w:tr>
                    <w:trPr>
                      <w:trHeight w:val="467" w:hRule="atLeast"/>
                    </w:trPr>
                    <w:tc>
                      <w:tcPr>
                        <w:tcW w:w="4244" w:type="dxa"/>
                      </w:tcPr>
                      <w:p>
                        <w:pPr>
                          <w:pStyle w:val="TableParagraph"/>
                          <w:spacing w:before="99"/>
                          <w:ind w:left="571" w:right="560"/>
                          <w:jc w:val="center"/>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spacing w:before="111"/>
                          <w:ind w:left="1171" w:right="1157"/>
                          <w:jc w:val="center"/>
                          <w:rPr>
                            <w:sz w:val="21"/>
                          </w:rPr>
                        </w:pPr>
                        <w:r>
                          <w:rPr>
                            <w:sz w:val="21"/>
                          </w:rPr>
                          <w:t>1.500</w:t>
                        </w:r>
                      </w:p>
                    </w:tc>
                  </w:tr>
                  <w:tr>
                    <w:trPr>
                      <w:trHeight w:val="468" w:hRule="atLeast"/>
                    </w:trPr>
                    <w:tc>
                      <w:tcPr>
                        <w:tcW w:w="4244" w:type="dxa"/>
                      </w:tcPr>
                      <w:p>
                        <w:pPr>
                          <w:pStyle w:val="TableParagraph"/>
                          <w:spacing w:before="99"/>
                          <w:ind w:left="569" w:right="560"/>
                          <w:jc w:val="center"/>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spacing w:before="111"/>
                          <w:ind w:left="1171" w:right="1157"/>
                          <w:jc w:val="center"/>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spacing w:after="0" w:line="417" w:lineRule="auto"/>
        <w:jc w:val="both"/>
        <w:sectPr>
          <w:pgSz w:w="11910" w:h="16840"/>
          <w:pgMar w:header="877" w:footer="995" w:top="1420" w:bottom="1180" w:left="1260" w:right="1480"/>
        </w:sectPr>
      </w:pPr>
    </w:p>
    <w:p>
      <w:pPr>
        <w:pStyle w:val="BodyText"/>
        <w:spacing w:before="110"/>
        <w:ind w:left="960"/>
      </w:pPr>
      <w:r>
        <w:rPr/>
        <w:t>（十三）基金的非交易过户</w:t>
      </w:r>
    </w:p>
    <w:p>
      <w:pPr>
        <w:pStyle w:val="BodyText"/>
        <w:spacing w:before="6"/>
        <w:rPr>
          <w:sz w:val="15"/>
        </w:rPr>
      </w:pPr>
    </w:p>
    <w:p>
      <w:pPr>
        <w:pStyle w:val="BodyText"/>
        <w:spacing w:line="417" w:lineRule="auto"/>
        <w:ind w:left="540" w:right="311" w:firstLine="419"/>
        <w:jc w:val="both"/>
      </w:pPr>
      <w:r>
        <w:rPr>
          <w:spacing w:val="-8"/>
        </w:rPr>
        <w:t>基金的非交易过户是指基金登记机构受理继承、捐赠和司法强制执行等情形而产生的非</w:t>
      </w:r>
      <w:r>
        <w:rPr>
          <w:spacing w:val="-10"/>
        </w:rPr>
        <w:t>交易过户以及登记机构认可、符合法律法规的其它非交易过户。无论在上述何种情况下，接</w:t>
      </w:r>
      <w:r>
        <w:rPr>
          <w:spacing w:val="-5"/>
        </w:rPr>
        <w:t>受划转的主体必须是依法可以持有本基金基金份额的投资人。</w:t>
      </w:r>
    </w:p>
    <w:p>
      <w:pPr>
        <w:pStyle w:val="BodyText"/>
        <w:spacing w:line="417" w:lineRule="auto"/>
        <w:ind w:left="540" w:right="31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960"/>
      </w:pPr>
      <w:r>
        <w:rPr/>
        <w:t>（十四）基金的转托管</w:t>
      </w:r>
    </w:p>
    <w:p>
      <w:pPr>
        <w:pStyle w:val="BodyText"/>
        <w:spacing w:before="7"/>
        <w:rPr>
          <w:sz w:val="15"/>
        </w:rPr>
      </w:pPr>
    </w:p>
    <w:p>
      <w:pPr>
        <w:pStyle w:val="BodyText"/>
        <w:spacing w:line="417" w:lineRule="auto"/>
        <w:ind w:left="540" w:right="31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960"/>
      </w:pPr>
      <w:r>
        <w:rPr/>
        <w:t>（十五）定期定额投资计划</w:t>
      </w:r>
    </w:p>
    <w:p>
      <w:pPr>
        <w:pStyle w:val="BodyText"/>
        <w:spacing w:before="6"/>
        <w:rPr>
          <w:sz w:val="15"/>
        </w:rPr>
      </w:pPr>
    </w:p>
    <w:p>
      <w:pPr>
        <w:pStyle w:val="BodyText"/>
        <w:spacing w:line="417" w:lineRule="auto"/>
        <w:ind w:left="540" w:right="31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ind w:left="960"/>
      </w:pPr>
      <w:r>
        <w:rPr/>
        <w:t>（十六）基金的冻结和解冻</w:t>
      </w:r>
    </w:p>
    <w:p>
      <w:pPr>
        <w:pStyle w:val="BodyText"/>
        <w:spacing w:before="7"/>
        <w:rPr>
          <w:sz w:val="15"/>
        </w:rPr>
      </w:pPr>
    </w:p>
    <w:p>
      <w:pPr>
        <w:pStyle w:val="BodyText"/>
        <w:spacing w:line="417" w:lineRule="auto"/>
        <w:ind w:left="540" w:right="31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960"/>
      </w:pPr>
      <w:r>
        <w:rPr/>
        <w:t>（十七）基金份额转让</w:t>
      </w:r>
    </w:p>
    <w:p>
      <w:pPr>
        <w:pStyle w:val="BodyText"/>
        <w:spacing w:before="7"/>
        <w:rPr>
          <w:sz w:val="15"/>
        </w:rPr>
      </w:pPr>
    </w:p>
    <w:p>
      <w:pPr>
        <w:pStyle w:val="BodyText"/>
        <w:spacing w:line="417" w:lineRule="auto"/>
        <w:ind w:left="540" w:right="105"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540" w:right="31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Heading1"/>
        <w:spacing w:before="156"/>
        <w:ind w:left="3956" w:right="0"/>
        <w:jc w:val="left"/>
      </w:pPr>
      <w:bookmarkStart w:name="_bookmark8" w:id="9"/>
      <w:bookmarkEnd w:id="9"/>
      <w:r>
        <w:rPr>
          <w:b w:val="0"/>
        </w:rPr>
      </w:r>
      <w:r>
        <w:rPr/>
        <w:t>九、基金的投资</w:t>
      </w:r>
    </w:p>
    <w:p>
      <w:pPr>
        <w:pStyle w:val="BodyText"/>
        <w:spacing w:before="9"/>
        <w:rPr>
          <w:b/>
          <w:sz w:val="27"/>
        </w:rPr>
      </w:pPr>
    </w:p>
    <w:p>
      <w:pPr>
        <w:pStyle w:val="BodyText"/>
        <w:ind w:left="960"/>
      </w:pPr>
      <w:r>
        <w:rPr/>
        <w:t>（一</w:t>
      </w:r>
      <w:r>
        <w:rPr>
          <w:spacing w:val="-3"/>
        </w:rPr>
        <w:t>）</w:t>
      </w:r>
      <w:r>
        <w:rPr>
          <w:spacing w:val="-2"/>
        </w:rPr>
        <w:t>投资目标</w:t>
      </w:r>
    </w:p>
    <w:p>
      <w:pPr>
        <w:pStyle w:val="BodyText"/>
        <w:spacing w:before="6"/>
        <w:rPr>
          <w:sz w:val="15"/>
        </w:rPr>
      </w:pPr>
    </w:p>
    <w:p>
      <w:pPr>
        <w:pStyle w:val="BodyText"/>
        <w:spacing w:line="417" w:lineRule="auto" w:before="1"/>
        <w:ind w:left="540" w:right="311" w:firstLine="419"/>
      </w:pPr>
      <w:r>
        <w:rPr>
          <w:spacing w:val="-8"/>
        </w:rPr>
        <w:t>积极把握健康品质生活提升过程中的投资机会，在有效控制投资风险的基础上，追求基</w:t>
      </w:r>
      <w:r>
        <w:rPr>
          <w:spacing w:val="-5"/>
        </w:rPr>
        <w:t>金资产的长期增值。</w:t>
      </w:r>
    </w:p>
    <w:p>
      <w:pPr>
        <w:pStyle w:val="BodyText"/>
        <w:ind w:left="960"/>
      </w:pPr>
      <w:r>
        <w:rPr/>
        <w:t>（二</w:t>
      </w:r>
      <w:r>
        <w:rPr>
          <w:spacing w:val="-3"/>
        </w:rPr>
        <w:t>）</w:t>
      </w:r>
      <w:r>
        <w:rPr>
          <w:spacing w:val="-2"/>
        </w:rPr>
        <w:t>投资范围</w:t>
      </w:r>
    </w:p>
    <w:p>
      <w:pPr>
        <w:spacing w:after="0"/>
        <w:sectPr>
          <w:pgSz w:w="11910" w:h="16840"/>
          <w:pgMar w:header="877" w:footer="995" w:top="1420" w:bottom="1180" w:left="1260" w:right="1480"/>
        </w:sectPr>
      </w:pPr>
    </w:p>
    <w:p>
      <w:pPr>
        <w:pStyle w:val="BodyText"/>
        <w:spacing w:line="417" w:lineRule="auto" w:before="110"/>
        <w:ind w:left="540" w:right="210" w:firstLine="419"/>
        <w:jc w:val="both"/>
      </w:pPr>
      <w:r>
        <w:rPr>
          <w:spacing w:val="-8"/>
        </w:rPr>
        <w:t>本基金的投资范围为具有良好流动性的金融工具，包括国内依法发行上市的股票</w:t>
      </w:r>
      <w:r>
        <w:rPr>
          <w:spacing w:val="-3"/>
        </w:rPr>
        <w:t>（</w:t>
      </w:r>
      <w:r>
        <w:rPr/>
        <w:t>包括</w:t>
      </w:r>
      <w:r>
        <w:rPr>
          <w:spacing w:val="-7"/>
        </w:rPr>
        <w:t>创业板、中小板、存托凭证及其他经中国证监会核准上市的股票</w:t>
      </w:r>
      <w:r>
        <w:rPr>
          <w:spacing w:val="-22"/>
        </w:rPr>
        <w:t>）</w:t>
      </w:r>
      <w:r>
        <w:rPr>
          <w:spacing w:val="-15"/>
        </w:rPr>
        <w:t>、债券</w:t>
      </w:r>
      <w:r>
        <w:rPr>
          <w:spacing w:val="-3"/>
        </w:rPr>
        <w:t>（</w:t>
      </w:r>
      <w:r>
        <w:rPr>
          <w:spacing w:val="-2"/>
        </w:rPr>
        <w:t>含中小企业私募</w:t>
      </w:r>
      <w:r>
        <w:rPr>
          <w:spacing w:val="-5"/>
        </w:rPr>
        <w:t>债券、可转换债券</w:t>
      </w:r>
      <w:r>
        <w:rPr>
          <w:spacing w:val="-15"/>
        </w:rPr>
        <w:t>）</w:t>
      </w:r>
      <w:r>
        <w:rPr>
          <w:spacing w:val="-10"/>
        </w:rPr>
        <w:t>、货币市场工具、权证、资产支持证券、股指期货、国债期货、期权以</w:t>
      </w:r>
      <w:r>
        <w:rPr>
          <w:spacing w:val="-5"/>
        </w:rPr>
        <w:t>及法律法规或中国证监会允许基金投资的其他金融工具</w:t>
      </w:r>
      <w:r>
        <w:rPr>
          <w:spacing w:val="-3"/>
        </w:rPr>
        <w:t>（但须符合中国证监会相关规定</w:t>
      </w:r>
      <w:r>
        <w:rPr/>
        <w:t>）。</w:t>
      </w:r>
    </w:p>
    <w:p>
      <w:pPr>
        <w:pStyle w:val="BodyText"/>
        <w:spacing w:line="417" w:lineRule="auto"/>
        <w:ind w:left="540" w:right="311" w:firstLine="419"/>
        <w:jc w:val="both"/>
      </w:pPr>
      <w:r>
        <w:rPr>
          <w:spacing w:val="-8"/>
        </w:rPr>
        <w:t>本基金投资组合比例为：基金股票投资比例为基金资产的 </w:t>
      </w:r>
      <w:r>
        <w:rPr>
          <w:rFonts w:ascii="Times New Roman" w:eastAsia="Times New Roman"/>
          <w:spacing w:val="-8"/>
        </w:rPr>
        <w:t>0-95%</w:t>
      </w:r>
      <w:r>
        <w:rPr>
          <w:spacing w:val="-4"/>
        </w:rPr>
        <w:t>，其中乐享健康主题相</w:t>
      </w:r>
      <w:r>
        <w:rPr>
          <w:spacing w:val="-2"/>
        </w:rPr>
        <w:t>关证券投资比例不低于非现金基金资产的 </w:t>
      </w:r>
      <w:r>
        <w:rPr>
          <w:rFonts w:ascii="Times New Roman" w:eastAsia="Times New Roman"/>
        </w:rPr>
        <w:t>80%</w:t>
      </w:r>
      <w:r>
        <w:rPr>
          <w:spacing w:val="-1"/>
        </w:rPr>
        <w:t>。每个交易日日终在扣除股指期货、国债期</w:t>
      </w:r>
      <w:r>
        <w:rPr>
          <w:spacing w:val="-5"/>
        </w:rPr>
        <w:t>货合约需缴纳的交易保证金后，保持不低于基金资产净值 </w:t>
      </w:r>
      <w:r>
        <w:rPr>
          <w:rFonts w:ascii="Times New Roman" w:eastAsia="Times New Roman"/>
        </w:rPr>
        <w:t>5%</w:t>
      </w:r>
      <w:r>
        <w:rPr>
          <w:spacing w:val="-3"/>
        </w:rPr>
        <w:t>的现金或者到期日在一年以内的政府债券。</w:t>
      </w:r>
    </w:p>
    <w:p>
      <w:pPr>
        <w:pStyle w:val="BodyText"/>
        <w:spacing w:line="417" w:lineRule="auto"/>
        <w:ind w:left="540" w:right="311" w:firstLine="419"/>
      </w:pPr>
      <w:r>
        <w:rPr>
          <w:spacing w:val="-7"/>
        </w:rPr>
        <w:t>如法律法规或监管机构以后允许基金投资其他品种，基金管理人在履行适当程序后，可</w:t>
      </w:r>
      <w:r>
        <w:rPr>
          <w:spacing w:val="-5"/>
        </w:rPr>
        <w:t>以将其纳入投资范围，无需召开持有人大会。</w:t>
      </w:r>
    </w:p>
    <w:p>
      <w:pPr>
        <w:pStyle w:val="BodyText"/>
        <w:spacing w:line="269" w:lineRule="exact"/>
        <w:ind w:left="960"/>
      </w:pPr>
      <w:r>
        <w:rPr/>
        <w:t>（三）投资策略</w:t>
      </w:r>
    </w:p>
    <w:p>
      <w:pPr>
        <w:pStyle w:val="BodyText"/>
        <w:spacing w:before="6"/>
        <w:rPr>
          <w:sz w:val="15"/>
        </w:rPr>
      </w:pPr>
    </w:p>
    <w:p>
      <w:pPr>
        <w:pStyle w:val="BodyText"/>
        <w:ind w:left="960"/>
      </w:pPr>
      <w:r>
        <w:rPr>
          <w:rFonts w:ascii="Times New Roman" w:eastAsia="Times New Roman"/>
        </w:rPr>
        <w:t>1</w:t>
      </w:r>
      <w:r>
        <w:rPr/>
        <w:t>、资产配置策略</w:t>
      </w:r>
    </w:p>
    <w:p>
      <w:pPr>
        <w:pStyle w:val="BodyText"/>
        <w:spacing w:before="6"/>
        <w:rPr>
          <w:sz w:val="15"/>
        </w:rPr>
      </w:pPr>
    </w:p>
    <w:p>
      <w:pPr>
        <w:pStyle w:val="BodyText"/>
        <w:spacing w:line="417" w:lineRule="auto"/>
        <w:ind w:left="540" w:right="210" w:firstLine="419"/>
        <w:jc w:val="both"/>
      </w:pPr>
      <w:r>
        <w:rPr>
          <w:spacing w:val="-6"/>
        </w:rPr>
        <w:t>本基金通过定性分析与定量分析相结合的方法分析宏观经济和资本市场发展趋势，综合</w:t>
      </w:r>
      <w:r>
        <w:rPr>
          <w:spacing w:val="-10"/>
        </w:rPr>
        <w:t>考量宏观经济发展前景，评估各类资产的预期收益与风险，合理确定本基金在股票、债券等</w:t>
      </w:r>
      <w:r>
        <w:rPr>
          <w:spacing w:val="-5"/>
        </w:rPr>
        <w:t>各类别资产上的投资比例，并随着各类资产风险收益特征的相对变化，适时做出动态调整。</w:t>
      </w:r>
    </w:p>
    <w:p>
      <w:pPr>
        <w:pStyle w:val="BodyText"/>
        <w:ind w:left="960"/>
      </w:pPr>
      <w:r>
        <w:rPr>
          <w:rFonts w:ascii="Times New Roman" w:eastAsia="Times New Roman"/>
        </w:rPr>
        <w:t>2</w:t>
      </w:r>
      <w:r>
        <w:rPr/>
        <w:t>、股票投资策略</w:t>
      </w:r>
    </w:p>
    <w:p>
      <w:pPr>
        <w:pStyle w:val="BodyText"/>
        <w:spacing w:before="7"/>
        <w:rPr>
          <w:sz w:val="15"/>
        </w:rPr>
      </w:pPr>
    </w:p>
    <w:p>
      <w:pPr>
        <w:pStyle w:val="BodyText"/>
        <w:spacing w:line="417" w:lineRule="auto"/>
        <w:ind w:left="540" w:right="311" w:firstLine="419"/>
        <w:jc w:val="both"/>
      </w:pPr>
      <w:r>
        <w:rPr>
          <w:spacing w:val="-19"/>
        </w:rPr>
        <w:t>随着社会和时代的发展，我国的经济结构也将发生重大调整。我们认为经济发展回归“以</w:t>
      </w:r>
      <w:r>
        <w:rPr>
          <w:spacing w:val="-14"/>
        </w:rPr>
        <w:t>人为本”是一个明确的方向。尤其是以大娱乐、大健康为代表的新型产业将逐步崛起，它们</w:t>
      </w:r>
      <w:r>
        <w:rPr>
          <w:spacing w:val="-13"/>
        </w:rPr>
        <w:t>围绕着人的健康、娱乐等本源需求，以绿色、共享的方式打造我国未来经济的新蓝图，并带来诸多投资机会。本基金定义的“乐享健康”主题领域，以大娱乐、大健康为核心，主要包</w:t>
      </w:r>
      <w:r>
        <w:rPr>
          <w:spacing w:val="-12"/>
        </w:rPr>
        <w:t>括旅游、文化、传媒、影视、消费电子、医疗、器械、制药、养老、体育、环保、智能家居</w:t>
      </w:r>
      <w:r>
        <w:rPr>
          <w:spacing w:val="-11"/>
        </w:rPr>
        <w:t>等满足人们日益增长的健康与娱乐需求，提高人们工作与生活的效率、改善工作与生活的体</w:t>
      </w:r>
      <w:r>
        <w:rPr>
          <w:spacing w:val="-12"/>
        </w:rPr>
        <w:t>验的行业和领域。我们将遴选以上述主题方向作为重要收入或利润来源，或以上述主题方向</w:t>
      </w:r>
      <w:r>
        <w:rPr>
          <w:spacing w:val="-11"/>
        </w:rPr>
        <w:t>作为重要发展方向的证券作为主要投资方向。随着时代的发展与科技的进步，本主题相关的行业和领域未来还可能会不断涌现或逐步成型，本基金将围绕上述原则在履行适当程序后调</w:t>
      </w:r>
      <w:r>
        <w:rPr>
          <w:spacing w:val="-6"/>
        </w:rPr>
        <w:t>整乐享健康主题的界定，并在招募说明书更新中公告。</w:t>
      </w:r>
    </w:p>
    <w:p>
      <w:pPr>
        <w:pStyle w:val="BodyText"/>
        <w:spacing w:line="410" w:lineRule="auto"/>
        <w:ind w:left="540" w:right="208" w:firstLine="419"/>
      </w:pPr>
      <w:r>
        <w:rPr>
          <w:spacing w:val="-8"/>
        </w:rPr>
        <w:t>本基金主要从三方面精选个股：从中国人口老龄化、疾病谱迁移、生活方式改变，精选</w:t>
      </w:r>
      <w:r>
        <w:rPr>
          <w:spacing w:val="-10"/>
        </w:rPr>
        <w:t>需求放大扩张的细分领域进行投资；从企业发展周期角度精选成长、成熟期和转型发展期的</w:t>
      </w:r>
      <w:r>
        <w:rPr>
          <w:spacing w:val="-5"/>
        </w:rPr>
        <w:t>个股，并在合理估值水平下加以配置；从产品生命周期和技术发展周期角度精选创新标的， </w:t>
      </w:r>
      <w:r>
        <w:rPr>
          <w:spacing w:val="-4"/>
        </w:rPr>
        <w:t>并对上市和加速普及期的标的进行重点投资。</w:t>
      </w:r>
    </w:p>
    <w:p>
      <w:pPr>
        <w:spacing w:after="0" w:line="410" w:lineRule="auto"/>
        <w:sectPr>
          <w:pgSz w:w="11910" w:h="16840"/>
          <w:pgMar w:header="877" w:footer="995" w:top="1420" w:bottom="1180" w:left="1260" w:right="1480"/>
        </w:sectPr>
      </w:pPr>
    </w:p>
    <w:p>
      <w:pPr>
        <w:pStyle w:val="BodyText"/>
        <w:spacing w:line="408" w:lineRule="auto" w:before="107"/>
        <w:ind w:left="540" w:right="31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spacing w:before="5"/>
        <w:ind w:left="960"/>
      </w:pPr>
      <w:r>
        <w:rPr>
          <w:rFonts w:ascii="Times New Roman" w:eastAsia="Times New Roman"/>
        </w:rPr>
        <w:t>3</w:t>
      </w:r>
      <w:r>
        <w:rPr/>
        <w:t>、固定收益品种投资策略</w:t>
      </w:r>
    </w:p>
    <w:p>
      <w:pPr>
        <w:pStyle w:val="BodyText"/>
        <w:spacing w:before="6"/>
        <w:rPr>
          <w:sz w:val="15"/>
        </w:rPr>
      </w:pPr>
    </w:p>
    <w:p>
      <w:pPr>
        <w:pStyle w:val="BodyText"/>
        <w:ind w:left="960"/>
      </w:pPr>
      <w:r>
        <w:rPr/>
        <w:t>①债券投资策略</w:t>
      </w:r>
    </w:p>
    <w:p>
      <w:pPr>
        <w:pStyle w:val="BodyText"/>
        <w:spacing w:before="7"/>
        <w:rPr>
          <w:sz w:val="15"/>
        </w:rPr>
      </w:pPr>
    </w:p>
    <w:p>
      <w:pPr>
        <w:pStyle w:val="BodyText"/>
        <w:spacing w:line="417" w:lineRule="auto"/>
        <w:ind w:left="540" w:right="102" w:firstLine="419"/>
      </w:pPr>
      <w:r>
        <w:rPr>
          <w:spacing w:val="-12"/>
        </w:rPr>
        <w:t>结合对未来市场利率预期运用久期调整策略、收益率曲线配置策略、债券类属配置策略、利差轮动策略等多种积极管理策略，通过严谨的研究发现价值被低估的债券和市场投资机会， </w:t>
      </w:r>
      <w:r>
        <w:rPr>
          <w:spacing w:val="-6"/>
        </w:rPr>
        <w:t>构建收益稳定、流动性良好的债券组合。</w:t>
      </w:r>
    </w:p>
    <w:p>
      <w:pPr>
        <w:pStyle w:val="BodyText"/>
        <w:ind w:left="960"/>
      </w:pPr>
      <w:r>
        <w:rPr/>
        <w:t>②可转换公司债券投资策略</w:t>
      </w:r>
    </w:p>
    <w:p>
      <w:pPr>
        <w:pStyle w:val="BodyText"/>
        <w:spacing w:before="7"/>
        <w:rPr>
          <w:sz w:val="15"/>
        </w:rPr>
      </w:pPr>
    </w:p>
    <w:p>
      <w:pPr>
        <w:pStyle w:val="BodyText"/>
        <w:spacing w:line="417" w:lineRule="auto"/>
        <w:ind w:left="540" w:right="311" w:firstLine="419"/>
        <w:jc w:val="both"/>
      </w:pPr>
      <w:r>
        <w:rPr>
          <w:spacing w:val="-7"/>
        </w:rPr>
        <w:t>本基金将着重对可转债对应的基础股票的分析与研究，对那些有着较好盈利能力或成长</w:t>
      </w:r>
      <w:r>
        <w:rPr>
          <w:spacing w:val="-10"/>
        </w:rPr>
        <w:t>前景的上市公司的可转债进行重点选择，并在对应可转债估值合理的前提下集中投资，以分</w:t>
      </w:r>
      <w:r>
        <w:rPr>
          <w:spacing w:val="-11"/>
        </w:rPr>
        <w:t>享正股上涨带来的收益。同时，本基金还将密切跟踪上市公司的经营状况，从财务压力、融</w:t>
      </w:r>
      <w:r>
        <w:rPr>
          <w:spacing w:val="-13"/>
        </w:rPr>
        <w:t>资安排、未来的投资计划等方面推测、并通过实地调研等方式确认上市公司对转股价的修正</w:t>
      </w:r>
      <w:r>
        <w:rPr>
          <w:spacing w:val="-6"/>
        </w:rPr>
        <w:t>和转股意愿。</w:t>
      </w:r>
    </w:p>
    <w:p>
      <w:pPr>
        <w:pStyle w:val="BodyText"/>
        <w:spacing w:line="268" w:lineRule="exact"/>
        <w:ind w:left="960"/>
      </w:pPr>
      <w:r>
        <w:rPr/>
        <w:t>③中小企业私募债券投资策略</w:t>
      </w:r>
    </w:p>
    <w:p>
      <w:pPr>
        <w:pStyle w:val="BodyText"/>
        <w:spacing w:before="7"/>
        <w:rPr>
          <w:sz w:val="15"/>
        </w:rPr>
      </w:pPr>
    </w:p>
    <w:p>
      <w:pPr>
        <w:pStyle w:val="BodyText"/>
        <w:spacing w:line="417" w:lineRule="auto"/>
        <w:ind w:left="540" w:right="311"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益性和流动性等特征，并与其他投资品种进行对比后，选择具有相对优势的类属和个券进行投资。同时，通过期限和品种的分散投资降低基金投资中小企业私募债券的信用风险、利率</w:t>
      </w:r>
      <w:r>
        <w:rPr>
          <w:spacing w:val="-6"/>
        </w:rPr>
        <w:t>风险和流动性风险。</w:t>
      </w:r>
    </w:p>
    <w:p>
      <w:pPr>
        <w:pStyle w:val="BodyText"/>
        <w:spacing w:line="268" w:lineRule="exact"/>
        <w:ind w:left="960"/>
      </w:pPr>
      <w:r>
        <w:rPr>
          <w:rFonts w:ascii="Times New Roman" w:eastAsia="Times New Roman"/>
        </w:rPr>
        <w:t>4</w:t>
      </w:r>
      <w:r>
        <w:rPr/>
        <w:t>、权证投资策略</w:t>
      </w:r>
    </w:p>
    <w:p>
      <w:pPr>
        <w:pStyle w:val="BodyText"/>
        <w:spacing w:before="7"/>
        <w:rPr>
          <w:sz w:val="15"/>
        </w:rPr>
      </w:pPr>
    </w:p>
    <w:p>
      <w:pPr>
        <w:pStyle w:val="BodyText"/>
        <w:spacing w:line="417" w:lineRule="auto"/>
        <w:ind w:left="540" w:right="20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pStyle w:val="BodyText"/>
        <w:ind w:left="960"/>
      </w:pPr>
      <w:r>
        <w:rPr>
          <w:rFonts w:ascii="Times New Roman" w:eastAsia="Times New Roman"/>
        </w:rPr>
        <w:t>5</w:t>
      </w:r>
      <w:r>
        <w:rPr/>
        <w:t>、股指期货和期权投资策略</w:t>
      </w:r>
    </w:p>
    <w:p>
      <w:pPr>
        <w:pStyle w:val="BodyText"/>
        <w:spacing w:before="7"/>
        <w:rPr>
          <w:sz w:val="15"/>
        </w:rPr>
      </w:pPr>
    </w:p>
    <w:p>
      <w:pPr>
        <w:pStyle w:val="BodyText"/>
        <w:spacing w:line="417" w:lineRule="auto"/>
        <w:ind w:left="540" w:right="208" w:firstLine="419"/>
      </w:pPr>
      <w:r>
        <w:rPr>
          <w:spacing w:val="-8"/>
        </w:rPr>
        <w:t>本基金将在风险可控的前提下，本着谨慎原则，适度参与股指期货、期权投资。通过对</w:t>
      </w:r>
      <w:r>
        <w:rPr>
          <w:spacing w:val="-5"/>
        </w:rPr>
        <w:t>现货市场和期货、期权市场运行趋势的研究，结合基金股票组合的实际情况及对股指期货、</w:t>
      </w:r>
      <w:r>
        <w:rPr>
          <w:spacing w:val="-11"/>
        </w:rPr>
        <w:t>期权的估值水平、基差水平、流动性等因素的分析，选择合适的期货、期权合约构建相应的</w:t>
      </w:r>
      <w:r>
        <w:rPr>
          <w:spacing w:val="-12"/>
        </w:rPr>
        <w:t>头寸，以调整投资组合的风险暴露，降低系统性风险。基金还将利用股指期货、期权作为组合流动性管理工具，降低现货市场流动性不足导致的冲击成本过高的风险，提高基金的建仓</w:t>
      </w:r>
      <w:r>
        <w:rPr>
          <w:spacing w:val="-6"/>
        </w:rPr>
        <w:t>或变现效率。</w:t>
      </w:r>
    </w:p>
    <w:p>
      <w:pPr>
        <w:pStyle w:val="BodyText"/>
        <w:spacing w:line="268" w:lineRule="exact"/>
        <w:ind w:left="960"/>
      </w:pPr>
      <w:r>
        <w:rPr/>
        <w:t>本基金投资期权，基金管理人将根据审慎原则，建立期权交易决策部门或小组，授权特</w:t>
      </w:r>
    </w:p>
    <w:p>
      <w:pPr>
        <w:spacing w:after="0" w:line="268" w:lineRule="exact"/>
        <w:sectPr>
          <w:pgSz w:w="11910" w:h="16840"/>
          <w:pgMar w:header="877" w:footer="995" w:top="1420" w:bottom="1180" w:left="1260" w:right="1480"/>
        </w:sectPr>
      </w:pPr>
    </w:p>
    <w:p>
      <w:pPr>
        <w:pStyle w:val="BodyText"/>
        <w:spacing w:before="110"/>
        <w:ind w:left="540"/>
      </w:pPr>
      <w:r>
        <w:rPr/>
        <w:t>定的管理人员负责期权的投资审批事项，以防范期权投资的风险。</w:t>
      </w:r>
    </w:p>
    <w:p>
      <w:pPr>
        <w:pStyle w:val="BodyText"/>
        <w:spacing w:before="6"/>
        <w:rPr>
          <w:sz w:val="15"/>
        </w:rPr>
      </w:pPr>
    </w:p>
    <w:p>
      <w:pPr>
        <w:pStyle w:val="BodyText"/>
        <w:ind w:left="1020"/>
      </w:pPr>
      <w:r>
        <w:rPr>
          <w:rFonts w:ascii="Times New Roman" w:eastAsia="Times New Roman"/>
        </w:rPr>
        <w:t>6</w:t>
      </w:r>
      <w:r>
        <w:rPr/>
        <w:t>、国债期货投资策略</w:t>
      </w:r>
    </w:p>
    <w:p>
      <w:pPr>
        <w:pStyle w:val="BodyText"/>
        <w:spacing w:before="7"/>
        <w:rPr>
          <w:sz w:val="15"/>
        </w:rPr>
      </w:pPr>
    </w:p>
    <w:p>
      <w:pPr>
        <w:pStyle w:val="BodyText"/>
        <w:spacing w:line="417" w:lineRule="auto"/>
        <w:ind w:left="540" w:right="314" w:firstLine="479"/>
      </w:pPr>
      <w:r>
        <w:rPr/>
        <w:t>本基金投资国债期货，将根据风险管理的原则，充分考虑国债期货的流动性和风险收益特征，在风险可控的前提下，适度参与国债期货投资。</w:t>
      </w:r>
    </w:p>
    <w:p>
      <w:pPr>
        <w:pStyle w:val="BodyText"/>
        <w:spacing w:line="417" w:lineRule="auto"/>
        <w:ind w:left="540" w:right="314" w:firstLine="479"/>
      </w:pPr>
      <w:r>
        <w:rPr/>
        <w:t>未来，根据市场情况，基金可相应调整和更新相关投资策略，并在招募说明书更新中公告。</w:t>
      </w:r>
    </w:p>
    <w:p>
      <w:pPr>
        <w:pStyle w:val="BodyText"/>
        <w:spacing w:line="269" w:lineRule="exact"/>
        <w:ind w:left="960"/>
      </w:pPr>
      <w:r>
        <w:rPr/>
        <w:t>（四）投资限制</w:t>
      </w:r>
    </w:p>
    <w:p>
      <w:pPr>
        <w:pStyle w:val="BodyText"/>
        <w:spacing w:before="7"/>
        <w:rPr>
          <w:sz w:val="15"/>
        </w:rPr>
      </w:pPr>
    </w:p>
    <w:p>
      <w:pPr>
        <w:pStyle w:val="BodyText"/>
        <w:ind w:left="960"/>
      </w:pPr>
      <w:r>
        <w:rPr>
          <w:rFonts w:ascii="Times New Roman" w:eastAsia="Times New Roman"/>
        </w:rPr>
        <w:t>1</w:t>
      </w:r>
      <w:r>
        <w:rPr/>
        <w:t>、组合限制</w:t>
      </w:r>
    </w:p>
    <w:p>
      <w:pPr>
        <w:pStyle w:val="BodyText"/>
        <w:spacing w:before="7"/>
        <w:rPr>
          <w:sz w:val="15"/>
        </w:rPr>
      </w:pPr>
    </w:p>
    <w:p>
      <w:pPr>
        <w:pStyle w:val="BodyText"/>
        <w:ind w:left="960"/>
      </w:pPr>
      <w:r>
        <w:rPr/>
        <w:t>基金的投资组合应遵循以下限制：</w:t>
      </w:r>
    </w:p>
    <w:p>
      <w:pPr>
        <w:pStyle w:val="BodyText"/>
        <w:spacing w:before="7"/>
        <w:rPr>
          <w:sz w:val="15"/>
        </w:rPr>
      </w:pPr>
    </w:p>
    <w:p>
      <w:pPr>
        <w:pStyle w:val="ListParagraph"/>
        <w:numPr>
          <w:ilvl w:val="0"/>
          <w:numId w:val="24"/>
        </w:numPr>
        <w:tabs>
          <w:tab w:pos="1490" w:val="left" w:leader="none"/>
        </w:tabs>
        <w:spacing w:line="417" w:lineRule="auto" w:before="0" w:after="0"/>
        <w:ind w:left="540" w:right="314" w:firstLine="419"/>
        <w:jc w:val="both"/>
        <w:rPr>
          <w:sz w:val="21"/>
        </w:rPr>
      </w:pPr>
      <w:r>
        <w:rPr>
          <w:spacing w:val="-3"/>
          <w:sz w:val="21"/>
        </w:rPr>
        <w:t>本基金股票投资比例为基金资产的 </w:t>
      </w:r>
      <w:r>
        <w:rPr>
          <w:rFonts w:ascii="Times New Roman" w:eastAsia="Times New Roman"/>
          <w:sz w:val="21"/>
        </w:rPr>
        <w:t>0-95%</w:t>
      </w:r>
      <w:r>
        <w:rPr>
          <w:spacing w:val="-3"/>
          <w:sz w:val="21"/>
        </w:rPr>
        <w:t>，其中乐享健康主题相关证券投资比例</w:t>
      </w:r>
      <w:r>
        <w:rPr>
          <w:spacing w:val="-8"/>
          <w:sz w:val="21"/>
        </w:rPr>
        <w:t>不低于非现金基金资产的 </w:t>
      </w:r>
      <w:r>
        <w:rPr>
          <w:rFonts w:ascii="Times New Roman" w:eastAsia="Times New Roman"/>
          <w:sz w:val="21"/>
        </w:rPr>
        <w:t>80%</w:t>
      </w:r>
      <w:r>
        <w:rPr>
          <w:sz w:val="21"/>
        </w:rPr>
        <w:t>。</w:t>
      </w:r>
    </w:p>
    <w:p>
      <w:pPr>
        <w:pStyle w:val="ListParagraph"/>
        <w:numPr>
          <w:ilvl w:val="0"/>
          <w:numId w:val="24"/>
        </w:numPr>
        <w:tabs>
          <w:tab w:pos="1490" w:val="left" w:leader="none"/>
        </w:tabs>
        <w:spacing w:line="417" w:lineRule="auto" w:before="0" w:after="0"/>
        <w:ind w:left="540" w:right="311" w:firstLine="419"/>
        <w:jc w:val="both"/>
        <w:rPr>
          <w:sz w:val="21"/>
        </w:rPr>
      </w:pPr>
      <w:r>
        <w:rPr>
          <w:spacing w:val="-3"/>
          <w:sz w:val="21"/>
        </w:rPr>
        <w:t>每个交易日日终在扣除股指期货、国债期货合约需缴纳的交易保证金后，保持不</w:t>
      </w:r>
      <w:r>
        <w:rPr>
          <w:spacing w:val="-5"/>
          <w:sz w:val="21"/>
        </w:rPr>
        <w:t>低于基金资产净值 </w:t>
      </w:r>
      <w:r>
        <w:rPr>
          <w:rFonts w:ascii="Times New Roman" w:eastAsia="Times New Roman"/>
          <w:sz w:val="21"/>
        </w:rPr>
        <w:t>5%</w:t>
      </w:r>
      <w:r>
        <w:rPr>
          <w:spacing w:val="-5"/>
          <w:sz w:val="21"/>
        </w:rPr>
        <w:t>的现金或者到期日在一年以内的政府债券。其中，现金不包括结算备</w:t>
      </w:r>
      <w:r>
        <w:rPr>
          <w:spacing w:val="-4"/>
          <w:sz w:val="21"/>
        </w:rPr>
        <w:t>付金、存出保证金、应收申购款等。</w:t>
      </w:r>
    </w:p>
    <w:p>
      <w:pPr>
        <w:pStyle w:val="ListParagraph"/>
        <w:numPr>
          <w:ilvl w:val="0"/>
          <w:numId w:val="24"/>
        </w:numPr>
        <w:tabs>
          <w:tab w:pos="1490" w:val="left" w:leader="none"/>
        </w:tabs>
        <w:spacing w:line="240" w:lineRule="auto" w:before="0" w:after="0"/>
        <w:ind w:left="148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4"/>
        </w:numPr>
        <w:tabs>
          <w:tab w:pos="1495" w:val="left" w:leader="none"/>
        </w:tabs>
        <w:spacing w:line="240" w:lineRule="auto" w:before="0" w:after="0"/>
        <w:ind w:left="1494" w:right="0" w:hanging="535"/>
        <w:jc w:val="both"/>
        <w:rPr>
          <w:sz w:val="21"/>
        </w:rPr>
      </w:pPr>
      <w:r>
        <w:rPr>
          <w:spacing w:val="-1"/>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24"/>
        </w:numPr>
        <w:tabs>
          <w:tab w:pos="1490" w:val="left" w:leader="none"/>
        </w:tabs>
        <w:spacing w:line="240" w:lineRule="auto" w:before="0" w:after="0"/>
        <w:ind w:left="1489" w:right="0" w:hanging="530"/>
        <w:jc w:val="both"/>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6"/>
        <w:rPr>
          <w:sz w:val="15"/>
        </w:rPr>
      </w:pPr>
    </w:p>
    <w:p>
      <w:pPr>
        <w:pStyle w:val="ListParagraph"/>
        <w:numPr>
          <w:ilvl w:val="0"/>
          <w:numId w:val="24"/>
        </w:numPr>
        <w:tabs>
          <w:tab w:pos="1490" w:val="left" w:leader="none"/>
        </w:tabs>
        <w:spacing w:line="240" w:lineRule="auto" w:before="1" w:after="0"/>
        <w:ind w:left="1489" w:right="0" w:hanging="530"/>
        <w:jc w:val="both"/>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6"/>
        <w:rPr>
          <w:sz w:val="15"/>
        </w:rPr>
      </w:pPr>
    </w:p>
    <w:p>
      <w:pPr>
        <w:pStyle w:val="ListParagraph"/>
        <w:numPr>
          <w:ilvl w:val="0"/>
          <w:numId w:val="24"/>
        </w:numPr>
        <w:tabs>
          <w:tab w:pos="1505" w:val="left" w:leader="none"/>
        </w:tabs>
        <w:spacing w:line="240" w:lineRule="auto" w:before="0" w:after="0"/>
        <w:ind w:left="1504" w:right="0" w:hanging="545"/>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540"/>
      </w:pPr>
      <w:r>
        <w:rPr>
          <w:rFonts w:ascii="Times New Roman" w:eastAsia="Times New Roman"/>
        </w:rPr>
        <w:t>0.5%</w:t>
      </w:r>
      <w:r>
        <w:rPr/>
        <w:t>。</w:t>
      </w:r>
    </w:p>
    <w:p>
      <w:pPr>
        <w:pStyle w:val="BodyText"/>
        <w:spacing w:before="7"/>
        <w:rPr>
          <w:sz w:val="15"/>
        </w:rPr>
      </w:pPr>
    </w:p>
    <w:p>
      <w:pPr>
        <w:pStyle w:val="ListParagraph"/>
        <w:numPr>
          <w:ilvl w:val="0"/>
          <w:numId w:val="24"/>
        </w:numPr>
        <w:tabs>
          <w:tab w:pos="1490" w:val="left" w:leader="none"/>
        </w:tabs>
        <w:spacing w:line="417" w:lineRule="auto" w:before="0" w:after="0"/>
        <w:ind w:left="540" w:right="31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4"/>
        </w:numPr>
        <w:tabs>
          <w:tab w:pos="1490" w:val="left" w:leader="none"/>
        </w:tabs>
        <w:spacing w:line="240" w:lineRule="auto" w:before="0"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7"/>
        <w:rPr>
          <w:sz w:val="15"/>
        </w:rPr>
      </w:pPr>
    </w:p>
    <w:p>
      <w:pPr>
        <w:pStyle w:val="ListParagraph"/>
        <w:numPr>
          <w:ilvl w:val="0"/>
          <w:numId w:val="24"/>
        </w:numPr>
        <w:tabs>
          <w:tab w:pos="1595" w:val="left" w:leader="none"/>
        </w:tabs>
        <w:spacing w:line="417" w:lineRule="auto" w:before="0" w:after="0"/>
        <w:ind w:left="540" w:right="311" w:firstLine="419"/>
        <w:jc w:val="both"/>
        <w:rPr>
          <w:sz w:val="21"/>
        </w:rPr>
      </w:pPr>
      <w:r>
        <w:rPr>
          <w:spacing w:val="-6"/>
          <w:sz w:val="21"/>
        </w:rPr>
        <w:t>本基金持有的同一</w:t>
      </w:r>
      <w:r>
        <w:rPr>
          <w:sz w:val="21"/>
        </w:rPr>
        <w:t>（</w:t>
      </w:r>
      <w:r>
        <w:rPr>
          <w:spacing w:val="-3"/>
          <w:sz w:val="21"/>
        </w:rPr>
        <w:t>指同一信用级别</w:t>
      </w:r>
      <w:r>
        <w:rPr>
          <w:spacing w:val="-27"/>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24"/>
        </w:numPr>
        <w:tabs>
          <w:tab w:pos="1586" w:val="left" w:leader="none"/>
        </w:tabs>
        <w:spacing w:line="417" w:lineRule="auto" w:before="0" w:after="0"/>
        <w:ind w:left="540" w:right="31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24"/>
        </w:numPr>
        <w:tabs>
          <w:tab w:pos="1593" w:val="left" w:leader="none"/>
        </w:tabs>
        <w:spacing w:line="417" w:lineRule="auto" w:before="0" w:after="0"/>
        <w:ind w:left="540" w:right="31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6"/>
          <w:sz w:val="21"/>
        </w:rPr>
        <w:t> </w:t>
      </w:r>
      <w:r>
        <w:rPr>
          <w:spacing w:val="-7"/>
          <w:sz w:val="21"/>
        </w:rPr>
        <w:t>以上</w:t>
      </w:r>
      <w:r>
        <w:rPr>
          <w:spacing w:val="-3"/>
          <w:sz w:val="21"/>
        </w:rPr>
        <w:t>（</w:t>
      </w:r>
      <w:r>
        <w:rPr>
          <w:spacing w:val="-17"/>
          <w:sz w:val="21"/>
        </w:rPr>
        <w:t>含 </w:t>
      </w:r>
      <w:r>
        <w:rPr>
          <w:rFonts w:ascii="Times New Roman" w:eastAsia="Times New Roman"/>
          <w:spacing w:val="-5"/>
          <w:sz w:val="21"/>
        </w:rPr>
        <w:t>BBB</w:t>
      </w:r>
      <w:r>
        <w:rPr>
          <w:spacing w:val="-5"/>
          <w:sz w:val="21"/>
        </w:rPr>
        <w:t>）</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spacing w:after="0" w:line="417" w:lineRule="auto"/>
        <w:jc w:val="both"/>
        <w:rPr>
          <w:sz w:val="21"/>
        </w:rPr>
        <w:sectPr>
          <w:pgSz w:w="11910" w:h="16840"/>
          <w:pgMar w:header="877" w:footer="995" w:top="1420" w:bottom="1180" w:left="1260" w:right="1480"/>
        </w:sectPr>
      </w:pPr>
    </w:p>
    <w:p>
      <w:pPr>
        <w:pStyle w:val="ListParagraph"/>
        <w:numPr>
          <w:ilvl w:val="0"/>
          <w:numId w:val="24"/>
        </w:numPr>
        <w:tabs>
          <w:tab w:pos="1593" w:val="left" w:leader="none"/>
        </w:tabs>
        <w:spacing w:line="417" w:lineRule="auto" w:before="110" w:after="0"/>
        <w:ind w:left="540" w:right="3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4"/>
        </w:numPr>
        <w:tabs>
          <w:tab w:pos="1593" w:val="left" w:leader="none"/>
        </w:tabs>
        <w:spacing w:line="417" w:lineRule="auto" w:before="0" w:after="0"/>
        <w:ind w:left="540" w:right="31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24"/>
        </w:numPr>
        <w:tabs>
          <w:tab w:pos="1595" w:val="left" w:leader="none"/>
        </w:tabs>
        <w:spacing w:line="269" w:lineRule="exact" w:before="0" w:after="0"/>
        <w:ind w:left="159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4"/>
        </w:numPr>
        <w:tabs>
          <w:tab w:pos="1595" w:val="left" w:leader="none"/>
        </w:tabs>
        <w:spacing w:line="240" w:lineRule="auto" w:before="0" w:after="0"/>
        <w:ind w:left="159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24"/>
        </w:numPr>
        <w:tabs>
          <w:tab w:pos="1593" w:val="left" w:leader="none"/>
        </w:tabs>
        <w:spacing w:line="417" w:lineRule="auto" w:before="0" w:after="0"/>
        <w:ind w:left="540" w:right="31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24"/>
        </w:numPr>
        <w:tabs>
          <w:tab w:pos="1593" w:val="left" w:leader="none"/>
        </w:tabs>
        <w:spacing w:line="417" w:lineRule="auto" w:before="0" w:after="0"/>
        <w:ind w:left="540" w:right="31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4"/>
        </w:numPr>
        <w:tabs>
          <w:tab w:pos="1595" w:val="left" w:leader="none"/>
        </w:tabs>
        <w:spacing w:line="417" w:lineRule="auto" w:before="0" w:after="0"/>
        <w:ind w:left="540" w:right="1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4"/>
        </w:numPr>
        <w:tabs>
          <w:tab w:pos="1595" w:val="left" w:leader="none"/>
        </w:tabs>
        <w:spacing w:line="417" w:lineRule="auto" w:before="0" w:after="0"/>
        <w:ind w:left="540" w:right="311" w:firstLine="419"/>
        <w:jc w:val="left"/>
        <w:rPr>
          <w:sz w:val="21"/>
        </w:rPr>
      </w:pPr>
      <w:r>
        <w:rPr>
          <w:spacing w:val="-5"/>
          <w:sz w:val="21"/>
        </w:rPr>
        <w:t>本基金管理人管理的全部开放式基金持有一家上市公司发行的可流通股票，不 </w:t>
      </w:r>
      <w:r>
        <w:rPr>
          <w:spacing w:val="-8"/>
          <w:sz w:val="21"/>
        </w:rPr>
        <w:t>得超过该上市公司可流通股票的 </w:t>
      </w:r>
      <w:r>
        <w:rPr>
          <w:rFonts w:ascii="Times New Roman" w:eastAsia="Times New Roman"/>
          <w:sz w:val="21"/>
        </w:rPr>
        <w:t>15%</w:t>
      </w:r>
      <w:r>
        <w:rPr>
          <w:sz w:val="21"/>
        </w:rPr>
        <w:t>。</w:t>
      </w:r>
    </w:p>
    <w:p>
      <w:pPr>
        <w:pStyle w:val="ListParagraph"/>
        <w:numPr>
          <w:ilvl w:val="0"/>
          <w:numId w:val="24"/>
        </w:numPr>
        <w:tabs>
          <w:tab w:pos="1595" w:val="left" w:leader="none"/>
        </w:tabs>
        <w:spacing w:line="417" w:lineRule="auto" w:before="0" w:after="0"/>
        <w:ind w:left="540" w:right="311" w:firstLine="419"/>
        <w:jc w:val="left"/>
        <w:rPr>
          <w:sz w:val="21"/>
        </w:rPr>
      </w:pPr>
      <w:r>
        <w:rPr>
          <w:spacing w:val="-5"/>
          <w:sz w:val="21"/>
        </w:rPr>
        <w:t>本基金管理人管理的全部投资组合持有一家上市公司发行的可流通股票，不得 </w:t>
      </w:r>
      <w:r>
        <w:rPr>
          <w:spacing w:val="-8"/>
          <w:sz w:val="21"/>
        </w:rPr>
        <w:t>超过该上市公司可流通股票的 </w:t>
      </w:r>
      <w:r>
        <w:rPr>
          <w:rFonts w:ascii="Times New Roman" w:eastAsia="Times New Roman"/>
          <w:sz w:val="21"/>
        </w:rPr>
        <w:t>30%</w:t>
      </w:r>
      <w:r>
        <w:rPr>
          <w:sz w:val="21"/>
        </w:rPr>
        <w:t>。</w:t>
      </w:r>
    </w:p>
    <w:p>
      <w:pPr>
        <w:pStyle w:val="ListParagraph"/>
        <w:numPr>
          <w:ilvl w:val="0"/>
          <w:numId w:val="24"/>
        </w:numPr>
        <w:tabs>
          <w:tab w:pos="1595" w:val="left" w:leader="none"/>
        </w:tabs>
        <w:spacing w:line="417" w:lineRule="auto" w:before="0" w:after="0"/>
        <w:ind w:left="540" w:right="3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符合前述所规定比例限制的，基金管理人不得主动新增流动性受限资产的投资。</w:t>
      </w:r>
    </w:p>
    <w:p>
      <w:pPr>
        <w:pStyle w:val="ListParagraph"/>
        <w:numPr>
          <w:ilvl w:val="0"/>
          <w:numId w:val="24"/>
        </w:numPr>
        <w:tabs>
          <w:tab w:pos="1593" w:val="left" w:leader="none"/>
        </w:tabs>
        <w:spacing w:line="417" w:lineRule="auto" w:before="0"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4"/>
        </w:numPr>
        <w:tabs>
          <w:tab w:pos="1595" w:val="left" w:leader="none"/>
        </w:tabs>
        <w:spacing w:line="417" w:lineRule="auto" w:before="0" w:after="0"/>
        <w:ind w:left="540" w:right="31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4"/>
        </w:numPr>
        <w:tabs>
          <w:tab w:pos="1595" w:val="left" w:leader="none"/>
        </w:tabs>
        <w:spacing w:line="240" w:lineRule="auto" w:before="0" w:after="0"/>
        <w:ind w:left="1595" w:right="0" w:hanging="635"/>
        <w:jc w:val="left"/>
        <w:rPr>
          <w:sz w:val="21"/>
        </w:rPr>
      </w:pPr>
      <w:r>
        <w:rPr>
          <w:spacing w:val="-3"/>
          <w:sz w:val="21"/>
        </w:rPr>
        <w:t>法律法规及中国证监会规定的和《基金合同》约定的其他投资限制。</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311" w:firstLine="419"/>
        <w:jc w:val="both"/>
      </w:pPr>
      <w:r>
        <w:rPr>
          <w:w w:val="100"/>
        </w:rPr>
        <w:t>除第（</w:t>
      </w:r>
      <w:r>
        <w:rPr>
          <w:rFonts w:ascii="Times New Roman" w:eastAsia="Times New Roman"/>
          <w:w w:val="100"/>
        </w:rPr>
        <w:t>2</w:t>
      </w:r>
      <w:r>
        <w:rPr>
          <w:spacing w:val="-108"/>
          <w:w w:val="100"/>
        </w:rPr>
        <w:t>）</w:t>
      </w:r>
      <w:r>
        <w:rPr>
          <w:spacing w:val="-106"/>
          <w:w w:val="100"/>
        </w:rPr>
        <w:t>、</w:t>
      </w:r>
      <w:r>
        <w:rPr>
          <w:spacing w:val="-1"/>
          <w:w w:val="100"/>
        </w:rPr>
        <w:t>（</w:t>
      </w:r>
      <w:r>
        <w:rPr>
          <w:rFonts w:ascii="Times New Roman" w:eastAsia="Times New Roman"/>
          <w:w w:val="100"/>
        </w:rPr>
        <w:t>12</w:t>
      </w:r>
      <w:r>
        <w:rPr>
          <w:spacing w:val="-108"/>
          <w:w w:val="100"/>
        </w:rPr>
        <w:t>）</w:t>
      </w:r>
      <w:r>
        <w:rPr>
          <w:spacing w:val="-106"/>
          <w:w w:val="100"/>
        </w:rPr>
        <w:t>、</w:t>
      </w:r>
      <w:r>
        <w:rPr>
          <w:w w:val="100"/>
        </w:rPr>
        <w:t>（</w:t>
      </w:r>
      <w:r>
        <w:rPr>
          <w:rFonts w:ascii="Times New Roman" w:eastAsia="Times New Roman"/>
          <w:w w:val="100"/>
        </w:rPr>
        <w:t>22</w:t>
      </w:r>
      <w:r>
        <w:rPr>
          <w:spacing w:val="-108"/>
          <w:w w:val="100"/>
        </w:rPr>
        <w:t>）</w:t>
      </w:r>
      <w:r>
        <w:rPr>
          <w:spacing w:val="-106"/>
          <w:w w:val="100"/>
        </w:rPr>
        <w:t>、</w:t>
      </w:r>
      <w:r>
        <w:rPr>
          <w:spacing w:val="-3"/>
          <w:w w:val="100"/>
        </w:rPr>
        <w:t>（</w:t>
      </w:r>
      <w:r>
        <w:rPr>
          <w:rFonts w:ascii="Times New Roman" w:eastAsia="Times New Roman"/>
          <w:w w:val="100"/>
        </w:rPr>
        <w:t>23</w:t>
      </w:r>
      <w:r>
        <w:rPr>
          <w:w w:val="100"/>
        </w:rPr>
        <w:t>）</w:t>
      </w:r>
      <w:r>
        <w:rPr>
          <w:spacing w:val="-3"/>
          <w:w w:val="100"/>
        </w:rPr>
        <w:t>项另有约定外，因证券期货市场波动、上市公司合并、</w:t>
      </w:r>
      <w:r>
        <w:rPr>
          <w:spacing w:val="-6"/>
        </w:rPr>
        <w:t>基金规模变动等基金管理人之外的因素致使基金投资比例不符合上述规定投资比例的，基金</w:t>
      </w:r>
      <w:r>
        <w:rPr>
          <w:spacing w:val="-11"/>
        </w:rPr>
        <w:t>管理人应当在 </w:t>
      </w:r>
      <w:r>
        <w:rPr>
          <w:rFonts w:ascii="Times New Roman" w:eastAsia="Times New Roman"/>
        </w:rPr>
        <w:t>10 </w:t>
      </w:r>
      <w:r>
        <w:rPr>
          <w:spacing w:val="-3"/>
        </w:rPr>
        <w:t>个交易日内进行调整。</w:t>
      </w:r>
    </w:p>
    <w:p>
      <w:pPr>
        <w:pStyle w:val="BodyText"/>
        <w:spacing w:line="417" w:lineRule="auto"/>
        <w:ind w:left="540" w:right="311" w:firstLine="419"/>
        <w:jc w:val="both"/>
      </w:pPr>
      <w:r>
        <w:rPr>
          <w:spacing w:val="-2"/>
        </w:rPr>
        <w:t>基金管理人自基金合同生效之日起 </w:t>
      </w:r>
      <w:r>
        <w:rPr>
          <w:rFonts w:ascii="Times New Roman" w:eastAsia="Times New Roman"/>
        </w:rPr>
        <w:t>6 </w:t>
      </w:r>
      <w:r>
        <w:rPr>
          <w:spacing w:val="-3"/>
        </w:rPr>
        <w:t>个月内使基金的投资组合比例符合基金合同的有</w:t>
      </w:r>
      <w:r>
        <w:rPr>
          <w:spacing w:val="-12"/>
        </w:rPr>
        <w:t>关约定。期间，基金的投资范围、投资策略应当符合基金合同的约定。基金托管人对基金的</w:t>
      </w:r>
      <w:r>
        <w:rPr>
          <w:spacing w:val="-6"/>
        </w:rPr>
        <w:t>投资的监督与检查自基金合同生效之日起开始。</w:t>
      </w:r>
    </w:p>
    <w:p>
      <w:pPr>
        <w:pStyle w:val="BodyText"/>
        <w:spacing w:line="417" w:lineRule="auto"/>
        <w:ind w:left="540" w:right="208" w:firstLine="419"/>
      </w:pPr>
      <w:r>
        <w:rPr/>
        <w:t>法律法规或监管部门取消上述限制，如适用于本基金，基金管理人在履行适当程序后， 则本基金投资不再受相关限制。</w:t>
      </w:r>
    </w:p>
    <w:p>
      <w:pPr>
        <w:pStyle w:val="BodyText"/>
        <w:ind w:left="960"/>
      </w:pPr>
      <w:r>
        <w:rPr>
          <w:rFonts w:ascii="Times New Roman" w:eastAsia="Times New Roman"/>
        </w:rPr>
        <w:t>2</w:t>
      </w:r>
      <w:r>
        <w:rPr/>
        <w:t>、禁止行为</w:t>
      </w:r>
    </w:p>
    <w:p>
      <w:pPr>
        <w:pStyle w:val="BodyText"/>
        <w:spacing w:before="6"/>
        <w:rPr>
          <w:sz w:val="15"/>
        </w:rPr>
      </w:pPr>
    </w:p>
    <w:p>
      <w:pPr>
        <w:pStyle w:val="BodyText"/>
        <w:ind w:left="960"/>
      </w:pPr>
      <w:r>
        <w:rPr/>
        <w:t>为维护基金份额持有人的合法权益，基金财产不得用于下列投资或者活动：</w:t>
      </w:r>
    </w:p>
    <w:p>
      <w:pPr>
        <w:pStyle w:val="BodyText"/>
        <w:spacing w:before="6"/>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25"/>
        </w:numPr>
        <w:tabs>
          <w:tab w:pos="1490" w:val="left" w:leader="none"/>
        </w:tabs>
        <w:spacing w:line="240" w:lineRule="auto" w:before="1" w:after="0"/>
        <w:ind w:left="1489" w:right="0" w:hanging="530"/>
        <w:jc w:val="left"/>
        <w:rPr>
          <w:sz w:val="21"/>
        </w:rPr>
      </w:pPr>
      <w:r>
        <w:rPr>
          <w:spacing w:val="-3"/>
          <w:sz w:val="21"/>
        </w:rPr>
        <w:t>法律、行政法规和国务院证券监督管理机构规定禁止的其他活动。</w:t>
      </w:r>
    </w:p>
    <w:p>
      <w:pPr>
        <w:pStyle w:val="BodyText"/>
        <w:spacing w:before="6"/>
        <w:rPr>
          <w:sz w:val="15"/>
        </w:rPr>
      </w:pPr>
    </w:p>
    <w:p>
      <w:pPr>
        <w:pStyle w:val="BodyText"/>
        <w:ind w:left="960"/>
      </w:pPr>
      <w:r>
        <w:rPr/>
        <w:t>法律法规或监管部门取消上述限制，如适用于本基金，则本基金投资不再受相关限制。</w:t>
      </w:r>
    </w:p>
    <w:p>
      <w:pPr>
        <w:pStyle w:val="BodyText"/>
        <w:spacing w:before="7"/>
        <w:rPr>
          <w:sz w:val="15"/>
        </w:rPr>
      </w:pPr>
    </w:p>
    <w:p>
      <w:pPr>
        <w:pStyle w:val="BodyText"/>
        <w:ind w:left="960"/>
      </w:pPr>
      <w:r>
        <w:rPr/>
        <w:t>（五）业绩比较基准</w:t>
      </w:r>
    </w:p>
    <w:p>
      <w:pPr>
        <w:pStyle w:val="BodyText"/>
        <w:spacing w:before="7"/>
        <w:rPr>
          <w:sz w:val="15"/>
        </w:rPr>
      </w:pPr>
    </w:p>
    <w:p>
      <w:pPr>
        <w:pStyle w:val="BodyText"/>
        <w:ind w:left="960"/>
        <w:rPr>
          <w:rFonts w:ascii="Times New Roman" w:eastAsia="Times New Roman"/>
        </w:rPr>
      </w:pPr>
      <w:r>
        <w:rPr/>
        <w:t>本基金的业绩比较基准：中证医药卫生指数收益率</w:t>
      </w:r>
      <w:r>
        <w:rPr>
          <w:rFonts w:ascii="Times New Roman" w:eastAsia="Times New Roman"/>
        </w:rPr>
        <w:t>*50%+</w:t>
      </w:r>
      <w:r>
        <w:rPr/>
        <w:t>上证国债指数收益率</w:t>
      </w:r>
      <w:r>
        <w:rPr>
          <w:rFonts w:ascii="Times New Roman" w:eastAsia="Times New Roman"/>
        </w:rPr>
        <w:t>*50%</w:t>
      </w:r>
    </w:p>
    <w:p>
      <w:pPr>
        <w:pStyle w:val="BodyText"/>
        <w:spacing w:before="3"/>
        <w:rPr>
          <w:rFonts w:ascii="Times New Roman"/>
          <w:sz w:val="17"/>
        </w:rPr>
      </w:pPr>
    </w:p>
    <w:p>
      <w:pPr>
        <w:pStyle w:val="BodyText"/>
        <w:spacing w:line="417" w:lineRule="auto"/>
        <w:ind w:left="540" w:right="102" w:firstLine="419"/>
      </w:pPr>
      <w:r>
        <w:rPr>
          <w:spacing w:val="-6"/>
        </w:rPr>
        <w:t>如果中证指数有限公司变更或停止中证医药卫生指数或上证国债指数的编制及发布、或 </w:t>
      </w:r>
      <w:r>
        <w:rPr>
          <w:spacing w:val="-9"/>
        </w:rPr>
        <w:t>中证医药卫生指数或上证国债指数由其他指数替代、或由于指数编制方法发生重大变更等原 因导致中证医药卫生指数或上证国债指数不宜继续作为基准指数，或市场有其他代表性更强、</w:t>
      </w:r>
      <w:r>
        <w:rPr>
          <w:spacing w:val="-11"/>
        </w:rPr>
        <w:t>更适合投资的指数推出时，本基金管理人可以依据维护投资者合法权益的原则，取得基金托 </w:t>
      </w:r>
      <w:r>
        <w:rPr>
          <w:spacing w:val="-6"/>
        </w:rPr>
        <w:t>管人同意后，变更本基金的基准指数。</w:t>
      </w:r>
    </w:p>
    <w:p>
      <w:pPr>
        <w:pStyle w:val="BodyText"/>
        <w:spacing w:line="269" w:lineRule="exact"/>
        <w:ind w:left="960"/>
      </w:pPr>
      <w:r>
        <w:rPr/>
        <w:t>（六）风险收益特征</w:t>
      </w:r>
    </w:p>
    <w:p>
      <w:pPr>
        <w:pStyle w:val="BodyText"/>
        <w:spacing w:before="7"/>
        <w:rPr>
          <w:sz w:val="15"/>
        </w:rPr>
      </w:pPr>
    </w:p>
    <w:p>
      <w:pPr>
        <w:pStyle w:val="BodyText"/>
        <w:spacing w:line="417" w:lineRule="auto"/>
        <w:ind w:left="540" w:right="311" w:firstLine="419"/>
      </w:pPr>
      <w:r>
        <w:rPr>
          <w:spacing w:val="-8"/>
        </w:rPr>
        <w:t>本基金属于混合基金，风险与收益高于债券基金与货币市场基金，属于较高风险、较高</w:t>
      </w:r>
      <w:r>
        <w:rPr>
          <w:spacing w:val="-5"/>
        </w:rPr>
        <w:t>收益的品种。</w:t>
      </w:r>
    </w:p>
    <w:p>
      <w:pPr>
        <w:pStyle w:val="BodyText"/>
        <w:spacing w:line="269" w:lineRule="exact"/>
        <w:ind w:left="960"/>
      </w:pPr>
      <w:r>
        <w:rPr/>
        <w:t>（七）投资组合报告</w:t>
      </w:r>
    </w:p>
    <w:p>
      <w:pPr>
        <w:spacing w:after="0" w:line="269" w:lineRule="exact"/>
        <w:sectPr>
          <w:pgSz w:w="11910" w:h="16840"/>
          <w:pgMar w:header="877" w:footer="995" w:top="1420" w:bottom="1180" w:left="1260" w:right="1480"/>
        </w:sectPr>
      </w:pPr>
    </w:p>
    <w:p>
      <w:pPr>
        <w:pStyle w:val="BodyText"/>
        <w:spacing w:before="148"/>
        <w:ind w:left="958"/>
      </w:pPr>
      <w:r>
        <w:rPr/>
        <w:t>以下内容摘自本基金 </w:t>
      </w:r>
      <w:r>
        <w:rPr>
          <w:rFonts w:ascii="Arial" w:eastAsia="Arial"/>
        </w:rPr>
        <w:t>2020 </w:t>
      </w:r>
      <w:r>
        <w:rPr/>
        <w:t>年第 </w:t>
      </w:r>
      <w:r>
        <w:rPr>
          <w:rFonts w:ascii="Arial" w:eastAsia="Arial"/>
        </w:rPr>
        <w:t>2 </w:t>
      </w:r>
      <w:r>
        <w:rPr/>
        <w:t>季度报告：</w:t>
      </w:r>
    </w:p>
    <w:p>
      <w:pPr>
        <w:pStyle w:val="BodyText"/>
        <w:spacing w:before="2"/>
      </w:pPr>
    </w:p>
    <w:p>
      <w:pPr>
        <w:pStyle w:val="ListParagraph"/>
        <w:numPr>
          <w:ilvl w:val="1"/>
          <w:numId w:val="26"/>
        </w:numPr>
        <w:tabs>
          <w:tab w:pos="937" w:val="left" w:leader="none"/>
        </w:tabs>
        <w:spacing w:line="240" w:lineRule="auto" w:before="0" w:after="0"/>
        <w:ind w:left="93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4"/>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4"/>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4"/>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4"/>
              <w:rPr>
                <w:rFonts w:ascii="宋体"/>
                <w:sz w:val="15"/>
              </w:rPr>
            </w:pPr>
          </w:p>
          <w:p>
            <w:pPr>
              <w:pStyle w:val="TableParagraph"/>
              <w:spacing w:before="1"/>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jc w:val="right"/>
              <w:rPr>
                <w:sz w:val="21"/>
              </w:rPr>
            </w:pPr>
            <w:r>
              <w:rPr>
                <w:sz w:val="21"/>
              </w:rPr>
              <w:t>1,837,271,894.29</w:t>
            </w:r>
          </w:p>
        </w:tc>
        <w:tc>
          <w:tcPr>
            <w:tcW w:w="2103" w:type="dxa"/>
          </w:tcPr>
          <w:p>
            <w:pPr>
              <w:pStyle w:val="TableParagraph"/>
              <w:spacing w:before="142"/>
              <w:ind w:right="94"/>
              <w:jc w:val="right"/>
              <w:rPr>
                <w:sz w:val="21"/>
              </w:rPr>
            </w:pPr>
            <w:r>
              <w:rPr>
                <w:sz w:val="21"/>
              </w:rPr>
              <w:t>88.58</w:t>
            </w:r>
          </w:p>
        </w:tc>
      </w:tr>
      <w:tr>
        <w:trPr>
          <w:trHeight w:val="496" w:hRule="atLeast"/>
        </w:trPr>
        <w:tc>
          <w:tcPr>
            <w:tcW w:w="814" w:type="dxa"/>
          </w:tcPr>
          <w:p>
            <w:pPr>
              <w:pStyle w:val="TableParagraph"/>
              <w:spacing w:before="0"/>
              <w:rPr>
                <w:sz w:val="20"/>
              </w:rPr>
            </w:pPr>
          </w:p>
        </w:tc>
        <w:tc>
          <w:tcPr>
            <w:tcW w:w="2929" w:type="dxa"/>
          </w:tcPr>
          <w:p>
            <w:pPr>
              <w:pStyle w:val="TableParagraph"/>
              <w:spacing w:before="130"/>
              <w:ind w:left="124"/>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4"/>
              <w:jc w:val="right"/>
              <w:rPr>
                <w:sz w:val="21"/>
              </w:rPr>
            </w:pPr>
            <w:r>
              <w:rPr>
                <w:sz w:val="21"/>
              </w:rPr>
              <w:t>1,837,271,894.29</w:t>
            </w:r>
          </w:p>
        </w:tc>
        <w:tc>
          <w:tcPr>
            <w:tcW w:w="2103" w:type="dxa"/>
          </w:tcPr>
          <w:p>
            <w:pPr>
              <w:pStyle w:val="TableParagraph"/>
              <w:spacing w:before="142"/>
              <w:ind w:right="94"/>
              <w:jc w:val="right"/>
              <w:rPr>
                <w:sz w:val="21"/>
              </w:rPr>
            </w:pPr>
            <w:r>
              <w:rPr>
                <w:sz w:val="21"/>
              </w:rPr>
              <w:t>88.58</w:t>
            </w:r>
          </w:p>
        </w:tc>
      </w:tr>
      <w:tr>
        <w:trPr>
          <w:trHeight w:val="499"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6"/>
              <w:jc w:val="right"/>
              <w:rPr>
                <w:sz w:val="21"/>
              </w:rPr>
            </w:pPr>
            <w:r>
              <w:rPr>
                <w:w w:val="100"/>
                <w:sz w:val="21"/>
              </w:rPr>
              <w:t>-</w:t>
            </w:r>
          </w:p>
        </w:tc>
        <w:tc>
          <w:tcPr>
            <w:tcW w:w="2103" w:type="dxa"/>
          </w:tcPr>
          <w:p>
            <w:pPr>
              <w:pStyle w:val="TableParagraph"/>
              <w:spacing w:before="144"/>
              <w:ind w:right="96"/>
              <w:jc w:val="right"/>
              <w:rPr>
                <w:sz w:val="21"/>
              </w:rPr>
            </w:pPr>
            <w:r>
              <w:rPr>
                <w:w w:val="100"/>
                <w:sz w:val="21"/>
              </w:rPr>
              <w:t>-</w:t>
            </w:r>
          </w:p>
        </w:tc>
      </w:tr>
      <w:tr>
        <w:trPr>
          <w:trHeight w:val="496" w:hRule="atLeast"/>
        </w:trPr>
        <w:tc>
          <w:tcPr>
            <w:tcW w:w="814" w:type="dxa"/>
          </w:tcPr>
          <w:p>
            <w:pPr>
              <w:pStyle w:val="TableParagraph"/>
              <w:spacing w:before="0"/>
              <w:rPr>
                <w:sz w:val="20"/>
              </w:rPr>
            </w:pPr>
          </w:p>
        </w:tc>
        <w:tc>
          <w:tcPr>
            <w:tcW w:w="2929" w:type="dxa"/>
          </w:tcPr>
          <w:p>
            <w:pPr>
              <w:pStyle w:val="TableParagraph"/>
              <w:spacing w:before="130"/>
              <w:ind w:left="124"/>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6"/>
              <w:jc w:val="right"/>
              <w:rPr>
                <w:sz w:val="21"/>
              </w:rPr>
            </w:pPr>
            <w:r>
              <w:rPr>
                <w:w w:val="100"/>
                <w:sz w:val="21"/>
              </w:rPr>
              <w:t>-</w:t>
            </w:r>
          </w:p>
        </w:tc>
        <w:tc>
          <w:tcPr>
            <w:tcW w:w="2103" w:type="dxa"/>
          </w:tcPr>
          <w:p>
            <w:pPr>
              <w:pStyle w:val="TableParagraph"/>
              <w:spacing w:before="142"/>
              <w:ind w:right="96"/>
              <w:jc w:val="right"/>
              <w:rPr>
                <w:sz w:val="21"/>
              </w:rPr>
            </w:pPr>
            <w:r>
              <w:rPr>
                <w:w w:val="100"/>
                <w:sz w:val="21"/>
              </w:rPr>
              <w:t>-</w:t>
            </w:r>
          </w:p>
        </w:tc>
      </w:tr>
      <w:tr>
        <w:trPr>
          <w:trHeight w:val="496" w:hRule="atLeast"/>
        </w:trPr>
        <w:tc>
          <w:tcPr>
            <w:tcW w:w="814" w:type="dxa"/>
          </w:tcPr>
          <w:p>
            <w:pPr>
              <w:pStyle w:val="TableParagraph"/>
              <w:spacing w:before="0"/>
              <w:rPr>
                <w:sz w:val="20"/>
              </w:rPr>
            </w:pPr>
          </w:p>
        </w:tc>
        <w:tc>
          <w:tcPr>
            <w:tcW w:w="2929" w:type="dxa"/>
          </w:tcPr>
          <w:p>
            <w:pPr>
              <w:pStyle w:val="TableParagraph"/>
              <w:spacing w:before="157"/>
              <w:ind w:left="733"/>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jc w:val="right"/>
              <w:rPr>
                <w:sz w:val="21"/>
              </w:rPr>
            </w:pPr>
            <w:r>
              <w:rPr>
                <w:w w:val="100"/>
                <w:sz w:val="21"/>
              </w:rPr>
              <w:t>-</w:t>
            </w:r>
          </w:p>
        </w:tc>
        <w:tc>
          <w:tcPr>
            <w:tcW w:w="2103" w:type="dxa"/>
          </w:tcPr>
          <w:p>
            <w:pPr>
              <w:pStyle w:val="TableParagraph"/>
              <w:spacing w:before="142"/>
              <w:ind w:right="96"/>
              <w:jc w:val="right"/>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0"/>
              <w:ind w:left="124"/>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jc w:val="right"/>
              <w:rPr>
                <w:sz w:val="21"/>
              </w:rPr>
            </w:pPr>
            <w:r>
              <w:rPr>
                <w:w w:val="100"/>
                <w:sz w:val="21"/>
              </w:rPr>
              <w:t>-</w:t>
            </w:r>
          </w:p>
        </w:tc>
        <w:tc>
          <w:tcPr>
            <w:tcW w:w="2103" w:type="dxa"/>
          </w:tcPr>
          <w:p>
            <w:pPr>
              <w:pStyle w:val="TableParagraph"/>
              <w:spacing w:before="142"/>
              <w:ind w:right="96"/>
              <w:jc w:val="right"/>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jc w:val="right"/>
              <w:rPr>
                <w:sz w:val="21"/>
              </w:rPr>
            </w:pPr>
            <w:r>
              <w:rPr>
                <w:w w:val="100"/>
                <w:sz w:val="21"/>
              </w:rPr>
              <w:t>-</w:t>
            </w:r>
          </w:p>
        </w:tc>
        <w:tc>
          <w:tcPr>
            <w:tcW w:w="2103" w:type="dxa"/>
          </w:tcPr>
          <w:p>
            <w:pPr>
              <w:pStyle w:val="TableParagraph"/>
              <w:spacing w:before="144"/>
              <w:ind w:right="96"/>
              <w:jc w:val="right"/>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jc w:val="right"/>
              <w:rPr>
                <w:sz w:val="21"/>
              </w:rPr>
            </w:pPr>
            <w:r>
              <w:rPr>
                <w:w w:val="100"/>
                <w:sz w:val="21"/>
              </w:rPr>
              <w:t>-</w:t>
            </w:r>
          </w:p>
        </w:tc>
        <w:tc>
          <w:tcPr>
            <w:tcW w:w="2103" w:type="dxa"/>
          </w:tcPr>
          <w:p>
            <w:pPr>
              <w:pStyle w:val="TableParagraph"/>
              <w:spacing w:before="142"/>
              <w:ind w:right="96"/>
              <w:jc w:val="right"/>
              <w:rPr>
                <w:sz w:val="21"/>
              </w:rPr>
            </w:pPr>
            <w:r>
              <w:rPr>
                <w:w w:val="100"/>
                <w:sz w:val="21"/>
              </w:rPr>
              <w:t>-</w:t>
            </w:r>
          </w:p>
        </w:tc>
      </w:tr>
      <w:tr>
        <w:trPr>
          <w:trHeight w:val="964" w:hRule="atLeast"/>
        </w:trPr>
        <w:tc>
          <w:tcPr>
            <w:tcW w:w="814" w:type="dxa"/>
          </w:tcPr>
          <w:p>
            <w:pPr>
              <w:pStyle w:val="TableParagraph"/>
              <w:spacing w:before="0"/>
              <w:rPr>
                <w:sz w:val="20"/>
              </w:rPr>
            </w:pPr>
          </w:p>
        </w:tc>
        <w:tc>
          <w:tcPr>
            <w:tcW w:w="2929" w:type="dxa"/>
          </w:tcPr>
          <w:p>
            <w:pPr>
              <w:pStyle w:val="TableParagraph"/>
              <w:spacing w:before="130"/>
              <w:ind w:left="124"/>
              <w:rPr>
                <w:rFonts w:ascii="宋体" w:eastAsia="宋体" w:hint="eastAsia"/>
                <w:sz w:val="21"/>
              </w:rPr>
            </w:pPr>
            <w:r>
              <w:rPr>
                <w:rFonts w:ascii="宋体" w:eastAsia="宋体" w:hint="eastAsia"/>
                <w:sz w:val="21"/>
              </w:rPr>
              <w:t>其中：买断式回购的买入返售</w:t>
            </w:r>
          </w:p>
          <w:p>
            <w:pPr>
              <w:pStyle w:val="TableParagraph"/>
              <w:spacing w:before="5"/>
              <w:rPr>
                <w:rFonts w:ascii="宋体"/>
                <w:sz w:val="15"/>
              </w:rPr>
            </w:pPr>
          </w:p>
          <w:p>
            <w:pPr>
              <w:pStyle w:val="TableParagraph"/>
              <w:spacing w:before="0"/>
              <w:ind w:left="124"/>
              <w:rPr>
                <w:rFonts w:ascii="宋体" w:eastAsia="宋体" w:hint="eastAsia"/>
                <w:sz w:val="21"/>
              </w:rPr>
            </w:pPr>
            <w:r>
              <w:rPr>
                <w:rFonts w:ascii="宋体" w:eastAsia="宋体" w:hint="eastAsia"/>
                <w:sz w:val="21"/>
              </w:rPr>
              <w:t>金融资产</w:t>
            </w:r>
          </w:p>
        </w:tc>
        <w:tc>
          <w:tcPr>
            <w:tcW w:w="2482" w:type="dxa"/>
          </w:tcPr>
          <w:p>
            <w:pPr>
              <w:pStyle w:val="TableParagraph"/>
              <w:spacing w:before="5"/>
              <w:rPr>
                <w:rFonts w:ascii="宋体"/>
                <w:sz w:val="29"/>
              </w:rPr>
            </w:pPr>
          </w:p>
          <w:p>
            <w:pPr>
              <w:pStyle w:val="TableParagraph"/>
              <w:spacing w:before="0"/>
              <w:ind w:right="96"/>
              <w:jc w:val="right"/>
              <w:rPr>
                <w:sz w:val="21"/>
              </w:rPr>
            </w:pPr>
            <w:r>
              <w:rPr>
                <w:w w:val="100"/>
                <w:sz w:val="21"/>
              </w:rPr>
              <w:t>-</w:t>
            </w:r>
          </w:p>
        </w:tc>
        <w:tc>
          <w:tcPr>
            <w:tcW w:w="2103" w:type="dxa"/>
          </w:tcPr>
          <w:p>
            <w:pPr>
              <w:pStyle w:val="TableParagraph"/>
              <w:spacing w:before="5"/>
              <w:rPr>
                <w:rFonts w:ascii="宋体"/>
                <w:sz w:val="29"/>
              </w:rPr>
            </w:pPr>
          </w:p>
          <w:p>
            <w:pPr>
              <w:pStyle w:val="TableParagraph"/>
              <w:spacing w:before="0"/>
              <w:ind w:right="96"/>
              <w:jc w:val="right"/>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jc w:val="right"/>
              <w:rPr>
                <w:sz w:val="21"/>
              </w:rPr>
            </w:pPr>
            <w:r>
              <w:rPr>
                <w:sz w:val="21"/>
              </w:rPr>
              <w:t>216,189,166.09</w:t>
            </w:r>
          </w:p>
        </w:tc>
        <w:tc>
          <w:tcPr>
            <w:tcW w:w="2103" w:type="dxa"/>
          </w:tcPr>
          <w:p>
            <w:pPr>
              <w:pStyle w:val="TableParagraph"/>
              <w:spacing w:before="142"/>
              <w:ind w:right="94"/>
              <w:jc w:val="right"/>
              <w:rPr>
                <w:sz w:val="21"/>
              </w:rPr>
            </w:pPr>
            <w:r>
              <w:rPr>
                <w:sz w:val="21"/>
              </w:rPr>
              <w:t>10.42</w:t>
            </w:r>
          </w:p>
        </w:tc>
      </w:tr>
      <w:tr>
        <w:trPr>
          <w:trHeight w:val="498" w:hRule="atLeast"/>
        </w:trPr>
        <w:tc>
          <w:tcPr>
            <w:tcW w:w="814" w:type="dxa"/>
          </w:tcPr>
          <w:p>
            <w:pPr>
              <w:pStyle w:val="TableParagraph"/>
              <w:spacing w:before="144"/>
              <w:ind w:left="25"/>
              <w:jc w:val="center"/>
              <w:rPr>
                <w:sz w:val="21"/>
              </w:rPr>
            </w:pPr>
            <w:r>
              <w:rPr>
                <w:w w:val="100"/>
                <w:sz w:val="21"/>
              </w:rPr>
              <w:t>7</w:t>
            </w:r>
          </w:p>
        </w:tc>
        <w:tc>
          <w:tcPr>
            <w:tcW w:w="2929" w:type="dxa"/>
          </w:tcPr>
          <w:p>
            <w:pPr>
              <w:pStyle w:val="TableParagraph"/>
              <w:spacing w:before="116"/>
              <w:ind w:left="107"/>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jc w:val="right"/>
              <w:rPr>
                <w:sz w:val="21"/>
              </w:rPr>
            </w:pPr>
            <w:r>
              <w:rPr>
                <w:sz w:val="21"/>
              </w:rPr>
              <w:t>20,779,042.25</w:t>
            </w:r>
          </w:p>
        </w:tc>
        <w:tc>
          <w:tcPr>
            <w:tcW w:w="2103" w:type="dxa"/>
          </w:tcPr>
          <w:p>
            <w:pPr>
              <w:pStyle w:val="TableParagraph"/>
              <w:spacing w:before="127"/>
              <w:ind w:right="94"/>
              <w:jc w:val="right"/>
              <w:rPr>
                <w:sz w:val="21"/>
              </w:rPr>
            </w:pPr>
            <w:r>
              <w:rPr>
                <w:sz w:val="21"/>
              </w:rPr>
              <w:t>1.00</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4"/>
              <w:ind w:left="107"/>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jc w:val="right"/>
              <w:rPr>
                <w:sz w:val="21"/>
              </w:rPr>
            </w:pPr>
            <w:r>
              <w:rPr>
                <w:sz w:val="21"/>
              </w:rPr>
              <w:t>2,074,240,102.63</w:t>
            </w:r>
          </w:p>
        </w:tc>
        <w:tc>
          <w:tcPr>
            <w:tcW w:w="2103" w:type="dxa"/>
          </w:tcPr>
          <w:p>
            <w:pPr>
              <w:pStyle w:val="TableParagraph"/>
              <w:spacing w:before="125"/>
              <w:ind w:right="94"/>
              <w:jc w:val="right"/>
              <w:rPr>
                <w:sz w:val="21"/>
              </w:rPr>
            </w:pPr>
            <w:r>
              <w:rPr>
                <w:sz w:val="21"/>
              </w:rPr>
              <w:t>100.00</w:t>
            </w:r>
          </w:p>
        </w:tc>
      </w:tr>
    </w:tbl>
    <w:p>
      <w:pPr>
        <w:pStyle w:val="ListParagraph"/>
        <w:numPr>
          <w:ilvl w:val="1"/>
          <w:numId w:val="26"/>
        </w:numPr>
        <w:tabs>
          <w:tab w:pos="910" w:val="left" w:leader="none"/>
        </w:tabs>
        <w:spacing w:line="240" w:lineRule="auto" w:before="99" w:after="0"/>
        <w:ind w:left="910" w:right="0" w:hanging="370"/>
        <w:jc w:val="left"/>
        <w:rPr>
          <w:rFonts w:ascii="Times New Roman" w:eastAsia="Times New Roman"/>
          <w:sz w:val="21"/>
        </w:rPr>
      </w:pPr>
      <w:r>
        <w:rPr>
          <w:spacing w:val="-3"/>
          <w:sz w:val="21"/>
        </w:rPr>
        <w:t>报告期末按行业分类的股票投资组合</w:t>
      </w:r>
    </w:p>
    <w:p>
      <w:pPr>
        <w:pStyle w:val="BodyText"/>
        <w:spacing w:before="7"/>
        <w:rPr>
          <w:sz w:val="15"/>
        </w:rPr>
      </w:pPr>
    </w:p>
    <w:p>
      <w:pPr>
        <w:pStyle w:val="ListParagraph"/>
        <w:numPr>
          <w:ilvl w:val="2"/>
          <w:numId w:val="26"/>
        </w:numPr>
        <w:tabs>
          <w:tab w:pos="1066" w:val="left" w:leader="none"/>
        </w:tabs>
        <w:spacing w:line="240" w:lineRule="auto" w:before="0" w:after="0"/>
        <w:ind w:left="1066" w:right="0" w:hanging="526"/>
        <w:jc w:val="left"/>
        <w:rPr>
          <w:sz w:val="21"/>
        </w:rPr>
      </w:pPr>
      <w:r>
        <w:rPr>
          <w:spacing w:val="-3"/>
          <w:sz w:val="21"/>
        </w:rPr>
        <w:t>报告期末按行业分类的境内股票投资组合</w:t>
      </w:r>
    </w:p>
    <w:p>
      <w:pPr>
        <w:pStyle w:val="BodyText"/>
        <w:spacing w:before="10"/>
        <w:rPr>
          <w:sz w:val="7"/>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6" w:hRule="atLeast"/>
        </w:trPr>
        <w:tc>
          <w:tcPr>
            <w:tcW w:w="710" w:type="dxa"/>
          </w:tcPr>
          <w:p>
            <w:pPr>
              <w:pStyle w:val="TableParagraph"/>
              <w:spacing w:before="5"/>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5"/>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5"/>
              <w:rPr>
                <w:rFonts w:ascii="宋体"/>
                <w:sz w:val="25"/>
              </w:rPr>
            </w:pPr>
          </w:p>
          <w:p>
            <w:pPr>
              <w:pStyle w:val="TableParagraph"/>
              <w:spacing w:before="0"/>
              <w:ind w:left="266"/>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510" w:hRule="atLeast"/>
        </w:trPr>
        <w:tc>
          <w:tcPr>
            <w:tcW w:w="710" w:type="dxa"/>
          </w:tcPr>
          <w:p>
            <w:pPr>
              <w:pStyle w:val="TableParagraph"/>
              <w:spacing w:before="185"/>
              <w:ind w:left="13"/>
              <w:jc w:val="center"/>
              <w:rPr>
                <w:sz w:val="21"/>
              </w:rPr>
            </w:pPr>
            <w:r>
              <w:rPr>
                <w:w w:val="100"/>
                <w:sz w:val="21"/>
              </w:rPr>
              <w:t>A</w:t>
            </w:r>
          </w:p>
        </w:tc>
        <w:tc>
          <w:tcPr>
            <w:tcW w:w="3521" w:type="dxa"/>
          </w:tcPr>
          <w:p>
            <w:pPr>
              <w:pStyle w:val="TableParagraph"/>
              <w:spacing w:before="171"/>
              <w:ind w:left="14"/>
              <w:rPr>
                <w:rFonts w:ascii="宋体" w:eastAsia="宋体" w:hint="eastAsia"/>
                <w:sz w:val="21"/>
              </w:rPr>
            </w:pPr>
            <w:r>
              <w:rPr>
                <w:rFonts w:ascii="宋体" w:eastAsia="宋体" w:hint="eastAsia"/>
                <w:sz w:val="21"/>
              </w:rPr>
              <w:t>农、林、牧、渔业</w:t>
            </w:r>
          </w:p>
        </w:tc>
        <w:tc>
          <w:tcPr>
            <w:tcW w:w="2009" w:type="dxa"/>
          </w:tcPr>
          <w:p>
            <w:pPr>
              <w:pStyle w:val="TableParagraph"/>
              <w:spacing w:before="156"/>
              <w:ind w:right="-15"/>
              <w:jc w:val="right"/>
              <w:rPr>
                <w:sz w:val="21"/>
              </w:rPr>
            </w:pPr>
            <w:r>
              <w:rPr>
                <w:w w:val="100"/>
                <w:sz w:val="21"/>
              </w:rPr>
              <w:t>-</w:t>
            </w:r>
          </w:p>
        </w:tc>
        <w:tc>
          <w:tcPr>
            <w:tcW w:w="2076" w:type="dxa"/>
          </w:tcPr>
          <w:p>
            <w:pPr>
              <w:pStyle w:val="TableParagraph"/>
              <w:spacing w:before="156"/>
              <w:jc w:val="right"/>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B</w:t>
            </w:r>
          </w:p>
        </w:tc>
        <w:tc>
          <w:tcPr>
            <w:tcW w:w="3521" w:type="dxa"/>
          </w:tcPr>
          <w:p>
            <w:pPr>
              <w:pStyle w:val="TableParagraph"/>
              <w:spacing w:before="126"/>
              <w:ind w:left="14"/>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C</w:t>
            </w:r>
          </w:p>
        </w:tc>
        <w:tc>
          <w:tcPr>
            <w:tcW w:w="3521" w:type="dxa"/>
          </w:tcPr>
          <w:p>
            <w:pPr>
              <w:pStyle w:val="TableParagraph"/>
              <w:spacing w:before="126"/>
              <w:ind w:left="14"/>
              <w:rPr>
                <w:rFonts w:ascii="宋体" w:eastAsia="宋体" w:hint="eastAsia"/>
                <w:sz w:val="21"/>
              </w:rPr>
            </w:pPr>
            <w:r>
              <w:rPr>
                <w:rFonts w:ascii="宋体" w:eastAsia="宋体" w:hint="eastAsia"/>
                <w:sz w:val="21"/>
              </w:rPr>
              <w:t>制造业</w:t>
            </w:r>
          </w:p>
        </w:tc>
        <w:tc>
          <w:tcPr>
            <w:tcW w:w="2009" w:type="dxa"/>
          </w:tcPr>
          <w:p>
            <w:pPr>
              <w:pStyle w:val="TableParagraph"/>
              <w:spacing w:before="94"/>
              <w:ind w:right="-15"/>
              <w:jc w:val="right"/>
              <w:rPr>
                <w:sz w:val="21"/>
              </w:rPr>
            </w:pPr>
            <w:r>
              <w:rPr>
                <w:sz w:val="21"/>
              </w:rPr>
              <w:t>1,187,392,885.22</w:t>
            </w:r>
          </w:p>
        </w:tc>
        <w:tc>
          <w:tcPr>
            <w:tcW w:w="2076" w:type="dxa"/>
          </w:tcPr>
          <w:p>
            <w:pPr>
              <w:pStyle w:val="TableParagraph"/>
              <w:spacing w:before="137"/>
              <w:jc w:val="right"/>
              <w:rPr>
                <w:sz w:val="21"/>
              </w:rPr>
            </w:pPr>
            <w:r>
              <w:rPr>
                <w:sz w:val="21"/>
              </w:rPr>
              <w:t>59.28</w:t>
            </w:r>
          </w:p>
        </w:tc>
      </w:tr>
      <w:tr>
        <w:trPr>
          <w:trHeight w:val="417" w:hRule="atLeast"/>
        </w:trPr>
        <w:tc>
          <w:tcPr>
            <w:tcW w:w="710" w:type="dxa"/>
          </w:tcPr>
          <w:p>
            <w:pPr>
              <w:pStyle w:val="TableParagraph"/>
              <w:spacing w:before="139"/>
              <w:ind w:left="13"/>
              <w:jc w:val="center"/>
              <w:rPr>
                <w:sz w:val="21"/>
              </w:rPr>
            </w:pPr>
            <w:r>
              <w:rPr>
                <w:w w:val="100"/>
                <w:sz w:val="21"/>
              </w:rPr>
              <w:t>D</w:t>
            </w:r>
          </w:p>
        </w:tc>
        <w:tc>
          <w:tcPr>
            <w:tcW w:w="3521" w:type="dxa"/>
          </w:tcPr>
          <w:p>
            <w:pPr>
              <w:pStyle w:val="TableParagraph"/>
              <w:spacing w:before="125"/>
              <w:ind w:left="14"/>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4"/>
              <w:ind w:right="-15"/>
              <w:jc w:val="right"/>
              <w:rPr>
                <w:sz w:val="21"/>
              </w:rPr>
            </w:pPr>
            <w:r>
              <w:rPr>
                <w:sz w:val="21"/>
              </w:rPr>
              <w:t>12,766.32</w:t>
            </w:r>
          </w:p>
        </w:tc>
        <w:tc>
          <w:tcPr>
            <w:tcW w:w="2076" w:type="dxa"/>
          </w:tcPr>
          <w:p>
            <w:pPr>
              <w:pStyle w:val="TableParagraph"/>
              <w:spacing w:before="94"/>
              <w:jc w:val="right"/>
              <w:rPr>
                <w:sz w:val="21"/>
              </w:rPr>
            </w:pPr>
            <w:r>
              <w:rPr>
                <w:sz w:val="21"/>
              </w:rPr>
              <w:t>0.00</w:t>
            </w:r>
          </w:p>
        </w:tc>
      </w:tr>
      <w:tr>
        <w:trPr>
          <w:trHeight w:val="414" w:hRule="atLeast"/>
        </w:trPr>
        <w:tc>
          <w:tcPr>
            <w:tcW w:w="710" w:type="dxa"/>
          </w:tcPr>
          <w:p>
            <w:pPr>
              <w:pStyle w:val="TableParagraph"/>
              <w:spacing w:before="137"/>
              <w:ind w:left="14"/>
              <w:jc w:val="center"/>
              <w:rPr>
                <w:sz w:val="21"/>
              </w:rPr>
            </w:pPr>
            <w:r>
              <w:rPr>
                <w:w w:val="100"/>
                <w:sz w:val="21"/>
              </w:rPr>
              <w:t>E</w:t>
            </w:r>
          </w:p>
        </w:tc>
        <w:tc>
          <w:tcPr>
            <w:tcW w:w="3521" w:type="dxa"/>
          </w:tcPr>
          <w:p>
            <w:pPr>
              <w:pStyle w:val="TableParagraph"/>
              <w:spacing w:before="123"/>
              <w:ind w:left="14"/>
              <w:rPr>
                <w:rFonts w:ascii="宋体" w:eastAsia="宋体" w:hint="eastAsia"/>
                <w:sz w:val="21"/>
              </w:rPr>
            </w:pPr>
            <w:r>
              <w:rPr>
                <w:rFonts w:ascii="宋体" w:eastAsia="宋体" w:hint="eastAsia"/>
                <w:sz w:val="21"/>
              </w:rPr>
              <w:t>建筑业</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F</w:t>
            </w:r>
          </w:p>
        </w:tc>
        <w:tc>
          <w:tcPr>
            <w:tcW w:w="3521" w:type="dxa"/>
          </w:tcPr>
          <w:p>
            <w:pPr>
              <w:pStyle w:val="TableParagraph"/>
              <w:spacing w:before="123"/>
              <w:ind w:left="14"/>
              <w:rPr>
                <w:rFonts w:ascii="宋体" w:eastAsia="宋体" w:hint="eastAsia"/>
                <w:sz w:val="21"/>
              </w:rPr>
            </w:pPr>
            <w:r>
              <w:rPr>
                <w:rFonts w:ascii="宋体" w:eastAsia="宋体" w:hint="eastAsia"/>
                <w:sz w:val="21"/>
              </w:rPr>
              <w:t>批发和零售业</w:t>
            </w:r>
          </w:p>
        </w:tc>
        <w:tc>
          <w:tcPr>
            <w:tcW w:w="2009" w:type="dxa"/>
          </w:tcPr>
          <w:p>
            <w:pPr>
              <w:pStyle w:val="TableParagraph"/>
              <w:spacing w:before="91"/>
              <w:ind w:right="-15"/>
              <w:jc w:val="right"/>
              <w:rPr>
                <w:sz w:val="21"/>
              </w:rPr>
            </w:pPr>
            <w:r>
              <w:rPr>
                <w:sz w:val="21"/>
              </w:rPr>
              <w:t>146,986,484.82</w:t>
            </w:r>
          </w:p>
        </w:tc>
        <w:tc>
          <w:tcPr>
            <w:tcW w:w="2076" w:type="dxa"/>
          </w:tcPr>
          <w:p>
            <w:pPr>
              <w:pStyle w:val="TableParagraph"/>
              <w:spacing w:before="91"/>
              <w:jc w:val="right"/>
              <w:rPr>
                <w:sz w:val="21"/>
              </w:rPr>
            </w:pPr>
            <w:r>
              <w:rPr>
                <w:sz w:val="21"/>
              </w:rPr>
              <w:t>7.34</w:t>
            </w:r>
          </w:p>
        </w:tc>
      </w:tr>
      <w:tr>
        <w:trPr>
          <w:trHeight w:val="415" w:hRule="atLeast"/>
        </w:trPr>
        <w:tc>
          <w:tcPr>
            <w:tcW w:w="710" w:type="dxa"/>
          </w:tcPr>
          <w:p>
            <w:pPr>
              <w:pStyle w:val="TableParagraph"/>
              <w:spacing w:before="137"/>
              <w:ind w:left="13"/>
              <w:jc w:val="center"/>
              <w:rPr>
                <w:sz w:val="21"/>
              </w:rPr>
            </w:pPr>
            <w:r>
              <w:rPr>
                <w:w w:val="100"/>
                <w:sz w:val="21"/>
              </w:rPr>
              <w:t>G</w:t>
            </w:r>
          </w:p>
        </w:tc>
        <w:tc>
          <w:tcPr>
            <w:tcW w:w="3521" w:type="dxa"/>
          </w:tcPr>
          <w:p>
            <w:pPr>
              <w:pStyle w:val="TableParagraph"/>
              <w:spacing w:before="124"/>
              <w:ind w:left="14"/>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2"/>
              <w:ind w:right="-15"/>
              <w:jc w:val="right"/>
              <w:rPr>
                <w:sz w:val="21"/>
              </w:rPr>
            </w:pPr>
            <w:r>
              <w:rPr>
                <w:w w:val="100"/>
                <w:sz w:val="21"/>
              </w:rPr>
              <w:t>-</w:t>
            </w:r>
          </w:p>
        </w:tc>
        <w:tc>
          <w:tcPr>
            <w:tcW w:w="2076" w:type="dxa"/>
          </w:tcPr>
          <w:p>
            <w:pPr>
              <w:pStyle w:val="TableParagraph"/>
              <w:spacing w:before="92"/>
              <w:jc w:val="right"/>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H</w:t>
            </w:r>
          </w:p>
        </w:tc>
        <w:tc>
          <w:tcPr>
            <w:tcW w:w="3521" w:type="dxa"/>
          </w:tcPr>
          <w:p>
            <w:pPr>
              <w:pStyle w:val="TableParagraph"/>
              <w:spacing w:before="123"/>
              <w:ind w:left="14"/>
              <w:rPr>
                <w:rFonts w:ascii="宋体" w:eastAsia="宋体" w:hint="eastAsia"/>
                <w:sz w:val="21"/>
              </w:rPr>
            </w:pPr>
            <w:r>
              <w:rPr>
                <w:rFonts w:ascii="宋体" w:eastAsia="宋体" w:hint="eastAsia"/>
                <w:sz w:val="21"/>
              </w:rPr>
              <w:t>住宿和餐饮业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bl>
    <w:p>
      <w:pPr>
        <w:spacing w:after="0"/>
        <w:jc w:val="right"/>
        <w:rPr>
          <w:sz w:val="21"/>
        </w:rPr>
        <w:sectPr>
          <w:pgSz w:w="11910" w:h="16840"/>
          <w:pgMar w:header="877" w:footer="995" w:top="1420" w:bottom="1180" w:left="1260" w:right="148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415" w:hRule="atLeast"/>
        </w:trPr>
        <w:tc>
          <w:tcPr>
            <w:tcW w:w="710" w:type="dxa"/>
          </w:tcPr>
          <w:p>
            <w:pPr>
              <w:pStyle w:val="TableParagraph"/>
              <w:spacing w:before="137"/>
              <w:ind w:left="321"/>
              <w:rPr>
                <w:sz w:val="21"/>
              </w:rPr>
            </w:pPr>
            <w:r>
              <w:rPr>
                <w:w w:val="100"/>
                <w:sz w:val="21"/>
              </w:rPr>
              <w:t>I</w:t>
            </w:r>
          </w:p>
        </w:tc>
        <w:tc>
          <w:tcPr>
            <w:tcW w:w="3521" w:type="dxa"/>
          </w:tcPr>
          <w:p>
            <w:pPr>
              <w:pStyle w:val="TableParagraph"/>
              <w:spacing w:before="124"/>
              <w:ind w:left="14"/>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jc w:val="right"/>
              <w:rPr>
                <w:sz w:val="21"/>
              </w:rPr>
            </w:pPr>
            <w:r>
              <w:rPr>
                <w:sz w:val="21"/>
              </w:rPr>
              <w:t>400,808,758.63</w:t>
            </w:r>
          </w:p>
        </w:tc>
        <w:tc>
          <w:tcPr>
            <w:tcW w:w="2076" w:type="dxa"/>
          </w:tcPr>
          <w:p>
            <w:pPr>
              <w:pStyle w:val="TableParagraph"/>
              <w:spacing w:before="94"/>
              <w:jc w:val="right"/>
              <w:rPr>
                <w:sz w:val="21"/>
              </w:rPr>
            </w:pPr>
            <w:r>
              <w:rPr>
                <w:sz w:val="21"/>
              </w:rPr>
              <w:t>20.01</w:t>
            </w:r>
          </w:p>
        </w:tc>
      </w:tr>
      <w:tr>
        <w:trPr>
          <w:trHeight w:val="414" w:hRule="atLeast"/>
        </w:trPr>
        <w:tc>
          <w:tcPr>
            <w:tcW w:w="710" w:type="dxa"/>
          </w:tcPr>
          <w:p>
            <w:pPr>
              <w:pStyle w:val="TableParagraph"/>
              <w:spacing w:before="139"/>
              <w:ind w:left="314"/>
              <w:rPr>
                <w:sz w:val="21"/>
              </w:rPr>
            </w:pPr>
            <w:r>
              <w:rPr>
                <w:w w:val="100"/>
                <w:sz w:val="21"/>
              </w:rPr>
              <w:t>J</w:t>
            </w:r>
          </w:p>
        </w:tc>
        <w:tc>
          <w:tcPr>
            <w:tcW w:w="3521" w:type="dxa"/>
          </w:tcPr>
          <w:p>
            <w:pPr>
              <w:pStyle w:val="TableParagraph"/>
              <w:spacing w:before="125"/>
              <w:ind w:left="14"/>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139"/>
              <w:ind w:left="280"/>
              <w:rPr>
                <w:sz w:val="21"/>
              </w:rPr>
            </w:pPr>
            <w:r>
              <w:rPr>
                <w:w w:val="100"/>
                <w:sz w:val="21"/>
              </w:rPr>
              <w:t>K</w:t>
            </w:r>
          </w:p>
        </w:tc>
        <w:tc>
          <w:tcPr>
            <w:tcW w:w="3521" w:type="dxa"/>
          </w:tcPr>
          <w:p>
            <w:pPr>
              <w:pStyle w:val="TableParagraph"/>
              <w:spacing w:before="125"/>
              <w:ind w:left="14"/>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139"/>
              <w:ind w:left="292"/>
              <w:rPr>
                <w:sz w:val="21"/>
              </w:rPr>
            </w:pPr>
            <w:r>
              <w:rPr>
                <w:w w:val="100"/>
                <w:sz w:val="21"/>
              </w:rPr>
              <w:t>L</w:t>
            </w:r>
          </w:p>
        </w:tc>
        <w:tc>
          <w:tcPr>
            <w:tcW w:w="3521" w:type="dxa"/>
          </w:tcPr>
          <w:p>
            <w:pPr>
              <w:pStyle w:val="TableParagraph"/>
              <w:spacing w:before="125"/>
              <w:ind w:left="14"/>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4"/>
              <w:ind w:right="-15"/>
              <w:jc w:val="right"/>
              <w:rPr>
                <w:sz w:val="21"/>
              </w:rPr>
            </w:pPr>
            <w:r>
              <w:rPr>
                <w:sz w:val="21"/>
              </w:rPr>
              <w:t>38,332,119.00</w:t>
            </w:r>
          </w:p>
        </w:tc>
        <w:tc>
          <w:tcPr>
            <w:tcW w:w="2076" w:type="dxa"/>
          </w:tcPr>
          <w:p>
            <w:pPr>
              <w:pStyle w:val="TableParagraph"/>
              <w:spacing w:before="94"/>
              <w:jc w:val="right"/>
              <w:rPr>
                <w:sz w:val="21"/>
              </w:rPr>
            </w:pPr>
            <w:r>
              <w:rPr>
                <w:sz w:val="21"/>
              </w:rPr>
              <w:t>1.91</w:t>
            </w:r>
          </w:p>
        </w:tc>
      </w:tr>
      <w:tr>
        <w:trPr>
          <w:trHeight w:val="414" w:hRule="atLeast"/>
        </w:trPr>
        <w:tc>
          <w:tcPr>
            <w:tcW w:w="710" w:type="dxa"/>
          </w:tcPr>
          <w:p>
            <w:pPr>
              <w:pStyle w:val="TableParagraph"/>
              <w:spacing w:before="139"/>
              <w:ind w:left="261"/>
              <w:rPr>
                <w:sz w:val="21"/>
              </w:rPr>
            </w:pPr>
            <w:r>
              <w:rPr>
                <w:w w:val="100"/>
                <w:sz w:val="21"/>
              </w:rPr>
              <w:t>M</w:t>
            </w:r>
          </w:p>
        </w:tc>
        <w:tc>
          <w:tcPr>
            <w:tcW w:w="3521" w:type="dxa"/>
          </w:tcPr>
          <w:p>
            <w:pPr>
              <w:pStyle w:val="TableParagraph"/>
              <w:spacing w:before="126"/>
              <w:ind w:left="14"/>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4"/>
              <w:ind w:right="-15"/>
              <w:jc w:val="right"/>
              <w:rPr>
                <w:sz w:val="21"/>
              </w:rPr>
            </w:pPr>
            <w:r>
              <w:rPr>
                <w:sz w:val="21"/>
              </w:rPr>
              <w:t>30,394,140.30</w:t>
            </w:r>
          </w:p>
        </w:tc>
        <w:tc>
          <w:tcPr>
            <w:tcW w:w="2076" w:type="dxa"/>
          </w:tcPr>
          <w:p>
            <w:pPr>
              <w:pStyle w:val="TableParagraph"/>
              <w:spacing w:before="94"/>
              <w:jc w:val="right"/>
              <w:rPr>
                <w:sz w:val="21"/>
              </w:rPr>
            </w:pPr>
            <w:r>
              <w:rPr>
                <w:sz w:val="21"/>
              </w:rPr>
              <w:t>1.52</w:t>
            </w:r>
          </w:p>
        </w:tc>
      </w:tr>
      <w:tr>
        <w:trPr>
          <w:trHeight w:val="417" w:hRule="atLeast"/>
        </w:trPr>
        <w:tc>
          <w:tcPr>
            <w:tcW w:w="710" w:type="dxa"/>
          </w:tcPr>
          <w:p>
            <w:pPr>
              <w:pStyle w:val="TableParagraph"/>
              <w:spacing w:before="139"/>
              <w:ind w:left="280"/>
              <w:rPr>
                <w:sz w:val="21"/>
              </w:rPr>
            </w:pPr>
            <w:r>
              <w:rPr>
                <w:w w:val="100"/>
                <w:sz w:val="21"/>
              </w:rPr>
              <w:t>N</w:t>
            </w:r>
          </w:p>
        </w:tc>
        <w:tc>
          <w:tcPr>
            <w:tcW w:w="3521" w:type="dxa"/>
          </w:tcPr>
          <w:p>
            <w:pPr>
              <w:pStyle w:val="TableParagraph"/>
              <w:spacing w:before="126"/>
              <w:ind w:left="14"/>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137"/>
              <w:ind w:left="280"/>
              <w:rPr>
                <w:sz w:val="21"/>
              </w:rPr>
            </w:pPr>
            <w:r>
              <w:rPr>
                <w:w w:val="100"/>
                <w:sz w:val="21"/>
              </w:rPr>
              <w:t>O</w:t>
            </w:r>
          </w:p>
        </w:tc>
        <w:tc>
          <w:tcPr>
            <w:tcW w:w="3521" w:type="dxa"/>
          </w:tcPr>
          <w:p>
            <w:pPr>
              <w:pStyle w:val="TableParagraph"/>
              <w:spacing w:before="123"/>
              <w:ind w:left="14"/>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4" w:hRule="atLeast"/>
        </w:trPr>
        <w:tc>
          <w:tcPr>
            <w:tcW w:w="710" w:type="dxa"/>
          </w:tcPr>
          <w:p>
            <w:pPr>
              <w:pStyle w:val="TableParagraph"/>
              <w:spacing w:before="137"/>
              <w:ind w:left="297"/>
              <w:rPr>
                <w:sz w:val="21"/>
              </w:rPr>
            </w:pPr>
            <w:r>
              <w:rPr>
                <w:w w:val="100"/>
                <w:sz w:val="21"/>
              </w:rPr>
              <w:t>P</w:t>
            </w:r>
          </w:p>
        </w:tc>
        <w:tc>
          <w:tcPr>
            <w:tcW w:w="3521" w:type="dxa"/>
          </w:tcPr>
          <w:p>
            <w:pPr>
              <w:pStyle w:val="TableParagraph"/>
              <w:spacing w:before="123"/>
              <w:ind w:left="14"/>
              <w:rPr>
                <w:rFonts w:ascii="宋体" w:eastAsia="宋体" w:hint="eastAsia"/>
                <w:sz w:val="21"/>
              </w:rPr>
            </w:pPr>
            <w:r>
              <w:rPr>
                <w:rFonts w:ascii="宋体" w:eastAsia="宋体" w:hint="eastAsia"/>
                <w:sz w:val="21"/>
              </w:rPr>
              <w:t>教育</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5" w:hRule="atLeast"/>
        </w:trPr>
        <w:tc>
          <w:tcPr>
            <w:tcW w:w="710" w:type="dxa"/>
          </w:tcPr>
          <w:p>
            <w:pPr>
              <w:pStyle w:val="TableParagraph"/>
              <w:spacing w:before="138"/>
              <w:ind w:left="280"/>
              <w:rPr>
                <w:sz w:val="21"/>
              </w:rPr>
            </w:pPr>
            <w:r>
              <w:rPr>
                <w:w w:val="100"/>
                <w:sz w:val="21"/>
              </w:rPr>
              <w:t>Q</w:t>
            </w:r>
          </w:p>
        </w:tc>
        <w:tc>
          <w:tcPr>
            <w:tcW w:w="3521" w:type="dxa"/>
          </w:tcPr>
          <w:p>
            <w:pPr>
              <w:pStyle w:val="TableParagraph"/>
              <w:spacing w:before="124"/>
              <w:ind w:left="14"/>
              <w:rPr>
                <w:rFonts w:ascii="宋体" w:eastAsia="宋体" w:hint="eastAsia"/>
                <w:sz w:val="21"/>
              </w:rPr>
            </w:pPr>
            <w:r>
              <w:rPr>
                <w:rFonts w:ascii="宋体" w:eastAsia="宋体" w:hint="eastAsia"/>
                <w:sz w:val="21"/>
              </w:rPr>
              <w:t>卫生和社会工作</w:t>
            </w:r>
          </w:p>
        </w:tc>
        <w:tc>
          <w:tcPr>
            <w:tcW w:w="2009" w:type="dxa"/>
          </w:tcPr>
          <w:p>
            <w:pPr>
              <w:pStyle w:val="TableParagraph"/>
              <w:spacing w:before="92"/>
              <w:ind w:right="-15"/>
              <w:jc w:val="right"/>
              <w:rPr>
                <w:sz w:val="21"/>
              </w:rPr>
            </w:pPr>
            <w:r>
              <w:rPr>
                <w:sz w:val="21"/>
              </w:rPr>
              <w:t>33,344,740.00</w:t>
            </w:r>
          </w:p>
        </w:tc>
        <w:tc>
          <w:tcPr>
            <w:tcW w:w="2076" w:type="dxa"/>
          </w:tcPr>
          <w:p>
            <w:pPr>
              <w:pStyle w:val="TableParagraph"/>
              <w:spacing w:before="92"/>
              <w:jc w:val="right"/>
              <w:rPr>
                <w:sz w:val="21"/>
              </w:rPr>
            </w:pPr>
            <w:r>
              <w:rPr>
                <w:sz w:val="21"/>
              </w:rPr>
              <w:t>1.66</w:t>
            </w:r>
          </w:p>
        </w:tc>
      </w:tr>
      <w:tr>
        <w:trPr>
          <w:trHeight w:val="414" w:hRule="atLeast"/>
        </w:trPr>
        <w:tc>
          <w:tcPr>
            <w:tcW w:w="710" w:type="dxa"/>
          </w:tcPr>
          <w:p>
            <w:pPr>
              <w:pStyle w:val="TableParagraph"/>
              <w:spacing w:before="137"/>
              <w:ind w:left="285"/>
              <w:rPr>
                <w:sz w:val="21"/>
              </w:rPr>
            </w:pPr>
            <w:r>
              <w:rPr>
                <w:w w:val="100"/>
                <w:sz w:val="21"/>
              </w:rPr>
              <w:t>R</w:t>
            </w:r>
          </w:p>
        </w:tc>
        <w:tc>
          <w:tcPr>
            <w:tcW w:w="3521" w:type="dxa"/>
          </w:tcPr>
          <w:p>
            <w:pPr>
              <w:pStyle w:val="TableParagraph"/>
              <w:spacing w:before="123"/>
              <w:ind w:left="14"/>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4" w:hRule="atLeast"/>
        </w:trPr>
        <w:tc>
          <w:tcPr>
            <w:tcW w:w="710" w:type="dxa"/>
          </w:tcPr>
          <w:p>
            <w:pPr>
              <w:pStyle w:val="TableParagraph"/>
              <w:spacing w:before="137"/>
              <w:ind w:left="297"/>
              <w:rPr>
                <w:sz w:val="21"/>
              </w:rPr>
            </w:pPr>
            <w:r>
              <w:rPr>
                <w:w w:val="100"/>
                <w:sz w:val="21"/>
              </w:rPr>
              <w:t>S</w:t>
            </w:r>
          </w:p>
        </w:tc>
        <w:tc>
          <w:tcPr>
            <w:tcW w:w="3521" w:type="dxa"/>
          </w:tcPr>
          <w:p>
            <w:pPr>
              <w:pStyle w:val="TableParagraph"/>
              <w:spacing w:before="123"/>
              <w:ind w:left="14"/>
              <w:rPr>
                <w:rFonts w:ascii="宋体" w:eastAsia="宋体" w:hint="eastAsia"/>
                <w:sz w:val="21"/>
              </w:rPr>
            </w:pPr>
            <w:r>
              <w:rPr>
                <w:rFonts w:ascii="宋体" w:eastAsia="宋体" w:hint="eastAsia"/>
                <w:sz w:val="21"/>
              </w:rPr>
              <w:t>综合</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0"/>
              <w:rPr>
                <w:sz w:val="20"/>
              </w:rPr>
            </w:pPr>
          </w:p>
        </w:tc>
        <w:tc>
          <w:tcPr>
            <w:tcW w:w="3521" w:type="dxa"/>
          </w:tcPr>
          <w:p>
            <w:pPr>
              <w:pStyle w:val="TableParagraph"/>
              <w:spacing w:before="123"/>
              <w:ind w:left="14"/>
              <w:rPr>
                <w:rFonts w:ascii="宋体" w:eastAsia="宋体" w:hint="eastAsia"/>
                <w:sz w:val="21"/>
              </w:rPr>
            </w:pPr>
            <w:r>
              <w:rPr>
                <w:rFonts w:ascii="宋体" w:eastAsia="宋体" w:hint="eastAsia"/>
                <w:sz w:val="21"/>
              </w:rPr>
              <w:t>合计</w:t>
            </w:r>
          </w:p>
        </w:tc>
        <w:tc>
          <w:tcPr>
            <w:tcW w:w="2009" w:type="dxa"/>
          </w:tcPr>
          <w:p>
            <w:pPr>
              <w:pStyle w:val="TableParagraph"/>
              <w:spacing w:before="94"/>
              <w:ind w:right="-15"/>
              <w:jc w:val="right"/>
              <w:rPr>
                <w:sz w:val="21"/>
              </w:rPr>
            </w:pPr>
            <w:r>
              <w:rPr>
                <w:sz w:val="21"/>
              </w:rPr>
              <w:t>1,837,271,894.29</w:t>
            </w:r>
          </w:p>
        </w:tc>
        <w:tc>
          <w:tcPr>
            <w:tcW w:w="2076" w:type="dxa"/>
          </w:tcPr>
          <w:p>
            <w:pPr>
              <w:pStyle w:val="TableParagraph"/>
              <w:spacing w:before="94"/>
              <w:jc w:val="right"/>
              <w:rPr>
                <w:sz w:val="21"/>
              </w:rPr>
            </w:pPr>
            <w:r>
              <w:rPr>
                <w:sz w:val="21"/>
              </w:rPr>
              <w:t>91.72</w:t>
            </w:r>
          </w:p>
        </w:tc>
      </w:tr>
    </w:tbl>
    <w:p>
      <w:pPr>
        <w:pStyle w:val="ListParagraph"/>
        <w:numPr>
          <w:ilvl w:val="1"/>
          <w:numId w:val="26"/>
        </w:numPr>
        <w:tabs>
          <w:tab w:pos="910" w:val="left" w:leader="none"/>
        </w:tabs>
        <w:spacing w:line="240" w:lineRule="auto" w:before="109" w:after="0"/>
        <w:ind w:left="91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7"/>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rPr>
                <w:rFonts w:ascii="宋体"/>
                <w:sz w:val="28"/>
              </w:rPr>
            </w:pPr>
          </w:p>
          <w:p>
            <w:pPr>
              <w:pStyle w:val="TableParagraph"/>
              <w:spacing w:before="0"/>
              <w:ind w:left="111" w:right="85"/>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rPr>
                <w:rFonts w:ascii="宋体"/>
                <w:sz w:val="28"/>
              </w:rPr>
            </w:pPr>
          </w:p>
          <w:p>
            <w:pPr>
              <w:pStyle w:val="TableParagraph"/>
              <w:spacing w:before="0"/>
              <w:ind w:left="410" w:right="381"/>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rPr>
                <w:rFonts w:ascii="宋体"/>
                <w:sz w:val="28"/>
              </w:rPr>
            </w:pPr>
          </w:p>
          <w:p>
            <w:pPr>
              <w:pStyle w:val="TableParagraph"/>
              <w:spacing w:before="0"/>
              <w:ind w:left="261"/>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rPr>
                <w:rFonts w:ascii="宋体"/>
                <w:sz w:val="28"/>
              </w:rPr>
            </w:pPr>
          </w:p>
          <w:p>
            <w:pPr>
              <w:pStyle w:val="TableParagraph"/>
              <w:spacing w:before="0"/>
              <w:ind w:left="333"/>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1"/>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4" w:hRule="atLeast"/>
        </w:trPr>
        <w:tc>
          <w:tcPr>
            <w:tcW w:w="708" w:type="dxa"/>
          </w:tcPr>
          <w:p>
            <w:pPr>
              <w:pStyle w:val="TableParagraph"/>
              <w:spacing w:before="37"/>
              <w:ind w:left="7"/>
              <w:jc w:val="center"/>
              <w:rPr>
                <w:sz w:val="21"/>
              </w:rPr>
            </w:pPr>
            <w:r>
              <w:rPr>
                <w:w w:val="100"/>
                <w:sz w:val="21"/>
              </w:rPr>
              <w:t>1</w:t>
            </w:r>
          </w:p>
        </w:tc>
        <w:tc>
          <w:tcPr>
            <w:tcW w:w="1277" w:type="dxa"/>
          </w:tcPr>
          <w:p>
            <w:pPr>
              <w:pStyle w:val="TableParagraph"/>
              <w:spacing w:before="37"/>
              <w:ind w:left="108" w:right="99"/>
              <w:jc w:val="center"/>
              <w:rPr>
                <w:sz w:val="21"/>
              </w:rPr>
            </w:pPr>
            <w:r>
              <w:rPr>
                <w:sz w:val="21"/>
              </w:rPr>
              <w:t>002399</w:t>
            </w:r>
          </w:p>
        </w:tc>
        <w:tc>
          <w:tcPr>
            <w:tcW w:w="1702" w:type="dxa"/>
          </w:tcPr>
          <w:p>
            <w:pPr>
              <w:pStyle w:val="TableParagraph"/>
              <w:spacing w:before="25"/>
              <w:ind w:left="403" w:right="391"/>
              <w:jc w:val="center"/>
              <w:rPr>
                <w:rFonts w:ascii="宋体" w:eastAsia="宋体" w:hint="eastAsia"/>
                <w:sz w:val="21"/>
              </w:rPr>
            </w:pPr>
            <w:r>
              <w:rPr>
                <w:rFonts w:ascii="宋体" w:eastAsia="宋体" w:hint="eastAsia"/>
                <w:sz w:val="21"/>
              </w:rPr>
              <w:t>海普瑞</w:t>
            </w:r>
          </w:p>
        </w:tc>
        <w:tc>
          <w:tcPr>
            <w:tcW w:w="1277" w:type="dxa"/>
          </w:tcPr>
          <w:p>
            <w:pPr>
              <w:pStyle w:val="TableParagraph"/>
              <w:spacing w:before="37"/>
              <w:ind w:right="94"/>
              <w:jc w:val="right"/>
              <w:rPr>
                <w:sz w:val="21"/>
              </w:rPr>
            </w:pPr>
            <w:r>
              <w:rPr>
                <w:sz w:val="21"/>
              </w:rPr>
              <w:t>6,247,987</w:t>
            </w:r>
          </w:p>
        </w:tc>
        <w:tc>
          <w:tcPr>
            <w:tcW w:w="1841" w:type="dxa"/>
          </w:tcPr>
          <w:p>
            <w:pPr>
              <w:pStyle w:val="TableParagraph"/>
              <w:spacing w:before="37"/>
              <w:ind w:right="91"/>
              <w:jc w:val="right"/>
              <w:rPr>
                <w:sz w:val="21"/>
              </w:rPr>
            </w:pPr>
            <w:r>
              <w:rPr>
                <w:sz w:val="21"/>
              </w:rPr>
              <w:t>156,449,594.48</w:t>
            </w:r>
          </w:p>
        </w:tc>
        <w:tc>
          <w:tcPr>
            <w:tcW w:w="1561" w:type="dxa"/>
          </w:tcPr>
          <w:p>
            <w:pPr>
              <w:pStyle w:val="TableParagraph"/>
              <w:spacing w:before="37"/>
              <w:ind w:right="94"/>
              <w:jc w:val="right"/>
              <w:rPr>
                <w:sz w:val="21"/>
              </w:rPr>
            </w:pPr>
            <w:r>
              <w:rPr>
                <w:sz w:val="21"/>
              </w:rPr>
              <w:t>7.81</w:t>
            </w:r>
          </w:p>
        </w:tc>
      </w:tr>
      <w:tr>
        <w:trPr>
          <w:trHeight w:val="311" w:hRule="atLeast"/>
        </w:trPr>
        <w:tc>
          <w:tcPr>
            <w:tcW w:w="708" w:type="dxa"/>
          </w:tcPr>
          <w:p>
            <w:pPr>
              <w:pStyle w:val="TableParagraph"/>
              <w:ind w:left="7"/>
              <w:jc w:val="center"/>
              <w:rPr>
                <w:sz w:val="21"/>
              </w:rPr>
            </w:pPr>
            <w:r>
              <w:rPr>
                <w:w w:val="100"/>
                <w:sz w:val="21"/>
              </w:rPr>
              <w:t>2</w:t>
            </w:r>
          </w:p>
        </w:tc>
        <w:tc>
          <w:tcPr>
            <w:tcW w:w="1277" w:type="dxa"/>
          </w:tcPr>
          <w:p>
            <w:pPr>
              <w:pStyle w:val="TableParagraph"/>
              <w:ind w:left="108" w:right="99"/>
              <w:jc w:val="center"/>
              <w:rPr>
                <w:sz w:val="21"/>
              </w:rPr>
            </w:pPr>
            <w:r>
              <w:rPr>
                <w:sz w:val="21"/>
              </w:rPr>
              <w:t>300003</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乐普医疗</w:t>
            </w:r>
          </w:p>
        </w:tc>
        <w:tc>
          <w:tcPr>
            <w:tcW w:w="1277" w:type="dxa"/>
          </w:tcPr>
          <w:p>
            <w:pPr>
              <w:pStyle w:val="TableParagraph"/>
              <w:ind w:right="94"/>
              <w:jc w:val="right"/>
              <w:rPr>
                <w:sz w:val="21"/>
              </w:rPr>
            </w:pPr>
            <w:r>
              <w:rPr>
                <w:sz w:val="21"/>
              </w:rPr>
              <w:t>4,113,041</w:t>
            </w:r>
          </w:p>
        </w:tc>
        <w:tc>
          <w:tcPr>
            <w:tcW w:w="1841" w:type="dxa"/>
          </w:tcPr>
          <w:p>
            <w:pPr>
              <w:pStyle w:val="TableParagraph"/>
              <w:ind w:right="91"/>
              <w:jc w:val="right"/>
              <w:rPr>
                <w:sz w:val="21"/>
              </w:rPr>
            </w:pPr>
            <w:r>
              <w:rPr>
                <w:sz w:val="21"/>
              </w:rPr>
              <w:t>150,208,257.32</w:t>
            </w:r>
          </w:p>
        </w:tc>
        <w:tc>
          <w:tcPr>
            <w:tcW w:w="1561" w:type="dxa"/>
          </w:tcPr>
          <w:p>
            <w:pPr>
              <w:pStyle w:val="TableParagraph"/>
              <w:ind w:right="94"/>
              <w:jc w:val="right"/>
              <w:rPr>
                <w:sz w:val="21"/>
              </w:rPr>
            </w:pPr>
            <w:r>
              <w:rPr>
                <w:sz w:val="21"/>
              </w:rPr>
              <w:t>7.50</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08" w:right="99"/>
              <w:jc w:val="center"/>
              <w:rPr>
                <w:sz w:val="21"/>
              </w:rPr>
            </w:pPr>
            <w:r>
              <w:rPr>
                <w:sz w:val="21"/>
              </w:rPr>
              <w:t>600998</w:t>
            </w:r>
          </w:p>
        </w:tc>
        <w:tc>
          <w:tcPr>
            <w:tcW w:w="1702" w:type="dxa"/>
          </w:tcPr>
          <w:p>
            <w:pPr>
              <w:pStyle w:val="TableParagraph"/>
              <w:spacing w:before="22"/>
              <w:ind w:left="403" w:right="391"/>
              <w:jc w:val="center"/>
              <w:rPr>
                <w:rFonts w:ascii="宋体" w:eastAsia="宋体" w:hint="eastAsia"/>
                <w:sz w:val="21"/>
              </w:rPr>
            </w:pPr>
            <w:r>
              <w:rPr>
                <w:rFonts w:ascii="宋体" w:eastAsia="宋体" w:hint="eastAsia"/>
                <w:sz w:val="21"/>
              </w:rPr>
              <w:t>九州通</w:t>
            </w:r>
          </w:p>
        </w:tc>
        <w:tc>
          <w:tcPr>
            <w:tcW w:w="1277" w:type="dxa"/>
          </w:tcPr>
          <w:p>
            <w:pPr>
              <w:pStyle w:val="TableParagraph"/>
              <w:ind w:right="94"/>
              <w:jc w:val="right"/>
              <w:rPr>
                <w:sz w:val="21"/>
              </w:rPr>
            </w:pPr>
            <w:r>
              <w:rPr>
                <w:sz w:val="21"/>
              </w:rPr>
              <w:t>7,894,011</w:t>
            </w:r>
          </w:p>
        </w:tc>
        <w:tc>
          <w:tcPr>
            <w:tcW w:w="1841" w:type="dxa"/>
          </w:tcPr>
          <w:p>
            <w:pPr>
              <w:pStyle w:val="TableParagraph"/>
              <w:ind w:right="91"/>
              <w:jc w:val="right"/>
              <w:rPr>
                <w:sz w:val="21"/>
              </w:rPr>
            </w:pPr>
            <w:r>
              <w:rPr>
                <w:sz w:val="21"/>
              </w:rPr>
              <w:t>146,986,484.82</w:t>
            </w:r>
          </w:p>
        </w:tc>
        <w:tc>
          <w:tcPr>
            <w:tcW w:w="1561" w:type="dxa"/>
          </w:tcPr>
          <w:p>
            <w:pPr>
              <w:pStyle w:val="TableParagraph"/>
              <w:ind w:right="94"/>
              <w:jc w:val="right"/>
              <w:rPr>
                <w:sz w:val="21"/>
              </w:rPr>
            </w:pPr>
            <w:r>
              <w:rPr>
                <w:sz w:val="21"/>
              </w:rPr>
              <w:t>7.34</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108" w:right="99"/>
              <w:jc w:val="center"/>
              <w:rPr>
                <w:sz w:val="21"/>
              </w:rPr>
            </w:pPr>
            <w:r>
              <w:rPr>
                <w:sz w:val="21"/>
              </w:rPr>
              <w:t>300573</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兴齐眼药</w:t>
            </w:r>
          </w:p>
        </w:tc>
        <w:tc>
          <w:tcPr>
            <w:tcW w:w="1277" w:type="dxa"/>
          </w:tcPr>
          <w:p>
            <w:pPr>
              <w:pStyle w:val="TableParagraph"/>
              <w:ind w:right="94"/>
              <w:jc w:val="right"/>
              <w:rPr>
                <w:sz w:val="21"/>
              </w:rPr>
            </w:pPr>
            <w:r>
              <w:rPr>
                <w:sz w:val="21"/>
              </w:rPr>
              <w:t>987,831</w:t>
            </w:r>
          </w:p>
        </w:tc>
        <w:tc>
          <w:tcPr>
            <w:tcW w:w="1841" w:type="dxa"/>
          </w:tcPr>
          <w:p>
            <w:pPr>
              <w:pStyle w:val="TableParagraph"/>
              <w:ind w:right="91"/>
              <w:jc w:val="right"/>
              <w:rPr>
                <w:sz w:val="21"/>
              </w:rPr>
            </w:pPr>
            <w:r>
              <w:rPr>
                <w:sz w:val="21"/>
              </w:rPr>
              <w:t>143,235,495.00</w:t>
            </w:r>
          </w:p>
        </w:tc>
        <w:tc>
          <w:tcPr>
            <w:tcW w:w="1561" w:type="dxa"/>
          </w:tcPr>
          <w:p>
            <w:pPr>
              <w:pStyle w:val="TableParagraph"/>
              <w:ind w:right="94"/>
              <w:jc w:val="right"/>
              <w:rPr>
                <w:sz w:val="21"/>
              </w:rPr>
            </w:pPr>
            <w:r>
              <w:rPr>
                <w:sz w:val="21"/>
              </w:rPr>
              <w:t>7.15</w:t>
            </w:r>
          </w:p>
        </w:tc>
      </w:tr>
      <w:tr>
        <w:trPr>
          <w:trHeight w:val="311" w:hRule="atLeast"/>
        </w:trPr>
        <w:tc>
          <w:tcPr>
            <w:tcW w:w="708" w:type="dxa"/>
          </w:tcPr>
          <w:p>
            <w:pPr>
              <w:pStyle w:val="TableParagraph"/>
              <w:ind w:left="7"/>
              <w:jc w:val="center"/>
              <w:rPr>
                <w:sz w:val="21"/>
              </w:rPr>
            </w:pPr>
            <w:r>
              <w:rPr>
                <w:w w:val="100"/>
                <w:sz w:val="21"/>
              </w:rPr>
              <w:t>5</w:t>
            </w:r>
          </w:p>
        </w:tc>
        <w:tc>
          <w:tcPr>
            <w:tcW w:w="1277" w:type="dxa"/>
          </w:tcPr>
          <w:p>
            <w:pPr>
              <w:pStyle w:val="TableParagraph"/>
              <w:ind w:left="108" w:right="99"/>
              <w:jc w:val="center"/>
              <w:rPr>
                <w:sz w:val="21"/>
              </w:rPr>
            </w:pPr>
            <w:r>
              <w:rPr>
                <w:sz w:val="21"/>
              </w:rPr>
              <w:t>603456</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九洲药业</w:t>
            </w:r>
          </w:p>
        </w:tc>
        <w:tc>
          <w:tcPr>
            <w:tcW w:w="1277" w:type="dxa"/>
          </w:tcPr>
          <w:p>
            <w:pPr>
              <w:pStyle w:val="TableParagraph"/>
              <w:ind w:right="94"/>
              <w:jc w:val="right"/>
              <w:rPr>
                <w:sz w:val="21"/>
              </w:rPr>
            </w:pPr>
            <w:r>
              <w:rPr>
                <w:sz w:val="21"/>
              </w:rPr>
              <w:t>5,054,860</w:t>
            </w:r>
          </w:p>
        </w:tc>
        <w:tc>
          <w:tcPr>
            <w:tcW w:w="1841" w:type="dxa"/>
          </w:tcPr>
          <w:p>
            <w:pPr>
              <w:pStyle w:val="TableParagraph"/>
              <w:ind w:right="91"/>
              <w:jc w:val="right"/>
              <w:rPr>
                <w:sz w:val="21"/>
              </w:rPr>
            </w:pPr>
            <w:r>
              <w:rPr>
                <w:sz w:val="21"/>
              </w:rPr>
              <w:t>135,436,706.00</w:t>
            </w:r>
          </w:p>
        </w:tc>
        <w:tc>
          <w:tcPr>
            <w:tcW w:w="1561" w:type="dxa"/>
          </w:tcPr>
          <w:p>
            <w:pPr>
              <w:pStyle w:val="TableParagraph"/>
              <w:ind w:right="94"/>
              <w:jc w:val="right"/>
              <w:rPr>
                <w:sz w:val="21"/>
              </w:rPr>
            </w:pPr>
            <w:r>
              <w:rPr>
                <w:sz w:val="21"/>
              </w:rPr>
              <w:t>6.76</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108" w:right="99"/>
              <w:jc w:val="center"/>
              <w:rPr>
                <w:sz w:val="21"/>
              </w:rPr>
            </w:pPr>
            <w:r>
              <w:rPr>
                <w:sz w:val="21"/>
              </w:rPr>
              <w:t>300253</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卫宁健康</w:t>
            </w:r>
          </w:p>
        </w:tc>
        <w:tc>
          <w:tcPr>
            <w:tcW w:w="1277" w:type="dxa"/>
          </w:tcPr>
          <w:p>
            <w:pPr>
              <w:pStyle w:val="TableParagraph"/>
              <w:ind w:right="94"/>
              <w:jc w:val="right"/>
              <w:rPr>
                <w:sz w:val="21"/>
              </w:rPr>
            </w:pPr>
            <w:r>
              <w:rPr>
                <w:sz w:val="21"/>
              </w:rPr>
              <w:t>4,544,151</w:t>
            </w:r>
          </w:p>
        </w:tc>
        <w:tc>
          <w:tcPr>
            <w:tcW w:w="1841" w:type="dxa"/>
          </w:tcPr>
          <w:p>
            <w:pPr>
              <w:pStyle w:val="TableParagraph"/>
              <w:ind w:right="91"/>
              <w:jc w:val="right"/>
              <w:rPr>
                <w:sz w:val="21"/>
              </w:rPr>
            </w:pPr>
            <w:r>
              <w:rPr>
                <w:sz w:val="21"/>
              </w:rPr>
              <w:t>104,242,823.94</w:t>
            </w:r>
          </w:p>
        </w:tc>
        <w:tc>
          <w:tcPr>
            <w:tcW w:w="1561" w:type="dxa"/>
          </w:tcPr>
          <w:p>
            <w:pPr>
              <w:pStyle w:val="TableParagraph"/>
              <w:ind w:right="94"/>
              <w:jc w:val="right"/>
              <w:rPr>
                <w:sz w:val="21"/>
              </w:rPr>
            </w:pPr>
            <w:r>
              <w:rPr>
                <w:sz w:val="21"/>
              </w:rPr>
              <w:t>5.20</w:t>
            </w:r>
          </w:p>
        </w:tc>
      </w:tr>
      <w:tr>
        <w:trPr>
          <w:trHeight w:val="313" w:hRule="atLeast"/>
        </w:trPr>
        <w:tc>
          <w:tcPr>
            <w:tcW w:w="708" w:type="dxa"/>
          </w:tcPr>
          <w:p>
            <w:pPr>
              <w:pStyle w:val="TableParagraph"/>
              <w:spacing w:before="36"/>
              <w:ind w:left="7"/>
              <w:jc w:val="center"/>
              <w:rPr>
                <w:sz w:val="21"/>
              </w:rPr>
            </w:pPr>
            <w:r>
              <w:rPr>
                <w:w w:val="100"/>
                <w:sz w:val="21"/>
              </w:rPr>
              <w:t>7</w:t>
            </w:r>
          </w:p>
        </w:tc>
        <w:tc>
          <w:tcPr>
            <w:tcW w:w="1277" w:type="dxa"/>
          </w:tcPr>
          <w:p>
            <w:pPr>
              <w:pStyle w:val="TableParagraph"/>
              <w:spacing w:before="36"/>
              <w:ind w:left="108" w:right="99"/>
              <w:jc w:val="center"/>
              <w:rPr>
                <w:sz w:val="21"/>
              </w:rPr>
            </w:pPr>
            <w:r>
              <w:rPr>
                <w:sz w:val="21"/>
              </w:rPr>
              <w:t>300677</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英科医疗</w:t>
            </w:r>
          </w:p>
        </w:tc>
        <w:tc>
          <w:tcPr>
            <w:tcW w:w="1277" w:type="dxa"/>
          </w:tcPr>
          <w:p>
            <w:pPr>
              <w:pStyle w:val="TableParagraph"/>
              <w:spacing w:before="36"/>
              <w:ind w:right="94"/>
              <w:jc w:val="right"/>
              <w:rPr>
                <w:sz w:val="21"/>
              </w:rPr>
            </w:pPr>
            <w:r>
              <w:rPr>
                <w:sz w:val="21"/>
              </w:rPr>
              <w:t>789,700</w:t>
            </w:r>
          </w:p>
        </w:tc>
        <w:tc>
          <w:tcPr>
            <w:tcW w:w="1841" w:type="dxa"/>
          </w:tcPr>
          <w:p>
            <w:pPr>
              <w:pStyle w:val="TableParagraph"/>
              <w:spacing w:before="36"/>
              <w:ind w:right="91"/>
              <w:jc w:val="right"/>
              <w:rPr>
                <w:sz w:val="21"/>
              </w:rPr>
            </w:pPr>
            <w:r>
              <w:rPr>
                <w:sz w:val="21"/>
              </w:rPr>
              <w:t>100,923,660.00</w:t>
            </w:r>
          </w:p>
        </w:tc>
        <w:tc>
          <w:tcPr>
            <w:tcW w:w="1561" w:type="dxa"/>
          </w:tcPr>
          <w:p>
            <w:pPr>
              <w:pStyle w:val="TableParagraph"/>
              <w:spacing w:before="36"/>
              <w:ind w:right="94"/>
              <w:jc w:val="right"/>
              <w:rPr>
                <w:sz w:val="21"/>
              </w:rPr>
            </w:pPr>
            <w:r>
              <w:rPr>
                <w:sz w:val="21"/>
              </w:rPr>
              <w:t>5.04</w:t>
            </w:r>
          </w:p>
        </w:tc>
      </w:tr>
      <w:tr>
        <w:trPr>
          <w:trHeight w:val="311" w:hRule="atLeast"/>
        </w:trPr>
        <w:tc>
          <w:tcPr>
            <w:tcW w:w="708" w:type="dxa"/>
          </w:tcPr>
          <w:p>
            <w:pPr>
              <w:pStyle w:val="TableParagraph"/>
              <w:ind w:left="7"/>
              <w:jc w:val="center"/>
              <w:rPr>
                <w:sz w:val="21"/>
              </w:rPr>
            </w:pPr>
            <w:r>
              <w:rPr>
                <w:w w:val="100"/>
                <w:sz w:val="21"/>
              </w:rPr>
              <w:t>8</w:t>
            </w:r>
          </w:p>
        </w:tc>
        <w:tc>
          <w:tcPr>
            <w:tcW w:w="1277" w:type="dxa"/>
          </w:tcPr>
          <w:p>
            <w:pPr>
              <w:pStyle w:val="TableParagraph"/>
              <w:ind w:left="108" w:right="99"/>
              <w:jc w:val="center"/>
              <w:rPr>
                <w:sz w:val="21"/>
              </w:rPr>
            </w:pPr>
            <w:r>
              <w:rPr>
                <w:sz w:val="21"/>
              </w:rPr>
              <w:t>300451</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创业慧康</w:t>
            </w:r>
          </w:p>
        </w:tc>
        <w:tc>
          <w:tcPr>
            <w:tcW w:w="1277" w:type="dxa"/>
          </w:tcPr>
          <w:p>
            <w:pPr>
              <w:pStyle w:val="TableParagraph"/>
              <w:ind w:right="94"/>
              <w:jc w:val="right"/>
              <w:rPr>
                <w:sz w:val="21"/>
              </w:rPr>
            </w:pPr>
            <w:r>
              <w:rPr>
                <w:sz w:val="21"/>
              </w:rPr>
              <w:t>5,333,908</w:t>
            </w:r>
          </w:p>
        </w:tc>
        <w:tc>
          <w:tcPr>
            <w:tcW w:w="1841" w:type="dxa"/>
          </w:tcPr>
          <w:p>
            <w:pPr>
              <w:pStyle w:val="TableParagraph"/>
              <w:ind w:right="91"/>
              <w:jc w:val="right"/>
              <w:rPr>
                <w:sz w:val="21"/>
              </w:rPr>
            </w:pPr>
            <w:r>
              <w:rPr>
                <w:sz w:val="21"/>
              </w:rPr>
              <w:t>98,623,958.92</w:t>
            </w:r>
          </w:p>
        </w:tc>
        <w:tc>
          <w:tcPr>
            <w:tcW w:w="1561" w:type="dxa"/>
          </w:tcPr>
          <w:p>
            <w:pPr>
              <w:pStyle w:val="TableParagraph"/>
              <w:ind w:right="94"/>
              <w:jc w:val="right"/>
              <w:rPr>
                <w:sz w:val="21"/>
              </w:rPr>
            </w:pPr>
            <w:r>
              <w:rPr>
                <w:sz w:val="21"/>
              </w:rPr>
              <w:t>4.92</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108" w:right="99"/>
              <w:jc w:val="center"/>
              <w:rPr>
                <w:sz w:val="21"/>
              </w:rPr>
            </w:pPr>
            <w:r>
              <w:rPr>
                <w:sz w:val="21"/>
              </w:rPr>
              <w:t>300142</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沃森生物</w:t>
            </w:r>
          </w:p>
        </w:tc>
        <w:tc>
          <w:tcPr>
            <w:tcW w:w="1277" w:type="dxa"/>
          </w:tcPr>
          <w:p>
            <w:pPr>
              <w:pStyle w:val="TableParagraph"/>
              <w:ind w:right="94"/>
              <w:jc w:val="right"/>
              <w:rPr>
                <w:sz w:val="21"/>
              </w:rPr>
            </w:pPr>
            <w:r>
              <w:rPr>
                <w:sz w:val="21"/>
              </w:rPr>
              <w:t>1,825,607</w:t>
            </w:r>
          </w:p>
        </w:tc>
        <w:tc>
          <w:tcPr>
            <w:tcW w:w="1841" w:type="dxa"/>
          </w:tcPr>
          <w:p>
            <w:pPr>
              <w:pStyle w:val="TableParagraph"/>
              <w:ind w:right="91"/>
              <w:jc w:val="right"/>
              <w:rPr>
                <w:sz w:val="21"/>
              </w:rPr>
            </w:pPr>
            <w:r>
              <w:rPr>
                <w:sz w:val="21"/>
              </w:rPr>
              <w:t>95,588,782.52</w:t>
            </w:r>
          </w:p>
        </w:tc>
        <w:tc>
          <w:tcPr>
            <w:tcW w:w="1561" w:type="dxa"/>
          </w:tcPr>
          <w:p>
            <w:pPr>
              <w:pStyle w:val="TableParagraph"/>
              <w:ind w:right="94"/>
              <w:jc w:val="right"/>
              <w:rPr>
                <w:sz w:val="21"/>
              </w:rPr>
            </w:pPr>
            <w:r>
              <w:rPr>
                <w:sz w:val="21"/>
              </w:rPr>
              <w:t>4.77</w:t>
            </w:r>
          </w:p>
        </w:tc>
      </w:tr>
      <w:tr>
        <w:trPr>
          <w:trHeight w:val="311" w:hRule="atLeast"/>
        </w:trPr>
        <w:tc>
          <w:tcPr>
            <w:tcW w:w="708" w:type="dxa"/>
          </w:tcPr>
          <w:p>
            <w:pPr>
              <w:pStyle w:val="TableParagraph"/>
              <w:ind w:left="113" w:right="106"/>
              <w:jc w:val="center"/>
              <w:rPr>
                <w:sz w:val="21"/>
              </w:rPr>
            </w:pPr>
            <w:r>
              <w:rPr>
                <w:sz w:val="21"/>
              </w:rPr>
              <w:t>10</w:t>
            </w:r>
          </w:p>
        </w:tc>
        <w:tc>
          <w:tcPr>
            <w:tcW w:w="1277" w:type="dxa"/>
          </w:tcPr>
          <w:p>
            <w:pPr>
              <w:pStyle w:val="TableParagraph"/>
              <w:ind w:left="108" w:right="99"/>
              <w:jc w:val="center"/>
              <w:rPr>
                <w:sz w:val="21"/>
              </w:rPr>
            </w:pPr>
            <w:r>
              <w:rPr>
                <w:sz w:val="21"/>
              </w:rPr>
              <w:t>002777</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久远银海</w:t>
            </w:r>
          </w:p>
        </w:tc>
        <w:tc>
          <w:tcPr>
            <w:tcW w:w="1277" w:type="dxa"/>
          </w:tcPr>
          <w:p>
            <w:pPr>
              <w:pStyle w:val="TableParagraph"/>
              <w:ind w:right="94"/>
              <w:jc w:val="right"/>
              <w:rPr>
                <w:sz w:val="21"/>
              </w:rPr>
            </w:pPr>
            <w:r>
              <w:rPr>
                <w:sz w:val="21"/>
              </w:rPr>
              <w:t>2,319,465</w:t>
            </w:r>
          </w:p>
        </w:tc>
        <w:tc>
          <w:tcPr>
            <w:tcW w:w="1841" w:type="dxa"/>
          </w:tcPr>
          <w:p>
            <w:pPr>
              <w:pStyle w:val="TableParagraph"/>
              <w:ind w:right="91"/>
              <w:jc w:val="right"/>
              <w:rPr>
                <w:sz w:val="21"/>
              </w:rPr>
            </w:pPr>
            <w:r>
              <w:rPr>
                <w:sz w:val="21"/>
              </w:rPr>
              <w:t>70,534,930.65</w:t>
            </w:r>
          </w:p>
        </w:tc>
        <w:tc>
          <w:tcPr>
            <w:tcW w:w="1561" w:type="dxa"/>
          </w:tcPr>
          <w:p>
            <w:pPr>
              <w:pStyle w:val="TableParagraph"/>
              <w:ind w:right="94"/>
              <w:jc w:val="right"/>
              <w:rPr>
                <w:sz w:val="21"/>
              </w:rPr>
            </w:pPr>
            <w:r>
              <w:rPr>
                <w:sz w:val="21"/>
              </w:rPr>
              <w:t>3.52</w:t>
            </w:r>
          </w:p>
        </w:tc>
      </w:tr>
    </w:tbl>
    <w:p>
      <w:pPr>
        <w:pStyle w:val="ListParagraph"/>
        <w:numPr>
          <w:ilvl w:val="1"/>
          <w:numId w:val="26"/>
        </w:numPr>
        <w:tabs>
          <w:tab w:pos="910" w:val="left" w:leader="none"/>
        </w:tabs>
        <w:spacing w:line="417" w:lineRule="auto" w:before="100" w:after="0"/>
        <w:ind w:left="960" w:right="4471" w:hanging="420"/>
        <w:jc w:val="left"/>
        <w:rPr>
          <w:rFonts w:ascii="Times New Roman" w:eastAsia="Times New Roman"/>
          <w:sz w:val="21"/>
        </w:rPr>
      </w:pPr>
      <w:r>
        <w:rPr>
          <w:spacing w:val="-4"/>
          <w:sz w:val="21"/>
        </w:rPr>
        <w:t>报告期末按债券品种分类的债券投资组合</w:t>
      </w:r>
      <w:r>
        <w:rPr>
          <w:spacing w:val="-3"/>
          <w:sz w:val="21"/>
        </w:rPr>
        <w:t>本基金本报告期末未持有债券。</w:t>
      </w:r>
    </w:p>
    <w:p>
      <w:pPr>
        <w:pStyle w:val="ListParagraph"/>
        <w:numPr>
          <w:ilvl w:val="1"/>
          <w:numId w:val="26"/>
        </w:numPr>
        <w:tabs>
          <w:tab w:pos="910" w:val="left" w:leader="none"/>
        </w:tabs>
        <w:spacing w:line="417" w:lineRule="auto" w:before="0" w:after="0"/>
        <w:ind w:left="960" w:right="1530" w:hanging="420"/>
        <w:jc w:val="left"/>
        <w:rPr>
          <w:rFonts w:ascii="Times New Roman" w:eastAsia="Times New Roman"/>
          <w:sz w:val="21"/>
        </w:rPr>
      </w:pPr>
      <w:r>
        <w:rPr>
          <w:spacing w:val="-3"/>
          <w:sz w:val="21"/>
        </w:rPr>
        <w:t>报告期末按公允价值占基金资产净值比例大小排序的前五名债券投资明细本基金本报告期末未持有债券。</w:t>
      </w:r>
    </w:p>
    <w:p>
      <w:pPr>
        <w:pStyle w:val="ListParagraph"/>
        <w:numPr>
          <w:ilvl w:val="1"/>
          <w:numId w:val="26"/>
        </w:numPr>
        <w:tabs>
          <w:tab w:pos="910" w:val="left" w:leader="none"/>
        </w:tabs>
        <w:spacing w:line="417" w:lineRule="auto" w:before="0" w:after="0"/>
        <w:ind w:left="960" w:right="68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6"/>
        </w:numPr>
        <w:tabs>
          <w:tab w:pos="910" w:val="left" w:leader="none"/>
        </w:tabs>
        <w:spacing w:line="417" w:lineRule="auto" w:before="0" w:after="0"/>
        <w:ind w:left="960" w:right="131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spacing w:after="0" w:line="417" w:lineRule="auto"/>
        <w:jc w:val="left"/>
        <w:rPr>
          <w:rFonts w:ascii="Times New Roman" w:eastAsia="Times New Roman"/>
          <w:sz w:val="21"/>
        </w:rPr>
        <w:sectPr>
          <w:pgSz w:w="11910" w:h="16840"/>
          <w:pgMar w:header="877" w:footer="995" w:top="1420" w:bottom="1180" w:left="1260" w:right="1480"/>
        </w:sectPr>
      </w:pPr>
    </w:p>
    <w:p>
      <w:pPr>
        <w:pStyle w:val="ListParagraph"/>
        <w:numPr>
          <w:ilvl w:val="1"/>
          <w:numId w:val="26"/>
        </w:numPr>
        <w:tabs>
          <w:tab w:pos="858" w:val="left" w:leader="none"/>
        </w:tabs>
        <w:spacing w:line="417" w:lineRule="auto" w:before="110" w:after="0"/>
        <w:ind w:left="960" w:right="158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6"/>
        </w:numPr>
        <w:tabs>
          <w:tab w:pos="858" w:val="left" w:leader="none"/>
        </w:tabs>
        <w:spacing w:line="269" w:lineRule="exact" w:before="0" w:after="0"/>
        <w:ind w:left="85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6"/>
        </w:numPr>
        <w:tabs>
          <w:tab w:pos="1014" w:val="left" w:leader="none"/>
        </w:tabs>
        <w:spacing w:line="417" w:lineRule="auto" w:before="0" w:after="0"/>
        <w:ind w:left="960" w:right="3739" w:hanging="420"/>
        <w:jc w:val="left"/>
        <w:rPr>
          <w:sz w:val="21"/>
        </w:rPr>
      </w:pPr>
      <w:r>
        <w:rPr>
          <w:spacing w:val="-3"/>
          <w:sz w:val="21"/>
        </w:rPr>
        <w:t>报告期末本基金投资的股指期货持仓和损益明细本基金本报告期末无股指期货投资。</w:t>
      </w:r>
    </w:p>
    <w:p>
      <w:pPr>
        <w:pStyle w:val="ListParagraph"/>
        <w:numPr>
          <w:ilvl w:val="2"/>
          <w:numId w:val="26"/>
        </w:numPr>
        <w:tabs>
          <w:tab w:pos="1014" w:val="left" w:leader="none"/>
        </w:tabs>
        <w:spacing w:line="269" w:lineRule="exact" w:before="0" w:after="0"/>
        <w:ind w:left="1013" w:right="0" w:hanging="474"/>
        <w:jc w:val="left"/>
        <w:rPr>
          <w:sz w:val="21"/>
        </w:rPr>
      </w:pPr>
      <w:r>
        <w:rPr>
          <w:spacing w:val="-3"/>
          <w:sz w:val="21"/>
        </w:rPr>
        <w:t>本基金投资股指期货的投资政策</w:t>
      </w:r>
    </w:p>
    <w:p>
      <w:pPr>
        <w:pStyle w:val="BodyText"/>
        <w:spacing w:before="7"/>
        <w:rPr>
          <w:sz w:val="15"/>
        </w:rPr>
      </w:pPr>
    </w:p>
    <w:p>
      <w:pPr>
        <w:pStyle w:val="BodyText"/>
        <w:ind w:left="960"/>
      </w:pPr>
      <w:r>
        <w:rPr/>
        <w:t>本基金本报告期末无股指期货投资。</w:t>
      </w:r>
    </w:p>
    <w:p>
      <w:pPr>
        <w:pStyle w:val="BodyText"/>
        <w:spacing w:before="7"/>
        <w:rPr>
          <w:sz w:val="15"/>
        </w:rPr>
      </w:pPr>
    </w:p>
    <w:p>
      <w:pPr>
        <w:pStyle w:val="ListParagraph"/>
        <w:numPr>
          <w:ilvl w:val="1"/>
          <w:numId w:val="26"/>
        </w:numPr>
        <w:tabs>
          <w:tab w:pos="963" w:val="left" w:leader="none"/>
        </w:tabs>
        <w:spacing w:line="240" w:lineRule="auto" w:before="1" w:after="0"/>
        <w:ind w:left="962" w:right="0" w:hanging="423"/>
        <w:jc w:val="left"/>
        <w:rPr>
          <w:rFonts w:ascii="Times New Roman" w:eastAsia="Times New Roman"/>
          <w:sz w:val="21"/>
        </w:rPr>
      </w:pPr>
      <w:r>
        <w:rPr>
          <w:spacing w:val="-3"/>
          <w:sz w:val="21"/>
        </w:rPr>
        <w:t>报告期末本基金投资的国债期货交易情况说明</w:t>
      </w:r>
    </w:p>
    <w:p>
      <w:pPr>
        <w:pStyle w:val="BodyText"/>
        <w:spacing w:before="6"/>
        <w:rPr>
          <w:sz w:val="15"/>
        </w:rPr>
      </w:pPr>
    </w:p>
    <w:p>
      <w:pPr>
        <w:pStyle w:val="ListParagraph"/>
        <w:numPr>
          <w:ilvl w:val="2"/>
          <w:numId w:val="26"/>
        </w:numPr>
        <w:tabs>
          <w:tab w:pos="1172" w:val="left" w:leader="none"/>
        </w:tabs>
        <w:spacing w:line="240" w:lineRule="auto" w:before="0" w:after="0"/>
        <w:ind w:left="1171" w:right="0" w:hanging="632"/>
        <w:jc w:val="left"/>
        <w:rPr>
          <w:sz w:val="21"/>
        </w:rPr>
      </w:pPr>
      <w:r>
        <w:rPr>
          <w:spacing w:val="-3"/>
          <w:sz w:val="21"/>
        </w:rPr>
        <w:t>本期国债期货投资政策</w:t>
      </w:r>
    </w:p>
    <w:p>
      <w:pPr>
        <w:pStyle w:val="BodyText"/>
        <w:spacing w:before="7"/>
        <w:rPr>
          <w:sz w:val="15"/>
        </w:rPr>
      </w:pPr>
    </w:p>
    <w:p>
      <w:pPr>
        <w:pStyle w:val="BodyText"/>
        <w:ind w:left="960"/>
      </w:pPr>
      <w:r>
        <w:rPr/>
        <w:t>本基金本报告期末无国债期货投资。</w:t>
      </w:r>
    </w:p>
    <w:p>
      <w:pPr>
        <w:pStyle w:val="BodyText"/>
        <w:spacing w:before="7"/>
        <w:rPr>
          <w:sz w:val="15"/>
        </w:rPr>
      </w:pPr>
    </w:p>
    <w:p>
      <w:pPr>
        <w:pStyle w:val="ListParagraph"/>
        <w:numPr>
          <w:ilvl w:val="2"/>
          <w:numId w:val="26"/>
        </w:numPr>
        <w:tabs>
          <w:tab w:pos="1172" w:val="left" w:leader="none"/>
        </w:tabs>
        <w:spacing w:line="417" w:lineRule="auto" w:before="0" w:after="0"/>
        <w:ind w:left="960" w:right="357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6"/>
        </w:numPr>
        <w:tabs>
          <w:tab w:pos="1172" w:val="left" w:leader="none"/>
        </w:tabs>
        <w:spacing w:line="269" w:lineRule="exact" w:before="0" w:after="0"/>
        <w:ind w:left="1171" w:right="0" w:hanging="632"/>
        <w:jc w:val="left"/>
        <w:rPr>
          <w:sz w:val="21"/>
        </w:rPr>
      </w:pPr>
      <w:r>
        <w:rPr>
          <w:spacing w:val="-3"/>
          <w:sz w:val="21"/>
        </w:rPr>
        <w:t>本期国债期货投资评价</w:t>
      </w:r>
    </w:p>
    <w:p>
      <w:pPr>
        <w:pStyle w:val="BodyText"/>
        <w:spacing w:before="6"/>
        <w:rPr>
          <w:sz w:val="15"/>
        </w:rPr>
      </w:pPr>
    </w:p>
    <w:p>
      <w:pPr>
        <w:pStyle w:val="BodyText"/>
        <w:spacing w:before="1"/>
        <w:ind w:left="960"/>
      </w:pPr>
      <w:r>
        <w:rPr/>
        <w:t>本基金本报告期末无国债期货投资。</w:t>
      </w:r>
    </w:p>
    <w:p>
      <w:pPr>
        <w:pStyle w:val="BodyText"/>
        <w:spacing w:before="7"/>
        <w:rPr>
          <w:sz w:val="15"/>
        </w:rPr>
      </w:pPr>
    </w:p>
    <w:p>
      <w:pPr>
        <w:pStyle w:val="ListParagraph"/>
        <w:numPr>
          <w:ilvl w:val="1"/>
          <w:numId w:val="26"/>
        </w:numPr>
        <w:tabs>
          <w:tab w:pos="954" w:val="left" w:leader="none"/>
        </w:tabs>
        <w:spacing w:line="240" w:lineRule="auto" w:before="0" w:after="0"/>
        <w:ind w:left="953" w:right="0" w:hanging="414"/>
        <w:jc w:val="left"/>
        <w:rPr>
          <w:rFonts w:ascii="Times New Roman" w:eastAsia="Times New Roman"/>
          <w:sz w:val="21"/>
        </w:rPr>
      </w:pPr>
      <w:r>
        <w:rPr>
          <w:spacing w:val="-3"/>
          <w:sz w:val="21"/>
        </w:rPr>
        <w:t>投资组合报告附注</w:t>
      </w:r>
    </w:p>
    <w:p>
      <w:pPr>
        <w:pStyle w:val="BodyText"/>
        <w:spacing w:before="6"/>
        <w:rPr>
          <w:sz w:val="15"/>
        </w:rPr>
      </w:pPr>
    </w:p>
    <w:p>
      <w:pPr>
        <w:pStyle w:val="ListParagraph"/>
        <w:numPr>
          <w:ilvl w:val="2"/>
          <w:numId w:val="26"/>
        </w:numPr>
        <w:tabs>
          <w:tab w:pos="1119" w:val="left" w:leader="none"/>
        </w:tabs>
        <w:spacing w:line="417" w:lineRule="auto" w:before="0" w:after="0"/>
        <w:ind w:left="540" w:right="21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6"/>
        </w:numPr>
        <w:tabs>
          <w:tab w:pos="1119" w:val="left" w:leader="none"/>
        </w:tabs>
        <w:spacing w:line="269" w:lineRule="exact" w:before="0" w:after="0"/>
        <w:ind w:left="1118" w:right="0" w:hanging="579"/>
        <w:jc w:val="left"/>
        <w:rPr>
          <w:sz w:val="21"/>
        </w:rPr>
      </w:pPr>
      <w:r>
        <w:rPr>
          <w:spacing w:val="-3"/>
          <w:sz w:val="21"/>
        </w:rPr>
        <w:t>基金投资的前十名股票未超出基金合同规定的备选股票库。</w:t>
      </w:r>
    </w:p>
    <w:p>
      <w:pPr>
        <w:pStyle w:val="BodyText"/>
        <w:spacing w:before="7"/>
        <w:rPr>
          <w:sz w:val="15"/>
        </w:rPr>
      </w:pPr>
    </w:p>
    <w:p>
      <w:pPr>
        <w:pStyle w:val="ListParagraph"/>
        <w:numPr>
          <w:ilvl w:val="2"/>
          <w:numId w:val="26"/>
        </w:numPr>
        <w:tabs>
          <w:tab w:pos="1112" w:val="left" w:leader="none"/>
        </w:tabs>
        <w:spacing w:line="240" w:lineRule="auto" w:before="0" w:after="0"/>
        <w:ind w:left="1111" w:right="0" w:hanging="572"/>
        <w:jc w:val="left"/>
        <w:rPr>
          <w:sz w:val="21"/>
        </w:rPr>
      </w:pPr>
      <w:r>
        <w:rPr>
          <w:spacing w:val="-3"/>
          <w:sz w:val="21"/>
        </w:rPr>
        <w:t>其他资产构成</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1"/>
              <w:ind w:left="122"/>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jc w:val="right"/>
              <w:rPr>
                <w:sz w:val="21"/>
              </w:rPr>
            </w:pPr>
            <w:r>
              <w:rPr>
                <w:sz w:val="21"/>
              </w:rPr>
              <w:t>569,790.23</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3"/>
              <w:jc w:val="right"/>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0"/>
              <w:ind w:left="122"/>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3"/>
              <w:jc w:val="right"/>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1"/>
              <w:jc w:val="right"/>
              <w:rPr>
                <w:sz w:val="21"/>
              </w:rPr>
            </w:pPr>
            <w:r>
              <w:rPr>
                <w:sz w:val="21"/>
              </w:rPr>
              <w:t>20,160.78</w:t>
            </w:r>
          </w:p>
        </w:tc>
      </w:tr>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jc w:val="right"/>
              <w:rPr>
                <w:sz w:val="21"/>
              </w:rPr>
            </w:pPr>
            <w:r>
              <w:rPr>
                <w:sz w:val="21"/>
              </w:rPr>
              <w:t>20,189,091.24</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jc w:val="right"/>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0"/>
              <w:ind w:left="122"/>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jc w:val="right"/>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jc w:val="right"/>
              <w:rPr>
                <w:sz w:val="21"/>
              </w:rPr>
            </w:pPr>
            <w:r>
              <w:rPr>
                <w:w w:val="100"/>
                <w:sz w:val="21"/>
              </w:rPr>
              <w:t>-</w:t>
            </w:r>
          </w:p>
        </w:tc>
      </w:tr>
    </w:tbl>
    <w:p>
      <w:pPr>
        <w:spacing w:after="0"/>
        <w:jc w:val="right"/>
        <w:rPr>
          <w:sz w:val="21"/>
        </w:rPr>
        <w:sectPr>
          <w:pgSz w:w="11910" w:h="16840"/>
          <w:pgMar w:header="877" w:footer="995" w:top="1420" w:bottom="1180" w:left="1260" w:right="148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1"/>
              <w:ind w:left="122"/>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jc w:val="right"/>
              <w:rPr>
                <w:sz w:val="21"/>
              </w:rPr>
            </w:pPr>
            <w:r>
              <w:rPr>
                <w:sz w:val="21"/>
              </w:rPr>
              <w:t>20,779,042.25</w:t>
            </w:r>
          </w:p>
        </w:tc>
      </w:tr>
    </w:tbl>
    <w:p>
      <w:pPr>
        <w:pStyle w:val="ListParagraph"/>
        <w:numPr>
          <w:ilvl w:val="2"/>
          <w:numId w:val="26"/>
        </w:numPr>
        <w:tabs>
          <w:tab w:pos="1112" w:val="left" w:leader="none"/>
        </w:tabs>
        <w:spacing w:line="240" w:lineRule="auto" w:before="109" w:after="0"/>
        <w:ind w:left="111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960"/>
      </w:pPr>
      <w:r>
        <w:rPr/>
        <w:t>本基金本报告期末未持有处于转股期的可转换债券。</w:t>
      </w:r>
    </w:p>
    <w:p>
      <w:pPr>
        <w:pStyle w:val="BodyText"/>
        <w:spacing w:before="7"/>
        <w:rPr>
          <w:sz w:val="15"/>
        </w:rPr>
      </w:pPr>
    </w:p>
    <w:p>
      <w:pPr>
        <w:pStyle w:val="ListParagraph"/>
        <w:numPr>
          <w:ilvl w:val="2"/>
          <w:numId w:val="26"/>
        </w:numPr>
        <w:tabs>
          <w:tab w:pos="1112" w:val="left" w:leader="none"/>
        </w:tabs>
        <w:spacing w:line="240" w:lineRule="auto" w:before="0" w:after="0"/>
        <w:ind w:left="1111" w:right="0" w:hanging="572"/>
        <w:jc w:val="left"/>
        <w:rPr>
          <w:sz w:val="21"/>
        </w:rPr>
      </w:pPr>
      <w:r>
        <w:rPr>
          <w:spacing w:val="-3"/>
          <w:sz w:val="21"/>
        </w:rPr>
        <w:t>报告期末前十名股票中存在流通受限情况的说明</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1301"/>
        <w:gridCol w:w="1300"/>
        <w:gridCol w:w="1804"/>
        <w:gridCol w:w="1655"/>
        <w:gridCol w:w="1310"/>
      </w:tblGrid>
      <w:tr>
        <w:trPr>
          <w:trHeight w:val="966" w:hRule="atLeast"/>
        </w:trPr>
        <w:tc>
          <w:tcPr>
            <w:tcW w:w="991" w:type="dxa"/>
          </w:tcPr>
          <w:p>
            <w:pPr>
              <w:pStyle w:val="TableParagraph"/>
              <w:spacing w:before="7"/>
              <w:rPr>
                <w:rFonts w:ascii="宋体"/>
                <w:sz w:val="28"/>
              </w:rPr>
            </w:pPr>
          </w:p>
          <w:p>
            <w:pPr>
              <w:pStyle w:val="TableParagraph"/>
              <w:spacing w:before="0"/>
              <w:ind w:left="273" w:right="247"/>
              <w:jc w:val="center"/>
              <w:rPr>
                <w:rFonts w:ascii="宋体" w:eastAsia="宋体" w:hint="eastAsia"/>
                <w:sz w:val="21"/>
              </w:rPr>
            </w:pPr>
            <w:r>
              <w:rPr>
                <w:rFonts w:ascii="宋体" w:eastAsia="宋体" w:hint="eastAsia"/>
                <w:sz w:val="21"/>
              </w:rPr>
              <w:t>序号</w:t>
            </w:r>
          </w:p>
        </w:tc>
        <w:tc>
          <w:tcPr>
            <w:tcW w:w="1301" w:type="dxa"/>
          </w:tcPr>
          <w:p>
            <w:pPr>
              <w:pStyle w:val="TableParagraph"/>
              <w:spacing w:before="7"/>
              <w:rPr>
                <w:rFonts w:ascii="宋体"/>
                <w:sz w:val="28"/>
              </w:rPr>
            </w:pPr>
          </w:p>
          <w:p>
            <w:pPr>
              <w:pStyle w:val="TableParagraph"/>
              <w:spacing w:before="0"/>
              <w:ind w:left="218" w:right="192"/>
              <w:jc w:val="center"/>
              <w:rPr>
                <w:rFonts w:ascii="宋体" w:eastAsia="宋体" w:hint="eastAsia"/>
                <w:sz w:val="21"/>
              </w:rPr>
            </w:pPr>
            <w:r>
              <w:rPr>
                <w:rFonts w:ascii="宋体" w:eastAsia="宋体" w:hint="eastAsia"/>
                <w:sz w:val="21"/>
              </w:rPr>
              <w:t>股票代码</w:t>
            </w:r>
          </w:p>
        </w:tc>
        <w:tc>
          <w:tcPr>
            <w:tcW w:w="1300" w:type="dxa"/>
          </w:tcPr>
          <w:p>
            <w:pPr>
              <w:pStyle w:val="TableParagraph"/>
              <w:spacing w:before="7"/>
              <w:rPr>
                <w:rFonts w:ascii="宋体"/>
                <w:sz w:val="28"/>
              </w:rPr>
            </w:pPr>
          </w:p>
          <w:p>
            <w:pPr>
              <w:pStyle w:val="TableParagraph"/>
              <w:spacing w:before="0"/>
              <w:ind w:right="207"/>
              <w:jc w:val="right"/>
              <w:rPr>
                <w:rFonts w:ascii="宋体" w:eastAsia="宋体" w:hint="eastAsia"/>
                <w:sz w:val="21"/>
              </w:rPr>
            </w:pPr>
            <w:r>
              <w:rPr>
                <w:rFonts w:ascii="宋体" w:eastAsia="宋体" w:hint="eastAsia"/>
                <w:sz w:val="21"/>
              </w:rPr>
              <w:t>股票名称</w:t>
            </w:r>
          </w:p>
        </w:tc>
        <w:tc>
          <w:tcPr>
            <w:tcW w:w="1804" w:type="dxa"/>
          </w:tcPr>
          <w:p>
            <w:pPr>
              <w:pStyle w:val="TableParagraph"/>
              <w:spacing w:before="133"/>
              <w:ind w:left="158" w:right="126"/>
              <w:jc w:val="center"/>
              <w:rPr>
                <w:rFonts w:ascii="宋体" w:eastAsia="宋体" w:hint="eastAsia"/>
                <w:sz w:val="21"/>
              </w:rPr>
            </w:pPr>
            <w:r>
              <w:rPr>
                <w:rFonts w:ascii="宋体" w:eastAsia="宋体" w:hint="eastAsia"/>
                <w:sz w:val="21"/>
              </w:rPr>
              <w:t>流通受限部分的</w:t>
            </w:r>
          </w:p>
          <w:p>
            <w:pPr>
              <w:pStyle w:val="TableParagraph"/>
              <w:spacing w:before="4"/>
              <w:rPr>
                <w:rFonts w:ascii="宋体"/>
                <w:sz w:val="15"/>
              </w:rPr>
            </w:pPr>
          </w:p>
          <w:p>
            <w:pPr>
              <w:pStyle w:val="TableParagraph"/>
              <w:spacing w:before="0"/>
              <w:ind w:left="156" w:right="126"/>
              <w:jc w:val="center"/>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655" w:type="dxa"/>
          </w:tcPr>
          <w:p>
            <w:pPr>
              <w:pStyle w:val="TableParagraph"/>
              <w:spacing w:before="133"/>
              <w:ind w:left="189" w:right="155"/>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0"/>
              <w:ind w:left="187" w:right="155"/>
              <w:jc w:val="center"/>
              <w:rPr>
                <w:sz w:val="21"/>
              </w:rPr>
            </w:pPr>
            <w:r>
              <w:rPr>
                <w:rFonts w:ascii="宋体" w:eastAsia="宋体" w:hint="eastAsia"/>
                <w:sz w:val="21"/>
              </w:rPr>
              <w:t>值比例</w:t>
            </w:r>
            <w:r>
              <w:rPr>
                <w:sz w:val="21"/>
              </w:rPr>
              <w:t>(%)</w:t>
            </w:r>
          </w:p>
        </w:tc>
        <w:tc>
          <w:tcPr>
            <w:tcW w:w="1310" w:type="dxa"/>
          </w:tcPr>
          <w:p>
            <w:pPr>
              <w:pStyle w:val="TableParagraph"/>
              <w:spacing w:before="133"/>
              <w:ind w:left="122" w:right="87"/>
              <w:jc w:val="center"/>
              <w:rPr>
                <w:rFonts w:ascii="宋体" w:eastAsia="宋体" w:hint="eastAsia"/>
                <w:sz w:val="21"/>
              </w:rPr>
            </w:pPr>
            <w:r>
              <w:rPr>
                <w:rFonts w:ascii="宋体" w:eastAsia="宋体" w:hint="eastAsia"/>
                <w:sz w:val="21"/>
              </w:rPr>
              <w:t>流通受限情</w:t>
            </w:r>
          </w:p>
          <w:p>
            <w:pPr>
              <w:pStyle w:val="TableParagraph"/>
              <w:spacing w:before="4"/>
              <w:rPr>
                <w:rFonts w:ascii="宋体"/>
                <w:sz w:val="15"/>
              </w:rPr>
            </w:pPr>
          </w:p>
          <w:p>
            <w:pPr>
              <w:pStyle w:val="TableParagraph"/>
              <w:spacing w:before="0"/>
              <w:ind w:left="122" w:right="85"/>
              <w:jc w:val="center"/>
              <w:rPr>
                <w:rFonts w:ascii="宋体" w:eastAsia="宋体" w:hint="eastAsia"/>
                <w:sz w:val="21"/>
              </w:rPr>
            </w:pPr>
            <w:r>
              <w:rPr>
                <w:rFonts w:ascii="宋体" w:eastAsia="宋体" w:hint="eastAsia"/>
                <w:sz w:val="21"/>
              </w:rPr>
              <w:t>况说明</w:t>
            </w:r>
          </w:p>
        </w:tc>
      </w:tr>
      <w:tr>
        <w:trPr>
          <w:trHeight w:val="624" w:hRule="atLeast"/>
        </w:trPr>
        <w:tc>
          <w:tcPr>
            <w:tcW w:w="991" w:type="dxa"/>
          </w:tcPr>
          <w:p>
            <w:pPr>
              <w:pStyle w:val="TableParagraph"/>
              <w:spacing w:before="190"/>
              <w:ind w:left="7"/>
              <w:jc w:val="center"/>
              <w:rPr>
                <w:sz w:val="21"/>
              </w:rPr>
            </w:pPr>
            <w:r>
              <w:rPr>
                <w:w w:val="100"/>
                <w:sz w:val="21"/>
              </w:rPr>
              <w:t>1</w:t>
            </w:r>
          </w:p>
        </w:tc>
        <w:tc>
          <w:tcPr>
            <w:tcW w:w="1301" w:type="dxa"/>
          </w:tcPr>
          <w:p>
            <w:pPr>
              <w:pStyle w:val="TableParagraph"/>
              <w:spacing w:before="190"/>
              <w:ind w:left="201" w:right="192"/>
              <w:jc w:val="center"/>
              <w:rPr>
                <w:sz w:val="21"/>
              </w:rPr>
            </w:pPr>
            <w:r>
              <w:rPr>
                <w:sz w:val="21"/>
              </w:rPr>
              <w:t>603456</w:t>
            </w:r>
          </w:p>
        </w:tc>
        <w:tc>
          <w:tcPr>
            <w:tcW w:w="1300" w:type="dxa"/>
          </w:tcPr>
          <w:p>
            <w:pPr>
              <w:pStyle w:val="TableParagraph"/>
              <w:spacing w:before="178"/>
              <w:ind w:right="214"/>
              <w:jc w:val="right"/>
              <w:rPr>
                <w:rFonts w:ascii="宋体" w:eastAsia="宋体" w:hint="eastAsia"/>
                <w:sz w:val="21"/>
              </w:rPr>
            </w:pPr>
            <w:r>
              <w:rPr>
                <w:rFonts w:ascii="宋体" w:eastAsia="宋体" w:hint="eastAsia"/>
                <w:sz w:val="21"/>
              </w:rPr>
              <w:t>九洲药业</w:t>
            </w:r>
          </w:p>
        </w:tc>
        <w:tc>
          <w:tcPr>
            <w:tcW w:w="1804" w:type="dxa"/>
          </w:tcPr>
          <w:p>
            <w:pPr>
              <w:pStyle w:val="TableParagraph"/>
              <w:spacing w:before="190"/>
              <w:ind w:left="490"/>
              <w:rPr>
                <w:sz w:val="21"/>
              </w:rPr>
            </w:pPr>
            <w:r>
              <w:rPr>
                <w:sz w:val="21"/>
              </w:rPr>
              <w:t>25,550,000.00</w:t>
            </w:r>
          </w:p>
        </w:tc>
        <w:tc>
          <w:tcPr>
            <w:tcW w:w="1655" w:type="dxa"/>
          </w:tcPr>
          <w:p>
            <w:pPr>
              <w:pStyle w:val="TableParagraph"/>
              <w:spacing w:before="190"/>
              <w:ind w:right="90"/>
              <w:jc w:val="right"/>
              <w:rPr>
                <w:sz w:val="21"/>
              </w:rPr>
            </w:pPr>
            <w:r>
              <w:rPr>
                <w:sz w:val="21"/>
              </w:rPr>
              <w:t>1.28</w:t>
            </w:r>
          </w:p>
        </w:tc>
        <w:tc>
          <w:tcPr>
            <w:tcW w:w="1310" w:type="dxa"/>
          </w:tcPr>
          <w:p>
            <w:pPr>
              <w:pStyle w:val="TableParagraph"/>
              <w:spacing w:before="22"/>
              <w:ind w:right="89"/>
              <w:jc w:val="right"/>
              <w:rPr>
                <w:rFonts w:ascii="宋体" w:eastAsia="宋体" w:hint="eastAsia"/>
                <w:sz w:val="21"/>
              </w:rPr>
            </w:pPr>
            <w:r>
              <w:rPr>
                <w:rFonts w:ascii="宋体" w:eastAsia="宋体" w:hint="eastAsia"/>
                <w:spacing w:val="-1"/>
                <w:sz w:val="21"/>
              </w:rPr>
              <w:t>非公开发行</w:t>
            </w:r>
          </w:p>
          <w:p>
            <w:pPr>
              <w:pStyle w:val="TableParagraph"/>
              <w:spacing w:before="43"/>
              <w:ind w:right="89"/>
              <w:jc w:val="right"/>
              <w:rPr>
                <w:rFonts w:ascii="宋体" w:eastAsia="宋体" w:hint="eastAsia"/>
                <w:sz w:val="21"/>
              </w:rPr>
            </w:pPr>
            <w:r>
              <w:rPr>
                <w:rFonts w:ascii="宋体" w:eastAsia="宋体" w:hint="eastAsia"/>
                <w:spacing w:val="-1"/>
                <w:sz w:val="21"/>
              </w:rPr>
              <w:t>流通受限</w:t>
            </w:r>
          </w:p>
        </w:tc>
      </w:tr>
    </w:tbl>
    <w:p>
      <w:pPr>
        <w:pStyle w:val="ListParagraph"/>
        <w:numPr>
          <w:ilvl w:val="2"/>
          <w:numId w:val="26"/>
        </w:numPr>
        <w:tabs>
          <w:tab w:pos="1112" w:val="left" w:leader="none"/>
        </w:tabs>
        <w:spacing w:line="240" w:lineRule="auto" w:before="100" w:after="0"/>
        <w:ind w:left="1111" w:right="0" w:hanging="572"/>
        <w:jc w:val="left"/>
        <w:rPr>
          <w:sz w:val="21"/>
        </w:rPr>
      </w:pPr>
      <w:r>
        <w:rPr>
          <w:spacing w:val="-3"/>
          <w:sz w:val="21"/>
        </w:rPr>
        <w:t>投资组合报告附注的其他文字描述部分</w:t>
      </w:r>
    </w:p>
    <w:p>
      <w:pPr>
        <w:pStyle w:val="BodyText"/>
        <w:spacing w:before="7"/>
        <w:rPr>
          <w:sz w:val="15"/>
        </w:rPr>
      </w:pPr>
    </w:p>
    <w:p>
      <w:pPr>
        <w:pStyle w:val="BodyText"/>
        <w:ind w:left="960"/>
      </w:pPr>
      <w:r>
        <w:rPr/>
        <w:t>由于四舍五入的原因，分项之和与合计项之间可能存在尾差。</w:t>
      </w:r>
    </w:p>
    <w:p>
      <w:pPr>
        <w:pStyle w:val="BodyText"/>
        <w:rPr>
          <w:sz w:val="20"/>
        </w:rPr>
      </w:pPr>
    </w:p>
    <w:p>
      <w:pPr>
        <w:pStyle w:val="BodyText"/>
        <w:spacing w:before="8"/>
        <w:rPr>
          <w:sz w:val="20"/>
        </w:rPr>
      </w:pPr>
    </w:p>
    <w:p>
      <w:pPr>
        <w:pStyle w:val="Heading1"/>
      </w:pPr>
      <w:bookmarkStart w:name="_bookmark9" w:id="10"/>
      <w:bookmarkEnd w:id="10"/>
      <w:r>
        <w:rPr>
          <w:b w:val="0"/>
        </w:rPr>
      </w:r>
      <w:r>
        <w:rPr/>
        <w:t>十、基金的业绩</w:t>
      </w:r>
    </w:p>
    <w:p>
      <w:pPr>
        <w:pStyle w:val="BodyText"/>
        <w:rPr>
          <w:b/>
          <w:sz w:val="20"/>
        </w:rPr>
      </w:pPr>
    </w:p>
    <w:p>
      <w:pPr>
        <w:pStyle w:val="BodyText"/>
        <w:spacing w:before="8"/>
        <w:rPr>
          <w:b/>
          <w:sz w:val="19"/>
        </w:rPr>
      </w:pPr>
    </w:p>
    <w:p>
      <w:pPr>
        <w:pStyle w:val="BodyText"/>
        <w:spacing w:line="417" w:lineRule="auto" w:before="1"/>
        <w:ind w:left="540" w:right="31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40" w:right="311" w:firstLine="419"/>
      </w:pPr>
      <w:r>
        <w:rPr/>
        <w:pict>
          <v:shape style="position:absolute;margin-left:68.424004pt;margin-top:41.819992pt;width:442.05pt;height:83.8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938" w:hRule="atLeast"/>
                    </w:trPr>
                    <w:tc>
                      <w:tcPr>
                        <w:tcW w:w="1987" w:type="dxa"/>
                      </w:tcPr>
                      <w:p>
                        <w:pPr>
                          <w:pStyle w:val="TableParagraph"/>
                          <w:spacing w:before="3"/>
                          <w:rPr>
                            <w:rFonts w:ascii="宋体"/>
                            <w:sz w:val="26"/>
                          </w:rPr>
                        </w:pPr>
                      </w:p>
                      <w:p>
                        <w:pPr>
                          <w:pStyle w:val="TableParagraph"/>
                          <w:spacing w:before="1"/>
                          <w:ind w:left="763" w:right="754"/>
                          <w:jc w:val="center"/>
                          <w:rPr>
                            <w:rFonts w:ascii="宋体" w:eastAsia="宋体" w:hint="eastAsia"/>
                            <w:sz w:val="21"/>
                          </w:rPr>
                        </w:pPr>
                        <w:r>
                          <w:rPr>
                            <w:rFonts w:ascii="宋体" w:eastAsia="宋体" w:hint="eastAsia"/>
                            <w:sz w:val="21"/>
                          </w:rPr>
                          <w:t>阶段</w:t>
                        </w:r>
                      </w:p>
                    </w:tc>
                    <w:tc>
                      <w:tcPr>
                        <w:tcW w:w="1136" w:type="dxa"/>
                      </w:tcPr>
                      <w:p>
                        <w:pPr>
                          <w:pStyle w:val="TableParagraph"/>
                          <w:spacing w:before="1"/>
                          <w:rPr>
                            <w:rFonts w:ascii="宋体"/>
                            <w:sz w:val="14"/>
                          </w:rPr>
                        </w:pPr>
                      </w:p>
                      <w:p>
                        <w:pPr>
                          <w:pStyle w:val="TableParagraph"/>
                          <w:spacing w:line="278" w:lineRule="auto" w:before="0"/>
                          <w:ind w:left="146" w:right="134" w:firstLine="208"/>
                          <w:rPr>
                            <w:rFonts w:ascii="宋体" w:hAnsi="宋体" w:eastAsia="宋体" w:hint="eastAsia"/>
                            <w:sz w:val="21"/>
                          </w:rPr>
                        </w:pPr>
                        <w:r>
                          <w:rPr>
                            <w:rFonts w:ascii="宋体" w:hAnsi="宋体" w:eastAsia="宋体" w:hint="eastAsia"/>
                            <w:sz w:val="21"/>
                          </w:rPr>
                          <w:t>净 值 增长率①</w:t>
                        </w:r>
                      </w:p>
                    </w:tc>
                    <w:tc>
                      <w:tcPr>
                        <w:tcW w:w="1275" w:type="dxa"/>
                      </w:tcPr>
                      <w:p>
                        <w:pPr>
                          <w:pStyle w:val="TableParagraph"/>
                          <w:spacing w:before="1"/>
                          <w:rPr>
                            <w:rFonts w:ascii="宋体"/>
                            <w:sz w:val="14"/>
                          </w:rPr>
                        </w:pPr>
                      </w:p>
                      <w:p>
                        <w:pPr>
                          <w:pStyle w:val="TableParagraph"/>
                          <w:spacing w:line="278" w:lineRule="auto" w:before="0"/>
                          <w:ind w:left="213" w:right="101" w:hanging="106"/>
                          <w:rPr>
                            <w:rFonts w:ascii="宋体" w:hAnsi="宋体" w:eastAsia="宋体" w:hint="eastAsia"/>
                            <w:sz w:val="21"/>
                          </w:rPr>
                        </w:pPr>
                        <w:r>
                          <w:rPr>
                            <w:rFonts w:ascii="宋体" w:hAnsi="宋体" w:eastAsia="宋体" w:hint="eastAsia"/>
                            <w:sz w:val="21"/>
                          </w:rPr>
                          <w:t>净值增长率标准差②</w:t>
                        </w:r>
                      </w:p>
                    </w:tc>
                    <w:tc>
                      <w:tcPr>
                        <w:tcW w:w="1275" w:type="dxa"/>
                      </w:tcPr>
                      <w:p>
                        <w:pPr>
                          <w:pStyle w:val="TableParagraph"/>
                          <w:spacing w:before="1"/>
                          <w:rPr>
                            <w:rFonts w:ascii="宋体"/>
                            <w:sz w:val="14"/>
                          </w:rPr>
                        </w:pPr>
                      </w:p>
                      <w:p>
                        <w:pPr>
                          <w:pStyle w:val="TableParagraph"/>
                          <w:spacing w:line="278" w:lineRule="auto" w:before="0"/>
                          <w:ind w:left="111" w:right="97"/>
                          <w:rPr>
                            <w:rFonts w:ascii="宋体" w:hAnsi="宋体" w:eastAsia="宋体" w:hint="eastAsia"/>
                            <w:sz w:val="21"/>
                          </w:rPr>
                        </w:pPr>
                        <w:r>
                          <w:rPr>
                            <w:rFonts w:ascii="宋体" w:hAnsi="宋体" w:eastAsia="宋体" w:hint="eastAsia"/>
                            <w:sz w:val="21"/>
                          </w:rPr>
                          <w:t>业绩比较基准收益率③</w:t>
                        </w:r>
                      </w:p>
                    </w:tc>
                    <w:tc>
                      <w:tcPr>
                        <w:tcW w:w="1277" w:type="dxa"/>
                      </w:tcPr>
                      <w:p>
                        <w:pPr>
                          <w:pStyle w:val="TableParagraph"/>
                          <w:spacing w:line="278" w:lineRule="auto" w:before="25"/>
                          <w:ind w:left="111" w:right="99"/>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06" w:right="99"/>
                          <w:jc w:val="center"/>
                          <w:rPr>
                            <w:rFonts w:ascii="宋体" w:hAnsi="宋体" w:eastAsia="宋体" w:hint="eastAsia"/>
                            <w:sz w:val="21"/>
                          </w:rPr>
                        </w:pPr>
                        <w:r>
                          <w:rPr>
                            <w:rFonts w:ascii="宋体" w:hAnsi="宋体" w:eastAsia="宋体" w:hint="eastAsia"/>
                            <w:sz w:val="21"/>
                          </w:rPr>
                          <w:t>准差④</w:t>
                        </w:r>
                      </w:p>
                    </w:tc>
                    <w:tc>
                      <w:tcPr>
                        <w:tcW w:w="992" w:type="dxa"/>
                      </w:tcPr>
                      <w:p>
                        <w:pPr>
                          <w:pStyle w:val="TableParagraph"/>
                          <w:spacing w:before="3"/>
                          <w:rPr>
                            <w:rFonts w:ascii="宋体"/>
                            <w:sz w:val="26"/>
                          </w:rPr>
                        </w:pPr>
                      </w:p>
                      <w:p>
                        <w:pPr>
                          <w:pStyle w:val="TableParagraph"/>
                          <w:spacing w:before="1"/>
                          <w:ind w:left="150" w:right="141"/>
                          <w:jc w:val="center"/>
                          <w:rPr>
                            <w:rFonts w:ascii="宋体" w:hAnsi="宋体" w:eastAsia="宋体" w:hint="eastAsia"/>
                            <w:sz w:val="21"/>
                          </w:rPr>
                        </w:pPr>
                        <w:r>
                          <w:rPr>
                            <w:rFonts w:ascii="宋体" w:hAnsi="宋体" w:eastAsia="宋体" w:hint="eastAsia"/>
                            <w:sz w:val="21"/>
                          </w:rPr>
                          <w:t>①－③</w:t>
                        </w:r>
                      </w:p>
                    </w:tc>
                    <w:tc>
                      <w:tcPr>
                        <w:tcW w:w="886" w:type="dxa"/>
                      </w:tcPr>
                      <w:p>
                        <w:pPr>
                          <w:pStyle w:val="TableParagraph"/>
                          <w:spacing w:before="3"/>
                          <w:rPr>
                            <w:rFonts w:ascii="宋体"/>
                            <w:sz w:val="26"/>
                          </w:rPr>
                        </w:pPr>
                      </w:p>
                      <w:p>
                        <w:pPr>
                          <w:pStyle w:val="TableParagraph"/>
                          <w:spacing w:before="1"/>
                          <w:ind w:right="117"/>
                          <w:jc w:val="right"/>
                          <w:rPr>
                            <w:rFonts w:ascii="宋体" w:hAnsi="宋体" w:eastAsia="宋体" w:hint="eastAsia"/>
                            <w:sz w:val="21"/>
                          </w:rPr>
                        </w:pPr>
                        <w:r>
                          <w:rPr>
                            <w:rFonts w:ascii="宋体" w:hAnsi="宋体" w:eastAsia="宋体" w:hint="eastAsia"/>
                            <w:sz w:val="21"/>
                          </w:rPr>
                          <w:t>②－④</w:t>
                        </w:r>
                      </w:p>
                    </w:tc>
                  </w:tr>
                  <w:tr>
                    <w:trPr>
                      <w:trHeight w:val="707" w:hRule="atLeast"/>
                    </w:trPr>
                    <w:tc>
                      <w:tcPr>
                        <w:tcW w:w="1987" w:type="dxa"/>
                      </w:tcPr>
                      <w:p>
                        <w:pPr>
                          <w:pStyle w:val="TableParagraph"/>
                          <w:spacing w:before="63"/>
                          <w:ind w:left="107"/>
                          <w:rPr>
                            <w:rFonts w:ascii="宋体" w:eastAsia="宋体" w:hint="eastAsia"/>
                            <w:sz w:val="21"/>
                          </w:rPr>
                        </w:pPr>
                        <w:r>
                          <w:rPr>
                            <w:sz w:val="21"/>
                          </w:rPr>
                          <w:t>2016 </w:t>
                        </w:r>
                        <w:r>
                          <w:rPr>
                            <w:rFonts w:ascii="宋体" w:eastAsia="宋体" w:hint="eastAsia"/>
                            <w:sz w:val="21"/>
                          </w:rPr>
                          <w:t>年 </w:t>
                        </w:r>
                        <w:r>
                          <w:rPr>
                            <w:sz w:val="21"/>
                          </w:rPr>
                          <w:t>8 </w:t>
                        </w:r>
                        <w:r>
                          <w:rPr>
                            <w:rFonts w:ascii="宋体" w:eastAsia="宋体" w:hint="eastAsia"/>
                            <w:sz w:val="21"/>
                          </w:rPr>
                          <w:t>月 </w:t>
                        </w:r>
                        <w:r>
                          <w:rPr>
                            <w:sz w:val="21"/>
                          </w:rPr>
                          <w:t>3 </w:t>
                        </w:r>
                        <w:r>
                          <w:rPr>
                            <w:rFonts w:ascii="宋体" w:eastAsia="宋体" w:hint="eastAsia"/>
                            <w:sz w:val="21"/>
                          </w:rPr>
                          <w:t>日至</w:t>
                        </w:r>
                      </w:p>
                      <w:p>
                        <w:pPr>
                          <w:pStyle w:val="TableParagraph"/>
                          <w:spacing w:before="43"/>
                          <w:ind w:left="107"/>
                          <w:rPr>
                            <w:rFonts w:ascii="宋体" w:eastAsia="宋体" w:hint="eastAsia"/>
                            <w:sz w:val="21"/>
                          </w:rPr>
                        </w:pPr>
                        <w:r>
                          <w:rPr>
                            <w:sz w:val="21"/>
                          </w:rPr>
                          <w:t>2016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0"/>
                          <w:rPr>
                            <w:rFonts w:ascii="宋体"/>
                            <w:sz w:val="18"/>
                          </w:rPr>
                        </w:pPr>
                      </w:p>
                      <w:p>
                        <w:pPr>
                          <w:pStyle w:val="TableParagraph"/>
                          <w:spacing w:before="0"/>
                          <w:ind w:left="259"/>
                          <w:rPr>
                            <w:sz w:val="21"/>
                          </w:rPr>
                        </w:pPr>
                        <w:r>
                          <w:rPr>
                            <w:sz w:val="21"/>
                          </w:rPr>
                          <w:t>-0.10%</w:t>
                        </w:r>
                      </w:p>
                    </w:tc>
                    <w:tc>
                      <w:tcPr>
                        <w:tcW w:w="1275" w:type="dxa"/>
                      </w:tcPr>
                      <w:p>
                        <w:pPr>
                          <w:pStyle w:val="TableParagraph"/>
                          <w:spacing w:before="0"/>
                          <w:rPr>
                            <w:rFonts w:ascii="宋体"/>
                            <w:sz w:val="18"/>
                          </w:rPr>
                        </w:pPr>
                      </w:p>
                      <w:p>
                        <w:pPr>
                          <w:pStyle w:val="TableParagraph"/>
                          <w:spacing w:before="0"/>
                          <w:ind w:left="362"/>
                          <w:rPr>
                            <w:sz w:val="21"/>
                          </w:rPr>
                        </w:pPr>
                        <w:r>
                          <w:rPr>
                            <w:sz w:val="21"/>
                          </w:rPr>
                          <w:t>0.33%</w:t>
                        </w:r>
                      </w:p>
                    </w:tc>
                    <w:tc>
                      <w:tcPr>
                        <w:tcW w:w="1275" w:type="dxa"/>
                      </w:tcPr>
                      <w:p>
                        <w:pPr>
                          <w:pStyle w:val="TableParagraph"/>
                          <w:spacing w:before="0"/>
                          <w:rPr>
                            <w:rFonts w:ascii="宋体"/>
                            <w:sz w:val="18"/>
                          </w:rPr>
                        </w:pPr>
                      </w:p>
                      <w:p>
                        <w:pPr>
                          <w:pStyle w:val="TableParagraph"/>
                          <w:spacing w:before="0"/>
                          <w:ind w:left="366"/>
                          <w:rPr>
                            <w:sz w:val="21"/>
                          </w:rPr>
                        </w:pPr>
                        <w:r>
                          <w:rPr>
                            <w:sz w:val="21"/>
                          </w:rPr>
                          <w:t>0.56%</w:t>
                        </w:r>
                      </w:p>
                    </w:tc>
                    <w:tc>
                      <w:tcPr>
                        <w:tcW w:w="1277" w:type="dxa"/>
                      </w:tcPr>
                      <w:p>
                        <w:pPr>
                          <w:pStyle w:val="TableParagraph"/>
                          <w:spacing w:before="0"/>
                          <w:rPr>
                            <w:rFonts w:ascii="宋体"/>
                            <w:sz w:val="18"/>
                          </w:rPr>
                        </w:pPr>
                      </w:p>
                      <w:p>
                        <w:pPr>
                          <w:pStyle w:val="TableParagraph"/>
                          <w:spacing w:before="0"/>
                          <w:ind w:left="366"/>
                          <w:rPr>
                            <w:sz w:val="21"/>
                          </w:rPr>
                        </w:pPr>
                        <w:r>
                          <w:rPr>
                            <w:sz w:val="21"/>
                          </w:rPr>
                          <w:t>0.35%</w:t>
                        </w:r>
                      </w:p>
                    </w:tc>
                    <w:tc>
                      <w:tcPr>
                        <w:tcW w:w="992" w:type="dxa"/>
                      </w:tcPr>
                      <w:p>
                        <w:pPr>
                          <w:pStyle w:val="TableParagraph"/>
                          <w:spacing w:before="0"/>
                          <w:rPr>
                            <w:rFonts w:ascii="宋体"/>
                            <w:sz w:val="18"/>
                          </w:rPr>
                        </w:pPr>
                      </w:p>
                      <w:p>
                        <w:pPr>
                          <w:pStyle w:val="TableParagraph"/>
                          <w:spacing w:before="0"/>
                          <w:ind w:left="150" w:right="143"/>
                          <w:jc w:val="center"/>
                          <w:rPr>
                            <w:sz w:val="21"/>
                          </w:rPr>
                        </w:pPr>
                        <w:r>
                          <w:rPr>
                            <w:sz w:val="21"/>
                          </w:rPr>
                          <w:t>-0.66%</w:t>
                        </w:r>
                      </w:p>
                    </w:tc>
                    <w:tc>
                      <w:tcPr>
                        <w:tcW w:w="886" w:type="dxa"/>
                      </w:tcPr>
                      <w:p>
                        <w:pPr>
                          <w:pStyle w:val="TableParagraph"/>
                          <w:spacing w:before="0"/>
                          <w:rPr>
                            <w:rFonts w:ascii="宋体"/>
                            <w:sz w:val="18"/>
                          </w:rPr>
                        </w:pPr>
                      </w:p>
                      <w:p>
                        <w:pPr>
                          <w:pStyle w:val="TableParagraph"/>
                          <w:spacing w:before="0"/>
                          <w:ind w:right="128"/>
                          <w:jc w:val="right"/>
                          <w:rPr>
                            <w:sz w:val="21"/>
                          </w:rPr>
                        </w:pPr>
                        <w:r>
                          <w:rPr>
                            <w:sz w:val="21"/>
                          </w:rPr>
                          <w:t>-0.02%</w:t>
                        </w:r>
                      </w:p>
                    </w:tc>
                  </w:tr>
                </w:tbl>
                <w:p>
                  <w:pPr>
                    <w:pStyle w:val="BodyText"/>
                  </w:pPr>
                </w:p>
              </w:txbxContent>
            </v:textbox>
            <w10:wrap type="none"/>
          </v:shape>
        </w:pict>
      </w:r>
      <w:r>
        <w:rPr>
          <w:spacing w:val="-7"/>
        </w:rPr>
        <w:t>下述基金业绩指标不包括持有人认购或交易基金的各项费用，计入费用后实际收益水平</w:t>
      </w:r>
      <w:r>
        <w:rPr>
          <w:spacing w:val="-5"/>
        </w:rPr>
        <w:t>要低于所列数字。</w:t>
      </w:r>
    </w:p>
    <w:p>
      <w:pPr>
        <w:spacing w:after="0" w:line="417" w:lineRule="auto"/>
        <w:sectPr>
          <w:pgSz w:w="11910" w:h="16840"/>
          <w:pgMar w:header="877" w:footer="995" w:top="1420" w:bottom="1180" w:left="1260" w:right="148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1176" w:hRule="atLeast"/>
        </w:trPr>
        <w:tc>
          <w:tcPr>
            <w:tcW w:w="1987" w:type="dxa"/>
          </w:tcPr>
          <w:p>
            <w:pPr>
              <w:pStyle w:val="TableParagraph"/>
              <w:spacing w:before="1"/>
              <w:rPr>
                <w:rFonts w:ascii="宋体"/>
                <w:sz w:val="17"/>
              </w:rPr>
            </w:pPr>
          </w:p>
          <w:p>
            <w:pPr>
              <w:pStyle w:val="TableParagraph"/>
              <w:spacing w:before="1"/>
              <w:ind w:left="107"/>
              <w:rPr>
                <w:rFonts w:ascii="宋体" w:eastAsia="宋体" w:hint="eastAsia"/>
                <w:sz w:val="21"/>
              </w:rPr>
            </w:pPr>
            <w:r>
              <w:rPr>
                <w:sz w:val="21"/>
              </w:rPr>
              <w:t>2017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6"/>
              <w:rPr>
                <w:rFonts w:ascii="宋体"/>
                <w:sz w:val="15"/>
              </w:rPr>
            </w:pPr>
          </w:p>
          <w:p>
            <w:pPr>
              <w:pStyle w:val="TableParagraph"/>
              <w:spacing w:before="0"/>
              <w:ind w:left="107"/>
              <w:rPr>
                <w:rFonts w:ascii="宋体" w:eastAsia="宋体" w:hint="eastAsia"/>
                <w:sz w:val="21"/>
              </w:rPr>
            </w:pPr>
            <w:r>
              <w:rPr>
                <w:sz w:val="21"/>
              </w:rPr>
              <w:t>2017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0"/>
              <w:rPr>
                <w:rFonts w:ascii="宋体"/>
                <w:sz w:val="22"/>
              </w:rPr>
            </w:pPr>
          </w:p>
          <w:p>
            <w:pPr>
              <w:pStyle w:val="TableParagraph"/>
              <w:spacing w:before="184"/>
              <w:ind w:left="187" w:right="178"/>
              <w:jc w:val="center"/>
              <w:rPr>
                <w:sz w:val="21"/>
              </w:rPr>
            </w:pPr>
            <w:r>
              <w:rPr>
                <w:sz w:val="21"/>
              </w:rPr>
              <w:t>8.41%</w:t>
            </w:r>
          </w:p>
        </w:tc>
        <w:tc>
          <w:tcPr>
            <w:tcW w:w="1275" w:type="dxa"/>
          </w:tcPr>
          <w:p>
            <w:pPr>
              <w:pStyle w:val="TableParagraph"/>
              <w:spacing w:before="0"/>
              <w:rPr>
                <w:rFonts w:ascii="宋体"/>
                <w:sz w:val="22"/>
              </w:rPr>
            </w:pPr>
          </w:p>
          <w:p>
            <w:pPr>
              <w:pStyle w:val="TableParagraph"/>
              <w:spacing w:before="184"/>
              <w:ind w:right="355"/>
              <w:jc w:val="right"/>
              <w:rPr>
                <w:sz w:val="21"/>
              </w:rPr>
            </w:pPr>
            <w:r>
              <w:rPr>
                <w:sz w:val="21"/>
              </w:rPr>
              <w:t>0.70%</w:t>
            </w:r>
          </w:p>
        </w:tc>
        <w:tc>
          <w:tcPr>
            <w:tcW w:w="1275" w:type="dxa"/>
          </w:tcPr>
          <w:p>
            <w:pPr>
              <w:pStyle w:val="TableParagraph"/>
              <w:spacing w:before="0"/>
              <w:rPr>
                <w:rFonts w:ascii="宋体"/>
                <w:sz w:val="22"/>
              </w:rPr>
            </w:pPr>
          </w:p>
          <w:p>
            <w:pPr>
              <w:pStyle w:val="TableParagraph"/>
              <w:spacing w:before="184"/>
              <w:ind w:left="257" w:right="244"/>
              <w:jc w:val="center"/>
              <w:rPr>
                <w:sz w:val="21"/>
              </w:rPr>
            </w:pPr>
            <w:r>
              <w:rPr>
                <w:sz w:val="21"/>
              </w:rPr>
              <w:t>7.20%</w:t>
            </w:r>
          </w:p>
        </w:tc>
        <w:tc>
          <w:tcPr>
            <w:tcW w:w="1277" w:type="dxa"/>
          </w:tcPr>
          <w:p>
            <w:pPr>
              <w:pStyle w:val="TableParagraph"/>
              <w:spacing w:before="0"/>
              <w:rPr>
                <w:rFonts w:ascii="宋体"/>
                <w:sz w:val="22"/>
              </w:rPr>
            </w:pPr>
          </w:p>
          <w:p>
            <w:pPr>
              <w:pStyle w:val="TableParagraph"/>
              <w:spacing w:before="184"/>
              <w:ind w:left="109" w:right="99"/>
              <w:jc w:val="center"/>
              <w:rPr>
                <w:sz w:val="21"/>
              </w:rPr>
            </w:pPr>
            <w:r>
              <w:rPr>
                <w:sz w:val="21"/>
              </w:rPr>
              <w:t>0.39%</w:t>
            </w:r>
          </w:p>
        </w:tc>
        <w:tc>
          <w:tcPr>
            <w:tcW w:w="992" w:type="dxa"/>
          </w:tcPr>
          <w:p>
            <w:pPr>
              <w:pStyle w:val="TableParagraph"/>
              <w:spacing w:before="0"/>
              <w:rPr>
                <w:rFonts w:ascii="宋体"/>
                <w:sz w:val="22"/>
              </w:rPr>
            </w:pPr>
          </w:p>
          <w:p>
            <w:pPr>
              <w:pStyle w:val="TableParagraph"/>
              <w:spacing w:before="184"/>
              <w:ind w:left="150" w:right="143"/>
              <w:jc w:val="center"/>
              <w:rPr>
                <w:sz w:val="21"/>
              </w:rPr>
            </w:pPr>
            <w:r>
              <w:rPr>
                <w:sz w:val="21"/>
              </w:rPr>
              <w:t>1.21%</w:t>
            </w:r>
          </w:p>
        </w:tc>
        <w:tc>
          <w:tcPr>
            <w:tcW w:w="886" w:type="dxa"/>
          </w:tcPr>
          <w:p>
            <w:pPr>
              <w:pStyle w:val="TableParagraph"/>
              <w:spacing w:before="0"/>
              <w:rPr>
                <w:rFonts w:ascii="宋体"/>
                <w:sz w:val="22"/>
              </w:rPr>
            </w:pPr>
          </w:p>
          <w:p>
            <w:pPr>
              <w:pStyle w:val="TableParagraph"/>
              <w:spacing w:before="184"/>
              <w:ind w:right="159"/>
              <w:jc w:val="right"/>
              <w:rPr>
                <w:sz w:val="21"/>
              </w:rPr>
            </w:pPr>
            <w:r>
              <w:rPr>
                <w:sz w:val="21"/>
              </w:rPr>
              <w:t>0.31%</w:t>
            </w:r>
          </w:p>
        </w:tc>
      </w:tr>
      <w:tr>
        <w:trPr>
          <w:trHeight w:val="1175" w:hRule="atLeast"/>
        </w:trPr>
        <w:tc>
          <w:tcPr>
            <w:tcW w:w="1987" w:type="dxa"/>
          </w:tcPr>
          <w:p>
            <w:pPr>
              <w:pStyle w:val="TableParagraph"/>
              <w:spacing w:before="1"/>
              <w:rPr>
                <w:rFonts w:ascii="宋体"/>
                <w:sz w:val="17"/>
              </w:rPr>
            </w:pPr>
          </w:p>
          <w:p>
            <w:pPr>
              <w:pStyle w:val="TableParagraph"/>
              <w:spacing w:before="0"/>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7"/>
              <w:rPr>
                <w:rFonts w:ascii="宋体"/>
                <w:sz w:val="15"/>
              </w:rPr>
            </w:pPr>
          </w:p>
          <w:p>
            <w:pPr>
              <w:pStyle w:val="TableParagraph"/>
              <w:spacing w:before="0"/>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6" w:type="dxa"/>
          </w:tcPr>
          <w:p>
            <w:pPr>
              <w:pStyle w:val="TableParagraph"/>
              <w:spacing w:before="0"/>
              <w:rPr>
                <w:rFonts w:ascii="宋体"/>
                <w:sz w:val="22"/>
              </w:rPr>
            </w:pPr>
          </w:p>
          <w:p>
            <w:pPr>
              <w:pStyle w:val="TableParagraph"/>
              <w:spacing w:before="184"/>
              <w:ind w:left="187" w:right="180"/>
              <w:jc w:val="center"/>
              <w:rPr>
                <w:sz w:val="21"/>
              </w:rPr>
            </w:pPr>
            <w:r>
              <w:rPr>
                <w:sz w:val="21"/>
              </w:rPr>
              <w:t>-19.11%</w:t>
            </w:r>
          </w:p>
        </w:tc>
        <w:tc>
          <w:tcPr>
            <w:tcW w:w="1275" w:type="dxa"/>
          </w:tcPr>
          <w:p>
            <w:pPr>
              <w:pStyle w:val="TableParagraph"/>
              <w:spacing w:before="0"/>
              <w:rPr>
                <w:rFonts w:ascii="宋体"/>
                <w:sz w:val="22"/>
              </w:rPr>
            </w:pPr>
          </w:p>
          <w:p>
            <w:pPr>
              <w:pStyle w:val="TableParagraph"/>
              <w:spacing w:before="184"/>
              <w:ind w:right="355"/>
              <w:jc w:val="right"/>
              <w:rPr>
                <w:sz w:val="21"/>
              </w:rPr>
            </w:pPr>
            <w:r>
              <w:rPr>
                <w:sz w:val="21"/>
              </w:rPr>
              <w:t>1.61%</w:t>
            </w:r>
          </w:p>
        </w:tc>
        <w:tc>
          <w:tcPr>
            <w:tcW w:w="1275" w:type="dxa"/>
          </w:tcPr>
          <w:p>
            <w:pPr>
              <w:pStyle w:val="TableParagraph"/>
              <w:spacing w:before="0"/>
              <w:rPr>
                <w:rFonts w:ascii="宋体"/>
                <w:sz w:val="22"/>
              </w:rPr>
            </w:pPr>
          </w:p>
          <w:p>
            <w:pPr>
              <w:pStyle w:val="TableParagraph"/>
              <w:spacing w:before="184"/>
              <w:ind w:left="257" w:right="249"/>
              <w:jc w:val="center"/>
              <w:rPr>
                <w:sz w:val="21"/>
              </w:rPr>
            </w:pPr>
            <w:r>
              <w:rPr>
                <w:sz w:val="21"/>
              </w:rPr>
              <w:t>-10.79%</w:t>
            </w:r>
          </w:p>
        </w:tc>
        <w:tc>
          <w:tcPr>
            <w:tcW w:w="1277" w:type="dxa"/>
          </w:tcPr>
          <w:p>
            <w:pPr>
              <w:pStyle w:val="TableParagraph"/>
              <w:spacing w:before="0"/>
              <w:rPr>
                <w:rFonts w:ascii="宋体"/>
                <w:sz w:val="22"/>
              </w:rPr>
            </w:pPr>
          </w:p>
          <w:p>
            <w:pPr>
              <w:pStyle w:val="TableParagraph"/>
              <w:spacing w:before="184"/>
              <w:ind w:left="109" w:right="99"/>
              <w:jc w:val="center"/>
              <w:rPr>
                <w:sz w:val="21"/>
              </w:rPr>
            </w:pPr>
            <w:r>
              <w:rPr>
                <w:sz w:val="21"/>
              </w:rPr>
              <w:t>0.85%</w:t>
            </w:r>
          </w:p>
        </w:tc>
        <w:tc>
          <w:tcPr>
            <w:tcW w:w="992" w:type="dxa"/>
          </w:tcPr>
          <w:p>
            <w:pPr>
              <w:pStyle w:val="TableParagraph"/>
              <w:spacing w:before="0"/>
              <w:rPr>
                <w:rFonts w:ascii="宋体"/>
                <w:sz w:val="22"/>
              </w:rPr>
            </w:pPr>
          </w:p>
          <w:p>
            <w:pPr>
              <w:pStyle w:val="TableParagraph"/>
              <w:spacing w:before="184"/>
              <w:ind w:left="150" w:right="143"/>
              <w:jc w:val="center"/>
              <w:rPr>
                <w:sz w:val="21"/>
              </w:rPr>
            </w:pPr>
            <w:r>
              <w:rPr>
                <w:sz w:val="21"/>
              </w:rPr>
              <w:t>-8.32%</w:t>
            </w:r>
          </w:p>
        </w:tc>
        <w:tc>
          <w:tcPr>
            <w:tcW w:w="886" w:type="dxa"/>
          </w:tcPr>
          <w:p>
            <w:pPr>
              <w:pStyle w:val="TableParagraph"/>
              <w:spacing w:before="0"/>
              <w:rPr>
                <w:rFonts w:ascii="宋体"/>
                <w:sz w:val="22"/>
              </w:rPr>
            </w:pPr>
          </w:p>
          <w:p>
            <w:pPr>
              <w:pStyle w:val="TableParagraph"/>
              <w:spacing w:before="184"/>
              <w:ind w:right="159"/>
              <w:jc w:val="right"/>
              <w:rPr>
                <w:sz w:val="21"/>
              </w:rPr>
            </w:pPr>
            <w:r>
              <w:rPr>
                <w:sz w:val="21"/>
              </w:rPr>
              <w:t>0.76%</w:t>
            </w:r>
          </w:p>
        </w:tc>
      </w:tr>
      <w:tr>
        <w:trPr>
          <w:trHeight w:val="1176" w:hRule="atLeast"/>
        </w:trPr>
        <w:tc>
          <w:tcPr>
            <w:tcW w:w="1987" w:type="dxa"/>
          </w:tcPr>
          <w:p>
            <w:pPr>
              <w:pStyle w:val="TableParagraph"/>
              <w:spacing w:before="1"/>
              <w:rPr>
                <w:rFonts w:ascii="宋体"/>
                <w:sz w:val="17"/>
              </w:rPr>
            </w:pPr>
          </w:p>
          <w:p>
            <w:pPr>
              <w:pStyle w:val="TableParagraph"/>
              <w:spacing w:before="0"/>
              <w:ind w:left="107"/>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7"/>
              <w:rPr>
                <w:rFonts w:ascii="宋体"/>
                <w:sz w:val="15"/>
              </w:rPr>
            </w:pPr>
          </w:p>
          <w:p>
            <w:pPr>
              <w:pStyle w:val="TableParagraph"/>
              <w:spacing w:before="0"/>
              <w:ind w:left="107"/>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6" w:type="dxa"/>
          </w:tcPr>
          <w:p>
            <w:pPr>
              <w:pStyle w:val="TableParagraph"/>
              <w:spacing w:before="0"/>
              <w:rPr>
                <w:rFonts w:ascii="宋体"/>
                <w:sz w:val="22"/>
              </w:rPr>
            </w:pPr>
          </w:p>
          <w:p>
            <w:pPr>
              <w:pStyle w:val="TableParagraph"/>
              <w:spacing w:before="184"/>
              <w:ind w:left="187" w:right="178"/>
              <w:jc w:val="center"/>
              <w:rPr>
                <w:sz w:val="21"/>
              </w:rPr>
            </w:pPr>
            <w:r>
              <w:rPr>
                <w:sz w:val="21"/>
              </w:rPr>
              <w:t>62.79%</w:t>
            </w:r>
          </w:p>
        </w:tc>
        <w:tc>
          <w:tcPr>
            <w:tcW w:w="1275" w:type="dxa"/>
          </w:tcPr>
          <w:p>
            <w:pPr>
              <w:pStyle w:val="TableParagraph"/>
              <w:spacing w:before="0"/>
              <w:rPr>
                <w:rFonts w:ascii="宋体"/>
                <w:sz w:val="22"/>
              </w:rPr>
            </w:pPr>
          </w:p>
          <w:p>
            <w:pPr>
              <w:pStyle w:val="TableParagraph"/>
              <w:spacing w:before="184"/>
              <w:ind w:right="355"/>
              <w:jc w:val="right"/>
              <w:rPr>
                <w:sz w:val="21"/>
              </w:rPr>
            </w:pPr>
            <w:r>
              <w:rPr>
                <w:sz w:val="21"/>
              </w:rPr>
              <w:t>1.41%</w:t>
            </w:r>
          </w:p>
        </w:tc>
        <w:tc>
          <w:tcPr>
            <w:tcW w:w="1275" w:type="dxa"/>
          </w:tcPr>
          <w:p>
            <w:pPr>
              <w:pStyle w:val="TableParagraph"/>
              <w:spacing w:before="0"/>
              <w:rPr>
                <w:rFonts w:ascii="宋体"/>
                <w:sz w:val="22"/>
              </w:rPr>
            </w:pPr>
          </w:p>
          <w:p>
            <w:pPr>
              <w:pStyle w:val="TableParagraph"/>
              <w:spacing w:before="184"/>
              <w:ind w:left="257" w:right="244"/>
              <w:jc w:val="center"/>
              <w:rPr>
                <w:sz w:val="21"/>
              </w:rPr>
            </w:pPr>
            <w:r>
              <w:rPr>
                <w:sz w:val="21"/>
              </w:rPr>
              <w:t>17.22%</w:t>
            </w:r>
          </w:p>
        </w:tc>
        <w:tc>
          <w:tcPr>
            <w:tcW w:w="1277" w:type="dxa"/>
          </w:tcPr>
          <w:p>
            <w:pPr>
              <w:pStyle w:val="TableParagraph"/>
              <w:spacing w:before="0"/>
              <w:rPr>
                <w:rFonts w:ascii="宋体"/>
                <w:sz w:val="22"/>
              </w:rPr>
            </w:pPr>
          </w:p>
          <w:p>
            <w:pPr>
              <w:pStyle w:val="TableParagraph"/>
              <w:spacing w:before="184"/>
              <w:ind w:left="109" w:right="99"/>
              <w:jc w:val="center"/>
              <w:rPr>
                <w:sz w:val="21"/>
              </w:rPr>
            </w:pPr>
            <w:r>
              <w:rPr>
                <w:sz w:val="21"/>
              </w:rPr>
              <w:t>0.71%</w:t>
            </w:r>
          </w:p>
        </w:tc>
        <w:tc>
          <w:tcPr>
            <w:tcW w:w="992" w:type="dxa"/>
          </w:tcPr>
          <w:p>
            <w:pPr>
              <w:pStyle w:val="TableParagraph"/>
              <w:spacing w:before="0"/>
              <w:rPr>
                <w:rFonts w:ascii="宋体"/>
                <w:sz w:val="22"/>
              </w:rPr>
            </w:pPr>
          </w:p>
          <w:p>
            <w:pPr>
              <w:pStyle w:val="TableParagraph"/>
              <w:spacing w:before="184"/>
              <w:ind w:left="150" w:right="143"/>
              <w:jc w:val="center"/>
              <w:rPr>
                <w:sz w:val="21"/>
              </w:rPr>
            </w:pPr>
            <w:r>
              <w:rPr>
                <w:sz w:val="21"/>
              </w:rPr>
              <w:t>45.57%</w:t>
            </w:r>
          </w:p>
        </w:tc>
        <w:tc>
          <w:tcPr>
            <w:tcW w:w="886" w:type="dxa"/>
          </w:tcPr>
          <w:p>
            <w:pPr>
              <w:pStyle w:val="TableParagraph"/>
              <w:spacing w:before="0"/>
              <w:rPr>
                <w:rFonts w:ascii="宋体"/>
                <w:sz w:val="22"/>
              </w:rPr>
            </w:pPr>
          </w:p>
          <w:p>
            <w:pPr>
              <w:pStyle w:val="TableParagraph"/>
              <w:spacing w:before="184"/>
              <w:ind w:right="159"/>
              <w:jc w:val="right"/>
              <w:rPr>
                <w:sz w:val="21"/>
              </w:rPr>
            </w:pPr>
            <w:r>
              <w:rPr>
                <w:sz w:val="21"/>
              </w:rPr>
              <w:t>0.70%</w:t>
            </w:r>
          </w:p>
        </w:tc>
      </w:tr>
      <w:tr>
        <w:trPr>
          <w:trHeight w:val="1177" w:hRule="atLeast"/>
        </w:trPr>
        <w:tc>
          <w:tcPr>
            <w:tcW w:w="1987" w:type="dxa"/>
          </w:tcPr>
          <w:p>
            <w:pPr>
              <w:pStyle w:val="TableParagraph"/>
              <w:spacing w:before="3"/>
              <w:rPr>
                <w:rFonts w:ascii="宋体"/>
                <w:sz w:val="17"/>
              </w:rPr>
            </w:pPr>
          </w:p>
          <w:p>
            <w:pPr>
              <w:pStyle w:val="TableParagraph"/>
              <w:spacing w:before="1"/>
              <w:ind w:left="107"/>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6"/>
              <w:rPr>
                <w:rFonts w:ascii="宋体"/>
                <w:sz w:val="15"/>
              </w:rPr>
            </w:pPr>
          </w:p>
          <w:p>
            <w:pPr>
              <w:pStyle w:val="TableParagraph"/>
              <w:spacing w:before="0"/>
              <w:ind w:left="107"/>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0"/>
              <w:rPr>
                <w:rFonts w:ascii="宋体"/>
                <w:sz w:val="22"/>
              </w:rPr>
            </w:pPr>
          </w:p>
          <w:p>
            <w:pPr>
              <w:pStyle w:val="TableParagraph"/>
              <w:spacing w:before="184"/>
              <w:ind w:left="187" w:right="178"/>
              <w:jc w:val="center"/>
              <w:rPr>
                <w:sz w:val="21"/>
              </w:rPr>
            </w:pPr>
            <w:r>
              <w:rPr>
                <w:sz w:val="21"/>
              </w:rPr>
              <w:t>54.21%</w:t>
            </w:r>
          </w:p>
        </w:tc>
        <w:tc>
          <w:tcPr>
            <w:tcW w:w="1275" w:type="dxa"/>
          </w:tcPr>
          <w:p>
            <w:pPr>
              <w:pStyle w:val="TableParagraph"/>
              <w:spacing w:before="0"/>
              <w:rPr>
                <w:rFonts w:ascii="宋体"/>
                <w:sz w:val="22"/>
              </w:rPr>
            </w:pPr>
          </w:p>
          <w:p>
            <w:pPr>
              <w:pStyle w:val="TableParagraph"/>
              <w:spacing w:before="184"/>
              <w:ind w:right="355"/>
              <w:jc w:val="right"/>
              <w:rPr>
                <w:sz w:val="21"/>
              </w:rPr>
            </w:pPr>
            <w:r>
              <w:rPr>
                <w:sz w:val="21"/>
              </w:rPr>
              <w:t>1.69%</w:t>
            </w:r>
          </w:p>
        </w:tc>
        <w:tc>
          <w:tcPr>
            <w:tcW w:w="1275" w:type="dxa"/>
          </w:tcPr>
          <w:p>
            <w:pPr>
              <w:pStyle w:val="TableParagraph"/>
              <w:spacing w:before="0"/>
              <w:rPr>
                <w:rFonts w:ascii="宋体"/>
                <w:sz w:val="22"/>
              </w:rPr>
            </w:pPr>
          </w:p>
          <w:p>
            <w:pPr>
              <w:pStyle w:val="TableParagraph"/>
              <w:spacing w:before="184"/>
              <w:ind w:left="257" w:right="244"/>
              <w:jc w:val="center"/>
              <w:rPr>
                <w:sz w:val="21"/>
              </w:rPr>
            </w:pPr>
            <w:r>
              <w:rPr>
                <w:sz w:val="21"/>
              </w:rPr>
              <w:t>19.99%</w:t>
            </w:r>
          </w:p>
        </w:tc>
        <w:tc>
          <w:tcPr>
            <w:tcW w:w="1277" w:type="dxa"/>
          </w:tcPr>
          <w:p>
            <w:pPr>
              <w:pStyle w:val="TableParagraph"/>
              <w:spacing w:before="0"/>
              <w:rPr>
                <w:rFonts w:ascii="宋体"/>
                <w:sz w:val="22"/>
              </w:rPr>
            </w:pPr>
          </w:p>
          <w:p>
            <w:pPr>
              <w:pStyle w:val="TableParagraph"/>
              <w:spacing w:before="184"/>
              <w:ind w:left="109" w:right="99"/>
              <w:jc w:val="center"/>
              <w:rPr>
                <w:sz w:val="21"/>
              </w:rPr>
            </w:pPr>
            <w:r>
              <w:rPr>
                <w:sz w:val="21"/>
              </w:rPr>
              <w:t>0.82%</w:t>
            </w:r>
          </w:p>
        </w:tc>
        <w:tc>
          <w:tcPr>
            <w:tcW w:w="992" w:type="dxa"/>
          </w:tcPr>
          <w:p>
            <w:pPr>
              <w:pStyle w:val="TableParagraph"/>
              <w:spacing w:before="0"/>
              <w:rPr>
                <w:rFonts w:ascii="宋体"/>
                <w:sz w:val="22"/>
              </w:rPr>
            </w:pPr>
          </w:p>
          <w:p>
            <w:pPr>
              <w:pStyle w:val="TableParagraph"/>
              <w:spacing w:before="184"/>
              <w:ind w:left="150" w:right="143"/>
              <w:jc w:val="center"/>
              <w:rPr>
                <w:sz w:val="21"/>
              </w:rPr>
            </w:pPr>
            <w:r>
              <w:rPr>
                <w:sz w:val="21"/>
              </w:rPr>
              <w:t>34.22%</w:t>
            </w:r>
          </w:p>
        </w:tc>
        <w:tc>
          <w:tcPr>
            <w:tcW w:w="886" w:type="dxa"/>
          </w:tcPr>
          <w:p>
            <w:pPr>
              <w:pStyle w:val="TableParagraph"/>
              <w:spacing w:before="0"/>
              <w:rPr>
                <w:rFonts w:ascii="宋体"/>
                <w:sz w:val="22"/>
              </w:rPr>
            </w:pPr>
          </w:p>
          <w:p>
            <w:pPr>
              <w:pStyle w:val="TableParagraph"/>
              <w:spacing w:before="184"/>
              <w:ind w:right="159"/>
              <w:jc w:val="right"/>
              <w:rPr>
                <w:sz w:val="21"/>
              </w:rPr>
            </w:pPr>
            <w:r>
              <w:rPr>
                <w:sz w:val="21"/>
              </w:rPr>
              <w:t>0.87%</w:t>
            </w:r>
          </w:p>
        </w:tc>
      </w:tr>
    </w:tbl>
    <w:p>
      <w:pPr>
        <w:pStyle w:val="BodyText"/>
        <w:spacing w:before="7"/>
        <w:rPr>
          <w:sz w:val="29"/>
        </w:rPr>
      </w:pPr>
    </w:p>
    <w:p>
      <w:pPr>
        <w:pStyle w:val="Heading1"/>
        <w:spacing w:before="72"/>
      </w:pPr>
      <w:bookmarkStart w:name="_bookmark10" w:id="11"/>
      <w:bookmarkEnd w:id="11"/>
      <w:r>
        <w:rPr>
          <w:b w:val="0"/>
        </w:rPr>
      </w:r>
      <w:r>
        <w:rPr/>
        <w:t>十一、基金的财产</w:t>
      </w:r>
    </w:p>
    <w:p>
      <w:pPr>
        <w:pStyle w:val="BodyText"/>
        <w:rPr>
          <w:b/>
          <w:sz w:val="20"/>
        </w:rPr>
      </w:pPr>
    </w:p>
    <w:p>
      <w:pPr>
        <w:pStyle w:val="BodyText"/>
        <w:spacing w:before="7"/>
        <w:rPr>
          <w:b/>
          <w:sz w:val="15"/>
        </w:rPr>
      </w:pPr>
    </w:p>
    <w:p>
      <w:pPr>
        <w:pStyle w:val="BodyText"/>
        <w:spacing w:before="72"/>
        <w:ind w:left="960"/>
      </w:pPr>
      <w:r>
        <w:rPr/>
        <w:t>（一）基金资产总值</w:t>
      </w:r>
    </w:p>
    <w:p>
      <w:pPr>
        <w:pStyle w:val="BodyText"/>
        <w:spacing w:before="6"/>
        <w:rPr>
          <w:sz w:val="15"/>
        </w:rPr>
      </w:pPr>
    </w:p>
    <w:p>
      <w:pPr>
        <w:pStyle w:val="BodyText"/>
        <w:spacing w:line="417" w:lineRule="auto" w:before="1"/>
        <w:ind w:left="540" w:right="311" w:firstLine="419"/>
      </w:pPr>
      <w:r>
        <w:rPr>
          <w:spacing w:val="-8"/>
        </w:rPr>
        <w:t>基金资产总值是指购买的各类证券及票据价值、银行存款本息和基金应收的申购基金款</w:t>
      </w:r>
      <w:r>
        <w:rPr>
          <w:spacing w:val="-5"/>
        </w:rPr>
        <w:t>以及其他投资所形成的价值总和。</w:t>
      </w:r>
    </w:p>
    <w:p>
      <w:pPr>
        <w:pStyle w:val="BodyText"/>
        <w:ind w:left="960"/>
      </w:pPr>
      <w:r>
        <w:rPr/>
        <w:t>（二）基金资产净值</w:t>
      </w:r>
    </w:p>
    <w:p>
      <w:pPr>
        <w:pStyle w:val="BodyText"/>
        <w:spacing w:before="6"/>
        <w:rPr>
          <w:sz w:val="15"/>
        </w:rPr>
      </w:pPr>
    </w:p>
    <w:p>
      <w:pPr>
        <w:pStyle w:val="BodyText"/>
        <w:ind w:left="960"/>
      </w:pPr>
      <w:r>
        <w:rPr/>
        <w:t>基金资产净值是指基金资产总值减去基金负债后的价值。</w:t>
      </w:r>
    </w:p>
    <w:p>
      <w:pPr>
        <w:pStyle w:val="BodyText"/>
        <w:spacing w:before="7"/>
        <w:rPr>
          <w:sz w:val="15"/>
        </w:rPr>
      </w:pPr>
    </w:p>
    <w:p>
      <w:pPr>
        <w:pStyle w:val="BodyText"/>
        <w:ind w:left="960"/>
      </w:pPr>
      <w:r>
        <w:rPr/>
        <w:t>（三）基金财产的账户</w:t>
      </w:r>
    </w:p>
    <w:p>
      <w:pPr>
        <w:pStyle w:val="BodyText"/>
        <w:spacing w:before="7"/>
        <w:rPr>
          <w:sz w:val="15"/>
        </w:rPr>
      </w:pPr>
    </w:p>
    <w:p>
      <w:pPr>
        <w:pStyle w:val="BodyText"/>
        <w:spacing w:line="417" w:lineRule="auto"/>
        <w:ind w:left="540" w:right="31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ind w:left="960"/>
      </w:pPr>
      <w:r>
        <w:rPr/>
        <w:t>（四）基金财产的保管和处分</w:t>
      </w:r>
    </w:p>
    <w:p>
      <w:pPr>
        <w:pStyle w:val="BodyText"/>
        <w:spacing w:before="7"/>
        <w:rPr>
          <w:sz w:val="15"/>
        </w:rPr>
      </w:pPr>
    </w:p>
    <w:p>
      <w:pPr>
        <w:pStyle w:val="BodyText"/>
        <w:spacing w:line="417" w:lineRule="auto"/>
        <w:ind w:left="540" w:right="31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540" w:right="31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p>
    <w:p>
      <w:pPr>
        <w:spacing w:after="0" w:line="417" w:lineRule="auto"/>
        <w:jc w:val="both"/>
        <w:sectPr>
          <w:pgSz w:w="11910" w:h="16840"/>
          <w:pgMar w:header="877" w:footer="995" w:top="1420" w:bottom="1180" w:left="1260" w:right="1480"/>
        </w:sectPr>
      </w:pPr>
    </w:p>
    <w:p>
      <w:pPr>
        <w:pStyle w:val="BodyText"/>
        <w:spacing w:before="110"/>
        <w:ind w:left="540"/>
      </w:pPr>
      <w:r>
        <w:rPr/>
        <w:t>得相互抵销。</w:t>
      </w:r>
    </w:p>
    <w:p>
      <w:pPr>
        <w:pStyle w:val="BodyText"/>
        <w:rPr>
          <w:sz w:val="20"/>
        </w:rPr>
      </w:pPr>
    </w:p>
    <w:p>
      <w:pPr>
        <w:pStyle w:val="BodyText"/>
        <w:spacing w:before="6"/>
        <w:rPr>
          <w:sz w:val="16"/>
        </w:rPr>
      </w:pPr>
    </w:p>
    <w:p>
      <w:pPr>
        <w:pStyle w:val="Heading1"/>
        <w:spacing w:before="72"/>
        <w:ind w:right="2239"/>
      </w:pPr>
      <w:bookmarkStart w:name="_bookmark11" w:id="12"/>
      <w:bookmarkEnd w:id="12"/>
      <w:r>
        <w:rPr>
          <w:b w:val="0"/>
        </w:rPr>
      </w:r>
      <w:r>
        <w:rPr/>
        <w:t>十二、基金资产的估值</w:t>
      </w:r>
    </w:p>
    <w:p>
      <w:pPr>
        <w:pStyle w:val="BodyText"/>
        <w:rPr>
          <w:b/>
          <w:sz w:val="20"/>
        </w:rPr>
      </w:pPr>
    </w:p>
    <w:p>
      <w:pPr>
        <w:pStyle w:val="BodyText"/>
        <w:spacing w:before="8"/>
        <w:rPr>
          <w:b/>
          <w:sz w:val="15"/>
        </w:rPr>
      </w:pPr>
    </w:p>
    <w:p>
      <w:pPr>
        <w:pStyle w:val="BodyText"/>
        <w:spacing w:before="71"/>
        <w:ind w:left="960"/>
      </w:pPr>
      <w:r>
        <w:rPr/>
        <w:t>（一）估值日</w:t>
      </w:r>
    </w:p>
    <w:p>
      <w:pPr>
        <w:pStyle w:val="BodyText"/>
        <w:spacing w:before="7"/>
        <w:rPr>
          <w:sz w:val="15"/>
        </w:rPr>
      </w:pPr>
    </w:p>
    <w:p>
      <w:pPr>
        <w:pStyle w:val="BodyText"/>
        <w:spacing w:line="417" w:lineRule="auto"/>
        <w:ind w:left="540" w:right="314" w:firstLine="419"/>
      </w:pPr>
      <w:r>
        <w:rPr/>
        <w:t>本基金的估值日为本基金相关的证券交易场所的交易日以及国家法律法规规定需要对外披露基金净值的非交易日。</w:t>
      </w:r>
    </w:p>
    <w:p>
      <w:pPr>
        <w:pStyle w:val="BodyText"/>
        <w:spacing w:line="269" w:lineRule="exact"/>
        <w:ind w:left="960"/>
      </w:pPr>
      <w:r>
        <w:rPr/>
        <w:t>（二）估值对象</w:t>
      </w:r>
    </w:p>
    <w:p>
      <w:pPr>
        <w:pStyle w:val="BodyText"/>
        <w:spacing w:before="7"/>
        <w:rPr>
          <w:sz w:val="15"/>
        </w:rPr>
      </w:pPr>
    </w:p>
    <w:p>
      <w:pPr>
        <w:pStyle w:val="BodyText"/>
        <w:spacing w:before="1"/>
        <w:ind w:left="960"/>
      </w:pPr>
      <w:r>
        <w:rPr/>
        <w:t>基金所拥有的股票、权证、债券和银行存款本息、应收款项、其它投资等资产及负债。</w:t>
      </w:r>
    </w:p>
    <w:p>
      <w:pPr>
        <w:pStyle w:val="BodyText"/>
        <w:spacing w:before="6"/>
        <w:rPr>
          <w:sz w:val="15"/>
        </w:rPr>
      </w:pPr>
    </w:p>
    <w:p>
      <w:pPr>
        <w:pStyle w:val="BodyText"/>
        <w:ind w:left="960"/>
      </w:pPr>
      <w:r>
        <w:rPr/>
        <w:t>（三）估值方法</w:t>
      </w:r>
    </w:p>
    <w:p>
      <w:pPr>
        <w:pStyle w:val="BodyText"/>
        <w:spacing w:before="7"/>
        <w:rPr>
          <w:sz w:val="15"/>
        </w:rPr>
      </w:pPr>
    </w:p>
    <w:p>
      <w:pPr>
        <w:pStyle w:val="BodyText"/>
        <w:ind w:left="960"/>
      </w:pPr>
      <w:r>
        <w:rPr>
          <w:rFonts w:ascii="Times New Roman" w:eastAsia="Times New Roman"/>
        </w:rPr>
        <w:t>1</w:t>
      </w:r>
      <w:r>
        <w:rPr/>
        <w:t>、证券交易所上市的有价证券的估值</w:t>
      </w:r>
    </w:p>
    <w:p>
      <w:pPr>
        <w:pStyle w:val="BodyText"/>
        <w:spacing w:before="7"/>
        <w:rPr>
          <w:sz w:val="15"/>
        </w:rPr>
      </w:pPr>
    </w:p>
    <w:p>
      <w:pPr>
        <w:pStyle w:val="ListParagraph"/>
        <w:numPr>
          <w:ilvl w:val="3"/>
          <w:numId w:val="26"/>
        </w:numPr>
        <w:tabs>
          <w:tab w:pos="1490" w:val="left" w:leader="none"/>
        </w:tabs>
        <w:spacing w:line="417" w:lineRule="auto" w:before="0" w:after="0"/>
        <w:ind w:left="540" w:right="311" w:firstLine="419"/>
        <w:jc w:val="both"/>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pacing w:val="-6"/>
          <w:sz w:val="21"/>
        </w:rPr>
        <w:t>行机构未发生影响证券价格的重大事件的，以最近交易日的市价</w:t>
      </w:r>
      <w:r>
        <w:rPr>
          <w:sz w:val="21"/>
        </w:rPr>
        <w:t>（</w:t>
      </w:r>
      <w:r>
        <w:rPr>
          <w:spacing w:val="-3"/>
          <w:sz w:val="21"/>
        </w:rPr>
        <w:t>收盘价</w:t>
      </w:r>
      <w:r>
        <w:rPr>
          <w:spacing w:val="-25"/>
          <w:sz w:val="21"/>
        </w:rPr>
        <w:t>）</w:t>
      </w:r>
      <w:r>
        <w:rPr>
          <w:spacing w:val="-7"/>
          <w:sz w:val="21"/>
        </w:rPr>
        <w:t>估值；如最近交</w:t>
      </w:r>
      <w:r>
        <w:rPr>
          <w:spacing w:val="-8"/>
          <w:sz w:val="21"/>
        </w:rPr>
        <w:t>易日后经济环境发生了重大变化或证券发行机构发生影响证券价格的重大事件的，可参考类</w:t>
      </w:r>
      <w:r>
        <w:rPr>
          <w:spacing w:val="-3"/>
          <w:sz w:val="21"/>
        </w:rPr>
        <w:t>似投资品种的现行市价及重大变化因素，调整最近交易市价，确定公允价格。</w:t>
      </w:r>
    </w:p>
    <w:p>
      <w:pPr>
        <w:pStyle w:val="ListParagraph"/>
        <w:numPr>
          <w:ilvl w:val="3"/>
          <w:numId w:val="26"/>
        </w:numPr>
        <w:tabs>
          <w:tab w:pos="1490" w:val="left" w:leader="none"/>
        </w:tabs>
        <w:spacing w:line="417" w:lineRule="auto" w:before="0" w:after="0"/>
        <w:ind w:left="540" w:right="313" w:firstLine="419"/>
        <w:jc w:val="left"/>
        <w:rPr>
          <w:sz w:val="21"/>
        </w:rPr>
      </w:pPr>
      <w:r>
        <w:rPr>
          <w:spacing w:val="-3"/>
          <w:sz w:val="21"/>
        </w:rPr>
        <w:t>交易所上市实行净价交易的债券按估值日第三方估值机构提供的相应品种当日的估值净价进行估值；</w:t>
      </w:r>
    </w:p>
    <w:p>
      <w:pPr>
        <w:pStyle w:val="ListParagraph"/>
        <w:numPr>
          <w:ilvl w:val="3"/>
          <w:numId w:val="26"/>
        </w:numPr>
        <w:tabs>
          <w:tab w:pos="1490" w:val="left" w:leader="none"/>
        </w:tabs>
        <w:spacing w:line="417" w:lineRule="auto" w:before="0" w:after="0"/>
        <w:ind w:left="540" w:right="208"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3"/>
          <w:numId w:val="26"/>
        </w:numPr>
        <w:tabs>
          <w:tab w:pos="1490" w:val="left" w:leader="none"/>
        </w:tabs>
        <w:spacing w:line="417" w:lineRule="auto" w:before="0" w:after="0"/>
        <w:ind w:left="540" w:right="31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spacing w:line="269" w:lineRule="exact"/>
        <w:ind w:left="960"/>
      </w:pPr>
      <w:r>
        <w:rPr>
          <w:rFonts w:ascii="Times New Roman" w:eastAsia="Times New Roman"/>
        </w:rPr>
        <w:t>2</w:t>
      </w:r>
      <w:r>
        <w:rPr/>
        <w:t>、处于未上市期间的有价证券应区分如下情况处理：</w:t>
      </w:r>
    </w:p>
    <w:p>
      <w:pPr>
        <w:pStyle w:val="BodyText"/>
        <w:spacing w:before="5"/>
        <w:rPr>
          <w:sz w:val="15"/>
        </w:rPr>
      </w:pPr>
    </w:p>
    <w:p>
      <w:pPr>
        <w:pStyle w:val="ListParagraph"/>
        <w:numPr>
          <w:ilvl w:val="0"/>
          <w:numId w:val="27"/>
        </w:numPr>
        <w:tabs>
          <w:tab w:pos="1490" w:val="left" w:leader="none"/>
        </w:tabs>
        <w:spacing w:line="417" w:lineRule="auto" w:before="1" w:after="0"/>
        <w:ind w:left="540" w:right="31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7"/>
        </w:numPr>
        <w:tabs>
          <w:tab w:pos="1490" w:val="left" w:leader="none"/>
        </w:tabs>
        <w:spacing w:line="240" w:lineRule="auto" w:before="0" w:after="0"/>
        <w:ind w:left="1489" w:right="0" w:hanging="530"/>
        <w:jc w:val="left"/>
        <w:rPr>
          <w:sz w:val="21"/>
        </w:rPr>
      </w:pPr>
      <w:r>
        <w:rPr>
          <w:spacing w:val="-3"/>
          <w:sz w:val="21"/>
        </w:rPr>
        <w:t>首次公开发行未上市的股票、债券和权证，采用估值技术确定公允价值，在估值</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技术难以可靠计量公允价值的情况下，按成本估值。</w:t>
      </w:r>
    </w:p>
    <w:p>
      <w:pPr>
        <w:pStyle w:val="BodyText"/>
        <w:spacing w:before="6"/>
        <w:rPr>
          <w:sz w:val="15"/>
        </w:rPr>
      </w:pPr>
    </w:p>
    <w:p>
      <w:pPr>
        <w:pStyle w:val="ListParagraph"/>
        <w:numPr>
          <w:ilvl w:val="0"/>
          <w:numId w:val="27"/>
        </w:numPr>
        <w:tabs>
          <w:tab w:pos="1490" w:val="left" w:leader="none"/>
        </w:tabs>
        <w:spacing w:line="417" w:lineRule="auto" w:before="0" w:after="0"/>
        <w:ind w:left="540" w:right="31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540" w:right="313" w:firstLine="419"/>
      </w:pPr>
      <w:r>
        <w:rPr>
          <w:rFonts w:ascii="Times New Roman" w:eastAsia="Times New Roman"/>
        </w:rPr>
        <w:t>3</w:t>
      </w:r>
      <w:r>
        <w:rPr/>
        <w:t>、全国银行间债券市场交易的债券、资产支持证券等固定收益品种，采用第三方估值机构提供的价格数据进行估值。</w:t>
      </w:r>
    </w:p>
    <w:p>
      <w:pPr>
        <w:pStyle w:val="BodyText"/>
        <w:spacing w:line="269" w:lineRule="exact"/>
        <w:ind w:left="960"/>
      </w:pPr>
      <w:r>
        <w:rPr>
          <w:rFonts w:ascii="Times New Roman" w:eastAsia="Times New Roman"/>
        </w:rPr>
        <w:t>4</w:t>
      </w:r>
      <w:r>
        <w:rPr/>
        <w:t>、同一债券同时在两个或两个以上市场交易的，按债券所处的市场分别估值。</w:t>
      </w:r>
    </w:p>
    <w:p>
      <w:pPr>
        <w:pStyle w:val="BodyText"/>
        <w:spacing w:before="7"/>
        <w:rPr>
          <w:sz w:val="15"/>
        </w:rPr>
      </w:pPr>
    </w:p>
    <w:p>
      <w:pPr>
        <w:pStyle w:val="BodyText"/>
        <w:spacing w:line="417" w:lineRule="auto"/>
        <w:ind w:left="540" w:right="314" w:firstLine="419"/>
      </w:pPr>
      <w:r>
        <w:rPr>
          <w:rFonts w:ascii="Times New Roman" w:eastAsia="Times New Roman"/>
        </w:rPr>
        <w:t>5</w:t>
      </w:r>
      <w:r>
        <w:rPr/>
        <w:t>、中小企业私募债券，采用估值技术确定公允价值，在估值技术难以可靠计量公允价值的情况下，按成本估值。</w:t>
      </w:r>
    </w:p>
    <w:p>
      <w:pPr>
        <w:pStyle w:val="BodyText"/>
        <w:spacing w:line="417" w:lineRule="auto"/>
        <w:ind w:left="540" w:right="314" w:firstLine="419"/>
      </w:pPr>
      <w:r>
        <w:rPr>
          <w:rFonts w:ascii="Times New Roman" w:eastAsia="Times New Roman"/>
        </w:rPr>
        <w:t>6</w:t>
      </w:r>
      <w:r>
        <w:rPr/>
        <w:t>、本基金投资股指期货、国债期货合约，一般以估值当日结算价进行估值，估值当日无结算价的，且最近交易日后经济环境未发生重大变化的，采用最近交易日结算价估值。</w:t>
      </w:r>
    </w:p>
    <w:p>
      <w:pPr>
        <w:pStyle w:val="BodyText"/>
        <w:spacing w:line="269" w:lineRule="exact"/>
        <w:ind w:left="960"/>
      </w:pPr>
      <w:r>
        <w:rPr>
          <w:rFonts w:ascii="Times New Roman" w:eastAsia="Times New Roman"/>
        </w:rPr>
        <w:t>7</w:t>
      </w:r>
      <w:r>
        <w:rPr/>
        <w:t>、本基金投资期权，根据相关法律法规以及监管部门的规定估值。</w:t>
      </w:r>
    </w:p>
    <w:p>
      <w:pPr>
        <w:pStyle w:val="BodyText"/>
        <w:spacing w:before="7"/>
        <w:rPr>
          <w:sz w:val="15"/>
        </w:rPr>
      </w:pPr>
    </w:p>
    <w:p>
      <w:pPr>
        <w:pStyle w:val="BodyText"/>
        <w:ind w:left="960"/>
      </w:pPr>
      <w:r>
        <w:rPr>
          <w:rFonts w:ascii="Times New Roman" w:eastAsia="Times New Roman"/>
        </w:rPr>
        <w:t>8</w:t>
      </w:r>
      <w:r>
        <w:rPr/>
        <w:t>、本基金投资存托凭证的估值核算，依照境内上市交易的股票执行。</w:t>
      </w:r>
    </w:p>
    <w:p>
      <w:pPr>
        <w:pStyle w:val="BodyText"/>
        <w:spacing w:before="6"/>
        <w:rPr>
          <w:sz w:val="15"/>
        </w:rPr>
      </w:pPr>
    </w:p>
    <w:p>
      <w:pPr>
        <w:pStyle w:val="BodyText"/>
        <w:spacing w:line="417" w:lineRule="auto"/>
        <w:ind w:left="540" w:right="31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417" w:lineRule="auto" w:before="1"/>
        <w:ind w:left="540" w:right="311" w:firstLine="419"/>
      </w:pPr>
      <w:r>
        <w:rPr>
          <w:rFonts w:ascii="Times New Roman" w:eastAsia="Times New Roman"/>
        </w:rPr>
        <w:t>10</w:t>
      </w:r>
      <w:r>
        <w:rPr>
          <w:spacing w:val="-10"/>
        </w:rPr>
        <w:t>、当发生大额申购或赎回情形时，基金管理人可以采用摆动定价机制，以确保基金估</w:t>
      </w:r>
      <w:r>
        <w:rPr>
          <w:spacing w:val="-5"/>
        </w:rPr>
        <w:t>值的公平性。</w:t>
      </w:r>
    </w:p>
    <w:p>
      <w:pPr>
        <w:pStyle w:val="BodyText"/>
        <w:spacing w:line="269" w:lineRule="exact"/>
        <w:ind w:left="960"/>
      </w:pPr>
      <w:r>
        <w:rPr>
          <w:rFonts w:ascii="Times New Roman" w:eastAsia="Times New Roman"/>
        </w:rPr>
        <w:t>11</w:t>
      </w:r>
      <w:r>
        <w:rPr/>
        <w:t>、其他资产按法律法规或监管机构有关规定进行估值。</w:t>
      </w:r>
    </w:p>
    <w:p>
      <w:pPr>
        <w:pStyle w:val="BodyText"/>
        <w:spacing w:before="6"/>
        <w:rPr>
          <w:sz w:val="15"/>
        </w:rPr>
      </w:pPr>
    </w:p>
    <w:p>
      <w:pPr>
        <w:pStyle w:val="BodyText"/>
        <w:spacing w:line="417" w:lineRule="auto"/>
        <w:ind w:left="540" w:right="31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spacing w:line="417" w:lineRule="auto"/>
        <w:ind w:left="540" w:right="20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540" w:right="31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8" w:lineRule="exact"/>
        <w:ind w:left="960"/>
      </w:pPr>
      <w:r>
        <w:rPr/>
        <w:t>（四</w:t>
      </w:r>
      <w:r>
        <w:rPr>
          <w:spacing w:val="-3"/>
        </w:rPr>
        <w:t>）</w:t>
      </w:r>
      <w:r>
        <w:rPr>
          <w:spacing w:val="-2"/>
        </w:rPr>
        <w:t>估值程序</w:t>
      </w:r>
    </w:p>
    <w:p>
      <w:pPr>
        <w:pStyle w:val="BodyText"/>
        <w:spacing w:before="7"/>
        <w:rPr>
          <w:sz w:val="15"/>
        </w:rPr>
      </w:pPr>
    </w:p>
    <w:p>
      <w:pPr>
        <w:pStyle w:val="BodyText"/>
        <w:spacing w:line="417" w:lineRule="auto"/>
        <w:ind w:left="540" w:right="314" w:firstLine="419"/>
      </w:pPr>
      <w:r>
        <w:rPr>
          <w:rFonts w:ascii="Times New Roman" w:eastAsia="Times New Roman"/>
        </w:rPr>
        <w:t>1</w:t>
      </w:r>
      <w:r>
        <w:rPr/>
        <w:t>、基金份额净值是按照每个工作日闭市后，基金资产净值除以当日基金份额的余额数量计算，精确到 </w:t>
      </w:r>
      <w:r>
        <w:rPr>
          <w:rFonts w:ascii="Times New Roman" w:eastAsia="Times New Roman"/>
        </w:rPr>
        <w:t>0.001 </w:t>
      </w:r>
      <w:r>
        <w:rPr/>
        <w:t>元，小数点后第 </w:t>
      </w:r>
      <w:r>
        <w:rPr>
          <w:rFonts w:ascii="Times New Roman" w:eastAsia="Times New Roman"/>
        </w:rPr>
        <w:t>4 </w:t>
      </w:r>
      <w:r>
        <w:rPr/>
        <w:t>位四舍五入。国家另有规定的，从其规定。</w:t>
      </w:r>
    </w:p>
    <w:p>
      <w:pPr>
        <w:spacing w:after="0" w:line="417" w:lineRule="auto"/>
        <w:sectPr>
          <w:pgSz w:w="11910" w:h="16840"/>
          <w:pgMar w:header="877" w:footer="995" w:top="1420" w:bottom="1180" w:left="1260" w:right="1480"/>
        </w:sectPr>
      </w:pPr>
    </w:p>
    <w:p>
      <w:pPr>
        <w:pStyle w:val="BodyText"/>
        <w:spacing w:before="110"/>
        <w:ind w:left="960"/>
      </w:pPr>
      <w:r>
        <w:rPr/>
        <w:t>每个工作日计算基金资产净值及基金份额净值，并按规定公告。</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spacing w:line="269" w:lineRule="exact"/>
        <w:ind w:left="960"/>
      </w:pPr>
      <w:r>
        <w:rPr/>
        <w:t>（五）估值错误的处理</w:t>
      </w:r>
    </w:p>
    <w:p>
      <w:pPr>
        <w:pStyle w:val="BodyText"/>
        <w:spacing w:before="7"/>
        <w:rPr>
          <w:sz w:val="15"/>
        </w:rPr>
      </w:pPr>
    </w:p>
    <w:p>
      <w:pPr>
        <w:pStyle w:val="BodyText"/>
        <w:spacing w:line="417" w:lineRule="auto"/>
        <w:ind w:left="540" w:right="208" w:firstLine="419"/>
      </w:pPr>
      <w:r>
        <w:rPr>
          <w:spacing w:val="-3"/>
        </w:rPr>
        <w:t>基金管理人和基金托管人将采取必要、适当、合理的措施确保基金资产估值的准确性、</w:t>
      </w:r>
      <w:r>
        <w:rPr>
          <w:spacing w:val="-10"/>
        </w:rPr>
        <w:t>及时性。当基金份额净值小数点后 </w:t>
      </w:r>
      <w:r>
        <w:rPr>
          <w:rFonts w:ascii="Times New Roman" w:eastAsia="Times New Roman"/>
        </w:rPr>
        <w:t>3 </w:t>
      </w:r>
      <w:r>
        <w:rPr>
          <w:spacing w:val="-10"/>
        </w:rPr>
        <w:t>位以内</w:t>
      </w:r>
      <w:r>
        <w:rPr>
          <w:spacing w:val="-3"/>
        </w:rPr>
        <w:t>（</w:t>
      </w:r>
      <w:r>
        <w:rPr>
          <w:spacing w:val="-16"/>
        </w:rPr>
        <w:t>含第 </w:t>
      </w:r>
      <w:r>
        <w:rPr>
          <w:rFonts w:ascii="Times New Roman" w:eastAsia="Times New Roman"/>
        </w:rPr>
        <w:t>3 </w:t>
      </w:r>
      <w:r>
        <w:rPr/>
        <w:t>位</w:t>
      </w:r>
      <w:r>
        <w:rPr>
          <w:spacing w:val="-27"/>
        </w:rPr>
        <w:t>）</w:t>
      </w:r>
      <w:r>
        <w:rPr>
          <w:spacing w:val="-6"/>
        </w:rPr>
        <w:t>发生估值错误时，视为基金份额净</w:t>
      </w:r>
      <w:r>
        <w:rPr>
          <w:spacing w:val="-4"/>
        </w:rPr>
        <w:t>值错误。</w:t>
      </w:r>
    </w:p>
    <w:p>
      <w:pPr>
        <w:pStyle w:val="BodyText"/>
        <w:ind w:left="960"/>
      </w:pPr>
      <w:r>
        <w:rPr/>
        <w:t>基金合同的当事人应按照以下约定处理：</w:t>
      </w:r>
    </w:p>
    <w:p>
      <w:pPr>
        <w:pStyle w:val="BodyText"/>
        <w:spacing w:before="7"/>
        <w:rPr>
          <w:sz w:val="15"/>
        </w:rPr>
      </w:pPr>
    </w:p>
    <w:p>
      <w:pPr>
        <w:pStyle w:val="BodyText"/>
        <w:ind w:left="960"/>
      </w:pPr>
      <w:r>
        <w:rPr>
          <w:rFonts w:ascii="Times New Roman" w:eastAsia="Times New Roman"/>
        </w:rPr>
        <w:t>1</w:t>
      </w:r>
      <w:r>
        <w:rPr/>
        <w:t>、估值错误类型</w:t>
      </w:r>
    </w:p>
    <w:p>
      <w:pPr>
        <w:pStyle w:val="BodyText"/>
        <w:spacing w:before="7"/>
        <w:rPr>
          <w:sz w:val="15"/>
        </w:rPr>
      </w:pPr>
    </w:p>
    <w:p>
      <w:pPr>
        <w:pStyle w:val="BodyText"/>
        <w:spacing w:line="417" w:lineRule="auto"/>
        <w:ind w:left="540" w:right="311" w:firstLine="419"/>
        <w:jc w:val="both"/>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7"/>
        </w:rPr>
        <w:t>估值错误遭受损失当事人</w:t>
      </w:r>
      <w:r>
        <w:rPr/>
        <w:t>（</w:t>
      </w:r>
      <w:r>
        <w:rPr>
          <w:rFonts w:ascii="Times New Roman" w:hAnsi="Times New Roman" w:eastAsia="Times New Roman"/>
        </w:rPr>
        <w:t>“</w:t>
      </w:r>
      <w:r>
        <w:rPr>
          <w:spacing w:val="-2"/>
        </w:rPr>
        <w:t>受损方</w:t>
      </w:r>
      <w:r>
        <w:rPr>
          <w:rFonts w:ascii="Times New Roman" w:hAnsi="Times New Roman" w:eastAsia="Times New Roman"/>
          <w:spacing w:val="-9"/>
        </w:rPr>
        <w:t>”</w:t>
      </w:r>
      <w:r>
        <w:rPr>
          <w:spacing w:val="-9"/>
        </w:rPr>
        <w:t>）</w:t>
      </w:r>
      <w:r>
        <w:rPr>
          <w:spacing w:val="-3"/>
        </w:rPr>
        <w:t>的直接损失按下述</w:t>
      </w:r>
      <w:r>
        <w:rPr>
          <w:rFonts w:ascii="Times New Roman" w:hAnsi="Times New Roman" w:eastAsia="Times New Roman"/>
        </w:rPr>
        <w:t>“</w:t>
      </w:r>
      <w:r>
        <w:rPr>
          <w:spacing w:val="-3"/>
        </w:rPr>
        <w:t>估值错误处理原则</w:t>
      </w:r>
      <w:r>
        <w:rPr>
          <w:rFonts w:ascii="Times New Roman" w:hAnsi="Times New Roman" w:eastAsia="Times New Roman"/>
        </w:rPr>
        <w:t>”</w:t>
      </w:r>
      <w:r>
        <w:rPr>
          <w:spacing w:val="-5"/>
        </w:rPr>
        <w:t>给予赔偿，承</w:t>
      </w:r>
      <w:r>
        <w:rPr>
          <w:spacing w:val="-4"/>
        </w:rPr>
        <w:t>担赔偿责任。</w:t>
      </w:r>
    </w:p>
    <w:p>
      <w:pPr>
        <w:pStyle w:val="BodyText"/>
        <w:spacing w:line="417" w:lineRule="auto"/>
        <w:ind w:left="540" w:right="31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960"/>
      </w:pPr>
      <w:r>
        <w:rPr>
          <w:rFonts w:ascii="Times New Roman" w:eastAsia="Times New Roman"/>
        </w:rPr>
        <w:t>2</w:t>
      </w:r>
      <w:r>
        <w:rPr/>
        <w:t>、估值错误处理原则</w:t>
      </w:r>
    </w:p>
    <w:p>
      <w:pPr>
        <w:pStyle w:val="BodyText"/>
        <w:spacing w:before="6"/>
        <w:rPr>
          <w:sz w:val="15"/>
        </w:rPr>
      </w:pPr>
    </w:p>
    <w:p>
      <w:pPr>
        <w:pStyle w:val="ListParagraph"/>
        <w:numPr>
          <w:ilvl w:val="0"/>
          <w:numId w:val="28"/>
        </w:numPr>
        <w:tabs>
          <w:tab w:pos="1490" w:val="left" w:leader="none"/>
        </w:tabs>
        <w:spacing w:line="417" w:lineRule="auto" w:before="0" w:after="0"/>
        <w:ind w:left="540" w:right="31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8"/>
        </w:numPr>
        <w:tabs>
          <w:tab w:pos="1490" w:val="left" w:leader="none"/>
        </w:tabs>
        <w:spacing w:line="417" w:lineRule="auto" w:before="0" w:after="0"/>
        <w:ind w:left="540" w:right="31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8"/>
        </w:numPr>
        <w:tabs>
          <w:tab w:pos="1490" w:val="left" w:leader="none"/>
        </w:tabs>
        <w:spacing w:line="417" w:lineRule="auto" w:before="0" w:after="0"/>
        <w:ind w:left="540" w:right="21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11"/>
          <w:w w:val="100"/>
          <w:sz w:val="21"/>
        </w:rPr>
        <w:t>造成其他当事人的利益损失</w:t>
      </w:r>
      <w:r>
        <w:rPr>
          <w:w w:val="100"/>
          <w:sz w:val="21"/>
        </w:rPr>
        <w:t>（</w:t>
      </w:r>
      <w:r>
        <w:rPr>
          <w:rFonts w:ascii="Times New Roman" w:hAnsi="Times New Roman" w:eastAsia="Times New Roman"/>
          <w:spacing w:val="-1"/>
          <w:w w:val="100"/>
          <w:sz w:val="21"/>
        </w:rPr>
        <w:t>“</w:t>
      </w:r>
      <w:r>
        <w:rPr>
          <w:w w:val="100"/>
          <w:sz w:val="21"/>
        </w:rPr>
        <w:t>受损方</w:t>
      </w:r>
      <w:r>
        <w:rPr>
          <w:rFonts w:ascii="Times New Roman" w:hAnsi="Times New Roman" w:eastAsia="Times New Roman"/>
          <w:spacing w:val="-1"/>
          <w:w w:val="100"/>
          <w:sz w:val="21"/>
        </w:rPr>
        <w:t>”</w:t>
      </w:r>
      <w:r>
        <w:rPr>
          <w:spacing w:val="-104"/>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spacing w:after="0" w:line="417" w:lineRule="auto"/>
        <w:jc w:val="both"/>
        <w:rPr>
          <w:sz w:val="21"/>
        </w:rPr>
        <w:sectPr>
          <w:pgSz w:w="11910" w:h="16840"/>
          <w:pgMar w:header="877" w:footer="995" w:top="1420" w:bottom="1180" w:left="1260" w:right="1480"/>
        </w:sectPr>
      </w:pPr>
    </w:p>
    <w:p>
      <w:pPr>
        <w:pStyle w:val="ListParagraph"/>
        <w:numPr>
          <w:ilvl w:val="0"/>
          <w:numId w:val="28"/>
        </w:numPr>
        <w:tabs>
          <w:tab w:pos="1490" w:val="left" w:leader="none"/>
        </w:tabs>
        <w:spacing w:line="240" w:lineRule="auto" w:before="110" w:after="0"/>
        <w:ind w:left="148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960"/>
      </w:pPr>
      <w:r>
        <w:rPr>
          <w:rFonts w:ascii="Times New Roman" w:eastAsia="Times New Roman"/>
        </w:rPr>
        <w:t>3</w:t>
      </w:r>
      <w:r>
        <w:rPr/>
        <w:t>、估值错误处理程序</w:t>
      </w:r>
    </w:p>
    <w:p>
      <w:pPr>
        <w:pStyle w:val="BodyText"/>
        <w:spacing w:before="7"/>
        <w:rPr>
          <w:sz w:val="15"/>
        </w:rPr>
      </w:pPr>
    </w:p>
    <w:p>
      <w:pPr>
        <w:pStyle w:val="BodyText"/>
        <w:ind w:left="960"/>
      </w:pPr>
      <w:r>
        <w:rPr/>
        <w:t>估值错误被发现后，有关的当事人应当及时进行处理，处理的程序如下：</w:t>
      </w:r>
    </w:p>
    <w:p>
      <w:pPr>
        <w:pStyle w:val="BodyText"/>
        <w:spacing w:before="7"/>
        <w:rPr>
          <w:sz w:val="15"/>
        </w:rPr>
      </w:pPr>
    </w:p>
    <w:p>
      <w:pPr>
        <w:pStyle w:val="ListParagraph"/>
        <w:numPr>
          <w:ilvl w:val="0"/>
          <w:numId w:val="29"/>
        </w:numPr>
        <w:tabs>
          <w:tab w:pos="1490" w:val="left" w:leader="none"/>
        </w:tabs>
        <w:spacing w:line="417" w:lineRule="auto" w:before="0" w:after="0"/>
        <w:ind w:left="540" w:right="31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9"/>
        </w:numPr>
        <w:tabs>
          <w:tab w:pos="1490" w:val="left" w:leader="none"/>
        </w:tabs>
        <w:spacing w:line="269" w:lineRule="exact" w:before="0" w:after="0"/>
        <w:ind w:left="148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9"/>
        </w:numPr>
        <w:tabs>
          <w:tab w:pos="1490" w:val="left" w:leader="none"/>
        </w:tabs>
        <w:spacing w:line="417" w:lineRule="auto" w:before="0" w:after="0"/>
        <w:ind w:left="540" w:right="31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9"/>
        </w:numPr>
        <w:tabs>
          <w:tab w:pos="1490" w:val="left" w:leader="none"/>
        </w:tabs>
        <w:spacing w:line="417" w:lineRule="auto" w:before="0" w:after="0"/>
        <w:ind w:left="540" w:right="314" w:firstLine="419"/>
        <w:jc w:val="left"/>
        <w:rPr>
          <w:sz w:val="21"/>
        </w:rPr>
      </w:pPr>
      <w:r>
        <w:rPr>
          <w:spacing w:val="-3"/>
          <w:sz w:val="21"/>
        </w:rPr>
        <w:t>根据估值错误处理的方法，需要修改基金登记机构交易数据的，由基金登记机构进行更正。</w:t>
      </w:r>
    </w:p>
    <w:p>
      <w:pPr>
        <w:pStyle w:val="BodyText"/>
        <w:spacing w:line="269" w:lineRule="exact"/>
        <w:ind w:left="96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30"/>
        </w:numPr>
        <w:tabs>
          <w:tab w:pos="1490" w:val="left" w:leader="none"/>
        </w:tabs>
        <w:spacing w:line="417" w:lineRule="auto" w:before="0" w:after="0"/>
        <w:ind w:left="540" w:right="31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30"/>
        </w:numPr>
        <w:tabs>
          <w:tab w:pos="1490" w:val="left" w:leader="none"/>
        </w:tabs>
        <w:spacing w:line="417" w:lineRule="auto" w:before="0" w:after="0"/>
        <w:ind w:left="540" w:right="313" w:firstLine="419"/>
        <w:jc w:val="left"/>
        <w:rPr>
          <w:sz w:val="21"/>
        </w:rPr>
      </w:pPr>
      <w:r>
        <w:rPr>
          <w:spacing w:val="-1"/>
          <w:sz w:val="21"/>
        </w:rPr>
        <w:t>错误偏差达到基金份额净值的 </w:t>
      </w:r>
      <w:r>
        <w:rPr>
          <w:rFonts w:ascii="Times New Roman" w:eastAsia="Times New Roman"/>
          <w:sz w:val="21"/>
        </w:rPr>
        <w:t>0.25%</w:t>
      </w:r>
      <w:r>
        <w:rPr>
          <w:spacing w:val="-3"/>
          <w:sz w:val="21"/>
        </w:rPr>
        <w:t>时，基金管理人应当通报基金托管人并报中</w:t>
      </w:r>
      <w:r>
        <w:rPr>
          <w:spacing w:val="-6"/>
          <w:sz w:val="21"/>
        </w:rPr>
        <w:t>国证监会备案；错误偏差达到基金份额净值的 </w:t>
      </w:r>
      <w:r>
        <w:rPr>
          <w:rFonts w:ascii="Times New Roman" w:eastAsia="Times New Roman"/>
          <w:sz w:val="21"/>
        </w:rPr>
        <w:t>0.5%</w:t>
      </w:r>
      <w:r>
        <w:rPr>
          <w:spacing w:val="-3"/>
          <w:sz w:val="21"/>
        </w:rPr>
        <w:t>时，基金管理人应当公告。</w:t>
      </w:r>
    </w:p>
    <w:p>
      <w:pPr>
        <w:pStyle w:val="ListParagraph"/>
        <w:numPr>
          <w:ilvl w:val="0"/>
          <w:numId w:val="30"/>
        </w:numPr>
        <w:tabs>
          <w:tab w:pos="1490" w:val="left" w:leader="none"/>
        </w:tabs>
        <w:spacing w:line="240" w:lineRule="auto" w:before="0" w:after="0"/>
        <w:ind w:left="148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ind w:left="960"/>
      </w:pPr>
      <w:r>
        <w:rPr/>
        <w:t>（六）暂停估值的情形</w:t>
      </w:r>
    </w:p>
    <w:p>
      <w:pPr>
        <w:pStyle w:val="BodyText"/>
        <w:spacing w:before="7"/>
        <w:rPr>
          <w:sz w:val="15"/>
        </w:rPr>
      </w:pPr>
    </w:p>
    <w:p>
      <w:pPr>
        <w:pStyle w:val="BodyText"/>
        <w:ind w:left="960"/>
      </w:pPr>
      <w:r>
        <w:rPr>
          <w:rFonts w:ascii="Times New Roman" w:eastAsia="Times New Roman"/>
        </w:rPr>
        <w:t>1</w:t>
      </w:r>
      <w:r>
        <w:rPr/>
        <w:t>、基金投资所涉及的证券、期货交易市场遇法定节假日或因其他原因暂停营业时。</w:t>
      </w:r>
    </w:p>
    <w:p>
      <w:pPr>
        <w:pStyle w:val="BodyText"/>
        <w:spacing w:before="6"/>
        <w:rPr>
          <w:sz w:val="15"/>
        </w:rPr>
      </w:pPr>
    </w:p>
    <w:p>
      <w:pPr>
        <w:pStyle w:val="BodyText"/>
        <w:spacing w:before="1"/>
        <w:ind w:left="960"/>
      </w:pPr>
      <w:r>
        <w:rPr>
          <w:rFonts w:ascii="Times New Roman" w:eastAsia="Times New Roman"/>
        </w:rPr>
        <w:t>2</w:t>
      </w:r>
      <w:r>
        <w:rPr/>
        <w:t>、因不可抗力致使基金管理人、基金托管人无法准确评估基金资产价值时。</w:t>
      </w:r>
    </w:p>
    <w:p>
      <w:pPr>
        <w:pStyle w:val="BodyText"/>
        <w:spacing w:before="6"/>
        <w:rPr>
          <w:sz w:val="15"/>
        </w:rPr>
      </w:pPr>
    </w:p>
    <w:p>
      <w:pPr>
        <w:pStyle w:val="BodyText"/>
        <w:spacing w:line="417" w:lineRule="auto"/>
        <w:ind w:left="540" w:right="31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before="1"/>
        <w:ind w:left="960"/>
      </w:pPr>
      <w:r>
        <w:rPr>
          <w:rFonts w:ascii="Times New Roman" w:eastAsia="Times New Roman"/>
        </w:rPr>
        <w:t>4</w:t>
      </w:r>
      <w:r>
        <w:rPr/>
        <w:t>、中国证监会和基金合同认定的其它情形。</w:t>
      </w:r>
    </w:p>
    <w:p>
      <w:pPr>
        <w:pStyle w:val="BodyText"/>
        <w:spacing w:before="6"/>
        <w:rPr>
          <w:sz w:val="15"/>
        </w:rPr>
      </w:pPr>
    </w:p>
    <w:p>
      <w:pPr>
        <w:pStyle w:val="BodyText"/>
        <w:ind w:left="960"/>
      </w:pPr>
      <w:r>
        <w:rPr/>
        <w:t>（七）基金净值的确认</w:t>
      </w:r>
    </w:p>
    <w:p>
      <w:pPr>
        <w:pStyle w:val="BodyText"/>
        <w:spacing w:before="7"/>
        <w:rPr>
          <w:sz w:val="15"/>
        </w:rPr>
      </w:pPr>
    </w:p>
    <w:p>
      <w:pPr>
        <w:pStyle w:val="BodyText"/>
        <w:spacing w:line="417" w:lineRule="auto"/>
        <w:ind w:left="540" w:right="20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spacing w:line="269" w:lineRule="exact"/>
        <w:ind w:left="960"/>
      </w:pPr>
      <w:r>
        <w:rPr/>
        <w:t>（八）特殊情况的处理</w:t>
      </w:r>
    </w:p>
    <w:p>
      <w:pPr>
        <w:pStyle w:val="BodyText"/>
        <w:spacing w:before="7"/>
        <w:rPr>
          <w:sz w:val="15"/>
        </w:rPr>
      </w:pPr>
    </w:p>
    <w:p>
      <w:pPr>
        <w:pStyle w:val="BodyText"/>
        <w:ind w:left="960"/>
      </w:pPr>
      <w:r>
        <w:rPr>
          <w:rFonts w:ascii="Times New Roman" w:eastAsia="Times New Roman"/>
        </w:rPr>
        <w:t>1</w:t>
      </w:r>
      <w:r>
        <w:rPr/>
        <w:t>、基金管理人或基金托管人按估值方法的第 </w:t>
      </w:r>
      <w:r>
        <w:rPr>
          <w:rFonts w:ascii="Times New Roman" w:eastAsia="Times New Roman"/>
        </w:rPr>
        <w:t>9 </w:t>
      </w:r>
      <w:r>
        <w:rPr/>
        <w:t>项进行估值时，所造成的误差不作为基</w:t>
      </w:r>
    </w:p>
    <w:p>
      <w:pPr>
        <w:spacing w:after="0"/>
        <w:sectPr>
          <w:pgSz w:w="11910" w:h="16840"/>
          <w:pgMar w:header="877" w:footer="995" w:top="1420" w:bottom="1180" w:left="1260" w:right="1480"/>
        </w:sectPr>
      </w:pPr>
    </w:p>
    <w:p>
      <w:pPr>
        <w:pStyle w:val="BodyText"/>
        <w:spacing w:before="110"/>
        <w:ind w:left="540"/>
      </w:pPr>
      <w:r>
        <w:rPr/>
        <w:t>金资产估值错误处理。</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、由于证券交易所、期货交易所及登记结算公司发送的数据错误或由于其他不可抗力</w:t>
      </w:r>
      <w:r>
        <w:rPr>
          <w:spacing w:val="-10"/>
        </w:rPr>
        <w:t>原因，基金管理人和基金托管人虽然已经采取必要、适当、合理的措施进行检查，但是未能发现该错误而造成的基金份额净值计算错误，基金管理人、基金托管人免除赔偿责任。但基</w:t>
      </w:r>
      <w:r>
        <w:rPr>
          <w:spacing w:val="-5"/>
        </w:rPr>
        <w:t>金管理人、基金托管人应积极采取必要的措施减轻或消除由此造成的影响。</w:t>
      </w:r>
    </w:p>
    <w:p>
      <w:pPr>
        <w:pStyle w:val="BodyText"/>
        <w:spacing w:before="7"/>
        <w:rPr>
          <w:sz w:val="26"/>
        </w:rPr>
      </w:pPr>
    </w:p>
    <w:p>
      <w:pPr>
        <w:pStyle w:val="Heading1"/>
        <w:ind w:right="2239"/>
      </w:pPr>
      <w:bookmarkStart w:name="_bookmark12" w:id="13"/>
      <w:bookmarkEnd w:id="13"/>
      <w:r>
        <w:rPr>
          <w:b w:val="0"/>
        </w:rPr>
      </w:r>
      <w:r>
        <w:rPr/>
        <w:t>十三、基金的收益与分配</w:t>
      </w:r>
    </w:p>
    <w:p>
      <w:pPr>
        <w:pStyle w:val="BodyText"/>
        <w:rPr>
          <w:b/>
          <w:sz w:val="20"/>
        </w:rPr>
      </w:pPr>
    </w:p>
    <w:p>
      <w:pPr>
        <w:pStyle w:val="BodyText"/>
        <w:spacing w:before="3"/>
        <w:rPr>
          <w:b/>
        </w:rPr>
      </w:pPr>
    </w:p>
    <w:p>
      <w:pPr>
        <w:pStyle w:val="BodyText"/>
        <w:ind w:left="1013"/>
      </w:pPr>
      <w:r>
        <w:rPr/>
        <w:t>（一）基金利润的构成</w:t>
      </w:r>
    </w:p>
    <w:p>
      <w:pPr>
        <w:pStyle w:val="BodyText"/>
        <w:spacing w:before="7"/>
        <w:rPr>
          <w:sz w:val="15"/>
        </w:rPr>
      </w:pPr>
    </w:p>
    <w:p>
      <w:pPr>
        <w:pStyle w:val="BodyText"/>
        <w:spacing w:line="417" w:lineRule="auto"/>
        <w:ind w:left="540" w:right="31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1013"/>
      </w:pPr>
      <w:r>
        <w:rPr/>
        <w:t>（二）基金可供分配利润</w:t>
      </w:r>
    </w:p>
    <w:p>
      <w:pPr>
        <w:pStyle w:val="BodyText"/>
        <w:spacing w:before="7"/>
        <w:rPr>
          <w:sz w:val="15"/>
        </w:rPr>
      </w:pPr>
    </w:p>
    <w:p>
      <w:pPr>
        <w:pStyle w:val="BodyText"/>
        <w:spacing w:line="417" w:lineRule="auto"/>
        <w:ind w:left="540" w:right="315" w:firstLine="472"/>
      </w:pPr>
      <w:r>
        <w:rPr/>
        <w:t>基金可供分配利润指截至收益分配基准日基金未分配利润与未分配利润中已实现收益的孰低数。</w:t>
      </w:r>
    </w:p>
    <w:p>
      <w:pPr>
        <w:pStyle w:val="BodyText"/>
        <w:spacing w:line="269" w:lineRule="exact"/>
        <w:ind w:left="1013"/>
      </w:pPr>
      <w:r>
        <w:rPr/>
        <w:t>（三）基金收益分配原则</w:t>
      </w:r>
    </w:p>
    <w:p>
      <w:pPr>
        <w:pStyle w:val="BodyText"/>
        <w:spacing w:before="7"/>
        <w:rPr>
          <w:sz w:val="15"/>
        </w:rPr>
      </w:pPr>
    </w:p>
    <w:p>
      <w:pPr>
        <w:pStyle w:val="BodyText"/>
        <w:spacing w:line="417" w:lineRule="auto"/>
        <w:ind w:left="540" w:right="31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540" w:right="31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540" w:right="31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ind w:left="1013"/>
      </w:pPr>
      <w:r>
        <w:rPr>
          <w:rFonts w:ascii="Times New Roman" w:eastAsia="Times New Roman"/>
        </w:rPr>
        <w:t>4</w:t>
      </w:r>
      <w:r>
        <w:rPr/>
        <w:t>、每一基金份额享有同等分配权。</w:t>
      </w:r>
    </w:p>
    <w:p>
      <w:pPr>
        <w:pStyle w:val="BodyText"/>
        <w:spacing w:before="6"/>
        <w:rPr>
          <w:sz w:val="15"/>
        </w:rPr>
      </w:pPr>
    </w:p>
    <w:p>
      <w:pPr>
        <w:pStyle w:val="BodyText"/>
        <w:ind w:left="1013"/>
      </w:pPr>
      <w:r>
        <w:rPr>
          <w:rFonts w:ascii="Times New Roman" w:eastAsia="Times New Roman"/>
        </w:rPr>
        <w:t>5</w:t>
      </w:r>
      <w:r>
        <w:rPr/>
        <w:t>、法律法规或监管机关另有规定的，从其规定。</w:t>
      </w:r>
    </w:p>
    <w:p>
      <w:pPr>
        <w:pStyle w:val="BodyText"/>
        <w:spacing w:before="7"/>
        <w:rPr>
          <w:sz w:val="15"/>
        </w:rPr>
      </w:pPr>
    </w:p>
    <w:p>
      <w:pPr>
        <w:pStyle w:val="BodyText"/>
        <w:spacing w:line="417" w:lineRule="auto"/>
        <w:ind w:left="540" w:right="208" w:firstLine="419"/>
      </w:pPr>
      <w:r>
        <w:rPr/>
        <w:t>在不违反法律法规的情况下，基金管理人、登记机构可对基金收益分配原则进行调整， 不需召开基金份额持有人大会。</w:t>
      </w:r>
    </w:p>
    <w:p>
      <w:pPr>
        <w:pStyle w:val="BodyText"/>
        <w:spacing w:line="269" w:lineRule="exact"/>
        <w:ind w:left="1013"/>
      </w:pPr>
      <w:r>
        <w:rPr/>
        <w:t>（四）收益分配方案</w:t>
      </w:r>
    </w:p>
    <w:p>
      <w:pPr>
        <w:pStyle w:val="BodyText"/>
        <w:spacing w:before="6"/>
        <w:rPr>
          <w:sz w:val="15"/>
        </w:rPr>
      </w:pPr>
    </w:p>
    <w:p>
      <w:pPr>
        <w:pStyle w:val="BodyText"/>
        <w:spacing w:line="417" w:lineRule="auto" w:before="1"/>
        <w:ind w:left="540" w:right="170" w:firstLine="472"/>
      </w:pPr>
      <w:r>
        <w:rPr/>
        <w:t>基金收益分配方案中应载明截止收益分配基准日的可供分配利润、基金收益分配对象、分配时间、分配数额及比例、分配方式等内容。</w:t>
      </w:r>
    </w:p>
    <w:p>
      <w:pPr>
        <w:spacing w:after="0" w:line="417" w:lineRule="auto"/>
        <w:sectPr>
          <w:pgSz w:w="11910" w:h="16840"/>
          <w:pgMar w:header="877" w:footer="995" w:top="1420" w:bottom="1180" w:left="1260" w:right="1480"/>
        </w:sectPr>
      </w:pPr>
    </w:p>
    <w:p>
      <w:pPr>
        <w:pStyle w:val="BodyText"/>
        <w:spacing w:before="110"/>
        <w:ind w:left="1013"/>
      </w:pPr>
      <w:r>
        <w:rPr/>
        <w:t>（五）收益分配方案的确定、公告与实施</w:t>
      </w:r>
    </w:p>
    <w:p>
      <w:pPr>
        <w:pStyle w:val="BodyText"/>
        <w:spacing w:before="6"/>
        <w:rPr>
          <w:sz w:val="15"/>
        </w:rPr>
      </w:pPr>
    </w:p>
    <w:p>
      <w:pPr>
        <w:pStyle w:val="BodyText"/>
        <w:spacing w:line="417" w:lineRule="auto"/>
        <w:ind w:left="540" w:right="311"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日内在指定媒介公告。</w:t>
      </w:r>
    </w:p>
    <w:p>
      <w:pPr>
        <w:pStyle w:val="BodyText"/>
        <w:spacing w:line="269" w:lineRule="exact"/>
        <w:ind w:left="1013"/>
      </w:pPr>
      <w:r>
        <w:rPr/>
        <w:t>基金红利发放日距离收益分配基准日（即可供分配利润计算截止日）的时间不得超过</w:t>
      </w:r>
    </w:p>
    <w:p>
      <w:pPr>
        <w:pStyle w:val="BodyText"/>
        <w:spacing w:before="7"/>
        <w:rPr>
          <w:sz w:val="15"/>
        </w:rPr>
      </w:pPr>
    </w:p>
    <w:p>
      <w:pPr>
        <w:pStyle w:val="ListParagraph"/>
        <w:numPr>
          <w:ilvl w:val="0"/>
          <w:numId w:val="11"/>
        </w:numPr>
        <w:tabs>
          <w:tab w:pos="805" w:val="left" w:leader="none"/>
        </w:tabs>
        <w:spacing w:line="240" w:lineRule="auto" w:before="0" w:after="0"/>
        <w:ind w:left="804" w:right="0" w:hanging="265"/>
        <w:jc w:val="left"/>
        <w:rPr>
          <w:sz w:val="21"/>
        </w:rPr>
      </w:pPr>
      <w:r>
        <w:rPr>
          <w:spacing w:val="-3"/>
          <w:sz w:val="21"/>
        </w:rPr>
        <w:t>个工作日。</w:t>
      </w:r>
    </w:p>
    <w:p>
      <w:pPr>
        <w:pStyle w:val="BodyText"/>
        <w:spacing w:before="7"/>
        <w:rPr>
          <w:sz w:val="15"/>
        </w:rPr>
      </w:pPr>
    </w:p>
    <w:p>
      <w:pPr>
        <w:pStyle w:val="BodyText"/>
        <w:ind w:left="1013"/>
      </w:pPr>
      <w:r>
        <w:rPr/>
        <w:t>（六）基金收益分配中发生的费用</w:t>
      </w:r>
    </w:p>
    <w:p>
      <w:pPr>
        <w:pStyle w:val="BodyText"/>
        <w:spacing w:before="7"/>
        <w:rPr>
          <w:sz w:val="15"/>
        </w:rPr>
      </w:pPr>
    </w:p>
    <w:p>
      <w:pPr>
        <w:pStyle w:val="BodyText"/>
        <w:spacing w:line="417" w:lineRule="auto"/>
        <w:ind w:left="540" w:right="311" w:firstLine="472"/>
        <w:jc w:val="both"/>
      </w:pPr>
      <w:r>
        <w:rPr>
          <w:spacing w:val="-1"/>
        </w:rPr>
        <w:t>基金收益分配时所发生的银行转账或其他手续费用由投资者自行承担。当投资者的现</w:t>
      </w:r>
      <w:r>
        <w:rPr>
          <w:spacing w:val="-10"/>
        </w:rPr>
        <w:t>金红利小于一定金额，不足于支付银行转账或其他手续费用时，基金登记机构可将基金份额</w:t>
      </w:r>
      <w:r>
        <w:rPr>
          <w:spacing w:val="-5"/>
        </w:rPr>
        <w:t>持有人的现金红利自动转为基金份额。红利再投资的计算方法，依照《业务规则》执行。</w:t>
      </w:r>
    </w:p>
    <w:p>
      <w:pPr>
        <w:pStyle w:val="BodyText"/>
        <w:spacing w:before="7"/>
        <w:rPr>
          <w:sz w:val="26"/>
        </w:rPr>
      </w:pPr>
    </w:p>
    <w:p>
      <w:pPr>
        <w:pStyle w:val="Heading1"/>
        <w:ind w:right="2239"/>
      </w:pPr>
      <w:bookmarkStart w:name="_bookmark13" w:id="14"/>
      <w:bookmarkEnd w:id="14"/>
      <w:r>
        <w:rPr>
          <w:b w:val="0"/>
        </w:rPr>
      </w:r>
      <w:r>
        <w:rPr/>
        <w:t>十四、基金的费用与税收</w:t>
      </w:r>
    </w:p>
    <w:p>
      <w:pPr>
        <w:pStyle w:val="BodyText"/>
        <w:rPr>
          <w:b/>
          <w:sz w:val="20"/>
        </w:rPr>
      </w:pPr>
    </w:p>
    <w:p>
      <w:pPr>
        <w:pStyle w:val="BodyText"/>
        <w:spacing w:before="3"/>
        <w:rPr>
          <w:b/>
        </w:rPr>
      </w:pPr>
    </w:p>
    <w:p>
      <w:pPr>
        <w:pStyle w:val="BodyText"/>
        <w:ind w:left="960"/>
      </w:pPr>
      <w:r>
        <w:rPr/>
        <w:t>（一）基金运作费用</w:t>
      </w:r>
    </w:p>
    <w:p>
      <w:pPr>
        <w:pStyle w:val="BodyText"/>
        <w:spacing w:before="6"/>
        <w:rPr>
          <w:sz w:val="15"/>
        </w:rPr>
      </w:pPr>
    </w:p>
    <w:p>
      <w:pPr>
        <w:pStyle w:val="BodyText"/>
        <w:spacing w:before="1"/>
        <w:ind w:left="960"/>
      </w:pPr>
      <w:r>
        <w:rPr>
          <w:rFonts w:ascii="Times New Roman" w:eastAsia="Times New Roman"/>
        </w:rPr>
        <w:t>1</w:t>
      </w:r>
      <w:r>
        <w:rPr/>
        <w:t>、基金费用的种类</w:t>
      </w:r>
    </w:p>
    <w:p>
      <w:pPr>
        <w:pStyle w:val="BodyText"/>
        <w:spacing w:before="6"/>
        <w:rPr>
          <w:sz w:val="15"/>
        </w:rPr>
      </w:pPr>
    </w:p>
    <w:p>
      <w:pPr>
        <w:pStyle w:val="BodyText"/>
        <w:ind w:left="960"/>
      </w:pPr>
      <w:r>
        <w:rPr/>
        <w:t>基金运作过程中，从基金财产中支付的费用包括：</w:t>
      </w:r>
    </w:p>
    <w:p>
      <w:pPr>
        <w:pStyle w:val="BodyText"/>
        <w:spacing w:before="7"/>
        <w:rPr>
          <w:sz w:val="15"/>
        </w:rPr>
      </w:pPr>
    </w:p>
    <w:p>
      <w:pPr>
        <w:pStyle w:val="ListParagraph"/>
        <w:numPr>
          <w:ilvl w:val="1"/>
          <w:numId w:val="11"/>
        </w:numPr>
        <w:tabs>
          <w:tab w:pos="1490" w:val="left" w:leader="none"/>
        </w:tabs>
        <w:spacing w:line="240" w:lineRule="auto" w:before="1" w:after="0"/>
        <w:ind w:left="1489" w:right="0" w:hanging="530"/>
        <w:jc w:val="left"/>
        <w:rPr>
          <w:sz w:val="21"/>
        </w:rPr>
      </w:pPr>
      <w:r>
        <w:rPr>
          <w:spacing w:val="-3"/>
          <w:sz w:val="21"/>
        </w:rPr>
        <w:t>基金管理人的管理费。</w:t>
      </w:r>
    </w:p>
    <w:p>
      <w:pPr>
        <w:pStyle w:val="BodyText"/>
        <w:spacing w:before="6"/>
        <w:rPr>
          <w:sz w:val="15"/>
        </w:rPr>
      </w:pPr>
    </w:p>
    <w:p>
      <w:pPr>
        <w:pStyle w:val="ListParagraph"/>
        <w:numPr>
          <w:ilvl w:val="1"/>
          <w:numId w:val="11"/>
        </w:numPr>
        <w:tabs>
          <w:tab w:pos="1490" w:val="left" w:leader="none"/>
        </w:tabs>
        <w:spacing w:line="240" w:lineRule="auto" w:before="0" w:after="0"/>
        <w:ind w:left="1489" w:right="0" w:hanging="530"/>
        <w:jc w:val="left"/>
        <w:rPr>
          <w:sz w:val="21"/>
        </w:rPr>
      </w:pPr>
      <w:r>
        <w:rPr>
          <w:spacing w:val="-3"/>
          <w:sz w:val="21"/>
        </w:rPr>
        <w:t>基金托管人的托管费。</w:t>
      </w:r>
    </w:p>
    <w:p>
      <w:pPr>
        <w:pStyle w:val="BodyText"/>
        <w:spacing w:before="7"/>
        <w:rPr>
          <w:sz w:val="15"/>
        </w:rPr>
      </w:pPr>
    </w:p>
    <w:p>
      <w:pPr>
        <w:pStyle w:val="ListParagraph"/>
        <w:numPr>
          <w:ilvl w:val="1"/>
          <w:numId w:val="11"/>
        </w:numPr>
        <w:tabs>
          <w:tab w:pos="1490" w:val="left" w:leader="none"/>
        </w:tabs>
        <w:spacing w:line="417" w:lineRule="auto" w:before="0" w:after="0"/>
        <w:ind w:left="540" w:right="31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1"/>
          <w:numId w:val="11"/>
        </w:numPr>
        <w:tabs>
          <w:tab w:pos="1490" w:val="left" w:leader="none"/>
        </w:tabs>
        <w:spacing w:line="269" w:lineRule="exact" w:before="0" w:after="0"/>
        <w:ind w:left="1489" w:right="0" w:hanging="530"/>
        <w:jc w:val="left"/>
        <w:rPr>
          <w:sz w:val="21"/>
        </w:rPr>
      </w:pPr>
      <w:r>
        <w:rPr>
          <w:spacing w:val="-3"/>
          <w:sz w:val="21"/>
        </w:rPr>
        <w:t>《基金合同》生效后与基金相关的会计师费、律师费和诉讼费。</w:t>
      </w:r>
    </w:p>
    <w:p>
      <w:pPr>
        <w:pStyle w:val="BodyText"/>
        <w:spacing w:before="7"/>
        <w:rPr>
          <w:sz w:val="15"/>
        </w:rPr>
      </w:pPr>
    </w:p>
    <w:p>
      <w:pPr>
        <w:pStyle w:val="ListParagraph"/>
        <w:numPr>
          <w:ilvl w:val="1"/>
          <w:numId w:val="11"/>
        </w:numPr>
        <w:tabs>
          <w:tab w:pos="1490" w:val="left" w:leader="none"/>
        </w:tabs>
        <w:spacing w:line="240" w:lineRule="auto" w:before="0" w:after="0"/>
        <w:ind w:left="1489" w:right="0" w:hanging="530"/>
        <w:jc w:val="left"/>
        <w:rPr>
          <w:sz w:val="21"/>
        </w:rPr>
      </w:pPr>
      <w:r>
        <w:rPr>
          <w:spacing w:val="-3"/>
          <w:sz w:val="21"/>
        </w:rPr>
        <w:t>基金份额持有人大会费用。</w:t>
      </w:r>
    </w:p>
    <w:p>
      <w:pPr>
        <w:pStyle w:val="BodyText"/>
        <w:spacing w:before="6"/>
        <w:rPr>
          <w:sz w:val="15"/>
        </w:rPr>
      </w:pPr>
    </w:p>
    <w:p>
      <w:pPr>
        <w:pStyle w:val="ListParagraph"/>
        <w:numPr>
          <w:ilvl w:val="1"/>
          <w:numId w:val="11"/>
        </w:numPr>
        <w:tabs>
          <w:tab w:pos="1490" w:val="left" w:leader="none"/>
        </w:tabs>
        <w:spacing w:line="417" w:lineRule="auto" w:before="1" w:after="0"/>
        <w:ind w:left="540" w:right="313" w:firstLine="419"/>
        <w:jc w:val="left"/>
        <w:rPr>
          <w:sz w:val="21"/>
        </w:rPr>
      </w:pPr>
      <w:r>
        <w:rPr>
          <w:spacing w:val="-3"/>
          <w:sz w:val="21"/>
        </w:rPr>
        <w:t>基金的证券、期货交易费用（包括但不限于经手费、印花税、证管费、过户费、手续费、券商佣金、权证交易的结算费、证券账户相关费用及其他类似性质的费用等</w:t>
      </w:r>
      <w:r>
        <w:rPr>
          <w:spacing w:val="-108"/>
          <w:sz w:val="21"/>
        </w:rPr>
        <w:t>）</w:t>
      </w:r>
      <w:r>
        <w:rPr>
          <w:sz w:val="21"/>
        </w:rPr>
        <w:t>。</w:t>
      </w:r>
    </w:p>
    <w:p>
      <w:pPr>
        <w:pStyle w:val="ListParagraph"/>
        <w:numPr>
          <w:ilvl w:val="1"/>
          <w:numId w:val="11"/>
        </w:numPr>
        <w:tabs>
          <w:tab w:pos="1490" w:val="left" w:leader="none"/>
        </w:tabs>
        <w:spacing w:line="240" w:lineRule="auto" w:before="0" w:after="0"/>
        <w:ind w:left="1489" w:right="0" w:hanging="530"/>
        <w:jc w:val="left"/>
        <w:rPr>
          <w:sz w:val="21"/>
        </w:rPr>
      </w:pPr>
      <w:r>
        <w:rPr>
          <w:spacing w:val="-3"/>
          <w:sz w:val="21"/>
        </w:rPr>
        <w:t>基金的银行汇划费用。</w:t>
      </w:r>
    </w:p>
    <w:p>
      <w:pPr>
        <w:pStyle w:val="BodyText"/>
        <w:spacing w:before="6"/>
        <w:rPr>
          <w:sz w:val="15"/>
        </w:rPr>
      </w:pPr>
    </w:p>
    <w:p>
      <w:pPr>
        <w:pStyle w:val="ListParagraph"/>
        <w:numPr>
          <w:ilvl w:val="1"/>
          <w:numId w:val="11"/>
        </w:numPr>
        <w:tabs>
          <w:tab w:pos="1490" w:val="left" w:leader="none"/>
        </w:tabs>
        <w:spacing w:line="240" w:lineRule="auto" w:before="1" w:after="0"/>
        <w:ind w:left="1489" w:right="0" w:hanging="530"/>
        <w:jc w:val="left"/>
        <w:rPr>
          <w:sz w:val="21"/>
        </w:rPr>
      </w:pPr>
      <w:r>
        <w:rPr>
          <w:spacing w:val="-3"/>
          <w:sz w:val="21"/>
        </w:rPr>
        <w:t>基金上市初费及年费</w:t>
      </w:r>
      <w:r>
        <w:rPr>
          <w:sz w:val="21"/>
        </w:rPr>
        <w:t>（</w:t>
      </w:r>
      <w:r>
        <w:rPr>
          <w:spacing w:val="-2"/>
          <w:sz w:val="21"/>
        </w:rPr>
        <w:t>如有</w:t>
      </w:r>
      <w:r>
        <w:rPr>
          <w:spacing w:val="-106"/>
          <w:sz w:val="21"/>
        </w:rPr>
        <w:t>）</w:t>
      </w:r>
      <w:r>
        <w:rPr>
          <w:sz w:val="21"/>
        </w:rPr>
        <w:t>。</w:t>
      </w:r>
    </w:p>
    <w:p>
      <w:pPr>
        <w:pStyle w:val="BodyText"/>
        <w:spacing w:before="6"/>
        <w:rPr>
          <w:sz w:val="15"/>
        </w:rPr>
      </w:pPr>
    </w:p>
    <w:p>
      <w:pPr>
        <w:pStyle w:val="ListParagraph"/>
        <w:numPr>
          <w:ilvl w:val="1"/>
          <w:numId w:val="11"/>
        </w:numPr>
        <w:tabs>
          <w:tab w:pos="1490" w:val="left" w:leader="none"/>
        </w:tabs>
        <w:spacing w:line="240" w:lineRule="auto" w:before="0" w:after="0"/>
        <w:ind w:left="1489" w:right="0" w:hanging="530"/>
        <w:jc w:val="left"/>
        <w:rPr>
          <w:sz w:val="21"/>
        </w:rPr>
      </w:pPr>
      <w:r>
        <w:rPr>
          <w:spacing w:val="-3"/>
          <w:sz w:val="21"/>
        </w:rPr>
        <w:t>按照国家有关规定和《基金合同》约定，可以在基金财产中列支的其他费用。</w:t>
      </w:r>
    </w:p>
    <w:p>
      <w:pPr>
        <w:pStyle w:val="BodyText"/>
        <w:spacing w:before="7"/>
        <w:rPr>
          <w:sz w:val="15"/>
        </w:rPr>
      </w:pPr>
    </w:p>
    <w:p>
      <w:pPr>
        <w:pStyle w:val="BodyText"/>
        <w:ind w:left="960"/>
      </w:pPr>
      <w:r>
        <w:rPr>
          <w:rFonts w:ascii="Times New Roman" w:eastAsia="Times New Roman"/>
        </w:rPr>
        <w:t>2</w:t>
      </w:r>
      <w:r>
        <w:rPr/>
        <w:t>、基金费用计提方法、计提标准和支付方式</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6"/>
        <w:rPr>
          <w:sz w:val="15"/>
        </w:rPr>
      </w:pPr>
    </w:p>
    <w:p>
      <w:pPr>
        <w:pStyle w:val="BodyText"/>
        <w:spacing w:line="417" w:lineRule="auto" w:before="1"/>
        <w:ind w:left="960" w:right="297"/>
      </w:pPr>
      <w:r>
        <w:rPr/>
        <w:t>本基金的管理费按前一日基金资产净值的 </w:t>
      </w:r>
      <w:r>
        <w:rPr>
          <w:rFonts w:ascii="Times New Roman" w:hAnsi="Times New Roman" w:eastAsia="Times New Roman"/>
        </w:rPr>
        <w:t>1.5%</w:t>
      </w:r>
      <w:r>
        <w:rPr/>
        <w:t>年费率计提。管理费的计算方法如下： </w:t>
      </w:r>
      <w:r>
        <w:rPr>
          <w:rFonts w:ascii="Times New Roman" w:hAnsi="Times New Roman" w:eastAsia="Times New Roman"/>
        </w:rPr>
        <w:t>H</w:t>
      </w:r>
      <w:r>
        <w:rPr/>
        <w:t>＝</w:t>
      </w:r>
      <w:r>
        <w:rPr>
          <w:rFonts w:ascii="Times New Roman" w:hAnsi="Times New Roman" w:eastAsia="Times New Roman"/>
        </w:rPr>
        <w:t>E×1.5 %÷</w:t>
      </w:r>
      <w:r>
        <w:rPr/>
        <w:t>当年天数</w:t>
      </w:r>
    </w:p>
    <w:p>
      <w:pPr>
        <w:spacing w:after="0" w:line="417" w:lineRule="auto"/>
        <w:sectPr>
          <w:pgSz w:w="11910" w:h="16840"/>
          <w:pgMar w:header="877" w:footer="995" w:top="1420" w:bottom="1180" w:left="1260" w:right="1480"/>
        </w:sectPr>
      </w:pPr>
    </w:p>
    <w:p>
      <w:pPr>
        <w:pStyle w:val="BodyText"/>
        <w:spacing w:before="110"/>
        <w:ind w:left="960"/>
        <w:jc w:val="both"/>
      </w:pPr>
      <w:r>
        <w:rPr>
          <w:rFonts w:ascii="Times New Roman" w:eastAsia="Times New Roman"/>
        </w:rPr>
        <w:t>H </w:t>
      </w:r>
      <w:r>
        <w:rPr/>
        <w:t>为每日应计提的基金管理费</w:t>
      </w:r>
    </w:p>
    <w:p>
      <w:pPr>
        <w:pStyle w:val="BodyText"/>
        <w:spacing w:before="6"/>
        <w:rPr>
          <w:sz w:val="15"/>
        </w:rPr>
      </w:pPr>
    </w:p>
    <w:p>
      <w:pPr>
        <w:pStyle w:val="BodyText"/>
        <w:ind w:left="96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40" w:right="311" w:firstLine="419"/>
        <w:jc w:val="both"/>
      </w:pPr>
      <w:r>
        <w:rPr>
          <w:spacing w:val="-9"/>
        </w:rPr>
        <w:t>基金管理费每日计算，逐日累计至每月月末，按月支付，由基金管理人向基金托管人发</w:t>
      </w:r>
      <w:r>
        <w:rPr>
          <w:spacing w:val="-14"/>
        </w:rPr>
        <w:t>送基金管理费划款指令，基金托管人复核后于次月前 </w:t>
      </w:r>
      <w:r>
        <w:rPr>
          <w:rFonts w:ascii="Times New Roman" w:eastAsia="Times New Roman"/>
        </w:rPr>
        <w:t>5 </w:t>
      </w:r>
      <w:r>
        <w:rPr>
          <w:spacing w:val="-3"/>
        </w:rPr>
        <w:t>个工作日内从基金财产中一次性支付给基金管理人。若遇法定节假日、公休假等，支付日期顺延。</w:t>
      </w:r>
    </w:p>
    <w:p>
      <w:pPr>
        <w:pStyle w:val="ListParagraph"/>
        <w:numPr>
          <w:ilvl w:val="0"/>
          <w:numId w:val="31"/>
        </w:numPr>
        <w:tabs>
          <w:tab w:pos="1490" w:val="left" w:leader="none"/>
        </w:tabs>
        <w:spacing w:line="269" w:lineRule="exact" w:before="0" w:after="0"/>
        <w:ind w:left="1489" w:right="0" w:hanging="530"/>
        <w:jc w:val="left"/>
        <w:rPr>
          <w:sz w:val="21"/>
        </w:rPr>
      </w:pPr>
      <w:r>
        <w:rPr>
          <w:spacing w:val="-3"/>
          <w:sz w:val="21"/>
        </w:rPr>
        <w:t>基金托管人的托管费</w:t>
      </w:r>
    </w:p>
    <w:p>
      <w:pPr>
        <w:pStyle w:val="BodyText"/>
        <w:spacing w:before="7"/>
        <w:rPr>
          <w:sz w:val="15"/>
        </w:rPr>
      </w:pPr>
    </w:p>
    <w:p>
      <w:pPr>
        <w:pStyle w:val="BodyText"/>
        <w:spacing w:line="417" w:lineRule="auto"/>
        <w:ind w:left="960" w:right="104"/>
      </w:pPr>
      <w:r>
        <w:rPr>
          <w:spacing w:val="-5"/>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ind w:left="960"/>
      </w:pPr>
      <w:r>
        <w:rPr>
          <w:rFonts w:ascii="Times New Roman" w:eastAsia="Times New Roman"/>
        </w:rPr>
        <w:t>H </w:t>
      </w:r>
      <w:r>
        <w:rPr/>
        <w:t>为每日应计提的基金托管费</w:t>
      </w:r>
    </w:p>
    <w:p>
      <w:pPr>
        <w:pStyle w:val="BodyText"/>
        <w:spacing w:before="7"/>
        <w:rPr>
          <w:sz w:val="15"/>
        </w:rPr>
      </w:pPr>
    </w:p>
    <w:p>
      <w:pPr>
        <w:pStyle w:val="BodyText"/>
        <w:ind w:left="96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40" w:right="102" w:firstLine="419"/>
      </w:pPr>
      <w:r>
        <w:rPr>
          <w:spacing w:val="-9"/>
        </w:rPr>
        <w:t>基金托管费每日计算，逐日累计至每月月末，按月支付，由基金管理人向基金托管人发 </w:t>
      </w:r>
      <w:r>
        <w:rPr>
          <w:spacing w:val="-14"/>
        </w:rPr>
        <w:t>送基金托管费划款指令，基金托管人复核后于次月前 </w:t>
      </w:r>
      <w:r>
        <w:rPr>
          <w:rFonts w:ascii="Times New Roman" w:eastAsia="Times New Roman"/>
        </w:rPr>
        <w:t>5 </w:t>
      </w:r>
      <w:r>
        <w:rPr>
          <w:spacing w:val="-3"/>
        </w:rPr>
        <w:t>个工作日内从基金财产中一次性支取。若遇法定节假日、公休日等，支付日期顺延。</w:t>
      </w:r>
    </w:p>
    <w:p>
      <w:pPr>
        <w:pStyle w:val="ListParagraph"/>
        <w:numPr>
          <w:ilvl w:val="0"/>
          <w:numId w:val="31"/>
        </w:numPr>
        <w:tabs>
          <w:tab w:pos="1490" w:val="left" w:leader="none"/>
        </w:tabs>
        <w:spacing w:line="417" w:lineRule="auto" w:before="0" w:after="0"/>
        <w:ind w:left="540" w:right="313" w:firstLine="419"/>
        <w:jc w:val="left"/>
        <w:rPr>
          <w:sz w:val="21"/>
        </w:rPr>
      </w:pPr>
      <w:r>
        <w:rPr>
          <w:spacing w:val="-2"/>
          <w:sz w:val="21"/>
        </w:rPr>
        <w:t>上述</w:t>
      </w:r>
      <w:r>
        <w:rPr>
          <w:rFonts w:ascii="Times New Roman" w:hAnsi="Times New Roman" w:eastAsia="Times New Roman"/>
          <w:sz w:val="21"/>
        </w:rPr>
        <w:t>“1</w:t>
      </w:r>
      <w:r>
        <w:rPr>
          <w:spacing w:val="-4"/>
          <w:sz w:val="21"/>
        </w:rPr>
        <w:t>、基金费用的种类</w:t>
      </w:r>
      <w:r>
        <w:rPr>
          <w:rFonts w:ascii="Times New Roman" w:hAnsi="Times New Roman" w:eastAsia="Times New Roman"/>
          <w:spacing w:val="-3"/>
          <w:sz w:val="21"/>
        </w:rPr>
        <w:t>”</w:t>
      </w:r>
      <w:r>
        <w:rPr>
          <w:spacing w:val="-7"/>
          <w:sz w:val="21"/>
        </w:rPr>
        <w:t>中第</w:t>
      </w:r>
      <w:r>
        <w:rPr>
          <w:spacing w:val="-6"/>
          <w:sz w:val="21"/>
        </w:rPr>
        <w:t>（</w:t>
      </w:r>
      <w:r>
        <w:rPr>
          <w:rFonts w:ascii="Times New Roman" w:hAnsi="Times New Roman" w:eastAsia="Times New Roman"/>
          <w:spacing w:val="-6"/>
          <w:sz w:val="21"/>
        </w:rPr>
        <w:t>3</w:t>
      </w:r>
      <w:r>
        <w:rPr>
          <w:spacing w:val="-6"/>
          <w:sz w:val="21"/>
        </w:rPr>
        <w:t>）－（</w:t>
      </w:r>
      <w:r>
        <w:rPr>
          <w:rFonts w:ascii="Times New Roman" w:hAnsi="Times New Roman" w:eastAsia="Times New Roman"/>
          <w:spacing w:val="-6"/>
          <w:sz w:val="21"/>
        </w:rPr>
        <w:t>8</w:t>
      </w:r>
      <w:r>
        <w:rPr>
          <w:spacing w:val="-6"/>
          <w:sz w:val="21"/>
        </w:rPr>
        <w:t>）</w:t>
      </w:r>
      <w:r>
        <w:rPr>
          <w:spacing w:val="-5"/>
          <w:sz w:val="21"/>
        </w:rPr>
        <w:t>项费用，根据有关法规及相应协议规</w:t>
      </w:r>
      <w:r>
        <w:rPr>
          <w:spacing w:val="-4"/>
          <w:sz w:val="21"/>
        </w:rPr>
        <w:t>定，按费用实际支出金额列入当期费用，由基金托管人从基金财产中支付。</w:t>
      </w:r>
    </w:p>
    <w:p>
      <w:pPr>
        <w:pStyle w:val="BodyText"/>
        <w:spacing w:line="417" w:lineRule="auto"/>
        <w:ind w:left="960" w:right="5681"/>
      </w:pPr>
      <w:r>
        <w:rPr>
          <w:rFonts w:ascii="Times New Roman" w:eastAsia="Times New Roman"/>
        </w:rPr>
        <w:t>3</w:t>
      </w:r>
      <w:r>
        <w:rPr/>
        <w:t>、不列入基金费用的项目下列费用不列入基金费用：</w:t>
      </w:r>
    </w:p>
    <w:p>
      <w:pPr>
        <w:pStyle w:val="ListParagraph"/>
        <w:numPr>
          <w:ilvl w:val="0"/>
          <w:numId w:val="32"/>
        </w:numPr>
        <w:tabs>
          <w:tab w:pos="1490" w:val="left" w:leader="none"/>
        </w:tabs>
        <w:spacing w:line="417" w:lineRule="auto" w:before="0" w:after="0"/>
        <w:ind w:left="540" w:right="314" w:firstLine="419"/>
        <w:jc w:val="left"/>
        <w:rPr>
          <w:sz w:val="21"/>
        </w:rPr>
      </w:pPr>
      <w:r>
        <w:rPr>
          <w:spacing w:val="-3"/>
          <w:sz w:val="21"/>
        </w:rPr>
        <w:t>基金管理人和基金托管人因未履行或未完全履行义务导致的费用支出或基金财产的损失。</w:t>
      </w:r>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基金管理人和基金托管人处理与基金运作无关的事项发生的费用。</w:t>
      </w:r>
    </w:p>
    <w:p>
      <w:pPr>
        <w:pStyle w:val="BodyText"/>
        <w:spacing w:before="5"/>
        <w:rPr>
          <w:sz w:val="15"/>
        </w:rPr>
      </w:pPr>
    </w:p>
    <w:p>
      <w:pPr>
        <w:pStyle w:val="ListParagraph"/>
        <w:numPr>
          <w:ilvl w:val="0"/>
          <w:numId w:val="32"/>
        </w:numPr>
        <w:tabs>
          <w:tab w:pos="1490" w:val="left" w:leader="none"/>
        </w:tabs>
        <w:spacing w:line="240" w:lineRule="auto" w:before="1" w:after="0"/>
        <w:ind w:left="1489" w:right="0" w:hanging="530"/>
        <w:jc w:val="left"/>
        <w:rPr>
          <w:sz w:val="21"/>
        </w:rPr>
      </w:pPr>
      <w:r>
        <w:rPr>
          <w:spacing w:val="-3"/>
          <w:sz w:val="21"/>
        </w:rPr>
        <w:t>《基金合同》生效前的相关费用。</w:t>
      </w:r>
    </w:p>
    <w:p>
      <w:pPr>
        <w:pStyle w:val="BodyText"/>
        <w:spacing w:before="7"/>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其他根据相关法律法规及中国证监会的有关规定不得列入基金费用的项目。</w:t>
      </w:r>
    </w:p>
    <w:p>
      <w:pPr>
        <w:pStyle w:val="BodyText"/>
        <w:spacing w:before="7"/>
        <w:rPr>
          <w:sz w:val="15"/>
        </w:rPr>
      </w:pPr>
    </w:p>
    <w:p>
      <w:pPr>
        <w:pStyle w:val="BodyText"/>
        <w:ind w:left="960"/>
      </w:pPr>
      <w:r>
        <w:rPr/>
        <w:t>（二）基金销售费用</w:t>
      </w:r>
    </w:p>
    <w:p>
      <w:pPr>
        <w:pStyle w:val="BodyText"/>
        <w:spacing w:before="6"/>
        <w:rPr>
          <w:sz w:val="15"/>
        </w:rPr>
      </w:pPr>
    </w:p>
    <w:p>
      <w:pPr>
        <w:pStyle w:val="BodyText"/>
        <w:spacing w:line="417" w:lineRule="auto" w:before="1"/>
        <w:ind w:left="540" w:right="311" w:firstLine="419"/>
        <w:jc w:val="both"/>
      </w:pPr>
      <w:r>
        <w:rPr>
          <w:spacing w:val="-11"/>
        </w:rPr>
        <w:t>本基金申购费、赎回费的费率水平、计算公式、收取方式和使用方式请详见本招募说明书</w:t>
      </w:r>
      <w:r>
        <w:rPr>
          <w:rFonts w:ascii="Times New Roman" w:hAnsi="Times New Roman" w:eastAsia="Times New Roman"/>
          <w:spacing w:val="-11"/>
        </w:rPr>
        <w:t>“</w:t>
      </w:r>
      <w:r>
        <w:rPr>
          <w:spacing w:val="-11"/>
        </w:rPr>
        <w:t>八、基金份额的申购、赎回与转换</w:t>
      </w:r>
      <w:r>
        <w:rPr>
          <w:rFonts w:ascii="Times New Roman" w:hAnsi="Times New Roman" w:eastAsia="Times New Roman"/>
        </w:rPr>
        <w:t>”</w:t>
      </w:r>
      <w:r>
        <w:rPr/>
        <w:t>中的</w:t>
      </w:r>
      <w:r>
        <w:rPr>
          <w:rFonts w:ascii="Times New Roman" w:hAnsi="Times New Roman" w:eastAsia="Times New Roman"/>
        </w:rPr>
        <w:t>“</w:t>
      </w:r>
      <w:r>
        <w:rPr/>
        <w:t>（六）申购费与赎回费</w:t>
      </w:r>
      <w:r>
        <w:rPr>
          <w:rFonts w:ascii="Times New Roman" w:hAnsi="Times New Roman" w:eastAsia="Times New Roman"/>
        </w:rPr>
        <w:t>”</w:t>
      </w:r>
      <w:r>
        <w:rPr/>
        <w:t>与</w:t>
      </w:r>
      <w:r>
        <w:rPr>
          <w:rFonts w:ascii="Times New Roman" w:hAnsi="Times New Roman" w:eastAsia="Times New Roman"/>
        </w:rPr>
        <w:t>“</w:t>
      </w:r>
      <w:r>
        <w:rPr/>
        <w:t>（七）申购份额与</w:t>
      </w:r>
      <w:r>
        <w:rPr>
          <w:spacing w:val="-3"/>
        </w:rPr>
        <w:t>赎回金额的计算方式</w:t>
      </w:r>
      <w:r>
        <w:rPr>
          <w:rFonts w:ascii="Times New Roman" w:hAnsi="Times New Roman" w:eastAsia="Times New Roman"/>
        </w:rPr>
        <w:t>”</w:t>
      </w:r>
      <w:r>
        <w:rPr>
          <w:spacing w:val="-3"/>
        </w:rPr>
        <w:t>中的相关规定。</w:t>
      </w:r>
    </w:p>
    <w:p>
      <w:pPr>
        <w:pStyle w:val="BodyText"/>
        <w:spacing w:line="417" w:lineRule="auto"/>
        <w:ind w:left="540" w:right="208" w:firstLine="419"/>
      </w:pPr>
      <w:r>
        <w:rPr/>
        <w:t>本基金转换费的费率水平、计算公式、收取方式和使用方式请详见本招募说明书“八、基金份额的申购、赎回与转换”中的“（十二）基金转换”中的相关规定。</w:t>
      </w:r>
    </w:p>
    <w:p>
      <w:pPr>
        <w:pStyle w:val="BodyText"/>
        <w:ind w:left="960"/>
      </w:pPr>
      <w:r>
        <w:rPr/>
        <w:t>（三）税收</w:t>
      </w:r>
    </w:p>
    <w:p>
      <w:pPr>
        <w:pStyle w:val="BodyText"/>
        <w:spacing w:before="6"/>
        <w:rPr>
          <w:sz w:val="15"/>
        </w:rPr>
      </w:pPr>
    </w:p>
    <w:p>
      <w:pPr>
        <w:pStyle w:val="BodyText"/>
        <w:ind w:left="1013"/>
      </w:pPr>
      <w:r>
        <w:rPr/>
        <w:t>本基金运作过程中涉及的各纳税主体，其纳税义务按国家税收法律、法规执行。</w:t>
      </w:r>
    </w:p>
    <w:p>
      <w:pPr>
        <w:spacing w:after="0"/>
        <w:sectPr>
          <w:pgSz w:w="11910" w:h="16840"/>
          <w:pgMar w:header="877" w:footer="995" w:top="1420" w:bottom="1180" w:left="1260" w:right="1480"/>
        </w:sectPr>
      </w:pPr>
    </w:p>
    <w:p>
      <w:pPr>
        <w:pStyle w:val="Heading1"/>
        <w:spacing w:before="110"/>
        <w:ind w:right="2239"/>
      </w:pPr>
      <w:bookmarkStart w:name="_bookmark14" w:id="15"/>
      <w:bookmarkEnd w:id="15"/>
      <w:r>
        <w:rPr>
          <w:b w:val="0"/>
        </w:rPr>
      </w:r>
      <w:r>
        <w:rPr/>
        <w:t>十五、基金的会计与审计</w:t>
      </w:r>
    </w:p>
    <w:p>
      <w:pPr>
        <w:pStyle w:val="BodyText"/>
        <w:spacing w:before="4"/>
        <w:rPr>
          <w:b/>
          <w:sz w:val="19"/>
        </w:rPr>
      </w:pPr>
    </w:p>
    <w:p>
      <w:pPr>
        <w:pStyle w:val="BodyText"/>
        <w:spacing w:before="71"/>
        <w:ind w:left="960"/>
      </w:pPr>
      <w:r>
        <w:rPr/>
        <w:t>（一）基金会计政策</w:t>
      </w:r>
    </w:p>
    <w:p>
      <w:pPr>
        <w:pStyle w:val="BodyText"/>
        <w:spacing w:before="7"/>
        <w:rPr>
          <w:sz w:val="15"/>
        </w:rPr>
      </w:pPr>
    </w:p>
    <w:p>
      <w:pPr>
        <w:pStyle w:val="BodyText"/>
        <w:ind w:left="960"/>
      </w:pPr>
      <w:r>
        <w:rPr>
          <w:rFonts w:ascii="Times New Roman" w:eastAsia="Times New Roman"/>
        </w:rPr>
        <w:t>1</w:t>
      </w:r>
      <w:r>
        <w:rPr/>
        <w:t>、基金管理人为本基金的基金会计责任方。</w:t>
      </w:r>
    </w:p>
    <w:p>
      <w:pPr>
        <w:pStyle w:val="BodyText"/>
        <w:spacing w:before="7"/>
        <w:rPr>
          <w:sz w:val="15"/>
        </w:rPr>
      </w:pPr>
    </w:p>
    <w:p>
      <w:pPr>
        <w:pStyle w:val="BodyText"/>
        <w:ind w:left="96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ind w:left="96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960"/>
      </w:pPr>
      <w:r>
        <w:rPr>
          <w:rFonts w:ascii="Times New Roman" w:eastAsia="Times New Roman"/>
        </w:rPr>
        <w:t>4</w:t>
      </w:r>
      <w:r>
        <w:rPr/>
        <w:t>、会计制度执行国家有关会计制度。</w:t>
      </w:r>
    </w:p>
    <w:p>
      <w:pPr>
        <w:pStyle w:val="BodyText"/>
        <w:spacing w:before="7"/>
        <w:rPr>
          <w:sz w:val="15"/>
        </w:rPr>
      </w:pPr>
    </w:p>
    <w:p>
      <w:pPr>
        <w:pStyle w:val="BodyText"/>
        <w:ind w:left="96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540" w:right="31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540" w:right="31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960"/>
      </w:pPr>
      <w:r>
        <w:rPr/>
        <w:t>（二）基金的年度审计</w:t>
      </w:r>
    </w:p>
    <w:p>
      <w:pPr>
        <w:pStyle w:val="BodyText"/>
        <w:spacing w:before="7"/>
        <w:rPr>
          <w:sz w:val="15"/>
        </w:rPr>
      </w:pPr>
    </w:p>
    <w:p>
      <w:pPr>
        <w:pStyle w:val="BodyText"/>
        <w:spacing w:line="417" w:lineRule="auto"/>
        <w:ind w:left="540" w:right="31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ind w:left="960"/>
      </w:pPr>
      <w:r>
        <w:rPr>
          <w:rFonts w:ascii="Times New Roman" w:eastAsia="Times New Roman"/>
        </w:rPr>
        <w:t>2</w:t>
      </w:r>
      <w:r>
        <w:rPr/>
        <w:t>、会计师事务所更换经办注册会计师，应事先征得基金管理人同意。</w:t>
      </w:r>
    </w:p>
    <w:p>
      <w:pPr>
        <w:pStyle w:val="BodyText"/>
        <w:spacing w:before="6"/>
        <w:rPr>
          <w:sz w:val="15"/>
        </w:rPr>
      </w:pPr>
    </w:p>
    <w:p>
      <w:pPr>
        <w:pStyle w:val="BodyText"/>
        <w:spacing w:line="417" w:lineRule="auto" w:before="1"/>
        <w:ind w:left="540" w:right="31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pStyle w:val="Heading1"/>
        <w:spacing w:before="119"/>
        <w:ind w:left="3639" w:right="0"/>
        <w:jc w:val="left"/>
      </w:pPr>
      <w:bookmarkStart w:name="_bookmark15" w:id="16"/>
      <w:bookmarkEnd w:id="16"/>
      <w:r>
        <w:rPr>
          <w:b w:val="0"/>
        </w:rPr>
      </w:r>
      <w:r>
        <w:rPr/>
        <w:t>十六、基金的信息披露</w:t>
      </w:r>
    </w:p>
    <w:p>
      <w:pPr>
        <w:pStyle w:val="BodyText"/>
        <w:spacing w:before="11"/>
        <w:rPr>
          <w:b/>
          <w:sz w:val="24"/>
        </w:rPr>
      </w:pPr>
    </w:p>
    <w:p>
      <w:pPr>
        <w:pStyle w:val="BodyText"/>
        <w:spacing w:line="417" w:lineRule="auto" w:before="1"/>
        <w:ind w:left="540" w:right="31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ind w:left="960"/>
      </w:pPr>
      <w:r>
        <w:rPr/>
        <w:t>（二）信息披露义务人</w:t>
      </w:r>
    </w:p>
    <w:p>
      <w:pPr>
        <w:pStyle w:val="BodyText"/>
        <w:spacing w:before="6"/>
        <w:rPr>
          <w:sz w:val="15"/>
        </w:rPr>
      </w:pPr>
    </w:p>
    <w:p>
      <w:pPr>
        <w:pStyle w:val="BodyText"/>
        <w:spacing w:line="417" w:lineRule="auto" w:before="1"/>
        <w:ind w:left="540" w:right="31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540" w:right="31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540" w:right="31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spacing w:after="0" w:line="417" w:lineRule="auto"/>
        <w:jc w:val="both"/>
        <w:sectPr>
          <w:pgSz w:w="11910" w:h="16840"/>
          <w:pgMar w:header="877" w:footer="995" w:top="1420" w:bottom="1180" w:left="1260" w:right="1480"/>
        </w:sectPr>
      </w:pPr>
    </w:p>
    <w:p>
      <w:pPr>
        <w:pStyle w:val="BodyText"/>
        <w:spacing w:before="110"/>
        <w:ind w:left="960"/>
      </w:pPr>
      <w:r>
        <w:rPr/>
        <w:t>（三）本基金信息披露义务人承诺公开披露的基金信息，不得有下列行为：</w:t>
      </w:r>
    </w:p>
    <w:p>
      <w:pPr>
        <w:pStyle w:val="BodyText"/>
        <w:spacing w:before="6"/>
        <w:rPr>
          <w:sz w:val="15"/>
        </w:rPr>
      </w:pPr>
    </w:p>
    <w:p>
      <w:pPr>
        <w:pStyle w:val="BodyText"/>
        <w:ind w:left="960"/>
      </w:pPr>
      <w:r>
        <w:rPr>
          <w:rFonts w:ascii="Times New Roman" w:eastAsia="Times New Roman"/>
        </w:rPr>
        <w:t>1</w:t>
      </w:r>
      <w:r>
        <w:rPr/>
        <w:t>、虚假记载、误导性陈述或者重大遗漏；</w:t>
      </w:r>
    </w:p>
    <w:p>
      <w:pPr>
        <w:pStyle w:val="BodyText"/>
        <w:spacing w:before="7"/>
        <w:rPr>
          <w:sz w:val="15"/>
        </w:rPr>
      </w:pPr>
    </w:p>
    <w:p>
      <w:pPr>
        <w:pStyle w:val="BodyText"/>
        <w:ind w:left="960"/>
      </w:pPr>
      <w:r>
        <w:rPr>
          <w:rFonts w:ascii="Times New Roman" w:eastAsia="Times New Roman"/>
        </w:rPr>
        <w:t>2</w:t>
      </w:r>
      <w:r>
        <w:rPr/>
        <w:t>、对证券投资业绩进行预测；</w:t>
      </w:r>
    </w:p>
    <w:p>
      <w:pPr>
        <w:pStyle w:val="BodyText"/>
        <w:spacing w:before="7"/>
        <w:rPr>
          <w:sz w:val="15"/>
        </w:rPr>
      </w:pPr>
    </w:p>
    <w:p>
      <w:pPr>
        <w:pStyle w:val="BodyText"/>
        <w:ind w:left="960"/>
      </w:pPr>
      <w:r>
        <w:rPr>
          <w:rFonts w:ascii="Times New Roman" w:eastAsia="Times New Roman"/>
        </w:rPr>
        <w:t>3</w:t>
      </w:r>
      <w:r>
        <w:rPr/>
        <w:t>、违规承诺收益或者承担损失；</w:t>
      </w:r>
    </w:p>
    <w:p>
      <w:pPr>
        <w:pStyle w:val="BodyText"/>
        <w:spacing w:before="7"/>
        <w:rPr>
          <w:sz w:val="15"/>
        </w:rPr>
      </w:pPr>
    </w:p>
    <w:p>
      <w:pPr>
        <w:pStyle w:val="BodyText"/>
        <w:ind w:left="960"/>
      </w:pPr>
      <w:r>
        <w:rPr>
          <w:rFonts w:ascii="Times New Roman" w:eastAsia="Times New Roman"/>
        </w:rPr>
        <w:t>4</w:t>
      </w:r>
      <w:r>
        <w:rPr/>
        <w:t>、诋毁其他基金管理人、基金托管人或者基金销售机构；</w:t>
      </w:r>
    </w:p>
    <w:p>
      <w:pPr>
        <w:pStyle w:val="BodyText"/>
        <w:spacing w:before="6"/>
        <w:rPr>
          <w:sz w:val="15"/>
        </w:rPr>
      </w:pPr>
    </w:p>
    <w:p>
      <w:pPr>
        <w:pStyle w:val="BodyText"/>
        <w:ind w:left="960"/>
      </w:pPr>
      <w:r>
        <w:rPr>
          <w:rFonts w:ascii="Times New Roman" w:eastAsia="Times New Roman"/>
        </w:rPr>
        <w:t>5</w:t>
      </w:r>
      <w:r>
        <w:rPr/>
        <w:t>、登载任何自然人、法人和非法人组织的祝贺性、恭维性或推荐性文字；</w:t>
      </w:r>
    </w:p>
    <w:p>
      <w:pPr>
        <w:pStyle w:val="BodyText"/>
        <w:spacing w:before="7"/>
        <w:rPr>
          <w:sz w:val="15"/>
        </w:rPr>
      </w:pPr>
    </w:p>
    <w:p>
      <w:pPr>
        <w:pStyle w:val="BodyText"/>
        <w:ind w:left="960"/>
      </w:pPr>
      <w:r>
        <w:rPr>
          <w:rFonts w:ascii="Times New Roman" w:eastAsia="Times New Roman"/>
        </w:rPr>
        <w:t>6</w:t>
      </w:r>
      <w:r>
        <w:rPr/>
        <w:t>、中国证监会禁止的其他行为。</w:t>
      </w:r>
    </w:p>
    <w:p>
      <w:pPr>
        <w:pStyle w:val="BodyText"/>
        <w:spacing w:before="7"/>
        <w:rPr>
          <w:sz w:val="15"/>
        </w:rPr>
      </w:pPr>
    </w:p>
    <w:p>
      <w:pPr>
        <w:pStyle w:val="BodyText"/>
        <w:spacing w:line="417" w:lineRule="auto" w:before="1"/>
        <w:ind w:left="540" w:right="31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960"/>
      </w:pPr>
      <w:r>
        <w:rPr/>
        <w:t>本基金公开披露的信息采用阿拉伯数字；除特别说明外，货币单位为人民币元。</w:t>
      </w:r>
    </w:p>
    <w:p>
      <w:pPr>
        <w:pStyle w:val="BodyText"/>
        <w:spacing w:before="6"/>
        <w:rPr>
          <w:sz w:val="15"/>
        </w:rPr>
      </w:pPr>
    </w:p>
    <w:p>
      <w:pPr>
        <w:pStyle w:val="BodyText"/>
        <w:spacing w:line="417" w:lineRule="auto"/>
        <w:ind w:left="960" w:right="5681"/>
      </w:pPr>
      <w:r>
        <w:rPr/>
        <w:t>（五）公开披露的基金信息公开披露的基金信息包括：</w:t>
      </w:r>
    </w:p>
    <w:p>
      <w:pPr>
        <w:pStyle w:val="BodyText"/>
        <w:spacing w:line="269" w:lineRule="exact"/>
        <w:ind w:left="960"/>
      </w:pPr>
      <w:r>
        <w:rPr>
          <w:rFonts w:ascii="Times New Roman" w:eastAsia="Times New Roman"/>
        </w:rPr>
        <w:t>1</w:t>
      </w:r>
      <w:r>
        <w:rPr/>
        <w:t>、基金招募说明书、《基金合同》、基金托管协议</w:t>
      </w:r>
    </w:p>
    <w:p>
      <w:pPr>
        <w:pStyle w:val="BodyText"/>
        <w:spacing w:before="7"/>
        <w:rPr>
          <w:sz w:val="15"/>
        </w:rPr>
      </w:pPr>
    </w:p>
    <w:p>
      <w:pPr>
        <w:pStyle w:val="ListParagraph"/>
        <w:numPr>
          <w:ilvl w:val="0"/>
          <w:numId w:val="33"/>
        </w:numPr>
        <w:tabs>
          <w:tab w:pos="1490" w:val="left" w:leader="none"/>
        </w:tabs>
        <w:spacing w:line="417" w:lineRule="auto" w:before="0" w:after="0"/>
        <w:ind w:left="540" w:right="31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3"/>
        </w:numPr>
        <w:tabs>
          <w:tab w:pos="1490" w:val="left" w:leader="none"/>
        </w:tabs>
        <w:spacing w:line="417" w:lineRule="auto" w:before="0" w:after="0"/>
        <w:ind w:left="540" w:right="31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3"/>
        </w:numPr>
        <w:tabs>
          <w:tab w:pos="1490" w:val="left" w:leader="none"/>
        </w:tabs>
        <w:spacing w:line="417" w:lineRule="auto" w:before="0" w:after="0"/>
        <w:ind w:left="540" w:right="31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960"/>
      </w:pPr>
      <w:r>
        <w:rPr>
          <w:rFonts w:ascii="Times New Roman" w:eastAsia="Times New Roman"/>
        </w:rPr>
        <w:t>2</w:t>
      </w:r>
      <w:r>
        <w:rPr/>
        <w:t>、基金产品资料概要</w:t>
      </w:r>
    </w:p>
    <w:p>
      <w:pPr>
        <w:pStyle w:val="BodyText"/>
        <w:spacing w:before="6"/>
        <w:rPr>
          <w:sz w:val="15"/>
        </w:rPr>
      </w:pPr>
    </w:p>
    <w:p>
      <w:pPr>
        <w:pStyle w:val="BodyText"/>
        <w:spacing w:line="417" w:lineRule="auto"/>
        <w:ind w:left="540" w:right="20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9" w:lineRule="exact"/>
        <w:ind w:left="960"/>
      </w:pPr>
      <w:r>
        <w:rPr/>
        <w:t>关于基金产品资料概要编制、披露与更新的要求，自中国证监会规定之日起开始执行。</w:t>
      </w:r>
    </w:p>
    <w:p>
      <w:pPr>
        <w:spacing w:after="0" w:line="269" w:lineRule="exact"/>
        <w:sectPr>
          <w:footerReference w:type="default" r:id="rId183"/>
          <w:pgSz w:w="11910" w:h="16840"/>
          <w:pgMar w:footer="995" w:header="877" w:top="1420" w:bottom="1180" w:left="1260" w:right="1480"/>
          <w:pgNumType w:start="110"/>
        </w:sectPr>
      </w:pPr>
    </w:p>
    <w:p>
      <w:pPr>
        <w:pStyle w:val="BodyText"/>
        <w:spacing w:before="110"/>
        <w:ind w:left="960"/>
      </w:pPr>
      <w:r>
        <w:rPr>
          <w:rFonts w:ascii="Times New Roman" w:eastAsia="Times New Roman"/>
        </w:rPr>
        <w:t>3</w:t>
      </w:r>
      <w:r>
        <w:rPr/>
        <w:t>、基金份额发售公告</w:t>
      </w:r>
    </w:p>
    <w:p>
      <w:pPr>
        <w:pStyle w:val="BodyText"/>
        <w:spacing w:before="6"/>
        <w:rPr>
          <w:sz w:val="15"/>
        </w:rPr>
      </w:pPr>
    </w:p>
    <w:p>
      <w:pPr>
        <w:pStyle w:val="BodyText"/>
        <w:spacing w:line="417" w:lineRule="auto"/>
        <w:ind w:left="540" w:right="311" w:firstLine="419"/>
      </w:pPr>
      <w:r>
        <w:rPr>
          <w:spacing w:val="-7"/>
        </w:rPr>
        <w:t>基金管理人就基金份额发售的具体事宜编制基金份额发售公告，并在披露招募说明书的</w:t>
      </w:r>
      <w:r>
        <w:rPr>
          <w:spacing w:val="-5"/>
        </w:rPr>
        <w:t>当日登载于指定媒介上。</w:t>
      </w:r>
    </w:p>
    <w:p>
      <w:pPr>
        <w:pStyle w:val="BodyText"/>
        <w:spacing w:line="269" w:lineRule="exact"/>
        <w:ind w:left="960"/>
      </w:pPr>
      <w:r>
        <w:rPr>
          <w:rFonts w:ascii="Times New Roman" w:eastAsia="Times New Roman"/>
        </w:rPr>
        <w:t>4</w:t>
      </w:r>
      <w:r>
        <w:rPr/>
        <w:t>、《基金合同》生效公告</w:t>
      </w:r>
    </w:p>
    <w:p>
      <w:pPr>
        <w:pStyle w:val="BodyText"/>
        <w:spacing w:before="7"/>
        <w:rPr>
          <w:sz w:val="15"/>
        </w:rPr>
      </w:pPr>
    </w:p>
    <w:p>
      <w:pPr>
        <w:pStyle w:val="BodyText"/>
        <w:ind w:left="960"/>
      </w:pPr>
      <w:r>
        <w:rPr/>
        <w:t>基金管理人在收到中国证监会确认文件的次日在指定媒介上登载《基金合同》生效公告。</w:t>
      </w:r>
    </w:p>
    <w:p>
      <w:pPr>
        <w:pStyle w:val="BodyText"/>
        <w:spacing w:before="7"/>
        <w:rPr>
          <w:sz w:val="15"/>
        </w:rPr>
      </w:pPr>
    </w:p>
    <w:p>
      <w:pPr>
        <w:pStyle w:val="BodyText"/>
        <w:ind w:left="960"/>
      </w:pPr>
      <w:r>
        <w:rPr>
          <w:rFonts w:ascii="Times New Roman" w:eastAsia="Times New Roman"/>
        </w:rPr>
        <w:t>5</w:t>
      </w:r>
      <w:r>
        <w:rPr/>
        <w:t>、基金净值信息</w:t>
      </w:r>
    </w:p>
    <w:p>
      <w:pPr>
        <w:pStyle w:val="BodyText"/>
        <w:spacing w:before="7"/>
        <w:rPr>
          <w:sz w:val="15"/>
        </w:rPr>
      </w:pPr>
    </w:p>
    <w:p>
      <w:pPr>
        <w:pStyle w:val="BodyText"/>
        <w:spacing w:line="417" w:lineRule="auto"/>
        <w:ind w:left="540" w:right="31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540" w:right="31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960"/>
      </w:pPr>
      <w:r>
        <w:rPr>
          <w:rFonts w:ascii="Times New Roman" w:eastAsia="Times New Roman"/>
        </w:rPr>
        <w:t>6</w:t>
      </w:r>
      <w:r>
        <w:rPr/>
        <w:t>、基金份额申购、赎回价格</w:t>
      </w:r>
    </w:p>
    <w:p>
      <w:pPr>
        <w:pStyle w:val="BodyText"/>
        <w:spacing w:before="7"/>
        <w:rPr>
          <w:sz w:val="15"/>
        </w:rPr>
      </w:pPr>
    </w:p>
    <w:p>
      <w:pPr>
        <w:pStyle w:val="BodyText"/>
        <w:spacing w:line="417" w:lineRule="auto"/>
        <w:ind w:left="540" w:right="31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540" w:right="313" w:firstLine="419"/>
      </w:pPr>
      <w:r>
        <w:rPr>
          <w:rFonts w:ascii="Times New Roman" w:eastAsia="Times New Roman"/>
        </w:rPr>
        <w:t>7</w:t>
      </w:r>
      <w:r>
        <w:rPr/>
        <w:t>、基金定期报告，包括基金年度报告、基金中期报告和基金季度报告（含资产组合季度报告）</w:t>
      </w:r>
    </w:p>
    <w:p>
      <w:pPr>
        <w:pStyle w:val="BodyText"/>
        <w:spacing w:line="417" w:lineRule="auto"/>
        <w:ind w:left="540" w:right="31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540" w:right="31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540" w:right="31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540" w:right="31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540" w:right="314" w:firstLine="419"/>
      </w:pPr>
      <w:r>
        <w:rPr/>
        <w:t>基金管理人应当在基金年度报告和中期报告中披露基金组合资产情况及其流动性风险分析等。</w:t>
      </w:r>
    </w:p>
    <w:p>
      <w:pPr>
        <w:pStyle w:val="BodyText"/>
        <w:spacing w:line="417" w:lineRule="auto"/>
        <w:ind w:left="540" w:right="205" w:firstLine="419"/>
      </w:pPr>
      <w:r>
        <w:rPr/>
        <w:t>如报告期内出现单一投资者持有基金份额达到或超过基金总份额 </w:t>
      </w:r>
      <w:r>
        <w:rPr>
          <w:rFonts w:ascii="Times New Roman" w:hAnsi="Times New Roman" w:eastAsia="Times New Roman"/>
        </w:rPr>
        <w:t>20%</w:t>
      </w:r>
      <w:r>
        <w:rPr/>
        <w:t>的情形，为保障</w:t>
      </w:r>
      <w:r>
        <w:rPr>
          <w:spacing w:val="-16"/>
        </w:rPr>
        <w:t>其他投资者的权益，基金管理人至少应当在基金定期报告“影响投资者决策的其他重要信息” </w:t>
      </w:r>
      <w:r>
        <w:rPr>
          <w:spacing w:val="-13"/>
        </w:rPr>
        <w:t>项下披露该投资者的类别、报告期末持有份额及占比、报告期内持有份额变化情况及产品的</w:t>
      </w:r>
    </w:p>
    <w:p>
      <w:pPr>
        <w:spacing w:after="0" w:line="417" w:lineRule="auto"/>
        <w:sectPr>
          <w:pgSz w:w="11910" w:h="16840"/>
          <w:pgMar w:header="877" w:footer="995" w:top="1420" w:bottom="1180" w:left="1260" w:right="1480"/>
        </w:sectPr>
      </w:pPr>
    </w:p>
    <w:p>
      <w:pPr>
        <w:pStyle w:val="BodyText"/>
        <w:spacing w:before="110"/>
        <w:ind w:left="540"/>
      </w:pPr>
      <w:r>
        <w:rPr/>
        <w:t>特有风险，中国证监会认定的特殊情形除外。</w:t>
      </w:r>
    </w:p>
    <w:p>
      <w:pPr>
        <w:pStyle w:val="BodyText"/>
        <w:spacing w:before="6"/>
        <w:rPr>
          <w:sz w:val="15"/>
        </w:rPr>
      </w:pPr>
    </w:p>
    <w:p>
      <w:pPr>
        <w:pStyle w:val="BodyText"/>
        <w:ind w:left="960"/>
      </w:pPr>
      <w:r>
        <w:rPr>
          <w:rFonts w:ascii="Times New Roman" w:eastAsia="Times New Roman"/>
        </w:rPr>
        <w:t>8</w:t>
      </w:r>
      <w:r>
        <w:rPr/>
        <w:t>、临时报告</w:t>
      </w:r>
    </w:p>
    <w:p>
      <w:pPr>
        <w:pStyle w:val="BodyText"/>
        <w:spacing w:before="7"/>
        <w:rPr>
          <w:sz w:val="15"/>
        </w:rPr>
      </w:pPr>
    </w:p>
    <w:p>
      <w:pPr>
        <w:pStyle w:val="BodyText"/>
        <w:spacing w:line="417" w:lineRule="auto"/>
        <w:ind w:left="540" w:right="31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540" w:right="31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基金份额持有人大会的召开及决定的事项。</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《基金合同》终止、基金清算。</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更换基金管理人、基金托管人、基金份额登记机构，基金改聘会计师事务所。</w:t>
      </w:r>
    </w:p>
    <w:p>
      <w:pPr>
        <w:pStyle w:val="BodyText"/>
        <w:spacing w:before="6"/>
        <w:rPr>
          <w:sz w:val="15"/>
        </w:rPr>
      </w:pPr>
    </w:p>
    <w:p>
      <w:pPr>
        <w:pStyle w:val="ListParagraph"/>
        <w:numPr>
          <w:ilvl w:val="0"/>
          <w:numId w:val="34"/>
        </w:numPr>
        <w:tabs>
          <w:tab w:pos="1490" w:val="left" w:leader="none"/>
        </w:tabs>
        <w:spacing w:line="417" w:lineRule="auto" w:before="0" w:after="0"/>
        <w:ind w:left="540" w:right="31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4"/>
        </w:numPr>
        <w:tabs>
          <w:tab w:pos="1490" w:val="left" w:leader="none"/>
        </w:tabs>
        <w:spacing w:line="417" w:lineRule="auto" w:before="0" w:after="0"/>
        <w:ind w:left="540" w:right="314" w:firstLine="419"/>
        <w:jc w:val="left"/>
        <w:rPr>
          <w:sz w:val="21"/>
        </w:rPr>
      </w:pPr>
      <w:r>
        <w:rPr>
          <w:spacing w:val="-3"/>
          <w:sz w:val="21"/>
        </w:rPr>
        <w:t>基金管理人高级管理人员、基金经理和基金托管人专门基金托管部门负责人发生变动。</w:t>
      </w:r>
    </w:p>
    <w:p>
      <w:pPr>
        <w:pStyle w:val="ListParagraph"/>
        <w:numPr>
          <w:ilvl w:val="0"/>
          <w:numId w:val="34"/>
        </w:numPr>
        <w:tabs>
          <w:tab w:pos="1490" w:val="left" w:leader="none"/>
        </w:tabs>
        <w:spacing w:line="269" w:lineRule="exact" w:before="0" w:after="0"/>
        <w:ind w:left="148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5"/>
          <w:sz w:val="21"/>
        </w:rPr>
        <w:t> </w:t>
      </w:r>
      <w:r>
        <w:rPr>
          <w:spacing w:val="-8"/>
          <w:sz w:val="21"/>
        </w:rPr>
        <w:t>个月内变更超过百分之五十，基金管理人、基金托管</w:t>
      </w:r>
    </w:p>
    <w:p>
      <w:pPr>
        <w:pStyle w:val="BodyText"/>
        <w:spacing w:before="7"/>
        <w:rPr>
          <w:sz w:val="15"/>
        </w:rPr>
      </w:pPr>
    </w:p>
    <w:p>
      <w:pPr>
        <w:pStyle w:val="BodyText"/>
        <w:ind w:left="540"/>
      </w:pPr>
      <w:r>
        <w:rPr/>
        <w:t>人专门基金托管部门的主要业务人员在最近 </w:t>
      </w:r>
      <w:r>
        <w:rPr>
          <w:rFonts w:ascii="Times New Roman" w:eastAsia="Times New Roman"/>
        </w:rPr>
        <w:t>12 </w:t>
      </w:r>
      <w:r>
        <w:rPr/>
        <w:t>个月内变动超过百分之三十。</w:t>
      </w:r>
    </w:p>
    <w:p>
      <w:pPr>
        <w:pStyle w:val="BodyText"/>
        <w:spacing w:before="7"/>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涉及基金财产、基金管理业务、基金托管业务的诉讼或仲裁。</w:t>
      </w:r>
    </w:p>
    <w:p>
      <w:pPr>
        <w:pStyle w:val="BodyText"/>
        <w:spacing w:before="6"/>
        <w:rPr>
          <w:sz w:val="15"/>
        </w:rPr>
      </w:pPr>
    </w:p>
    <w:p>
      <w:pPr>
        <w:pStyle w:val="ListParagraph"/>
        <w:numPr>
          <w:ilvl w:val="0"/>
          <w:numId w:val="34"/>
        </w:numPr>
        <w:tabs>
          <w:tab w:pos="1586" w:val="left" w:leader="none"/>
        </w:tabs>
        <w:spacing w:line="417" w:lineRule="auto" w:before="1" w:after="0"/>
        <w:ind w:left="540" w:right="31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4"/>
        </w:numPr>
        <w:tabs>
          <w:tab w:pos="1593" w:val="left" w:leader="none"/>
        </w:tabs>
        <w:spacing w:line="417" w:lineRule="auto" w:before="0" w:after="0"/>
        <w:ind w:left="540" w:right="31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4"/>
        </w:numPr>
        <w:tabs>
          <w:tab w:pos="1595" w:val="left" w:leader="none"/>
        </w:tabs>
        <w:spacing w:line="269" w:lineRule="exact" w:before="0" w:after="0"/>
        <w:ind w:left="1595" w:right="0" w:hanging="635"/>
        <w:jc w:val="left"/>
        <w:rPr>
          <w:sz w:val="21"/>
        </w:rPr>
      </w:pPr>
      <w:r>
        <w:rPr>
          <w:spacing w:val="-3"/>
          <w:sz w:val="21"/>
        </w:rPr>
        <w:t>基金收益分配事项。</w:t>
      </w:r>
    </w:p>
    <w:p>
      <w:pPr>
        <w:pStyle w:val="BodyText"/>
        <w:spacing w:before="6"/>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管理费、托管费、申购费、赎回费等费用计提标准、计提方式和费率发生变更。</w:t>
      </w:r>
    </w:p>
    <w:p>
      <w:pPr>
        <w:pStyle w:val="BodyText"/>
        <w:spacing w:before="7"/>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本基金发生巨额赎回并延期办理。</w:t>
      </w:r>
    </w:p>
    <w:p>
      <w:pPr>
        <w:spacing w:after="0" w:line="240" w:lineRule="auto"/>
        <w:jc w:val="left"/>
        <w:rPr>
          <w:sz w:val="21"/>
        </w:rPr>
        <w:sectPr>
          <w:pgSz w:w="11910" w:h="16840"/>
          <w:pgMar w:header="877" w:footer="995" w:top="1420" w:bottom="1180" w:left="1260" w:right="1480"/>
        </w:sectPr>
      </w:pPr>
    </w:p>
    <w:p>
      <w:pPr>
        <w:pStyle w:val="ListParagraph"/>
        <w:numPr>
          <w:ilvl w:val="0"/>
          <w:numId w:val="34"/>
        </w:numPr>
        <w:tabs>
          <w:tab w:pos="1595" w:val="left" w:leader="none"/>
        </w:tabs>
        <w:spacing w:line="240" w:lineRule="auto" w:before="110" w:after="0"/>
        <w:ind w:left="1595" w:right="0" w:hanging="635"/>
        <w:jc w:val="left"/>
        <w:rPr>
          <w:sz w:val="21"/>
        </w:rPr>
      </w:pPr>
      <w:r>
        <w:rPr>
          <w:spacing w:val="-3"/>
          <w:sz w:val="21"/>
        </w:rPr>
        <w:t>本基金连续发生巨额赎回并暂停接受赎回申请或延缓支付赎回款项。</w:t>
      </w:r>
    </w:p>
    <w:p>
      <w:pPr>
        <w:pStyle w:val="BodyText"/>
        <w:spacing w:before="6"/>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基金份额的拆分。</w:t>
      </w:r>
    </w:p>
    <w:p>
      <w:pPr>
        <w:pStyle w:val="BodyText"/>
        <w:spacing w:before="7"/>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基金变更份额类别设置。</w:t>
      </w:r>
    </w:p>
    <w:p>
      <w:pPr>
        <w:pStyle w:val="BodyText"/>
        <w:spacing w:before="7"/>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本基金发生涉及基金申购、赎回事项调整或潜在影响投资者赎回等重大事项。</w:t>
      </w:r>
    </w:p>
    <w:p>
      <w:pPr>
        <w:pStyle w:val="BodyText"/>
        <w:spacing w:before="6"/>
        <w:rPr>
          <w:sz w:val="15"/>
        </w:rPr>
      </w:pPr>
    </w:p>
    <w:p>
      <w:pPr>
        <w:pStyle w:val="ListParagraph"/>
        <w:numPr>
          <w:ilvl w:val="0"/>
          <w:numId w:val="34"/>
        </w:numPr>
        <w:tabs>
          <w:tab w:pos="1595" w:val="left" w:leader="none"/>
        </w:tabs>
        <w:spacing w:line="240" w:lineRule="auto" w:before="0" w:after="0"/>
        <w:ind w:left="1595" w:right="0" w:hanging="635"/>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4"/>
        </w:numPr>
        <w:tabs>
          <w:tab w:pos="1593" w:val="left" w:leader="none"/>
        </w:tabs>
        <w:spacing w:line="417" w:lineRule="auto" w:before="0" w:after="0"/>
        <w:ind w:left="540" w:right="31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ind w:left="960"/>
      </w:pPr>
      <w:r>
        <w:rPr>
          <w:rFonts w:ascii="Times New Roman" w:eastAsia="Times New Roman"/>
        </w:rPr>
        <w:t>9</w:t>
      </w:r>
      <w:r>
        <w:rPr/>
        <w:t>、澄清公告</w:t>
      </w:r>
    </w:p>
    <w:p>
      <w:pPr>
        <w:pStyle w:val="BodyText"/>
        <w:spacing w:before="7"/>
        <w:rPr>
          <w:sz w:val="15"/>
        </w:rPr>
      </w:pPr>
    </w:p>
    <w:p>
      <w:pPr>
        <w:pStyle w:val="BodyText"/>
        <w:spacing w:line="417" w:lineRule="auto"/>
        <w:ind w:left="540" w:right="10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spacing w:line="269" w:lineRule="exact"/>
        <w:ind w:left="960"/>
      </w:pPr>
      <w:r>
        <w:rPr>
          <w:rFonts w:ascii="Times New Roman" w:eastAsia="Times New Roman"/>
        </w:rPr>
        <w:t>10</w:t>
      </w:r>
      <w:r>
        <w:rPr/>
        <w:t>、清算报告</w:t>
      </w:r>
    </w:p>
    <w:p>
      <w:pPr>
        <w:pStyle w:val="BodyText"/>
        <w:spacing w:before="7"/>
        <w:rPr>
          <w:sz w:val="15"/>
        </w:rPr>
      </w:pPr>
    </w:p>
    <w:p>
      <w:pPr>
        <w:pStyle w:val="BodyText"/>
        <w:spacing w:line="417" w:lineRule="auto"/>
        <w:ind w:left="540" w:right="311" w:firstLine="419"/>
      </w:pPr>
      <w:r>
        <w:rPr>
          <w:spacing w:val="-7"/>
        </w:rPr>
        <w:t>基金财产清算小组应当将清算报告登载在指定网站上，并将清算报告提示性公告登载在</w:t>
      </w:r>
      <w:r>
        <w:rPr>
          <w:spacing w:val="-5"/>
        </w:rPr>
        <w:t>指定报刊上。</w:t>
      </w:r>
    </w:p>
    <w:p>
      <w:pPr>
        <w:pStyle w:val="BodyText"/>
        <w:ind w:left="960"/>
      </w:pPr>
      <w:r>
        <w:rPr>
          <w:rFonts w:ascii="Times New Roman" w:eastAsia="Times New Roman"/>
        </w:rPr>
        <w:t>11</w:t>
      </w:r>
      <w:r>
        <w:rPr/>
        <w:t>、基金份额持有人大会决议</w:t>
      </w:r>
    </w:p>
    <w:p>
      <w:pPr>
        <w:pStyle w:val="BodyText"/>
        <w:spacing w:before="7"/>
        <w:rPr>
          <w:sz w:val="15"/>
        </w:rPr>
      </w:pPr>
    </w:p>
    <w:p>
      <w:pPr>
        <w:pStyle w:val="BodyText"/>
        <w:spacing w:line="417" w:lineRule="auto"/>
        <w:ind w:left="540" w:right="311" w:firstLine="419"/>
      </w:pPr>
      <w:r>
        <w:rPr>
          <w:spacing w:val="-8"/>
        </w:rPr>
        <w:t>基金份额持有人大会决定的事项，应当依法报国务院证券监督管理机构备案，并予以公告。</w:t>
      </w:r>
    </w:p>
    <w:p>
      <w:pPr>
        <w:pStyle w:val="BodyText"/>
        <w:spacing w:line="269" w:lineRule="exact"/>
        <w:ind w:left="960"/>
      </w:pPr>
      <w:r>
        <w:rPr>
          <w:rFonts w:ascii="Times New Roman" w:eastAsia="Times New Roman"/>
        </w:rPr>
        <w:t>12</w:t>
      </w:r>
      <w:r>
        <w:rPr/>
        <w:t>、中国证监会规定的其他信息。</w:t>
      </w:r>
    </w:p>
    <w:p>
      <w:pPr>
        <w:pStyle w:val="BodyText"/>
        <w:spacing w:before="6"/>
        <w:rPr>
          <w:sz w:val="15"/>
        </w:rPr>
      </w:pPr>
    </w:p>
    <w:p>
      <w:pPr>
        <w:pStyle w:val="BodyText"/>
        <w:spacing w:line="417" w:lineRule="auto" w:before="1"/>
        <w:ind w:left="540" w:right="311" w:firstLine="419"/>
      </w:pPr>
      <w:r>
        <w:rPr>
          <w:spacing w:val="-6"/>
        </w:rPr>
        <w:t>基金将按照中国证监会的有关规定在定期报告等文件中披露中小企业私募债券、股指期</w:t>
      </w:r>
      <w:r>
        <w:rPr>
          <w:spacing w:val="-4"/>
        </w:rPr>
        <w:t>货、国债期货、期权的投资情况。</w:t>
      </w:r>
    </w:p>
    <w:p>
      <w:pPr>
        <w:pStyle w:val="BodyText"/>
        <w:ind w:left="960"/>
      </w:pPr>
      <w:r>
        <w:rPr/>
        <w:t>（六）信息披露事务管理</w:t>
      </w:r>
    </w:p>
    <w:p>
      <w:pPr>
        <w:pStyle w:val="BodyText"/>
        <w:spacing w:before="6"/>
        <w:rPr>
          <w:sz w:val="15"/>
        </w:rPr>
      </w:pPr>
    </w:p>
    <w:p>
      <w:pPr>
        <w:pStyle w:val="BodyText"/>
        <w:spacing w:line="417" w:lineRule="auto" w:before="1"/>
        <w:ind w:left="540" w:right="31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540" w:right="31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40" w:right="31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pPr>
      <w:r>
        <w:rPr>
          <w:spacing w:val="-10"/>
        </w:rPr>
        <w:t>基金管理人、基金托管人应当在指定报刊中选择披露信息的报刊，本基金只需选择一家报刊。</w:t>
      </w:r>
    </w:p>
    <w:p>
      <w:pPr>
        <w:pStyle w:val="BodyText"/>
        <w:spacing w:line="417" w:lineRule="auto"/>
        <w:ind w:left="540" w:right="20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540" w:right="31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ind w:left="960"/>
      </w:pPr>
      <w:r>
        <w:rPr/>
        <w:t>（七）信息披露文件的存放与查阅</w:t>
      </w:r>
    </w:p>
    <w:p>
      <w:pPr>
        <w:pStyle w:val="BodyText"/>
        <w:spacing w:before="6"/>
        <w:rPr>
          <w:sz w:val="15"/>
        </w:rPr>
      </w:pP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1013"/>
      </w:pPr>
      <w:r>
        <w:rPr/>
        <w:t>（八）法律法规或监管部门对信息披露另有规定的，从其规定。</w:t>
      </w:r>
    </w:p>
    <w:p>
      <w:pPr>
        <w:pStyle w:val="BodyText"/>
        <w:rPr>
          <w:sz w:val="20"/>
        </w:rPr>
      </w:pPr>
    </w:p>
    <w:p>
      <w:pPr>
        <w:pStyle w:val="BodyText"/>
        <w:spacing w:before="1"/>
        <w:rPr>
          <w:sz w:val="22"/>
        </w:rPr>
      </w:pPr>
    </w:p>
    <w:p>
      <w:pPr>
        <w:pStyle w:val="Heading1"/>
      </w:pPr>
      <w:bookmarkStart w:name="_bookmark16" w:id="17"/>
      <w:bookmarkEnd w:id="17"/>
      <w:r>
        <w:rPr>
          <w:b w:val="0"/>
        </w:rPr>
      </w:r>
      <w:r>
        <w:rPr/>
        <w:t>十七、风险揭示</w:t>
      </w:r>
    </w:p>
    <w:p>
      <w:pPr>
        <w:pStyle w:val="BodyText"/>
        <w:rPr>
          <w:b/>
          <w:sz w:val="20"/>
        </w:rPr>
      </w:pPr>
    </w:p>
    <w:p>
      <w:pPr>
        <w:pStyle w:val="BodyText"/>
        <w:spacing w:before="3"/>
        <w:rPr>
          <w:b/>
        </w:rPr>
      </w:pPr>
    </w:p>
    <w:p>
      <w:pPr>
        <w:pStyle w:val="BodyText"/>
        <w:ind w:left="960"/>
      </w:pPr>
      <w:r>
        <w:rPr/>
        <w:t>（一）投资于本基金的主要风险</w:t>
      </w:r>
    </w:p>
    <w:p>
      <w:pPr>
        <w:pStyle w:val="BodyText"/>
        <w:spacing w:before="7"/>
        <w:rPr>
          <w:sz w:val="15"/>
        </w:rPr>
      </w:pPr>
    </w:p>
    <w:p>
      <w:pPr>
        <w:pStyle w:val="BodyText"/>
        <w:ind w:left="960"/>
      </w:pPr>
      <w:r>
        <w:rPr>
          <w:rFonts w:ascii="Times New Roman" w:eastAsia="Times New Roman"/>
        </w:rPr>
        <w:t>1</w:t>
      </w:r>
      <w:r>
        <w:rPr/>
        <w:t>、市场风险</w:t>
      </w:r>
    </w:p>
    <w:p>
      <w:pPr>
        <w:pStyle w:val="BodyText"/>
        <w:spacing w:before="7"/>
        <w:rPr>
          <w:sz w:val="15"/>
        </w:rPr>
      </w:pPr>
    </w:p>
    <w:p>
      <w:pPr>
        <w:pStyle w:val="BodyText"/>
        <w:spacing w:line="417" w:lineRule="auto"/>
        <w:ind w:left="540" w:right="31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BodyText"/>
        <w:spacing w:line="269" w:lineRule="exact"/>
        <w:ind w:left="960"/>
      </w:pPr>
      <w:r>
        <w:rPr/>
        <w:t>股票投资风险主要包括：</w:t>
      </w:r>
    </w:p>
    <w:p>
      <w:pPr>
        <w:pStyle w:val="BodyText"/>
        <w:spacing w:before="6"/>
        <w:rPr>
          <w:sz w:val="15"/>
        </w:rPr>
      </w:pPr>
    </w:p>
    <w:p>
      <w:pPr>
        <w:pStyle w:val="ListParagraph"/>
        <w:numPr>
          <w:ilvl w:val="0"/>
          <w:numId w:val="35"/>
        </w:numPr>
        <w:tabs>
          <w:tab w:pos="1490" w:val="left" w:leader="none"/>
        </w:tabs>
        <w:spacing w:line="417" w:lineRule="auto" w:before="1" w:after="0"/>
        <w:ind w:left="540" w:right="314" w:firstLine="419"/>
        <w:jc w:val="left"/>
        <w:rPr>
          <w:sz w:val="21"/>
        </w:rPr>
      </w:pPr>
      <w:r>
        <w:rPr>
          <w:spacing w:val="-3"/>
          <w:sz w:val="21"/>
        </w:rPr>
        <w:t>国家货币政策、财政政策、产业政策等的变化对证券市场产生一定的影响，导致市场价格水平波动的风险。</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宏观经济运行周期性波动，对股票市场的收益水平产生影响的风险。</w:t>
      </w:r>
    </w:p>
    <w:p>
      <w:pPr>
        <w:pStyle w:val="BodyText"/>
        <w:spacing w:before="7"/>
        <w:rPr>
          <w:sz w:val="15"/>
        </w:rPr>
      </w:pPr>
    </w:p>
    <w:p>
      <w:pPr>
        <w:pStyle w:val="ListParagraph"/>
        <w:numPr>
          <w:ilvl w:val="0"/>
          <w:numId w:val="35"/>
        </w:numPr>
        <w:tabs>
          <w:tab w:pos="1490" w:val="left" w:leader="none"/>
        </w:tabs>
        <w:spacing w:line="417" w:lineRule="auto" w:before="0" w:after="0"/>
        <w:ind w:left="540" w:right="314" w:firstLine="419"/>
        <w:jc w:val="left"/>
        <w:rPr>
          <w:sz w:val="21"/>
        </w:rPr>
      </w:pPr>
      <w:r>
        <w:rPr>
          <w:spacing w:val="-3"/>
          <w:sz w:val="21"/>
        </w:rPr>
        <w:t>上市公司的经营状况受多种因素影响，如市场、技术、竞争、管理、财务等都会导致公司盈利发生变化，从而导致股票价格变动的风险。</w:t>
      </w:r>
    </w:p>
    <w:p>
      <w:pPr>
        <w:pStyle w:val="BodyText"/>
        <w:spacing w:line="269" w:lineRule="exact"/>
        <w:ind w:left="960"/>
      </w:pPr>
      <w:r>
        <w:rPr/>
        <w:t>债券投资风险主要包括：</w:t>
      </w:r>
    </w:p>
    <w:p>
      <w:pPr>
        <w:pStyle w:val="BodyText"/>
        <w:spacing w:before="6"/>
        <w:rPr>
          <w:sz w:val="15"/>
        </w:rPr>
      </w:pPr>
    </w:p>
    <w:p>
      <w:pPr>
        <w:pStyle w:val="ListParagraph"/>
        <w:numPr>
          <w:ilvl w:val="0"/>
          <w:numId w:val="36"/>
        </w:numPr>
        <w:tabs>
          <w:tab w:pos="1490" w:val="left" w:leader="none"/>
        </w:tabs>
        <w:spacing w:line="240" w:lineRule="auto" w:before="1" w:after="0"/>
        <w:ind w:left="1489" w:right="0" w:hanging="530"/>
        <w:jc w:val="left"/>
        <w:rPr>
          <w:sz w:val="21"/>
        </w:rPr>
      </w:pPr>
      <w:r>
        <w:rPr>
          <w:spacing w:val="-3"/>
          <w:sz w:val="21"/>
        </w:rPr>
        <w:t>市场平均利率水平变化导致债券价格变化的风险。</w:t>
      </w:r>
    </w:p>
    <w:p>
      <w:pPr>
        <w:pStyle w:val="BodyText"/>
        <w:spacing w:before="6"/>
        <w:rPr>
          <w:sz w:val="15"/>
        </w:rPr>
      </w:pPr>
    </w:p>
    <w:p>
      <w:pPr>
        <w:pStyle w:val="ListParagraph"/>
        <w:numPr>
          <w:ilvl w:val="0"/>
          <w:numId w:val="36"/>
        </w:numPr>
        <w:tabs>
          <w:tab w:pos="1490" w:val="left" w:leader="none"/>
        </w:tabs>
        <w:spacing w:line="417" w:lineRule="auto" w:before="0" w:after="0"/>
        <w:ind w:left="540" w:right="314" w:firstLine="419"/>
        <w:jc w:val="left"/>
        <w:rPr>
          <w:sz w:val="21"/>
        </w:rPr>
      </w:pPr>
      <w:r>
        <w:rPr>
          <w:spacing w:val="-3"/>
          <w:sz w:val="21"/>
        </w:rPr>
        <w:t>债券市场不同期限、不同类属债券之间的利差变动导致相应期限和类属债券价格变化的风险。</w:t>
      </w:r>
    </w:p>
    <w:p>
      <w:pPr>
        <w:pStyle w:val="ListParagraph"/>
        <w:numPr>
          <w:ilvl w:val="0"/>
          <w:numId w:val="36"/>
        </w:numPr>
        <w:tabs>
          <w:tab w:pos="1490" w:val="left" w:leader="none"/>
        </w:tabs>
        <w:spacing w:line="417" w:lineRule="auto" w:before="0" w:after="0"/>
        <w:ind w:left="540" w:right="314" w:firstLine="419"/>
        <w:jc w:val="left"/>
        <w:rPr>
          <w:sz w:val="21"/>
        </w:rPr>
      </w:pPr>
      <w:r>
        <w:rPr>
          <w:spacing w:val="-3"/>
          <w:sz w:val="21"/>
        </w:rPr>
        <w:t>债券之发行人出现违约、拒绝支付到期本息，或由于债券发行人信用质量降低导致债券价格下降的风险。</w:t>
      </w:r>
    </w:p>
    <w:p>
      <w:pPr>
        <w:spacing w:after="0" w:line="417" w:lineRule="auto"/>
        <w:jc w:val="left"/>
        <w:rPr>
          <w:sz w:val="21"/>
        </w:rPr>
        <w:sectPr>
          <w:pgSz w:w="11910" w:h="16840"/>
          <w:pgMar w:header="877" w:footer="995" w:top="1420" w:bottom="1180" w:left="1260" w:right="1480"/>
        </w:sectPr>
      </w:pPr>
    </w:p>
    <w:p>
      <w:pPr>
        <w:pStyle w:val="BodyText"/>
        <w:spacing w:before="110"/>
        <w:ind w:left="960"/>
      </w:pPr>
      <w:r>
        <w:rPr>
          <w:rFonts w:ascii="Times New Roman" w:eastAsia="Times New Roman"/>
        </w:rPr>
        <w:t>2</w:t>
      </w:r>
      <w:r>
        <w:rPr/>
        <w:t>、流动性风险</w:t>
      </w:r>
    </w:p>
    <w:p>
      <w:pPr>
        <w:pStyle w:val="BodyText"/>
        <w:spacing w:before="6"/>
        <w:rPr>
          <w:sz w:val="15"/>
        </w:rPr>
      </w:pPr>
    </w:p>
    <w:p>
      <w:pPr>
        <w:pStyle w:val="BodyText"/>
        <w:spacing w:line="417" w:lineRule="auto"/>
        <w:ind w:left="540" w:right="311" w:firstLine="419"/>
      </w:pPr>
      <w:r>
        <w:rPr>
          <w:spacing w:val="-8"/>
        </w:rPr>
        <w:t>在市场或个股流动性不足的情况下，基金管理人可能无法迅速、低成本地调整基金投资</w:t>
      </w:r>
      <w:r>
        <w:rPr>
          <w:spacing w:val="-5"/>
        </w:rPr>
        <w:t>组合，从而对基金收益造成不利影响。</w:t>
      </w:r>
    </w:p>
    <w:p>
      <w:pPr>
        <w:pStyle w:val="BodyText"/>
        <w:spacing w:line="417" w:lineRule="auto"/>
        <w:ind w:left="540" w:right="311" w:firstLine="419"/>
      </w:pPr>
      <w:r>
        <w:rPr>
          <w:spacing w:val="-9"/>
        </w:rPr>
        <w:t>由于开放式基金的特殊要求，本基金必须保持一定的现金比例以应付赎回要求，在管理</w:t>
      </w:r>
      <w:r>
        <w:rPr>
          <w:spacing w:val="-5"/>
        </w:rPr>
        <w:t>现金头寸时，有可能存在现金不足的风险和现金过多带来的收益下降风险。</w:t>
      </w:r>
    </w:p>
    <w:p>
      <w:pPr>
        <w:pStyle w:val="BodyText"/>
        <w:spacing w:line="417" w:lineRule="auto"/>
        <w:ind w:left="540" w:right="31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基金申购、赎回安排</w:t>
      </w:r>
    </w:p>
    <w:p>
      <w:pPr>
        <w:pStyle w:val="BodyText"/>
        <w:spacing w:before="6"/>
        <w:rPr>
          <w:sz w:val="15"/>
        </w:rPr>
      </w:pPr>
    </w:p>
    <w:p>
      <w:pPr>
        <w:pStyle w:val="BodyText"/>
        <w:spacing w:line="417" w:lineRule="auto"/>
        <w:ind w:left="540" w:right="31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540" w:right="311" w:firstLine="419"/>
        <w:jc w:val="both"/>
      </w:pPr>
      <w:r>
        <w:rPr>
          <w:spacing w:val="-7"/>
        </w:rPr>
        <w:t>本基金主要投资对象为具有良好流动性的金融工具，包括国内依法发行上市的股票</w:t>
      </w:r>
      <w:r>
        <w:rPr/>
        <w:t>（包</w:t>
      </w:r>
      <w:r>
        <w:rPr>
          <w:spacing w:val="-3"/>
        </w:rPr>
        <w:t>括创业板、中小板、存托凭证及其他经中国证监会核准上市的股票</w:t>
      </w:r>
      <w:r>
        <w:rPr>
          <w:spacing w:val="-106"/>
        </w:rPr>
        <w:t>）</w:t>
      </w:r>
      <w:r>
        <w:rPr>
          <w:spacing w:val="-2"/>
        </w:rPr>
        <w:t>、债券</w:t>
      </w:r>
      <w:r>
        <w:rPr>
          <w:spacing w:val="-3"/>
        </w:rPr>
        <w:t>（</w:t>
      </w:r>
      <w:r>
        <w:rPr>
          <w:spacing w:val="-1"/>
        </w:rPr>
        <w:t>含中小企业私</w:t>
      </w:r>
      <w:r>
        <w:rPr>
          <w:spacing w:val="-3"/>
        </w:rPr>
        <w:t>募债券、可转换债券</w:t>
      </w:r>
      <w:r>
        <w:rPr>
          <w:spacing w:val="-106"/>
        </w:rPr>
        <w:t>）</w:t>
      </w:r>
      <w:r>
        <w:rPr>
          <w:spacing w:val="-3"/>
        </w:rPr>
        <w:t>、货币市场工具、权证、资产支持证券、股指期货、国债期货、期权</w:t>
      </w:r>
      <w:r>
        <w:rPr>
          <w:spacing w:val="-11"/>
        </w:rPr>
        <w:t>等。一般情况下本基金拟投资的资产类别具有较好的流动性，但是在特殊市场环境下本基金仍有可能出现流动性不足的情形。本基金管理人将根据历史经验和现实条件，制定出现金持有量的上下限计划，在该限制范围内进行现金比例调控或现金与证券的转化。同时，本基金</w:t>
      </w:r>
      <w:r>
        <w:rPr>
          <w:spacing w:val="-9"/>
        </w:rPr>
        <w:t>管理人会进行标的的分散化投资并结合对各类标的资产的预期流动性合理进行资产配置，以</w:t>
      </w:r>
      <w:r>
        <w:rPr>
          <w:spacing w:val="-5"/>
        </w:rPr>
        <w:t>防范流动性风险。</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巨额赎回情形下的流动性风险管理措施</w:t>
      </w:r>
    </w:p>
    <w:p>
      <w:pPr>
        <w:pStyle w:val="BodyText"/>
        <w:spacing w:before="7"/>
        <w:rPr>
          <w:sz w:val="15"/>
        </w:rPr>
      </w:pPr>
    </w:p>
    <w:p>
      <w:pPr>
        <w:pStyle w:val="BodyText"/>
        <w:ind w:left="960"/>
      </w:pPr>
      <w:r>
        <w:rPr/>
        <w:t>当本基金发生巨额赎回情形时，基金管理人可以采用以下流动性风险管理措施：</w:t>
      </w:r>
    </w:p>
    <w:p>
      <w:pPr>
        <w:pStyle w:val="BodyText"/>
        <w:spacing w:before="7"/>
        <w:rPr>
          <w:sz w:val="15"/>
        </w:rPr>
      </w:pPr>
    </w:p>
    <w:p>
      <w:pPr>
        <w:pStyle w:val="BodyText"/>
        <w:ind w:left="960"/>
      </w:pPr>
      <w:r>
        <w:rPr/>
        <w:t>①延期办理巨额赎回申请；</w:t>
      </w:r>
    </w:p>
    <w:p>
      <w:pPr>
        <w:pStyle w:val="BodyText"/>
        <w:spacing w:before="6"/>
        <w:rPr>
          <w:sz w:val="15"/>
        </w:rPr>
      </w:pPr>
    </w:p>
    <w:p>
      <w:pPr>
        <w:pStyle w:val="BodyText"/>
        <w:ind w:left="960"/>
      </w:pPr>
      <w:r>
        <w:rPr>
          <w:spacing w:val="-3"/>
        </w:rPr>
        <w:t>②暂停接受赎回申请；</w:t>
      </w:r>
    </w:p>
    <w:p>
      <w:pPr>
        <w:pStyle w:val="BodyText"/>
        <w:spacing w:before="7"/>
        <w:rPr>
          <w:sz w:val="15"/>
        </w:rPr>
      </w:pPr>
    </w:p>
    <w:p>
      <w:pPr>
        <w:pStyle w:val="BodyText"/>
        <w:ind w:left="960"/>
      </w:pPr>
      <w:r>
        <w:rPr>
          <w:spacing w:val="-3"/>
        </w:rPr>
        <w:t>③延缓支付赎回款项；</w:t>
      </w:r>
    </w:p>
    <w:p>
      <w:pPr>
        <w:pStyle w:val="BodyText"/>
        <w:spacing w:before="7"/>
        <w:rPr>
          <w:sz w:val="15"/>
        </w:rPr>
      </w:pPr>
    </w:p>
    <w:p>
      <w:pPr>
        <w:pStyle w:val="BodyText"/>
        <w:ind w:left="960"/>
      </w:pPr>
      <w:r>
        <w:rPr/>
        <w:t>④摆动定价；</w:t>
      </w:r>
    </w:p>
    <w:p>
      <w:pPr>
        <w:pStyle w:val="BodyText"/>
        <w:spacing w:before="7"/>
        <w:rPr>
          <w:sz w:val="15"/>
        </w:rPr>
      </w:pPr>
    </w:p>
    <w:p>
      <w:pPr>
        <w:pStyle w:val="BodyText"/>
        <w:ind w:left="960"/>
      </w:pPr>
      <w:r>
        <w:rPr/>
        <w:t>⑤中国证监会认定的其他措施。</w:t>
      </w:r>
    </w:p>
    <w:p>
      <w:pPr>
        <w:pStyle w:val="BodyText"/>
        <w:spacing w:before="7"/>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before="1"/>
        <w:ind w:left="960"/>
      </w:pPr>
      <w:r>
        <w:rPr/>
        <w:t>基金管理人经与基金托管人协商，在确保投资者得到公平对待的前提下，可依照法律法</w:t>
      </w:r>
    </w:p>
    <w:p>
      <w:pPr>
        <w:spacing w:after="0"/>
        <w:sectPr>
          <w:pgSz w:w="11910" w:h="16840"/>
          <w:pgMar w:header="877" w:footer="995" w:top="1420" w:bottom="1180" w:left="1260" w:right="1480"/>
        </w:sectPr>
      </w:pPr>
    </w:p>
    <w:p>
      <w:pPr>
        <w:pStyle w:val="BodyText"/>
        <w:spacing w:line="417" w:lineRule="auto" w:before="110"/>
        <w:ind w:left="540" w:right="311"/>
      </w:pPr>
      <w:r>
        <w:rPr>
          <w:spacing w:val="-9"/>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line="269" w:lineRule="exact"/>
        <w:ind w:left="960"/>
      </w:pPr>
      <w:r>
        <w:rPr/>
        <w:t>①延期办理巨额赎回申请</w:t>
      </w:r>
    </w:p>
    <w:p>
      <w:pPr>
        <w:pStyle w:val="BodyText"/>
        <w:spacing w:before="6"/>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540" w:right="31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ind w:left="960"/>
      </w:pPr>
      <w:r>
        <w:rPr/>
        <w:t>②暂停接受赎回申请</w:t>
      </w:r>
    </w:p>
    <w:p>
      <w:pPr>
        <w:pStyle w:val="BodyText"/>
        <w:spacing w:before="7"/>
        <w:rPr>
          <w:sz w:val="15"/>
        </w:rPr>
      </w:pPr>
    </w:p>
    <w:p>
      <w:pPr>
        <w:pStyle w:val="BodyText"/>
        <w:spacing w:line="417" w:lineRule="auto"/>
        <w:ind w:left="540" w:right="3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ind w:left="540" w:right="31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line="269" w:lineRule="exact"/>
        <w:ind w:left="960"/>
      </w:pPr>
      <w:r>
        <w:rPr/>
        <w:t>③延缓支付赎回款项</w:t>
      </w:r>
    </w:p>
    <w:p>
      <w:pPr>
        <w:pStyle w:val="BodyText"/>
        <w:spacing w:before="7"/>
        <w:rPr>
          <w:sz w:val="15"/>
        </w:rPr>
      </w:pPr>
    </w:p>
    <w:p>
      <w:pPr>
        <w:pStyle w:val="BodyText"/>
        <w:spacing w:line="417" w:lineRule="auto"/>
        <w:ind w:left="540" w:right="3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line="269" w:lineRule="exact"/>
        <w:ind w:left="960"/>
      </w:pPr>
      <w:r>
        <w:rPr/>
        <w:t>在此情形下，投资人接收赎回款项的时间将可能比一般正常情形下有所延迟。</w:t>
      </w:r>
    </w:p>
    <w:p>
      <w:pPr>
        <w:pStyle w:val="BodyText"/>
        <w:spacing w:before="6"/>
        <w:rPr>
          <w:sz w:val="15"/>
        </w:rPr>
      </w:pPr>
    </w:p>
    <w:p>
      <w:pPr>
        <w:pStyle w:val="BodyText"/>
        <w:spacing w:before="1"/>
        <w:ind w:left="960"/>
      </w:pPr>
      <w:r>
        <w:rPr/>
        <w:t>④取短期赎回费</w:t>
      </w:r>
    </w:p>
    <w:p>
      <w:pPr>
        <w:pStyle w:val="BodyText"/>
        <w:spacing w:before="6"/>
        <w:rPr>
          <w:sz w:val="15"/>
        </w:rPr>
      </w:pPr>
    </w:p>
    <w:p>
      <w:pPr>
        <w:pStyle w:val="BodyText"/>
        <w:spacing w:line="417" w:lineRule="auto"/>
        <w:ind w:left="540" w:right="316" w:firstLine="419"/>
      </w:pPr>
      <w:r>
        <w:rPr/>
        <w:t>本基金对持续持有期少于</w:t>
      </w:r>
      <w:r>
        <w:rPr>
          <w:rFonts w:ascii="Times New Roman" w:eastAsia="Times New Roman"/>
        </w:rPr>
        <w:t>7</w:t>
      </w:r>
      <w:r>
        <w:rPr/>
        <w:t>日的投资者收取不低于</w:t>
      </w:r>
      <w:r>
        <w:rPr>
          <w:rFonts w:ascii="Times New Roman" w:eastAsia="Times New Roman"/>
        </w:rPr>
        <w:t>1.5%</w:t>
      </w:r>
      <w:r>
        <w:rPr/>
        <w:t>的赎回费，并将上述赎回费全额计入基金财产。</w:t>
      </w:r>
    </w:p>
    <w:p>
      <w:pPr>
        <w:pStyle w:val="BodyText"/>
        <w:spacing w:before="1"/>
        <w:ind w:left="960"/>
      </w:pPr>
      <w:r>
        <w:rPr/>
        <w:t>⑤暂停基金估值</w:t>
      </w:r>
    </w:p>
    <w:p>
      <w:pPr>
        <w:pStyle w:val="BodyText"/>
        <w:spacing w:before="6"/>
        <w:rPr>
          <w:sz w:val="15"/>
        </w:rPr>
      </w:pPr>
    </w:p>
    <w:p>
      <w:pPr>
        <w:pStyle w:val="BodyText"/>
        <w:spacing w:line="417" w:lineRule="auto"/>
        <w:ind w:left="540" w:right="31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269" w:lineRule="exact"/>
        <w:ind w:left="960"/>
      </w:pPr>
      <w:r>
        <w:rPr/>
        <w:t>在此情形下，投资人没有可供参考的基金份额净值，基金申购赎回申请或被暂停。</w:t>
      </w:r>
    </w:p>
    <w:p>
      <w:pPr>
        <w:pStyle w:val="BodyText"/>
        <w:spacing w:before="7"/>
        <w:rPr>
          <w:sz w:val="15"/>
        </w:rPr>
      </w:pPr>
    </w:p>
    <w:p>
      <w:pPr>
        <w:pStyle w:val="BodyText"/>
        <w:ind w:left="960"/>
      </w:pPr>
      <w:r>
        <w:rPr>
          <w:spacing w:val="-1"/>
        </w:rPr>
        <w:t>⑥摆动定价</w:t>
      </w:r>
    </w:p>
    <w:p>
      <w:pPr>
        <w:pStyle w:val="BodyText"/>
        <w:spacing w:before="7"/>
        <w:rPr>
          <w:sz w:val="15"/>
        </w:rPr>
      </w:pPr>
    </w:p>
    <w:p>
      <w:pPr>
        <w:pStyle w:val="BodyText"/>
        <w:spacing w:line="417" w:lineRule="auto"/>
        <w:ind w:left="540" w:right="31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540" w:right="20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8"/>
        </w:rPr>
        <w:t>从而减少对存量基金份额持有人利益的不利影响，确保投资者的合法权益不受损害并得到公</w:t>
      </w:r>
      <w:r>
        <w:rPr>
          <w:spacing w:val="-6"/>
        </w:rPr>
        <w:t>平对待。</w:t>
      </w:r>
    </w:p>
    <w:p>
      <w:pPr>
        <w:pStyle w:val="BodyText"/>
        <w:spacing w:line="269" w:lineRule="exact"/>
        <w:ind w:left="960"/>
      </w:pPr>
      <w:r>
        <w:rPr/>
        <w:t>⑦中国证监会认定的其他措施。</w:t>
      </w:r>
    </w:p>
    <w:p>
      <w:pPr>
        <w:pStyle w:val="BodyText"/>
        <w:spacing w:before="6"/>
        <w:rPr>
          <w:sz w:val="15"/>
        </w:rPr>
      </w:pPr>
    </w:p>
    <w:p>
      <w:pPr>
        <w:pStyle w:val="BodyText"/>
        <w:ind w:left="960"/>
      </w:pPr>
      <w:r>
        <w:rPr>
          <w:rFonts w:ascii="Times New Roman" w:eastAsia="Times New Roman"/>
        </w:rPr>
        <w:t>3</w:t>
      </w:r>
      <w:r>
        <w:rPr/>
        <w:t>、积极管理风险</w:t>
      </w:r>
    </w:p>
    <w:p>
      <w:pPr>
        <w:pStyle w:val="BodyText"/>
        <w:spacing w:before="7"/>
        <w:rPr>
          <w:sz w:val="15"/>
        </w:rPr>
      </w:pPr>
    </w:p>
    <w:p>
      <w:pPr>
        <w:pStyle w:val="BodyText"/>
        <w:spacing w:line="417" w:lineRule="auto"/>
        <w:ind w:left="540" w:right="311" w:firstLine="419"/>
        <w:jc w:val="both"/>
      </w:pPr>
      <w:r>
        <w:rPr>
          <w:spacing w:val="-9"/>
        </w:rPr>
        <w:t>在精选个股的实际操作过程中，基金管理人可能限于知识、技术、经验等因素而影响其</w:t>
      </w:r>
      <w:r>
        <w:rPr>
          <w:spacing w:val="-12"/>
        </w:rPr>
        <w:t>对相关信息、经济形势和证券价格走势的判断，其精选出的个股的业绩表现不一定持续优于</w:t>
      </w:r>
      <w:r>
        <w:rPr>
          <w:spacing w:val="-6"/>
        </w:rPr>
        <w:t>其他股票。</w:t>
      </w:r>
    </w:p>
    <w:p>
      <w:pPr>
        <w:pStyle w:val="BodyText"/>
        <w:ind w:left="960"/>
      </w:pPr>
      <w:r>
        <w:rPr>
          <w:rFonts w:ascii="Times New Roman" w:eastAsia="Times New Roman"/>
        </w:rPr>
        <w:t>4</w:t>
      </w:r>
      <w:r>
        <w:rPr/>
        <w:t>、中小企业私募债券投资风险</w:t>
      </w:r>
    </w:p>
    <w:p>
      <w:pPr>
        <w:pStyle w:val="BodyText"/>
        <w:spacing w:before="7"/>
        <w:rPr>
          <w:sz w:val="15"/>
        </w:rPr>
      </w:pPr>
    </w:p>
    <w:p>
      <w:pPr>
        <w:pStyle w:val="BodyText"/>
        <w:spacing w:line="417" w:lineRule="auto"/>
        <w:ind w:left="540" w:right="31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BodyText"/>
        <w:spacing w:line="268" w:lineRule="exact"/>
        <w:ind w:left="960"/>
      </w:pPr>
      <w:r>
        <w:rPr>
          <w:rFonts w:ascii="Times New Roman" w:eastAsia="Times New Roman"/>
        </w:rPr>
        <w:t>5</w:t>
      </w:r>
      <w:r>
        <w:rPr/>
        <w:t>、存托凭证投资风险</w:t>
      </w:r>
    </w:p>
    <w:p>
      <w:pPr>
        <w:pStyle w:val="BodyText"/>
        <w:spacing w:before="7"/>
        <w:rPr>
          <w:sz w:val="15"/>
        </w:rPr>
      </w:pPr>
    </w:p>
    <w:p>
      <w:pPr>
        <w:pStyle w:val="BodyText"/>
        <w:spacing w:line="417" w:lineRule="auto"/>
        <w:ind w:left="540" w:right="31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ind w:left="960"/>
      </w:pPr>
      <w:r>
        <w:rPr>
          <w:rFonts w:ascii="Times New Roman" w:eastAsia="Times New Roman"/>
        </w:rPr>
        <w:t>6</w:t>
      </w:r>
      <w:r>
        <w:rPr/>
        <w:t>、衍生品投资风险</w:t>
      </w:r>
    </w:p>
    <w:p>
      <w:pPr>
        <w:pStyle w:val="BodyText"/>
        <w:spacing w:before="6"/>
        <w:rPr>
          <w:sz w:val="15"/>
        </w:rPr>
      </w:pPr>
    </w:p>
    <w:p>
      <w:pPr>
        <w:pStyle w:val="BodyText"/>
        <w:spacing w:line="417" w:lineRule="auto" w:before="1"/>
        <w:ind w:left="540" w:right="311" w:firstLine="419"/>
      </w:pPr>
      <w:r>
        <w:rPr>
          <w:spacing w:val="-10"/>
        </w:rPr>
        <w:t>本基金可投资于期权、股指期货、国债期货等金融衍生品，投资期权、期货等金融衍生</w:t>
      </w:r>
      <w:r>
        <w:rPr>
          <w:spacing w:val="-5"/>
        </w:rPr>
        <w:t>品主要存在以下风险：</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市场风险：是指由于衍生品价格变动而给投资者带来的风险。</w:t>
      </w:r>
    </w:p>
    <w:p>
      <w:pPr>
        <w:pStyle w:val="BodyText"/>
        <w:spacing w:before="6"/>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流动性风险：是指由于衍生品合约无法及时变现所带来的风险。</w:t>
      </w:r>
    </w:p>
    <w:p>
      <w:pPr>
        <w:pStyle w:val="BodyText"/>
        <w:spacing w:before="7"/>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基差风险：是指衍生品合约价格和标的指数价格之间的价格差的波动所造成的风险，以及不同衍生品合约价格之间价格差的波动所造成的期现价差风险。</w:t>
      </w: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保证金风险：是指由于无法及时筹措资金满足建立或者维持衍生品合约头寸所要求的保证金而带来的风险。</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信用风险：是指经纪公司违约而产生损失的风险。</w:t>
      </w:r>
    </w:p>
    <w:p>
      <w:pPr>
        <w:pStyle w:val="BodyText"/>
        <w:spacing w:before="7"/>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操作风险：是指由于内部流程的不完善，业务人员出现差错或者疏漏，或者系统出现故障等原因造成损失的风险。</w:t>
      </w:r>
    </w:p>
    <w:p>
      <w:pPr>
        <w:pStyle w:val="BodyText"/>
        <w:spacing w:line="269" w:lineRule="exact"/>
        <w:ind w:left="960"/>
      </w:pPr>
      <w:r>
        <w:rPr>
          <w:rFonts w:ascii="Times New Roman" w:eastAsia="Times New Roman"/>
        </w:rPr>
        <w:t>7</w:t>
      </w:r>
      <w:r>
        <w:rPr/>
        <w:t>、操作或技术风险</w:t>
      </w:r>
    </w:p>
    <w:p>
      <w:pPr>
        <w:pStyle w:val="BodyText"/>
        <w:spacing w:before="7"/>
        <w:rPr>
          <w:sz w:val="15"/>
        </w:rPr>
      </w:pPr>
    </w:p>
    <w:p>
      <w:pPr>
        <w:pStyle w:val="BodyText"/>
        <w:spacing w:line="417" w:lineRule="auto"/>
        <w:ind w:left="540" w:right="311" w:firstLine="419"/>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p>
    <w:p>
      <w:pPr>
        <w:spacing w:after="0" w:line="417" w:lineRule="auto"/>
        <w:sectPr>
          <w:pgSz w:w="11910" w:h="16840"/>
          <w:pgMar w:header="877" w:footer="995" w:top="1420" w:bottom="1180" w:left="1260" w:right="1480"/>
        </w:sectPr>
      </w:pPr>
    </w:p>
    <w:p>
      <w:pPr>
        <w:pStyle w:val="BodyText"/>
        <w:spacing w:before="110"/>
        <w:ind w:left="540"/>
      </w:pPr>
      <w:r>
        <w:rPr/>
        <w:t>障等风险。</w:t>
      </w:r>
    </w:p>
    <w:p>
      <w:pPr>
        <w:pStyle w:val="BodyText"/>
        <w:spacing w:before="6"/>
        <w:rPr>
          <w:sz w:val="15"/>
        </w:rPr>
      </w:pPr>
    </w:p>
    <w:p>
      <w:pPr>
        <w:pStyle w:val="BodyText"/>
        <w:spacing w:line="417" w:lineRule="auto"/>
        <w:ind w:left="540" w:right="20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登记结算机构、销售机构、证券、期货交易所、证券登记结算机构等等。</w:t>
      </w:r>
    </w:p>
    <w:p>
      <w:pPr>
        <w:pStyle w:val="BodyText"/>
        <w:spacing w:line="417" w:lineRule="auto"/>
        <w:ind w:left="540" w:right="31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960"/>
      </w:pPr>
      <w:r>
        <w:rPr>
          <w:rFonts w:ascii="Times New Roman" w:eastAsia="Times New Roman"/>
        </w:rPr>
        <w:t>8</w:t>
      </w:r>
      <w:r>
        <w:rPr/>
        <w:t>、政策变更风险</w:t>
      </w:r>
    </w:p>
    <w:p>
      <w:pPr>
        <w:pStyle w:val="BodyText"/>
        <w:spacing w:before="7"/>
        <w:rPr>
          <w:sz w:val="15"/>
        </w:rPr>
      </w:pPr>
    </w:p>
    <w:p>
      <w:pPr>
        <w:pStyle w:val="BodyText"/>
        <w:spacing w:line="417" w:lineRule="auto"/>
        <w:ind w:left="540" w:right="31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BodyText"/>
        <w:spacing w:line="268" w:lineRule="exact"/>
        <w:ind w:left="960"/>
      </w:pPr>
      <w:r>
        <w:rPr>
          <w:rFonts w:ascii="Times New Roman" w:eastAsia="Times New Roman"/>
        </w:rPr>
        <w:t>9</w:t>
      </w:r>
      <w:r>
        <w:rPr/>
        <w:t>、其他风险</w:t>
      </w:r>
    </w:p>
    <w:p>
      <w:pPr>
        <w:pStyle w:val="BodyText"/>
        <w:spacing w:before="6"/>
        <w:rPr>
          <w:sz w:val="15"/>
        </w:rPr>
      </w:pPr>
    </w:p>
    <w:p>
      <w:pPr>
        <w:pStyle w:val="BodyText"/>
        <w:spacing w:line="417" w:lineRule="auto" w:before="1"/>
        <w:ind w:left="540" w:right="31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ind w:left="960"/>
      </w:pPr>
      <w:r>
        <w:rPr/>
        <w:t>（二）声明</w:t>
      </w:r>
    </w:p>
    <w:p>
      <w:pPr>
        <w:pStyle w:val="BodyText"/>
        <w:spacing w:before="6"/>
        <w:rPr>
          <w:sz w:val="15"/>
        </w:rPr>
      </w:pPr>
    </w:p>
    <w:p>
      <w:pPr>
        <w:pStyle w:val="BodyText"/>
        <w:spacing w:line="417" w:lineRule="auto"/>
        <w:ind w:left="540" w:right="31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540" w:right="31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17" w:lineRule="auto"/>
        <w:ind w:left="540" w:right="208" w:firstLine="472"/>
      </w:pPr>
      <w:r>
        <w:rPr/>
        <w:t>基金管理人承诺以诚实信用、勤勉尽责的原则管理和运用基金资产，但不保证本基金</w:t>
      </w:r>
      <w:r>
        <w:rPr>
          <w:spacing w:val="-3"/>
        </w:rPr>
        <w:t>一定盈利，也不保证最低收益。本基金的过往业绩及其净值高低并不预示其未来业绩表现。基金管理人提醒投资人基金投资的</w:t>
      </w:r>
      <w:r>
        <w:rPr>
          <w:rFonts w:ascii="Times New Roman" w:hAnsi="Times New Roman" w:eastAsia="Times New Roman"/>
          <w:spacing w:val="-3"/>
        </w:rPr>
        <w:t>“</w:t>
      </w:r>
      <w:r>
        <w:rPr>
          <w:spacing w:val="-2"/>
        </w:rPr>
        <w:t>买者自负</w:t>
      </w:r>
      <w:r>
        <w:rPr>
          <w:rFonts w:ascii="Times New Roman" w:hAnsi="Times New Roman" w:eastAsia="Times New Roman"/>
          <w:spacing w:val="-3"/>
        </w:rPr>
        <w:t>”</w:t>
      </w:r>
      <w:r>
        <w:rPr>
          <w:spacing w:val="-11"/>
        </w:rPr>
        <w:t>原则，在做出投资决策后，基金运营状况与基</w:t>
      </w:r>
      <w:r>
        <w:rPr>
          <w:spacing w:val="-6"/>
        </w:rPr>
        <w:t>金净值变化引致的投资风险，由投资人自行负担。</w:t>
      </w:r>
    </w:p>
    <w:p>
      <w:pPr>
        <w:pStyle w:val="BodyText"/>
        <w:spacing w:before="7"/>
        <w:rPr>
          <w:sz w:val="26"/>
        </w:rPr>
      </w:pPr>
    </w:p>
    <w:p>
      <w:pPr>
        <w:pStyle w:val="Heading1"/>
        <w:ind w:right="2240"/>
      </w:pPr>
      <w:bookmarkStart w:name="_bookmark17" w:id="18"/>
      <w:bookmarkEnd w:id="18"/>
      <w:r>
        <w:rPr>
          <w:b w:val="0"/>
        </w:rPr>
      </w:r>
      <w:r>
        <w:rPr/>
        <w:t>十八、基金合同的变更、终止与基金财产的清算</w:t>
      </w:r>
    </w:p>
    <w:p>
      <w:pPr>
        <w:pStyle w:val="BodyText"/>
        <w:rPr>
          <w:b/>
          <w:sz w:val="20"/>
        </w:rPr>
      </w:pPr>
    </w:p>
    <w:p>
      <w:pPr>
        <w:pStyle w:val="BodyText"/>
        <w:spacing w:before="3"/>
        <w:rPr>
          <w:b/>
        </w:rPr>
      </w:pPr>
    </w:p>
    <w:p>
      <w:pPr>
        <w:pStyle w:val="BodyText"/>
        <w:ind w:left="960"/>
      </w:pPr>
      <w:r>
        <w:rPr/>
        <w:t>（一</w:t>
      </w:r>
      <w:r>
        <w:rPr>
          <w:spacing w:val="-108"/>
        </w:rPr>
        <w:t>）</w:t>
      </w:r>
      <w:r>
        <w:rPr>
          <w:spacing w:val="-3"/>
        </w:rPr>
        <w:t>《基金合同》的变更</w:t>
      </w:r>
    </w:p>
    <w:p>
      <w:pPr>
        <w:spacing w:after="0"/>
        <w:sectPr>
          <w:pgSz w:w="11910" w:h="16840"/>
          <w:pgMar w:header="877" w:footer="995" w:top="1420" w:bottom="1180" w:left="1260" w:right="1480"/>
        </w:sectPr>
      </w:pPr>
    </w:p>
    <w:p>
      <w:pPr>
        <w:pStyle w:val="BodyText"/>
        <w:spacing w:line="417" w:lineRule="auto" w:before="110"/>
        <w:ind w:left="540" w:right="31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960"/>
      </w:pPr>
      <w:r>
        <w:rPr/>
        <w:t>（二</w:t>
      </w:r>
      <w:r>
        <w:rPr>
          <w:spacing w:val="-108"/>
        </w:rPr>
        <w:t>）</w:t>
      </w:r>
      <w:r>
        <w:rPr>
          <w:spacing w:val="-3"/>
        </w:rPr>
        <w:t>《基金合同》的终止事由</w:t>
      </w:r>
    </w:p>
    <w:p>
      <w:pPr>
        <w:pStyle w:val="BodyText"/>
        <w:spacing w:before="6"/>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4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60"/>
      </w:pPr>
      <w:r>
        <w:rPr>
          <w:rFonts w:ascii="Times New Roman" w:eastAsia="Times New Roman"/>
        </w:rPr>
        <w:t>3</w:t>
      </w:r>
      <w:r>
        <w:rPr/>
        <w:t>、《基金合同》约定的其他情形。</w:t>
      </w:r>
    </w:p>
    <w:p>
      <w:pPr>
        <w:pStyle w:val="BodyText"/>
        <w:spacing w:before="7"/>
        <w:rPr>
          <w:sz w:val="15"/>
        </w:rPr>
      </w:pPr>
    </w:p>
    <w:p>
      <w:pPr>
        <w:pStyle w:val="BodyText"/>
        <w:ind w:left="960"/>
      </w:pPr>
      <w:r>
        <w:rPr>
          <w:rFonts w:ascii="Times New Roman" w:eastAsia="Times New Roman"/>
        </w:rPr>
        <w:t>4</w:t>
      </w:r>
      <w:r>
        <w:rPr/>
        <w:t>、相关法律法规和中国证监会规定的其他情况。</w:t>
      </w:r>
    </w:p>
    <w:p>
      <w:pPr>
        <w:pStyle w:val="BodyText"/>
        <w:spacing w:before="6"/>
        <w:rPr>
          <w:sz w:val="15"/>
        </w:rPr>
      </w:pPr>
    </w:p>
    <w:p>
      <w:pPr>
        <w:pStyle w:val="BodyText"/>
        <w:spacing w:before="1"/>
        <w:ind w:left="960"/>
      </w:pPr>
      <w:r>
        <w:rPr/>
        <w:t>（三）基金财产的清算</w:t>
      </w:r>
    </w:p>
    <w:p>
      <w:pPr>
        <w:pStyle w:val="BodyText"/>
        <w:spacing w:before="6"/>
        <w:rPr>
          <w:sz w:val="15"/>
        </w:rPr>
      </w:pP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39"/>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ind w:left="960"/>
      </w:pPr>
      <w:r>
        <w:rPr>
          <w:rFonts w:ascii="Times New Roman" w:eastAsia="Times New Roman"/>
        </w:rPr>
        <w:t>5</w:t>
      </w:r>
      <w:r>
        <w:rPr/>
        <w:t>、基金财产清算的期限为 </w:t>
      </w:r>
      <w:r>
        <w:rPr>
          <w:rFonts w:ascii="Times New Roman" w:eastAsia="Times New Roman"/>
        </w:rPr>
        <w:t>6 </w:t>
      </w:r>
      <w:r>
        <w:rPr/>
        <w:t>个月。</w:t>
      </w:r>
    </w:p>
    <w:p>
      <w:pPr>
        <w:spacing w:after="0"/>
        <w:sectPr>
          <w:pgSz w:w="11910" w:h="16840"/>
          <w:pgMar w:header="877" w:footer="995" w:top="1420" w:bottom="1180" w:left="1260" w:right="1480"/>
        </w:sectPr>
      </w:pPr>
    </w:p>
    <w:p>
      <w:pPr>
        <w:pStyle w:val="BodyText"/>
        <w:spacing w:before="110"/>
        <w:ind w:left="960"/>
      </w:pPr>
      <w:r>
        <w:rPr/>
        <w:t>（四）清算费用</w:t>
      </w:r>
    </w:p>
    <w:p>
      <w:pPr>
        <w:pStyle w:val="BodyText"/>
        <w:spacing w:before="6"/>
        <w:rPr>
          <w:sz w:val="15"/>
        </w:rPr>
      </w:pPr>
    </w:p>
    <w:p>
      <w:pPr>
        <w:pStyle w:val="BodyText"/>
        <w:spacing w:line="417" w:lineRule="auto"/>
        <w:ind w:left="54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60"/>
      </w:pPr>
      <w:r>
        <w:rPr/>
        <w:t>（五）基金财产清算剩余资产的分配</w:t>
      </w:r>
    </w:p>
    <w:p>
      <w:pPr>
        <w:pStyle w:val="BodyText"/>
        <w:spacing w:before="7"/>
        <w:rPr>
          <w:sz w:val="15"/>
        </w:rPr>
      </w:pPr>
    </w:p>
    <w:p>
      <w:pPr>
        <w:pStyle w:val="BodyText"/>
        <w:spacing w:line="417" w:lineRule="auto"/>
        <w:ind w:left="54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960"/>
      </w:pPr>
      <w:r>
        <w:rPr/>
        <w:t>（六）基金财产清算的公告</w:t>
      </w:r>
    </w:p>
    <w:p>
      <w:pPr>
        <w:pStyle w:val="BodyText"/>
        <w:spacing w:before="7"/>
        <w:rPr>
          <w:sz w:val="15"/>
        </w:rPr>
      </w:pPr>
    </w:p>
    <w:p>
      <w:pPr>
        <w:pStyle w:val="BodyText"/>
        <w:spacing w:line="417" w:lineRule="auto" w:before="1"/>
        <w:ind w:left="540" w:right="3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960"/>
      </w:pPr>
      <w:r>
        <w:rPr/>
        <w:t>（七）基金财产清算账册及文件的保存</w:t>
      </w:r>
    </w:p>
    <w:p>
      <w:pPr>
        <w:pStyle w:val="BodyText"/>
        <w:spacing w:before="6"/>
        <w:rPr>
          <w:sz w:val="15"/>
        </w:rPr>
      </w:pPr>
    </w:p>
    <w:p>
      <w:pPr>
        <w:pStyle w:val="BodyText"/>
        <w:ind w:left="96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2"/>
        <w:rPr>
          <w:sz w:val="20"/>
        </w:rPr>
      </w:pPr>
    </w:p>
    <w:p>
      <w:pPr>
        <w:pStyle w:val="Heading1"/>
        <w:ind w:left="2459" w:right="2240"/>
      </w:pPr>
      <w:bookmarkStart w:name="_bookmark18" w:id="19"/>
      <w:bookmarkEnd w:id="19"/>
      <w:r>
        <w:rPr>
          <w:b w:val="0"/>
        </w:rPr>
      </w:r>
      <w:r>
        <w:rPr/>
        <w:t>十九、基金合同的内容摘要</w:t>
      </w:r>
    </w:p>
    <w:p>
      <w:pPr>
        <w:pStyle w:val="BodyText"/>
        <w:rPr>
          <w:b/>
          <w:sz w:val="20"/>
        </w:rPr>
      </w:pPr>
    </w:p>
    <w:p>
      <w:pPr>
        <w:pStyle w:val="BodyText"/>
        <w:spacing w:before="3"/>
        <w:rPr>
          <w:b/>
        </w:rPr>
      </w:pPr>
    </w:p>
    <w:p>
      <w:pPr>
        <w:pStyle w:val="BodyText"/>
        <w:ind w:left="960"/>
      </w:pPr>
      <w:r>
        <w:rPr/>
        <w:t>以下内容摘自《华夏乐享健康灵活配置混合型证券投资基金基金合同》。</w:t>
      </w:r>
    </w:p>
    <w:p>
      <w:pPr>
        <w:pStyle w:val="BodyText"/>
        <w:spacing w:before="6"/>
        <w:rPr>
          <w:sz w:val="15"/>
        </w:rPr>
      </w:pPr>
    </w:p>
    <w:p>
      <w:pPr>
        <w:tabs>
          <w:tab w:pos="2794" w:val="left" w:leader="none"/>
        </w:tabs>
        <w:spacing w:line="417" w:lineRule="auto" w:before="0"/>
        <w:ind w:left="960" w:right="1099" w:firstLine="777"/>
        <w:jc w:val="left"/>
        <w:rPr>
          <w:sz w:val="21"/>
        </w:rPr>
      </w:pPr>
      <w:r>
        <w:rPr>
          <w:b/>
          <w:sz w:val="21"/>
        </w:rPr>
        <w:t>第一部分</w:t>
        <w:tab/>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spacing w:line="269" w:lineRule="exact"/>
        <w:ind w:left="960"/>
      </w:pPr>
      <w:r>
        <w:rPr/>
        <w:t>（一）基金管理人简况</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spacing w:line="417" w:lineRule="auto"/>
        <w:ind w:left="960" w:right="4569"/>
      </w:pPr>
      <w:r>
        <w:rPr/>
        <w:t>住所：北京市顺义区安庆大街甲 </w:t>
      </w:r>
      <w:r>
        <w:rPr>
          <w:rFonts w:ascii="Times New Roman" w:eastAsia="Times New Roman"/>
        </w:rPr>
        <w:t>3 </w:t>
      </w:r>
      <w:r>
        <w:rPr/>
        <w:t>号院法定代表人：杨明辉</w:t>
      </w:r>
    </w:p>
    <w:p>
      <w:pPr>
        <w:pStyle w:val="BodyText"/>
        <w:ind w:left="96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960" w:right="212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960" w:right="568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96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ind w:left="960"/>
      </w:pPr>
      <w:r>
        <w:rPr/>
        <w:t>（二）基金管理人的权利与义务</w:t>
      </w:r>
    </w:p>
    <w:p>
      <w:pPr>
        <w:pStyle w:val="BodyText"/>
        <w:spacing w:before="7"/>
        <w:rPr>
          <w:sz w:val="15"/>
        </w:rPr>
      </w:pPr>
    </w:p>
    <w:p>
      <w:pPr>
        <w:pStyle w:val="BodyText"/>
        <w:ind w:left="960"/>
      </w:pPr>
      <w:r>
        <w:rPr>
          <w:rFonts w:ascii="Times New Roman" w:eastAsia="Times New Roman"/>
        </w:rPr>
        <w:t>1</w:t>
      </w:r>
      <w:r>
        <w:rPr/>
        <w:t>、根据《基金法》、《运作办法》及其他有关规定，基金管理人的权利包括但不限于：</w:t>
      </w:r>
    </w:p>
    <w:p>
      <w:pPr>
        <w:spacing w:after="0"/>
        <w:sectPr>
          <w:footerReference w:type="default" r:id="rId184"/>
          <w:pgSz w:w="11910" w:h="16840"/>
          <w:pgMar w:footer="995" w:header="877" w:top="1420" w:bottom="1180" w:left="1260" w:right="1480"/>
          <w:pgNumType w:start="120"/>
        </w:sectPr>
      </w:pPr>
    </w:p>
    <w:p>
      <w:pPr>
        <w:pStyle w:val="ListParagraph"/>
        <w:numPr>
          <w:ilvl w:val="0"/>
          <w:numId w:val="40"/>
        </w:numPr>
        <w:tabs>
          <w:tab w:pos="1490" w:val="left" w:leader="none"/>
        </w:tabs>
        <w:spacing w:line="240" w:lineRule="auto" w:before="110" w:after="0"/>
        <w:ind w:left="1489" w:right="0" w:hanging="530"/>
        <w:jc w:val="left"/>
        <w:rPr>
          <w:sz w:val="21"/>
        </w:rPr>
      </w:pPr>
      <w:r>
        <w:rPr>
          <w:spacing w:val="-3"/>
          <w:sz w:val="21"/>
        </w:rPr>
        <w:t>依法募集资金。</w:t>
      </w:r>
    </w:p>
    <w:p>
      <w:pPr>
        <w:pStyle w:val="BodyText"/>
        <w:spacing w:before="6"/>
        <w:rPr>
          <w:sz w:val="15"/>
        </w:rPr>
      </w:pPr>
    </w:p>
    <w:p>
      <w:pPr>
        <w:pStyle w:val="ListParagraph"/>
        <w:numPr>
          <w:ilvl w:val="0"/>
          <w:numId w:val="40"/>
        </w:numPr>
        <w:tabs>
          <w:tab w:pos="1490" w:val="left" w:leader="none"/>
        </w:tabs>
        <w:spacing w:line="417" w:lineRule="auto" w:before="0" w:after="0"/>
        <w:ind w:left="540" w:right="314" w:firstLine="419"/>
        <w:jc w:val="left"/>
        <w:rPr>
          <w:sz w:val="21"/>
        </w:rPr>
      </w:pPr>
      <w:r>
        <w:rPr>
          <w:spacing w:val="-3"/>
          <w:sz w:val="21"/>
        </w:rPr>
        <w:t>自《基金合同》生效之日起，根据法律法规和《基金合同》独立运用并管理基金财产。</w:t>
      </w:r>
    </w:p>
    <w:p>
      <w:pPr>
        <w:pStyle w:val="ListParagraph"/>
        <w:numPr>
          <w:ilvl w:val="0"/>
          <w:numId w:val="40"/>
        </w:numPr>
        <w:tabs>
          <w:tab w:pos="1490" w:val="left" w:leader="none"/>
        </w:tabs>
        <w:spacing w:line="417" w:lineRule="auto" w:before="0" w:after="0"/>
        <w:ind w:left="540" w:right="314" w:firstLine="419"/>
        <w:jc w:val="left"/>
        <w:rPr>
          <w:sz w:val="21"/>
        </w:rPr>
      </w:pPr>
      <w:r>
        <w:rPr>
          <w:spacing w:val="-3"/>
          <w:sz w:val="21"/>
        </w:rPr>
        <w:t>依照《基金合同》收取基金管理费以及法律法规规定或中国证监会批准的其他费用。</w:t>
      </w:r>
    </w:p>
    <w:p>
      <w:pPr>
        <w:pStyle w:val="ListParagraph"/>
        <w:numPr>
          <w:ilvl w:val="0"/>
          <w:numId w:val="40"/>
        </w:numPr>
        <w:tabs>
          <w:tab w:pos="1490" w:val="left" w:leader="none"/>
        </w:tabs>
        <w:spacing w:line="269" w:lineRule="exact" w:before="0" w:after="0"/>
        <w:ind w:left="1489" w:right="0" w:hanging="530"/>
        <w:jc w:val="left"/>
        <w:rPr>
          <w:sz w:val="21"/>
        </w:rPr>
      </w:pPr>
      <w:r>
        <w:rPr>
          <w:spacing w:val="-3"/>
          <w:sz w:val="21"/>
        </w:rPr>
        <w:t>销售基金份额。</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40"/>
        </w:numPr>
        <w:tabs>
          <w:tab w:pos="1490" w:val="left" w:leader="none"/>
        </w:tabs>
        <w:spacing w:line="417" w:lineRule="auto" w:before="0" w:after="0"/>
        <w:ind w:left="540" w:right="3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40"/>
        </w:numPr>
        <w:tabs>
          <w:tab w:pos="1490" w:val="left" w:leader="none"/>
        </w:tabs>
        <w:spacing w:line="269" w:lineRule="exact" w:before="0" w:after="0"/>
        <w:ind w:left="1489" w:right="0" w:hanging="530"/>
        <w:jc w:val="left"/>
        <w:rPr>
          <w:sz w:val="21"/>
        </w:rPr>
      </w:pPr>
      <w:r>
        <w:rPr>
          <w:spacing w:val="-3"/>
          <w:sz w:val="21"/>
        </w:rPr>
        <w:t>在基金托管人更换时，提名新的基金托管人。</w:t>
      </w:r>
    </w:p>
    <w:p>
      <w:pPr>
        <w:pStyle w:val="BodyText"/>
        <w:spacing w:before="12"/>
        <w:rPr>
          <w:sz w:val="20"/>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选择、更换基金销售机构，对基金销售机构的相关行为进行监督和处理。</w:t>
      </w:r>
    </w:p>
    <w:p>
      <w:pPr>
        <w:pStyle w:val="ListParagraph"/>
        <w:numPr>
          <w:ilvl w:val="0"/>
          <w:numId w:val="40"/>
        </w:numPr>
        <w:tabs>
          <w:tab w:pos="1490" w:val="left" w:leader="none"/>
        </w:tabs>
        <w:spacing w:line="393" w:lineRule="auto" w:before="171" w:after="0"/>
        <w:ind w:left="540" w:right="31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40"/>
        </w:numPr>
        <w:tabs>
          <w:tab w:pos="1595" w:val="left" w:leader="none"/>
        </w:tabs>
        <w:spacing w:line="268" w:lineRule="exact" w:before="0" w:after="0"/>
        <w:ind w:left="1595" w:right="0" w:hanging="635"/>
        <w:jc w:val="left"/>
        <w:rPr>
          <w:sz w:val="21"/>
        </w:rPr>
      </w:pPr>
      <w:r>
        <w:rPr>
          <w:spacing w:val="-3"/>
          <w:sz w:val="21"/>
        </w:rPr>
        <w:t>依据《基金合同》及有关法律规定决定基金收益的分配方案。</w:t>
      </w:r>
    </w:p>
    <w:p>
      <w:pPr>
        <w:pStyle w:val="ListParagraph"/>
        <w:numPr>
          <w:ilvl w:val="0"/>
          <w:numId w:val="40"/>
        </w:numPr>
        <w:tabs>
          <w:tab w:pos="1586" w:val="left" w:leader="none"/>
        </w:tabs>
        <w:spacing w:line="240" w:lineRule="auto" w:before="170" w:after="0"/>
        <w:ind w:left="1585" w:right="0" w:hanging="626"/>
        <w:jc w:val="left"/>
        <w:rPr>
          <w:sz w:val="21"/>
        </w:rPr>
      </w:pPr>
      <w:r>
        <w:rPr>
          <w:spacing w:val="-3"/>
          <w:sz w:val="21"/>
        </w:rPr>
        <w:t>在《基金合同》约定的范围内，拒绝或暂停受理申购与赎回申请。</w:t>
      </w:r>
    </w:p>
    <w:p>
      <w:pPr>
        <w:pStyle w:val="ListParagraph"/>
        <w:numPr>
          <w:ilvl w:val="0"/>
          <w:numId w:val="40"/>
        </w:numPr>
        <w:tabs>
          <w:tab w:pos="1595" w:val="left" w:leader="none"/>
        </w:tabs>
        <w:spacing w:line="391" w:lineRule="auto" w:before="172" w:after="0"/>
        <w:ind w:left="540" w:right="31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40"/>
        </w:numPr>
        <w:tabs>
          <w:tab w:pos="1595" w:val="left" w:leader="none"/>
        </w:tabs>
        <w:spacing w:line="240" w:lineRule="auto" w:before="2" w:after="0"/>
        <w:ind w:left="1595" w:right="0" w:hanging="635"/>
        <w:jc w:val="left"/>
        <w:rPr>
          <w:sz w:val="21"/>
        </w:rPr>
      </w:pPr>
      <w:r>
        <w:rPr>
          <w:spacing w:val="-3"/>
          <w:sz w:val="21"/>
        </w:rPr>
        <w:t>在法律法规允许的前提下，为基金的利益依法为基金进行融资。</w:t>
      </w:r>
    </w:p>
    <w:p>
      <w:pPr>
        <w:pStyle w:val="ListParagraph"/>
        <w:numPr>
          <w:ilvl w:val="0"/>
          <w:numId w:val="40"/>
        </w:numPr>
        <w:tabs>
          <w:tab w:pos="1595" w:val="left" w:leader="none"/>
        </w:tabs>
        <w:spacing w:line="391" w:lineRule="auto" w:before="172" w:after="0"/>
        <w:ind w:left="540" w:right="31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40"/>
        </w:numPr>
        <w:tabs>
          <w:tab w:pos="1595" w:val="left" w:leader="none"/>
        </w:tabs>
        <w:spacing w:line="393" w:lineRule="auto" w:before="1" w:after="0"/>
        <w:ind w:left="540" w:right="31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40"/>
        </w:numPr>
        <w:tabs>
          <w:tab w:pos="1595" w:val="left" w:leader="none"/>
        </w:tabs>
        <w:spacing w:line="391" w:lineRule="auto" w:before="0" w:after="0"/>
        <w:ind w:left="540" w:right="31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40"/>
        </w:numPr>
        <w:tabs>
          <w:tab w:pos="1595" w:val="left" w:leader="none"/>
        </w:tabs>
        <w:spacing w:line="240" w:lineRule="auto" w:before="3" w:after="0"/>
        <w:ind w:left="1595" w:right="0" w:hanging="635"/>
        <w:jc w:val="left"/>
        <w:rPr>
          <w:sz w:val="21"/>
        </w:rPr>
      </w:pPr>
      <w:r>
        <w:rPr>
          <w:spacing w:val="-3"/>
          <w:sz w:val="21"/>
        </w:rPr>
        <w:t>法律法规及中国证监会规定的和《基金合同》约定的其他权利。</w:t>
      </w:r>
    </w:p>
    <w:p>
      <w:pPr>
        <w:pStyle w:val="BodyText"/>
        <w:spacing w:before="170"/>
        <w:ind w:left="960"/>
      </w:pPr>
      <w:r>
        <w:rPr>
          <w:rFonts w:ascii="Times New Roman" w:eastAsia="Times New Roman"/>
        </w:rPr>
        <w:t>2</w:t>
      </w:r>
      <w:r>
        <w:rPr/>
        <w:t>、根据《基金法》、《运作办法》及其他有关规定，基金管理人的义务包括但不限于：</w:t>
      </w:r>
    </w:p>
    <w:p>
      <w:pPr>
        <w:pStyle w:val="ListParagraph"/>
        <w:numPr>
          <w:ilvl w:val="0"/>
          <w:numId w:val="41"/>
        </w:numPr>
        <w:tabs>
          <w:tab w:pos="1490" w:val="left" w:leader="none"/>
        </w:tabs>
        <w:spacing w:line="393" w:lineRule="auto" w:before="170" w:after="0"/>
        <w:ind w:left="540" w:right="31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41"/>
        </w:numPr>
        <w:tabs>
          <w:tab w:pos="1490" w:val="left" w:leader="none"/>
        </w:tabs>
        <w:spacing w:line="268" w:lineRule="exact" w:before="0" w:after="0"/>
        <w:ind w:left="1489" w:right="0" w:hanging="530"/>
        <w:jc w:val="left"/>
        <w:rPr>
          <w:sz w:val="21"/>
        </w:rPr>
      </w:pPr>
      <w:r>
        <w:rPr>
          <w:spacing w:val="-3"/>
          <w:sz w:val="21"/>
        </w:rPr>
        <w:t>办理基金备案手续。</w:t>
      </w:r>
    </w:p>
    <w:p>
      <w:pPr>
        <w:pStyle w:val="ListParagraph"/>
        <w:numPr>
          <w:ilvl w:val="0"/>
          <w:numId w:val="41"/>
        </w:numPr>
        <w:tabs>
          <w:tab w:pos="1490" w:val="left" w:leader="none"/>
        </w:tabs>
        <w:spacing w:line="240" w:lineRule="auto" w:before="170" w:after="0"/>
        <w:ind w:left="1489" w:right="0" w:hanging="530"/>
        <w:jc w:val="left"/>
        <w:rPr>
          <w:sz w:val="21"/>
        </w:rPr>
      </w:pPr>
      <w:r>
        <w:rPr>
          <w:spacing w:val="-15"/>
          <w:sz w:val="21"/>
        </w:rPr>
        <w:t>自《基金合同》生效之日起，以诚实信用、谨慎勤勉的原则管理和运用基金财产。</w:t>
      </w:r>
    </w:p>
    <w:p>
      <w:pPr>
        <w:spacing w:after="0" w:line="240" w:lineRule="auto"/>
        <w:jc w:val="left"/>
        <w:rPr>
          <w:sz w:val="21"/>
        </w:rPr>
        <w:sectPr>
          <w:pgSz w:w="11910" w:h="16840"/>
          <w:pgMar w:header="877" w:footer="995" w:top="1420" w:bottom="1180" w:left="1260" w:right="1480"/>
        </w:sectPr>
      </w:pPr>
    </w:p>
    <w:p>
      <w:pPr>
        <w:pStyle w:val="BodyText"/>
        <w:spacing w:before="11"/>
        <w:rPr>
          <w:sz w:val="7"/>
        </w:rPr>
      </w:pPr>
    </w:p>
    <w:p>
      <w:pPr>
        <w:pStyle w:val="ListParagraph"/>
        <w:numPr>
          <w:ilvl w:val="0"/>
          <w:numId w:val="41"/>
        </w:numPr>
        <w:tabs>
          <w:tab w:pos="1490" w:val="left" w:leader="none"/>
        </w:tabs>
        <w:spacing w:line="391" w:lineRule="auto" w:before="79" w:after="0"/>
        <w:ind w:left="540" w:right="31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1"/>
        </w:numPr>
        <w:tabs>
          <w:tab w:pos="1490" w:val="left" w:leader="none"/>
        </w:tabs>
        <w:spacing w:line="391" w:lineRule="auto" w:before="3" w:after="0"/>
        <w:ind w:left="540" w:right="31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41"/>
        </w:numPr>
        <w:tabs>
          <w:tab w:pos="1490" w:val="left" w:leader="none"/>
        </w:tabs>
        <w:spacing w:line="204" w:lineRule="exact" w:before="0" w:after="0"/>
        <w:ind w:left="1489" w:right="0" w:hanging="530"/>
        <w:jc w:val="left"/>
        <w:rPr>
          <w:sz w:val="21"/>
        </w:rPr>
      </w:pPr>
      <w:r>
        <w:rPr>
          <w:spacing w:val="-17"/>
          <w:sz w:val="21"/>
        </w:rPr>
        <w:t>除依据《基金法》、《基金合同》及其他有关规定外，不得利用基金财产为自己及</w:t>
      </w:r>
    </w:p>
    <w:p>
      <w:pPr>
        <w:pStyle w:val="BodyText"/>
        <w:spacing w:before="7"/>
        <w:rPr>
          <w:sz w:val="15"/>
        </w:rPr>
      </w:pPr>
    </w:p>
    <w:p>
      <w:pPr>
        <w:pStyle w:val="BodyText"/>
        <w:ind w:left="540"/>
      </w:pPr>
      <w:r>
        <w:rPr/>
        <w:t>任何第三人谋取利益，不得委托第三人运作基金财产。</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依法接受基金托管人的监督。</w:t>
      </w:r>
    </w:p>
    <w:p>
      <w:pPr>
        <w:pStyle w:val="BodyText"/>
        <w:spacing w:before="7"/>
        <w:rPr>
          <w:sz w:val="15"/>
        </w:rPr>
      </w:pPr>
    </w:p>
    <w:p>
      <w:pPr>
        <w:pStyle w:val="ListParagraph"/>
        <w:numPr>
          <w:ilvl w:val="0"/>
          <w:numId w:val="41"/>
        </w:numPr>
        <w:tabs>
          <w:tab w:pos="1490" w:val="left" w:leader="none"/>
        </w:tabs>
        <w:spacing w:line="417" w:lineRule="auto" w:before="0" w:after="0"/>
        <w:ind w:left="540" w:right="31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41"/>
        </w:numPr>
        <w:tabs>
          <w:tab w:pos="1595" w:val="left" w:leader="none"/>
        </w:tabs>
        <w:spacing w:line="240" w:lineRule="auto" w:before="0" w:after="0"/>
        <w:ind w:left="1595" w:right="0" w:hanging="635"/>
        <w:jc w:val="left"/>
        <w:rPr>
          <w:sz w:val="21"/>
        </w:rPr>
      </w:pPr>
      <w:r>
        <w:rPr>
          <w:spacing w:val="-3"/>
          <w:sz w:val="21"/>
        </w:rPr>
        <w:t>编制季度、中期和年度基金报告。</w:t>
      </w:r>
    </w:p>
    <w:p>
      <w:pPr>
        <w:pStyle w:val="BodyText"/>
        <w:spacing w:before="6"/>
        <w:rPr>
          <w:sz w:val="15"/>
        </w:rPr>
      </w:pPr>
    </w:p>
    <w:p>
      <w:pPr>
        <w:pStyle w:val="ListParagraph"/>
        <w:numPr>
          <w:ilvl w:val="0"/>
          <w:numId w:val="41"/>
        </w:numPr>
        <w:tabs>
          <w:tab w:pos="1586" w:val="left" w:leader="none"/>
        </w:tabs>
        <w:spacing w:line="240" w:lineRule="auto" w:before="1" w:after="0"/>
        <w:ind w:left="158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41"/>
        </w:numPr>
        <w:tabs>
          <w:tab w:pos="1595" w:val="left" w:leader="none"/>
        </w:tabs>
        <w:spacing w:line="417" w:lineRule="auto" w:before="0" w:after="0"/>
        <w:ind w:left="540" w:right="31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41"/>
        </w:numPr>
        <w:tabs>
          <w:tab w:pos="1595" w:val="left" w:leader="none"/>
        </w:tabs>
        <w:spacing w:line="417" w:lineRule="auto" w:before="0" w:after="0"/>
        <w:ind w:left="540" w:right="31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41"/>
        </w:numPr>
        <w:tabs>
          <w:tab w:pos="1595" w:val="left" w:leader="none"/>
        </w:tabs>
        <w:spacing w:line="269" w:lineRule="exact" w:before="0" w:after="0"/>
        <w:ind w:left="159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41"/>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1"/>
        </w:numPr>
        <w:tabs>
          <w:tab w:pos="1595" w:val="left" w:leader="none"/>
        </w:tabs>
        <w:spacing w:line="269" w:lineRule="exact" w:before="0" w:after="0"/>
        <w:ind w:left="15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4"/>
        <w:rPr>
          <w:rFonts w:ascii="Times New Roman"/>
          <w:sz w:val="17"/>
        </w:rPr>
      </w:pPr>
    </w:p>
    <w:p>
      <w:pPr>
        <w:pStyle w:val="BodyText"/>
        <w:ind w:left="540"/>
      </w:pPr>
      <w:r>
        <w:rPr/>
        <w:t>年以上。</w:t>
      </w:r>
    </w:p>
    <w:p>
      <w:pPr>
        <w:pStyle w:val="BodyText"/>
        <w:spacing w:before="7"/>
        <w:rPr>
          <w:sz w:val="15"/>
        </w:rPr>
      </w:pPr>
    </w:p>
    <w:p>
      <w:pPr>
        <w:pStyle w:val="ListParagraph"/>
        <w:numPr>
          <w:ilvl w:val="0"/>
          <w:numId w:val="41"/>
        </w:numPr>
        <w:tabs>
          <w:tab w:pos="1595" w:val="left" w:leader="none"/>
        </w:tabs>
        <w:spacing w:line="417" w:lineRule="auto" w:before="0" w:after="0"/>
        <w:ind w:left="540" w:right="31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1"/>
        </w:numPr>
        <w:tabs>
          <w:tab w:pos="1593" w:val="left" w:leader="none"/>
        </w:tabs>
        <w:spacing w:line="269" w:lineRule="exact" w:before="0" w:after="0"/>
        <w:ind w:left="1592" w:right="0" w:hanging="633"/>
        <w:jc w:val="left"/>
        <w:rPr>
          <w:sz w:val="21"/>
        </w:rPr>
      </w:pPr>
      <w:r>
        <w:rPr>
          <w:spacing w:val="-15"/>
          <w:sz w:val="21"/>
        </w:rPr>
        <w:t>组织并参加基金财产清算小组，参与基金财产的保管、清理、估价、变现和分配。</w:t>
      </w:r>
    </w:p>
    <w:p>
      <w:pPr>
        <w:pStyle w:val="BodyText"/>
        <w:spacing w:before="7"/>
        <w:rPr>
          <w:sz w:val="15"/>
        </w:rPr>
      </w:pPr>
    </w:p>
    <w:p>
      <w:pPr>
        <w:pStyle w:val="ListParagraph"/>
        <w:numPr>
          <w:ilvl w:val="0"/>
          <w:numId w:val="41"/>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41"/>
        </w:numPr>
        <w:tabs>
          <w:tab w:pos="1595" w:val="left" w:leader="none"/>
        </w:tabs>
        <w:spacing w:line="240" w:lineRule="auto" w:before="0" w:after="0"/>
        <w:ind w:left="1595" w:right="0" w:hanging="635"/>
        <w:jc w:val="left"/>
        <w:rPr>
          <w:sz w:val="21"/>
        </w:rPr>
      </w:pPr>
      <w:r>
        <w:rPr>
          <w:spacing w:val="-10"/>
          <w:sz w:val="21"/>
        </w:rPr>
        <w:t>因违反《基金合同》导致基金财产的损失或损害基金份额持有人合法权益时，应</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当承担赔偿责任，其赔偿责任不因其退任而免除。</w:t>
      </w:r>
    </w:p>
    <w:p>
      <w:pPr>
        <w:pStyle w:val="BodyText"/>
        <w:spacing w:before="6"/>
        <w:rPr>
          <w:sz w:val="15"/>
        </w:rPr>
      </w:pPr>
    </w:p>
    <w:p>
      <w:pPr>
        <w:pStyle w:val="ListParagraph"/>
        <w:numPr>
          <w:ilvl w:val="0"/>
          <w:numId w:val="41"/>
        </w:numPr>
        <w:tabs>
          <w:tab w:pos="1595" w:val="left" w:leader="none"/>
        </w:tabs>
        <w:spacing w:line="417" w:lineRule="auto" w:before="0" w:after="0"/>
        <w:ind w:left="540" w:right="31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41"/>
        </w:numPr>
        <w:tabs>
          <w:tab w:pos="1595" w:val="left" w:leader="none"/>
        </w:tabs>
        <w:spacing w:line="417" w:lineRule="auto" w:before="0" w:after="0"/>
        <w:ind w:left="540" w:right="31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41"/>
        </w:numPr>
        <w:tabs>
          <w:tab w:pos="1593" w:val="left" w:leader="none"/>
        </w:tabs>
        <w:spacing w:line="269" w:lineRule="exact" w:before="0" w:after="0"/>
        <w:ind w:left="1592" w:right="0" w:hanging="633"/>
        <w:jc w:val="left"/>
        <w:rPr>
          <w:sz w:val="21"/>
        </w:rPr>
      </w:pPr>
      <w:r>
        <w:rPr>
          <w:spacing w:val="-12"/>
          <w:sz w:val="21"/>
        </w:rPr>
        <w:t>以基金管理人名义，代表基金份额持有人利益行使诉讼权利或实施其他法律行为。</w:t>
      </w:r>
    </w:p>
    <w:p>
      <w:pPr>
        <w:pStyle w:val="BodyText"/>
        <w:spacing w:before="7"/>
        <w:rPr>
          <w:sz w:val="15"/>
        </w:rPr>
      </w:pPr>
    </w:p>
    <w:p>
      <w:pPr>
        <w:pStyle w:val="ListParagraph"/>
        <w:numPr>
          <w:ilvl w:val="0"/>
          <w:numId w:val="41"/>
        </w:numPr>
        <w:tabs>
          <w:tab w:pos="1595" w:val="left" w:leader="none"/>
        </w:tabs>
        <w:spacing w:line="417" w:lineRule="auto" w:before="0" w:after="0"/>
        <w:ind w:left="540" w:right="31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41"/>
        </w:numPr>
        <w:tabs>
          <w:tab w:pos="1595" w:val="left" w:leader="none"/>
        </w:tabs>
        <w:spacing w:line="269" w:lineRule="exact" w:before="0" w:after="0"/>
        <w:ind w:left="159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41"/>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41"/>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法律法规及中国证监会规定的和《基金合同》约定的其他义务。二、基金托管人</w:t>
      </w:r>
    </w:p>
    <w:p>
      <w:pPr>
        <w:pStyle w:val="BodyText"/>
        <w:ind w:left="960"/>
      </w:pPr>
      <w:r>
        <w:rPr/>
        <w:t>（一）基金托管人简况</w:t>
      </w:r>
    </w:p>
    <w:p>
      <w:pPr>
        <w:pStyle w:val="BodyText"/>
        <w:spacing w:before="6"/>
        <w:rPr>
          <w:sz w:val="15"/>
        </w:rPr>
      </w:pPr>
    </w:p>
    <w:p>
      <w:pPr>
        <w:pStyle w:val="BodyText"/>
        <w:spacing w:before="1"/>
        <w:ind w:left="960"/>
      </w:pPr>
      <w:r>
        <w:rPr/>
        <w:t>名称：中国工商银行股份有限公司</w:t>
      </w:r>
    </w:p>
    <w:p>
      <w:pPr>
        <w:pStyle w:val="BodyText"/>
        <w:spacing w:before="6"/>
        <w:rPr>
          <w:sz w:val="15"/>
        </w:rPr>
      </w:pPr>
    </w:p>
    <w:p>
      <w:pPr>
        <w:pStyle w:val="BodyText"/>
        <w:spacing w:line="417" w:lineRule="auto"/>
        <w:ind w:left="960" w:right="4463"/>
      </w:pPr>
      <w:r>
        <w:rPr/>
        <w:t>住所：北京市西城区复兴门内大街 </w:t>
      </w:r>
      <w:r>
        <w:rPr>
          <w:rFonts w:ascii="Times New Roman" w:eastAsia="Times New Roman"/>
        </w:rPr>
        <w:t>55 </w:t>
      </w:r>
      <w:r>
        <w:rPr/>
        <w:t>号法定代表人：陈四清</w:t>
      </w:r>
    </w:p>
    <w:p>
      <w:pPr>
        <w:pStyle w:val="BodyText"/>
        <w:spacing w:line="269" w:lineRule="exact"/>
        <w:ind w:left="960"/>
      </w:pPr>
      <w:r>
        <w:rPr/>
        <w:t>成立时间：</w:t>
      </w:r>
      <w:r>
        <w:rPr>
          <w:rFonts w:ascii="Times New Roman" w:eastAsia="Times New Roman"/>
        </w:rPr>
        <w:t>1985 </w:t>
      </w:r>
      <w:r>
        <w:rPr/>
        <w:t>年 </w:t>
      </w:r>
      <w:r>
        <w:rPr>
          <w:rFonts w:ascii="Times New Roman" w:eastAsia="Times New Roman"/>
        </w:rPr>
        <w:t>11 </w:t>
      </w:r>
      <w:r>
        <w:rPr/>
        <w:t>月 </w:t>
      </w:r>
      <w:r>
        <w:rPr>
          <w:rFonts w:ascii="Times New Roman" w:eastAsia="Times New Roman"/>
        </w:rPr>
        <w:t>22 </w:t>
      </w:r>
      <w:r>
        <w:rPr/>
        <w:t>日</w:t>
      </w:r>
    </w:p>
    <w:p>
      <w:pPr>
        <w:pStyle w:val="BodyText"/>
        <w:spacing w:before="7"/>
        <w:rPr>
          <w:sz w:val="15"/>
        </w:rPr>
      </w:pPr>
    </w:p>
    <w:p>
      <w:pPr>
        <w:pStyle w:val="BodyText"/>
        <w:spacing w:line="417" w:lineRule="auto"/>
        <w:ind w:left="540" w:right="311" w:firstLine="419"/>
      </w:pPr>
      <w:r>
        <w:rPr>
          <w:spacing w:val="-10"/>
        </w:rPr>
        <w:t>批准设立机关和批准设立文号：国务院《关于中国人民银行专门行使中央银行职能的决</w:t>
      </w:r>
      <w:r>
        <w:rPr>
          <w:spacing w:val="-58"/>
        </w:rPr>
        <w:t>定》</w:t>
      </w:r>
      <w:r>
        <w:rPr>
          <w:spacing w:val="-3"/>
        </w:rPr>
        <w:t>（</w:t>
      </w:r>
      <w:r>
        <w:rPr/>
        <w:t>国发</w:t>
      </w:r>
      <w:r>
        <w:rPr>
          <w:rFonts w:ascii="Times New Roman" w:eastAsia="Times New Roman"/>
        </w:rPr>
        <w:t>[1983]146 </w:t>
      </w:r>
      <w:r>
        <w:rPr>
          <w:spacing w:val="-3"/>
        </w:rPr>
        <w:t>号）</w:t>
      </w:r>
    </w:p>
    <w:p>
      <w:pPr>
        <w:pStyle w:val="BodyText"/>
        <w:ind w:left="960"/>
      </w:pPr>
      <w:r>
        <w:rPr/>
        <w:t>组织形式：股份有限公司</w:t>
      </w:r>
    </w:p>
    <w:p>
      <w:pPr>
        <w:pStyle w:val="BodyText"/>
        <w:spacing w:before="7"/>
        <w:rPr>
          <w:sz w:val="15"/>
        </w:rPr>
      </w:pPr>
    </w:p>
    <w:p>
      <w:pPr>
        <w:pStyle w:val="BodyText"/>
        <w:spacing w:line="417" w:lineRule="auto"/>
        <w:ind w:left="960" w:right="4423"/>
      </w:pPr>
      <w:r>
        <w:rPr/>
        <w:t>注册资本：人民币 </w:t>
      </w:r>
      <w:r>
        <w:rPr>
          <w:rFonts w:ascii="Times New Roman" w:eastAsia="Times New Roman"/>
        </w:rPr>
        <w:t>35,640,625.7089 </w:t>
      </w:r>
      <w:r>
        <w:rPr/>
        <w:t>万元存续期间：持续经营</w:t>
      </w:r>
    </w:p>
    <w:p>
      <w:pPr>
        <w:pStyle w:val="BodyText"/>
        <w:spacing w:line="269" w:lineRule="exact"/>
        <w:ind w:left="960"/>
      </w:pPr>
      <w:r>
        <w:rPr/>
        <w:t>基金托管资格批文及文号：中国证监会和中国人民银行证监基字【</w:t>
      </w:r>
      <w:r>
        <w:rPr>
          <w:rFonts w:ascii="Times New Roman" w:eastAsia="Times New Roman"/>
        </w:rPr>
        <w:t>1998</w:t>
      </w:r>
      <w:r>
        <w:rPr/>
        <w:t>】</w:t>
      </w:r>
      <w:r>
        <w:rPr>
          <w:rFonts w:ascii="Times New Roman" w:eastAsia="Times New Roman"/>
        </w:rPr>
        <w:t>3 </w:t>
      </w:r>
      <w:r>
        <w:rPr/>
        <w:t>号</w:t>
      </w:r>
    </w:p>
    <w:p>
      <w:pPr>
        <w:pStyle w:val="BodyText"/>
        <w:spacing w:before="7"/>
        <w:rPr>
          <w:sz w:val="15"/>
        </w:rPr>
      </w:pPr>
    </w:p>
    <w:p>
      <w:pPr>
        <w:pStyle w:val="BodyText"/>
        <w:ind w:left="960"/>
      </w:pPr>
      <w:r>
        <w:rPr/>
        <w:t>（二）基金托管人的权利与义务</w:t>
      </w:r>
    </w:p>
    <w:p>
      <w:pPr>
        <w:pStyle w:val="BodyText"/>
        <w:spacing w:before="6"/>
        <w:rPr>
          <w:sz w:val="15"/>
        </w:rPr>
      </w:pPr>
    </w:p>
    <w:p>
      <w:pPr>
        <w:pStyle w:val="BodyText"/>
        <w:spacing w:before="1"/>
        <w:ind w:left="960"/>
      </w:pPr>
      <w:r>
        <w:rPr>
          <w:rFonts w:ascii="Times New Roman" w:eastAsia="Times New Roman"/>
        </w:rPr>
        <w:t>1</w:t>
      </w:r>
      <w:r>
        <w:rPr/>
        <w:t>、根据《基金法》、《运作办法》及其他有关规定，基金托管人的权利包括但不限于：</w:t>
      </w:r>
    </w:p>
    <w:p>
      <w:pPr>
        <w:pStyle w:val="BodyText"/>
        <w:spacing w:before="6"/>
        <w:rPr>
          <w:sz w:val="15"/>
        </w:rPr>
      </w:pPr>
    </w:p>
    <w:p>
      <w:pPr>
        <w:pStyle w:val="ListParagraph"/>
        <w:numPr>
          <w:ilvl w:val="0"/>
          <w:numId w:val="42"/>
        </w:numPr>
        <w:tabs>
          <w:tab w:pos="1490" w:val="left" w:leader="none"/>
        </w:tabs>
        <w:spacing w:line="417" w:lineRule="auto" w:before="0" w:after="0"/>
        <w:ind w:left="540" w:right="314" w:firstLine="419"/>
        <w:jc w:val="left"/>
        <w:rPr>
          <w:sz w:val="21"/>
        </w:rPr>
      </w:pPr>
      <w:r>
        <w:rPr>
          <w:spacing w:val="-3"/>
          <w:sz w:val="21"/>
        </w:rPr>
        <w:t>自《基金合同》生效之日起，依法律法规和《基金合同》的规定安全保管基金财产。</w:t>
      </w: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依《基金合同》约定获得基金托管费以及法律法规规定或监管部门批准的其他费</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用。</w:t>
      </w:r>
    </w:p>
    <w:p>
      <w:pPr>
        <w:pStyle w:val="BodyText"/>
        <w:spacing w:before="6"/>
        <w:rPr>
          <w:sz w:val="15"/>
        </w:rPr>
      </w:pPr>
    </w:p>
    <w:p>
      <w:pPr>
        <w:pStyle w:val="ListParagraph"/>
        <w:numPr>
          <w:ilvl w:val="0"/>
          <w:numId w:val="42"/>
        </w:numPr>
        <w:tabs>
          <w:tab w:pos="1490" w:val="left" w:leader="none"/>
        </w:tabs>
        <w:spacing w:line="417" w:lineRule="auto" w:before="0" w:after="0"/>
        <w:ind w:left="540" w:right="3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2"/>
        </w:numPr>
        <w:tabs>
          <w:tab w:pos="1490" w:val="left" w:leader="none"/>
        </w:tabs>
        <w:spacing w:line="269" w:lineRule="exact" w:before="0" w:after="0"/>
        <w:ind w:left="1489" w:right="0" w:hanging="530"/>
        <w:jc w:val="left"/>
        <w:rPr>
          <w:sz w:val="21"/>
        </w:rPr>
      </w:pPr>
      <w:r>
        <w:rPr>
          <w:spacing w:val="-3"/>
          <w:sz w:val="21"/>
        </w:rPr>
        <w:t>根据相关市场规则，为基金开设证券账户、为基金办理证券交易资金清算。</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6"/>
        <w:rPr>
          <w:sz w:val="15"/>
        </w:rPr>
      </w:pPr>
    </w:p>
    <w:p>
      <w:pPr>
        <w:pStyle w:val="ListParagraph"/>
        <w:numPr>
          <w:ilvl w:val="0"/>
          <w:numId w:val="43"/>
        </w:numPr>
        <w:tabs>
          <w:tab w:pos="1490" w:val="left" w:leader="none"/>
        </w:tabs>
        <w:spacing w:line="417" w:lineRule="auto" w:before="1" w:after="0"/>
        <w:ind w:left="540" w:right="31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3"/>
        </w:numPr>
        <w:tabs>
          <w:tab w:pos="1490" w:val="left" w:leader="none"/>
        </w:tabs>
        <w:spacing w:line="417" w:lineRule="auto" w:before="0" w:after="0"/>
        <w:ind w:left="540" w:right="20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3"/>
        </w:numPr>
        <w:tabs>
          <w:tab w:pos="1490" w:val="left" w:leader="none"/>
        </w:tabs>
        <w:spacing w:line="417" w:lineRule="auto" w:before="0" w:after="0"/>
        <w:ind w:left="540" w:right="31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3"/>
        </w:numPr>
        <w:tabs>
          <w:tab w:pos="1490" w:val="left" w:leader="none"/>
        </w:tabs>
        <w:spacing w:line="269" w:lineRule="exact" w:before="0" w:after="0"/>
        <w:ind w:left="1489" w:right="0" w:hanging="530"/>
        <w:jc w:val="left"/>
        <w:rPr>
          <w:sz w:val="21"/>
        </w:rPr>
      </w:pPr>
      <w:r>
        <w:rPr>
          <w:spacing w:val="-3"/>
          <w:sz w:val="21"/>
        </w:rPr>
        <w:t>保管由基金管理人代表基金签订的与基金有关的重大合同及有关凭证。</w:t>
      </w:r>
    </w:p>
    <w:p>
      <w:pPr>
        <w:pStyle w:val="BodyText"/>
        <w:spacing w:before="5"/>
        <w:rPr>
          <w:sz w:val="15"/>
        </w:rPr>
      </w:pPr>
    </w:p>
    <w:p>
      <w:pPr>
        <w:pStyle w:val="ListParagraph"/>
        <w:numPr>
          <w:ilvl w:val="0"/>
          <w:numId w:val="43"/>
        </w:numPr>
        <w:tabs>
          <w:tab w:pos="1490" w:val="left" w:leader="none"/>
        </w:tabs>
        <w:spacing w:line="417" w:lineRule="auto" w:before="1" w:after="0"/>
        <w:ind w:left="540" w:right="314"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43"/>
        </w:numPr>
        <w:tabs>
          <w:tab w:pos="1490" w:val="left" w:leader="none"/>
        </w:tabs>
        <w:spacing w:line="417" w:lineRule="auto" w:before="0" w:after="0"/>
        <w:ind w:left="540" w:right="31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3"/>
        </w:numPr>
        <w:tabs>
          <w:tab w:pos="1490" w:val="left" w:leader="none"/>
        </w:tabs>
        <w:spacing w:line="269" w:lineRule="exact" w:before="0" w:after="0"/>
        <w:ind w:left="1489" w:right="0" w:hanging="530"/>
        <w:jc w:val="left"/>
        <w:rPr>
          <w:sz w:val="21"/>
        </w:rPr>
      </w:pPr>
      <w:r>
        <w:rPr>
          <w:spacing w:val="-3"/>
          <w:sz w:val="21"/>
        </w:rPr>
        <w:t>复核、审查基金管理人计算的基金资产净值、基金份额申购、赎回价格。</w:t>
      </w:r>
    </w:p>
    <w:p>
      <w:pPr>
        <w:pStyle w:val="BodyText"/>
        <w:spacing w:before="7"/>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办理与基金托管业务活动有关的信息披露事项。</w:t>
      </w:r>
    </w:p>
    <w:p>
      <w:pPr>
        <w:pStyle w:val="BodyText"/>
        <w:spacing w:before="6"/>
        <w:rPr>
          <w:sz w:val="15"/>
        </w:rPr>
      </w:pPr>
    </w:p>
    <w:p>
      <w:pPr>
        <w:pStyle w:val="ListParagraph"/>
        <w:numPr>
          <w:ilvl w:val="0"/>
          <w:numId w:val="43"/>
        </w:numPr>
        <w:tabs>
          <w:tab w:pos="1595" w:val="left" w:leader="none"/>
        </w:tabs>
        <w:spacing w:line="417" w:lineRule="auto" w:before="0" w:after="0"/>
        <w:ind w:left="540" w:right="31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3"/>
        </w:numPr>
        <w:tabs>
          <w:tab w:pos="1586" w:val="left" w:leader="none"/>
        </w:tabs>
        <w:spacing w:line="240" w:lineRule="auto" w:before="0" w:after="0"/>
        <w:ind w:left="158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1"/>
          <w:sz w:val="21"/>
        </w:rPr>
        <w:t> </w:t>
      </w:r>
      <w:r>
        <w:rPr>
          <w:spacing w:val="-3"/>
          <w:sz w:val="21"/>
        </w:rPr>
        <w:t>年以上。</w:t>
      </w:r>
    </w:p>
    <w:p>
      <w:pPr>
        <w:pStyle w:val="BodyText"/>
        <w:spacing w:before="7"/>
        <w:rPr>
          <w:sz w:val="15"/>
        </w:rPr>
      </w:pPr>
    </w:p>
    <w:p>
      <w:pPr>
        <w:pStyle w:val="ListParagraph"/>
        <w:numPr>
          <w:ilvl w:val="0"/>
          <w:numId w:val="43"/>
        </w:numPr>
        <w:tabs>
          <w:tab w:pos="1595" w:val="left" w:leader="none"/>
        </w:tabs>
        <w:spacing w:line="240" w:lineRule="auto" w:before="0" w:after="0"/>
        <w:ind w:left="1595" w:right="0" w:hanging="635"/>
        <w:jc w:val="left"/>
        <w:rPr>
          <w:sz w:val="21"/>
        </w:rPr>
      </w:pPr>
      <w:r>
        <w:rPr>
          <w:spacing w:val="-3"/>
          <w:sz w:val="21"/>
        </w:rPr>
        <w:t>建立并保存基金份额持有人名册。</w:t>
      </w:r>
    </w:p>
    <w:p>
      <w:pPr>
        <w:spacing w:after="0" w:line="240" w:lineRule="auto"/>
        <w:jc w:val="left"/>
        <w:rPr>
          <w:sz w:val="21"/>
        </w:rPr>
        <w:sectPr>
          <w:pgSz w:w="11910" w:h="16840"/>
          <w:pgMar w:header="877" w:footer="995" w:top="1420" w:bottom="1180" w:left="1260" w:right="1480"/>
        </w:sectPr>
      </w:pPr>
    </w:p>
    <w:p>
      <w:pPr>
        <w:pStyle w:val="ListParagraph"/>
        <w:numPr>
          <w:ilvl w:val="0"/>
          <w:numId w:val="43"/>
        </w:numPr>
        <w:tabs>
          <w:tab w:pos="1595" w:val="left" w:leader="none"/>
        </w:tabs>
        <w:spacing w:line="240" w:lineRule="auto" w:before="110" w:after="0"/>
        <w:ind w:left="1595" w:right="0" w:hanging="635"/>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43"/>
        </w:numPr>
        <w:tabs>
          <w:tab w:pos="1595" w:val="left" w:leader="none"/>
        </w:tabs>
        <w:spacing w:line="240" w:lineRule="auto" w:before="0" w:after="0"/>
        <w:ind w:left="1595" w:right="0" w:hanging="635"/>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43"/>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3"/>
        </w:numPr>
        <w:tabs>
          <w:tab w:pos="1595" w:val="left" w:leader="none"/>
        </w:tabs>
        <w:spacing w:line="269" w:lineRule="exact" w:before="0" w:after="0"/>
        <w:ind w:left="159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43"/>
        </w:numPr>
        <w:tabs>
          <w:tab w:pos="1595" w:val="left" w:leader="none"/>
        </w:tabs>
        <w:spacing w:line="240" w:lineRule="auto" w:before="0" w:after="0"/>
        <w:ind w:left="159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3"/>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3"/>
        </w:numPr>
        <w:tabs>
          <w:tab w:pos="1595" w:val="left" w:leader="none"/>
        </w:tabs>
        <w:spacing w:line="417" w:lineRule="auto" w:before="0" w:after="0"/>
        <w:ind w:left="540" w:right="31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3"/>
        </w:numPr>
        <w:tabs>
          <w:tab w:pos="1595" w:val="left" w:leader="none"/>
        </w:tabs>
        <w:spacing w:line="417" w:lineRule="auto" w:before="0" w:after="0"/>
        <w:ind w:left="540" w:right="31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3"/>
        </w:numPr>
        <w:tabs>
          <w:tab w:pos="1595" w:val="left" w:leader="none"/>
        </w:tabs>
        <w:spacing w:line="269" w:lineRule="exact" w:before="0" w:after="0"/>
        <w:ind w:left="159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3"/>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法律法规及中国证监会规定的和《基金合同》约定的其他义务。三、基金份额持有人</w:t>
      </w:r>
    </w:p>
    <w:p>
      <w:pPr>
        <w:pStyle w:val="BodyText"/>
        <w:spacing w:line="417" w:lineRule="auto"/>
        <w:ind w:left="540" w:right="31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8" w:lineRule="exact"/>
        <w:ind w:left="960"/>
      </w:pPr>
      <w:r>
        <w:rPr>
          <w:spacing w:val="-3"/>
        </w:rPr>
        <w:t>每份基金份额具有同等的合法权益。</w:t>
      </w:r>
    </w:p>
    <w:p>
      <w:pPr>
        <w:pStyle w:val="BodyText"/>
        <w:spacing w:before="7"/>
        <w:rPr>
          <w:sz w:val="15"/>
        </w:rPr>
      </w:pPr>
    </w:p>
    <w:p>
      <w:pPr>
        <w:pStyle w:val="BodyText"/>
        <w:spacing w:line="417" w:lineRule="auto"/>
        <w:ind w:left="540" w:right="31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分享基金财产收益。</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参与分配清算后的剩余基金财产。</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依法申请赎回其持有的基金份额。</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按照规定要求召开基金份额持有人大会，或者召集基金份额持有人大会。</w:t>
      </w:r>
    </w:p>
    <w:p>
      <w:pPr>
        <w:pStyle w:val="BodyText"/>
        <w:spacing w:before="6"/>
        <w:rPr>
          <w:sz w:val="15"/>
        </w:rPr>
      </w:pPr>
    </w:p>
    <w:p>
      <w:pPr>
        <w:pStyle w:val="ListParagraph"/>
        <w:numPr>
          <w:ilvl w:val="0"/>
          <w:numId w:val="44"/>
        </w:numPr>
        <w:tabs>
          <w:tab w:pos="1490" w:val="left" w:leader="none"/>
        </w:tabs>
        <w:spacing w:line="417" w:lineRule="auto" w:before="0" w:after="0"/>
        <w:ind w:left="540" w:right="31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4"/>
        </w:numPr>
        <w:tabs>
          <w:tab w:pos="1490" w:val="left" w:leader="none"/>
        </w:tabs>
        <w:spacing w:line="240" w:lineRule="auto" w:before="1" w:after="0"/>
        <w:ind w:left="148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监督基金管理人的投资运作。</w:t>
      </w:r>
    </w:p>
    <w:p>
      <w:pPr>
        <w:spacing w:after="0" w:line="240" w:lineRule="auto"/>
        <w:jc w:val="left"/>
        <w:rPr>
          <w:sz w:val="21"/>
        </w:rPr>
        <w:sectPr>
          <w:pgSz w:w="11910" w:h="16840"/>
          <w:pgMar w:header="877" w:footer="995" w:top="1420" w:bottom="1180" w:left="1260" w:right="1480"/>
        </w:sectPr>
      </w:pPr>
    </w:p>
    <w:p>
      <w:pPr>
        <w:pStyle w:val="ListParagraph"/>
        <w:numPr>
          <w:ilvl w:val="0"/>
          <w:numId w:val="44"/>
        </w:numPr>
        <w:tabs>
          <w:tab w:pos="1490" w:val="left" w:leader="none"/>
        </w:tabs>
        <w:spacing w:line="417" w:lineRule="auto" w:before="110" w:after="0"/>
        <w:ind w:left="540" w:right="314" w:firstLine="419"/>
        <w:jc w:val="left"/>
        <w:rPr>
          <w:sz w:val="21"/>
        </w:rPr>
      </w:pPr>
      <w:r>
        <w:rPr>
          <w:spacing w:val="-3"/>
          <w:sz w:val="21"/>
        </w:rPr>
        <w:t>对基金管理人、基金托管人、基金服务机构损害其合法权益的行为依法提起诉讼或仲裁。</w:t>
      </w:r>
    </w:p>
    <w:p>
      <w:pPr>
        <w:pStyle w:val="ListParagraph"/>
        <w:numPr>
          <w:ilvl w:val="0"/>
          <w:numId w:val="44"/>
        </w:numPr>
        <w:tabs>
          <w:tab w:pos="1490" w:val="left" w:leader="none"/>
        </w:tabs>
        <w:spacing w:line="269" w:lineRule="exact" w:before="0" w:after="0"/>
        <w:ind w:left="148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line="417" w:lineRule="auto"/>
        <w:ind w:left="540" w:right="313"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5"/>
        </w:numPr>
        <w:tabs>
          <w:tab w:pos="1490" w:val="left" w:leader="none"/>
        </w:tabs>
        <w:spacing w:line="269" w:lineRule="exact" w:before="0" w:after="0"/>
        <w:ind w:left="1489" w:right="0" w:hanging="530"/>
        <w:jc w:val="left"/>
        <w:rPr>
          <w:sz w:val="21"/>
        </w:rPr>
      </w:pPr>
      <w:r>
        <w:rPr>
          <w:spacing w:val="-11"/>
          <w:sz w:val="21"/>
        </w:rPr>
        <w:t>认真阅读并遵守《基金合同》。</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了解所投资基金产品，了解自身风险承受能力，自行承担投资风险。</w:t>
      </w:r>
    </w:p>
    <w:p>
      <w:pPr>
        <w:pStyle w:val="BodyText"/>
        <w:spacing w:before="7"/>
        <w:rPr>
          <w:sz w:val="15"/>
        </w:rPr>
      </w:pPr>
    </w:p>
    <w:p>
      <w:pPr>
        <w:pStyle w:val="ListParagraph"/>
        <w:numPr>
          <w:ilvl w:val="0"/>
          <w:numId w:val="45"/>
        </w:numPr>
        <w:tabs>
          <w:tab w:pos="1490" w:val="left" w:leader="none"/>
        </w:tabs>
        <w:spacing w:line="240" w:lineRule="auto" w:before="1" w:after="0"/>
        <w:ind w:left="1489" w:right="0" w:hanging="530"/>
        <w:jc w:val="left"/>
        <w:rPr>
          <w:sz w:val="21"/>
        </w:rPr>
      </w:pPr>
      <w:r>
        <w:rPr>
          <w:spacing w:val="-3"/>
          <w:sz w:val="21"/>
        </w:rPr>
        <w:t>关注基金信息披露，及时行使权利和履行义务。</w:t>
      </w:r>
    </w:p>
    <w:p>
      <w:pPr>
        <w:pStyle w:val="BodyText"/>
        <w:spacing w:before="6"/>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缴纳基金认购、申购、赎回款项及法律法规和《基金合同》所规定的费用。</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不从事任何有损基金及其他《基金合同》当事人合法权益的活动。</w:t>
      </w:r>
    </w:p>
    <w:p>
      <w:pPr>
        <w:pStyle w:val="BodyText"/>
        <w:spacing w:before="6"/>
        <w:rPr>
          <w:sz w:val="15"/>
        </w:rPr>
      </w:pPr>
    </w:p>
    <w:p>
      <w:pPr>
        <w:pStyle w:val="ListParagraph"/>
        <w:numPr>
          <w:ilvl w:val="0"/>
          <w:numId w:val="45"/>
        </w:numPr>
        <w:tabs>
          <w:tab w:pos="1490" w:val="left" w:leader="none"/>
        </w:tabs>
        <w:spacing w:line="240" w:lineRule="auto" w:before="1" w:after="0"/>
        <w:ind w:left="1489" w:right="0" w:hanging="530"/>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法律法规及中国证监会规定的和《基金合同》约定的其他义务。</w:t>
      </w:r>
    </w:p>
    <w:p>
      <w:pPr>
        <w:pStyle w:val="BodyText"/>
        <w:spacing w:before="7"/>
        <w:rPr>
          <w:sz w:val="15"/>
        </w:rPr>
      </w:pPr>
    </w:p>
    <w:p>
      <w:pPr>
        <w:tabs>
          <w:tab w:pos="3005" w:val="left" w:leader="none"/>
        </w:tabs>
        <w:spacing w:before="0"/>
        <w:ind w:left="1949" w:right="0" w:firstLine="0"/>
        <w:jc w:val="left"/>
        <w:rPr>
          <w:b/>
          <w:sz w:val="21"/>
        </w:rPr>
      </w:pPr>
      <w:r>
        <w:rPr>
          <w:b/>
          <w:sz w:val="21"/>
        </w:rPr>
        <w:t>第二部分</w:t>
        <w:tab/>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的程序和规则</w:t>
      </w:r>
    </w:p>
    <w:p>
      <w:pPr>
        <w:pStyle w:val="BodyText"/>
        <w:spacing w:before="7"/>
        <w:rPr>
          <w:b/>
          <w:sz w:val="15"/>
        </w:rPr>
      </w:pPr>
    </w:p>
    <w:p>
      <w:pPr>
        <w:pStyle w:val="BodyText"/>
        <w:spacing w:line="417" w:lineRule="auto"/>
        <w:ind w:left="540" w:right="20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ind w:left="960"/>
      </w:pPr>
      <w:r>
        <w:rPr/>
        <w:t>一、召开事由</w:t>
      </w:r>
    </w:p>
    <w:p>
      <w:pPr>
        <w:pStyle w:val="BodyText"/>
        <w:spacing w:before="7"/>
        <w:rPr>
          <w:sz w:val="15"/>
        </w:rPr>
      </w:pPr>
    </w:p>
    <w:p>
      <w:pPr>
        <w:pStyle w:val="BodyText"/>
        <w:ind w:left="960"/>
      </w:pPr>
      <w:r>
        <w:rPr>
          <w:rFonts w:ascii="Times New Roman" w:eastAsia="Times New Roman"/>
        </w:rPr>
        <w:t>1</w:t>
      </w:r>
      <w:r>
        <w:rPr/>
        <w:t>、当出现或需要决定下列事由之一的，应当召开基金份额持有人大会：</w:t>
      </w:r>
    </w:p>
    <w:p>
      <w:pPr>
        <w:pStyle w:val="BodyText"/>
        <w:spacing w:before="12"/>
        <w:rPr>
          <w:sz w:val="20"/>
        </w:rPr>
      </w:pPr>
    </w:p>
    <w:p>
      <w:pPr>
        <w:pStyle w:val="ListParagraph"/>
        <w:numPr>
          <w:ilvl w:val="0"/>
          <w:numId w:val="46"/>
        </w:numPr>
        <w:tabs>
          <w:tab w:pos="1490" w:val="left" w:leader="none"/>
        </w:tabs>
        <w:spacing w:line="240" w:lineRule="auto" w:before="0" w:after="0"/>
        <w:ind w:left="1489" w:right="0" w:hanging="530"/>
        <w:jc w:val="left"/>
        <w:rPr>
          <w:sz w:val="21"/>
        </w:rPr>
      </w:pPr>
      <w:r>
        <w:rPr>
          <w:spacing w:val="-16"/>
          <w:sz w:val="21"/>
        </w:rPr>
        <w:t>终止《基金合同》</w:t>
      </w:r>
      <w:r>
        <w:rPr>
          <w:spacing w:val="-3"/>
          <w:sz w:val="21"/>
        </w:rPr>
        <w:t>（法律法规、基金合同和中国证监会另有规定的除外</w:t>
      </w:r>
      <w:r>
        <w:rPr>
          <w:spacing w:val="-108"/>
          <w:sz w:val="21"/>
        </w:rPr>
        <w:t>）</w:t>
      </w:r>
      <w:r>
        <w:rPr>
          <w:sz w:val="21"/>
        </w:rPr>
        <w:t>。</w:t>
      </w:r>
    </w:p>
    <w:p>
      <w:pPr>
        <w:pStyle w:val="ListParagraph"/>
        <w:numPr>
          <w:ilvl w:val="0"/>
          <w:numId w:val="46"/>
        </w:numPr>
        <w:tabs>
          <w:tab w:pos="1490" w:val="left" w:leader="none"/>
        </w:tabs>
        <w:spacing w:line="240" w:lineRule="auto" w:before="171" w:after="0"/>
        <w:ind w:left="1489" w:right="0" w:hanging="530"/>
        <w:jc w:val="left"/>
        <w:rPr>
          <w:sz w:val="21"/>
        </w:rPr>
      </w:pPr>
      <w:r>
        <w:rPr>
          <w:spacing w:val="-3"/>
          <w:sz w:val="21"/>
        </w:rPr>
        <w:t>更换基金管理人。</w:t>
      </w:r>
    </w:p>
    <w:p>
      <w:pPr>
        <w:pStyle w:val="ListParagraph"/>
        <w:numPr>
          <w:ilvl w:val="0"/>
          <w:numId w:val="46"/>
        </w:numPr>
        <w:tabs>
          <w:tab w:pos="1490" w:val="left" w:leader="none"/>
        </w:tabs>
        <w:spacing w:line="240" w:lineRule="auto" w:before="172" w:after="0"/>
        <w:ind w:left="1489" w:right="0" w:hanging="530"/>
        <w:jc w:val="left"/>
        <w:rPr>
          <w:sz w:val="21"/>
        </w:rPr>
      </w:pPr>
      <w:r>
        <w:rPr>
          <w:spacing w:val="-3"/>
          <w:sz w:val="21"/>
        </w:rPr>
        <w:t>更换基金托管人。</w:t>
      </w:r>
    </w:p>
    <w:p>
      <w:pPr>
        <w:pStyle w:val="ListParagraph"/>
        <w:numPr>
          <w:ilvl w:val="0"/>
          <w:numId w:val="46"/>
        </w:numPr>
        <w:tabs>
          <w:tab w:pos="1490" w:val="left" w:leader="none"/>
        </w:tabs>
        <w:spacing w:line="240" w:lineRule="auto" w:before="170" w:after="0"/>
        <w:ind w:left="1489" w:right="0" w:hanging="530"/>
        <w:jc w:val="left"/>
        <w:rPr>
          <w:sz w:val="21"/>
        </w:rPr>
      </w:pPr>
      <w:r>
        <w:rPr>
          <w:spacing w:val="-3"/>
          <w:sz w:val="21"/>
        </w:rPr>
        <w:t>转换基金运作方式（法律法规和中国证监会另有规定的除外</w:t>
      </w:r>
      <w:r>
        <w:rPr>
          <w:spacing w:val="-108"/>
          <w:sz w:val="21"/>
        </w:rPr>
        <w:t>）</w:t>
      </w:r>
      <w:r>
        <w:rPr>
          <w:sz w:val="21"/>
        </w:rPr>
        <w:t>。</w:t>
      </w:r>
    </w:p>
    <w:p>
      <w:pPr>
        <w:pStyle w:val="ListParagraph"/>
        <w:numPr>
          <w:ilvl w:val="0"/>
          <w:numId w:val="46"/>
        </w:numPr>
        <w:tabs>
          <w:tab w:pos="1490" w:val="left" w:leader="none"/>
        </w:tabs>
        <w:spacing w:line="393" w:lineRule="auto" w:before="171" w:after="0"/>
        <w:ind w:left="540" w:right="314" w:firstLine="419"/>
        <w:jc w:val="left"/>
        <w:rPr>
          <w:sz w:val="21"/>
        </w:rPr>
      </w:pPr>
      <w:r>
        <w:rPr>
          <w:spacing w:val="-3"/>
          <w:sz w:val="21"/>
        </w:rPr>
        <w:t>提高基金管理人、基金托管人的报酬标准，但法律法规或中国证监会另有规定的除外。</w:t>
      </w:r>
    </w:p>
    <w:p>
      <w:pPr>
        <w:pStyle w:val="ListParagraph"/>
        <w:numPr>
          <w:ilvl w:val="0"/>
          <w:numId w:val="46"/>
        </w:numPr>
        <w:tabs>
          <w:tab w:pos="1490" w:val="left" w:leader="none"/>
        </w:tabs>
        <w:spacing w:line="267" w:lineRule="exact" w:before="0" w:after="0"/>
        <w:ind w:left="1489" w:right="0" w:hanging="530"/>
        <w:jc w:val="left"/>
        <w:rPr>
          <w:sz w:val="21"/>
        </w:rPr>
      </w:pPr>
      <w:r>
        <w:rPr>
          <w:spacing w:val="-3"/>
          <w:sz w:val="21"/>
        </w:rPr>
        <w:t>变更基金类别。</w:t>
      </w:r>
    </w:p>
    <w:p>
      <w:pPr>
        <w:pStyle w:val="ListParagraph"/>
        <w:numPr>
          <w:ilvl w:val="0"/>
          <w:numId w:val="46"/>
        </w:numPr>
        <w:tabs>
          <w:tab w:pos="1490" w:val="left" w:leader="none"/>
        </w:tabs>
        <w:spacing w:line="240" w:lineRule="auto" w:before="170" w:after="0"/>
        <w:ind w:left="1489" w:right="0" w:hanging="530"/>
        <w:jc w:val="left"/>
        <w:rPr>
          <w:sz w:val="21"/>
        </w:rPr>
      </w:pPr>
      <w:r>
        <w:rPr>
          <w:spacing w:val="-3"/>
          <w:sz w:val="21"/>
        </w:rPr>
        <w:t>本基金与其他基金的合并（法律法规和中国证监会另有规定的除外</w:t>
      </w:r>
      <w:r>
        <w:rPr>
          <w:spacing w:val="-106"/>
          <w:sz w:val="21"/>
        </w:rPr>
        <w:t>）</w:t>
      </w:r>
      <w:r>
        <w:rPr>
          <w:sz w:val="21"/>
        </w:rPr>
        <w:t>。</w:t>
      </w:r>
    </w:p>
    <w:p>
      <w:pPr>
        <w:pStyle w:val="ListParagraph"/>
        <w:numPr>
          <w:ilvl w:val="0"/>
          <w:numId w:val="46"/>
        </w:numPr>
        <w:tabs>
          <w:tab w:pos="1490" w:val="left" w:leader="none"/>
        </w:tabs>
        <w:spacing w:line="240" w:lineRule="auto" w:before="172" w:after="0"/>
        <w:ind w:left="1489" w:right="0" w:hanging="530"/>
        <w:jc w:val="left"/>
        <w:rPr>
          <w:sz w:val="21"/>
        </w:rPr>
      </w:pPr>
      <w:r>
        <w:rPr>
          <w:spacing w:val="-3"/>
          <w:sz w:val="21"/>
        </w:rPr>
        <w:t>变更基金投资目标、范围或策略</w:t>
      </w:r>
      <w:r>
        <w:rPr>
          <w:sz w:val="21"/>
        </w:rPr>
        <w:t>（</w:t>
      </w:r>
      <w:r>
        <w:rPr>
          <w:spacing w:val="-3"/>
          <w:sz w:val="21"/>
        </w:rPr>
        <w:t>法律法规和中国证监会另有规定的除外</w:t>
      </w:r>
      <w:r>
        <w:rPr>
          <w:spacing w:val="-106"/>
          <w:sz w:val="21"/>
        </w:rPr>
        <w:t>）</w:t>
      </w:r>
      <w:r>
        <w:rPr>
          <w:sz w:val="21"/>
        </w:rPr>
        <w:t>。</w:t>
      </w:r>
    </w:p>
    <w:p>
      <w:pPr>
        <w:pStyle w:val="ListParagraph"/>
        <w:numPr>
          <w:ilvl w:val="0"/>
          <w:numId w:val="46"/>
        </w:numPr>
        <w:tabs>
          <w:tab w:pos="1490" w:val="left" w:leader="none"/>
        </w:tabs>
        <w:spacing w:line="240" w:lineRule="auto" w:before="171" w:after="0"/>
        <w:ind w:left="1489" w:right="0" w:hanging="530"/>
        <w:jc w:val="left"/>
        <w:rPr>
          <w:sz w:val="21"/>
        </w:rPr>
      </w:pPr>
      <w:r>
        <w:rPr>
          <w:spacing w:val="-3"/>
          <w:sz w:val="21"/>
        </w:rPr>
        <w:t>变更基金份额持有人大会程序（法律法规和中国证监会另有规定的除外</w:t>
      </w:r>
      <w:r>
        <w:rPr>
          <w:spacing w:val="-108"/>
          <w:sz w:val="21"/>
        </w:rPr>
        <w:t>）</w:t>
      </w:r>
      <w:r>
        <w:rPr>
          <w:sz w:val="21"/>
        </w:rPr>
        <w:t>。</w:t>
      </w:r>
    </w:p>
    <w:p>
      <w:pPr>
        <w:spacing w:after="0" w:line="240" w:lineRule="auto"/>
        <w:jc w:val="left"/>
        <w:rPr>
          <w:sz w:val="21"/>
        </w:rPr>
        <w:sectPr>
          <w:pgSz w:w="11910" w:h="16840"/>
          <w:pgMar w:header="877" w:footer="995" w:top="1420" w:bottom="1180" w:left="1260" w:right="1480"/>
        </w:sectPr>
      </w:pPr>
    </w:p>
    <w:p>
      <w:pPr>
        <w:pStyle w:val="BodyText"/>
        <w:spacing w:before="11"/>
        <w:rPr>
          <w:sz w:val="7"/>
        </w:rPr>
      </w:pPr>
    </w:p>
    <w:p>
      <w:pPr>
        <w:pStyle w:val="ListParagraph"/>
        <w:numPr>
          <w:ilvl w:val="0"/>
          <w:numId w:val="46"/>
        </w:numPr>
        <w:tabs>
          <w:tab w:pos="1595" w:val="left" w:leader="none"/>
        </w:tabs>
        <w:spacing w:line="240" w:lineRule="auto" w:before="79" w:after="0"/>
        <w:ind w:left="1595" w:right="0" w:hanging="635"/>
        <w:jc w:val="left"/>
        <w:rPr>
          <w:sz w:val="21"/>
        </w:rPr>
      </w:pPr>
      <w:r>
        <w:rPr>
          <w:spacing w:val="-3"/>
          <w:sz w:val="21"/>
        </w:rPr>
        <w:t>基金管理人或基金托管人要求召开基金份额持有人大会。</w:t>
      </w:r>
    </w:p>
    <w:p>
      <w:pPr>
        <w:pStyle w:val="ListParagraph"/>
        <w:numPr>
          <w:ilvl w:val="0"/>
          <w:numId w:val="46"/>
        </w:numPr>
        <w:tabs>
          <w:tab w:pos="1586" w:val="left" w:leader="none"/>
        </w:tabs>
        <w:spacing w:line="240" w:lineRule="auto" w:before="170" w:after="0"/>
        <w:ind w:left="158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w:t>
      </w:r>
      <w:r>
        <w:rPr>
          <w:spacing w:val="-2"/>
          <w:sz w:val="21"/>
        </w:rPr>
        <w:t>含 </w:t>
      </w:r>
      <w:r>
        <w:rPr>
          <w:rFonts w:ascii="Times New Roman" w:eastAsia="Times New Roman"/>
          <w:sz w:val="21"/>
        </w:rPr>
        <w:t>10%</w:t>
      </w:r>
      <w:r>
        <w:rPr>
          <w:sz w:val="21"/>
        </w:rPr>
        <w:t>）</w:t>
      </w:r>
      <w:r>
        <w:rPr>
          <w:spacing w:val="-3"/>
          <w:sz w:val="21"/>
        </w:rPr>
        <w:t>基金份额的基金份额持有人</w:t>
      </w:r>
    </w:p>
    <w:p>
      <w:pPr>
        <w:pStyle w:val="BodyText"/>
        <w:spacing w:line="391" w:lineRule="auto" w:before="172"/>
        <w:ind w:left="540" w:right="31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6"/>
        </w:numPr>
        <w:tabs>
          <w:tab w:pos="1595" w:val="left" w:leader="none"/>
        </w:tabs>
        <w:spacing w:line="240" w:lineRule="auto" w:before="2" w:after="0"/>
        <w:ind w:left="1595" w:right="0" w:hanging="635"/>
        <w:jc w:val="left"/>
        <w:rPr>
          <w:sz w:val="21"/>
        </w:rPr>
      </w:pPr>
      <w:r>
        <w:rPr>
          <w:spacing w:val="-3"/>
          <w:sz w:val="21"/>
        </w:rPr>
        <w:t>对基金当事人权利和义务产生重大影响的其他事项。</w:t>
      </w:r>
    </w:p>
    <w:p>
      <w:pPr>
        <w:pStyle w:val="ListParagraph"/>
        <w:numPr>
          <w:ilvl w:val="0"/>
          <w:numId w:val="46"/>
        </w:numPr>
        <w:tabs>
          <w:tab w:pos="1595" w:val="left" w:leader="none"/>
        </w:tabs>
        <w:spacing w:line="391" w:lineRule="auto" w:before="172" w:after="0"/>
        <w:ind w:left="540" w:right="31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01" w:lineRule="exact"/>
        <w:ind w:left="960"/>
      </w:pPr>
      <w:r>
        <w:rPr>
          <w:rFonts w:ascii="Times New Roman" w:eastAsia="Times New Roman"/>
        </w:rPr>
        <w:t>2</w:t>
      </w:r>
      <w:r>
        <w:rPr/>
        <w:t>、以下情况可由基金管理人和基金托管人协商后修改，不需召开基金份额持有人大会：</w:t>
      </w:r>
    </w:p>
    <w:p>
      <w:pPr>
        <w:pStyle w:val="BodyText"/>
        <w:spacing w:before="7"/>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调低基金管理费、基金托管费。</w:t>
      </w:r>
    </w:p>
    <w:p>
      <w:pPr>
        <w:pStyle w:val="BodyText"/>
        <w:spacing w:before="7"/>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调整本基金的申购费率、赎回费率、销售服务费率或收费方式。</w:t>
      </w:r>
    </w:p>
    <w:p>
      <w:pPr>
        <w:pStyle w:val="BodyText"/>
        <w:spacing w:before="6"/>
        <w:rPr>
          <w:sz w:val="15"/>
        </w:rPr>
      </w:pPr>
    </w:p>
    <w:p>
      <w:pPr>
        <w:pStyle w:val="ListParagraph"/>
        <w:numPr>
          <w:ilvl w:val="0"/>
          <w:numId w:val="47"/>
        </w:numPr>
        <w:tabs>
          <w:tab w:pos="1490" w:val="left" w:leader="none"/>
        </w:tabs>
        <w:spacing w:line="417" w:lineRule="auto" w:before="1" w:after="0"/>
        <w:ind w:left="540" w:right="314" w:firstLine="419"/>
        <w:jc w:val="left"/>
        <w:rPr>
          <w:sz w:val="21"/>
        </w:rPr>
      </w:pPr>
      <w:r>
        <w:rPr>
          <w:spacing w:val="-3"/>
          <w:sz w:val="21"/>
        </w:rPr>
        <w:t>基金管理人、登记机构、代销机构调整有关基金认购、申购、赎回、转换、收益分配、非交易过户、转托管等业务的规则。</w:t>
      </w:r>
    </w:p>
    <w:p>
      <w:pPr>
        <w:pStyle w:val="ListParagraph"/>
        <w:numPr>
          <w:ilvl w:val="0"/>
          <w:numId w:val="47"/>
        </w:numPr>
        <w:tabs>
          <w:tab w:pos="1490" w:val="left" w:leader="none"/>
        </w:tabs>
        <w:spacing w:line="269" w:lineRule="exact" w:before="0" w:after="0"/>
        <w:ind w:left="1489" w:right="0" w:hanging="530"/>
        <w:jc w:val="left"/>
        <w:rPr>
          <w:sz w:val="21"/>
        </w:rPr>
      </w:pPr>
      <w:r>
        <w:rPr>
          <w:spacing w:val="-3"/>
          <w:sz w:val="21"/>
        </w:rPr>
        <w:t>根据相关证券交易所上市交易规则，安排本基金的上市交易事宜。</w:t>
      </w:r>
    </w:p>
    <w:p>
      <w:pPr>
        <w:pStyle w:val="BodyText"/>
        <w:spacing w:before="6"/>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7"/>
        </w:numPr>
        <w:tabs>
          <w:tab w:pos="1490" w:val="left" w:leader="none"/>
        </w:tabs>
        <w:spacing w:line="417" w:lineRule="auto" w:before="1" w:after="0"/>
        <w:ind w:left="540" w:right="31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7"/>
        </w:numPr>
        <w:tabs>
          <w:tab w:pos="1490" w:val="left" w:leader="none"/>
        </w:tabs>
        <w:spacing w:line="417" w:lineRule="auto" w:before="0" w:after="0"/>
        <w:ind w:left="960" w:right="53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540" w:right="31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96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540" w:right="205" w:firstLine="419"/>
        <w:jc w:val="both"/>
      </w:pPr>
      <w:r>
        <w:rPr>
          <w:rFonts w:ascii="Times New Roman" w:eastAsia="Times New Roman"/>
        </w:rPr>
        <w:t>3</w:t>
      </w:r>
      <w:r>
        <w:rPr>
          <w:spacing w:val="-3"/>
        </w:rPr>
        <w:t>、基金托管人认为有必要召开基金份额持有人大会的，应当向基金管理人提出书面提</w:t>
      </w:r>
      <w:r>
        <w:rPr>
          <w:spacing w:val="-9"/>
        </w:rPr>
        <w:t>议。基金管理人应当自收到书面提议之日起 </w:t>
      </w:r>
      <w:r>
        <w:rPr>
          <w:rFonts w:ascii="Times New Roman" w:eastAsia="Times New Roman"/>
        </w:rPr>
        <w:t>10 </w:t>
      </w:r>
      <w:r>
        <w:rPr>
          <w:spacing w:val="-10"/>
        </w:rPr>
        <w:t>日内决定是否召集，并书面告知基金托管人。</w:t>
      </w:r>
    </w:p>
    <w:p>
      <w:pPr>
        <w:pStyle w:val="BodyText"/>
        <w:spacing w:line="417" w:lineRule="auto"/>
        <w:ind w:left="540" w:right="31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540" w:right="31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17"/>
        </w:rPr>
        <w:t>  </w:t>
      </w:r>
      <w:r>
        <w:rPr>
          <w:spacing w:val="-3"/>
        </w:rPr>
        <w:t>日内决定是否召集，并书面告知提出提议的基金份额持有人代表和基金托管人。基金管</w:t>
      </w:r>
    </w:p>
    <w:p>
      <w:pPr>
        <w:pStyle w:val="BodyText"/>
        <w:ind w:left="540"/>
        <w:jc w:val="both"/>
      </w:pPr>
      <w:r>
        <w:rPr>
          <w:spacing w:val="-5"/>
        </w:rPr>
        <w:t>理人决定召集的，应当自出具书面决定之日起 </w:t>
      </w:r>
      <w:r>
        <w:rPr>
          <w:rFonts w:ascii="Times New Roman" w:eastAsia="Times New Roman"/>
        </w:rPr>
        <w:t>60</w:t>
      </w:r>
      <w:r>
        <w:rPr>
          <w:rFonts w:ascii="Times New Roman" w:eastAsia="Times New Roman"/>
          <w:spacing w:val="29"/>
        </w:rPr>
        <w:t> </w:t>
      </w:r>
      <w:r>
        <w:rPr>
          <w:spacing w:val="-3"/>
        </w:rPr>
        <w:t>日内召开；基金管理人决定不召集，代表</w:t>
      </w:r>
    </w:p>
    <w:p>
      <w:pPr>
        <w:spacing w:after="0"/>
        <w:jc w:val="both"/>
        <w:sectPr>
          <w:pgSz w:w="11910" w:h="16840"/>
          <w:pgMar w:header="877" w:footer="995" w:top="1420" w:bottom="1180" w:left="1260" w:right="1480"/>
        </w:sectPr>
      </w:pPr>
    </w:p>
    <w:p>
      <w:pPr>
        <w:pStyle w:val="BodyText"/>
        <w:spacing w:line="417" w:lineRule="auto" w:before="110"/>
        <w:ind w:left="540" w:right="311"/>
        <w:jc w:val="both"/>
      </w:pPr>
      <w:r>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9"/>
        </w:rPr>
        <w:t>提出书面提议。基金托管人应当自收到书面提议之日起 </w:t>
      </w:r>
      <w:r>
        <w:rPr>
          <w:rFonts w:ascii="Times New Roman" w:eastAsia="Times New Roman"/>
        </w:rPr>
        <w:t>10</w:t>
      </w:r>
      <w:r>
        <w:rPr>
          <w:rFonts w:ascii="Times New Roman" w:eastAsia="Times New Roman"/>
          <w:spacing w:val="9"/>
        </w:rPr>
        <w:t>   </w:t>
      </w:r>
      <w:r>
        <w:rPr>
          <w:spacing w:val="-9"/>
        </w:rPr>
        <w:t>日内决定是否召集，并书面告</w:t>
      </w:r>
      <w:r>
        <w:rPr>
          <w:spacing w:val="-10"/>
        </w:rPr>
        <w:t>知提出提议的基金份额持有人代表和基金管理人；基金托管人决定召集的，应当自出具书面</w:t>
      </w:r>
      <w:r>
        <w:rPr>
          <w:spacing w:val="-14"/>
        </w:rPr>
        <w:t>决定之日起 </w:t>
      </w:r>
      <w:r>
        <w:rPr>
          <w:rFonts w:ascii="Times New Roman" w:eastAsia="Times New Roman"/>
        </w:rPr>
        <w:t>60 </w:t>
      </w:r>
      <w:r>
        <w:rPr>
          <w:spacing w:val="-3"/>
        </w:rPr>
        <w:t>日内召开。</w:t>
      </w:r>
    </w:p>
    <w:p>
      <w:pPr>
        <w:pStyle w:val="BodyText"/>
        <w:spacing w:line="417" w:lineRule="auto"/>
        <w:ind w:left="540" w:right="31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540" w:right="31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960" w:right="32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40" w:right="31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8"/>
        </w:numPr>
        <w:tabs>
          <w:tab w:pos="1490" w:val="left" w:leader="none"/>
        </w:tabs>
        <w:spacing w:line="269" w:lineRule="exact" w:before="0" w:after="0"/>
        <w:ind w:left="1489" w:right="0" w:hanging="530"/>
        <w:jc w:val="left"/>
        <w:rPr>
          <w:sz w:val="21"/>
        </w:rPr>
      </w:pPr>
      <w:r>
        <w:rPr>
          <w:spacing w:val="-3"/>
          <w:sz w:val="21"/>
        </w:rPr>
        <w:t>会议召开的时间、地点和会议形式。</w:t>
      </w:r>
    </w:p>
    <w:p>
      <w:pPr>
        <w:pStyle w:val="BodyText"/>
        <w:spacing w:before="5"/>
        <w:rPr>
          <w:sz w:val="15"/>
        </w:rPr>
      </w:pPr>
    </w:p>
    <w:p>
      <w:pPr>
        <w:pStyle w:val="ListParagraph"/>
        <w:numPr>
          <w:ilvl w:val="0"/>
          <w:numId w:val="48"/>
        </w:numPr>
        <w:tabs>
          <w:tab w:pos="1490" w:val="left" w:leader="none"/>
        </w:tabs>
        <w:spacing w:line="240" w:lineRule="auto" w:before="1" w:after="0"/>
        <w:ind w:left="1489" w:right="0" w:hanging="530"/>
        <w:jc w:val="left"/>
        <w:rPr>
          <w:sz w:val="21"/>
        </w:rPr>
      </w:pPr>
      <w:r>
        <w:rPr>
          <w:spacing w:val="-3"/>
          <w:sz w:val="21"/>
        </w:rPr>
        <w:t>会议拟审议的事项、议事程序和表决方式。</w:t>
      </w:r>
    </w:p>
    <w:p>
      <w:pPr>
        <w:pStyle w:val="BodyText"/>
        <w:spacing w:before="6"/>
        <w:rPr>
          <w:sz w:val="15"/>
        </w:rPr>
      </w:pPr>
    </w:p>
    <w:p>
      <w:pPr>
        <w:pStyle w:val="ListParagraph"/>
        <w:numPr>
          <w:ilvl w:val="0"/>
          <w:numId w:val="48"/>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8"/>
        </w:numPr>
        <w:tabs>
          <w:tab w:pos="1490" w:val="left" w:leader="none"/>
        </w:tabs>
        <w:spacing w:line="417" w:lineRule="auto" w:before="0" w:after="0"/>
        <w:ind w:left="540" w:right="31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8"/>
        </w:numPr>
        <w:tabs>
          <w:tab w:pos="1490" w:val="left" w:leader="none"/>
        </w:tabs>
        <w:spacing w:line="269" w:lineRule="exact" w:before="0" w:after="0"/>
        <w:ind w:left="148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8"/>
        </w:numPr>
        <w:tabs>
          <w:tab w:pos="1490" w:val="left" w:leader="none"/>
        </w:tabs>
        <w:spacing w:line="240" w:lineRule="auto" w:before="0" w:after="0"/>
        <w:ind w:left="148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8"/>
        </w:numPr>
        <w:tabs>
          <w:tab w:pos="1490" w:val="left" w:leader="none"/>
        </w:tabs>
        <w:spacing w:line="240" w:lineRule="auto" w:before="1" w:after="0"/>
        <w:ind w:left="148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40" w:right="31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960"/>
      </w:pPr>
      <w:r>
        <w:rPr/>
        <w:t>四、基金份额持有人出席会议的方式</w:t>
      </w:r>
    </w:p>
    <w:p>
      <w:pPr>
        <w:spacing w:after="0" w:line="269" w:lineRule="exact"/>
        <w:sectPr>
          <w:pgSz w:w="11910" w:h="16840"/>
          <w:pgMar w:header="877" w:footer="995" w:top="1420" w:bottom="1180" w:left="1260" w:right="1480"/>
        </w:sectPr>
      </w:pPr>
    </w:p>
    <w:p>
      <w:pPr>
        <w:pStyle w:val="BodyText"/>
        <w:spacing w:line="417" w:lineRule="auto" w:before="110"/>
        <w:ind w:left="540" w:right="31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540" w:right="31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9"/>
        </w:numPr>
        <w:tabs>
          <w:tab w:pos="1490" w:val="left" w:leader="none"/>
        </w:tabs>
        <w:spacing w:line="417" w:lineRule="auto" w:before="0" w:after="0"/>
        <w:ind w:left="540" w:right="31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9"/>
        </w:numPr>
        <w:tabs>
          <w:tab w:pos="1490" w:val="left" w:leader="none"/>
        </w:tabs>
        <w:spacing w:line="417" w:lineRule="auto" w:before="0" w:after="0"/>
        <w:ind w:left="540" w:right="314"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540" w:right="31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BodyText"/>
        <w:spacing w:line="417" w:lineRule="auto"/>
        <w:ind w:left="540" w:right="31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960"/>
      </w:pPr>
      <w:r>
        <w:rPr/>
        <w:t>在同时符合以下条件时，通讯开会的方式视为有效：</w:t>
      </w:r>
    </w:p>
    <w:p>
      <w:pPr>
        <w:pStyle w:val="BodyText"/>
        <w:spacing w:before="5"/>
        <w:rPr>
          <w:sz w:val="15"/>
        </w:rPr>
      </w:pPr>
    </w:p>
    <w:p>
      <w:pPr>
        <w:pStyle w:val="ListParagraph"/>
        <w:numPr>
          <w:ilvl w:val="0"/>
          <w:numId w:val="50"/>
        </w:numPr>
        <w:tabs>
          <w:tab w:pos="1490" w:val="left" w:leader="none"/>
        </w:tabs>
        <w:spacing w:line="417" w:lineRule="auto" w:before="0" w:after="0"/>
        <w:ind w:left="540" w:right="31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50"/>
        </w:numPr>
        <w:tabs>
          <w:tab w:pos="1490" w:val="left" w:leader="none"/>
        </w:tabs>
        <w:spacing w:line="417" w:lineRule="auto" w:before="0" w:after="0"/>
        <w:ind w:left="540" w:right="31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50"/>
        </w:numPr>
        <w:tabs>
          <w:tab w:pos="1543" w:val="left" w:leader="none"/>
        </w:tabs>
        <w:spacing w:line="417" w:lineRule="auto" w:before="0" w:after="0"/>
        <w:ind w:left="540" w:right="31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540" w:right="311" w:firstLine="472"/>
        <w:jc w:val="both"/>
      </w:pPr>
      <w:r>
        <w:rPr>
          <w:spacing w:val="-1"/>
        </w:rPr>
        <w:t>参加基金份额持有人大会的基金份额持有人的基金份额低于上述规定比例的，召集人</w:t>
      </w:r>
      <w:r>
        <w:rPr>
          <w:spacing w:val="-7"/>
        </w:rPr>
        <w:t>可以在原公告的基金份额持有人大会召开时间的三个月以后、六个月以内，就原定审议事项</w:t>
      </w:r>
      <w:r>
        <w:rPr>
          <w:spacing w:val="-9"/>
        </w:rPr>
        <w:t>重新召集基金份额持有人大会。重新召集的基金份额持有人大会，应当有代表 </w:t>
      </w:r>
      <w:r>
        <w:rPr>
          <w:rFonts w:ascii="Times New Roman" w:eastAsia="Times New Roman"/>
        </w:rPr>
        <w:t>1/3 </w:t>
      </w:r>
      <w:r>
        <w:rPr>
          <w:spacing w:val="-10"/>
        </w:rPr>
        <w:t>以上</w:t>
      </w:r>
      <w:r>
        <w:rPr/>
        <w:t>（含</w:t>
      </w:r>
    </w:p>
    <w:p>
      <w:pPr>
        <w:spacing w:after="0" w:line="417" w:lineRule="auto"/>
        <w:jc w:val="both"/>
        <w:sectPr>
          <w:pgSz w:w="11910" w:h="16840"/>
          <w:pgMar w:header="877" w:footer="995" w:top="1420" w:bottom="1180" w:left="1260" w:right="1480"/>
        </w:sectPr>
      </w:pPr>
    </w:p>
    <w:p>
      <w:pPr>
        <w:pStyle w:val="BodyText"/>
        <w:spacing w:before="110"/>
        <w:ind w:left="540"/>
      </w:pPr>
      <w:r>
        <w:rPr>
          <w:rFonts w:ascii="Times New Roman" w:eastAsia="Times New Roman"/>
        </w:rPr>
        <w:t>1/3</w:t>
      </w:r>
      <w:r>
        <w:rPr/>
        <w:t>）基金份额的基金份额持有人或其代理人参加，方可召开。</w:t>
      </w:r>
    </w:p>
    <w:p>
      <w:pPr>
        <w:pStyle w:val="BodyText"/>
        <w:spacing w:before="6"/>
        <w:rPr>
          <w:sz w:val="15"/>
        </w:rPr>
      </w:pPr>
    </w:p>
    <w:p>
      <w:pPr>
        <w:pStyle w:val="ListParagraph"/>
        <w:numPr>
          <w:ilvl w:val="0"/>
          <w:numId w:val="50"/>
        </w:numPr>
        <w:tabs>
          <w:tab w:pos="1490" w:val="left" w:leader="none"/>
        </w:tabs>
        <w:spacing w:line="417" w:lineRule="auto" w:before="0" w:after="0"/>
        <w:ind w:left="540" w:right="31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ListParagraph"/>
        <w:numPr>
          <w:ilvl w:val="0"/>
          <w:numId w:val="50"/>
        </w:numPr>
        <w:tabs>
          <w:tab w:pos="1490" w:val="left" w:leader="none"/>
        </w:tabs>
        <w:spacing w:line="268" w:lineRule="exact" w:before="0" w:after="0"/>
        <w:ind w:left="1489" w:right="0" w:hanging="530"/>
        <w:jc w:val="left"/>
        <w:rPr>
          <w:sz w:val="21"/>
        </w:rPr>
      </w:pPr>
      <w:r>
        <w:rPr>
          <w:spacing w:val="-3"/>
          <w:sz w:val="21"/>
        </w:rPr>
        <w:t>会议通知公布前报中国证监会备案。</w:t>
      </w:r>
    </w:p>
    <w:p>
      <w:pPr>
        <w:pStyle w:val="BodyText"/>
        <w:spacing w:before="7"/>
        <w:rPr>
          <w:sz w:val="15"/>
        </w:rPr>
      </w:pPr>
    </w:p>
    <w:p>
      <w:pPr>
        <w:pStyle w:val="BodyText"/>
        <w:spacing w:line="417" w:lineRule="auto"/>
        <w:ind w:left="540" w:right="31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ind w:left="960"/>
      </w:pPr>
      <w:r>
        <w:rPr/>
        <w:t>五、议事内容与程序</w:t>
      </w:r>
    </w:p>
    <w:p>
      <w:pPr>
        <w:pStyle w:val="BodyText"/>
        <w:spacing w:before="7"/>
        <w:rPr>
          <w:sz w:val="15"/>
        </w:rPr>
      </w:pPr>
    </w:p>
    <w:p>
      <w:pPr>
        <w:pStyle w:val="BodyText"/>
        <w:ind w:left="960"/>
      </w:pPr>
      <w:r>
        <w:rPr>
          <w:rFonts w:ascii="Times New Roman" w:eastAsia="Times New Roman"/>
        </w:rPr>
        <w:t>1</w:t>
      </w:r>
      <w:r>
        <w:rPr/>
        <w:t>、议事内容及提案权</w:t>
      </w:r>
    </w:p>
    <w:p>
      <w:pPr>
        <w:pStyle w:val="BodyText"/>
        <w:spacing w:before="7"/>
        <w:rPr>
          <w:sz w:val="15"/>
        </w:rPr>
      </w:pPr>
    </w:p>
    <w:p>
      <w:pPr>
        <w:pStyle w:val="BodyText"/>
        <w:spacing w:line="417" w:lineRule="auto"/>
        <w:ind w:left="540" w:right="31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31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960"/>
      </w:pPr>
      <w:r>
        <w:rPr/>
        <w:t>基金份额持有人大会不得对未事先公告的议事内容进行表决。</w:t>
      </w:r>
    </w:p>
    <w:p>
      <w:pPr>
        <w:pStyle w:val="BodyText"/>
        <w:spacing w:before="6"/>
        <w:rPr>
          <w:sz w:val="15"/>
        </w:rPr>
      </w:pPr>
    </w:p>
    <w:p>
      <w:pPr>
        <w:pStyle w:val="BodyText"/>
        <w:ind w:left="960"/>
      </w:pPr>
      <w:r>
        <w:rPr>
          <w:rFonts w:ascii="Times New Roman" w:eastAsia="Times New Roman"/>
        </w:rPr>
        <w:t>2</w:t>
      </w:r>
      <w:r>
        <w:rPr/>
        <w:t>、议事程序</w:t>
      </w:r>
    </w:p>
    <w:p>
      <w:pPr>
        <w:pStyle w:val="BodyText"/>
        <w:spacing w:before="7"/>
        <w:rPr>
          <w:sz w:val="15"/>
        </w:rPr>
      </w:pPr>
    </w:p>
    <w:p>
      <w:pPr>
        <w:pStyle w:val="ListParagraph"/>
        <w:numPr>
          <w:ilvl w:val="0"/>
          <w:numId w:val="51"/>
        </w:numPr>
        <w:tabs>
          <w:tab w:pos="1490" w:val="left" w:leader="none"/>
        </w:tabs>
        <w:spacing w:line="240" w:lineRule="auto" w:before="0" w:after="0"/>
        <w:ind w:left="1489" w:right="0" w:hanging="530"/>
        <w:jc w:val="left"/>
        <w:rPr>
          <w:sz w:val="21"/>
        </w:rPr>
      </w:pPr>
      <w:r>
        <w:rPr>
          <w:spacing w:val="-2"/>
          <w:sz w:val="21"/>
        </w:rPr>
        <w:t>现场开会</w:t>
      </w:r>
    </w:p>
    <w:p>
      <w:pPr>
        <w:pStyle w:val="BodyText"/>
        <w:spacing w:before="7"/>
        <w:rPr>
          <w:sz w:val="15"/>
        </w:rPr>
      </w:pPr>
    </w:p>
    <w:p>
      <w:pPr>
        <w:pStyle w:val="BodyText"/>
        <w:spacing w:line="417" w:lineRule="auto"/>
        <w:ind w:left="540" w:right="20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40" w:right="31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spacing w:after="0" w:line="417" w:lineRule="auto"/>
        <w:jc w:val="both"/>
        <w:sectPr>
          <w:footerReference w:type="default" r:id="rId185"/>
          <w:pgSz w:w="11910" w:h="16840"/>
          <w:pgMar w:footer="995" w:header="877" w:top="1420" w:bottom="1180" w:left="1260" w:right="1480"/>
        </w:sectPr>
      </w:pPr>
    </w:p>
    <w:p>
      <w:pPr>
        <w:pStyle w:val="ListParagraph"/>
        <w:numPr>
          <w:ilvl w:val="0"/>
          <w:numId w:val="51"/>
        </w:numPr>
        <w:tabs>
          <w:tab w:pos="1490" w:val="left" w:leader="none"/>
        </w:tabs>
        <w:spacing w:line="240" w:lineRule="auto" w:before="110" w:after="0"/>
        <w:ind w:left="1489" w:right="0" w:hanging="530"/>
        <w:jc w:val="left"/>
        <w:rPr>
          <w:sz w:val="21"/>
        </w:rPr>
      </w:pPr>
      <w:r>
        <w:rPr>
          <w:spacing w:val="-2"/>
          <w:sz w:val="21"/>
        </w:rPr>
        <w:t>通讯开会</w:t>
      </w:r>
    </w:p>
    <w:p>
      <w:pPr>
        <w:pStyle w:val="BodyText"/>
        <w:spacing w:before="6"/>
        <w:rPr>
          <w:sz w:val="15"/>
        </w:rPr>
      </w:pPr>
    </w:p>
    <w:p>
      <w:pPr>
        <w:pStyle w:val="BodyText"/>
        <w:ind w:left="96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ind w:left="960" w:right="215" w:hanging="420"/>
      </w:pPr>
      <w:r>
        <w:rPr>
          <w:rFonts w:ascii="Times New Roman" w:eastAsia="Times New Roman"/>
        </w:rPr>
        <w:t>5 </w:t>
      </w:r>
      <w:r>
        <w:rPr>
          <w:spacing w:val="-4"/>
        </w:rPr>
        <w:t>个工作日内在公证机关监督下由召集人统计全部有效表决，在公证机关监督下形成决议。</w:t>
      </w:r>
      <w:r>
        <w:rPr>
          <w:spacing w:val="-1"/>
        </w:rPr>
        <w:t>六、表决</w:t>
      </w:r>
    </w:p>
    <w:p>
      <w:pPr>
        <w:pStyle w:val="BodyText"/>
        <w:spacing w:line="417" w:lineRule="auto"/>
        <w:ind w:left="960" w:right="336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31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ind w:left="960"/>
      </w:pPr>
      <w:r>
        <w:rPr>
          <w:rFonts w:ascii="Times New Roman" w:eastAsia="Times New Roman"/>
        </w:rPr>
        <w:t>2</w:t>
      </w:r>
      <w:r>
        <w:rPr/>
        <w:t>、特别决议，特别决议应当经参加大会的基金份额持有人或其代理人所持表决权的</w:t>
      </w:r>
    </w:p>
    <w:p>
      <w:pPr>
        <w:pStyle w:val="BodyText"/>
        <w:spacing w:before="6"/>
        <w:rPr>
          <w:sz w:val="15"/>
        </w:rPr>
      </w:pPr>
    </w:p>
    <w:p>
      <w:pPr>
        <w:pStyle w:val="BodyText"/>
        <w:spacing w:line="417" w:lineRule="auto"/>
        <w:ind w:left="540" w:right="311"/>
      </w:pPr>
      <w:r>
        <w:rPr>
          <w:rFonts w:ascii="Times New Roman" w:eastAsia="Times New Roman"/>
        </w:rPr>
        <w:t>2/3 </w:t>
      </w:r>
      <w:r>
        <w:rPr/>
        <w:t>以上（含 </w:t>
      </w:r>
      <w:r>
        <w:rPr>
          <w:rFonts w:ascii="Times New Roman" w:eastAsia="Times New Roman"/>
        </w:rPr>
        <w:t>2/3</w:t>
      </w:r>
      <w:r>
        <w:rPr/>
        <w:t>）通过方可做出。转换基金运作方式、更换基金管理人或者基金托管人、终止《基金合同》、本基金与其他基金合并以特别决议通过方为有效。</w:t>
      </w:r>
    </w:p>
    <w:p>
      <w:pPr>
        <w:pStyle w:val="BodyText"/>
        <w:spacing w:line="269" w:lineRule="exact"/>
        <w:ind w:left="960"/>
      </w:pPr>
      <w:r>
        <w:rPr/>
        <w:t>基金份额持有人大会采取记名方式进行投票表决。</w:t>
      </w:r>
    </w:p>
    <w:p>
      <w:pPr>
        <w:pStyle w:val="BodyText"/>
        <w:spacing w:before="7"/>
        <w:rPr>
          <w:sz w:val="15"/>
        </w:rPr>
      </w:pPr>
    </w:p>
    <w:p>
      <w:pPr>
        <w:pStyle w:val="BodyText"/>
        <w:spacing w:line="417" w:lineRule="auto"/>
        <w:ind w:left="540" w:right="31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40" w:right="311" w:firstLine="419"/>
      </w:pPr>
      <w:r>
        <w:rPr>
          <w:spacing w:val="-6"/>
        </w:rPr>
        <w:t>基金份额持有人大会的各项提案或同一项提案内并列的各项议题应当分开审议、逐项表决。</w:t>
      </w:r>
    </w:p>
    <w:p>
      <w:pPr>
        <w:pStyle w:val="BodyText"/>
        <w:spacing w:line="269" w:lineRule="exact"/>
        <w:ind w:left="960"/>
      </w:pPr>
      <w:r>
        <w:rPr/>
        <w:t>七、计票</w:t>
      </w:r>
    </w:p>
    <w:p>
      <w:pPr>
        <w:pStyle w:val="BodyText"/>
        <w:spacing w:before="6"/>
        <w:rPr>
          <w:sz w:val="15"/>
        </w:rPr>
      </w:pPr>
    </w:p>
    <w:p>
      <w:pPr>
        <w:pStyle w:val="BodyText"/>
        <w:spacing w:before="1"/>
        <w:ind w:left="960"/>
      </w:pPr>
      <w:r>
        <w:rPr>
          <w:rFonts w:ascii="Times New Roman" w:eastAsia="Times New Roman"/>
        </w:rPr>
        <w:t>1</w:t>
      </w:r>
      <w:r>
        <w:rPr/>
        <w:t>、现场开会</w:t>
      </w:r>
    </w:p>
    <w:p>
      <w:pPr>
        <w:pStyle w:val="BodyText"/>
        <w:spacing w:before="7"/>
        <w:rPr>
          <w:sz w:val="15"/>
        </w:rPr>
      </w:pPr>
    </w:p>
    <w:p>
      <w:pPr>
        <w:pStyle w:val="ListParagraph"/>
        <w:numPr>
          <w:ilvl w:val="0"/>
          <w:numId w:val="52"/>
        </w:numPr>
        <w:tabs>
          <w:tab w:pos="1490" w:val="left" w:leader="none"/>
        </w:tabs>
        <w:spacing w:line="417" w:lineRule="auto" w:before="0" w:after="0"/>
        <w:ind w:left="540" w:right="31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52"/>
        </w:numPr>
        <w:tabs>
          <w:tab w:pos="1490" w:val="left" w:leader="none"/>
        </w:tabs>
        <w:spacing w:line="417" w:lineRule="auto" w:before="0" w:after="0"/>
        <w:ind w:left="540" w:right="31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如果会议主持人或基金份额持有人或代理人对于提交的表决结果有怀疑，可以在</w:t>
      </w:r>
    </w:p>
    <w:p>
      <w:pPr>
        <w:spacing w:after="0" w:line="240" w:lineRule="auto"/>
        <w:jc w:val="left"/>
        <w:rPr>
          <w:sz w:val="21"/>
        </w:rPr>
        <w:sectPr>
          <w:footerReference w:type="default" r:id="rId186"/>
          <w:pgSz w:w="11910" w:h="16840"/>
          <w:pgMar w:footer="995" w:header="877" w:top="1420" w:bottom="1180" w:left="1260" w:right="1480"/>
          <w:pgNumType w:start="131"/>
        </w:sectPr>
      </w:pPr>
    </w:p>
    <w:p>
      <w:pPr>
        <w:pStyle w:val="BodyText"/>
        <w:spacing w:line="417" w:lineRule="auto" w:before="110"/>
        <w:ind w:left="540" w:right="311"/>
      </w:pPr>
      <w:r>
        <w:rPr>
          <w:spacing w:val="-7"/>
        </w:rPr>
        <w:t>宣布表决结果后立即对所投票数要求进行重新清点。监票人应当进行重新清点，重新清点以</w:t>
      </w:r>
      <w:r>
        <w:rPr>
          <w:spacing w:val="-5"/>
        </w:rPr>
        <w:t>一次为限。重新清点后，大会主持人应当当场公布重新清点结果。</w:t>
      </w:r>
    </w:p>
    <w:p>
      <w:pPr>
        <w:pStyle w:val="ListParagraph"/>
        <w:numPr>
          <w:ilvl w:val="0"/>
          <w:numId w:val="52"/>
        </w:numPr>
        <w:tabs>
          <w:tab w:pos="1490" w:val="left" w:leader="none"/>
        </w:tabs>
        <w:spacing w:line="417" w:lineRule="auto" w:before="0" w:after="0"/>
        <w:ind w:left="540" w:right="314" w:firstLine="419"/>
        <w:jc w:val="left"/>
        <w:rPr>
          <w:sz w:val="21"/>
        </w:rPr>
      </w:pPr>
      <w:r>
        <w:rPr>
          <w:spacing w:val="-3"/>
          <w:sz w:val="21"/>
        </w:rPr>
        <w:t>计票过程应由公证机关予以公证，基金管理人或基金托管人拒不出席大会的，不影响计票的效力。</w:t>
      </w:r>
    </w:p>
    <w:p>
      <w:pPr>
        <w:pStyle w:val="BodyText"/>
        <w:spacing w:line="269" w:lineRule="exact"/>
        <w:ind w:left="960"/>
      </w:pPr>
      <w:r>
        <w:rPr>
          <w:rFonts w:ascii="Times New Roman" w:eastAsia="Times New Roman"/>
        </w:rPr>
        <w:t>2</w:t>
      </w:r>
      <w:r>
        <w:rPr/>
        <w:t>、通讯开会</w:t>
      </w:r>
    </w:p>
    <w:p>
      <w:pPr>
        <w:pStyle w:val="BodyText"/>
        <w:spacing w:before="6"/>
        <w:rPr>
          <w:sz w:val="15"/>
        </w:rPr>
      </w:pPr>
    </w:p>
    <w:p>
      <w:pPr>
        <w:pStyle w:val="BodyText"/>
        <w:spacing w:line="417" w:lineRule="auto"/>
        <w:ind w:left="540" w:right="31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ind w:left="960"/>
      </w:pPr>
      <w:r>
        <w:rPr/>
        <w:t>八、生效与公告</w:t>
      </w:r>
    </w:p>
    <w:p>
      <w:pPr>
        <w:pStyle w:val="BodyText"/>
        <w:spacing w:before="7"/>
        <w:rPr>
          <w:sz w:val="15"/>
        </w:rPr>
      </w:pPr>
    </w:p>
    <w:p>
      <w:pPr>
        <w:pStyle w:val="BodyText"/>
        <w:spacing w:line="417" w:lineRule="auto"/>
        <w:ind w:left="960" w:right="57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540" w:right="311" w:firstLine="419"/>
        <w:jc w:val="both"/>
      </w:pPr>
      <w:r>
        <w:rPr>
          <w:spacing w:val="-5"/>
        </w:rPr>
        <w:t>基金份额持有人大会决议自生效之日起 </w:t>
      </w:r>
      <w:r>
        <w:rPr>
          <w:rFonts w:ascii="Times New Roman" w:eastAsia="Times New Roman"/>
        </w:rPr>
        <w:t>2 </w:t>
      </w:r>
      <w:r>
        <w:rPr>
          <w:spacing w:val="-10"/>
        </w:rPr>
        <w:t>个工作日内在指定媒介上公告。如果采用通讯</w:t>
      </w:r>
      <w:r>
        <w:rPr>
          <w:spacing w:val="-11"/>
        </w:rPr>
        <w:t>方式进行表决，在公告基金份额持有人大会决议时，必须将公证书全文、公证机构、公证员</w:t>
      </w:r>
      <w:r>
        <w:rPr>
          <w:spacing w:val="-6"/>
        </w:rPr>
        <w:t>姓名等一同公告。</w:t>
      </w:r>
    </w:p>
    <w:p>
      <w:pPr>
        <w:pStyle w:val="BodyText"/>
        <w:spacing w:line="417" w:lineRule="auto"/>
        <w:ind w:left="540" w:right="10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spacing w:line="269" w:lineRule="exact"/>
        <w:ind w:left="960"/>
      </w:pPr>
      <w:r>
        <w:rPr/>
        <w:t>九、法律法规或监管部门对基金份额持有人大会另有规定的，从其规定。</w:t>
      </w:r>
    </w:p>
    <w:p>
      <w:pPr>
        <w:pStyle w:val="BodyText"/>
        <w:spacing w:before="6"/>
        <w:rPr>
          <w:sz w:val="15"/>
        </w:rPr>
      </w:pPr>
    </w:p>
    <w:p>
      <w:pPr>
        <w:tabs>
          <w:tab w:pos="2794" w:val="left" w:leader="none"/>
        </w:tabs>
        <w:spacing w:line="417" w:lineRule="auto" w:before="0"/>
        <w:ind w:left="960" w:right="1099" w:firstLine="777"/>
        <w:jc w:val="left"/>
        <w:rPr>
          <w:sz w:val="21"/>
        </w:rPr>
      </w:pPr>
      <w:r>
        <w:rPr>
          <w:b/>
          <w:sz w:val="21"/>
        </w:rPr>
        <w:t>第三部分</w:t>
        <w:tab/>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ind w:left="540" w:right="31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960"/>
      </w:pPr>
      <w:r>
        <w:rPr/>
        <w:t>二、《基金合同》的终止事由</w:t>
      </w:r>
    </w:p>
    <w:p>
      <w:pPr>
        <w:pStyle w:val="BodyText"/>
        <w:spacing w:before="6"/>
        <w:rPr>
          <w:sz w:val="15"/>
        </w:rPr>
      </w:pPr>
    </w:p>
    <w:p>
      <w:pPr>
        <w:pStyle w:val="BodyText"/>
        <w:spacing w:before="1"/>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6"/>
        <w:rPr>
          <w:sz w:val="15"/>
        </w:rPr>
      </w:pPr>
    </w:p>
    <w:p>
      <w:pPr>
        <w:pStyle w:val="BodyText"/>
        <w:spacing w:before="1"/>
        <w:ind w:left="960"/>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w:t>
      </w:r>
    </w:p>
    <w:p>
      <w:pPr>
        <w:spacing w:after="0"/>
        <w:sectPr>
          <w:pgSz w:w="11910" w:h="16840"/>
          <w:pgMar w:header="877" w:footer="995" w:top="1420" w:bottom="1180" w:left="1260" w:right="1480"/>
        </w:sectPr>
      </w:pPr>
    </w:p>
    <w:p>
      <w:pPr>
        <w:pStyle w:val="BodyText"/>
        <w:spacing w:before="110"/>
        <w:ind w:left="540"/>
      </w:pPr>
      <w:r>
        <w:rPr/>
        <w:t>承接的。</w:t>
      </w:r>
    </w:p>
    <w:p>
      <w:pPr>
        <w:pStyle w:val="BodyText"/>
        <w:spacing w:before="6"/>
        <w:rPr>
          <w:sz w:val="15"/>
        </w:rPr>
      </w:pPr>
    </w:p>
    <w:p>
      <w:pPr>
        <w:pStyle w:val="BodyText"/>
        <w:ind w:left="960"/>
      </w:pPr>
      <w:r>
        <w:rPr>
          <w:rFonts w:ascii="Times New Roman" w:eastAsia="Times New Roman"/>
        </w:rPr>
        <w:t>3</w:t>
      </w:r>
      <w:r>
        <w:rPr/>
        <w:t>、《基金合同》约定的其他情形。</w:t>
      </w:r>
    </w:p>
    <w:p>
      <w:pPr>
        <w:pStyle w:val="BodyText"/>
        <w:spacing w:before="7"/>
        <w:rPr>
          <w:sz w:val="15"/>
        </w:rPr>
      </w:pPr>
    </w:p>
    <w:p>
      <w:pPr>
        <w:pStyle w:val="BodyText"/>
        <w:spacing w:line="417" w:lineRule="auto"/>
        <w:ind w:left="960" w:right="3686"/>
      </w:pPr>
      <w:r>
        <w:rPr>
          <w:rFonts w:ascii="Times New Roman" w:eastAsia="Times New Roman"/>
        </w:rPr>
        <w:t>4</w:t>
      </w:r>
      <w:r>
        <w:rPr/>
        <w:t>、相关法律法规和中国证监会规定的其他情况。三、基金财产的清算</w:t>
      </w: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3"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53"/>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3"/>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3"/>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3"/>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53"/>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3"/>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53"/>
        </w:numPr>
        <w:tabs>
          <w:tab w:pos="1490" w:val="left" w:leader="none"/>
        </w:tabs>
        <w:spacing w:line="240" w:lineRule="auto" w:before="1" w:after="0"/>
        <w:ind w:left="1489" w:right="0" w:hanging="530"/>
        <w:jc w:val="left"/>
        <w:rPr>
          <w:sz w:val="21"/>
        </w:rPr>
      </w:pPr>
      <w:r>
        <w:rPr>
          <w:spacing w:val="-3"/>
          <w:sz w:val="21"/>
        </w:rPr>
        <w:t>对基金财产进行分配。</w:t>
      </w:r>
    </w:p>
    <w:p>
      <w:pPr>
        <w:pStyle w:val="BodyText"/>
        <w:spacing w:before="6"/>
        <w:rPr>
          <w:sz w:val="15"/>
        </w:rPr>
      </w:pPr>
    </w:p>
    <w:p>
      <w:pPr>
        <w:pStyle w:val="BodyText"/>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spacing w:before="1"/>
        <w:ind w:left="3740" w:right="0" w:firstLine="0"/>
        <w:jc w:val="both"/>
        <w:rPr>
          <w:b/>
          <w:sz w:val="21"/>
        </w:rPr>
      </w:pPr>
      <w:r>
        <w:rPr>
          <w:b/>
          <w:sz w:val="21"/>
        </w:rPr>
        <w:t>第四部分 争议解决方式</w:t>
      </w:r>
    </w:p>
    <w:p>
      <w:pPr>
        <w:pStyle w:val="BodyText"/>
        <w:spacing w:before="6"/>
        <w:rPr>
          <w:b/>
          <w:sz w:val="15"/>
        </w:rPr>
      </w:pPr>
    </w:p>
    <w:p>
      <w:pPr>
        <w:pStyle w:val="BodyText"/>
        <w:spacing w:line="417" w:lineRule="auto"/>
        <w:ind w:left="540" w:right="31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好协商未能解决的，应提交中国国际经济贸易仲裁委员会，根据该会当时有效的仲裁规则进行仲裁，仲裁地点为北京，仲裁裁决是终局性的并对各方当事人具有约束力，仲裁费由败诉</w:t>
      </w:r>
      <w:r>
        <w:rPr>
          <w:spacing w:val="-7"/>
        </w:rPr>
        <w:t>方承担。</w:t>
      </w:r>
    </w:p>
    <w:p>
      <w:pPr>
        <w:pStyle w:val="BodyText"/>
        <w:spacing w:line="268" w:lineRule="exact"/>
        <w:ind w:left="960"/>
      </w:pPr>
      <w:r>
        <w:rPr/>
        <w:t>《基金合同》受中国法律管辖。</w:t>
      </w:r>
    </w:p>
    <w:p>
      <w:pPr>
        <w:pStyle w:val="BodyText"/>
        <w:spacing w:before="7"/>
        <w:rPr>
          <w:sz w:val="15"/>
        </w:rPr>
      </w:pPr>
    </w:p>
    <w:p>
      <w:pPr>
        <w:tabs>
          <w:tab w:pos="3320" w:val="left" w:leader="none"/>
        </w:tabs>
        <w:spacing w:before="0"/>
        <w:ind w:left="2263" w:right="0" w:firstLine="0"/>
        <w:jc w:val="left"/>
        <w:rPr>
          <w:b/>
          <w:sz w:val="21"/>
        </w:rPr>
      </w:pPr>
      <w:r>
        <w:rPr>
          <w:b/>
          <w:sz w:val="21"/>
        </w:rPr>
        <w:t>第五部分</w:t>
        <w:tab/>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7"/>
        <w:rPr>
          <w:b/>
          <w:sz w:val="15"/>
        </w:rPr>
      </w:pPr>
    </w:p>
    <w:p>
      <w:pPr>
        <w:pStyle w:val="BodyText"/>
        <w:spacing w:line="417" w:lineRule="auto"/>
        <w:ind w:left="540" w:right="311" w:firstLine="419"/>
      </w:pPr>
      <w:r>
        <w:rPr>
          <w:spacing w:val="-10"/>
        </w:rPr>
        <w:t>《基金合同》正本一式六份，除上报有关监管机构一式二份外，基金管理人、基金托管</w:t>
      </w:r>
      <w:r>
        <w:rPr>
          <w:spacing w:val="-5"/>
        </w:rPr>
        <w:t>人各持有二份，每份具有同等的法律效力。</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before="7"/>
        <w:rPr>
          <w:sz w:val="26"/>
        </w:rPr>
      </w:pPr>
    </w:p>
    <w:p>
      <w:pPr>
        <w:pStyle w:val="Heading1"/>
        <w:ind w:left="2459" w:right="2240"/>
      </w:pPr>
      <w:bookmarkStart w:name="_bookmark19" w:id="20"/>
      <w:bookmarkEnd w:id="20"/>
      <w:r>
        <w:rPr>
          <w:b w:val="0"/>
        </w:rPr>
      </w:r>
      <w:r>
        <w:rPr/>
        <w:t>二十、基金托管协议的内容摘要</w:t>
      </w:r>
    </w:p>
    <w:p>
      <w:pPr>
        <w:pStyle w:val="BodyText"/>
        <w:rPr>
          <w:b/>
          <w:sz w:val="20"/>
        </w:rPr>
      </w:pPr>
    </w:p>
    <w:p>
      <w:pPr>
        <w:pStyle w:val="BodyText"/>
        <w:spacing w:before="2"/>
        <w:rPr>
          <w:b/>
        </w:rPr>
      </w:pPr>
    </w:p>
    <w:p>
      <w:pPr>
        <w:pStyle w:val="BodyText"/>
        <w:ind w:left="960"/>
      </w:pPr>
      <w:r>
        <w:rPr/>
        <w:t>以下内容摘自《华夏乐享健康灵活配置混合型证券投资基金托管协议》。</w:t>
      </w:r>
    </w:p>
    <w:p>
      <w:pPr>
        <w:pStyle w:val="BodyText"/>
        <w:spacing w:before="7"/>
        <w:rPr>
          <w:sz w:val="15"/>
        </w:rPr>
      </w:pPr>
    </w:p>
    <w:p>
      <w:pPr>
        <w:spacing w:before="0"/>
        <w:ind w:left="2461" w:right="1824" w:firstLine="0"/>
        <w:jc w:val="center"/>
        <w:rPr>
          <w:b/>
          <w:sz w:val="21"/>
        </w:rPr>
      </w:pPr>
      <w:r>
        <w:rPr>
          <w:b/>
          <w:sz w:val="21"/>
        </w:rPr>
        <w:t>一、托管协议当事人</w:t>
      </w:r>
    </w:p>
    <w:p>
      <w:pPr>
        <w:pStyle w:val="BodyText"/>
        <w:spacing w:before="7"/>
        <w:rPr>
          <w:b/>
          <w:sz w:val="15"/>
        </w:rPr>
      </w:pPr>
    </w:p>
    <w:p>
      <w:pPr>
        <w:pStyle w:val="BodyText"/>
        <w:ind w:left="960"/>
      </w:pPr>
      <w:r>
        <w:rPr/>
        <w:t>（一）基金管理人</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spacing w:line="417" w:lineRule="auto"/>
        <w:ind w:left="960" w:right="4569"/>
      </w:pPr>
      <w:r>
        <w:rPr/>
        <w:t>住所：北京市顺义区安庆大街甲 </w:t>
      </w:r>
      <w:r>
        <w:rPr>
          <w:rFonts w:ascii="Times New Roman" w:eastAsia="Times New Roman"/>
        </w:rPr>
        <w:t>3 </w:t>
      </w:r>
      <w:r>
        <w:rPr/>
        <w:t>号院法定代表人：杨明辉</w:t>
      </w:r>
    </w:p>
    <w:p>
      <w:pPr>
        <w:pStyle w:val="BodyText"/>
        <w:spacing w:line="269" w:lineRule="exact"/>
        <w:ind w:left="960"/>
      </w:pPr>
      <w:r>
        <w:rPr/>
        <w:t>成立时间：</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960" w:right="2128"/>
      </w:pPr>
      <w:r>
        <w:rPr/>
        <w:t>批准设立机关及批准设立文号：中国证监会证监基字</w:t>
      </w:r>
      <w:r>
        <w:rPr>
          <w:rFonts w:ascii="Times New Roman" w:eastAsia="Times New Roman"/>
        </w:rPr>
        <w:t>[1998]16 </w:t>
      </w:r>
      <w:r>
        <w:rPr/>
        <w:t>号文注册资本：</w:t>
      </w:r>
      <w:r>
        <w:rPr>
          <w:rFonts w:ascii="Times New Roman" w:eastAsia="Times New Roman"/>
        </w:rPr>
        <w:t>2.38 </w:t>
      </w:r>
      <w:r>
        <w:rPr/>
        <w:t>亿元</w:t>
      </w:r>
    </w:p>
    <w:p>
      <w:pPr>
        <w:pStyle w:val="BodyText"/>
        <w:spacing w:line="417" w:lineRule="auto"/>
        <w:ind w:left="960" w:right="5890"/>
      </w:pPr>
      <w:r>
        <w:rPr/>
        <w:t>组织形式：有限责任公司存续期间：</w:t>
      </w:r>
      <w:r>
        <w:rPr>
          <w:rFonts w:ascii="Times New Roman" w:eastAsia="Times New Roman"/>
        </w:rPr>
        <w:t>100 </w:t>
      </w:r>
      <w:r>
        <w:rPr/>
        <w:t>年</w:t>
      </w:r>
    </w:p>
    <w:p>
      <w:pPr>
        <w:pStyle w:val="BodyText"/>
        <w:spacing w:line="417" w:lineRule="auto"/>
        <w:ind w:left="540" w:right="31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spacing w:line="269" w:lineRule="exact"/>
        <w:ind w:left="960"/>
      </w:pPr>
      <w:r>
        <w:rPr/>
        <w:t>（二）基金托管人</w:t>
      </w:r>
    </w:p>
    <w:p>
      <w:pPr>
        <w:pStyle w:val="BodyText"/>
        <w:spacing w:before="6"/>
        <w:rPr>
          <w:sz w:val="15"/>
        </w:rPr>
      </w:pPr>
    </w:p>
    <w:p>
      <w:pPr>
        <w:pStyle w:val="BodyText"/>
        <w:ind w:left="960"/>
      </w:pPr>
      <w:r>
        <w:rPr/>
        <w:t>名称：中国工商银行股份有限公司</w:t>
      </w:r>
    </w:p>
    <w:p>
      <w:pPr>
        <w:pStyle w:val="BodyText"/>
        <w:spacing w:before="7"/>
        <w:rPr>
          <w:sz w:val="15"/>
        </w:rPr>
      </w:pPr>
    </w:p>
    <w:p>
      <w:pPr>
        <w:pStyle w:val="BodyText"/>
        <w:spacing w:line="417" w:lineRule="auto"/>
        <w:ind w:left="960" w:right="3413"/>
      </w:pPr>
      <w:r>
        <w:rPr/>
        <w:t>住所：北京市西城区复兴门内大街 </w:t>
      </w:r>
      <w:r>
        <w:rPr>
          <w:rFonts w:ascii="Times New Roman" w:eastAsia="Times New Roman"/>
        </w:rPr>
        <w:t>55 </w:t>
      </w:r>
      <w:r>
        <w:rPr/>
        <w:t>号（</w:t>
      </w:r>
      <w:r>
        <w:rPr>
          <w:rFonts w:ascii="Times New Roman" w:eastAsia="Times New Roman"/>
        </w:rPr>
        <w:t>100032</w:t>
      </w:r>
      <w:r>
        <w:rPr/>
        <w:t>） 法定代表人：陈四清</w:t>
      </w:r>
    </w:p>
    <w:p>
      <w:pPr>
        <w:pStyle w:val="BodyText"/>
        <w:spacing w:line="417" w:lineRule="auto"/>
        <w:ind w:left="960" w:right="6101"/>
        <w:jc w:val="both"/>
      </w:pPr>
      <w:r>
        <w:rPr>
          <w:spacing w:val="-37"/>
          <w:w w:val="100"/>
        </w:rPr>
        <w:t>电话：</w:t>
      </w:r>
      <w:r>
        <w:rPr>
          <w:spacing w:val="-3"/>
          <w:w w:val="100"/>
        </w:rPr>
        <w:t>（</w:t>
      </w:r>
      <w:r>
        <w:rPr>
          <w:rFonts w:ascii="Times New Roman" w:eastAsia="Times New Roman"/>
          <w:spacing w:val="-2"/>
          <w:w w:val="100"/>
        </w:rPr>
        <w:t>01</w:t>
      </w:r>
      <w:r>
        <w:rPr>
          <w:rFonts w:ascii="Times New Roman" w:eastAsia="Times New Roman"/>
          <w:spacing w:val="-5"/>
          <w:w w:val="100"/>
        </w:rPr>
        <w:t>0</w:t>
      </w:r>
      <w:r>
        <w:rPr>
          <w:spacing w:val="-2"/>
          <w:w w:val="100"/>
        </w:rPr>
        <w:t>）</w:t>
      </w:r>
      <w:r>
        <w:rPr>
          <w:rFonts w:ascii="Times New Roman" w:eastAsia="Times New Roman"/>
          <w:spacing w:val="-2"/>
          <w:w w:val="100"/>
        </w:rPr>
        <w:t>6</w:t>
      </w:r>
      <w:r>
        <w:rPr>
          <w:rFonts w:ascii="Times New Roman" w:eastAsia="Times New Roman"/>
          <w:spacing w:val="-5"/>
          <w:w w:val="100"/>
        </w:rPr>
        <w:t>6</w:t>
      </w:r>
      <w:r>
        <w:rPr>
          <w:rFonts w:ascii="Times New Roman" w:eastAsia="Times New Roman"/>
          <w:spacing w:val="-2"/>
          <w:w w:val="100"/>
        </w:rPr>
        <w:t>105</w:t>
      </w:r>
      <w:r>
        <w:rPr>
          <w:rFonts w:ascii="Times New Roman" w:eastAsia="Times New Roman"/>
          <w:spacing w:val="-5"/>
          <w:w w:val="100"/>
        </w:rPr>
        <w:t>7</w:t>
      </w:r>
      <w:r>
        <w:rPr>
          <w:rFonts w:ascii="Times New Roman" w:eastAsia="Times New Roman"/>
          <w:spacing w:val="-2"/>
          <w:w w:val="100"/>
        </w:rPr>
        <w:t>99</w:t>
      </w:r>
      <w:r>
        <w:rPr>
          <w:spacing w:val="-37"/>
          <w:w w:val="100"/>
        </w:rPr>
        <w:t>传真：</w:t>
      </w:r>
      <w:r>
        <w:rPr>
          <w:spacing w:val="-3"/>
          <w:w w:val="100"/>
        </w:rPr>
        <w:t>（</w:t>
      </w:r>
      <w:r>
        <w:rPr>
          <w:rFonts w:ascii="Times New Roman" w:eastAsia="Times New Roman"/>
          <w:spacing w:val="-2"/>
          <w:w w:val="100"/>
        </w:rPr>
        <w:t>01</w:t>
      </w:r>
      <w:r>
        <w:rPr>
          <w:rFonts w:ascii="Times New Roman" w:eastAsia="Times New Roman"/>
          <w:spacing w:val="-5"/>
          <w:w w:val="100"/>
        </w:rPr>
        <w:t>0</w:t>
      </w:r>
      <w:r>
        <w:rPr>
          <w:spacing w:val="-2"/>
          <w:w w:val="100"/>
        </w:rPr>
        <w:t>）</w:t>
      </w:r>
      <w:r>
        <w:rPr>
          <w:rFonts w:ascii="Times New Roman" w:eastAsia="Times New Roman"/>
          <w:spacing w:val="-2"/>
          <w:w w:val="100"/>
        </w:rPr>
        <w:t>6</w:t>
      </w:r>
      <w:r>
        <w:rPr>
          <w:rFonts w:ascii="Times New Roman" w:eastAsia="Times New Roman"/>
          <w:spacing w:val="-5"/>
          <w:w w:val="100"/>
        </w:rPr>
        <w:t>6</w:t>
      </w:r>
      <w:r>
        <w:rPr>
          <w:rFonts w:ascii="Times New Roman" w:eastAsia="Times New Roman"/>
          <w:spacing w:val="-2"/>
          <w:w w:val="100"/>
        </w:rPr>
        <w:t>105</w:t>
      </w:r>
      <w:r>
        <w:rPr>
          <w:rFonts w:ascii="Times New Roman" w:eastAsia="Times New Roman"/>
          <w:spacing w:val="-5"/>
          <w:w w:val="100"/>
        </w:rPr>
        <w:t>7</w:t>
      </w:r>
      <w:r>
        <w:rPr>
          <w:rFonts w:ascii="Times New Roman" w:eastAsia="Times New Roman"/>
          <w:spacing w:val="-2"/>
          <w:w w:val="100"/>
        </w:rPr>
        <w:t>98</w:t>
      </w:r>
      <w:r>
        <w:rPr>
          <w:spacing w:val="-3"/>
        </w:rPr>
        <w:t>联系人：郭明</w:t>
      </w:r>
    </w:p>
    <w:p>
      <w:pPr>
        <w:pStyle w:val="BodyText"/>
        <w:spacing w:line="417" w:lineRule="auto"/>
        <w:ind w:left="960" w:right="5291"/>
      </w:pPr>
      <w:r>
        <w:rPr/>
        <w:t>成立时间：</w:t>
      </w:r>
      <w:r>
        <w:rPr>
          <w:rFonts w:ascii="Times New Roman" w:eastAsia="Times New Roman"/>
        </w:rPr>
        <w:t>1985 </w:t>
      </w:r>
      <w:r>
        <w:rPr/>
        <w:t>年 </w:t>
      </w:r>
      <w:r>
        <w:rPr>
          <w:rFonts w:ascii="Times New Roman" w:eastAsia="Times New Roman"/>
        </w:rPr>
        <w:t>11 </w:t>
      </w:r>
      <w:r>
        <w:rPr/>
        <w:t>月 </w:t>
      </w:r>
      <w:r>
        <w:rPr>
          <w:rFonts w:ascii="Times New Roman" w:eastAsia="Times New Roman"/>
        </w:rPr>
        <w:t>22 </w:t>
      </w:r>
      <w:r>
        <w:rPr/>
        <w:t>日组织形式：股份有限公司</w:t>
      </w:r>
    </w:p>
    <w:p>
      <w:pPr>
        <w:pStyle w:val="BodyText"/>
        <w:spacing w:line="269" w:lineRule="exact"/>
        <w:ind w:left="960"/>
      </w:pPr>
      <w:r>
        <w:rPr/>
        <w:t>注册资本：人民币 </w:t>
      </w:r>
      <w:r>
        <w:rPr>
          <w:rFonts w:ascii="Times New Roman" w:eastAsia="Times New Roman"/>
        </w:rPr>
        <w:t>35,640,625.7089 </w:t>
      </w:r>
      <w:r>
        <w:rPr/>
        <w:t>万元</w:t>
      </w:r>
    </w:p>
    <w:p>
      <w:pPr>
        <w:pStyle w:val="BodyText"/>
        <w:spacing w:before="6"/>
        <w:rPr>
          <w:sz w:val="15"/>
        </w:rPr>
      </w:pPr>
    </w:p>
    <w:p>
      <w:pPr>
        <w:pStyle w:val="BodyText"/>
        <w:spacing w:before="1"/>
        <w:ind w:left="960"/>
      </w:pPr>
      <w:r>
        <w:rPr/>
        <w:t>批准设立机关和设立文号：国务院《关于中国人民银行专门行使中央银行职能的决定》</w:t>
      </w:r>
    </w:p>
    <w:p>
      <w:pPr>
        <w:pStyle w:val="BodyText"/>
        <w:spacing w:before="7"/>
        <w:rPr>
          <w:sz w:val="15"/>
        </w:rPr>
      </w:pPr>
    </w:p>
    <w:p>
      <w:pPr>
        <w:pStyle w:val="BodyText"/>
        <w:ind w:left="540"/>
      </w:pPr>
      <w:r>
        <w:rPr/>
        <w:t>（国发</w:t>
      </w:r>
      <w:r>
        <w:rPr>
          <w:rFonts w:ascii="Times New Roman" w:eastAsia="Times New Roman"/>
        </w:rPr>
        <w:t>[1983]146 </w:t>
      </w:r>
      <w:r>
        <w:rPr/>
        <w:t>号）</w:t>
      </w:r>
    </w:p>
    <w:p>
      <w:pPr>
        <w:spacing w:after="0"/>
        <w:sectPr>
          <w:pgSz w:w="11910" w:h="16840"/>
          <w:pgMar w:header="877" w:footer="995" w:top="1420" w:bottom="1180" w:left="1260" w:right="1480"/>
        </w:sectPr>
      </w:pPr>
    </w:p>
    <w:p>
      <w:pPr>
        <w:pStyle w:val="BodyText"/>
        <w:spacing w:before="110"/>
        <w:ind w:left="960"/>
      </w:pPr>
      <w:r>
        <w:rPr/>
        <w:t>存续期间：持续经营</w:t>
      </w:r>
    </w:p>
    <w:p>
      <w:pPr>
        <w:pStyle w:val="BodyText"/>
        <w:spacing w:before="6"/>
        <w:rPr>
          <w:sz w:val="15"/>
        </w:rPr>
      </w:pPr>
    </w:p>
    <w:p>
      <w:pPr>
        <w:pStyle w:val="BodyText"/>
        <w:spacing w:line="417" w:lineRule="auto"/>
        <w:ind w:left="540" w:right="311" w:firstLine="419"/>
        <w:jc w:val="both"/>
      </w:pPr>
      <w:r>
        <w:rPr>
          <w:spacing w:val="-21"/>
        </w:rPr>
        <w:t>经营范围：办理人民币存款、贷款、同业拆借业务；国内外结算；办理票据承兑、贴现、</w:t>
      </w:r>
      <w:r>
        <w:rPr>
          <w:spacing w:val="-22"/>
        </w:rPr>
        <w:t>转贴现、各类汇兑业务；代理资金清算；提供信用证服务及担保；代理销售业务；代理发行、</w:t>
      </w:r>
      <w:r>
        <w:rPr>
          <w:spacing w:val="-7"/>
          <w:w w:val="100"/>
        </w:rPr>
        <w:t>代理承销、代理兑付政府债券；代收代付业务；代理证券投资基金清算业务</w:t>
      </w:r>
      <w:r>
        <w:rPr>
          <w:w w:val="100"/>
        </w:rPr>
        <w:t>（</w:t>
      </w:r>
      <w:r>
        <w:rPr>
          <w:spacing w:val="-2"/>
          <w:w w:val="100"/>
        </w:rPr>
        <w:t>银证转账</w:t>
      </w:r>
      <w:r>
        <w:rPr>
          <w:spacing w:val="-108"/>
          <w:w w:val="100"/>
        </w:rPr>
        <w:t>）</w:t>
      </w:r>
      <w:r>
        <w:rPr>
          <w:w w:val="100"/>
        </w:rPr>
        <w:t>；</w:t>
      </w:r>
      <w:r>
        <w:rPr>
          <w:spacing w:val="-10"/>
        </w:rPr>
        <w:t>保险代理业务；代理政策性银行、外国政府和国际金融机构贷款业务；保管箱服务；发行金</w:t>
      </w:r>
      <w:r>
        <w:rPr>
          <w:spacing w:val="-13"/>
        </w:rPr>
        <w:t>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w:t>
      </w:r>
      <w:r>
        <w:rPr>
          <w:spacing w:val="-12"/>
        </w:rPr>
        <w:t>行、代理发行、买卖或代理买卖股票以外的外币有价证券；自营、代客外汇买卖；外汇金融</w:t>
      </w:r>
      <w:r>
        <w:rPr>
          <w:spacing w:val="-13"/>
        </w:rPr>
        <w:t>衍生业务；银行卡业务；电话银行、网上银行、手机银行业务；办理结汇、售汇业务；经国</w:t>
      </w:r>
      <w:r>
        <w:rPr>
          <w:spacing w:val="-6"/>
        </w:rPr>
        <w:t>务院银行业监督管理机构批准的其他业务。</w:t>
      </w:r>
    </w:p>
    <w:p>
      <w:pPr>
        <w:spacing w:line="268" w:lineRule="exact" w:before="0"/>
        <w:ind w:left="2686" w:right="0" w:firstLine="0"/>
        <w:jc w:val="left"/>
        <w:rPr>
          <w:b/>
          <w:sz w:val="21"/>
        </w:rPr>
      </w:pPr>
      <w:r>
        <w:rPr>
          <w:b/>
          <w:sz w:val="21"/>
        </w:rPr>
        <w:t>二、基金托管人对基金管理人的业务监督和核查</w:t>
      </w:r>
    </w:p>
    <w:p>
      <w:pPr>
        <w:pStyle w:val="BodyText"/>
        <w:spacing w:before="7"/>
        <w:rPr>
          <w:b/>
          <w:sz w:val="15"/>
        </w:rPr>
      </w:pPr>
    </w:p>
    <w:p>
      <w:pPr>
        <w:pStyle w:val="BodyText"/>
        <w:ind w:left="960"/>
      </w:pPr>
      <w:r>
        <w:rPr/>
        <w:t>（一）基金托管人对基金管理人的投资行为行使监督权</w:t>
      </w:r>
    </w:p>
    <w:p>
      <w:pPr>
        <w:pStyle w:val="BodyText"/>
        <w:spacing w:before="7"/>
        <w:rPr>
          <w:sz w:val="15"/>
        </w:rPr>
      </w:pPr>
    </w:p>
    <w:p>
      <w:pPr>
        <w:pStyle w:val="BodyText"/>
        <w:spacing w:line="417" w:lineRule="auto"/>
        <w:ind w:left="540" w:right="311" w:firstLine="419"/>
      </w:pPr>
      <w:r>
        <w:rPr>
          <w:rFonts w:ascii="Times New Roman" w:eastAsia="Times New Roman"/>
        </w:rPr>
        <w:t>1</w:t>
      </w:r>
      <w:r>
        <w:rPr>
          <w:spacing w:val="-16"/>
        </w:rPr>
        <w:t>、基金托管人根据有关法律法规的规定和《基金合同》的约定，对下述基金投资范围、</w:t>
      </w:r>
      <w:r>
        <w:rPr>
          <w:spacing w:val="-7"/>
        </w:rPr>
        <w:t>投资对象进行监督。</w:t>
      </w:r>
    </w:p>
    <w:p>
      <w:pPr>
        <w:pStyle w:val="BodyText"/>
        <w:spacing w:line="417" w:lineRule="auto"/>
        <w:ind w:left="540" w:right="206" w:firstLine="419"/>
      </w:pPr>
      <w:r>
        <w:rPr>
          <w:spacing w:val="-9"/>
        </w:rPr>
        <w:t>本基金将投资于以下金融工具：本基金的投资范围为具有良好流动性的金融工具，包括</w:t>
      </w:r>
      <w:r>
        <w:rPr>
          <w:spacing w:val="-8"/>
        </w:rPr>
        <w:t>国内依法发行上市的股票</w:t>
      </w:r>
      <w:r>
        <w:rPr/>
        <w:t>（</w:t>
      </w:r>
      <w:r>
        <w:rPr>
          <w:spacing w:val="-10"/>
        </w:rPr>
        <w:t>包括创业板、中小板、存托凭证及其他经中国证监会核准上市的股票</w:t>
      </w:r>
      <w:r>
        <w:rPr>
          <w:spacing w:val="-106"/>
        </w:rPr>
        <w:t>）</w:t>
      </w:r>
      <w:r>
        <w:rPr>
          <w:spacing w:val="-2"/>
        </w:rPr>
        <w:t>、债券</w:t>
      </w:r>
      <w:r>
        <w:rPr>
          <w:spacing w:val="-3"/>
        </w:rPr>
        <w:t>（含中小企业私募债券、可转换债券</w:t>
      </w:r>
      <w:r>
        <w:rPr>
          <w:spacing w:val="-106"/>
        </w:rPr>
        <w:t>）</w:t>
      </w:r>
      <w:r>
        <w:rPr>
          <w:spacing w:val="-3"/>
        </w:rPr>
        <w:t>、货币市场工具、权证、资产支持证券、</w:t>
      </w:r>
      <w:r>
        <w:rPr>
          <w:spacing w:val="-11"/>
        </w:rPr>
        <w:t>股指期货、国债期货、期权以及法律法规或中国证监会允许基金投资的其他金融工具</w:t>
      </w:r>
      <w:r>
        <w:rPr/>
        <w:t>（</w:t>
      </w:r>
      <w:r>
        <w:rPr>
          <w:spacing w:val="-3"/>
        </w:rPr>
        <w:t>但须符合中国证监会相关规定</w:t>
      </w:r>
      <w:r>
        <w:rPr>
          <w:spacing w:val="-108"/>
        </w:rPr>
        <w:t>）</w:t>
      </w:r>
      <w:r>
        <w:rPr/>
        <w:t>。</w:t>
      </w:r>
    </w:p>
    <w:p>
      <w:pPr>
        <w:pStyle w:val="BodyText"/>
        <w:spacing w:line="417" w:lineRule="auto"/>
        <w:ind w:left="540" w:right="311" w:firstLine="419"/>
      </w:pPr>
      <w:r>
        <w:rPr>
          <w:spacing w:val="-7"/>
        </w:rPr>
        <w:t>如法律法规或监管机构以后允许基金投资其他品种，基金管理人在履行适当程序后，可</w:t>
      </w:r>
      <w:r>
        <w:rPr>
          <w:spacing w:val="-5"/>
        </w:rPr>
        <w:t>以将其纳入投资范围，无需召开持有人大会。</w:t>
      </w:r>
    </w:p>
    <w:p>
      <w:pPr>
        <w:pStyle w:val="BodyText"/>
        <w:spacing w:line="269" w:lineRule="exact"/>
        <w:ind w:left="960"/>
      </w:pPr>
      <w:r>
        <w:rPr/>
        <w:t>本基金不得投资于相关法律、法规、部门规章及《基金合同》禁止投资的投资工具。</w:t>
      </w:r>
    </w:p>
    <w:p>
      <w:pPr>
        <w:pStyle w:val="BodyText"/>
        <w:spacing w:before="6"/>
        <w:rPr>
          <w:sz w:val="15"/>
        </w:rPr>
      </w:pPr>
    </w:p>
    <w:p>
      <w:pPr>
        <w:pStyle w:val="BodyText"/>
        <w:spacing w:line="417" w:lineRule="auto" w:before="1"/>
        <w:ind w:left="540" w:right="314" w:firstLine="419"/>
      </w:pPr>
      <w:r>
        <w:rPr>
          <w:rFonts w:ascii="Times New Roman" w:eastAsia="Times New Roman"/>
        </w:rPr>
        <w:t>2</w:t>
      </w:r>
      <w:r>
        <w:rPr/>
        <w:t>、基金托管人根据有关法律法规的规定及《基金合同》的约定对下述基金投融资比例进行监督：</w:t>
      </w:r>
    </w:p>
    <w:p>
      <w:pPr>
        <w:pStyle w:val="ListParagraph"/>
        <w:numPr>
          <w:ilvl w:val="0"/>
          <w:numId w:val="54"/>
        </w:numPr>
        <w:tabs>
          <w:tab w:pos="1490" w:val="left" w:leader="none"/>
        </w:tabs>
        <w:spacing w:line="417" w:lineRule="auto" w:before="0" w:after="0"/>
        <w:ind w:left="540" w:right="311" w:firstLine="419"/>
        <w:jc w:val="both"/>
        <w:rPr>
          <w:sz w:val="21"/>
        </w:rPr>
      </w:pPr>
      <w:r>
        <w:rPr>
          <w:spacing w:val="-3"/>
          <w:sz w:val="21"/>
        </w:rPr>
        <w:t>按法律法规的规定及《基金合同》的约定，本基金投资组合比例为：基金股票投</w:t>
      </w:r>
      <w:r>
        <w:rPr>
          <w:spacing w:val="-5"/>
          <w:sz w:val="21"/>
        </w:rPr>
        <w:t>资比例为基金资产的 </w:t>
      </w:r>
      <w:r>
        <w:rPr>
          <w:rFonts w:ascii="Times New Roman" w:eastAsia="Times New Roman"/>
          <w:spacing w:val="-14"/>
          <w:sz w:val="21"/>
        </w:rPr>
        <w:t>0-95%</w:t>
      </w:r>
      <w:r>
        <w:rPr>
          <w:spacing w:val="-5"/>
          <w:sz w:val="21"/>
        </w:rPr>
        <w:t>，其中乐享健康主题相关证券投资比例不低于非现金基金资产的</w:t>
      </w:r>
      <w:r>
        <w:rPr>
          <w:rFonts w:ascii="Times New Roman" w:eastAsia="Times New Roman"/>
          <w:spacing w:val="-5"/>
          <w:sz w:val="21"/>
        </w:rPr>
        <w:t>80%</w:t>
      </w:r>
      <w:r>
        <w:rPr>
          <w:spacing w:val="-8"/>
          <w:sz w:val="21"/>
        </w:rPr>
        <w:t>。每个交易日日终在扣除股指期货、国债期货合约需缴纳的交易保证金后，保持不低于基金资产净值 </w:t>
      </w:r>
      <w:r>
        <w:rPr>
          <w:rFonts w:ascii="Times New Roman" w:eastAsia="Times New Roman"/>
          <w:sz w:val="21"/>
        </w:rPr>
        <w:t>5%</w:t>
      </w:r>
      <w:r>
        <w:rPr>
          <w:spacing w:val="-4"/>
          <w:sz w:val="21"/>
        </w:rPr>
        <w:t>的现金或者到期日在一年以内的政府债券。因基金规模或市场变化等因素</w:t>
      </w:r>
    </w:p>
    <w:p>
      <w:pPr>
        <w:spacing w:after="0" w:line="417" w:lineRule="auto"/>
        <w:jc w:val="both"/>
        <w:rPr>
          <w:sz w:val="21"/>
        </w:rPr>
        <w:sectPr>
          <w:pgSz w:w="11910" w:h="16840"/>
          <w:pgMar w:header="877" w:footer="995" w:top="1420" w:bottom="1180" w:left="1260" w:right="1480"/>
        </w:sectPr>
      </w:pPr>
    </w:p>
    <w:p>
      <w:pPr>
        <w:pStyle w:val="BodyText"/>
        <w:spacing w:line="417" w:lineRule="auto" w:before="110"/>
        <w:ind w:left="540" w:right="311"/>
      </w:pPr>
      <w:r>
        <w:rPr>
          <w:spacing w:val="-8"/>
        </w:rPr>
        <w:t>导致投资组合不符合上述规定的，基金管理人应在合理的期限内调整基金的投资组合，以符</w:t>
      </w:r>
      <w:r>
        <w:rPr>
          <w:spacing w:val="-5"/>
        </w:rPr>
        <w:t>合上述比例限定。法律法规另有规定时，从其规定。</w:t>
      </w:r>
    </w:p>
    <w:p>
      <w:pPr>
        <w:pStyle w:val="BodyText"/>
        <w:spacing w:line="417" w:lineRule="auto"/>
        <w:ind w:left="540" w:right="208" w:firstLine="419"/>
      </w:pPr>
      <w:r>
        <w:rPr/>
        <w:t>如法律法规或监管机构以后允许本基金投资其他品种，基金管理人在履行适当程序后， 可以将其纳入投资范围，并可依据届时有效的法律法规适时合理地调整投资范围。</w:t>
      </w:r>
    </w:p>
    <w:p>
      <w:pPr>
        <w:pStyle w:val="ListParagraph"/>
        <w:numPr>
          <w:ilvl w:val="0"/>
          <w:numId w:val="54"/>
        </w:numPr>
        <w:tabs>
          <w:tab w:pos="1490" w:val="left" w:leader="none"/>
        </w:tabs>
        <w:spacing w:line="269" w:lineRule="exact" w:before="0" w:after="0"/>
        <w:ind w:left="1489" w:right="0" w:hanging="530"/>
        <w:jc w:val="left"/>
        <w:rPr>
          <w:sz w:val="21"/>
        </w:rPr>
      </w:pPr>
      <w:r>
        <w:rPr>
          <w:spacing w:val="-13"/>
          <w:sz w:val="21"/>
        </w:rPr>
        <w:t>根据法律法规的规定及《基金合同》的约定，本基金投资组合遵循以下投资限制：</w:t>
      </w:r>
    </w:p>
    <w:p>
      <w:pPr>
        <w:pStyle w:val="BodyText"/>
        <w:spacing w:before="6"/>
        <w:rPr>
          <w:sz w:val="15"/>
        </w:rPr>
      </w:pPr>
    </w:p>
    <w:p>
      <w:pPr>
        <w:pStyle w:val="ListParagraph"/>
        <w:numPr>
          <w:ilvl w:val="0"/>
          <w:numId w:val="55"/>
        </w:numPr>
        <w:tabs>
          <w:tab w:pos="1279" w:val="left" w:leader="none"/>
        </w:tabs>
        <w:spacing w:line="417" w:lineRule="auto" w:before="0" w:after="0"/>
        <w:ind w:left="540" w:right="311" w:firstLine="419"/>
        <w:jc w:val="both"/>
        <w:rPr>
          <w:sz w:val="21"/>
        </w:rPr>
      </w:pPr>
      <w:r>
        <w:rPr>
          <w:spacing w:val="-3"/>
          <w:sz w:val="21"/>
        </w:rPr>
        <w:t>每个交易日日终在扣除股指期货、国债期货合约需缴纳的交易保证金后，保持不低</w:t>
      </w:r>
      <w:r>
        <w:rPr>
          <w:spacing w:val="-6"/>
          <w:sz w:val="21"/>
        </w:rPr>
        <w:t>于基金资产净值 </w:t>
      </w:r>
      <w:r>
        <w:rPr>
          <w:rFonts w:ascii="Times New Roman" w:eastAsia="Times New Roman"/>
          <w:sz w:val="21"/>
        </w:rPr>
        <w:t>5%</w:t>
      </w:r>
      <w:r>
        <w:rPr>
          <w:spacing w:val="-3"/>
          <w:sz w:val="21"/>
        </w:rPr>
        <w:t>的现金或者到期日在一年以内的政府债券。其中，现金不包括结算备付金、存出保证金、应收申购款等。</w:t>
      </w:r>
    </w:p>
    <w:p>
      <w:pPr>
        <w:pStyle w:val="ListParagraph"/>
        <w:numPr>
          <w:ilvl w:val="0"/>
          <w:numId w:val="55"/>
        </w:numPr>
        <w:tabs>
          <w:tab w:pos="1279" w:val="left" w:leader="none"/>
        </w:tabs>
        <w:spacing w:line="417" w:lineRule="auto" w:before="0" w:after="0"/>
        <w:ind w:left="540" w:right="313" w:firstLine="419"/>
        <w:jc w:val="both"/>
        <w:rPr>
          <w:sz w:val="21"/>
        </w:rPr>
      </w:pPr>
      <w:r>
        <w:rPr>
          <w:spacing w:val="-3"/>
          <w:sz w:val="21"/>
        </w:rPr>
        <w:t>本基金股票投资比例为基金资产的 </w:t>
      </w:r>
      <w:r>
        <w:rPr>
          <w:rFonts w:ascii="Times New Roman" w:eastAsia="Times New Roman"/>
          <w:sz w:val="21"/>
        </w:rPr>
        <w:t>0-95%</w:t>
      </w:r>
      <w:r>
        <w:rPr>
          <w:spacing w:val="-3"/>
          <w:sz w:val="21"/>
        </w:rPr>
        <w:t>，其中乐享健康主题相关证券投资比例不</w:t>
      </w:r>
      <w:r>
        <w:rPr>
          <w:spacing w:val="-8"/>
          <w:sz w:val="21"/>
        </w:rPr>
        <w:t>低于非现金基金资产的 </w:t>
      </w:r>
      <w:r>
        <w:rPr>
          <w:rFonts w:ascii="Times New Roman" w:eastAsia="Times New Roman"/>
          <w:spacing w:val="-3"/>
          <w:sz w:val="21"/>
        </w:rPr>
        <w:t>80%</w:t>
      </w:r>
      <w:r>
        <w:rPr>
          <w:sz w:val="21"/>
        </w:rPr>
        <w:t>。</w:t>
      </w:r>
    </w:p>
    <w:p>
      <w:pPr>
        <w:pStyle w:val="ListParagraph"/>
        <w:numPr>
          <w:ilvl w:val="0"/>
          <w:numId w:val="55"/>
        </w:numPr>
        <w:tabs>
          <w:tab w:pos="1279" w:val="left" w:leader="none"/>
        </w:tabs>
        <w:spacing w:line="269" w:lineRule="exact" w:before="0" w:after="0"/>
        <w:ind w:left="1278" w:right="0" w:hanging="319"/>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55"/>
        </w:numPr>
        <w:tabs>
          <w:tab w:pos="1279" w:val="left" w:leader="none"/>
        </w:tabs>
        <w:spacing w:line="417" w:lineRule="auto" w:before="0" w:after="0"/>
        <w:ind w:left="540" w:right="314" w:firstLine="419"/>
        <w:jc w:val="both"/>
        <w:rPr>
          <w:sz w:val="21"/>
        </w:rPr>
      </w:pPr>
      <w:r>
        <w:rPr>
          <w:spacing w:val="-3"/>
          <w:sz w:val="21"/>
        </w:rPr>
        <w:t>本基金管理人管理且由本基金托管人托管的全部基金持有一家公司发行的证券，不</w:t>
      </w:r>
      <w:r>
        <w:rPr>
          <w:spacing w:val="-11"/>
          <w:sz w:val="21"/>
        </w:rPr>
        <w:t>超过该证券的 </w:t>
      </w:r>
      <w:r>
        <w:rPr>
          <w:rFonts w:ascii="Times New Roman" w:eastAsia="Times New Roman"/>
          <w:sz w:val="21"/>
        </w:rPr>
        <w:t>10%</w:t>
      </w:r>
      <w:r>
        <w:rPr>
          <w:sz w:val="21"/>
        </w:rPr>
        <w:t>。</w:t>
      </w:r>
    </w:p>
    <w:p>
      <w:pPr>
        <w:pStyle w:val="ListParagraph"/>
        <w:numPr>
          <w:ilvl w:val="0"/>
          <w:numId w:val="55"/>
        </w:numPr>
        <w:tabs>
          <w:tab w:pos="1279" w:val="left" w:leader="none"/>
        </w:tabs>
        <w:spacing w:line="269" w:lineRule="exact" w:before="0" w:after="0"/>
        <w:ind w:left="1278" w:right="0" w:hanging="319"/>
        <w:jc w:val="both"/>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55"/>
        </w:numPr>
        <w:tabs>
          <w:tab w:pos="1279" w:val="left" w:leader="none"/>
        </w:tabs>
        <w:spacing w:line="417" w:lineRule="auto" w:before="0" w:after="0"/>
        <w:ind w:left="540" w:right="314" w:firstLine="419"/>
        <w:jc w:val="both"/>
        <w:rPr>
          <w:sz w:val="21"/>
        </w:rPr>
      </w:pPr>
      <w:r>
        <w:rPr>
          <w:spacing w:val="-3"/>
          <w:sz w:val="21"/>
        </w:rPr>
        <w:t>本基金管理人管理且由本基金托管人托管的全部基金持有的同一权证，不得超过该</w:t>
      </w:r>
      <w:r>
        <w:rPr>
          <w:spacing w:val="-15"/>
          <w:sz w:val="21"/>
        </w:rPr>
        <w:t>权证的 </w:t>
      </w:r>
      <w:r>
        <w:rPr>
          <w:rFonts w:ascii="Times New Roman" w:eastAsia="Times New Roman"/>
          <w:sz w:val="21"/>
        </w:rPr>
        <w:t>10%</w:t>
      </w:r>
      <w:r>
        <w:rPr>
          <w:sz w:val="21"/>
        </w:rPr>
        <w:t>。</w:t>
      </w:r>
    </w:p>
    <w:p>
      <w:pPr>
        <w:pStyle w:val="ListParagraph"/>
        <w:numPr>
          <w:ilvl w:val="0"/>
          <w:numId w:val="55"/>
        </w:numPr>
        <w:tabs>
          <w:tab w:pos="1279" w:val="left" w:leader="none"/>
        </w:tabs>
        <w:spacing w:line="269" w:lineRule="exact" w:before="0" w:after="0"/>
        <w:ind w:left="1278" w:right="0" w:hanging="319"/>
        <w:jc w:val="both"/>
        <w:rPr>
          <w:sz w:val="21"/>
        </w:rPr>
      </w:pPr>
      <w:r>
        <w:rPr>
          <w:spacing w:val="-9"/>
          <w:sz w:val="21"/>
        </w:rPr>
        <w:t>本基金在任何交易日买入权证的总金额，不得超过上一交易日基金资产净值的 </w:t>
      </w:r>
      <w:r>
        <w:rPr>
          <w:rFonts w:ascii="Times New Roman" w:eastAsia="Times New Roman"/>
          <w:sz w:val="21"/>
        </w:rPr>
        <w:t>0.5%</w:t>
      </w:r>
      <w:r>
        <w:rPr>
          <w:sz w:val="21"/>
        </w:rPr>
        <w:t>。</w:t>
      </w:r>
    </w:p>
    <w:p>
      <w:pPr>
        <w:pStyle w:val="BodyText"/>
        <w:spacing w:before="7"/>
        <w:rPr>
          <w:sz w:val="15"/>
        </w:rPr>
      </w:pPr>
    </w:p>
    <w:p>
      <w:pPr>
        <w:pStyle w:val="ListParagraph"/>
        <w:numPr>
          <w:ilvl w:val="0"/>
          <w:numId w:val="55"/>
        </w:numPr>
        <w:tabs>
          <w:tab w:pos="1279" w:val="left" w:leader="none"/>
        </w:tabs>
        <w:spacing w:line="417" w:lineRule="auto" w:before="0" w:after="0"/>
        <w:ind w:left="540" w:right="314" w:firstLine="419"/>
        <w:jc w:val="both"/>
        <w:rPr>
          <w:sz w:val="21"/>
        </w:rPr>
      </w:pPr>
      <w:r>
        <w:rPr>
          <w:spacing w:val="-3"/>
          <w:sz w:val="21"/>
        </w:rPr>
        <w:t>本基金投资于同一原始权益人的各类资产支持证券的比例，不得超过基金资产净值</w:t>
      </w:r>
      <w:r>
        <w:rPr>
          <w:spacing w:val="-28"/>
          <w:sz w:val="21"/>
        </w:rPr>
        <w:t>的 </w:t>
      </w:r>
      <w:r>
        <w:rPr>
          <w:rFonts w:ascii="Times New Roman" w:eastAsia="Times New Roman"/>
          <w:sz w:val="21"/>
        </w:rPr>
        <w:t>10%</w:t>
      </w:r>
      <w:r>
        <w:rPr>
          <w:sz w:val="21"/>
        </w:rPr>
        <w:t>。</w:t>
      </w:r>
    </w:p>
    <w:p>
      <w:pPr>
        <w:pStyle w:val="ListParagraph"/>
        <w:numPr>
          <w:ilvl w:val="0"/>
          <w:numId w:val="55"/>
        </w:numPr>
        <w:tabs>
          <w:tab w:pos="1279" w:val="left" w:leader="none"/>
        </w:tabs>
        <w:spacing w:line="269" w:lineRule="exact" w:before="0" w:after="0"/>
        <w:ind w:left="1278" w:right="0" w:hanging="319"/>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55"/>
        </w:numPr>
        <w:tabs>
          <w:tab w:pos="1384" w:val="left" w:leader="none"/>
        </w:tabs>
        <w:spacing w:line="417" w:lineRule="auto" w:before="1" w:after="0"/>
        <w:ind w:left="540" w:right="311" w:firstLine="419"/>
        <w:jc w:val="both"/>
        <w:rPr>
          <w:sz w:val="21"/>
        </w:rPr>
      </w:pPr>
      <w:r>
        <w:rPr>
          <w:spacing w:val="-6"/>
          <w:sz w:val="21"/>
        </w:rPr>
        <w:t>本基金持有的同一</w:t>
      </w:r>
      <w:r>
        <w:rPr>
          <w:spacing w:val="-3"/>
          <w:sz w:val="21"/>
        </w:rPr>
        <w:t>（指同一信用级别</w:t>
      </w:r>
      <w:r>
        <w:rPr>
          <w:spacing w:val="-25"/>
          <w:sz w:val="21"/>
        </w:rPr>
        <w:t>）</w:t>
      </w:r>
      <w:r>
        <w:rPr>
          <w:spacing w:val="-6"/>
          <w:sz w:val="21"/>
        </w:rPr>
        <w:t>资产支持证券的比例，不得超过该资产支 </w:t>
      </w:r>
      <w:r>
        <w:rPr>
          <w:spacing w:val="-12"/>
          <w:sz w:val="21"/>
        </w:rPr>
        <w:t>持证券规模的 </w:t>
      </w:r>
      <w:r>
        <w:rPr>
          <w:rFonts w:ascii="Times New Roman" w:eastAsia="Times New Roman"/>
          <w:sz w:val="21"/>
        </w:rPr>
        <w:t>10%</w:t>
      </w:r>
      <w:r>
        <w:rPr>
          <w:sz w:val="21"/>
        </w:rPr>
        <w:t>。</w:t>
      </w:r>
    </w:p>
    <w:p>
      <w:pPr>
        <w:pStyle w:val="ListParagraph"/>
        <w:numPr>
          <w:ilvl w:val="0"/>
          <w:numId w:val="55"/>
        </w:numPr>
        <w:tabs>
          <w:tab w:pos="1377" w:val="left" w:leader="none"/>
        </w:tabs>
        <w:spacing w:line="417" w:lineRule="auto" w:before="0" w:after="0"/>
        <w:ind w:left="540" w:right="311" w:firstLine="419"/>
        <w:jc w:val="both"/>
        <w:rPr>
          <w:sz w:val="21"/>
        </w:rPr>
      </w:pPr>
      <w:r>
        <w:rPr>
          <w:spacing w:val="-3"/>
          <w:sz w:val="21"/>
        </w:rPr>
        <w:t>本基金管理人管理且由本基金托管人托管的全部基金投资于同一原始权益人的各</w:t>
      </w:r>
      <w:r>
        <w:rPr>
          <w:spacing w:val="-5"/>
          <w:sz w:val="21"/>
        </w:rPr>
        <w:t>类资产支持证券，不得超过其各类资产支持证券合计规模的 </w:t>
      </w:r>
      <w:r>
        <w:rPr>
          <w:rFonts w:ascii="Times New Roman" w:eastAsia="Times New Roman"/>
          <w:sz w:val="21"/>
        </w:rPr>
        <w:t>10%</w:t>
      </w:r>
      <w:r>
        <w:rPr>
          <w:sz w:val="21"/>
        </w:rPr>
        <w:t>。</w:t>
      </w:r>
    </w:p>
    <w:p>
      <w:pPr>
        <w:pStyle w:val="ListParagraph"/>
        <w:numPr>
          <w:ilvl w:val="0"/>
          <w:numId w:val="55"/>
        </w:numPr>
        <w:tabs>
          <w:tab w:pos="1384" w:val="left" w:leader="none"/>
        </w:tabs>
        <w:spacing w:line="417" w:lineRule="auto" w:before="0" w:after="0"/>
        <w:ind w:left="540" w:right="31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14"/>
          <w:sz w:val="21"/>
        </w:rPr>
        <w:t> </w:t>
      </w:r>
      <w:r>
        <w:rPr>
          <w:spacing w:val="-7"/>
          <w:sz w:val="21"/>
        </w:rPr>
        <w:t>以上</w:t>
      </w:r>
      <w:r>
        <w:rPr>
          <w:spacing w:val="-3"/>
          <w:sz w:val="21"/>
        </w:rPr>
        <w:t>（</w:t>
      </w:r>
      <w:r>
        <w:rPr>
          <w:spacing w:val="-20"/>
          <w:sz w:val="21"/>
        </w:rPr>
        <w:t>含 </w:t>
      </w:r>
      <w:r>
        <w:rPr>
          <w:rFonts w:ascii="Times New Roman" w:eastAsia="Times New Roman"/>
          <w:spacing w:val="-5"/>
          <w:sz w:val="21"/>
        </w:rPr>
        <w:t>BBB</w:t>
      </w:r>
      <w:r>
        <w:rPr>
          <w:spacing w:val="-5"/>
          <w:sz w:val="21"/>
        </w:rPr>
        <w:t>）</w:t>
      </w:r>
      <w:r>
        <w:rPr>
          <w:spacing w:val="-4"/>
          <w:sz w:val="21"/>
        </w:rPr>
        <w:t>的资产支持证券。基金持有</w:t>
      </w:r>
      <w:r>
        <w:rPr>
          <w:spacing w:val="-8"/>
          <w:sz w:val="21"/>
        </w:rPr>
        <w:t>资产支持证券期间，如果其信用等级下降、不再符合投资标准，应在评级报告发布之日起 </w:t>
      </w:r>
      <w:r>
        <w:rPr>
          <w:rFonts w:ascii="Times New Roman" w:eastAsia="Times New Roman"/>
          <w:sz w:val="21"/>
        </w:rPr>
        <w:t>3 </w:t>
      </w:r>
      <w:r>
        <w:rPr>
          <w:spacing w:val="-3"/>
          <w:sz w:val="21"/>
        </w:rPr>
        <w:t>个月内予以全部卖出。</w:t>
      </w:r>
    </w:p>
    <w:p>
      <w:pPr>
        <w:pStyle w:val="ListParagraph"/>
        <w:numPr>
          <w:ilvl w:val="0"/>
          <w:numId w:val="55"/>
        </w:numPr>
        <w:tabs>
          <w:tab w:pos="1384" w:val="left" w:leader="none"/>
        </w:tabs>
        <w:spacing w:line="417" w:lineRule="auto" w:before="0" w:after="0"/>
        <w:ind w:left="540" w:right="311" w:firstLine="419"/>
        <w:jc w:val="left"/>
        <w:rPr>
          <w:sz w:val="21"/>
        </w:rPr>
      </w:pPr>
      <w:r>
        <w:rPr>
          <w:spacing w:val="-7"/>
          <w:sz w:val="21"/>
        </w:rPr>
        <w:t>基金财产参与股票发行申购，本基金所申报的金额不超过本基金的总资产，本基 </w:t>
      </w:r>
      <w:r>
        <w:rPr>
          <w:spacing w:val="-3"/>
          <w:sz w:val="21"/>
        </w:rPr>
        <w:t>金所申报的股票数量不超过拟发行股票公司本次发行股票的总量。</w:t>
      </w:r>
    </w:p>
    <w:p>
      <w:pPr>
        <w:pStyle w:val="ListParagraph"/>
        <w:numPr>
          <w:ilvl w:val="0"/>
          <w:numId w:val="55"/>
        </w:numPr>
        <w:tabs>
          <w:tab w:pos="1384" w:val="left" w:leader="none"/>
        </w:tabs>
        <w:spacing w:line="240" w:lineRule="auto" w:before="0" w:after="0"/>
        <w:ind w:left="1383" w:right="0" w:hanging="424"/>
        <w:jc w:val="left"/>
        <w:rPr>
          <w:sz w:val="21"/>
        </w:rPr>
      </w:pPr>
      <w:r>
        <w:rPr>
          <w:spacing w:val="-3"/>
          <w:sz w:val="21"/>
        </w:rPr>
        <w:t>本基金进入全国银行间同业市场进行债券回购的资金余额不得超过基金资产净值的</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rFonts w:ascii="Times New Roman" w:eastAsia="Times New Roman"/>
        </w:rPr>
        <w:t>40%</w:t>
      </w:r>
      <w:r>
        <w:rPr/>
        <w:t>。</w:t>
      </w:r>
    </w:p>
    <w:p>
      <w:pPr>
        <w:pStyle w:val="BodyText"/>
        <w:spacing w:before="6"/>
        <w:rPr>
          <w:sz w:val="15"/>
        </w:rPr>
      </w:pPr>
    </w:p>
    <w:p>
      <w:pPr>
        <w:pStyle w:val="ListParagraph"/>
        <w:numPr>
          <w:ilvl w:val="0"/>
          <w:numId w:val="55"/>
        </w:numPr>
        <w:tabs>
          <w:tab w:pos="1384" w:val="left" w:leader="none"/>
        </w:tabs>
        <w:spacing w:line="240" w:lineRule="auto" w:before="0" w:after="0"/>
        <w:ind w:left="1383" w:right="0" w:hanging="424"/>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55"/>
        </w:numPr>
        <w:tabs>
          <w:tab w:pos="1384" w:val="left" w:leader="none"/>
        </w:tabs>
        <w:spacing w:line="240" w:lineRule="auto" w:before="0" w:after="0"/>
        <w:ind w:left="1383" w:right="0" w:hanging="424"/>
        <w:jc w:val="left"/>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55"/>
        </w:numPr>
        <w:tabs>
          <w:tab w:pos="1384" w:val="left" w:leader="none"/>
        </w:tabs>
        <w:spacing w:line="240" w:lineRule="auto" w:before="0" w:after="0"/>
        <w:ind w:left="1383" w:right="0" w:hanging="424"/>
        <w:jc w:val="left"/>
        <w:rPr>
          <w:sz w:val="21"/>
        </w:rPr>
      </w:pPr>
      <w:r>
        <w:rPr>
          <w:spacing w:val="-8"/>
          <w:sz w:val="21"/>
        </w:rPr>
        <w:t>基金在任何交易日日终，持有的买入股指期货合约价值，不得超过基金资产净值的</w:t>
      </w:r>
    </w:p>
    <w:p>
      <w:pPr>
        <w:pStyle w:val="BodyText"/>
        <w:spacing w:before="7"/>
        <w:rPr>
          <w:sz w:val="15"/>
        </w:rPr>
      </w:pPr>
    </w:p>
    <w:p>
      <w:pPr>
        <w:pStyle w:val="BodyText"/>
        <w:spacing w:line="417" w:lineRule="auto"/>
        <w:ind w:left="540" w:right="313"/>
        <w:jc w:val="both"/>
      </w:pPr>
      <w:r>
        <w:rPr>
          <w:rFonts w:ascii="Times New Roman" w:eastAsia="Times New Roman"/>
          <w:spacing w:val="-9"/>
        </w:rPr>
        <w:t>10%</w:t>
      </w:r>
      <w:r>
        <w:rPr>
          <w:spacing w:val="-6"/>
        </w:rPr>
        <w:t>；本基金在任何交易日日终，持有的卖出股指期货合约价值不得超过基金持有的股票总</w:t>
      </w:r>
      <w:r>
        <w:rPr>
          <w:spacing w:val="5"/>
        </w:rPr>
        <w:t>市值的 </w:t>
      </w:r>
      <w:r>
        <w:rPr>
          <w:rFonts w:ascii="Times New Roman" w:eastAsia="Times New Roman"/>
        </w:rPr>
        <w:t>20%</w:t>
      </w:r>
      <w:r>
        <w:rPr/>
        <w:t>；基金在任何交易日内交易（不包括平仓）</w:t>
      </w:r>
      <w:r>
        <w:rPr>
          <w:spacing w:val="-1"/>
        </w:rPr>
        <w:t>的股指期货合约的成交金额不得超</w:t>
      </w:r>
      <w:r>
        <w:rPr>
          <w:spacing w:val="-7"/>
        </w:rPr>
        <w:t>过上一交易日基金资产净值的 </w:t>
      </w:r>
      <w:r>
        <w:rPr>
          <w:rFonts w:ascii="Times New Roman" w:eastAsia="Times New Roman"/>
        </w:rPr>
        <w:t>20%</w:t>
      </w:r>
      <w:r>
        <w:rPr/>
        <w:t>。</w:t>
      </w:r>
    </w:p>
    <w:p>
      <w:pPr>
        <w:pStyle w:val="ListParagraph"/>
        <w:numPr>
          <w:ilvl w:val="0"/>
          <w:numId w:val="55"/>
        </w:numPr>
        <w:tabs>
          <w:tab w:pos="1384" w:val="left" w:leader="none"/>
        </w:tabs>
        <w:spacing w:line="240" w:lineRule="auto" w:before="0" w:after="0"/>
        <w:ind w:left="1383" w:right="0" w:hanging="424"/>
        <w:jc w:val="left"/>
        <w:rPr>
          <w:sz w:val="21"/>
        </w:rPr>
      </w:pPr>
      <w:r>
        <w:rPr>
          <w:spacing w:val="-8"/>
          <w:sz w:val="21"/>
        </w:rPr>
        <w:t>基金在任何交易日日终，持有的买入国债期货合约价值，不得超过基金资产净值的</w:t>
      </w:r>
    </w:p>
    <w:p>
      <w:pPr>
        <w:pStyle w:val="BodyText"/>
        <w:spacing w:before="6"/>
        <w:rPr>
          <w:sz w:val="15"/>
        </w:rPr>
      </w:pPr>
    </w:p>
    <w:p>
      <w:pPr>
        <w:pStyle w:val="BodyText"/>
        <w:spacing w:line="417" w:lineRule="auto" w:before="1"/>
        <w:ind w:left="540" w:right="313"/>
        <w:jc w:val="both"/>
      </w:pPr>
      <w:r>
        <w:rPr>
          <w:rFonts w:ascii="Times New Roman" w:eastAsia="Times New Roman"/>
          <w:spacing w:val="-9"/>
        </w:rPr>
        <w:t>15%</w:t>
      </w:r>
      <w:r>
        <w:rPr>
          <w:spacing w:val="-7"/>
        </w:rPr>
        <w:t>；基金在任何交易日日终，持有的卖出国债期货合约价值不得超过基金持有的债券总市</w:t>
      </w:r>
      <w:r>
        <w:rPr>
          <w:spacing w:val="7"/>
        </w:rPr>
        <w:t>值的 </w:t>
      </w:r>
      <w:r>
        <w:rPr>
          <w:rFonts w:ascii="Times New Roman" w:eastAsia="Times New Roman"/>
        </w:rPr>
        <w:t>30%</w:t>
      </w:r>
      <w:r>
        <w:rPr/>
        <w:t>；基金在任何交易日内交易（不包括平仓）</w:t>
      </w:r>
      <w:r>
        <w:rPr>
          <w:spacing w:val="-1"/>
        </w:rPr>
        <w:t>的国债期货合约的成交金额不得超过</w:t>
      </w:r>
      <w:r>
        <w:rPr>
          <w:spacing w:val="-7"/>
        </w:rPr>
        <w:t>上一交易日基金资产净值的 </w:t>
      </w:r>
      <w:r>
        <w:rPr>
          <w:rFonts w:ascii="Times New Roman" w:eastAsia="Times New Roman"/>
        </w:rPr>
        <w:t>30%</w:t>
      </w:r>
      <w:r>
        <w:rPr/>
        <w:t>。</w:t>
      </w:r>
    </w:p>
    <w:p>
      <w:pPr>
        <w:pStyle w:val="ListParagraph"/>
        <w:numPr>
          <w:ilvl w:val="0"/>
          <w:numId w:val="55"/>
        </w:numPr>
        <w:tabs>
          <w:tab w:pos="1384" w:val="left" w:leader="none"/>
        </w:tabs>
        <w:spacing w:line="417" w:lineRule="auto" w:before="0" w:after="0"/>
        <w:ind w:left="540" w:right="311" w:firstLine="419"/>
        <w:jc w:val="both"/>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w:t>
      </w:r>
      <w:r>
        <w:rPr>
          <w:spacing w:val="-7"/>
          <w:sz w:val="21"/>
        </w:rPr>
        <w:t>所需的全额现金或交易所规则认可的可冲抵期权保证金的现金等价物；未平仓的期权合约面值不得超过基金资产净值的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5"/>
        </w:numPr>
        <w:tabs>
          <w:tab w:pos="1384" w:val="left" w:leader="none"/>
        </w:tabs>
        <w:spacing w:line="417" w:lineRule="auto" w:before="0" w:after="0"/>
        <w:ind w:left="540" w:right="311" w:firstLine="419"/>
        <w:jc w:val="both"/>
        <w:rPr>
          <w:sz w:val="21"/>
        </w:rPr>
      </w:pPr>
      <w:r>
        <w:rPr>
          <w:spacing w:val="-5"/>
          <w:sz w:val="21"/>
        </w:rPr>
        <w:t>本基金管理人管理的全部开放式基金持有一家上市公司发行的可流通股票，不得 </w:t>
      </w:r>
      <w:r>
        <w:rPr>
          <w:spacing w:val="-8"/>
          <w:sz w:val="21"/>
        </w:rPr>
        <w:t>超过该上市公司可流通股票的 </w:t>
      </w:r>
      <w:r>
        <w:rPr>
          <w:rFonts w:ascii="Times New Roman" w:eastAsia="Times New Roman"/>
          <w:sz w:val="21"/>
        </w:rPr>
        <w:t>15%</w:t>
      </w:r>
      <w:r>
        <w:rPr>
          <w:sz w:val="21"/>
        </w:rPr>
        <w:t>。</w:t>
      </w:r>
    </w:p>
    <w:p>
      <w:pPr>
        <w:pStyle w:val="ListParagraph"/>
        <w:numPr>
          <w:ilvl w:val="0"/>
          <w:numId w:val="55"/>
        </w:numPr>
        <w:tabs>
          <w:tab w:pos="1384" w:val="left" w:leader="none"/>
        </w:tabs>
        <w:spacing w:line="417" w:lineRule="auto" w:before="0" w:after="0"/>
        <w:ind w:left="540" w:right="311" w:firstLine="419"/>
        <w:jc w:val="both"/>
        <w:rPr>
          <w:sz w:val="21"/>
        </w:rPr>
      </w:pPr>
      <w:r>
        <w:rPr>
          <w:spacing w:val="-5"/>
          <w:sz w:val="21"/>
        </w:rPr>
        <w:t>本基金管理人管理的全部投资组合持有一家上市公司发行的可流通股票，不得超 </w:t>
      </w:r>
      <w:r>
        <w:rPr>
          <w:spacing w:val="-8"/>
          <w:sz w:val="21"/>
        </w:rPr>
        <w:t>过该上市公司可流通股票的 </w:t>
      </w:r>
      <w:r>
        <w:rPr>
          <w:rFonts w:ascii="Times New Roman" w:eastAsia="Times New Roman"/>
          <w:sz w:val="21"/>
        </w:rPr>
        <w:t>30%</w:t>
      </w:r>
      <w:r>
        <w:rPr>
          <w:sz w:val="21"/>
        </w:rPr>
        <w:t>。</w:t>
      </w:r>
    </w:p>
    <w:p>
      <w:pPr>
        <w:pStyle w:val="ListParagraph"/>
        <w:numPr>
          <w:ilvl w:val="0"/>
          <w:numId w:val="55"/>
        </w:numPr>
        <w:tabs>
          <w:tab w:pos="1384" w:val="left" w:leader="none"/>
        </w:tabs>
        <w:spacing w:line="417" w:lineRule="auto" w:before="0" w:after="0"/>
        <w:ind w:left="540" w:right="311" w:firstLine="419"/>
        <w:jc w:val="both"/>
        <w:rPr>
          <w:sz w:val="21"/>
        </w:rPr>
      </w:pPr>
      <w:r>
        <w:rPr>
          <w:spacing w:val="1"/>
          <w:sz w:val="21"/>
        </w:rPr>
        <w:t>本基金主动投资于流动性受限资产的市值合计不得超过本基金资产净值的 </w:t>
      </w:r>
      <w:r>
        <w:rPr>
          <w:rFonts w:ascii="Times New Roman" w:eastAsia="Times New Roman"/>
          <w:sz w:val="21"/>
        </w:rPr>
        <w:t>15%</w:t>
      </w:r>
      <w:r>
        <w:rPr>
          <w:spacing w:val="-16"/>
          <w:sz w:val="21"/>
        </w:rPr>
        <w:t>。</w:t>
      </w:r>
      <w:r>
        <w:rPr>
          <w:spacing w:val="-12"/>
          <w:sz w:val="21"/>
        </w:rPr>
        <w:t>因证券市场波动、上市公司股票停牌、基金规模变动等基金管理人之外的因素致使基金不符</w:t>
      </w:r>
      <w:r>
        <w:rPr>
          <w:spacing w:val="-6"/>
          <w:sz w:val="21"/>
        </w:rPr>
        <w:t>合前述所规定比例限制的，基金管理人不得主动新增流动性受限资产的投资。</w:t>
      </w:r>
    </w:p>
    <w:p>
      <w:pPr>
        <w:pStyle w:val="ListParagraph"/>
        <w:numPr>
          <w:ilvl w:val="0"/>
          <w:numId w:val="55"/>
        </w:numPr>
        <w:tabs>
          <w:tab w:pos="1384" w:val="left" w:leader="none"/>
        </w:tabs>
        <w:spacing w:line="417" w:lineRule="auto" w:before="0"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5"/>
        </w:numPr>
        <w:tabs>
          <w:tab w:pos="1384" w:val="left" w:leader="none"/>
        </w:tabs>
        <w:spacing w:line="417" w:lineRule="auto" w:before="0" w:after="0"/>
        <w:ind w:left="540" w:right="311" w:firstLine="419"/>
        <w:jc w:val="left"/>
        <w:rPr>
          <w:sz w:val="21"/>
        </w:rPr>
      </w:pPr>
      <w:r>
        <w:rPr>
          <w:spacing w:val="-5"/>
          <w:sz w:val="21"/>
        </w:rPr>
        <w:t>本基金投资存托凭证的比例限制依照境内上市交易的股票执行，与境内上市交易 </w:t>
      </w:r>
      <w:r>
        <w:rPr>
          <w:spacing w:val="-4"/>
          <w:sz w:val="21"/>
        </w:rPr>
        <w:t>的股票合并计算。</w:t>
      </w:r>
    </w:p>
    <w:p>
      <w:pPr>
        <w:pStyle w:val="BodyText"/>
        <w:spacing w:line="417" w:lineRule="auto"/>
        <w:ind w:left="540" w:right="311" w:firstLine="419"/>
      </w:pPr>
      <w:r>
        <w:rPr>
          <w:spacing w:val="-9"/>
        </w:rPr>
        <w:t>《基金法》及其他有关法律法规或监管部门取消上述限制的，履行适当程序后，基金不</w:t>
      </w:r>
      <w:r>
        <w:rPr>
          <w:spacing w:val="-5"/>
        </w:rPr>
        <w:t>受上述限制。</w:t>
      </w:r>
    </w:p>
    <w:p>
      <w:pPr>
        <w:pStyle w:val="ListParagraph"/>
        <w:numPr>
          <w:ilvl w:val="0"/>
          <w:numId w:val="54"/>
        </w:numPr>
        <w:tabs>
          <w:tab w:pos="1490" w:val="left" w:leader="none"/>
        </w:tabs>
        <w:spacing w:line="240" w:lineRule="auto" w:before="0" w:after="0"/>
        <w:ind w:left="1489" w:right="0" w:hanging="530"/>
        <w:jc w:val="left"/>
        <w:rPr>
          <w:sz w:val="21"/>
        </w:rPr>
      </w:pPr>
      <w:r>
        <w:rPr>
          <w:spacing w:val="-3"/>
          <w:sz w:val="21"/>
        </w:rPr>
        <w:t>法规允许的基金投资比例调整期限</w:t>
      </w:r>
    </w:p>
    <w:p>
      <w:pPr>
        <w:pStyle w:val="BodyText"/>
        <w:spacing w:before="197"/>
        <w:ind w:left="960"/>
      </w:pPr>
      <w:r>
        <w:rPr/>
        <w:t>基金管理人应当自基金合同生效之日起 </w:t>
      </w:r>
      <w:r>
        <w:rPr>
          <w:rFonts w:ascii="Times New Roman" w:eastAsia="Times New Roman"/>
        </w:rPr>
        <w:t>6 </w:t>
      </w:r>
      <w:r>
        <w:rPr/>
        <w:t>个月内使基金的投资组合比例符合上述的约</w:t>
      </w:r>
    </w:p>
    <w:p>
      <w:pPr>
        <w:spacing w:after="0"/>
        <w:sectPr>
          <w:pgSz w:w="11910" w:h="16840"/>
          <w:pgMar w:header="877" w:footer="995" w:top="1420" w:bottom="1180" w:left="1260" w:right="1480"/>
        </w:sectPr>
      </w:pPr>
    </w:p>
    <w:p>
      <w:pPr>
        <w:pStyle w:val="BodyText"/>
        <w:spacing w:before="110"/>
        <w:ind w:left="540"/>
      </w:pPr>
      <w:r>
        <w:rPr/>
        <w:t>定。</w:t>
      </w:r>
    </w:p>
    <w:p>
      <w:pPr>
        <w:pStyle w:val="BodyText"/>
        <w:spacing w:before="6"/>
        <w:rPr>
          <w:sz w:val="15"/>
        </w:rPr>
      </w:pPr>
    </w:p>
    <w:p>
      <w:pPr>
        <w:pStyle w:val="BodyText"/>
        <w:spacing w:line="417" w:lineRule="auto"/>
        <w:ind w:left="540" w:right="311" w:firstLine="419"/>
        <w:jc w:val="both"/>
      </w:pPr>
      <w:r>
        <w:rPr>
          <w:spacing w:val="1"/>
          <w:w w:val="100"/>
        </w:rPr>
        <w:t>除第</w:t>
      </w:r>
      <w:r>
        <w:rPr>
          <w:spacing w:val="1"/>
        </w:rPr>
        <w:t> </w:t>
      </w:r>
      <w:r>
        <w:rPr>
          <w:rFonts w:ascii="Times New Roman" w:eastAsia="Times New Roman"/>
          <w:w w:val="100"/>
        </w:rPr>
        <w:t>2</w:t>
      </w:r>
      <w:r>
        <w:rPr>
          <w:spacing w:val="-106"/>
          <w:w w:val="100"/>
        </w:rPr>
        <w:t>）</w:t>
      </w:r>
      <w:r>
        <w:rPr>
          <w:spacing w:val="2"/>
          <w:w w:val="100"/>
        </w:rPr>
        <w:t>、</w:t>
      </w:r>
      <w:r>
        <w:rPr>
          <w:rFonts w:ascii="Times New Roman" w:eastAsia="Times New Roman"/>
          <w:w w:val="100"/>
        </w:rPr>
        <w:t>12</w:t>
      </w:r>
      <w:r>
        <w:rPr>
          <w:rFonts w:ascii="Times New Roman" w:eastAsia="Times New Roman"/>
          <w:spacing w:val="-1"/>
          <w:w w:val="100"/>
        </w:rPr>
        <w:t>)</w:t>
      </w:r>
      <w:r>
        <w:rPr>
          <w:w w:val="100"/>
        </w:rPr>
        <w:t>、</w:t>
      </w:r>
      <w:r>
        <w:rPr>
          <w:rFonts w:ascii="Times New Roman" w:eastAsia="Times New Roman"/>
          <w:w w:val="100"/>
        </w:rPr>
        <w:t>22</w:t>
      </w:r>
      <w:r>
        <w:rPr>
          <w:spacing w:val="-106"/>
          <w:w w:val="100"/>
        </w:rPr>
        <w:t>）</w:t>
      </w:r>
      <w:r>
        <w:rPr>
          <w:spacing w:val="2"/>
          <w:w w:val="100"/>
        </w:rPr>
        <w:t>、</w:t>
      </w:r>
      <w:r>
        <w:rPr>
          <w:rFonts w:ascii="Times New Roman" w:eastAsia="Times New Roman"/>
          <w:spacing w:val="-3"/>
          <w:w w:val="100"/>
        </w:rPr>
        <w:t>2</w:t>
      </w:r>
      <w:r>
        <w:rPr>
          <w:rFonts w:ascii="Times New Roman" w:eastAsia="Times New Roman"/>
          <w:w w:val="100"/>
        </w:rPr>
        <w:t>3</w:t>
      </w:r>
      <w:r>
        <w:rPr>
          <w:w w:val="100"/>
        </w:rPr>
        <w:t>）项另有约定外，由于证券、期货市场波动、上市公司合并或</w:t>
      </w:r>
      <w:r>
        <w:rPr>
          <w:spacing w:val="-6"/>
        </w:rPr>
        <w:t>基金规模变动等基金管理人之外的原因导致的投资组合不符合上述约定的比例，不在限制之</w:t>
      </w:r>
      <w:r>
        <w:rPr>
          <w:spacing w:val="-7"/>
        </w:rPr>
        <w:t>内，但基金管理人应在 </w:t>
      </w:r>
      <w:r>
        <w:rPr>
          <w:rFonts w:ascii="Times New Roman" w:eastAsia="Times New Roman"/>
        </w:rPr>
        <w:t>10 </w:t>
      </w:r>
      <w:r>
        <w:rPr>
          <w:spacing w:val="-3"/>
        </w:rPr>
        <w:t>个交易日内进行调整，以达到规定的投资比例限制要求。法律法规另有规定的从其规定。</w:t>
      </w:r>
    </w:p>
    <w:p>
      <w:pPr>
        <w:pStyle w:val="BodyText"/>
        <w:spacing w:line="417" w:lineRule="auto"/>
        <w:ind w:left="540" w:right="311" w:firstLine="419"/>
        <w:jc w:val="both"/>
      </w:pPr>
      <w:r>
        <w:rPr>
          <w:spacing w:val="-8"/>
        </w:rPr>
        <w:t>基金管理人应在出现可预见资产规模大幅变动的情况下，至少提前 </w:t>
      </w:r>
      <w:r>
        <w:rPr>
          <w:rFonts w:ascii="Times New Roman" w:eastAsia="Times New Roman"/>
        </w:rPr>
        <w:t>2 </w:t>
      </w:r>
      <w:r>
        <w:rPr>
          <w:spacing w:val="-3"/>
        </w:rPr>
        <w:t>个工作日正式向基金托管人发函说明基金可能变动规模和公司应对措施，便于托管人实施交易监督。</w:t>
      </w:r>
    </w:p>
    <w:p>
      <w:pPr>
        <w:pStyle w:val="BodyText"/>
        <w:spacing w:line="417" w:lineRule="auto"/>
        <w:ind w:left="540" w:right="311" w:firstLine="419"/>
      </w:pPr>
      <w:r>
        <w:rPr>
          <w:spacing w:val="-10"/>
        </w:rPr>
        <w:t>除投资资产配置外，基金托管人对基金投资的监督和检查自《基金合同》生效之日起开始。</w:t>
      </w:r>
    </w:p>
    <w:p>
      <w:pPr>
        <w:pStyle w:val="BodyText"/>
        <w:spacing w:line="417" w:lineRule="auto"/>
        <w:ind w:left="540" w:right="314" w:firstLine="419"/>
      </w:pPr>
      <w:r>
        <w:rPr>
          <w:rFonts w:ascii="Times New Roman" w:eastAsia="Times New Roman"/>
        </w:rPr>
        <w:t>3</w:t>
      </w:r>
      <w:r>
        <w:rPr/>
        <w:t>、基金托管人根据有关法律法规的规定及《基金合同》的约定对下述基金投资禁止行为进行监督：</w:t>
      </w:r>
    </w:p>
    <w:p>
      <w:pPr>
        <w:pStyle w:val="BodyText"/>
        <w:spacing w:line="269" w:lineRule="exact"/>
        <w:ind w:left="960"/>
      </w:pPr>
      <w:r>
        <w:rPr/>
        <w:t>根据法律法规的规定及《基金合同》的约定，本基金禁止从事下列行为：</w:t>
      </w:r>
    </w:p>
    <w:p>
      <w:pPr>
        <w:pStyle w:val="BodyText"/>
        <w:spacing w:before="6"/>
        <w:rPr>
          <w:sz w:val="15"/>
        </w:rPr>
      </w:pPr>
    </w:p>
    <w:p>
      <w:pPr>
        <w:pStyle w:val="ListParagraph"/>
        <w:numPr>
          <w:ilvl w:val="0"/>
          <w:numId w:val="56"/>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56"/>
        </w:numPr>
        <w:tabs>
          <w:tab w:pos="1490" w:val="left" w:leader="none"/>
        </w:tabs>
        <w:spacing w:line="240" w:lineRule="auto" w:before="0" w:after="0"/>
        <w:ind w:left="1489" w:right="0" w:hanging="530"/>
        <w:jc w:val="left"/>
        <w:rPr>
          <w:sz w:val="21"/>
        </w:rPr>
      </w:pPr>
      <w:r>
        <w:rPr>
          <w:spacing w:val="-3"/>
          <w:sz w:val="21"/>
        </w:rPr>
        <w:t>违反规定向他人贷款或提供担保。</w:t>
      </w:r>
    </w:p>
    <w:p>
      <w:pPr>
        <w:pStyle w:val="BodyText"/>
        <w:spacing w:before="7"/>
        <w:rPr>
          <w:sz w:val="15"/>
        </w:rPr>
      </w:pPr>
    </w:p>
    <w:p>
      <w:pPr>
        <w:pStyle w:val="ListParagraph"/>
        <w:numPr>
          <w:ilvl w:val="0"/>
          <w:numId w:val="56"/>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56"/>
        </w:numPr>
        <w:tabs>
          <w:tab w:pos="1490" w:val="left" w:leader="none"/>
        </w:tabs>
        <w:spacing w:line="240" w:lineRule="auto" w:before="0" w:after="0"/>
        <w:ind w:left="1489" w:right="0" w:hanging="530"/>
        <w:jc w:val="left"/>
        <w:rPr>
          <w:sz w:val="21"/>
        </w:rPr>
      </w:pPr>
      <w:r>
        <w:rPr>
          <w:spacing w:val="-3"/>
          <w:sz w:val="21"/>
        </w:rPr>
        <w:t>向基金管理人、基金托管人出资。</w:t>
      </w:r>
    </w:p>
    <w:p>
      <w:pPr>
        <w:pStyle w:val="BodyText"/>
        <w:spacing w:before="7"/>
        <w:rPr>
          <w:sz w:val="15"/>
        </w:rPr>
      </w:pPr>
    </w:p>
    <w:p>
      <w:pPr>
        <w:pStyle w:val="ListParagraph"/>
        <w:numPr>
          <w:ilvl w:val="0"/>
          <w:numId w:val="56"/>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56"/>
        </w:numPr>
        <w:tabs>
          <w:tab w:pos="1490" w:val="left" w:leader="none"/>
        </w:tabs>
        <w:spacing w:line="240" w:lineRule="auto" w:before="1" w:after="0"/>
        <w:ind w:left="1489" w:right="0" w:hanging="530"/>
        <w:jc w:val="left"/>
        <w:rPr>
          <w:sz w:val="21"/>
        </w:rPr>
      </w:pPr>
      <w:r>
        <w:rPr>
          <w:spacing w:val="-3"/>
          <w:sz w:val="21"/>
        </w:rPr>
        <w:t>法律、行政法规和国务院证券监督管理机构规定禁止的其他活动。</w:t>
      </w:r>
    </w:p>
    <w:p>
      <w:pPr>
        <w:pStyle w:val="BodyText"/>
        <w:spacing w:before="6"/>
        <w:rPr>
          <w:sz w:val="15"/>
        </w:rPr>
      </w:pPr>
    </w:p>
    <w:p>
      <w:pPr>
        <w:pStyle w:val="BodyText"/>
        <w:spacing w:line="417" w:lineRule="auto"/>
        <w:ind w:left="540" w:right="311" w:firstLine="419"/>
      </w:pPr>
      <w:r>
        <w:rPr>
          <w:spacing w:val="-8"/>
        </w:rPr>
        <w:t>如法律法规或监管部门修改或取消上述禁止性规定，基金管理人在履行适当程序后可相</w:t>
      </w:r>
      <w:r>
        <w:rPr>
          <w:spacing w:val="-5"/>
        </w:rPr>
        <w:t>应调整投资禁止行为的规定，不受上述规定的限制。</w:t>
      </w:r>
    </w:p>
    <w:p>
      <w:pPr>
        <w:pStyle w:val="BodyText"/>
        <w:spacing w:line="417" w:lineRule="auto"/>
        <w:ind w:left="540" w:right="314" w:firstLine="419"/>
      </w:pPr>
      <w:r>
        <w:rPr>
          <w:rFonts w:ascii="Times New Roman" w:eastAsia="Times New Roman"/>
        </w:rPr>
        <w:t>4</w:t>
      </w:r>
      <w:r>
        <w:rPr/>
        <w:t>、基金托管人依据有关法律法规的规定和《基金合同》的约定对基金管理人参与银行间债券市场进行监督。</w:t>
      </w:r>
    </w:p>
    <w:p>
      <w:pPr>
        <w:pStyle w:val="ListParagraph"/>
        <w:numPr>
          <w:ilvl w:val="0"/>
          <w:numId w:val="57"/>
        </w:numPr>
        <w:tabs>
          <w:tab w:pos="1490" w:val="left" w:leader="none"/>
        </w:tabs>
        <w:spacing w:line="417" w:lineRule="auto" w:before="0" w:after="0"/>
        <w:ind w:left="540" w:right="314" w:firstLine="419"/>
        <w:jc w:val="left"/>
        <w:rPr>
          <w:sz w:val="21"/>
        </w:rPr>
      </w:pPr>
      <w:r>
        <w:rPr>
          <w:spacing w:val="-3"/>
          <w:sz w:val="21"/>
        </w:rPr>
        <w:t>基金托管人按以下方式对基金管理人参与银行间市场交易的交易对手资信风险控制措施进行监督。</w:t>
      </w:r>
    </w:p>
    <w:p>
      <w:pPr>
        <w:pStyle w:val="BodyText"/>
        <w:spacing w:line="417" w:lineRule="auto"/>
        <w:ind w:left="540" w:right="208" w:firstLine="419"/>
      </w:pPr>
      <w:r>
        <w:rPr>
          <w:spacing w:val="-3"/>
        </w:rPr>
        <w:t>基金管理人向基金托管人提供符合法律法规及行业标准的银行间市场交易对手的名单， </w:t>
      </w:r>
      <w:r>
        <w:rPr>
          <w:spacing w:val="-6"/>
        </w:rPr>
        <w:t>并按照审慎的风险控制原则在该名单中约定各交易对手所适用的交易结算方式。基金托管人</w:t>
      </w:r>
      <w:r>
        <w:rPr>
          <w:spacing w:val="-10"/>
        </w:rPr>
        <w:t>在收到名单后 </w:t>
      </w:r>
      <w:r>
        <w:rPr>
          <w:rFonts w:ascii="Times New Roman" w:eastAsia="Times New Roman"/>
        </w:rPr>
        <w:t>2 </w:t>
      </w:r>
      <w:r>
        <w:rPr>
          <w:spacing w:val="-10"/>
        </w:rPr>
        <w:t>个工作日内回函确认收到该名单。基金管理人应定期或不定期对银行间市场</w:t>
      </w:r>
      <w:r>
        <w:rPr>
          <w:spacing w:val="-11"/>
        </w:rPr>
        <w:t>现券及回购交易对手的名单进行更新，名单中增加或减少银行间市场交易对手时须提前书面</w:t>
      </w:r>
      <w:r>
        <w:rPr>
          <w:spacing w:val="-12"/>
        </w:rPr>
        <w:t>通知基金托管人，基金托管人于 </w:t>
      </w:r>
      <w:r>
        <w:rPr>
          <w:rFonts w:ascii="Times New Roman" w:eastAsia="Times New Roman"/>
        </w:rPr>
        <w:t>2 </w:t>
      </w:r>
      <w:r>
        <w:rPr>
          <w:spacing w:val="-8"/>
        </w:rPr>
        <w:t>个工作日内回函确认收到后，对名单进行更新。基金管理</w:t>
      </w:r>
      <w:r>
        <w:rPr>
          <w:spacing w:val="-11"/>
        </w:rPr>
        <w:t>人收到基金托管人书面确认后，被确认调整的名单开始生效，新名单生效前已与本次剔除的</w:t>
      </w:r>
    </w:p>
    <w:p>
      <w:pPr>
        <w:spacing w:after="0" w:line="417" w:lineRule="auto"/>
        <w:sectPr>
          <w:pgSz w:w="11910" w:h="16840"/>
          <w:pgMar w:header="877" w:footer="995" w:top="1420" w:bottom="1180" w:left="1260" w:right="1480"/>
        </w:sectPr>
      </w:pPr>
    </w:p>
    <w:p>
      <w:pPr>
        <w:pStyle w:val="BodyText"/>
        <w:spacing w:before="110"/>
        <w:ind w:left="540"/>
      </w:pPr>
      <w:r>
        <w:rPr/>
        <w:t>交易对手所进行但尚未结算的交易，仍应按照协议进行结算。</w:t>
      </w:r>
    </w:p>
    <w:p>
      <w:pPr>
        <w:pStyle w:val="BodyText"/>
        <w:spacing w:before="6"/>
        <w:rPr>
          <w:sz w:val="15"/>
        </w:rPr>
      </w:pPr>
    </w:p>
    <w:p>
      <w:pPr>
        <w:pStyle w:val="BodyText"/>
        <w:spacing w:line="417" w:lineRule="auto"/>
        <w:ind w:left="540" w:right="311" w:firstLine="419"/>
        <w:jc w:val="both"/>
      </w:pPr>
      <w:r>
        <w:rPr>
          <w:spacing w:val="-6"/>
        </w:rPr>
        <w:t>如果基金托管人发现基金管理人与不在名单内的银行间市场交易对手进行交易，应及时</w:t>
      </w:r>
      <w:r>
        <w:rPr>
          <w:spacing w:val="-10"/>
        </w:rPr>
        <w:t>提醒基金管理人撤销交易，经提醒后基金管理人仍执行交易并造成基金资产损失的，基金托</w:t>
      </w:r>
      <w:r>
        <w:rPr>
          <w:spacing w:val="-5"/>
        </w:rPr>
        <w:t>管人不承担责任，发生此种情形时，托管人有权报告中国证监会。</w:t>
      </w:r>
    </w:p>
    <w:p>
      <w:pPr>
        <w:pStyle w:val="ListParagraph"/>
        <w:numPr>
          <w:ilvl w:val="0"/>
          <w:numId w:val="57"/>
        </w:numPr>
        <w:tabs>
          <w:tab w:pos="1490" w:val="left" w:leader="none"/>
        </w:tabs>
        <w:spacing w:line="269" w:lineRule="exact" w:before="0" w:after="0"/>
        <w:ind w:left="1489" w:right="0" w:hanging="530"/>
        <w:jc w:val="left"/>
        <w:rPr>
          <w:sz w:val="21"/>
        </w:rPr>
      </w:pPr>
      <w:r>
        <w:rPr>
          <w:spacing w:val="-3"/>
          <w:sz w:val="21"/>
        </w:rPr>
        <w:t>基金托管人对于基金管理人参与银行间市场交易的交易方式的控制</w:t>
      </w:r>
    </w:p>
    <w:p>
      <w:pPr>
        <w:pStyle w:val="BodyText"/>
        <w:spacing w:before="7"/>
        <w:rPr>
          <w:sz w:val="15"/>
        </w:rPr>
      </w:pPr>
    </w:p>
    <w:p>
      <w:pPr>
        <w:pStyle w:val="BodyText"/>
        <w:spacing w:line="417" w:lineRule="auto"/>
        <w:ind w:left="540" w:right="208" w:firstLine="419"/>
      </w:pPr>
      <w:r>
        <w:rPr>
          <w:spacing w:val="-7"/>
        </w:rPr>
        <w:t>基金管理人在银行间市场进行现券买卖和回购交易时，需按交易对手名单中约定的该交</w:t>
      </w:r>
      <w:r>
        <w:rPr>
          <w:spacing w:val="-10"/>
        </w:rPr>
        <w:t>易对手所适用的交易结算方式进行交易。如果基金托管人发现基金管理人没有按照事先约定</w:t>
      </w:r>
      <w:r>
        <w:rPr>
          <w:spacing w:val="-5"/>
        </w:rPr>
        <w:t>的交易方式进行交易时，基金托管人应及时提醒基金管理人与交易对手重新确定交易方式， </w:t>
      </w:r>
      <w:r>
        <w:rPr>
          <w:spacing w:val="-4"/>
        </w:rPr>
        <w:t>经提醒后仍未改正时造成基金资产损失的，基金托管人不承担责任。</w:t>
      </w:r>
    </w:p>
    <w:p>
      <w:pPr>
        <w:pStyle w:val="ListParagraph"/>
        <w:numPr>
          <w:ilvl w:val="0"/>
          <w:numId w:val="57"/>
        </w:numPr>
        <w:tabs>
          <w:tab w:pos="1490" w:val="left" w:leader="none"/>
        </w:tabs>
        <w:spacing w:line="417" w:lineRule="auto" w:before="0" w:after="0"/>
        <w:ind w:left="540" w:right="102" w:firstLine="419"/>
        <w:jc w:val="left"/>
        <w:rPr>
          <w:sz w:val="21"/>
        </w:rPr>
      </w:pPr>
      <w:r>
        <w:rPr>
          <w:spacing w:val="-3"/>
          <w:sz w:val="21"/>
        </w:rPr>
        <w:t>基金管理人参与银行间市场交易的核心交易对手为中国工商银行、中国银行、中 </w:t>
      </w:r>
      <w:r>
        <w:rPr>
          <w:spacing w:val="-10"/>
          <w:sz w:val="21"/>
        </w:rPr>
        <w:t>国建设银行、中国农业银行和交通银行，基金管理人在通知基金托管人后，可以根据当时的 市场情况调整核心交易对手名单。基金管理人有责任控制交易对手的资信风险，在与核心交 </w:t>
      </w:r>
      <w:r>
        <w:rPr>
          <w:spacing w:val="-11"/>
          <w:sz w:val="21"/>
        </w:rPr>
        <w:t>易对手以外的交易对手进行交易时，由于交易对手资信风险引起的损失先由基金管理人承担， 其后有权要求相关责任人进行赔偿。基金托管人的监督责任仅限于根据已提供的名单，审核 </w:t>
      </w:r>
      <w:r>
        <w:rPr>
          <w:spacing w:val="-6"/>
          <w:sz w:val="21"/>
        </w:rPr>
        <w:t>交易对手是否在名单内列明。</w:t>
      </w:r>
    </w:p>
    <w:p>
      <w:pPr>
        <w:pStyle w:val="BodyText"/>
        <w:spacing w:line="268" w:lineRule="exact"/>
        <w:ind w:left="960"/>
      </w:pPr>
      <w:r>
        <w:rPr>
          <w:rFonts w:ascii="Times New Roman" w:eastAsia="Times New Roman"/>
        </w:rPr>
        <w:t>5</w:t>
      </w:r>
      <w:r>
        <w:rPr/>
        <w:t>、基金托管人对基金管理人选择存款银行进行监督。</w:t>
      </w:r>
    </w:p>
    <w:p>
      <w:pPr>
        <w:pStyle w:val="BodyText"/>
        <w:spacing w:before="7"/>
        <w:rPr>
          <w:sz w:val="15"/>
        </w:rPr>
      </w:pPr>
    </w:p>
    <w:p>
      <w:pPr>
        <w:pStyle w:val="BodyText"/>
        <w:spacing w:line="417" w:lineRule="auto"/>
        <w:ind w:left="540" w:right="311" w:firstLine="419"/>
        <w:jc w:val="both"/>
      </w:pPr>
      <w:r>
        <w:rPr>
          <w:spacing w:val="-7"/>
        </w:rPr>
        <w:t>本基金投资银行存款的信用风险主要包括存款银行的信用等级、存款银行的支付能力等</w:t>
      </w:r>
      <w:r>
        <w:rPr>
          <w:spacing w:val="-9"/>
        </w:rPr>
        <w:t>涉及到存款银行选择方面的风险。本基金核心存款银行名单为中国工商银行、中国银行、中</w:t>
      </w:r>
      <w:r>
        <w:rPr>
          <w:spacing w:val="-13"/>
        </w:rPr>
        <w:t>国建设银行、中国农业银行和交通银行，本基金投资除核心存款银行以外的银行存款出现由</w:t>
      </w:r>
      <w:r>
        <w:rPr>
          <w:spacing w:val="-11"/>
        </w:rPr>
        <w:t>于存款银行信用风险而造成的损失时，先由基金管理人负责赔偿，之后有权要求相关责任人</w:t>
      </w:r>
      <w:r>
        <w:rPr>
          <w:spacing w:val="-13"/>
        </w:rPr>
        <w:t>进行赔偿。基金管理人在通知基金托管人后，可以根据当时的市场情况对于核心存款银行名</w:t>
      </w:r>
      <w:r>
        <w:rPr>
          <w:spacing w:val="-12"/>
        </w:rPr>
        <w:t>单进行调整。基金托管人的监督责任仅限于根据已提供的名单，审核核心存款银行是否在名</w:t>
      </w:r>
      <w:r>
        <w:rPr>
          <w:spacing w:val="-6"/>
        </w:rPr>
        <w:t>单内列明。</w:t>
      </w:r>
    </w:p>
    <w:p>
      <w:pPr>
        <w:pStyle w:val="BodyText"/>
        <w:spacing w:line="417" w:lineRule="auto"/>
        <w:ind w:left="540" w:right="311" w:firstLine="419"/>
        <w:jc w:val="both"/>
      </w:pPr>
      <w:r>
        <w:rPr/>
        <w:t>（二</w:t>
      </w:r>
      <w:r>
        <w:rPr>
          <w:spacing w:val="-27"/>
        </w:rPr>
        <w:t>）</w:t>
      </w:r>
      <w:r>
        <w:rPr>
          <w:spacing w:val="-7"/>
        </w:rPr>
        <w:t>基金托管人应根据有关法律法规的规定及《基金合同》的约定，对基金资产净值</w:t>
      </w:r>
      <w:r>
        <w:rPr>
          <w:spacing w:val="-12"/>
        </w:rPr>
        <w:t>计算、基金份额净值计算、应收资金到账、基金费用开支及收入确定、基金收益分配、相关</w:t>
      </w:r>
      <w:r>
        <w:rPr>
          <w:spacing w:val="-6"/>
        </w:rPr>
        <w:t>信息披露、基金宣传推介材料中登载基金业绩表现数据等进行监督和核查。</w:t>
      </w:r>
    </w:p>
    <w:p>
      <w:pPr>
        <w:pStyle w:val="BodyText"/>
        <w:spacing w:line="417" w:lineRule="auto"/>
        <w:ind w:left="540" w:right="211" w:firstLine="419"/>
        <w:jc w:val="both"/>
      </w:pPr>
      <w:r>
        <w:rPr/>
        <w:t>（三</w:t>
      </w:r>
      <w:r>
        <w:rPr>
          <w:spacing w:val="-70"/>
        </w:rPr>
        <w:t>）</w:t>
      </w:r>
      <w:r>
        <w:rPr>
          <w:spacing w:val="-10"/>
        </w:rPr>
        <w:t>基金托管人发现基金管理人的投资运作及其他运作违反《基金法》</w:t>
      </w:r>
      <w:r>
        <w:rPr>
          <w:spacing w:val="-37"/>
        </w:rPr>
        <w:t>、《基金合同》、</w:t>
      </w:r>
      <w:r>
        <w:rPr>
          <w:spacing w:val="-16"/>
        </w:rPr>
        <w:t>基金托管协议有关规定时，应及时以书面形式通知基金管理人限期纠正，基金管理人收到通</w:t>
      </w:r>
      <w:r>
        <w:rPr>
          <w:spacing w:val="-7"/>
        </w:rPr>
        <w:t>知后应在下一个工作日及时核对，并以书面形式向基金托管人发出回函，进行解释或举证。</w:t>
      </w:r>
    </w:p>
    <w:p>
      <w:pPr>
        <w:pStyle w:val="BodyText"/>
        <w:ind w:left="960"/>
      </w:pPr>
      <w:r>
        <w:rPr/>
        <w:t>在限期内，基金托管人有权随时对通知事项进行复查，督促基金管理人改正。基金管理</w:t>
      </w:r>
    </w:p>
    <w:p>
      <w:pPr>
        <w:spacing w:after="0"/>
        <w:sectPr>
          <w:pgSz w:w="11910" w:h="16840"/>
          <w:pgMar w:header="877" w:footer="995" w:top="1420" w:bottom="1180" w:left="1260" w:right="1480"/>
        </w:sectPr>
      </w:pPr>
    </w:p>
    <w:p>
      <w:pPr>
        <w:pStyle w:val="BodyText"/>
        <w:spacing w:line="417" w:lineRule="auto" w:before="110"/>
        <w:ind w:left="540" w:right="311"/>
      </w:pPr>
      <w:r>
        <w:rPr>
          <w:spacing w:val="-7"/>
        </w:rPr>
        <w:t>人对基金托管人通知的违规事项未能在限期内纠正的，基金托管人应报告中国证监会。基金</w:t>
      </w:r>
      <w:r>
        <w:rPr>
          <w:spacing w:val="-5"/>
        </w:rPr>
        <w:t>托管人有义务要求基金管理人赔偿因其违反《基金合同》而致使投资者遭受的损失。</w:t>
      </w:r>
    </w:p>
    <w:p>
      <w:pPr>
        <w:pStyle w:val="BodyText"/>
        <w:spacing w:line="417" w:lineRule="auto"/>
        <w:ind w:left="540" w:right="311" w:firstLine="419"/>
        <w:jc w:val="both"/>
      </w:pPr>
      <w:r>
        <w:rPr>
          <w:spacing w:val="-6"/>
        </w:rPr>
        <w:t>对于依据交易程序尚未成交的且基金托管人在交易前能够监控的投资指令，基金托管人</w:t>
      </w:r>
      <w:r>
        <w:rPr>
          <w:spacing w:val="-16"/>
        </w:rPr>
        <w:t>发现基金管理人的投资指令违反法律法规规定或者违反《基金合同》约定的，应当拒绝执行， </w:t>
      </w:r>
      <w:r>
        <w:rPr>
          <w:spacing w:val="-7"/>
        </w:rPr>
        <w:t>立即通知基金管理人，并向中国证监会报告。</w:t>
      </w:r>
    </w:p>
    <w:p>
      <w:pPr>
        <w:pStyle w:val="BodyText"/>
        <w:spacing w:line="417" w:lineRule="auto"/>
        <w:ind w:left="540" w:right="311" w:firstLine="419"/>
        <w:jc w:val="right"/>
      </w:pPr>
      <w:r>
        <w:rPr>
          <w:spacing w:val="-6"/>
        </w:rPr>
        <w:t>基金托管人发现基金管理人依据交易程序已经生效的投资指令违反法律、行政法规和其</w:t>
      </w:r>
      <w:r>
        <w:rPr>
          <w:spacing w:val="-21"/>
        </w:rPr>
        <w:t>他有关规定，或者违反《基金合同》约定的，应当立即通知基金管理人，并报告中国证监会。</w:t>
      </w:r>
      <w:r>
        <w:rPr>
          <w:spacing w:val="-12"/>
        </w:rPr>
        <w:t>基金管理人应积极配合和协助基金托管人的监督和核查，必须在规定时间内答复基金托</w:t>
      </w:r>
    </w:p>
    <w:p>
      <w:pPr>
        <w:pStyle w:val="BodyText"/>
        <w:spacing w:line="417" w:lineRule="auto"/>
        <w:ind w:left="540" w:right="311"/>
      </w:pPr>
      <w:r>
        <w:rPr>
          <w:spacing w:val="-10"/>
        </w:rPr>
        <w:t>管人并改正，就基金托管人的疑义进行解释或举证，对基金托管人按照法规要求需向中国证</w:t>
      </w:r>
      <w:r>
        <w:rPr>
          <w:spacing w:val="-5"/>
        </w:rPr>
        <w:t>监会报送基金监督报告的，基金管理人应积极配合提供相关数据资料和制度等。</w:t>
      </w:r>
    </w:p>
    <w:p>
      <w:pPr>
        <w:pStyle w:val="BodyText"/>
        <w:spacing w:line="417" w:lineRule="auto"/>
        <w:ind w:left="540" w:right="311" w:firstLine="419"/>
      </w:pPr>
      <w:r>
        <w:rPr>
          <w:spacing w:val="-8"/>
        </w:rPr>
        <w:t>基金托管人发现基金管理人有重大违规行为，应立即报告中国证监会，同时通知基金管</w:t>
      </w:r>
      <w:r>
        <w:rPr>
          <w:spacing w:val="-5"/>
        </w:rPr>
        <w:t>理人限期纠正。</w:t>
      </w:r>
    </w:p>
    <w:p>
      <w:pPr>
        <w:pStyle w:val="BodyText"/>
        <w:spacing w:line="417" w:lineRule="auto"/>
        <w:ind w:left="540" w:right="311" w:firstLine="419"/>
        <w:jc w:val="both"/>
      </w:pPr>
      <w:r>
        <w:rPr>
          <w:spacing w:val="-9"/>
        </w:rPr>
        <w:t>基金管理人无正当理由，拒绝、阻挠基金托管人根据本协议规定行使监督权，或采取拖</w:t>
      </w:r>
      <w:r>
        <w:rPr>
          <w:spacing w:val="-11"/>
        </w:rPr>
        <w:t>延、欺诈等手段妨碍基金托管人进行有效监督，情节严重或经基金托管人提出警告仍不改正</w:t>
      </w:r>
      <w:r>
        <w:rPr>
          <w:spacing w:val="-6"/>
        </w:rPr>
        <w:t>的，基金托管人应报告中国证监会。</w:t>
      </w:r>
    </w:p>
    <w:p>
      <w:pPr>
        <w:spacing w:before="0"/>
        <w:ind w:left="3003" w:right="0" w:firstLine="0"/>
        <w:jc w:val="left"/>
        <w:rPr>
          <w:b/>
          <w:sz w:val="21"/>
        </w:rPr>
      </w:pPr>
      <w:r>
        <w:rPr>
          <w:b/>
          <w:sz w:val="21"/>
        </w:rPr>
        <w:t>三、基金管理人对基金托管人的业务核查</w:t>
      </w:r>
    </w:p>
    <w:p>
      <w:pPr>
        <w:pStyle w:val="BodyText"/>
        <w:spacing w:before="5"/>
        <w:rPr>
          <w:b/>
          <w:sz w:val="15"/>
        </w:rPr>
      </w:pPr>
    </w:p>
    <w:p>
      <w:pPr>
        <w:pStyle w:val="BodyText"/>
        <w:spacing w:line="417" w:lineRule="auto"/>
        <w:ind w:left="540" w:right="311" w:firstLine="419"/>
        <w:jc w:val="both"/>
      </w:pPr>
      <w:r>
        <w:rPr>
          <w:spacing w:val="-7"/>
        </w:rPr>
        <w:t>基金管理人对基金托管人履行托管职责情况进行核查，核查事项包括但不限于基金托管</w:t>
      </w:r>
      <w:r>
        <w:rPr>
          <w:spacing w:val="-12"/>
        </w:rPr>
        <w:t>人安全保管基金财产、开设基金财产的资金账户和证券账户、复核基金管理人计算的基金资</w:t>
      </w:r>
      <w:r>
        <w:rPr>
          <w:spacing w:val="-13"/>
        </w:rPr>
        <w:t>产净值和基金份额净值、根据管理人指令办理清算交收、相关信息披露和监督基金投资运作</w:t>
      </w:r>
      <w:r>
        <w:rPr>
          <w:spacing w:val="-8"/>
        </w:rPr>
        <w:t>等行为。</w:t>
      </w:r>
    </w:p>
    <w:p>
      <w:pPr>
        <w:pStyle w:val="BodyText"/>
        <w:spacing w:line="417" w:lineRule="auto"/>
        <w:ind w:left="540" w:right="205" w:firstLine="419"/>
      </w:pPr>
      <w:r>
        <w:rPr>
          <w:spacing w:val="-8"/>
        </w:rPr>
        <w:t>基金管理人发现基金托管人擅自挪用基金财产、未对基金财产实行分账管理、无故未执</w:t>
      </w:r>
      <w:r>
        <w:rPr>
          <w:spacing w:val="-11"/>
        </w:rPr>
        <w:t>行或无故延迟执行基金管理人资金划拨指令、泄露基金投资信息等违反《基金法》</w:t>
      </w:r>
      <w:r>
        <w:rPr>
          <w:spacing w:val="-30"/>
        </w:rPr>
        <w:t>、《基金合</w:t>
      </w:r>
      <w:r>
        <w:rPr>
          <w:spacing w:val="-14"/>
        </w:rPr>
        <w:t>同》、本托管协议及其他有关规定时，基金管理人应及时以书面形式通知基金托管人限期纠</w:t>
      </w:r>
      <w:r>
        <w:rPr>
          <w:spacing w:val="-16"/>
        </w:rPr>
        <w:t>正，基金托管人收到通知后应及时核对确认并以书面形式向基金管理人发出回函。在限期内， </w:t>
      </w:r>
      <w:r>
        <w:rPr>
          <w:spacing w:val="-11"/>
        </w:rPr>
        <w:t>基金管理人有权随时对通知事项进行复查，督促基金托管人改正，并予协助配合。基金托管</w:t>
      </w:r>
      <w:r>
        <w:rPr>
          <w:spacing w:val="-10"/>
        </w:rPr>
        <w:t>人对基金管理人通知的违规事项未能在限期内纠正的，基金管理人应报告中国证监会。基金</w:t>
      </w:r>
      <w:r>
        <w:rPr>
          <w:spacing w:val="-5"/>
        </w:rPr>
        <w:t>管理人有义务要求基金托管人赔偿基金因此所遭受的损失。</w:t>
      </w:r>
    </w:p>
    <w:p>
      <w:pPr>
        <w:pStyle w:val="BodyText"/>
        <w:spacing w:line="417" w:lineRule="auto"/>
        <w:ind w:left="540" w:right="311" w:firstLine="419"/>
      </w:pPr>
      <w:r>
        <w:rPr>
          <w:spacing w:val="-8"/>
        </w:rPr>
        <w:t>基金管理人发现基金托管人有重大违规行为，应立即报告中国证监会和银行业监督管理</w:t>
      </w:r>
      <w:r>
        <w:rPr>
          <w:spacing w:val="-5"/>
        </w:rPr>
        <w:t>机构，同时通知基金托管人限期纠正。</w:t>
      </w:r>
    </w:p>
    <w:p>
      <w:pPr>
        <w:pStyle w:val="BodyText"/>
        <w:ind w:left="960"/>
      </w:pPr>
      <w:r>
        <w:rPr/>
        <w:t>基金托管人应积极配合基金管理人的核查行为，包括但不限于：提交相关资料以供基金</w:t>
      </w:r>
    </w:p>
    <w:p>
      <w:pPr>
        <w:spacing w:after="0"/>
        <w:sectPr>
          <w:footerReference w:type="default" r:id="rId187"/>
          <w:pgSz w:w="11910" w:h="16840"/>
          <w:pgMar w:footer="995" w:header="877" w:top="1420" w:bottom="1180" w:left="1260" w:right="1480"/>
        </w:sectPr>
      </w:pPr>
    </w:p>
    <w:p>
      <w:pPr>
        <w:pStyle w:val="BodyText"/>
        <w:spacing w:before="110"/>
        <w:ind w:left="540"/>
      </w:pPr>
      <w:r>
        <w:rPr/>
        <w:t>管理人核查托管财产的完整性和真实性，在规定时间内答复基金管理人并改正。</w:t>
      </w:r>
    </w:p>
    <w:p>
      <w:pPr>
        <w:pStyle w:val="BodyText"/>
        <w:spacing w:before="6"/>
        <w:rPr>
          <w:sz w:val="15"/>
        </w:rPr>
      </w:pPr>
    </w:p>
    <w:p>
      <w:pPr>
        <w:pStyle w:val="BodyText"/>
        <w:spacing w:line="417" w:lineRule="auto"/>
        <w:ind w:left="540" w:right="311" w:firstLine="419"/>
        <w:jc w:val="both"/>
      </w:pPr>
      <w:r>
        <w:rPr>
          <w:spacing w:val="-9"/>
        </w:rPr>
        <w:t>基金托管人无正当理由，拒绝、阻挠基金管理人根据本协议规定行使监督权，或采取拖</w:t>
      </w:r>
      <w:r>
        <w:rPr>
          <w:spacing w:val="-11"/>
        </w:rPr>
        <w:t>延、欺诈等手段妨碍基金管理人进行有效监督，情节严重或经基金管理人提出警告仍不改正</w:t>
      </w:r>
      <w:r>
        <w:rPr>
          <w:spacing w:val="-6"/>
        </w:rPr>
        <w:t>的，基金管理人应报告中国证监会。</w:t>
      </w:r>
    </w:p>
    <w:p>
      <w:pPr>
        <w:spacing w:line="269" w:lineRule="exact" w:before="0"/>
        <w:ind w:left="2461" w:right="1824" w:firstLine="0"/>
        <w:jc w:val="center"/>
        <w:rPr>
          <w:b/>
          <w:sz w:val="21"/>
        </w:rPr>
      </w:pPr>
      <w:r>
        <w:rPr>
          <w:b/>
          <w:sz w:val="21"/>
        </w:rPr>
        <w:t>四、基金财产的保管</w:t>
      </w:r>
    </w:p>
    <w:p>
      <w:pPr>
        <w:pStyle w:val="BodyText"/>
        <w:spacing w:before="7"/>
        <w:rPr>
          <w:b/>
          <w:sz w:val="15"/>
        </w:rPr>
      </w:pPr>
    </w:p>
    <w:p>
      <w:pPr>
        <w:pStyle w:val="BodyText"/>
        <w:ind w:left="960"/>
      </w:pPr>
      <w:r>
        <w:rPr>
          <w:rFonts w:ascii="Times New Roman" w:eastAsia="Times New Roman"/>
        </w:rPr>
        <w:t>1</w:t>
      </w:r>
      <w:r>
        <w:rPr/>
        <w:t>、基金财产应独立于基金管理人、基金托管人的固有财产。</w:t>
      </w:r>
    </w:p>
    <w:p>
      <w:pPr>
        <w:pStyle w:val="BodyText"/>
        <w:spacing w:before="7"/>
        <w:rPr>
          <w:sz w:val="15"/>
        </w:rPr>
      </w:pPr>
    </w:p>
    <w:p>
      <w:pPr>
        <w:pStyle w:val="BodyText"/>
        <w:spacing w:line="417" w:lineRule="auto"/>
        <w:ind w:left="540" w:right="314" w:firstLine="419"/>
      </w:pPr>
      <w:r>
        <w:rPr>
          <w:rFonts w:ascii="Times New Roman" w:eastAsia="Times New Roman"/>
        </w:rPr>
        <w:t>2</w:t>
      </w:r>
      <w:r>
        <w:rPr/>
        <w:t>、基金托管人应安全保管基金财产。未经基金管理人的正当指令，不得自行运用、处分、分配基金的任何财产。</w:t>
      </w:r>
    </w:p>
    <w:p>
      <w:pPr>
        <w:pStyle w:val="BodyText"/>
        <w:ind w:left="960"/>
      </w:pPr>
      <w:r>
        <w:rPr>
          <w:rFonts w:ascii="Times New Roman" w:eastAsia="Times New Roman"/>
        </w:rPr>
        <w:t>3</w:t>
      </w:r>
      <w:r>
        <w:rPr/>
        <w:t>、基金托管人按照规定开设基金财产的资金账户和证券账户。</w:t>
      </w:r>
    </w:p>
    <w:p>
      <w:pPr>
        <w:pStyle w:val="BodyText"/>
        <w:spacing w:before="7"/>
        <w:rPr>
          <w:sz w:val="15"/>
        </w:rPr>
      </w:pPr>
    </w:p>
    <w:p>
      <w:pPr>
        <w:pStyle w:val="BodyText"/>
        <w:spacing w:line="417" w:lineRule="auto"/>
        <w:ind w:left="540" w:right="314" w:firstLine="419"/>
      </w:pPr>
      <w:r>
        <w:rPr>
          <w:rFonts w:ascii="Times New Roman" w:eastAsia="Times New Roman"/>
        </w:rPr>
        <w:t>4</w:t>
      </w:r>
      <w:r>
        <w:rPr/>
        <w:t>、基金托管人对所托管的不同基金财产分别设置账户，与基金托管人的其他业务和其他基金的托管业务实行严格的分账管理，确保基金财产的完整与独立。</w:t>
      </w:r>
    </w:p>
    <w:p>
      <w:pPr>
        <w:pStyle w:val="BodyText"/>
        <w:spacing w:line="417" w:lineRule="auto"/>
        <w:ind w:left="540" w:right="311" w:firstLine="419"/>
        <w:jc w:val="both"/>
      </w:pPr>
      <w:r>
        <w:rPr>
          <w:rFonts w:ascii="Times New Roman" w:eastAsia="Times New Roman"/>
        </w:rPr>
        <w:t>5</w:t>
      </w:r>
      <w:r>
        <w:rPr>
          <w:spacing w:val="-2"/>
        </w:rPr>
        <w:t>、对于因基金认</w:t>
      </w:r>
      <w:r>
        <w:rPr/>
        <w:t>（</w:t>
      </w:r>
      <w:r>
        <w:rPr>
          <w:spacing w:val="-3"/>
        </w:rPr>
        <w:t>申</w:t>
      </w:r>
      <w:r>
        <w:rPr/>
        <w:t>）</w:t>
      </w:r>
      <w:r>
        <w:rPr>
          <w:spacing w:val="-3"/>
        </w:rPr>
        <w:t>购、基金投资过程中产生的应收财产，到账日基金财产没有到</w:t>
      </w:r>
      <w:r>
        <w:rPr>
          <w:spacing w:val="-11"/>
        </w:rPr>
        <w:t>达基金托管人处的，基金托管人应及时通知基金管理人采取措施进行催收。由此给基金造成</w:t>
      </w:r>
      <w:r>
        <w:rPr>
          <w:spacing w:val="-6"/>
        </w:rPr>
        <w:t>损失的，基金管理人应负责向有关当事人追偿基金的损失，基金托管人对此不承担责任。</w:t>
      </w:r>
    </w:p>
    <w:p>
      <w:pPr>
        <w:spacing w:before="0"/>
        <w:ind w:left="2461" w:right="1829" w:firstLine="0"/>
        <w:jc w:val="center"/>
        <w:rPr>
          <w:b/>
          <w:sz w:val="21"/>
        </w:rPr>
      </w:pPr>
      <w:r>
        <w:rPr>
          <w:b/>
          <w:sz w:val="21"/>
        </w:rPr>
        <w:t>五、基金资产净值的计算和复核</w:t>
      </w:r>
    </w:p>
    <w:p>
      <w:pPr>
        <w:pStyle w:val="BodyText"/>
        <w:spacing w:before="6"/>
        <w:rPr>
          <w:b/>
          <w:sz w:val="15"/>
        </w:rPr>
      </w:pPr>
    </w:p>
    <w:p>
      <w:pPr>
        <w:pStyle w:val="BodyText"/>
        <w:ind w:left="960"/>
      </w:pPr>
      <w:r>
        <w:rPr>
          <w:rFonts w:ascii="Times New Roman" w:eastAsia="Times New Roman"/>
        </w:rPr>
        <w:t>1</w:t>
      </w:r>
      <w:r>
        <w:rPr/>
        <w:t>、基金资产净值的计算、复核的时间和程序</w:t>
      </w:r>
    </w:p>
    <w:p>
      <w:pPr>
        <w:pStyle w:val="BodyText"/>
        <w:spacing w:before="7"/>
        <w:rPr>
          <w:sz w:val="15"/>
        </w:rPr>
      </w:pPr>
    </w:p>
    <w:p>
      <w:pPr>
        <w:pStyle w:val="BodyText"/>
        <w:spacing w:line="417" w:lineRule="auto"/>
        <w:ind w:left="540" w:right="340" w:firstLine="419"/>
      </w:pPr>
      <w:r>
        <w:rPr/>
        <w:t>基金资产净值是指基金资产总值减去负债后的价值。基金份额净值是指计算日基金资产净值除以该计算日基金总份额后的数值。基金份额净值的计算保留到小数点后 </w:t>
      </w:r>
      <w:r>
        <w:rPr>
          <w:rFonts w:ascii="Times New Roman" w:eastAsia="Times New Roman"/>
        </w:rPr>
        <w:t>3 </w:t>
      </w:r>
      <w:r>
        <w:rPr/>
        <w:t>位，小</w:t>
      </w:r>
    </w:p>
    <w:p>
      <w:pPr>
        <w:pStyle w:val="BodyText"/>
        <w:spacing w:line="269" w:lineRule="exact"/>
        <w:ind w:left="540"/>
      </w:pPr>
      <w:r>
        <w:rPr/>
        <w:t>数点后第 </w:t>
      </w:r>
      <w:r>
        <w:rPr>
          <w:rFonts w:ascii="Times New Roman" w:eastAsia="Times New Roman"/>
        </w:rPr>
        <w:t>4 </w:t>
      </w:r>
      <w:r>
        <w:rPr/>
        <w:t>位四舍五入，由此产生的误差计入基金财产。</w:t>
      </w:r>
    </w:p>
    <w:p>
      <w:pPr>
        <w:pStyle w:val="BodyText"/>
        <w:spacing w:before="7"/>
        <w:rPr>
          <w:sz w:val="15"/>
        </w:rPr>
      </w:pPr>
    </w:p>
    <w:p>
      <w:pPr>
        <w:pStyle w:val="BodyText"/>
        <w:spacing w:line="417" w:lineRule="auto"/>
        <w:ind w:left="540" w:right="234" w:firstLine="419"/>
      </w:pPr>
      <w:r>
        <w:rPr>
          <w:spacing w:val="-8"/>
        </w:rPr>
        <w:t>基金管理人于每估值日对基金资产估值。估值原则应符合《基金合同》、《证券投资基金会计核算业务指引》及其他法律、法规的规定。用于基金信息披露的基金净值信息由基金管理人负责计算，基金托管人复核。基金管理人应于每个估值日交易结束后计算当日的</w:t>
      </w:r>
      <w:r>
        <w:rPr>
          <w:spacing w:val="-6"/>
        </w:rPr>
        <w:t>基金份额净值并以双方认可的方式发送给基金托管人。基金托管人对净值计算结果复核后， </w:t>
      </w:r>
      <w:r>
        <w:rPr>
          <w:spacing w:val="-4"/>
        </w:rPr>
        <w:t>以双方认可的方式发送给基金管理人，由基金管理人对基金净值予以公布。</w:t>
      </w:r>
    </w:p>
    <w:p>
      <w:pPr>
        <w:pStyle w:val="BodyText"/>
        <w:spacing w:line="417" w:lineRule="auto"/>
        <w:ind w:left="540" w:right="205" w:firstLine="419"/>
      </w:pPr>
      <w:r>
        <w:rPr>
          <w:spacing w:val="-12"/>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w:t>
      </w:r>
      <w:r>
        <w:rPr>
          <w:spacing w:val="-14"/>
        </w:rPr>
        <w:t>对基金净值信息的计算结果对外予以公布。法律法规以及监管部门有强制规定的，从其规定。</w:t>
      </w:r>
      <w:r>
        <w:rPr>
          <w:spacing w:val="-7"/>
        </w:rPr>
        <w:t>如有新增事项，按国家最新规定估值。</w:t>
      </w:r>
    </w:p>
    <w:p>
      <w:pPr>
        <w:spacing w:line="269" w:lineRule="exact" w:before="0"/>
        <w:ind w:left="3109" w:right="0" w:firstLine="0"/>
        <w:jc w:val="left"/>
        <w:rPr>
          <w:b/>
          <w:sz w:val="21"/>
        </w:rPr>
      </w:pPr>
      <w:r>
        <w:rPr>
          <w:b/>
          <w:sz w:val="21"/>
        </w:rPr>
        <w:t>六、基金份额持有人名册的登记与保管</w:t>
      </w:r>
    </w:p>
    <w:p>
      <w:pPr>
        <w:spacing w:after="0" w:line="269" w:lineRule="exact"/>
        <w:jc w:val="left"/>
        <w:rPr>
          <w:sz w:val="21"/>
        </w:rPr>
        <w:sectPr>
          <w:footerReference w:type="default" r:id="rId188"/>
          <w:pgSz w:w="11910" w:h="16840"/>
          <w:pgMar w:footer="995" w:header="877" w:top="1420" w:bottom="1180" w:left="1260" w:right="1480"/>
          <w:pgNumType w:start="141"/>
        </w:sectPr>
      </w:pPr>
    </w:p>
    <w:p>
      <w:pPr>
        <w:pStyle w:val="BodyText"/>
        <w:spacing w:line="417" w:lineRule="auto" w:before="110"/>
        <w:ind w:left="540" w:right="311" w:firstLine="419"/>
        <w:jc w:val="both"/>
      </w:pPr>
      <w:r>
        <w:rPr>
          <w:spacing w:val="-6"/>
        </w:rPr>
        <w:t>基金管理人和基金托管人须分别妥善保管的基金份额持有人名册，包括《基金合同》生</w:t>
      </w:r>
      <w:r>
        <w:rPr>
          <w:spacing w:val="-16"/>
        </w:rPr>
        <w:t>效日、《基金合同》终止日、基金份额持有人大会权利登记日、每年 </w:t>
      </w:r>
      <w:r>
        <w:rPr>
          <w:rFonts w:ascii="Times New Roman" w:eastAsia="Times New Roman"/>
        </w:rPr>
        <w:t>6 </w:t>
      </w:r>
      <w:r>
        <w:rPr>
          <w:spacing w:val="-24"/>
        </w:rPr>
        <w:t>月 </w:t>
      </w:r>
      <w:r>
        <w:rPr>
          <w:rFonts w:ascii="Times New Roman" w:eastAsia="Times New Roman"/>
        </w:rPr>
        <w:t>30 </w:t>
      </w:r>
      <w:r>
        <w:rPr>
          <w:spacing w:val="-5"/>
        </w:rPr>
        <w:t>日、</w:t>
      </w:r>
      <w:r>
        <w:rPr>
          <w:rFonts w:ascii="Times New Roman" w:eastAsia="Times New Roman"/>
        </w:rPr>
        <w:t>12 </w:t>
      </w:r>
      <w:r>
        <w:rPr>
          <w:spacing w:val="-24"/>
        </w:rPr>
        <w:t>月 </w:t>
      </w:r>
      <w:r>
        <w:rPr>
          <w:rFonts w:ascii="Times New Roman" w:eastAsia="Times New Roman"/>
        </w:rPr>
        <w:t>31 </w:t>
      </w:r>
      <w:r>
        <w:rPr/>
        <w:t>日</w:t>
      </w:r>
      <w:r>
        <w:rPr>
          <w:spacing w:val="-12"/>
        </w:rPr>
        <w:t>的基金份额持有人名册。基金份额持有人名册的内容必须包括基金份额持有人的名称和持有</w:t>
      </w:r>
      <w:r>
        <w:rPr>
          <w:spacing w:val="-6"/>
        </w:rPr>
        <w:t>的基金份额。</w:t>
      </w:r>
    </w:p>
    <w:p>
      <w:pPr>
        <w:pStyle w:val="BodyText"/>
        <w:spacing w:line="417" w:lineRule="auto"/>
        <w:ind w:left="540" w:right="311" w:firstLine="419"/>
      </w:pPr>
      <w:r>
        <w:rPr>
          <w:spacing w:val="-9"/>
        </w:rPr>
        <w:t>基金份额持有人名册由基金的基金注册登记机构根据基金管理人的指令编制和保管，基</w:t>
      </w:r>
      <w:r>
        <w:rPr>
          <w:spacing w:val="-7"/>
        </w:rPr>
        <w:t>金托管人应按照目前相关规则保管基金份额持有人名册。保管方式可以采用电子或文档的形</w:t>
      </w:r>
      <w:r>
        <w:rPr>
          <w:spacing w:val="-11"/>
        </w:rPr>
        <w:t>式。保管期限为 </w:t>
      </w:r>
      <w:r>
        <w:rPr>
          <w:rFonts w:ascii="Times New Roman" w:eastAsia="Times New Roman"/>
        </w:rPr>
        <w:t>15 </w:t>
      </w:r>
      <w:r>
        <w:rPr/>
        <w:t>年。</w:t>
      </w:r>
    </w:p>
    <w:p>
      <w:pPr>
        <w:pStyle w:val="BodyText"/>
        <w:spacing w:line="417" w:lineRule="auto"/>
        <w:ind w:left="540" w:right="311" w:firstLine="419"/>
        <w:rPr>
          <w:rFonts w:ascii="Times New Roman" w:eastAsia="Times New Roman"/>
        </w:rPr>
      </w:pPr>
      <w:r>
        <w:rPr>
          <w:spacing w:val="-7"/>
        </w:rPr>
        <w:t>基金管理人应当及时向基金托管人提交下列日期的基金份额持有人名册：《基金合同》</w:t>
      </w:r>
      <w:r>
        <w:rPr>
          <w:spacing w:val="-14"/>
        </w:rPr>
        <w:t>生效日、《基金合同》终止日、基金份额持有人大会权利登记日、每年 </w:t>
      </w:r>
      <w:r>
        <w:rPr>
          <w:rFonts w:ascii="Times New Roman" w:eastAsia="Times New Roman"/>
        </w:rPr>
        <w:t>6</w:t>
      </w:r>
      <w:r>
        <w:rPr>
          <w:rFonts w:ascii="Times New Roman" w:eastAsia="Times New Roman"/>
          <w:spacing w:val="21"/>
        </w:rPr>
        <w:t> </w:t>
      </w:r>
      <w:r>
        <w:rPr>
          <w:spacing w:val="-17"/>
        </w:rPr>
        <w:t>月 </w:t>
      </w:r>
      <w:r>
        <w:rPr>
          <w:rFonts w:ascii="Times New Roman" w:eastAsia="Times New Roman"/>
        </w:rPr>
        <w:t>30</w:t>
      </w:r>
      <w:r>
        <w:rPr>
          <w:rFonts w:ascii="Times New Roman" w:eastAsia="Times New Roman"/>
          <w:spacing w:val="21"/>
        </w:rPr>
        <w:t> </w:t>
      </w:r>
      <w:r>
        <w:rPr>
          <w:spacing w:val="-8"/>
        </w:rPr>
        <w:t>日、每年 </w:t>
      </w:r>
      <w:r>
        <w:rPr>
          <w:rFonts w:ascii="Times New Roman" w:eastAsia="Times New Roman"/>
        </w:rPr>
        <w:t>12</w:t>
      </w:r>
    </w:p>
    <w:p>
      <w:pPr>
        <w:pStyle w:val="BodyText"/>
        <w:spacing w:line="269" w:lineRule="exact"/>
        <w:ind w:left="540"/>
      </w:pPr>
      <w:r>
        <w:rPr>
          <w:spacing w:val="-13"/>
        </w:rPr>
        <w:t>月 </w:t>
      </w:r>
      <w:r>
        <w:rPr>
          <w:rFonts w:ascii="Times New Roman" w:eastAsia="Times New Roman"/>
        </w:rPr>
        <w:t>31</w:t>
      </w:r>
      <w:r>
        <w:rPr>
          <w:rFonts w:ascii="Times New Roman" w:eastAsia="Times New Roman"/>
          <w:spacing w:val="28"/>
        </w:rPr>
        <w:t> </w:t>
      </w:r>
      <w:r>
        <w:rPr>
          <w:spacing w:val="-3"/>
        </w:rPr>
        <w:t>日的基金份额持有人名册。基金份额持有人名册的内容必须包括基金份额持有人的名</w:t>
      </w:r>
    </w:p>
    <w:p>
      <w:pPr>
        <w:pStyle w:val="BodyText"/>
        <w:spacing w:before="6"/>
        <w:rPr>
          <w:sz w:val="15"/>
        </w:rPr>
      </w:pPr>
    </w:p>
    <w:p>
      <w:pPr>
        <w:pStyle w:val="BodyText"/>
        <w:spacing w:line="417" w:lineRule="auto"/>
        <w:ind w:left="540" w:right="311"/>
        <w:jc w:val="both"/>
      </w:pPr>
      <w:r>
        <w:rPr>
          <w:spacing w:val="-14"/>
        </w:rPr>
        <w:t>称和持有的基金份额。其中每年 </w:t>
      </w:r>
      <w:r>
        <w:rPr>
          <w:rFonts w:ascii="Times New Roman" w:eastAsia="Times New Roman"/>
        </w:rPr>
        <w:t>12 </w:t>
      </w:r>
      <w:r>
        <w:rPr>
          <w:spacing w:val="-23"/>
        </w:rPr>
        <w:t>月 </w:t>
      </w:r>
      <w:r>
        <w:rPr>
          <w:rFonts w:ascii="Times New Roman" w:eastAsia="Times New Roman"/>
        </w:rPr>
        <w:t>31 </w:t>
      </w:r>
      <w:r>
        <w:rPr>
          <w:spacing w:val="-3"/>
        </w:rPr>
        <w:t>日的基金份额持有人名册应于下月前十个工作日内</w:t>
      </w:r>
      <w:r>
        <w:rPr>
          <w:spacing w:val="-21"/>
        </w:rPr>
        <w:t>提交；《基金合同》生效日、《基金合同》终止日等涉及到基金重要事项日期的基金份额持有</w:t>
      </w:r>
      <w:r>
        <w:rPr>
          <w:spacing w:val="-8"/>
        </w:rPr>
        <w:t>人名册应于发生日后十个工作日内提交。</w:t>
      </w:r>
    </w:p>
    <w:p>
      <w:pPr>
        <w:pStyle w:val="BodyText"/>
        <w:spacing w:line="417" w:lineRule="auto"/>
        <w:ind w:left="540" w:right="311" w:firstLine="419"/>
        <w:jc w:val="both"/>
      </w:pPr>
      <w:r>
        <w:rPr>
          <w:spacing w:val="-7"/>
        </w:rPr>
        <w:t>基金托管人以电子版形式妥善保管基金份额持有人名册，并定期刻成光盘备份，保存期</w:t>
      </w:r>
      <w:r>
        <w:rPr>
          <w:spacing w:val="-14"/>
        </w:rPr>
        <w:t>限为 </w:t>
      </w:r>
      <w:r>
        <w:rPr>
          <w:rFonts w:ascii="Times New Roman" w:eastAsia="Times New Roman"/>
        </w:rPr>
        <w:t>15 </w:t>
      </w:r>
      <w:r>
        <w:rPr>
          <w:spacing w:val="-3"/>
        </w:rPr>
        <w:t>年。基金托管人不得将所保管的基金份额持有人名册用于基金托管业务以外的其他用途，并应遵守保密义务。</w:t>
      </w:r>
    </w:p>
    <w:p>
      <w:pPr>
        <w:pStyle w:val="BodyText"/>
        <w:spacing w:line="417" w:lineRule="auto"/>
        <w:ind w:left="540" w:right="311" w:firstLine="419"/>
      </w:pPr>
      <w:r>
        <w:rPr>
          <w:spacing w:val="-6"/>
        </w:rPr>
        <w:t>若基金管理人或基金托管人由于自身原因无法妥善保管基金份额持有人名册，应按有关</w:t>
      </w:r>
      <w:r>
        <w:rPr>
          <w:spacing w:val="-4"/>
        </w:rPr>
        <w:t>法规规定各自承担相应的责任。</w:t>
      </w:r>
    </w:p>
    <w:p>
      <w:pPr>
        <w:spacing w:line="269" w:lineRule="exact" w:before="0"/>
        <w:ind w:left="4057" w:right="0" w:firstLine="0"/>
        <w:jc w:val="left"/>
        <w:rPr>
          <w:b/>
          <w:sz w:val="21"/>
        </w:rPr>
      </w:pPr>
      <w:r>
        <w:rPr>
          <w:b/>
          <w:sz w:val="21"/>
        </w:rPr>
        <w:t>七、争议解决方式</w:t>
      </w:r>
    </w:p>
    <w:p>
      <w:pPr>
        <w:pStyle w:val="BodyText"/>
        <w:spacing w:before="6"/>
        <w:rPr>
          <w:b/>
          <w:sz w:val="15"/>
        </w:rPr>
      </w:pPr>
    </w:p>
    <w:p>
      <w:pPr>
        <w:pStyle w:val="BodyText"/>
        <w:spacing w:line="417" w:lineRule="auto"/>
        <w:ind w:left="540" w:right="210" w:firstLine="419"/>
        <w:jc w:val="both"/>
      </w:pPr>
      <w:r>
        <w:rPr>
          <w:spacing w:val="-10"/>
        </w:rPr>
        <w:t>相关各方当事人同意，因本协议而产生的或与本协议有关的一切争议，除经友好协商可</w:t>
      </w:r>
      <w:r>
        <w:rPr>
          <w:spacing w:val="-11"/>
        </w:rPr>
        <w:t>以解决的，应提交中国国际经济贸易仲裁委员会根据该会当时有效的仲裁规则进行仲裁，仲</w:t>
      </w:r>
      <w:r>
        <w:rPr>
          <w:spacing w:val="-6"/>
        </w:rPr>
        <w:t>裁的地点在北京，仲裁裁决是终局性的并对相关各方均有约束力，仲裁费用由败诉方承担。</w:t>
      </w:r>
    </w:p>
    <w:p>
      <w:pPr>
        <w:pStyle w:val="BodyText"/>
        <w:spacing w:line="417" w:lineRule="auto"/>
        <w:ind w:left="540" w:right="311" w:firstLine="419"/>
      </w:pPr>
      <w:r>
        <w:rPr>
          <w:spacing w:val="-18"/>
        </w:rPr>
        <w:t>争议处理期间，相关各方当事人应恪守基金管理人和基金托管人职责，继续忠实、勤勉、</w:t>
      </w:r>
      <w:r>
        <w:rPr>
          <w:spacing w:val="-7"/>
        </w:rPr>
        <w:t>尽责地履行《基金合同》和托管协议规定的义务，维护基金份额持有人的合法权益。</w:t>
      </w:r>
    </w:p>
    <w:p>
      <w:pPr>
        <w:pStyle w:val="BodyText"/>
        <w:spacing w:line="269" w:lineRule="exact"/>
        <w:ind w:left="960"/>
      </w:pPr>
      <w:r>
        <w:rPr/>
        <w:t>本协议受中国法律管辖。</w:t>
      </w:r>
    </w:p>
    <w:p>
      <w:pPr>
        <w:pStyle w:val="BodyText"/>
        <w:spacing w:before="7"/>
        <w:rPr>
          <w:sz w:val="15"/>
        </w:rPr>
      </w:pPr>
    </w:p>
    <w:p>
      <w:pPr>
        <w:spacing w:before="0"/>
        <w:ind w:left="3634" w:right="0" w:firstLine="0"/>
        <w:jc w:val="left"/>
        <w:rPr>
          <w:b/>
          <w:sz w:val="21"/>
        </w:rPr>
      </w:pPr>
      <w:r>
        <w:rPr>
          <w:b/>
          <w:sz w:val="21"/>
        </w:rPr>
        <w:t>八、托管协议的修改与终止</w:t>
      </w:r>
    </w:p>
    <w:p>
      <w:pPr>
        <w:pStyle w:val="BodyText"/>
        <w:spacing w:before="6"/>
        <w:rPr>
          <w:b/>
          <w:sz w:val="15"/>
        </w:rPr>
      </w:pPr>
    </w:p>
    <w:p>
      <w:pPr>
        <w:pStyle w:val="BodyText"/>
        <w:spacing w:before="1"/>
        <w:ind w:left="1013"/>
      </w:pPr>
      <w:r>
        <w:rPr/>
        <w:t>（一）托管协议的变更与终止</w:t>
      </w:r>
    </w:p>
    <w:p>
      <w:pPr>
        <w:pStyle w:val="BodyText"/>
        <w:spacing w:before="6"/>
        <w:rPr>
          <w:sz w:val="15"/>
        </w:rPr>
      </w:pPr>
    </w:p>
    <w:p>
      <w:pPr>
        <w:pStyle w:val="BodyText"/>
        <w:ind w:left="1013"/>
      </w:pPr>
      <w:r>
        <w:rPr>
          <w:rFonts w:ascii="Times New Roman" w:eastAsia="Times New Roman"/>
        </w:rPr>
        <w:t>1</w:t>
      </w:r>
      <w:r>
        <w:rPr/>
        <w:t>、托管协议的变更程序</w:t>
      </w:r>
    </w:p>
    <w:p>
      <w:pPr>
        <w:pStyle w:val="BodyText"/>
        <w:spacing w:before="7"/>
        <w:rPr>
          <w:sz w:val="15"/>
        </w:rPr>
      </w:pPr>
    </w:p>
    <w:p>
      <w:pPr>
        <w:pStyle w:val="BodyText"/>
        <w:spacing w:line="417" w:lineRule="auto"/>
        <w:ind w:left="540" w:right="315" w:firstLine="472"/>
      </w:pPr>
      <w:r>
        <w:rPr/>
        <w:t>本协议双方当事人经协商一致，可以对协议的内容进行变更。变更后的托管协议，其内容不得与《基金合同》的规定有任何冲突。</w:t>
      </w:r>
    </w:p>
    <w:p>
      <w:pPr>
        <w:spacing w:after="0" w:line="417" w:lineRule="auto"/>
        <w:sectPr>
          <w:pgSz w:w="11910" w:h="16840"/>
          <w:pgMar w:header="877" w:footer="995" w:top="1420" w:bottom="1180" w:left="1260" w:right="1480"/>
        </w:sectPr>
      </w:pPr>
    </w:p>
    <w:p>
      <w:pPr>
        <w:pStyle w:val="BodyText"/>
        <w:spacing w:before="110"/>
        <w:ind w:left="1013"/>
      </w:pPr>
      <w:r>
        <w:rPr>
          <w:rFonts w:ascii="Times New Roman" w:eastAsia="Times New Roman"/>
        </w:rPr>
        <w:t>2</w:t>
      </w:r>
      <w:r>
        <w:rPr/>
        <w:t>、基金托管协议终止的情形</w:t>
      </w:r>
    </w:p>
    <w:p>
      <w:pPr>
        <w:pStyle w:val="BodyText"/>
        <w:spacing w:before="6"/>
        <w:rPr>
          <w:sz w:val="15"/>
        </w:rPr>
      </w:pPr>
    </w:p>
    <w:p>
      <w:pPr>
        <w:pStyle w:val="BodyText"/>
        <w:ind w:left="1013"/>
      </w:pPr>
      <w:r>
        <w:rPr/>
        <w:t>发生以下情况，本托管协议终止：</w:t>
      </w:r>
    </w:p>
    <w:p>
      <w:pPr>
        <w:pStyle w:val="BodyText"/>
        <w:spacing w:before="7"/>
        <w:rPr>
          <w:sz w:val="15"/>
        </w:rPr>
      </w:pPr>
    </w:p>
    <w:p>
      <w:pPr>
        <w:pStyle w:val="ListParagraph"/>
        <w:numPr>
          <w:ilvl w:val="0"/>
          <w:numId w:val="58"/>
        </w:numPr>
        <w:tabs>
          <w:tab w:pos="1543" w:val="left" w:leader="none"/>
        </w:tabs>
        <w:spacing w:line="240" w:lineRule="auto" w:before="0" w:after="0"/>
        <w:ind w:left="1542" w:right="0" w:hanging="530"/>
        <w:jc w:val="left"/>
        <w:rPr>
          <w:sz w:val="21"/>
        </w:rPr>
      </w:pPr>
      <w:r>
        <w:rPr>
          <w:spacing w:val="-3"/>
          <w:sz w:val="21"/>
        </w:rPr>
        <w:t>《基金合同》终止。</w:t>
      </w:r>
    </w:p>
    <w:p>
      <w:pPr>
        <w:pStyle w:val="BodyText"/>
        <w:spacing w:before="7"/>
        <w:rPr>
          <w:sz w:val="15"/>
        </w:rPr>
      </w:pPr>
    </w:p>
    <w:p>
      <w:pPr>
        <w:pStyle w:val="ListParagraph"/>
        <w:numPr>
          <w:ilvl w:val="0"/>
          <w:numId w:val="58"/>
        </w:numPr>
        <w:tabs>
          <w:tab w:pos="1543" w:val="left" w:leader="none"/>
        </w:tabs>
        <w:spacing w:line="240" w:lineRule="auto" w:before="0" w:after="0"/>
        <w:ind w:left="1542" w:right="0" w:hanging="530"/>
        <w:jc w:val="left"/>
        <w:rPr>
          <w:sz w:val="21"/>
        </w:rPr>
      </w:pPr>
      <w:r>
        <w:rPr>
          <w:spacing w:val="-3"/>
          <w:sz w:val="21"/>
        </w:rPr>
        <w:t>基金托管人解散、依法被撤销、破产或有其他基金托管人接管基金资产。</w:t>
      </w:r>
    </w:p>
    <w:p>
      <w:pPr>
        <w:pStyle w:val="BodyText"/>
        <w:spacing w:before="7"/>
        <w:rPr>
          <w:sz w:val="15"/>
        </w:rPr>
      </w:pPr>
    </w:p>
    <w:p>
      <w:pPr>
        <w:pStyle w:val="ListParagraph"/>
        <w:numPr>
          <w:ilvl w:val="0"/>
          <w:numId w:val="58"/>
        </w:numPr>
        <w:tabs>
          <w:tab w:pos="1543" w:val="left" w:leader="none"/>
        </w:tabs>
        <w:spacing w:line="240" w:lineRule="auto" w:before="0" w:after="0"/>
        <w:ind w:left="1542" w:right="0" w:hanging="530"/>
        <w:jc w:val="left"/>
        <w:rPr>
          <w:sz w:val="21"/>
        </w:rPr>
      </w:pPr>
      <w:r>
        <w:rPr>
          <w:spacing w:val="-3"/>
          <w:sz w:val="21"/>
        </w:rPr>
        <w:t>基金管理人解散、依法被撤销、破产或有其他基金管理人接管基金管理权。</w:t>
      </w:r>
    </w:p>
    <w:p>
      <w:pPr>
        <w:pStyle w:val="BodyText"/>
        <w:spacing w:before="6"/>
        <w:rPr>
          <w:sz w:val="15"/>
        </w:rPr>
      </w:pPr>
    </w:p>
    <w:p>
      <w:pPr>
        <w:pStyle w:val="ListParagraph"/>
        <w:numPr>
          <w:ilvl w:val="0"/>
          <w:numId w:val="58"/>
        </w:numPr>
        <w:tabs>
          <w:tab w:pos="1490" w:val="left" w:leader="none"/>
        </w:tabs>
        <w:spacing w:line="240" w:lineRule="auto" w:before="0" w:after="0"/>
        <w:ind w:left="1489" w:right="0" w:hanging="530"/>
        <w:jc w:val="left"/>
        <w:rPr>
          <w:sz w:val="21"/>
        </w:rPr>
      </w:pPr>
      <w:r>
        <w:rPr>
          <w:spacing w:val="-3"/>
          <w:sz w:val="21"/>
        </w:rPr>
        <w:t>发生法律法规或《基金合同》规定的终止事项。</w:t>
      </w:r>
    </w:p>
    <w:p>
      <w:pPr>
        <w:pStyle w:val="BodyText"/>
        <w:rPr>
          <w:sz w:val="22"/>
        </w:rPr>
      </w:pPr>
    </w:p>
    <w:p>
      <w:pPr>
        <w:pStyle w:val="BodyText"/>
        <w:spacing w:before="2"/>
        <w:rPr>
          <w:sz w:val="20"/>
        </w:rPr>
      </w:pPr>
    </w:p>
    <w:p>
      <w:pPr>
        <w:spacing w:before="0"/>
        <w:ind w:left="2461" w:right="2237" w:firstLine="0"/>
        <w:jc w:val="center"/>
        <w:rPr>
          <w:b/>
          <w:sz w:val="21"/>
        </w:rPr>
      </w:pPr>
      <w:bookmarkStart w:name="_bookmark20" w:id="21"/>
      <w:bookmarkEnd w:id="21"/>
      <w:r>
        <w:rPr/>
      </w:r>
      <w:r>
        <w:rPr>
          <w:b/>
          <w:sz w:val="21"/>
        </w:rPr>
        <w:t>二十一、对基金份额持有人的服务</w:t>
      </w:r>
    </w:p>
    <w:p>
      <w:pPr>
        <w:pStyle w:val="BodyText"/>
        <w:rPr>
          <w:b/>
          <w:sz w:val="20"/>
        </w:rPr>
      </w:pPr>
    </w:p>
    <w:p>
      <w:pPr>
        <w:pStyle w:val="BodyText"/>
        <w:spacing w:before="3"/>
        <w:rPr>
          <w:b/>
        </w:rPr>
      </w:pPr>
    </w:p>
    <w:p>
      <w:pPr>
        <w:pStyle w:val="BodyText"/>
        <w:ind w:left="960"/>
      </w:pPr>
      <w:r>
        <w:rPr>
          <w:spacing w:val="-3"/>
        </w:rPr>
        <w:t>对本基金份额持有人的服务主要由基金管理人和代销机构提供。</w:t>
      </w:r>
    </w:p>
    <w:p>
      <w:pPr>
        <w:pStyle w:val="BodyText"/>
        <w:spacing w:before="7"/>
        <w:rPr>
          <w:sz w:val="15"/>
        </w:rPr>
      </w:pPr>
    </w:p>
    <w:p>
      <w:pPr>
        <w:pStyle w:val="BodyText"/>
        <w:spacing w:line="417" w:lineRule="auto"/>
        <w:ind w:left="540" w:right="31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960"/>
      </w:pPr>
      <w:r>
        <w:rPr/>
        <w:t>（一）资料发送</w:t>
      </w:r>
    </w:p>
    <w:p>
      <w:pPr>
        <w:pStyle w:val="BodyText"/>
        <w:spacing w:before="6"/>
        <w:rPr>
          <w:sz w:val="15"/>
        </w:rPr>
      </w:pPr>
    </w:p>
    <w:p>
      <w:pPr>
        <w:pStyle w:val="BodyText"/>
        <w:spacing w:before="1"/>
        <w:ind w:left="960"/>
      </w:pPr>
      <w:r>
        <w:rPr>
          <w:rFonts w:ascii="Times New Roman" w:eastAsia="Times New Roman"/>
        </w:rPr>
        <w:t>1</w:t>
      </w:r>
      <w:r>
        <w:rPr/>
        <w:t>、基金交易对账单</w:t>
      </w:r>
    </w:p>
    <w:p>
      <w:pPr>
        <w:pStyle w:val="BodyText"/>
        <w:spacing w:before="6"/>
        <w:rPr>
          <w:sz w:val="15"/>
        </w:rPr>
      </w:pPr>
    </w:p>
    <w:p>
      <w:pPr>
        <w:pStyle w:val="BodyText"/>
        <w:spacing w:line="417" w:lineRule="auto"/>
        <w:ind w:left="540" w:right="20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ind w:left="960"/>
      </w:pPr>
      <w:r>
        <w:rPr>
          <w:rFonts w:ascii="Times New Roman" w:eastAsia="Times New Roman"/>
        </w:rPr>
        <w:t>2</w:t>
      </w:r>
      <w:r>
        <w:rPr/>
        <w:t>、其他相关的信息资料</w:t>
      </w:r>
    </w:p>
    <w:p>
      <w:pPr>
        <w:pStyle w:val="BodyText"/>
        <w:spacing w:before="7"/>
        <w:rPr>
          <w:sz w:val="15"/>
        </w:rPr>
      </w:pPr>
    </w:p>
    <w:p>
      <w:pPr>
        <w:pStyle w:val="BodyText"/>
        <w:spacing w:line="417" w:lineRule="auto"/>
        <w:ind w:left="540" w:right="208" w:firstLine="419"/>
      </w:pPr>
      <w:r>
        <w:rPr/>
        <w:t>指随基金交易对账单不定期发送的基金资讯材料，如基金新产品或新服务的相关材料、客户服务问答等。</w:t>
      </w:r>
    </w:p>
    <w:p>
      <w:pPr>
        <w:pStyle w:val="BodyText"/>
        <w:spacing w:line="269" w:lineRule="exact"/>
        <w:ind w:left="960"/>
      </w:pPr>
      <w:r>
        <w:rPr/>
        <w:t>（二）电子交易</w:t>
      </w:r>
    </w:p>
    <w:p>
      <w:pPr>
        <w:pStyle w:val="BodyText"/>
        <w:spacing w:before="7"/>
        <w:rPr>
          <w:sz w:val="15"/>
        </w:rPr>
      </w:pPr>
    </w:p>
    <w:p>
      <w:pPr>
        <w:pStyle w:val="BodyText"/>
        <w:spacing w:line="417" w:lineRule="auto"/>
        <w:ind w:left="540" w:right="20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63">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9" w:lineRule="exact"/>
        <w:ind w:left="960"/>
      </w:pPr>
      <w:r>
        <w:rPr/>
        <w:t>（三）电子邮件及短信服务</w:t>
      </w:r>
    </w:p>
    <w:p>
      <w:pPr>
        <w:spacing w:after="0" w:line="269" w:lineRule="exact"/>
        <w:sectPr>
          <w:pgSz w:w="11910" w:h="16840"/>
          <w:pgMar w:header="877" w:footer="995" w:top="1420" w:bottom="1180" w:left="1260" w:right="1480"/>
        </w:sectPr>
      </w:pPr>
    </w:p>
    <w:p>
      <w:pPr>
        <w:pStyle w:val="BodyText"/>
        <w:spacing w:line="417" w:lineRule="auto" w:before="110"/>
        <w:ind w:left="540" w:right="31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60"/>
      </w:pPr>
      <w:r>
        <w:rPr/>
        <w:t>（四）呼叫中心</w:t>
      </w:r>
    </w:p>
    <w:p>
      <w:pPr>
        <w:pStyle w:val="BodyText"/>
        <w:spacing w:before="6"/>
        <w:rPr>
          <w:sz w:val="15"/>
        </w:rPr>
      </w:pPr>
    </w:p>
    <w:p>
      <w:pPr>
        <w:pStyle w:val="BodyText"/>
        <w:ind w:left="960"/>
      </w:pPr>
      <w:r>
        <w:rPr>
          <w:rFonts w:ascii="Times New Roman" w:eastAsia="Times New Roman"/>
        </w:rPr>
        <w:t>1</w:t>
      </w:r>
      <w:r>
        <w:rPr/>
        <w:t>、自动语音服务</w:t>
      </w:r>
    </w:p>
    <w:p>
      <w:pPr>
        <w:pStyle w:val="BodyText"/>
        <w:spacing w:before="7"/>
        <w:rPr>
          <w:sz w:val="15"/>
        </w:rPr>
      </w:pPr>
    </w:p>
    <w:p>
      <w:pPr>
        <w:pStyle w:val="BodyText"/>
        <w:spacing w:line="417" w:lineRule="auto"/>
        <w:ind w:left="540" w:right="31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960"/>
      </w:pPr>
      <w:r>
        <w:rPr>
          <w:rFonts w:ascii="Times New Roman" w:eastAsia="Times New Roman"/>
        </w:rPr>
        <w:t>2</w:t>
      </w:r>
      <w:r>
        <w:rPr/>
        <w:t>、人工电话服务</w:t>
      </w:r>
    </w:p>
    <w:p>
      <w:pPr>
        <w:pStyle w:val="BodyText"/>
        <w:spacing w:before="7"/>
        <w:rPr>
          <w:sz w:val="15"/>
        </w:rPr>
      </w:pPr>
    </w:p>
    <w:p>
      <w:pPr>
        <w:pStyle w:val="BodyText"/>
        <w:spacing w:line="417" w:lineRule="auto" w:before="1"/>
        <w:ind w:left="540" w:right="31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960" w:right="550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line="269" w:lineRule="exact"/>
        <w:ind w:left="960"/>
      </w:pPr>
      <w:r>
        <w:rPr/>
        <w:t>（五）在线服务</w:t>
      </w:r>
    </w:p>
    <w:p>
      <w:pPr>
        <w:pStyle w:val="BodyText"/>
        <w:spacing w:before="6"/>
        <w:rPr>
          <w:sz w:val="15"/>
        </w:rPr>
      </w:pPr>
    </w:p>
    <w:p>
      <w:pPr>
        <w:pStyle w:val="BodyText"/>
        <w:ind w:left="960"/>
      </w:pPr>
      <w:r>
        <w:rPr/>
        <w:t>投资者可通过本公司网站、</w:t>
      </w:r>
      <w:r>
        <w:rPr>
          <w:rFonts w:ascii="Times New Roman" w:eastAsia="Times New Roman"/>
        </w:rPr>
        <w:t>APP</w:t>
      </w:r>
      <w:r>
        <w:rPr/>
        <w:t>、微信公众号、微官网等渠道获得在线服务。</w:t>
      </w:r>
    </w:p>
    <w:p>
      <w:pPr>
        <w:pStyle w:val="BodyText"/>
        <w:spacing w:before="7"/>
        <w:rPr>
          <w:sz w:val="15"/>
        </w:rPr>
      </w:pPr>
    </w:p>
    <w:p>
      <w:pPr>
        <w:pStyle w:val="BodyText"/>
        <w:ind w:left="960"/>
      </w:pPr>
      <w:r>
        <w:rPr>
          <w:rFonts w:ascii="Times New Roman" w:eastAsia="Times New Roman"/>
        </w:rPr>
        <w:t>1</w:t>
      </w:r>
      <w:r>
        <w:rPr/>
        <w:t>、查询服务</w:t>
      </w:r>
    </w:p>
    <w:p>
      <w:pPr>
        <w:pStyle w:val="BodyText"/>
        <w:spacing w:before="7"/>
        <w:rPr>
          <w:sz w:val="15"/>
        </w:rPr>
      </w:pPr>
    </w:p>
    <w:p>
      <w:pPr>
        <w:pStyle w:val="BodyText"/>
        <w:ind w:left="960"/>
      </w:pPr>
      <w:r>
        <w:rPr>
          <w:spacing w:val="-9"/>
          <w:w w:val="100"/>
        </w:rPr>
        <w:t>投资者可登录本公司网站“基金账户查询”，查询基金账户情况、更改个人信息。</w:t>
      </w:r>
    </w:p>
    <w:p>
      <w:pPr>
        <w:pStyle w:val="BodyText"/>
        <w:spacing w:before="6"/>
        <w:rPr>
          <w:sz w:val="15"/>
        </w:rPr>
      </w:pPr>
    </w:p>
    <w:p>
      <w:pPr>
        <w:pStyle w:val="BodyText"/>
        <w:spacing w:before="1"/>
        <w:ind w:left="960"/>
      </w:pPr>
      <w:r>
        <w:rPr>
          <w:rFonts w:ascii="Times New Roman" w:eastAsia="Times New Roman"/>
        </w:rPr>
        <w:t>2</w:t>
      </w:r>
      <w:r>
        <w:rPr/>
        <w:t>、自助服务</w:t>
      </w:r>
    </w:p>
    <w:p>
      <w:pPr>
        <w:pStyle w:val="BodyText"/>
        <w:spacing w:before="6"/>
        <w:rPr>
          <w:sz w:val="15"/>
        </w:rPr>
      </w:pPr>
    </w:p>
    <w:p>
      <w:pPr>
        <w:pStyle w:val="BodyText"/>
        <w:spacing w:line="417" w:lineRule="auto"/>
        <w:ind w:left="540" w:right="31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9" w:lineRule="exact"/>
        <w:ind w:left="960"/>
      </w:pPr>
      <w:r>
        <w:rPr>
          <w:rFonts w:ascii="Times New Roman" w:eastAsia="Times New Roman"/>
        </w:rPr>
        <w:t>3</w:t>
      </w:r>
      <w:r>
        <w:rPr/>
        <w:t>、人工服务</w:t>
      </w:r>
    </w:p>
    <w:p>
      <w:pPr>
        <w:pStyle w:val="BodyText"/>
        <w:spacing w:before="7"/>
        <w:rPr>
          <w:sz w:val="15"/>
        </w:rPr>
      </w:pPr>
    </w:p>
    <w:p>
      <w:pPr>
        <w:pStyle w:val="BodyText"/>
        <w:spacing w:line="417" w:lineRule="auto"/>
        <w:ind w:left="540" w:right="31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ind w:left="960"/>
      </w:pPr>
      <w:r>
        <w:rPr>
          <w:rFonts w:ascii="Times New Roman" w:eastAsia="Times New Roman"/>
        </w:rPr>
        <w:t>4</w:t>
      </w:r>
      <w:r>
        <w:rPr/>
        <w:t>、资讯服务</w:t>
      </w:r>
    </w:p>
    <w:p>
      <w:pPr>
        <w:pStyle w:val="BodyText"/>
        <w:spacing w:before="7"/>
        <w:rPr>
          <w:sz w:val="15"/>
        </w:rPr>
      </w:pPr>
    </w:p>
    <w:p>
      <w:pPr>
        <w:pStyle w:val="BodyText"/>
        <w:spacing w:line="417" w:lineRule="auto"/>
        <w:ind w:left="540" w:right="31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960"/>
        <w:rPr>
          <w:rFonts w:ascii="Times New Roman" w:eastAsia="Times New Roman"/>
        </w:rPr>
      </w:pPr>
      <w:r>
        <w:rPr/>
        <w:t>公司网址：</w:t>
      </w:r>
      <w:hyperlink r:id="rId13">
        <w:r>
          <w:rPr>
            <w:rFonts w:ascii="Times New Roman" w:eastAsia="Times New Roman"/>
          </w:rPr>
          <w:t>www.ChinaAMC.com</w:t>
        </w:r>
      </w:hyperlink>
    </w:p>
    <w:p>
      <w:pPr>
        <w:pStyle w:val="BodyText"/>
        <w:spacing w:before="3"/>
        <w:rPr>
          <w:rFonts w:ascii="Times New Roman"/>
          <w:sz w:val="17"/>
        </w:rPr>
      </w:pPr>
    </w:p>
    <w:p>
      <w:pPr>
        <w:pStyle w:val="BodyText"/>
        <w:spacing w:before="1"/>
        <w:ind w:left="960"/>
        <w:rPr>
          <w:rFonts w:ascii="Times New Roman" w:eastAsia="Times New Roman"/>
        </w:rPr>
      </w:pPr>
      <w:r>
        <w:rPr/>
        <w:t>电子信箱：</w:t>
      </w:r>
      <w:hyperlink r:id="rId189">
        <w:r>
          <w:rPr>
            <w:rFonts w:ascii="Times New Roman" w:eastAsia="Times New Roman"/>
          </w:rPr>
          <w:t>service@ChinaAMC.com</w:t>
        </w:r>
      </w:hyperlink>
    </w:p>
    <w:p>
      <w:pPr>
        <w:pStyle w:val="BodyText"/>
        <w:spacing w:before="3"/>
        <w:rPr>
          <w:rFonts w:ascii="Times New Roman"/>
          <w:sz w:val="17"/>
        </w:rPr>
      </w:pPr>
    </w:p>
    <w:p>
      <w:pPr>
        <w:pStyle w:val="BodyText"/>
        <w:ind w:left="960"/>
      </w:pPr>
      <w:r>
        <w:rPr/>
        <w:t>（六）客户投诉和建议处理</w:t>
      </w:r>
    </w:p>
    <w:p>
      <w:pPr>
        <w:pStyle w:val="BodyText"/>
        <w:spacing w:before="7"/>
        <w:rPr>
          <w:sz w:val="15"/>
        </w:rPr>
      </w:pPr>
    </w:p>
    <w:p>
      <w:pPr>
        <w:pStyle w:val="BodyText"/>
        <w:spacing w:line="417" w:lineRule="auto"/>
        <w:ind w:left="540" w:right="31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spacing w:after="0" w:line="417" w:lineRule="auto"/>
        <w:jc w:val="both"/>
        <w:sectPr>
          <w:pgSz w:w="11910" w:h="16840"/>
          <w:pgMar w:header="877" w:footer="995" w:top="1420" w:bottom="1180" w:left="1260" w:right="1480"/>
        </w:sectPr>
      </w:pPr>
    </w:p>
    <w:p>
      <w:pPr>
        <w:spacing w:before="110"/>
        <w:ind w:left="2461" w:right="2239" w:firstLine="0"/>
        <w:jc w:val="center"/>
        <w:rPr>
          <w:b/>
          <w:sz w:val="21"/>
        </w:rPr>
      </w:pPr>
      <w:bookmarkStart w:name="_bookmark21" w:id="22"/>
      <w:bookmarkEnd w:id="22"/>
      <w:r>
        <w:rPr/>
      </w:r>
      <w:r>
        <w:rPr>
          <w:b/>
          <w:sz w:val="21"/>
        </w:rPr>
        <w:t>二十二、其他应披露事项</w:t>
      </w:r>
    </w:p>
    <w:p>
      <w:pPr>
        <w:pStyle w:val="BodyText"/>
        <w:rPr>
          <w:b/>
          <w:sz w:val="20"/>
        </w:rPr>
      </w:pPr>
    </w:p>
    <w:p>
      <w:pPr>
        <w:pStyle w:val="BodyText"/>
        <w:spacing w:before="8"/>
        <w:rPr>
          <w:b/>
          <w:sz w:val="23"/>
        </w:rPr>
      </w:pPr>
    </w:p>
    <w:p>
      <w:pPr>
        <w:pStyle w:val="BodyText"/>
        <w:spacing w:line="417" w:lineRule="auto"/>
        <w:ind w:left="540" w:right="311" w:firstLine="419"/>
      </w:pPr>
      <w:r>
        <w:rPr>
          <w:w w:val="100"/>
        </w:rPr>
        <w:t>（</w:t>
      </w:r>
      <w:r>
        <w:rPr>
          <w:spacing w:val="-3"/>
          <w:w w:val="100"/>
        </w:rPr>
        <w:t>一</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1</w:t>
      </w:r>
      <w:r>
        <w:rPr>
          <w:rFonts w:ascii="Times New Roman" w:eastAsia="Times New Roman"/>
          <w:w w:val="100"/>
        </w:rPr>
        <w:t>0</w:t>
      </w:r>
      <w:r>
        <w:rPr>
          <w:w w:val="100"/>
        </w:rPr>
        <w:t>月</w:t>
      </w:r>
      <w:r>
        <w:rPr>
          <w:rFonts w:ascii="Times New Roman" w:eastAsia="Times New Roman"/>
          <w:spacing w:val="-3"/>
          <w:w w:val="100"/>
        </w:rPr>
        <w:t>1</w:t>
      </w:r>
      <w:r>
        <w:rPr>
          <w:rFonts w:ascii="Times New Roman" w:eastAsia="Times New Roman"/>
          <w:w w:val="100"/>
        </w:rPr>
        <w:t>3</w:t>
      </w:r>
      <w:r>
        <w:rPr>
          <w:spacing w:val="-3"/>
          <w:w w:val="100"/>
        </w:rPr>
        <w:t>日发布华夏基金管理有限公司关于修订旗下部分公募基金基金合同</w:t>
      </w:r>
      <w:r>
        <w:rPr>
          <w:spacing w:val="-3"/>
        </w:rPr>
        <w:t>的公告。</w:t>
      </w:r>
    </w:p>
    <w:p>
      <w:pPr>
        <w:pStyle w:val="Heading1"/>
        <w:spacing w:before="119"/>
        <w:ind w:left="3008" w:right="0"/>
        <w:jc w:val="left"/>
      </w:pPr>
      <w:bookmarkStart w:name="_bookmark22" w:id="23"/>
      <w:bookmarkEnd w:id="23"/>
      <w:r>
        <w:rPr>
          <w:b w:val="0"/>
        </w:rPr>
      </w:r>
      <w:r>
        <w:rPr/>
        <w:t>二十三、招募说明书存放及查阅方式</w:t>
      </w:r>
    </w:p>
    <w:p>
      <w:pPr>
        <w:pStyle w:val="BodyText"/>
        <w:spacing w:before="12"/>
        <w:rPr>
          <w:b/>
          <w:sz w:val="24"/>
        </w:rPr>
      </w:pPr>
    </w:p>
    <w:p>
      <w:pPr>
        <w:pStyle w:val="BodyText"/>
        <w:spacing w:line="417" w:lineRule="auto"/>
        <w:ind w:left="540" w:right="31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120"/>
        <w:ind w:left="3850" w:right="0"/>
        <w:jc w:val="left"/>
      </w:pPr>
      <w:bookmarkStart w:name="_bookmark23" w:id="24"/>
      <w:bookmarkEnd w:id="24"/>
      <w:r>
        <w:rPr>
          <w:b w:val="0"/>
        </w:rPr>
      </w:r>
      <w:r>
        <w:rPr/>
        <w:t>二十四、备查文件</w:t>
      </w:r>
    </w:p>
    <w:p>
      <w:pPr>
        <w:pStyle w:val="BodyText"/>
        <w:spacing w:before="11"/>
        <w:rPr>
          <w:b/>
          <w:sz w:val="24"/>
        </w:rPr>
      </w:pPr>
    </w:p>
    <w:p>
      <w:pPr>
        <w:pStyle w:val="BodyText"/>
        <w:ind w:left="960"/>
      </w:pPr>
      <w:r>
        <w:rPr/>
        <w:t>（一）备查文件目录</w:t>
      </w:r>
    </w:p>
    <w:p>
      <w:pPr>
        <w:pStyle w:val="BodyText"/>
        <w:spacing w:before="7"/>
        <w:rPr>
          <w:sz w:val="15"/>
        </w:rPr>
      </w:pPr>
    </w:p>
    <w:p>
      <w:pPr>
        <w:pStyle w:val="BodyText"/>
        <w:ind w:left="960"/>
      </w:pPr>
      <w:r>
        <w:rPr>
          <w:rFonts w:ascii="Times New Roman" w:eastAsia="Times New Roman"/>
        </w:rPr>
        <w:t>1</w:t>
      </w:r>
      <w:r>
        <w:rPr/>
        <w:t>、中国证监会准予华夏乐享健康灵活配置混合型证券投资基金注册的批复。</w:t>
      </w:r>
    </w:p>
    <w:p>
      <w:pPr>
        <w:pStyle w:val="BodyText"/>
        <w:spacing w:before="7"/>
        <w:rPr>
          <w:sz w:val="15"/>
        </w:rPr>
      </w:pPr>
    </w:p>
    <w:p>
      <w:pPr>
        <w:pStyle w:val="BodyText"/>
        <w:ind w:left="960"/>
      </w:pPr>
      <w:r>
        <w:rPr>
          <w:rFonts w:ascii="Times New Roman" w:eastAsia="Times New Roman"/>
        </w:rPr>
        <w:t>2</w:t>
      </w:r>
      <w:r>
        <w:rPr>
          <w:spacing w:val="-16"/>
        </w:rPr>
        <w:t>、《华夏乐享健康灵活配置混合型证券投资基金基金合同》。</w:t>
      </w:r>
    </w:p>
    <w:p>
      <w:pPr>
        <w:pStyle w:val="BodyText"/>
        <w:spacing w:before="7"/>
        <w:rPr>
          <w:sz w:val="15"/>
        </w:rPr>
      </w:pPr>
    </w:p>
    <w:p>
      <w:pPr>
        <w:pStyle w:val="BodyText"/>
        <w:ind w:left="960"/>
      </w:pPr>
      <w:r>
        <w:rPr>
          <w:rFonts w:ascii="Times New Roman" w:eastAsia="Times New Roman"/>
        </w:rPr>
        <w:t>3</w:t>
      </w:r>
      <w:r>
        <w:rPr>
          <w:spacing w:val="-16"/>
        </w:rPr>
        <w:t>、《华夏乐享健康灵活配置混合型证券投资基金托管协议》。</w:t>
      </w:r>
    </w:p>
    <w:p>
      <w:pPr>
        <w:pStyle w:val="BodyText"/>
        <w:spacing w:before="6"/>
        <w:rPr>
          <w:sz w:val="15"/>
        </w:rPr>
      </w:pPr>
    </w:p>
    <w:p>
      <w:pPr>
        <w:pStyle w:val="BodyText"/>
        <w:spacing w:before="1"/>
        <w:ind w:left="960"/>
      </w:pPr>
      <w:r>
        <w:rPr>
          <w:rFonts w:ascii="Times New Roman" w:eastAsia="Times New Roman"/>
        </w:rPr>
        <w:t>4</w:t>
      </w:r>
      <w:r>
        <w:rPr/>
        <w:t>、法律意见书。</w:t>
      </w:r>
    </w:p>
    <w:p>
      <w:pPr>
        <w:pStyle w:val="BodyText"/>
        <w:spacing w:before="6"/>
        <w:rPr>
          <w:sz w:val="15"/>
        </w:rPr>
      </w:pPr>
    </w:p>
    <w:p>
      <w:pPr>
        <w:pStyle w:val="BodyText"/>
        <w:spacing w:before="1"/>
        <w:ind w:left="960"/>
      </w:pPr>
      <w:r>
        <w:rPr>
          <w:rFonts w:ascii="Times New Roman" w:eastAsia="Times New Roman"/>
        </w:rPr>
        <w:t>5</w:t>
      </w:r>
      <w:r>
        <w:rPr>
          <w:spacing w:val="-3"/>
        </w:rPr>
        <w:t>、基金管理人业务资格批件、营业执照。</w:t>
      </w:r>
    </w:p>
    <w:p>
      <w:pPr>
        <w:pStyle w:val="BodyText"/>
        <w:spacing w:before="6"/>
        <w:rPr>
          <w:sz w:val="15"/>
        </w:rPr>
      </w:pPr>
    </w:p>
    <w:p>
      <w:pPr>
        <w:pStyle w:val="BodyText"/>
        <w:ind w:left="96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960"/>
      </w:pPr>
      <w:r>
        <w:rPr/>
        <w:t>（二）存放地点</w:t>
      </w:r>
    </w:p>
    <w:p>
      <w:pPr>
        <w:pStyle w:val="BodyText"/>
        <w:spacing w:before="7"/>
        <w:rPr>
          <w:sz w:val="15"/>
        </w:rPr>
      </w:pPr>
    </w:p>
    <w:p>
      <w:pPr>
        <w:pStyle w:val="BodyText"/>
        <w:ind w:left="96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spacing w:before="1"/>
        <w:ind w:left="960"/>
      </w:pPr>
      <w:r>
        <w:rPr/>
        <w:t>（三）查阅方式</w:t>
      </w:r>
    </w:p>
    <w:p>
      <w:pPr>
        <w:pStyle w:val="BodyText"/>
        <w:spacing w:before="6"/>
        <w:rPr>
          <w:sz w:val="15"/>
        </w:rPr>
      </w:pPr>
    </w:p>
    <w:p>
      <w:pPr>
        <w:pStyle w:val="BodyText"/>
        <w:spacing w:line="417" w:lineRule="auto"/>
        <w:ind w:left="540" w:right="31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8"/>
        <w:ind w:left="6747" w:right="313"/>
        <w:jc w:val="right"/>
      </w:pPr>
      <w:r>
        <w:rPr/>
        <w:t>华夏基金管理有限公司二〇二〇年十月十四日</w:t>
      </w:r>
    </w:p>
    <w:sectPr>
      <w:pgSz w:w="11910" w:h="16840"/>
      <w:pgMar w:header="877" w:footer="995" w:top="1420" w:bottom="1180" w:left="12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369995pt;margin-top:781.179993pt;width:8.5pt;height:12pt;mso-position-horizontal-relative:page;mso-position-vertical-relative:page;z-index:-2598389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379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98369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359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34880"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338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832832"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8318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841024"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52.369995pt;margin-top:42.865608pt;width:254pt;height:11pt;mso-position-horizontal-relative:page;mso-position-vertical-relative:page;z-index:-259840000" type="#_x0000_t202" filled="false" stroked="false">
          <v:textbox inset="0,0,0,0">
            <w:txbxContent>
              <w:p>
                <w:pPr>
                  <w:spacing w:line="220" w:lineRule="exact" w:before="0"/>
                  <w:ind w:left="20" w:right="0" w:firstLine="0"/>
                  <w:jc w:val="left"/>
                  <w:rPr>
                    <w:sz w:val="18"/>
                  </w:rPr>
                </w:pPr>
                <w:r>
                  <w:rPr>
                    <w:sz w:val="18"/>
                  </w:rPr>
                  <w:t>华夏乐享健康灵活配置混合型证券投资基金招募说明书（更新）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7">
    <w:multiLevelType w:val="hybridMultilevel"/>
    <w:lvl w:ilvl="0">
      <w:start w:val="1"/>
      <w:numFmt w:val="decimal"/>
      <w:lvlText w:val="（%1）"/>
      <w:lvlJc w:val="left"/>
      <w:pPr>
        <w:ind w:left="1542"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302" w:hanging="529"/>
      </w:pPr>
      <w:rPr>
        <w:rFonts w:hint="default"/>
        <w:lang w:val="zh-CN" w:eastAsia="zh-CN" w:bidi="zh-CN"/>
      </w:rPr>
    </w:lvl>
    <w:lvl w:ilvl="2">
      <w:start w:val="0"/>
      <w:numFmt w:val="bullet"/>
      <w:lvlText w:val="•"/>
      <w:lvlJc w:val="left"/>
      <w:pPr>
        <w:ind w:left="3065" w:hanging="529"/>
      </w:pPr>
      <w:rPr>
        <w:rFonts w:hint="default"/>
        <w:lang w:val="zh-CN" w:eastAsia="zh-CN" w:bidi="zh-CN"/>
      </w:rPr>
    </w:lvl>
    <w:lvl w:ilvl="3">
      <w:start w:val="0"/>
      <w:numFmt w:val="bullet"/>
      <w:lvlText w:val="•"/>
      <w:lvlJc w:val="left"/>
      <w:pPr>
        <w:ind w:left="3827" w:hanging="529"/>
      </w:pPr>
      <w:rPr>
        <w:rFonts w:hint="default"/>
        <w:lang w:val="zh-CN" w:eastAsia="zh-CN" w:bidi="zh-CN"/>
      </w:rPr>
    </w:lvl>
    <w:lvl w:ilvl="4">
      <w:start w:val="0"/>
      <w:numFmt w:val="bullet"/>
      <w:lvlText w:val="•"/>
      <w:lvlJc w:val="left"/>
      <w:pPr>
        <w:ind w:left="4590" w:hanging="529"/>
      </w:pPr>
      <w:rPr>
        <w:rFonts w:hint="default"/>
        <w:lang w:val="zh-CN" w:eastAsia="zh-CN" w:bidi="zh-CN"/>
      </w:rPr>
    </w:lvl>
    <w:lvl w:ilvl="5">
      <w:start w:val="0"/>
      <w:numFmt w:val="bullet"/>
      <w:lvlText w:val="•"/>
      <w:lvlJc w:val="left"/>
      <w:pPr>
        <w:ind w:left="5353" w:hanging="529"/>
      </w:pPr>
      <w:rPr>
        <w:rFonts w:hint="default"/>
        <w:lang w:val="zh-CN" w:eastAsia="zh-CN" w:bidi="zh-CN"/>
      </w:rPr>
    </w:lvl>
    <w:lvl w:ilvl="6">
      <w:start w:val="0"/>
      <w:numFmt w:val="bullet"/>
      <w:lvlText w:val="•"/>
      <w:lvlJc w:val="left"/>
      <w:pPr>
        <w:ind w:left="6115" w:hanging="529"/>
      </w:pPr>
      <w:rPr>
        <w:rFonts w:hint="default"/>
        <w:lang w:val="zh-CN" w:eastAsia="zh-CN" w:bidi="zh-CN"/>
      </w:rPr>
    </w:lvl>
    <w:lvl w:ilvl="7">
      <w:start w:val="0"/>
      <w:numFmt w:val="bullet"/>
      <w:lvlText w:val="•"/>
      <w:lvlJc w:val="left"/>
      <w:pPr>
        <w:ind w:left="6878" w:hanging="529"/>
      </w:pPr>
      <w:rPr>
        <w:rFonts w:hint="default"/>
        <w:lang w:val="zh-CN" w:eastAsia="zh-CN" w:bidi="zh-CN"/>
      </w:rPr>
    </w:lvl>
    <w:lvl w:ilvl="8">
      <w:start w:val="0"/>
      <w:numFmt w:val="bullet"/>
      <w:lvlText w:val="•"/>
      <w:lvlJc w:val="left"/>
      <w:pPr>
        <w:ind w:left="7641" w:hanging="529"/>
      </w:pPr>
      <w:rPr>
        <w:rFonts w:hint="default"/>
        <w:lang w:val="zh-CN" w:eastAsia="zh-CN" w:bidi="zh-CN"/>
      </w:rPr>
    </w:lvl>
  </w:abstractNum>
  <w:abstractNum w:abstractNumId="5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4">
    <w:multiLevelType w:val="hybridMultilevel"/>
    <w:lvl w:ilvl="0">
      <w:start w:val="1"/>
      <w:numFmt w:val="decimal"/>
      <w:lvlText w:val="%1）"/>
      <w:lvlJc w:val="left"/>
      <w:pPr>
        <w:ind w:left="540" w:hanging="318"/>
        <w:jc w:val="left"/>
      </w:pPr>
      <w:rPr>
        <w:rFonts w:hint="default" w:ascii="Times New Roman" w:hAnsi="Times New Roman" w:eastAsia="Times New Roman" w:cs="Times New Roman"/>
        <w:spacing w:val="-53"/>
        <w:w w:val="100"/>
        <w:sz w:val="19"/>
        <w:szCs w:val="19"/>
        <w:lang w:val="zh-CN" w:eastAsia="zh-CN" w:bidi="zh-CN"/>
      </w:rPr>
    </w:lvl>
    <w:lvl w:ilvl="1">
      <w:start w:val="0"/>
      <w:numFmt w:val="bullet"/>
      <w:lvlText w:val="•"/>
      <w:lvlJc w:val="left"/>
      <w:pPr>
        <w:ind w:left="1402" w:hanging="318"/>
      </w:pPr>
      <w:rPr>
        <w:rFonts w:hint="default"/>
        <w:lang w:val="zh-CN" w:eastAsia="zh-CN" w:bidi="zh-CN"/>
      </w:rPr>
    </w:lvl>
    <w:lvl w:ilvl="2">
      <w:start w:val="0"/>
      <w:numFmt w:val="bullet"/>
      <w:lvlText w:val="•"/>
      <w:lvlJc w:val="left"/>
      <w:pPr>
        <w:ind w:left="2265" w:hanging="318"/>
      </w:pPr>
      <w:rPr>
        <w:rFonts w:hint="default"/>
        <w:lang w:val="zh-CN" w:eastAsia="zh-CN" w:bidi="zh-CN"/>
      </w:rPr>
    </w:lvl>
    <w:lvl w:ilvl="3">
      <w:start w:val="0"/>
      <w:numFmt w:val="bullet"/>
      <w:lvlText w:val="•"/>
      <w:lvlJc w:val="left"/>
      <w:pPr>
        <w:ind w:left="3127" w:hanging="318"/>
      </w:pPr>
      <w:rPr>
        <w:rFonts w:hint="default"/>
        <w:lang w:val="zh-CN" w:eastAsia="zh-CN" w:bidi="zh-CN"/>
      </w:rPr>
    </w:lvl>
    <w:lvl w:ilvl="4">
      <w:start w:val="0"/>
      <w:numFmt w:val="bullet"/>
      <w:lvlText w:val="•"/>
      <w:lvlJc w:val="left"/>
      <w:pPr>
        <w:ind w:left="3990" w:hanging="318"/>
      </w:pPr>
      <w:rPr>
        <w:rFonts w:hint="default"/>
        <w:lang w:val="zh-CN" w:eastAsia="zh-CN" w:bidi="zh-CN"/>
      </w:rPr>
    </w:lvl>
    <w:lvl w:ilvl="5">
      <w:start w:val="0"/>
      <w:numFmt w:val="bullet"/>
      <w:lvlText w:val="•"/>
      <w:lvlJc w:val="left"/>
      <w:pPr>
        <w:ind w:left="4853" w:hanging="318"/>
      </w:pPr>
      <w:rPr>
        <w:rFonts w:hint="default"/>
        <w:lang w:val="zh-CN" w:eastAsia="zh-CN" w:bidi="zh-CN"/>
      </w:rPr>
    </w:lvl>
    <w:lvl w:ilvl="6">
      <w:start w:val="0"/>
      <w:numFmt w:val="bullet"/>
      <w:lvlText w:val="•"/>
      <w:lvlJc w:val="left"/>
      <w:pPr>
        <w:ind w:left="5715" w:hanging="318"/>
      </w:pPr>
      <w:rPr>
        <w:rFonts w:hint="default"/>
        <w:lang w:val="zh-CN" w:eastAsia="zh-CN" w:bidi="zh-CN"/>
      </w:rPr>
    </w:lvl>
    <w:lvl w:ilvl="7">
      <w:start w:val="0"/>
      <w:numFmt w:val="bullet"/>
      <w:lvlText w:val="•"/>
      <w:lvlJc w:val="left"/>
      <w:pPr>
        <w:ind w:left="6578" w:hanging="318"/>
      </w:pPr>
      <w:rPr>
        <w:rFonts w:hint="default"/>
        <w:lang w:val="zh-CN" w:eastAsia="zh-CN" w:bidi="zh-CN"/>
      </w:rPr>
    </w:lvl>
    <w:lvl w:ilvl="8">
      <w:start w:val="0"/>
      <w:numFmt w:val="bullet"/>
      <w:lvlText w:val="•"/>
      <w:lvlJc w:val="left"/>
      <w:pPr>
        <w:ind w:left="7441" w:hanging="318"/>
      </w:pPr>
      <w:rPr>
        <w:rFonts w:hint="default"/>
        <w:lang w:val="zh-CN" w:eastAsia="zh-CN" w:bidi="zh-CN"/>
      </w:rPr>
    </w:lvl>
  </w:abstractNum>
  <w:abstractNum w:abstractNumId="53">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2">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9">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1">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0">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8">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4">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2">
    <w:multiLevelType w:val="hybridMultilevel"/>
    <w:lvl w:ilvl="0">
      <w:start w:val="1"/>
      <w:numFmt w:val="decimal"/>
      <w:lvlText w:val="（%1）"/>
      <w:lvlJc w:val="left"/>
      <w:pPr>
        <w:ind w:left="54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1">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9">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7">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5">
    <w:multiLevelType w:val="hybridMultilevel"/>
    <w:lvl w:ilvl="0">
      <w:start w:val="5"/>
      <w:numFmt w:val="decimal"/>
      <w:lvlText w:val="%1"/>
      <w:lvlJc w:val="left"/>
      <w:pPr>
        <w:ind w:left="936" w:hanging="396"/>
        <w:jc w:val="left"/>
      </w:pPr>
      <w:rPr>
        <w:rFonts w:hint="default"/>
        <w:lang w:val="zh-CN" w:eastAsia="zh-CN" w:bidi="zh-CN"/>
      </w:rPr>
    </w:lvl>
    <w:lvl w:ilvl="1">
      <w:start w:val="1"/>
      <w:numFmt w:val="decimal"/>
      <w:lvlText w:val="%1.%2"/>
      <w:lvlJc w:val="left"/>
      <w:pPr>
        <w:ind w:left="936" w:hanging="396"/>
        <w:jc w:val="left"/>
      </w:pPr>
      <w:rPr>
        <w:rFonts w:hint="default"/>
        <w:spacing w:val="-1"/>
        <w:w w:val="100"/>
        <w:lang w:val="zh-CN" w:eastAsia="zh-CN" w:bidi="zh-CN"/>
      </w:rPr>
    </w:lvl>
    <w:lvl w:ilvl="2">
      <w:start w:val="1"/>
      <w:numFmt w:val="decimal"/>
      <w:lvlText w:val="%1.%2.%3"/>
      <w:lvlJc w:val="left"/>
      <w:pPr>
        <w:ind w:left="106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54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1180" w:hanging="529"/>
      </w:pPr>
      <w:rPr>
        <w:rFonts w:hint="default"/>
        <w:lang w:val="zh-CN" w:eastAsia="zh-CN" w:bidi="zh-CN"/>
      </w:rPr>
    </w:lvl>
    <w:lvl w:ilvl="5">
      <w:start w:val="0"/>
      <w:numFmt w:val="bullet"/>
      <w:lvlText w:val="•"/>
      <w:lvlJc w:val="left"/>
      <w:pPr>
        <w:ind w:left="2511" w:hanging="529"/>
      </w:pPr>
      <w:rPr>
        <w:rFonts w:hint="default"/>
        <w:lang w:val="zh-CN" w:eastAsia="zh-CN" w:bidi="zh-CN"/>
      </w:rPr>
    </w:lvl>
    <w:lvl w:ilvl="6">
      <w:start w:val="0"/>
      <w:numFmt w:val="bullet"/>
      <w:lvlText w:val="•"/>
      <w:lvlJc w:val="left"/>
      <w:pPr>
        <w:ind w:left="3842" w:hanging="529"/>
      </w:pPr>
      <w:rPr>
        <w:rFonts w:hint="default"/>
        <w:lang w:val="zh-CN" w:eastAsia="zh-CN" w:bidi="zh-CN"/>
      </w:rPr>
    </w:lvl>
    <w:lvl w:ilvl="7">
      <w:start w:val="0"/>
      <w:numFmt w:val="bullet"/>
      <w:lvlText w:val="•"/>
      <w:lvlJc w:val="left"/>
      <w:pPr>
        <w:ind w:left="5173" w:hanging="529"/>
      </w:pPr>
      <w:rPr>
        <w:rFonts w:hint="default"/>
        <w:lang w:val="zh-CN" w:eastAsia="zh-CN" w:bidi="zh-CN"/>
      </w:rPr>
    </w:lvl>
    <w:lvl w:ilvl="8">
      <w:start w:val="0"/>
      <w:numFmt w:val="bullet"/>
      <w:lvlText w:val="•"/>
      <w:lvlJc w:val="left"/>
      <w:pPr>
        <w:ind w:left="6504" w:hanging="529"/>
      </w:pPr>
      <w:rPr>
        <w:rFonts w:hint="default"/>
        <w:lang w:val="zh-CN" w:eastAsia="zh-CN" w:bidi="zh-CN"/>
      </w:rPr>
    </w:lvl>
  </w:abstractNum>
  <w:abstractNum w:abstractNumId="2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3">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2">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1">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0">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9">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8">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7">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3">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1">
    <w:multiLevelType w:val="hybridMultilevel"/>
    <w:lvl w:ilvl="0">
      <w:start w:val="125"/>
      <w:numFmt w:val="decimal"/>
      <w:lvlText w:val="（%1）"/>
      <w:lvlJc w:val="left"/>
      <w:pPr>
        <w:ind w:left="1698" w:hanging="738"/>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46" w:hanging="738"/>
      </w:pPr>
      <w:rPr>
        <w:rFonts w:hint="default"/>
        <w:lang w:val="zh-CN" w:eastAsia="zh-CN" w:bidi="zh-CN"/>
      </w:rPr>
    </w:lvl>
    <w:lvl w:ilvl="2">
      <w:start w:val="0"/>
      <w:numFmt w:val="bullet"/>
      <w:lvlText w:val="•"/>
      <w:lvlJc w:val="left"/>
      <w:pPr>
        <w:ind w:left="3193" w:hanging="738"/>
      </w:pPr>
      <w:rPr>
        <w:rFonts w:hint="default"/>
        <w:lang w:val="zh-CN" w:eastAsia="zh-CN" w:bidi="zh-CN"/>
      </w:rPr>
    </w:lvl>
    <w:lvl w:ilvl="3">
      <w:start w:val="0"/>
      <w:numFmt w:val="bullet"/>
      <w:lvlText w:val="•"/>
      <w:lvlJc w:val="left"/>
      <w:pPr>
        <w:ind w:left="3939" w:hanging="738"/>
      </w:pPr>
      <w:rPr>
        <w:rFonts w:hint="default"/>
        <w:lang w:val="zh-CN" w:eastAsia="zh-CN" w:bidi="zh-CN"/>
      </w:rPr>
    </w:lvl>
    <w:lvl w:ilvl="4">
      <w:start w:val="0"/>
      <w:numFmt w:val="bullet"/>
      <w:lvlText w:val="•"/>
      <w:lvlJc w:val="left"/>
      <w:pPr>
        <w:ind w:left="4686" w:hanging="738"/>
      </w:pPr>
      <w:rPr>
        <w:rFonts w:hint="default"/>
        <w:lang w:val="zh-CN" w:eastAsia="zh-CN" w:bidi="zh-CN"/>
      </w:rPr>
    </w:lvl>
    <w:lvl w:ilvl="5">
      <w:start w:val="0"/>
      <w:numFmt w:val="bullet"/>
      <w:lvlText w:val="•"/>
      <w:lvlJc w:val="left"/>
      <w:pPr>
        <w:ind w:left="5433" w:hanging="738"/>
      </w:pPr>
      <w:rPr>
        <w:rFonts w:hint="default"/>
        <w:lang w:val="zh-CN" w:eastAsia="zh-CN" w:bidi="zh-CN"/>
      </w:rPr>
    </w:lvl>
    <w:lvl w:ilvl="6">
      <w:start w:val="0"/>
      <w:numFmt w:val="bullet"/>
      <w:lvlText w:val="•"/>
      <w:lvlJc w:val="left"/>
      <w:pPr>
        <w:ind w:left="6179" w:hanging="738"/>
      </w:pPr>
      <w:rPr>
        <w:rFonts w:hint="default"/>
        <w:lang w:val="zh-CN" w:eastAsia="zh-CN" w:bidi="zh-CN"/>
      </w:rPr>
    </w:lvl>
    <w:lvl w:ilvl="7">
      <w:start w:val="0"/>
      <w:numFmt w:val="bullet"/>
      <w:lvlText w:val="•"/>
      <w:lvlJc w:val="left"/>
      <w:pPr>
        <w:ind w:left="6926" w:hanging="738"/>
      </w:pPr>
      <w:rPr>
        <w:rFonts w:hint="default"/>
        <w:lang w:val="zh-CN" w:eastAsia="zh-CN" w:bidi="zh-CN"/>
      </w:rPr>
    </w:lvl>
    <w:lvl w:ilvl="8">
      <w:start w:val="0"/>
      <w:numFmt w:val="bullet"/>
      <w:lvlText w:val="•"/>
      <w:lvlJc w:val="left"/>
      <w:pPr>
        <w:ind w:left="7673" w:hanging="738"/>
      </w:pPr>
      <w:rPr>
        <w:rFonts w:hint="default"/>
        <w:lang w:val="zh-CN" w:eastAsia="zh-CN" w:bidi="zh-CN"/>
      </w:rPr>
    </w:lvl>
  </w:abstractNum>
  <w:abstractNum w:abstractNumId="10">
    <w:multiLevelType w:val="hybridMultilevel"/>
    <w:lvl w:ilvl="0">
      <w:start w:val="14"/>
      <w:numFmt w:val="decimal"/>
      <w:lvlText w:val="%1"/>
      <w:lvlJc w:val="left"/>
      <w:pPr>
        <w:ind w:left="804" w:hanging="264"/>
        <w:jc w:val="left"/>
      </w:pPr>
      <w:rPr>
        <w:rFonts w:hint="default" w:ascii="Times New Roman" w:hAnsi="Times New Roman" w:eastAsia="Times New Roman" w:cs="Times New Roman"/>
        <w:w w:val="100"/>
        <w:sz w:val="21"/>
        <w:szCs w:val="21"/>
        <w:lang w:val="zh-CN" w:eastAsia="zh-CN" w:bidi="zh-CN"/>
      </w:rPr>
    </w:lvl>
    <w:lvl w:ilvl="1">
      <w:start w:val="1"/>
      <w:numFmt w:val="decimal"/>
      <w:lvlText w:val="（%2）"/>
      <w:lvlJc w:val="left"/>
      <w:pPr>
        <w:ind w:left="1489"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334" w:hanging="529"/>
      </w:pPr>
      <w:rPr>
        <w:rFonts w:hint="default"/>
        <w:lang w:val="zh-CN" w:eastAsia="zh-CN" w:bidi="zh-CN"/>
      </w:rPr>
    </w:lvl>
    <w:lvl w:ilvl="3">
      <w:start w:val="0"/>
      <w:numFmt w:val="bullet"/>
      <w:lvlText w:val="•"/>
      <w:lvlJc w:val="left"/>
      <w:pPr>
        <w:ind w:left="3188" w:hanging="529"/>
      </w:pPr>
      <w:rPr>
        <w:rFonts w:hint="default"/>
        <w:lang w:val="zh-CN" w:eastAsia="zh-CN" w:bidi="zh-CN"/>
      </w:rPr>
    </w:lvl>
    <w:lvl w:ilvl="4">
      <w:start w:val="0"/>
      <w:numFmt w:val="bullet"/>
      <w:lvlText w:val="•"/>
      <w:lvlJc w:val="left"/>
      <w:pPr>
        <w:ind w:left="4042" w:hanging="529"/>
      </w:pPr>
      <w:rPr>
        <w:rFonts w:hint="default"/>
        <w:lang w:val="zh-CN" w:eastAsia="zh-CN" w:bidi="zh-CN"/>
      </w:rPr>
    </w:lvl>
    <w:lvl w:ilvl="5">
      <w:start w:val="0"/>
      <w:numFmt w:val="bullet"/>
      <w:lvlText w:val="•"/>
      <w:lvlJc w:val="left"/>
      <w:pPr>
        <w:ind w:left="4896" w:hanging="529"/>
      </w:pPr>
      <w:rPr>
        <w:rFonts w:hint="default"/>
        <w:lang w:val="zh-CN" w:eastAsia="zh-CN" w:bidi="zh-CN"/>
      </w:rPr>
    </w:lvl>
    <w:lvl w:ilvl="6">
      <w:start w:val="0"/>
      <w:numFmt w:val="bullet"/>
      <w:lvlText w:val="•"/>
      <w:lvlJc w:val="left"/>
      <w:pPr>
        <w:ind w:left="5750" w:hanging="529"/>
      </w:pPr>
      <w:rPr>
        <w:rFonts w:hint="default"/>
        <w:lang w:val="zh-CN" w:eastAsia="zh-CN" w:bidi="zh-CN"/>
      </w:rPr>
    </w:lvl>
    <w:lvl w:ilvl="7">
      <w:start w:val="0"/>
      <w:numFmt w:val="bullet"/>
      <w:lvlText w:val="•"/>
      <w:lvlJc w:val="left"/>
      <w:pPr>
        <w:ind w:left="6604" w:hanging="529"/>
      </w:pPr>
      <w:rPr>
        <w:rFonts w:hint="default"/>
        <w:lang w:val="zh-CN" w:eastAsia="zh-CN" w:bidi="zh-CN"/>
      </w:rPr>
    </w:lvl>
    <w:lvl w:ilvl="8">
      <w:start w:val="0"/>
      <w:numFmt w:val="bullet"/>
      <w:lvlText w:val="•"/>
      <w:lvlJc w:val="left"/>
      <w:pPr>
        <w:ind w:left="7458" w:hanging="529"/>
      </w:pPr>
      <w:rPr>
        <w:rFonts w:hint="default"/>
        <w:lang w:val="zh-CN" w:eastAsia="zh-CN" w:bidi="zh-CN"/>
      </w:rPr>
    </w:lvl>
  </w:abstractNum>
  <w:abstractNum w:abstractNumId="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
    <w:multiLevelType w:val="hybridMultilevel"/>
    <w:lvl w:ilvl="0">
      <w:start w:val="1"/>
      <w:numFmt w:val="decimal"/>
      <w:lvlText w:val="（%1）"/>
      <w:lvlJc w:val="left"/>
      <w:pPr>
        <w:ind w:left="150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6" w:hanging="529"/>
      </w:pPr>
      <w:rPr>
        <w:rFonts w:hint="default"/>
        <w:lang w:val="zh-CN" w:eastAsia="zh-CN" w:bidi="zh-CN"/>
      </w:rPr>
    </w:lvl>
    <w:lvl w:ilvl="2">
      <w:start w:val="0"/>
      <w:numFmt w:val="bullet"/>
      <w:lvlText w:val="•"/>
      <w:lvlJc w:val="left"/>
      <w:pPr>
        <w:ind w:left="3033" w:hanging="529"/>
      </w:pPr>
      <w:rPr>
        <w:rFonts w:hint="default"/>
        <w:lang w:val="zh-CN" w:eastAsia="zh-CN" w:bidi="zh-CN"/>
      </w:rPr>
    </w:lvl>
    <w:lvl w:ilvl="3">
      <w:start w:val="0"/>
      <w:numFmt w:val="bullet"/>
      <w:lvlText w:val="•"/>
      <w:lvlJc w:val="left"/>
      <w:pPr>
        <w:ind w:left="3799" w:hanging="529"/>
      </w:pPr>
      <w:rPr>
        <w:rFonts w:hint="default"/>
        <w:lang w:val="zh-CN" w:eastAsia="zh-CN" w:bidi="zh-CN"/>
      </w:rPr>
    </w:lvl>
    <w:lvl w:ilvl="4">
      <w:start w:val="0"/>
      <w:numFmt w:val="bullet"/>
      <w:lvlText w:val="•"/>
      <w:lvlJc w:val="left"/>
      <w:pPr>
        <w:ind w:left="4566"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099" w:hanging="529"/>
      </w:pPr>
      <w:rPr>
        <w:rFonts w:hint="default"/>
        <w:lang w:val="zh-CN" w:eastAsia="zh-CN" w:bidi="zh-CN"/>
      </w:rPr>
    </w:lvl>
    <w:lvl w:ilvl="7">
      <w:start w:val="0"/>
      <w:numFmt w:val="bullet"/>
      <w:lvlText w:val="•"/>
      <w:lvlJc w:val="left"/>
      <w:pPr>
        <w:ind w:left="6866" w:hanging="529"/>
      </w:pPr>
      <w:rPr>
        <w:rFonts w:hint="default"/>
        <w:lang w:val="zh-CN" w:eastAsia="zh-CN" w:bidi="zh-CN"/>
      </w:rPr>
    </w:lvl>
    <w:lvl w:ilvl="8">
      <w:start w:val="0"/>
      <w:numFmt w:val="bullet"/>
      <w:lvlText w:val="•"/>
      <w:lvlJc w:val="left"/>
      <w:pPr>
        <w:ind w:left="7633" w:hanging="529"/>
      </w:pPr>
      <w:rPr>
        <w:rFonts w:hint="default"/>
        <w:lang w:val="zh-CN" w:eastAsia="zh-CN" w:bidi="zh-CN"/>
      </w:rPr>
    </w:lvl>
  </w:abstractNum>
  <w:abstractNum w:abstractNumId="3">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num w:numId="52">
    <w:abstractNumId w:val="51"/>
  </w:num>
  <w:num w:numId="58">
    <w:abstractNumId w:val="57"/>
  </w:num>
  <w:num w:numId="57">
    <w:abstractNumId w:val="56"/>
  </w:num>
  <w:num w:numId="56">
    <w:abstractNumId w:val="55"/>
  </w:num>
  <w:num w:numId="55">
    <w:abstractNumId w:val="54"/>
  </w:num>
  <w:num w:numId="54">
    <w:abstractNumId w:val="53"/>
  </w:num>
  <w:num w:numId="53">
    <w:abstractNumId w:val="52"/>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4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2461" w:right="2237"/>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89" w:hanging="530"/>
    </w:pPr>
    <w:rPr>
      <w:rFonts w:ascii="宋体" w:hAnsi="宋体" w:eastAsia="宋体" w:cs="宋体"/>
      <w:lang w:val="zh-CN" w:eastAsia="zh-CN" w:bidi="zh-CN"/>
    </w:rPr>
  </w:style>
  <w:style w:styleId="TableParagraph" w:type="paragraph">
    <w:name w:val="Table Paragraph"/>
    <w:basedOn w:val="Normal"/>
    <w:uiPriority w:val="1"/>
    <w:qFormat/>
    <w:pPr>
      <w:spacing w:before="34"/>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footer" Target="footer2.xml"/><Relationship Id="rId13" Type="http://schemas.openxmlformats.org/officeDocument/2006/relationships/hyperlink" Target="http://www.chinaamc.com/" TargetMode="External"/><Relationship Id="rId14" Type="http://schemas.openxmlformats.org/officeDocument/2006/relationships/hyperlink" Target="http://www.icbc.com.cn/" TargetMode="External"/><Relationship Id="rId15" Type="http://schemas.openxmlformats.org/officeDocument/2006/relationships/hyperlink" Target="http://www.abchina.com/" TargetMode="External"/><Relationship Id="rId16" Type="http://schemas.openxmlformats.org/officeDocument/2006/relationships/hyperlink" Target="http://www.boc.cn/" TargetMode="External"/><Relationship Id="rId17" Type="http://schemas.openxmlformats.org/officeDocument/2006/relationships/hyperlink" Target="http://www.cmbchina.com/" TargetMode="External"/><Relationship Id="rId18" Type="http://schemas.openxmlformats.org/officeDocument/2006/relationships/hyperlink" Target="http://www.srcb.com/" TargetMode="External"/><Relationship Id="rId19" Type="http://schemas.openxmlformats.org/officeDocument/2006/relationships/hyperlink" Target="http://www.bjrcb.com/" TargetMode="External"/><Relationship Id="rId20" Type="http://schemas.openxmlformats.org/officeDocument/2006/relationships/hyperlink" Target="http://www.hzbank.com.cn/" TargetMode="External"/><Relationship Id="rId21" Type="http://schemas.openxmlformats.org/officeDocument/2006/relationships/hyperlink" Target="http://www.jsbchina.cn/" TargetMode="External"/><Relationship Id="rId22" Type="http://schemas.openxmlformats.org/officeDocument/2006/relationships/hyperlink" Target="http://www.cbhb.com.cn/" TargetMode="External"/><Relationship Id="rId23" Type="http://schemas.openxmlformats.org/officeDocument/2006/relationships/hyperlink" Target="http://www.bankofdl.com/" TargetMode="External"/><Relationship Id="rId24" Type="http://schemas.openxmlformats.org/officeDocument/2006/relationships/hyperlink" Target="http://www.cqcbank.com/" TargetMode="External"/><Relationship Id="rId25" Type="http://schemas.openxmlformats.org/officeDocument/2006/relationships/hyperlink" Target="http://www.drcbank.com/" TargetMode="External"/><Relationship Id="rId26" Type="http://schemas.openxmlformats.org/officeDocument/2006/relationships/hyperlink" Target="http://www.hebbank.com/" TargetMode="External"/><Relationship Id="rId27" Type="http://schemas.openxmlformats.org/officeDocument/2006/relationships/hyperlink" Target="http://www.szrcb.com/" TargetMode="External"/><Relationship Id="rId28" Type="http://schemas.openxmlformats.org/officeDocument/2006/relationships/hyperlink" Target="http://www.xacbank.com/" TargetMode="External"/><Relationship Id="rId29" Type="http://schemas.openxmlformats.org/officeDocument/2006/relationships/hyperlink" Target="http://www.xmccb.com/" TargetMode="External"/><Relationship Id="rId30" Type="http://schemas.openxmlformats.org/officeDocument/2006/relationships/hyperlink" Target="http://www.suzhoubank.com/" TargetMode="External"/><Relationship Id="rId31" Type="http://schemas.openxmlformats.org/officeDocument/2006/relationships/hyperlink" Target="http://www.hrxjbank.com.cn/" TargetMode="External"/><Relationship Id="rId32" Type="http://schemas.openxmlformats.org/officeDocument/2006/relationships/hyperlink" Target="http://www.zybank.com.cn/" TargetMode="External"/><Relationship Id="rId33" Type="http://schemas.openxmlformats.org/officeDocument/2006/relationships/hyperlink" Target="http://www.txsec.com/" TargetMode="External"/><Relationship Id="rId34" Type="http://schemas.openxmlformats.org/officeDocument/2006/relationships/hyperlink" Target="http://www.9ifund.com/" TargetMode="External"/><Relationship Id="rId35" Type="http://schemas.openxmlformats.org/officeDocument/2006/relationships/hyperlink" Target="http://8.jrj.com.cn/" TargetMode="External"/><Relationship Id="rId36" Type="http://schemas.openxmlformats.org/officeDocument/2006/relationships/hyperlink" Target="http://www.huilinbd.com/" TargetMode="External"/><Relationship Id="rId37" Type="http://schemas.openxmlformats.org/officeDocument/2006/relationships/hyperlink" Target="http://www.wacaijijin.com/" TargetMode="External"/><Relationship Id="rId38" Type="http://schemas.openxmlformats.org/officeDocument/2006/relationships/hyperlink" Target="http://www.xiquefund.com/" TargetMode="External"/><Relationship Id="rId39" Type="http://schemas.openxmlformats.org/officeDocument/2006/relationships/hyperlink" Target="http://www.baiyingfund.com/" TargetMode="External"/><Relationship Id="rId40" Type="http://schemas.openxmlformats.org/officeDocument/2006/relationships/hyperlink" Target="http://www.noah-fund.com/" TargetMode="External"/><Relationship Id="rId41" Type="http://schemas.openxmlformats.org/officeDocument/2006/relationships/hyperlink" Target="http://www.zlfund.cn/" TargetMode="External"/><Relationship Id="rId42" Type="http://schemas.openxmlformats.org/officeDocument/2006/relationships/hyperlink" Target="http://www.1234567.com.cn/" TargetMode="External"/><Relationship Id="rId43" Type="http://schemas.openxmlformats.org/officeDocument/2006/relationships/hyperlink" Target="http://www.ehowbuy.com/" TargetMode="External"/><Relationship Id="rId44" Type="http://schemas.openxmlformats.org/officeDocument/2006/relationships/hyperlink" Target="http://www.fund123.cn/" TargetMode="External"/><Relationship Id="rId45" Type="http://schemas.openxmlformats.org/officeDocument/2006/relationships/hyperlink" Target="http://www.erichfund.com/" TargetMode="External"/><Relationship Id="rId46" Type="http://schemas.openxmlformats.org/officeDocument/2006/relationships/hyperlink" Target="http://www.5ifund.com/" TargetMode="External"/><Relationship Id="rId47" Type="http://schemas.openxmlformats.org/officeDocument/2006/relationships/hyperlink" Target="http://www.myfund.com/" TargetMode="External"/><Relationship Id="rId48" Type="http://schemas.openxmlformats.org/officeDocument/2006/relationships/hyperlink" Target="http://www.leadfund.com.cn/" TargetMode="External"/><Relationship Id="rId49" Type="http://schemas.openxmlformats.org/officeDocument/2006/relationships/hyperlink" Target="http://www.jincheng-fund.com/" TargetMode="External"/><Relationship Id="rId50" Type="http://schemas.openxmlformats.org/officeDocument/2006/relationships/hyperlink" Target="http://www.harvestwm.cn/" TargetMode="External"/><Relationship Id="rId51" Type="http://schemas.openxmlformats.org/officeDocument/2006/relationships/hyperlink" Target="http://www.5irich.com/" TargetMode="External"/><Relationship Id="rId52" Type="http://schemas.openxmlformats.org/officeDocument/2006/relationships/hyperlink" Target="http://www.puyifund.com/" TargetMode="External"/><Relationship Id="rId53" Type="http://schemas.openxmlformats.org/officeDocument/2006/relationships/hyperlink" Target="http://www.snjijin.com/" TargetMode="External"/><Relationship Id="rId54" Type="http://schemas.openxmlformats.org/officeDocument/2006/relationships/hyperlink" Target="http://www.zscffund.com/" TargetMode="External"/><Relationship Id="rId55" Type="http://schemas.openxmlformats.org/officeDocument/2006/relationships/hyperlink" Target="http://www.tenyuanfund.com/" TargetMode="External"/><Relationship Id="rId56" Type="http://schemas.openxmlformats.org/officeDocument/2006/relationships/hyperlink" Target="http://www.tonghuafund.com/" TargetMode="External"/><Relationship Id="rId57" Type="http://schemas.openxmlformats.org/officeDocument/2006/relationships/hyperlink" Target="http://www.chtwm.com/" TargetMode="External"/><Relationship Id="rId58" Type="http://schemas.openxmlformats.org/officeDocument/2006/relationships/hyperlink" Target="http://www.hcjijin.com/" TargetMode="External"/><Relationship Id="rId59" Type="http://schemas.openxmlformats.org/officeDocument/2006/relationships/hyperlink" Target="http://www.shengshiview.com.cn/" TargetMode="External"/><Relationship Id="rId60" Type="http://schemas.openxmlformats.org/officeDocument/2006/relationships/hyperlink" Target="http://www.niuji.net/" TargetMode="External"/><Relationship Id="rId61" Type="http://schemas.openxmlformats.org/officeDocument/2006/relationships/hyperlink" Target="http://www.zhixin-inv.com/" TargetMode="External"/><Relationship Id="rId62" Type="http://schemas.openxmlformats.org/officeDocument/2006/relationships/hyperlink" Target="http://www.fundhaiyin.com/" TargetMode="External"/><Relationship Id="rId63" Type="http://schemas.openxmlformats.org/officeDocument/2006/relationships/hyperlink" Target="http://www.gomefund.com/" TargetMode="External"/><Relationship Id="rId64" Type="http://schemas.openxmlformats.org/officeDocument/2006/relationships/hyperlink" Target="http://www.wg.com.cn/" TargetMode="External"/><Relationship Id="rId65" Type="http://schemas.openxmlformats.org/officeDocument/2006/relationships/hyperlink" Target="http://www.xincai.com/" TargetMode="External"/><Relationship Id="rId66" Type="http://schemas.openxmlformats.org/officeDocument/2006/relationships/hyperlink" Target="http://www.htfund.com/" TargetMode="External"/><Relationship Id="rId67" Type="http://schemas.openxmlformats.org/officeDocument/2006/relationships/hyperlink" Target="http://www.520fund.com.cn/" TargetMode="External"/><Relationship Id="rId68" Type="http://schemas.openxmlformats.org/officeDocument/2006/relationships/hyperlink" Target="http://www.fengfd.com/" TargetMode="External"/><Relationship Id="rId69" Type="http://schemas.openxmlformats.org/officeDocument/2006/relationships/hyperlink" Target="http://www.66liantai.com/" TargetMode="External"/><Relationship Id="rId70" Type="http://schemas.openxmlformats.org/officeDocument/2006/relationships/hyperlink" Target="http://www.jhjzfund.com/" TargetMode="External"/><Relationship Id="rId71" Type="http://schemas.openxmlformats.org/officeDocument/2006/relationships/hyperlink" Target="http://www.haojiyoujijin.com/" TargetMode="External"/><Relationship Id="rId72" Type="http://schemas.openxmlformats.org/officeDocument/2006/relationships/hyperlink" Target="http://www.hotjijin.com/" TargetMode="External"/><Relationship Id="rId73" Type="http://schemas.openxmlformats.org/officeDocument/2006/relationships/hyperlink" Target="http://www.jiyufund.com.cn/" TargetMode="External"/><Relationship Id="rId74" Type="http://schemas.openxmlformats.org/officeDocument/2006/relationships/hyperlink" Target="http://www.zhongzhengfund.com/" TargetMode="External"/><Relationship Id="rId75" Type="http://schemas.openxmlformats.org/officeDocument/2006/relationships/hyperlink" Target="http://www.lufunds.com/" TargetMode="External"/><Relationship Id="rId76" Type="http://schemas.openxmlformats.org/officeDocument/2006/relationships/hyperlink" Target="http://www.dtfunds.com/" TargetMode="External"/><Relationship Id="rId77" Type="http://schemas.openxmlformats.org/officeDocument/2006/relationships/hyperlink" Target="http://www.yingmi.cn/" TargetMode="External"/><Relationship Id="rId78" Type="http://schemas.openxmlformats.org/officeDocument/2006/relationships/hyperlink" Target="http://www.hgccpb.com/" TargetMode="External"/><Relationship Id="rId79" Type="http://schemas.openxmlformats.org/officeDocument/2006/relationships/hyperlink" Target="http://www.ifastps.com.cn/" TargetMode="External"/><Relationship Id="rId80" Type="http://schemas.openxmlformats.org/officeDocument/2006/relationships/hyperlink" Target="http://www.jnlc.com/" TargetMode="External"/><Relationship Id="rId81" Type="http://schemas.openxmlformats.org/officeDocument/2006/relationships/hyperlink" Target="http://fund.jd.com/" TargetMode="External"/><Relationship Id="rId82" Type="http://schemas.openxmlformats.org/officeDocument/2006/relationships/hyperlink" Target="http://www.yibaijin.com/" TargetMode="External"/><Relationship Id="rId83" Type="http://schemas.openxmlformats.org/officeDocument/2006/relationships/hyperlink" Target="http://www.cmiwm.com/" TargetMode="External"/><Relationship Id="rId84" Type="http://schemas.openxmlformats.org/officeDocument/2006/relationships/hyperlink" Target="http://www.jfzinv.com/" TargetMode="External"/><Relationship Id="rId85" Type="http://schemas.openxmlformats.org/officeDocument/2006/relationships/hyperlink" Target="http://www.wanjiawealth.com/" TargetMode="External"/><Relationship Id="rId86" Type="http://schemas.openxmlformats.org/officeDocument/2006/relationships/hyperlink" Target="http://www.amcfortune.com/" TargetMode="External"/><Relationship Id="rId87" Type="http://schemas.openxmlformats.org/officeDocument/2006/relationships/hyperlink" Target="http://www.citicsf.com/" TargetMode="External"/><Relationship Id="rId88" Type="http://schemas.openxmlformats.org/officeDocument/2006/relationships/hyperlink" Target="http://www.ftol.com.cn/" TargetMode="External"/><Relationship Id="rId89" Type="http://schemas.openxmlformats.org/officeDocument/2006/relationships/hyperlink" Target="http://www.gtja.com/" TargetMode="External"/><Relationship Id="rId90" Type="http://schemas.openxmlformats.org/officeDocument/2006/relationships/hyperlink" Target="http://www.csc108.com/" TargetMode="External"/><Relationship Id="rId91" Type="http://schemas.openxmlformats.org/officeDocument/2006/relationships/hyperlink" Target="http://www.guosen.com.cn/" TargetMode="External"/><Relationship Id="rId92" Type="http://schemas.openxmlformats.org/officeDocument/2006/relationships/hyperlink" Target="http://www.newone.com.cn/" TargetMode="External"/><Relationship Id="rId93" Type="http://schemas.openxmlformats.org/officeDocument/2006/relationships/hyperlink" Target="http://www.gf.com.cn/" TargetMode="External"/><Relationship Id="rId94" Type="http://schemas.openxmlformats.org/officeDocument/2006/relationships/hyperlink" Target="http://www.cs.ecitic.com/" TargetMode="External"/><Relationship Id="rId95" Type="http://schemas.openxmlformats.org/officeDocument/2006/relationships/hyperlink" Target="http://www.chinastock.com.cn/" TargetMode="External"/><Relationship Id="rId96" Type="http://schemas.openxmlformats.org/officeDocument/2006/relationships/hyperlink" Target="http://www.htsec.com/" TargetMode="External"/><Relationship Id="rId97" Type="http://schemas.openxmlformats.org/officeDocument/2006/relationships/hyperlink" Target="http://www.swhysc.com/" TargetMode="External"/><Relationship Id="rId98" Type="http://schemas.openxmlformats.org/officeDocument/2006/relationships/hyperlink" Target="http://www.xyzq.com.cn/" TargetMode="External"/><Relationship Id="rId99" Type="http://schemas.openxmlformats.org/officeDocument/2006/relationships/hyperlink" Target="http://www.95579.com/" TargetMode="External"/><Relationship Id="rId100" Type="http://schemas.openxmlformats.org/officeDocument/2006/relationships/hyperlink" Target="http://www.essence.com.cn/" TargetMode="External"/><Relationship Id="rId101" Type="http://schemas.openxmlformats.org/officeDocument/2006/relationships/hyperlink" Target="http://www.swsc.com.cn/" TargetMode="External"/><Relationship Id="rId102" Type="http://schemas.openxmlformats.org/officeDocument/2006/relationships/hyperlink" Target="http://www.wlzq.com.cn/" TargetMode="External"/><Relationship Id="rId103" Type="http://schemas.openxmlformats.org/officeDocument/2006/relationships/hyperlink" Target="http://www.mszq.com/" TargetMode="External"/><Relationship Id="rId104" Type="http://schemas.openxmlformats.org/officeDocument/2006/relationships/hyperlink" Target="http://www.ewww.com.cn/" TargetMode="External"/><Relationship Id="rId105" Type="http://schemas.openxmlformats.org/officeDocument/2006/relationships/hyperlink" Target="http://www.htsc.com.cn/" TargetMode="External"/><Relationship Id="rId106" Type="http://schemas.openxmlformats.org/officeDocument/2006/relationships/hyperlink" Target="http://www.i618.com.cn/" TargetMode="External"/><Relationship Id="rId107" Type="http://schemas.openxmlformats.org/officeDocument/2006/relationships/hyperlink" Target="http://sd.citics.com/" TargetMode="External"/><Relationship Id="rId108" Type="http://schemas.openxmlformats.org/officeDocument/2006/relationships/hyperlink" Target="http://www.dxzq.net.cn/" TargetMode="External"/><Relationship Id="rId109" Type="http://schemas.openxmlformats.org/officeDocument/2006/relationships/hyperlink" Target="http://www.dwzq.com.cn/" TargetMode="External"/><Relationship Id="rId110" Type="http://schemas.openxmlformats.org/officeDocument/2006/relationships/hyperlink" Target="http://www.cindasc.com/" TargetMode="External"/><Relationship Id="rId111" Type="http://schemas.openxmlformats.org/officeDocument/2006/relationships/hyperlink" Target="http://www.cgws.com/" TargetMode="External"/><Relationship Id="rId112" Type="http://schemas.openxmlformats.org/officeDocument/2006/relationships/hyperlink" Target="http://www.ebscn.com/" TargetMode="External"/><Relationship Id="rId113" Type="http://schemas.openxmlformats.org/officeDocument/2006/relationships/hyperlink" Target="http://www.gzs.com.cn/" TargetMode="External"/><Relationship Id="rId114" Type="http://schemas.openxmlformats.org/officeDocument/2006/relationships/hyperlink" Target="http://www.nesc.cn/" TargetMode="External"/><Relationship Id="rId115" Type="http://schemas.openxmlformats.org/officeDocument/2006/relationships/hyperlink" Target="http://www.njzq.com.cn/" TargetMode="External"/><Relationship Id="rId116" Type="http://schemas.openxmlformats.org/officeDocument/2006/relationships/hyperlink" Target="http://www.962518.com/" TargetMode="External"/><Relationship Id="rId117" Type="http://schemas.openxmlformats.org/officeDocument/2006/relationships/hyperlink" Target="http://www.xsdzq.cn/" TargetMode="External"/><Relationship Id="rId118" Type="http://schemas.openxmlformats.org/officeDocument/2006/relationships/hyperlink" Target="http://www.dtsbc.com.cn/" TargetMode="External"/><Relationship Id="rId119" Type="http://schemas.openxmlformats.org/officeDocument/2006/relationships/hyperlink" Target="http://www.glsc.com.cn/" TargetMode="External"/><Relationship Id="rId120" Type="http://schemas.openxmlformats.org/officeDocument/2006/relationships/hyperlink" Target="http://www.stocke.com.cn/" TargetMode="External"/><Relationship Id="rId121" Type="http://schemas.openxmlformats.org/officeDocument/2006/relationships/hyperlink" Target="http://www.pingan.com/" TargetMode="External"/><Relationship Id="rId122" Type="http://schemas.openxmlformats.org/officeDocument/2006/relationships/hyperlink" Target="http://www.hazq.com/" TargetMode="External"/><Relationship Id="rId123" Type="http://schemas.openxmlformats.org/officeDocument/2006/relationships/hyperlink" Target="http://www.ghzq.com.cn/" TargetMode="External"/><Relationship Id="rId124" Type="http://schemas.openxmlformats.org/officeDocument/2006/relationships/hyperlink" Target="http://www.cfzq.com/" TargetMode="External"/><Relationship Id="rId125" Type="http://schemas.openxmlformats.org/officeDocument/2006/relationships/hyperlink" Target="http://www.dgzq.com.cn/" TargetMode="External"/><Relationship Id="rId126" Type="http://schemas.openxmlformats.org/officeDocument/2006/relationships/hyperlink" Target="http://www.ccnew.com/" TargetMode="External"/><Relationship Id="rId127" Type="http://schemas.openxmlformats.org/officeDocument/2006/relationships/hyperlink" Target="http://www.guodu.com/" TargetMode="External"/><Relationship Id="rId128" Type="http://schemas.openxmlformats.org/officeDocument/2006/relationships/hyperlink" Target="http://www.longone.com.cn/" TargetMode="External"/><Relationship Id="rId129" Type="http://schemas.openxmlformats.org/officeDocument/2006/relationships/hyperlink" Target="http://www.bocichina.com.cn/" TargetMode="External"/><Relationship Id="rId130" Type="http://schemas.openxmlformats.org/officeDocument/2006/relationships/hyperlink" Target="http://www.gszq.com/" TargetMode="External"/><Relationship Id="rId131" Type="http://schemas.openxmlformats.org/officeDocument/2006/relationships/hyperlink" Target="http://www.hx168.com.cn/" TargetMode="External"/><Relationship Id="rId132" Type="http://schemas.openxmlformats.org/officeDocument/2006/relationships/hyperlink" Target="http://www.hysec.com/" TargetMode="External"/><Relationship Id="rId133" Type="http://schemas.openxmlformats.org/officeDocument/2006/relationships/hyperlink" Target="http://www.zts.com.cn/" TargetMode="External"/><Relationship Id="rId134" Type="http://schemas.openxmlformats.org/officeDocument/2006/relationships/hyperlink" Target="http://www.csco.com.cn/" TargetMode="External"/><Relationship Id="rId135" Type="http://schemas.openxmlformats.org/officeDocument/2006/relationships/hyperlink" Target="http://www.firstcapital.com.cn/" TargetMode="External"/><Relationship Id="rId136" Type="http://schemas.openxmlformats.org/officeDocument/2006/relationships/hyperlink" Target="http://www.jyzq.cn/" TargetMode="External"/><Relationship Id="rId137" Type="http://schemas.openxmlformats.org/officeDocument/2006/relationships/hyperlink" Target="http://www.avicsec.com/" TargetMode="External"/><Relationship Id="rId138" Type="http://schemas.openxmlformats.org/officeDocument/2006/relationships/hyperlink" Target="http://www.westsecu.com/" TargetMode="External"/><Relationship Id="rId139" Type="http://schemas.openxmlformats.org/officeDocument/2006/relationships/hyperlink" Target="http://www.hfzq.com.cn/" TargetMode="External"/><Relationship Id="rId140" Type="http://schemas.openxmlformats.org/officeDocument/2006/relationships/hyperlink" Target="http://www.hlzqgs.com/" TargetMode="External"/><Relationship Id="rId141" Type="http://schemas.openxmlformats.org/officeDocument/2006/relationships/hyperlink" Target="http://www.cicc.com.cn/" TargetMode="External"/><Relationship Id="rId142" Type="http://schemas.openxmlformats.org/officeDocument/2006/relationships/hyperlink" Target="http://www.shhxzq.com/" TargetMode="External"/><Relationship Id="rId143" Type="http://schemas.openxmlformats.org/officeDocument/2006/relationships/hyperlink" Target="http://www.cfsc.com.cn/" TargetMode="External"/><Relationship Id="rId144" Type="http://schemas.openxmlformats.org/officeDocument/2006/relationships/hyperlink" Target="http://www.china-invs.cn/" TargetMode="External"/><Relationship Id="rId145" Type="http://schemas.openxmlformats.org/officeDocument/2006/relationships/hyperlink" Target="http://www.zszq.com/" TargetMode="External"/><Relationship Id="rId146" Type="http://schemas.openxmlformats.org/officeDocument/2006/relationships/hyperlink" Target="http://www.18.cn/" TargetMode="External"/><Relationship Id="rId147" Type="http://schemas.openxmlformats.org/officeDocument/2006/relationships/hyperlink" Target="http://www.ykzq.com/" TargetMode="External"/><Relationship Id="rId148" Type="http://schemas.openxmlformats.org/officeDocument/2006/relationships/hyperlink" Target="http://www.jhzq.com.cn/" TargetMode="External"/><Relationship Id="rId149" Type="http://schemas.openxmlformats.org/officeDocument/2006/relationships/hyperlink" Target="http://www.gjzq.com.cn/" TargetMode="External"/><Relationship Id="rId150" Type="http://schemas.openxmlformats.org/officeDocument/2006/relationships/hyperlink" Target="http://www.ajzq.com/" TargetMode="External"/><Relationship Id="rId151" Type="http://schemas.openxmlformats.org/officeDocument/2006/relationships/hyperlink" Target="http://www.hrsec.com.cn/" TargetMode="External"/><Relationship Id="rId152" Type="http://schemas.openxmlformats.org/officeDocument/2006/relationships/hyperlink" Target="http://www.tfzq.com/" TargetMode="External"/><Relationship Id="rId153" Type="http://schemas.openxmlformats.org/officeDocument/2006/relationships/hyperlink" Target="http://www.iztzq.com/" TargetMode="External"/><Relationship Id="rId154" Type="http://schemas.openxmlformats.org/officeDocument/2006/relationships/hyperlink" Target="http://www.wanhesec.com.cn/" TargetMode="External"/><Relationship Id="rId155" Type="http://schemas.openxmlformats.org/officeDocument/2006/relationships/hyperlink" Target="http://www.hxzq.cn/" TargetMode="External"/><Relationship Id="rId156" Type="http://schemas.openxmlformats.org/officeDocument/2006/relationships/hyperlink" Target="http://www.tpyzq.com/" TargetMode="External"/><Relationship Id="rId157" Type="http://schemas.openxmlformats.org/officeDocument/2006/relationships/hyperlink" Target="http://www.kysec.cn/" TargetMode="External"/><Relationship Id="rId158" Type="http://schemas.openxmlformats.org/officeDocument/2006/relationships/hyperlink" Target="http://www.cczp.com/" TargetMode="External"/><Relationship Id="rId159" Type="http://schemas.openxmlformats.org/officeDocument/2006/relationships/hyperlink" Target="http://www.lczq.com/" TargetMode="External"/><Relationship Id="rId160" Type="http://schemas.openxmlformats.org/officeDocument/2006/relationships/hyperlink" Target="http://www.huaruisales.com/" TargetMode="External"/><Relationship Id="rId161" Type="http://schemas.openxmlformats.org/officeDocument/2006/relationships/hyperlink" Target="http://fund.sinosig.com/" TargetMode="External"/><Relationship Id="rId162" Type="http://schemas.openxmlformats.org/officeDocument/2006/relationships/hyperlink" Target="http://www.e-chinalife.com/" TargetMode="External"/><Relationship Id="rId163" Type="http://schemas.openxmlformats.org/officeDocument/2006/relationships/hyperlink" Target="http://www.ChinaAMC.com/" TargetMode="External"/><Relationship Id="rId164" Type="http://schemas.openxmlformats.org/officeDocument/2006/relationships/image" Target="media/image6.png"/><Relationship Id="rId165" Type="http://schemas.openxmlformats.org/officeDocument/2006/relationships/image" Target="media/image7.png"/><Relationship Id="rId166" Type="http://schemas.openxmlformats.org/officeDocument/2006/relationships/image" Target="media/image8.png"/><Relationship Id="rId167" Type="http://schemas.openxmlformats.org/officeDocument/2006/relationships/image" Target="media/image9.png"/><Relationship Id="rId168" Type="http://schemas.openxmlformats.org/officeDocument/2006/relationships/image" Target="media/image10.png"/><Relationship Id="rId169" Type="http://schemas.openxmlformats.org/officeDocument/2006/relationships/image" Target="media/image11.png"/><Relationship Id="rId170" Type="http://schemas.openxmlformats.org/officeDocument/2006/relationships/image" Target="media/image12.png"/><Relationship Id="rId171" Type="http://schemas.openxmlformats.org/officeDocument/2006/relationships/image" Target="media/image13.png"/><Relationship Id="rId172" Type="http://schemas.openxmlformats.org/officeDocument/2006/relationships/image" Target="media/image14.png"/><Relationship Id="rId173" Type="http://schemas.openxmlformats.org/officeDocument/2006/relationships/image" Target="media/image15.png"/><Relationship Id="rId174" Type="http://schemas.openxmlformats.org/officeDocument/2006/relationships/image" Target="media/image16.png"/><Relationship Id="rId175" Type="http://schemas.openxmlformats.org/officeDocument/2006/relationships/image" Target="media/image17.png"/><Relationship Id="rId176" Type="http://schemas.openxmlformats.org/officeDocument/2006/relationships/image" Target="media/image18.png"/><Relationship Id="rId177" Type="http://schemas.openxmlformats.org/officeDocument/2006/relationships/image" Target="media/image19.png"/><Relationship Id="rId178" Type="http://schemas.openxmlformats.org/officeDocument/2006/relationships/image" Target="media/image20.png"/><Relationship Id="rId179" Type="http://schemas.openxmlformats.org/officeDocument/2006/relationships/image" Target="media/image21.png"/><Relationship Id="rId180" Type="http://schemas.openxmlformats.org/officeDocument/2006/relationships/image" Target="media/image22.png"/><Relationship Id="rId181" Type="http://schemas.openxmlformats.org/officeDocument/2006/relationships/image" Target="media/image23.png"/><Relationship Id="rId182" Type="http://schemas.openxmlformats.org/officeDocument/2006/relationships/image" Target="media/image24.png"/><Relationship Id="rId183" Type="http://schemas.openxmlformats.org/officeDocument/2006/relationships/footer" Target="footer3.xml"/><Relationship Id="rId184" Type="http://schemas.openxmlformats.org/officeDocument/2006/relationships/footer" Target="footer4.xml"/><Relationship Id="rId185" Type="http://schemas.openxmlformats.org/officeDocument/2006/relationships/footer" Target="footer5.xml"/><Relationship Id="rId186" Type="http://schemas.openxmlformats.org/officeDocument/2006/relationships/footer" Target="footer6.xml"/><Relationship Id="rId187" Type="http://schemas.openxmlformats.org/officeDocument/2006/relationships/footer" Target="footer7.xml"/><Relationship Id="rId188" Type="http://schemas.openxmlformats.org/officeDocument/2006/relationships/footer" Target="footer8.xml"/><Relationship Id="rId189" Type="http://schemas.openxmlformats.org/officeDocument/2006/relationships/hyperlink" Target="mailto:service@ChinaAMC.com" TargetMode="External"/><Relationship Id="rId19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erms:created xsi:type="dcterms:W3CDTF">2020-11-22T13:54:27Z</dcterms:created>
  <dcterms:modified xsi:type="dcterms:W3CDTF">2020-11-22T13:54:27Z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