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line="648" w:lineRule="exact" w:before="0"/>
        <w:ind w:left="0" w:right="419" w:firstLine="0"/>
        <w:jc w:val="center"/>
        <w:rPr>
          <w:rFonts w:ascii="Microsoft JhengHei" w:eastAsia="Microsoft JhengHei" w:hint="eastAsia"/>
          <w:b/>
          <w:sz w:val="40"/>
        </w:rPr>
      </w:pPr>
      <w:r>
        <w:rPr>
          <w:rFonts w:ascii="Microsoft JhengHei" w:eastAsia="Microsoft JhengHei" w:hint="eastAsia"/>
          <w:b/>
          <w:sz w:val="40"/>
        </w:rPr>
        <w:t>易方达黄金主题证券投资基金（LOF）</w:t>
      </w:r>
    </w:p>
    <w:p>
      <w:pPr>
        <w:spacing w:before="42"/>
        <w:ind w:left="0" w:right="421" w:firstLine="0"/>
        <w:jc w:val="center"/>
        <w:rPr>
          <w:rFonts w:ascii="Microsoft JhengHei" w:eastAsia="Microsoft JhengHei" w:hint="eastAsia"/>
          <w:b/>
          <w:sz w:val="40"/>
        </w:rPr>
      </w:pPr>
      <w:r>
        <w:rPr>
          <w:rFonts w:ascii="Microsoft JhengHei" w:eastAsia="Microsoft JhengHei" w:hint="eastAsia"/>
          <w:b/>
          <w:sz w:val="40"/>
        </w:rPr>
        <w:t>更新的招募说明书</w:t>
      </w: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spacing w:before="13"/>
        <w:ind w:left="0"/>
        <w:rPr>
          <w:rFonts w:ascii="Microsoft JhengHei"/>
          <w:b/>
          <w:sz w:val="48"/>
        </w:rPr>
      </w:pPr>
    </w:p>
    <w:p>
      <w:pPr>
        <w:spacing w:line="364" w:lineRule="auto" w:before="0"/>
        <w:ind w:left="1832" w:right="2252" w:firstLine="0"/>
        <w:jc w:val="center"/>
        <w:rPr>
          <w:sz w:val="30"/>
        </w:rPr>
      </w:pPr>
      <w:r>
        <w:rPr>
          <w:sz w:val="30"/>
        </w:rPr>
        <w:t>基金管理人：易方达基金管理有限公司 </w:t>
      </w:r>
      <w:r>
        <w:rPr>
          <w:spacing w:val="-1"/>
          <w:sz w:val="30"/>
        </w:rPr>
        <w:t>基金托管人：中国农业银行股份有限公司</w:t>
      </w:r>
    </w:p>
    <w:p>
      <w:pPr>
        <w:pStyle w:val="BodyText"/>
        <w:ind w:left="0"/>
        <w:rPr>
          <w:sz w:val="30"/>
        </w:rPr>
      </w:pPr>
    </w:p>
    <w:p>
      <w:pPr>
        <w:spacing w:before="227"/>
        <w:ind w:left="0" w:right="419" w:firstLine="0"/>
        <w:jc w:val="center"/>
        <w:rPr>
          <w:sz w:val="30"/>
        </w:rPr>
      </w:pPr>
      <w:r>
        <w:rPr>
          <w:sz w:val="30"/>
        </w:rPr>
        <w:t>二○二○年五月</w:t>
      </w:r>
    </w:p>
    <w:p>
      <w:pPr>
        <w:spacing w:after="0"/>
        <w:jc w:val="center"/>
        <w:rPr>
          <w:sz w:val="30"/>
        </w:rPr>
        <w:sectPr>
          <w:type w:val="continuous"/>
          <w:pgSz w:w="11910" w:h="16840"/>
          <w:pgMar w:top="1580" w:bottom="280" w:left="1420" w:right="1000"/>
        </w:sectPr>
      </w:pPr>
    </w:p>
    <w:p>
      <w:pPr>
        <w:pStyle w:val="BodyText"/>
        <w:ind w:left="0"/>
        <w:rPr>
          <w:sz w:val="20"/>
        </w:rPr>
      </w:pPr>
    </w:p>
    <w:p>
      <w:pPr>
        <w:pStyle w:val="BodyText"/>
        <w:spacing w:before="7"/>
        <w:ind w:left="0"/>
        <w:rPr>
          <w:sz w:val="19"/>
        </w:rPr>
      </w:pPr>
    </w:p>
    <w:p>
      <w:pPr>
        <w:pStyle w:val="Heading3"/>
      </w:pPr>
      <w:r>
        <w:rPr/>
        <w:t>重要提示</w:t>
      </w:r>
    </w:p>
    <w:p>
      <w:pPr>
        <w:pStyle w:val="Heading5"/>
        <w:spacing w:before="35"/>
        <w:ind w:left="813" w:right="0"/>
        <w:jc w:val="both"/>
      </w:pPr>
      <w:r>
        <w:rPr/>
        <w:t>本基金根据 2011 年 2 月 9 日中国证券监督管理委员会《关于核准易方达黄金主题证券</w:t>
      </w:r>
    </w:p>
    <w:p>
      <w:pPr>
        <w:pStyle w:val="Heading5"/>
        <w:spacing w:line="254" w:lineRule="auto" w:before="22"/>
        <w:jc w:val="both"/>
      </w:pPr>
      <w:r>
        <w:rPr>
          <w:w w:val="95"/>
        </w:rPr>
        <w:t>投资基金（LOF）募集的批复》（证监许可【2011】181 号）和 2011 年 3 月 2 日《关于易方达黄金主题证券投资基金（LOF）募集时间安排的确认函》（基金部函【2011】120  号）的</w:t>
      </w:r>
      <w:r>
        <w:rPr/>
        <w:t>核准，进行募集。本基金的基金合同于 2011 年 5 月 6 日正式生效。</w:t>
      </w:r>
    </w:p>
    <w:p>
      <w:pPr>
        <w:pStyle w:val="Heading5"/>
        <w:spacing w:line="254" w:lineRule="auto"/>
        <w:ind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Heading5"/>
        <w:spacing w:line="254" w:lineRule="auto"/>
        <w:ind w:firstLine="420"/>
      </w:pPr>
      <w:r>
        <w:rPr/>
        <w:t>基金管理人依照恪尽职守、诚实信用、谨慎勤勉的原则管理和运用基金财产，但不保证基金一定盈利，也不保证最低收益。</w:t>
      </w:r>
    </w:p>
    <w:p>
      <w:pPr>
        <w:pStyle w:val="Heading5"/>
        <w:spacing w:line="254" w:lineRule="auto"/>
        <w:ind w:right="602" w:firstLine="420"/>
      </w:pPr>
      <w:r>
        <w:rPr>
          <w:spacing w:val="-7"/>
        </w:rPr>
        <w:t>本基金为基金中基金，其投资于基金的资产合计不低于本基金基金资产净值的 </w:t>
      </w:r>
      <w:r>
        <w:rPr>
          <w:spacing w:val="-13"/>
        </w:rPr>
        <w:t>60</w:t>
      </w:r>
      <w:r>
        <w:rPr>
          <w:spacing w:val="-9"/>
        </w:rPr>
        <w:t>%，投</w:t>
      </w:r>
      <w:r>
        <w:rPr>
          <w:spacing w:val="-10"/>
        </w:rPr>
        <w:t>资于基金的资产中不低于 </w:t>
      </w:r>
      <w:r>
        <w:rPr/>
        <w:t>80</w:t>
      </w:r>
      <w:r>
        <w:rPr>
          <w:spacing w:val="-10"/>
        </w:rPr>
        <w:t>%投资于黄金基金，因此本基金投资于黄金基金的资产占本基金</w:t>
      </w:r>
      <w:r>
        <w:rPr>
          <w:spacing w:val="-11"/>
        </w:rPr>
        <w:t>基金资产净值的比例可低至 </w:t>
      </w:r>
      <w:r>
        <w:rPr/>
        <w:t>48</w:t>
      </w:r>
      <w:r>
        <w:rPr>
          <w:spacing w:val="-10"/>
        </w:rPr>
        <w:t>%。基金净值会因为证券市场波动等因素产生波动，投资者在投资本基金前，请认真阅读本招募说明书和基金产品资料概要，全面认识本基金产品的风  险收益特征和产品特性，充分考虑自身的风险承受能力，理性判断市场，对认购（或申购） 基金的意愿、时机、数量等投资行为作出独立决策，获得基金投资收益，亦承担基金投资  中出现的各类风险。投资本基金可能遇到的主要风险包括：黄金价格下跌的风险：黄金价  </w:t>
      </w:r>
      <w:r>
        <w:rPr>
          <w:spacing w:val="-9"/>
        </w:rPr>
        <w:t>格走势是影响本基金业绩表现的最重要的因素，黄金价格下跌将导致黄金 </w:t>
      </w:r>
      <w:r>
        <w:rPr/>
        <w:t>ETF</w:t>
      </w:r>
      <w:r>
        <w:rPr>
          <w:spacing w:val="3"/>
        </w:rPr>
        <w:t> 净值下跌， 黄金采掘公司盈利下降，黄金采掘公司股票价格下跌；管理风险：基金管理人错误判断黄  金价格走势、资产配置失误，导致基金表现低于业绩比较基准或出现亏损的风险；海外投  资面临的国别/</w:t>
      </w:r>
      <w:r>
        <w:rPr>
          <w:spacing w:val="-4"/>
        </w:rPr>
        <w:t>地区市场风险、政府管制风险、监管风险、政治风险、流动性风险、汇率风 险、利率风险；衍生品风险：为回避市场风险和有效管理，本基金有可能投资衍生工具，  从而引发的风险；本基金法律文件中涉及基金风险特征的表述与销售机构对基金的风险评  级可能不一致的风险等等。本基金主要投资于黄金基金，并不代表本基金可以保本或保证  收益，基金投资仍有可能出现亏损。基金管理人提醒投资者基金投资的“买者自负”原则， 在投资者作出投资决策后，基金运营状况与基金净值变化引致的投资风险，由投资者自行  负责。</w:t>
      </w:r>
    </w:p>
    <w:p>
      <w:pPr>
        <w:pStyle w:val="Heading5"/>
        <w:spacing w:line="372" w:lineRule="exact"/>
        <w:ind w:left="813" w:right="0"/>
      </w:pPr>
      <w:r>
        <w:rPr/>
        <w:t>本基金在上市交易期间，如继续接受申购可能导致本基金突破国家外汇局批准的外汇</w:t>
      </w:r>
    </w:p>
    <w:p>
      <w:pPr>
        <w:pStyle w:val="Heading5"/>
        <w:spacing w:line="254" w:lineRule="auto" w:before="16"/>
        <w:ind w:right="813"/>
        <w:jc w:val="both"/>
      </w:pPr>
      <w:r>
        <w:rPr/>
        <w:t>额度，本基金将暂停申购，由此可能导致二级市场价格出现较大波动。当本基金因外汇额度原因暂停申购期间出现了较高的折溢价率，折溢价率可能因国家外汇局批准基金管理人新增外汇额度以及本基金恢复申购业务而大幅缩小，亦可能导致本基金二级市场价格出现</w:t>
      </w:r>
    </w:p>
    <w:p>
      <w:pPr>
        <w:spacing w:after="0" w:line="254" w:lineRule="auto"/>
        <w:jc w:val="both"/>
        <w:sectPr>
          <w:pgSz w:w="11910" w:h="16840"/>
          <w:pgMar w:top="1580" w:bottom="280" w:left="1420" w:right="1000"/>
        </w:sectPr>
      </w:pPr>
    </w:p>
    <w:p>
      <w:pPr>
        <w:pStyle w:val="Heading5"/>
        <w:spacing w:line="254" w:lineRule="auto" w:before="37"/>
        <w:ind w:left="813" w:right="602" w:hanging="420"/>
      </w:pPr>
      <w:r>
        <w:rPr/>
        <w:t>较大波动。本基金二级市场收盘价折溢价率可能因黄金价格波动等市场因素发生较大变动。本基金由易方达基金管理有限公司独立管理，未聘请境外投资顾问。</w:t>
      </w:r>
    </w:p>
    <w:p>
      <w:pPr>
        <w:pStyle w:val="Heading5"/>
        <w:spacing w:line="254" w:lineRule="auto"/>
        <w:ind w:firstLine="420"/>
      </w:pPr>
      <w:r>
        <w:rPr/>
        <w:t>投资有风险，投资者投资本基金时应认真阅读本招募说明书；基金的过往业绩并不预示其未来表现。</w:t>
      </w:r>
    </w:p>
    <w:p>
      <w:pPr>
        <w:pStyle w:val="Heading5"/>
        <w:spacing w:line="254" w:lineRule="auto"/>
        <w:ind w:firstLine="420"/>
      </w:pPr>
      <w:r>
        <w:rPr/>
        <w:t>基金合同约定的基金产品资料概要编制、披露与更新要求，自《信息披露办法》实施之日起一年后开始执行。</w:t>
      </w:r>
    </w:p>
    <w:p>
      <w:pPr>
        <w:pStyle w:val="Heading5"/>
        <w:spacing w:line="384" w:lineRule="exact"/>
        <w:ind w:left="813" w:right="0"/>
      </w:pPr>
      <w:r>
        <w:rPr/>
        <w:t>除非另有说明，本招募说明书所载内容截止日为 2020 年 4 月 16 日，有关财务数据截</w:t>
      </w:r>
    </w:p>
    <w:p>
      <w:pPr>
        <w:pStyle w:val="Heading5"/>
        <w:spacing w:line="254" w:lineRule="auto" w:before="19"/>
        <w:ind w:right="864"/>
      </w:pPr>
      <w:r>
        <w:rPr>
          <w:spacing w:val="-6"/>
        </w:rPr>
        <w:t>止日为 </w:t>
      </w:r>
      <w:r>
        <w:rPr/>
        <w:t>2020</w:t>
      </w:r>
      <w:r>
        <w:rPr>
          <w:spacing w:val="-16"/>
        </w:rPr>
        <w:t> 年 </w:t>
      </w:r>
      <w:r>
        <w:rPr/>
        <w:t>3</w:t>
      </w:r>
      <w:r>
        <w:rPr>
          <w:spacing w:val="-16"/>
        </w:rPr>
        <w:t> 月 </w:t>
      </w:r>
      <w:r>
        <w:rPr/>
        <w:t>31</w:t>
      </w:r>
      <w:r>
        <w:rPr>
          <w:spacing w:val="-7"/>
        </w:rPr>
        <w:t> 日，净值表现截止日为 </w:t>
      </w:r>
      <w:r>
        <w:rPr/>
        <w:t>2019</w:t>
      </w:r>
      <w:r>
        <w:rPr>
          <w:spacing w:val="-16"/>
        </w:rPr>
        <w:t> 年 </w:t>
      </w:r>
      <w:r>
        <w:rPr/>
        <w:t>12</w:t>
      </w:r>
      <w:r>
        <w:rPr>
          <w:spacing w:val="-16"/>
        </w:rPr>
        <w:t> 月 </w:t>
      </w:r>
      <w:r>
        <w:rPr/>
        <w:t>31</w:t>
      </w:r>
      <w:r>
        <w:rPr>
          <w:spacing w:val="-43"/>
        </w:rPr>
        <w:t> 日。</w:t>
      </w:r>
      <w:r>
        <w:rPr/>
        <w:t>（本报告中财务数据未经审计）</w:t>
      </w:r>
    </w:p>
    <w:p>
      <w:pPr>
        <w:spacing w:after="0" w:line="254" w:lineRule="auto"/>
        <w:sectPr>
          <w:pgSz w:w="11910" w:h="16840"/>
          <w:pgMar w:top="1580" w:bottom="280" w:left="1420" w:right="1000"/>
        </w:sectPr>
      </w:pPr>
    </w:p>
    <w:p>
      <w:pPr>
        <w:spacing w:before="15"/>
        <w:ind w:left="0" w:right="419" w:firstLine="0"/>
        <w:jc w:val="center"/>
        <w:rPr>
          <w:rFonts w:ascii="Microsoft JhengHei" w:eastAsia="Microsoft JhengHei" w:hint="eastAsia"/>
          <w:b/>
          <w:sz w:val="28"/>
        </w:rPr>
      </w:pPr>
      <w:r>
        <w:rPr>
          <w:rFonts w:ascii="Microsoft JhengHei" w:eastAsia="Microsoft JhengHei" w:hint="eastAsia"/>
          <w:b/>
          <w:sz w:val="28"/>
        </w:rPr>
        <w:t>目录</w:t>
      </w:r>
    </w:p>
    <w:p>
      <w:pPr>
        <w:spacing w:after="0"/>
        <w:jc w:val="center"/>
        <w:rPr>
          <w:rFonts w:ascii="Microsoft JhengHei" w:eastAsia="Microsoft JhengHei" w:hint="eastAsia"/>
          <w:sz w:val="28"/>
        </w:rPr>
        <w:sectPr>
          <w:footerReference w:type="default" r:id="rId5"/>
          <w:pgSz w:w="11910" w:h="16840"/>
          <w:pgMar w:footer="1453" w:header="0" w:top="1580" w:bottom="1696" w:left="1420" w:right="1000"/>
          <w:pgNumType w:start="1"/>
        </w:sectPr>
      </w:pPr>
    </w:p>
    <w:sdt>
      <w:sdtPr>
        <w:docPartObj>
          <w:docPartGallery w:val="Table of Contents"/>
          <w:docPartUnique/>
        </w:docPartObj>
      </w:sdtPr>
      <w:sdtEndPr/>
      <w:sdtContent>
        <w:p>
          <w:pPr>
            <w:pStyle w:val="TOC1"/>
            <w:tabs>
              <w:tab w:pos="1636" w:val="left" w:leader="none"/>
              <w:tab w:pos="8552" w:val="left" w:leader="dot"/>
            </w:tabs>
            <w:spacing w:before="189"/>
            <w:rPr>
              <w:rFonts w:ascii="宋体" w:eastAsia="宋体" w:hint="eastAsia"/>
            </w:rPr>
          </w:pPr>
          <w:hyperlink w:history="true" w:anchor="_bookmark0">
            <w:r>
              <w:rPr/>
              <w:t>第一节</w:t>
              <w:tab/>
              <w:t>绪言</w:t>
              <w:tab/>
            </w:r>
            <w:r>
              <w:rPr>
                <w:rFonts w:ascii="宋体" w:eastAsia="宋体" w:hint="eastAsia"/>
              </w:rPr>
              <w:t>1</w:t>
            </w:r>
          </w:hyperlink>
        </w:p>
        <w:p>
          <w:pPr>
            <w:pStyle w:val="TOC1"/>
            <w:tabs>
              <w:tab w:pos="1636" w:val="left" w:leader="none"/>
              <w:tab w:pos="8552" w:val="left" w:leader="dot"/>
            </w:tabs>
            <w:spacing w:before="140"/>
            <w:rPr>
              <w:rFonts w:ascii="宋体" w:eastAsia="宋体" w:hint="eastAsia"/>
            </w:rPr>
          </w:pPr>
          <w:hyperlink w:history="true" w:anchor="_bookmark1">
            <w:r>
              <w:rPr/>
              <w:t>第二节</w:t>
              <w:tab/>
              <w:t>释义</w:t>
              <w:tab/>
            </w:r>
            <w:r>
              <w:rPr>
                <w:rFonts w:ascii="宋体" w:eastAsia="宋体" w:hint="eastAsia"/>
              </w:rPr>
              <w:t>2</w:t>
            </w:r>
          </w:hyperlink>
        </w:p>
        <w:p>
          <w:pPr>
            <w:pStyle w:val="TOC1"/>
            <w:tabs>
              <w:tab w:pos="1636" w:val="left" w:leader="none"/>
              <w:tab w:pos="8552" w:val="left" w:leader="dot"/>
            </w:tabs>
            <w:spacing w:before="139"/>
            <w:rPr>
              <w:rFonts w:ascii="宋体" w:eastAsia="宋体" w:hint="eastAsia"/>
            </w:rPr>
          </w:pPr>
          <w:hyperlink w:history="true" w:anchor="_bookmark2">
            <w:r>
              <w:rPr/>
              <w:t>第三节</w:t>
              <w:tab/>
              <w:t>风险揭示</w:t>
              <w:tab/>
            </w:r>
            <w:r>
              <w:rPr>
                <w:rFonts w:ascii="宋体" w:eastAsia="宋体" w:hint="eastAsia"/>
              </w:rPr>
              <w:t>8</w:t>
            </w:r>
          </w:hyperlink>
        </w:p>
        <w:p>
          <w:pPr>
            <w:pStyle w:val="TOC2"/>
            <w:tabs>
              <w:tab w:pos="2476" w:val="left" w:leader="none"/>
              <w:tab w:pos="8539" w:val="left" w:leader="dot"/>
            </w:tabs>
            <w:spacing w:before="153"/>
            <w:rPr>
              <w:rFonts w:ascii="Times New Roman" w:eastAsia="Times New Roman"/>
            </w:rPr>
          </w:pPr>
          <w:hyperlink w:history="true" w:anchor="_bookmark3">
            <w:r>
              <w:rPr/>
              <w:t>一、</w:t>
              <w:tab/>
              <w:t>本基金特有风险</w:t>
              <w:tab/>
            </w:r>
            <w:r>
              <w:rPr>
                <w:rFonts w:ascii="Times New Roman" w:eastAsia="Times New Roman"/>
                <w:position w:val="2"/>
              </w:rPr>
              <w:t>8</w:t>
            </w:r>
          </w:hyperlink>
        </w:p>
        <w:p>
          <w:pPr>
            <w:pStyle w:val="TOC2"/>
            <w:tabs>
              <w:tab w:pos="2476" w:val="left" w:leader="none"/>
              <w:tab w:pos="8539" w:val="left" w:leader="dot"/>
            </w:tabs>
            <w:spacing w:before="171"/>
            <w:rPr>
              <w:rFonts w:ascii="Times New Roman" w:eastAsia="Times New Roman"/>
            </w:rPr>
          </w:pPr>
          <w:hyperlink w:history="true" w:anchor="_bookmark4">
            <w:r>
              <w:rPr/>
              <w:t>二、</w:t>
              <w:tab/>
              <w:t>境外投资风险</w:t>
              <w:tab/>
            </w:r>
            <w:r>
              <w:rPr>
                <w:rFonts w:ascii="Times New Roman" w:eastAsia="Times New Roman"/>
                <w:position w:val="2"/>
              </w:rPr>
              <w:t>9</w:t>
            </w:r>
          </w:hyperlink>
        </w:p>
        <w:p>
          <w:pPr>
            <w:pStyle w:val="TOC2"/>
            <w:tabs>
              <w:tab w:pos="2476" w:val="left" w:leader="none"/>
              <w:tab w:pos="8434" w:val="left" w:leader="dot"/>
            </w:tabs>
            <w:rPr>
              <w:rFonts w:ascii="Times New Roman" w:eastAsia="Times New Roman"/>
            </w:rPr>
          </w:pPr>
          <w:hyperlink w:history="true" w:anchor="_bookmark5">
            <w:r>
              <w:rPr/>
              <w:t>三、</w:t>
              <w:tab/>
              <w:t>基金运作风险</w:t>
              <w:tab/>
            </w:r>
            <w:r>
              <w:rPr>
                <w:rFonts w:ascii="Times New Roman" w:eastAsia="Times New Roman"/>
                <w:position w:val="2"/>
              </w:rPr>
              <w:t>11</w:t>
            </w:r>
          </w:hyperlink>
        </w:p>
        <w:p>
          <w:pPr>
            <w:pStyle w:val="TOC2"/>
            <w:tabs>
              <w:tab w:pos="2476" w:val="left" w:leader="none"/>
              <w:tab w:pos="8434" w:val="left" w:leader="dot"/>
            </w:tabs>
            <w:spacing w:line="393" w:lineRule="auto" w:before="178"/>
            <w:ind w:left="796" w:right="840" w:firstLine="735"/>
            <w:rPr>
              <w:rFonts w:ascii="Times New Roman" w:eastAsia="Times New Roman"/>
            </w:rPr>
          </w:pPr>
          <w:hyperlink w:history="true" w:anchor="_bookmark6">
            <w:r>
              <w:rPr/>
              <w:t>四、</w:t>
              <w:tab/>
              <w:t>本基金法律文件中涉及基金风险特征的表述与销售机构对基金的风</w:t>
            </w:r>
          </w:hyperlink>
          <w:hyperlink w:history="true" w:anchor="_bookmark6">
            <w:r>
              <w:rPr/>
              <w:t>险评级可能不一致的风险</w:t>
              <w:tab/>
            </w:r>
            <w:r>
              <w:rPr>
                <w:rFonts w:ascii="Times New Roman" w:eastAsia="Times New Roman"/>
                <w:spacing w:val="-9"/>
                <w:position w:val="2"/>
              </w:rPr>
              <w:t>12</w:t>
            </w:r>
          </w:hyperlink>
        </w:p>
        <w:p>
          <w:pPr>
            <w:pStyle w:val="TOC2"/>
            <w:tabs>
              <w:tab w:pos="2476" w:val="left" w:leader="none"/>
              <w:tab w:pos="8434" w:val="left" w:leader="dot"/>
            </w:tabs>
            <w:spacing w:line="274" w:lineRule="exact" w:before="0"/>
            <w:rPr>
              <w:rFonts w:ascii="Times New Roman" w:eastAsia="Times New Roman"/>
            </w:rPr>
          </w:pPr>
          <w:hyperlink w:history="true" w:anchor="_bookmark7">
            <w:r>
              <w:rPr/>
              <w:t>五、</w:t>
              <w:tab/>
              <w:t>其他风险</w:t>
              <w:tab/>
            </w:r>
            <w:r>
              <w:rPr>
                <w:rFonts w:ascii="Times New Roman" w:eastAsia="Times New Roman"/>
                <w:position w:val="2"/>
              </w:rPr>
              <w:t>12</w:t>
            </w:r>
          </w:hyperlink>
        </w:p>
        <w:p>
          <w:pPr>
            <w:pStyle w:val="TOC1"/>
            <w:tabs>
              <w:tab w:pos="1636" w:val="left" w:leader="none"/>
              <w:tab w:pos="8432" w:val="left" w:leader="dot"/>
            </w:tabs>
            <w:rPr>
              <w:rFonts w:ascii="宋体" w:eastAsia="宋体" w:hint="eastAsia"/>
            </w:rPr>
          </w:pPr>
          <w:hyperlink w:history="true" w:anchor="_bookmark8">
            <w:r>
              <w:rPr/>
              <w:t>第四节</w:t>
              <w:tab/>
              <w:t>基金的投资</w:t>
              <w:tab/>
            </w:r>
            <w:r>
              <w:rPr>
                <w:rFonts w:ascii="宋体" w:eastAsia="宋体" w:hint="eastAsia"/>
              </w:rPr>
              <w:t>14</w:t>
            </w:r>
          </w:hyperlink>
        </w:p>
        <w:p>
          <w:pPr>
            <w:pStyle w:val="TOC2"/>
            <w:tabs>
              <w:tab w:pos="2476" w:val="left" w:leader="none"/>
              <w:tab w:pos="8434" w:val="left" w:leader="dot"/>
            </w:tabs>
            <w:spacing w:before="153"/>
            <w:rPr>
              <w:rFonts w:ascii="Times New Roman" w:eastAsia="Times New Roman"/>
            </w:rPr>
          </w:pPr>
          <w:hyperlink w:history="true" w:anchor="_bookmark9">
            <w:r>
              <w:rPr/>
              <w:t>一、</w:t>
              <w:tab/>
              <w:t>投资目标</w:t>
              <w:tab/>
            </w:r>
            <w:r>
              <w:rPr>
                <w:rFonts w:ascii="Times New Roman" w:eastAsia="Times New Roman"/>
                <w:position w:val="2"/>
              </w:rPr>
              <w:t>14</w:t>
            </w:r>
          </w:hyperlink>
        </w:p>
        <w:p>
          <w:pPr>
            <w:pStyle w:val="TOC2"/>
            <w:tabs>
              <w:tab w:pos="2476" w:val="left" w:leader="none"/>
              <w:tab w:pos="8434" w:val="left" w:leader="dot"/>
            </w:tabs>
            <w:rPr>
              <w:rFonts w:ascii="Times New Roman" w:eastAsia="Times New Roman"/>
            </w:rPr>
          </w:pPr>
          <w:hyperlink w:history="true" w:anchor="_bookmark10">
            <w:r>
              <w:rPr/>
              <w:t>二、</w:t>
              <w:tab/>
              <w:t>投资范围</w:t>
              <w:tab/>
            </w:r>
            <w:r>
              <w:rPr>
                <w:rFonts w:ascii="Times New Roman" w:eastAsia="Times New Roman"/>
                <w:position w:val="2"/>
              </w:rPr>
              <w:t>14</w:t>
            </w:r>
          </w:hyperlink>
        </w:p>
        <w:p>
          <w:pPr>
            <w:pStyle w:val="TOC2"/>
            <w:tabs>
              <w:tab w:pos="2476" w:val="left" w:leader="none"/>
              <w:tab w:pos="8434" w:val="left" w:leader="dot"/>
            </w:tabs>
            <w:spacing w:before="171"/>
            <w:rPr>
              <w:rFonts w:ascii="Times New Roman" w:eastAsia="Times New Roman"/>
            </w:rPr>
          </w:pPr>
          <w:hyperlink w:history="true" w:anchor="_bookmark11">
            <w:r>
              <w:rPr/>
              <w:t>三、</w:t>
              <w:tab/>
              <w:t>投资理念</w:t>
              <w:tab/>
            </w:r>
            <w:r>
              <w:rPr>
                <w:rFonts w:ascii="Times New Roman" w:eastAsia="Times New Roman"/>
                <w:position w:val="2"/>
              </w:rPr>
              <w:t>14</w:t>
            </w:r>
          </w:hyperlink>
        </w:p>
        <w:p>
          <w:pPr>
            <w:pStyle w:val="TOC2"/>
            <w:tabs>
              <w:tab w:pos="2476" w:val="left" w:leader="none"/>
              <w:tab w:pos="8434" w:val="left" w:leader="dot"/>
            </w:tabs>
            <w:rPr>
              <w:rFonts w:ascii="Times New Roman" w:eastAsia="Times New Roman"/>
            </w:rPr>
          </w:pPr>
          <w:hyperlink w:history="true" w:anchor="_bookmark12">
            <w:r>
              <w:rPr/>
              <w:t>四、</w:t>
              <w:tab/>
              <w:t>投资策略</w:t>
              <w:tab/>
            </w:r>
            <w:r>
              <w:rPr>
                <w:rFonts w:ascii="Times New Roman" w:eastAsia="Times New Roman"/>
                <w:position w:val="2"/>
              </w:rPr>
              <w:t>14</w:t>
            </w:r>
          </w:hyperlink>
        </w:p>
        <w:p>
          <w:pPr>
            <w:pStyle w:val="TOC2"/>
            <w:tabs>
              <w:tab w:pos="2476" w:val="left" w:leader="none"/>
              <w:tab w:pos="8434" w:val="left" w:leader="dot"/>
            </w:tabs>
            <w:rPr>
              <w:rFonts w:ascii="Times New Roman" w:eastAsia="Times New Roman"/>
            </w:rPr>
          </w:pPr>
          <w:hyperlink w:history="true" w:anchor="_bookmark13">
            <w:r>
              <w:rPr/>
              <w:t>五、</w:t>
              <w:tab/>
              <w:t>业绩比较基准</w:t>
              <w:tab/>
            </w:r>
            <w:r>
              <w:rPr>
                <w:rFonts w:ascii="Times New Roman" w:eastAsia="Times New Roman"/>
                <w:position w:val="2"/>
              </w:rPr>
              <w:t>16</w:t>
            </w:r>
          </w:hyperlink>
        </w:p>
        <w:p>
          <w:pPr>
            <w:pStyle w:val="TOC2"/>
            <w:tabs>
              <w:tab w:pos="2476" w:val="left" w:leader="none"/>
              <w:tab w:pos="8434" w:val="left" w:leader="dot"/>
            </w:tabs>
            <w:rPr>
              <w:rFonts w:ascii="Times New Roman" w:eastAsia="Times New Roman"/>
            </w:rPr>
          </w:pPr>
          <w:hyperlink w:history="true" w:anchor="_bookmark14">
            <w:r>
              <w:rPr/>
              <w:t>六、</w:t>
              <w:tab/>
              <w:t>风险收益特征</w:t>
              <w:tab/>
            </w:r>
            <w:r>
              <w:rPr>
                <w:rFonts w:ascii="Times New Roman" w:eastAsia="Times New Roman"/>
                <w:position w:val="2"/>
              </w:rPr>
              <w:t>16</w:t>
            </w:r>
          </w:hyperlink>
        </w:p>
        <w:p>
          <w:pPr>
            <w:pStyle w:val="TOC2"/>
            <w:tabs>
              <w:tab w:pos="2476" w:val="left" w:leader="none"/>
              <w:tab w:pos="8434" w:val="left" w:leader="dot"/>
            </w:tabs>
            <w:rPr>
              <w:rFonts w:ascii="Times New Roman" w:eastAsia="Times New Roman"/>
            </w:rPr>
          </w:pPr>
          <w:hyperlink w:history="true" w:anchor="_bookmark15">
            <w:r>
              <w:rPr/>
              <w:t>七、</w:t>
              <w:tab/>
              <w:t>投资决策依据与决策程序</w:t>
              <w:tab/>
            </w:r>
            <w:r>
              <w:rPr>
                <w:rFonts w:ascii="Times New Roman" w:eastAsia="Times New Roman"/>
                <w:position w:val="2"/>
              </w:rPr>
              <w:t>17</w:t>
            </w:r>
          </w:hyperlink>
        </w:p>
        <w:p>
          <w:pPr>
            <w:pStyle w:val="TOC2"/>
            <w:tabs>
              <w:tab w:pos="2476" w:val="left" w:leader="none"/>
              <w:tab w:pos="8434" w:val="left" w:leader="dot"/>
            </w:tabs>
            <w:rPr>
              <w:rFonts w:ascii="Times New Roman" w:eastAsia="Times New Roman"/>
            </w:rPr>
          </w:pPr>
          <w:hyperlink w:history="true" w:anchor="_bookmark16">
            <w:r>
              <w:rPr/>
              <w:t>八、</w:t>
              <w:tab/>
              <w:t>投资禁止与限制</w:t>
              <w:tab/>
            </w:r>
            <w:r>
              <w:rPr>
                <w:rFonts w:ascii="Times New Roman" w:eastAsia="Times New Roman"/>
                <w:position w:val="2"/>
              </w:rPr>
              <w:t>18</w:t>
            </w:r>
          </w:hyperlink>
        </w:p>
        <w:p>
          <w:pPr>
            <w:pStyle w:val="TOC2"/>
            <w:tabs>
              <w:tab w:pos="2476" w:val="left" w:leader="none"/>
              <w:tab w:pos="8434" w:val="left" w:leader="dot"/>
            </w:tabs>
            <w:rPr>
              <w:rFonts w:ascii="Times New Roman" w:eastAsia="Times New Roman"/>
            </w:rPr>
          </w:pPr>
          <w:hyperlink w:history="true" w:anchor="_bookmark17">
            <w:r>
              <w:rPr/>
              <w:t>九、</w:t>
              <w:tab/>
              <w:t>基金投资风险管理</w:t>
              <w:tab/>
            </w:r>
            <w:r>
              <w:rPr>
                <w:rFonts w:ascii="Times New Roman" w:eastAsia="Times New Roman"/>
                <w:position w:val="2"/>
              </w:rPr>
              <w:t>21</w:t>
            </w:r>
          </w:hyperlink>
        </w:p>
        <w:p>
          <w:pPr>
            <w:pStyle w:val="TOC2"/>
            <w:tabs>
              <w:tab w:pos="2476" w:val="left" w:leader="none"/>
              <w:tab w:pos="8434" w:val="left" w:leader="dot"/>
            </w:tabs>
            <w:rPr>
              <w:rFonts w:ascii="Times New Roman" w:eastAsia="Times New Roman"/>
            </w:rPr>
          </w:pPr>
          <w:hyperlink w:history="true" w:anchor="_bookmark18">
            <w:r>
              <w:rPr/>
              <w:t>十、</w:t>
              <w:tab/>
              <w:t>衍生品投资的风险管理与决策流程</w:t>
              <w:tab/>
            </w:r>
            <w:r>
              <w:rPr>
                <w:rFonts w:ascii="Times New Roman" w:eastAsia="Times New Roman"/>
                <w:position w:val="2"/>
              </w:rPr>
              <w:t>21</w:t>
            </w:r>
          </w:hyperlink>
        </w:p>
        <w:p>
          <w:pPr>
            <w:pStyle w:val="TOC2"/>
            <w:tabs>
              <w:tab w:pos="2476" w:val="left" w:leader="none"/>
              <w:tab w:pos="8434" w:val="left" w:leader="dot"/>
            </w:tabs>
            <w:spacing w:before="171"/>
            <w:rPr>
              <w:rFonts w:ascii="Times New Roman" w:eastAsia="Times New Roman"/>
            </w:rPr>
          </w:pPr>
          <w:hyperlink w:history="true" w:anchor="_bookmark19">
            <w:r>
              <w:rPr/>
              <w:t>十一、</w:t>
              <w:tab/>
              <w:t>代理投票</w:t>
              <w:tab/>
            </w:r>
            <w:r>
              <w:rPr>
                <w:rFonts w:ascii="Times New Roman" w:eastAsia="Times New Roman"/>
                <w:position w:val="2"/>
              </w:rPr>
              <w:t>22</w:t>
            </w:r>
          </w:hyperlink>
        </w:p>
        <w:p>
          <w:pPr>
            <w:pStyle w:val="TOC2"/>
            <w:tabs>
              <w:tab w:pos="2476" w:val="left" w:leader="none"/>
              <w:tab w:pos="8434" w:val="left" w:leader="dot"/>
            </w:tabs>
            <w:rPr>
              <w:rFonts w:ascii="Times New Roman" w:eastAsia="Times New Roman"/>
            </w:rPr>
          </w:pPr>
          <w:hyperlink w:history="true" w:anchor="_bookmark20">
            <w:r>
              <w:rPr/>
              <w:t>十二、</w:t>
              <w:tab/>
              <w:t>证券交易管理</w:t>
              <w:tab/>
            </w:r>
            <w:r>
              <w:rPr>
                <w:rFonts w:ascii="Times New Roman" w:eastAsia="Times New Roman"/>
                <w:position w:val="2"/>
              </w:rPr>
              <w:t>22</w:t>
            </w:r>
          </w:hyperlink>
        </w:p>
        <w:p>
          <w:pPr>
            <w:pStyle w:val="TOC2"/>
            <w:tabs>
              <w:tab w:pos="2476" w:val="left" w:leader="none"/>
              <w:tab w:pos="8434" w:val="left" w:leader="dot"/>
            </w:tabs>
            <w:rPr>
              <w:rFonts w:ascii="Times New Roman" w:eastAsia="Times New Roman"/>
            </w:rPr>
          </w:pPr>
          <w:hyperlink w:history="true" w:anchor="_bookmark21">
            <w:r>
              <w:rPr/>
              <w:t>十三、</w:t>
              <w:tab/>
              <w:t>基金投资组合报告</w:t>
            </w:r>
            <w:r>
              <w:rPr>
                <w:rFonts w:ascii="宋体" w:eastAsia="宋体" w:hint="eastAsia"/>
              </w:rPr>
              <w:t>(</w:t>
            </w:r>
            <w:r>
              <w:rPr/>
              <w:t>未经审计</w:t>
            </w:r>
            <w:r>
              <w:rPr>
                <w:rFonts w:ascii="宋体" w:eastAsia="宋体" w:hint="eastAsia"/>
              </w:rPr>
              <w:t>)</w:t>
              <w:tab/>
            </w:r>
            <w:r>
              <w:rPr>
                <w:rFonts w:ascii="Times New Roman" w:eastAsia="Times New Roman"/>
                <w:position w:val="2"/>
              </w:rPr>
              <w:t>23</w:t>
            </w:r>
          </w:hyperlink>
        </w:p>
        <w:p>
          <w:pPr>
            <w:pStyle w:val="TOC1"/>
            <w:tabs>
              <w:tab w:pos="1636" w:val="left" w:leader="none"/>
              <w:tab w:pos="8432" w:val="left" w:leader="dot"/>
            </w:tabs>
            <w:rPr>
              <w:rFonts w:ascii="宋体" w:eastAsia="宋体" w:hint="eastAsia"/>
            </w:rPr>
          </w:pPr>
          <w:hyperlink w:history="true" w:anchor="_bookmark22">
            <w:r>
              <w:rPr/>
              <w:t>第五节</w:t>
              <w:tab/>
              <w:t>基金的业绩</w:t>
              <w:tab/>
            </w:r>
            <w:r>
              <w:rPr>
                <w:rFonts w:ascii="宋体" w:eastAsia="宋体" w:hint="eastAsia"/>
              </w:rPr>
              <w:t>27</w:t>
            </w:r>
          </w:hyperlink>
        </w:p>
        <w:p>
          <w:pPr>
            <w:pStyle w:val="TOC1"/>
            <w:tabs>
              <w:tab w:pos="1636" w:val="left" w:leader="none"/>
              <w:tab w:pos="8432" w:val="left" w:leader="dot"/>
            </w:tabs>
            <w:spacing w:before="140"/>
            <w:rPr>
              <w:rFonts w:ascii="宋体" w:eastAsia="宋体" w:hint="eastAsia"/>
            </w:rPr>
          </w:pPr>
          <w:hyperlink w:history="true" w:anchor="_bookmark23">
            <w:r>
              <w:rPr/>
              <w:t>第六节</w:t>
              <w:tab/>
              <w:t>基金管理人</w:t>
              <w:tab/>
            </w:r>
            <w:r>
              <w:rPr>
                <w:rFonts w:ascii="宋体" w:eastAsia="宋体" w:hint="eastAsia"/>
              </w:rPr>
              <w:t>29</w:t>
            </w:r>
          </w:hyperlink>
        </w:p>
        <w:p>
          <w:pPr>
            <w:pStyle w:val="TOC2"/>
            <w:tabs>
              <w:tab w:pos="2476" w:val="left" w:leader="none"/>
              <w:tab w:pos="8434" w:val="left" w:leader="dot"/>
            </w:tabs>
            <w:spacing w:before="152"/>
            <w:rPr>
              <w:rFonts w:ascii="Times New Roman" w:eastAsia="Times New Roman"/>
            </w:rPr>
          </w:pPr>
          <w:hyperlink w:history="true" w:anchor="_bookmark24">
            <w:r>
              <w:rPr/>
              <w:t>一、</w:t>
              <w:tab/>
              <w:t>基金管理人基本情况</w:t>
              <w:tab/>
            </w:r>
            <w:r>
              <w:rPr>
                <w:rFonts w:ascii="Times New Roman" w:eastAsia="Times New Roman"/>
                <w:position w:val="2"/>
              </w:rPr>
              <w:t>29</w:t>
            </w:r>
          </w:hyperlink>
        </w:p>
        <w:p>
          <w:pPr>
            <w:pStyle w:val="TOC2"/>
            <w:tabs>
              <w:tab w:pos="2476" w:val="left" w:leader="none"/>
              <w:tab w:pos="8434" w:val="left" w:leader="dot"/>
            </w:tabs>
            <w:rPr>
              <w:rFonts w:ascii="Times New Roman" w:eastAsia="Times New Roman"/>
            </w:rPr>
          </w:pPr>
          <w:hyperlink w:history="true" w:anchor="_bookmark25">
            <w:r>
              <w:rPr/>
              <w:t>二、</w:t>
              <w:tab/>
              <w:t>主要人员情况</w:t>
              <w:tab/>
            </w:r>
            <w:r>
              <w:rPr>
                <w:rFonts w:ascii="Times New Roman" w:eastAsia="Times New Roman"/>
                <w:position w:val="2"/>
              </w:rPr>
              <w:t>29</w:t>
            </w:r>
          </w:hyperlink>
        </w:p>
        <w:p>
          <w:pPr>
            <w:pStyle w:val="TOC2"/>
            <w:tabs>
              <w:tab w:pos="2476" w:val="left" w:leader="none"/>
              <w:tab w:pos="8434" w:val="left" w:leader="dot"/>
            </w:tabs>
            <w:rPr>
              <w:rFonts w:ascii="Times New Roman" w:eastAsia="Times New Roman"/>
            </w:rPr>
          </w:pPr>
          <w:hyperlink w:history="true" w:anchor="_bookmark26">
            <w:r>
              <w:rPr/>
              <w:t>三、</w:t>
              <w:tab/>
              <w:t>基金管理人的职责</w:t>
              <w:tab/>
            </w:r>
            <w:r>
              <w:rPr>
                <w:rFonts w:ascii="Times New Roman" w:eastAsia="Times New Roman"/>
                <w:position w:val="2"/>
              </w:rPr>
              <w:t>34</w:t>
            </w:r>
          </w:hyperlink>
        </w:p>
        <w:p>
          <w:pPr>
            <w:pStyle w:val="TOC2"/>
            <w:tabs>
              <w:tab w:pos="2476" w:val="left" w:leader="none"/>
              <w:tab w:pos="8434" w:val="left" w:leader="dot"/>
            </w:tabs>
            <w:spacing w:after="20"/>
            <w:rPr>
              <w:rFonts w:ascii="Times New Roman" w:eastAsia="Times New Roman"/>
            </w:rPr>
          </w:pPr>
          <w:hyperlink w:history="true" w:anchor="_bookmark27">
            <w:r>
              <w:rPr/>
              <w:t>四、</w:t>
              <w:tab/>
              <w:t>基金管理人的承诺</w:t>
              <w:tab/>
            </w:r>
            <w:r>
              <w:rPr>
                <w:rFonts w:ascii="Times New Roman" w:eastAsia="Times New Roman"/>
                <w:position w:val="2"/>
              </w:rPr>
              <w:t>34</w:t>
            </w:r>
          </w:hyperlink>
        </w:p>
        <w:p>
          <w:pPr>
            <w:pStyle w:val="TOC2"/>
            <w:tabs>
              <w:tab w:pos="2476" w:val="left" w:leader="none"/>
              <w:tab w:pos="8644" w:val="right" w:leader="dot"/>
            </w:tabs>
            <w:spacing w:before="187"/>
            <w:rPr>
              <w:rFonts w:ascii="Times New Roman" w:eastAsia="Times New Roman"/>
            </w:rPr>
          </w:pPr>
          <w:hyperlink w:history="true" w:anchor="_bookmark28">
            <w:r>
              <w:rPr/>
              <w:t>五、</w:t>
              <w:tab/>
              <w:t>基金管理人的内部控制制度</w:t>
              <w:tab/>
            </w:r>
            <w:r>
              <w:rPr>
                <w:rFonts w:ascii="Times New Roman" w:eastAsia="Times New Roman"/>
                <w:position w:val="2"/>
              </w:rPr>
              <w:t>35</w:t>
            </w:r>
          </w:hyperlink>
        </w:p>
        <w:p>
          <w:pPr>
            <w:pStyle w:val="TOC1"/>
            <w:tabs>
              <w:tab w:pos="1636" w:val="left" w:leader="none"/>
              <w:tab w:pos="8672" w:val="right" w:leader="dot"/>
            </w:tabs>
            <w:rPr>
              <w:rFonts w:ascii="宋体" w:eastAsia="宋体" w:hint="eastAsia"/>
            </w:rPr>
          </w:pPr>
          <w:hyperlink w:history="true" w:anchor="_bookmark29">
            <w:r>
              <w:rPr/>
              <w:t>第七节</w:t>
              <w:tab/>
              <w:t>基金的份额类别</w:t>
              <w:tab/>
            </w:r>
            <w:r>
              <w:rPr>
                <w:rFonts w:ascii="宋体" w:eastAsia="宋体" w:hint="eastAsia"/>
              </w:rPr>
              <w:t>39</w:t>
            </w:r>
          </w:hyperlink>
        </w:p>
        <w:p>
          <w:pPr>
            <w:pStyle w:val="TOC1"/>
            <w:tabs>
              <w:tab w:pos="1636" w:val="left" w:leader="none"/>
              <w:tab w:pos="8672" w:val="right" w:leader="dot"/>
            </w:tabs>
            <w:spacing w:before="140"/>
            <w:rPr>
              <w:rFonts w:ascii="宋体" w:eastAsia="宋体" w:hint="eastAsia"/>
            </w:rPr>
          </w:pPr>
          <w:hyperlink w:history="true" w:anchor="_bookmark30">
            <w:r>
              <w:rPr/>
              <w:t>第八节</w:t>
              <w:tab/>
              <w:t>基金的募集</w:t>
              <w:tab/>
            </w:r>
            <w:r>
              <w:rPr>
                <w:rFonts w:ascii="宋体" w:eastAsia="宋体" w:hint="eastAsia"/>
              </w:rPr>
              <w:t>40</w:t>
            </w:r>
          </w:hyperlink>
        </w:p>
        <w:p>
          <w:pPr>
            <w:pStyle w:val="TOC1"/>
            <w:tabs>
              <w:tab w:pos="1636" w:val="left" w:leader="none"/>
              <w:tab w:pos="8672" w:val="right" w:leader="dot"/>
            </w:tabs>
            <w:spacing w:before="139"/>
            <w:rPr>
              <w:rFonts w:ascii="宋体" w:eastAsia="宋体" w:hint="eastAsia"/>
            </w:rPr>
          </w:pPr>
          <w:hyperlink w:history="true" w:anchor="_bookmark31">
            <w:r>
              <w:rPr/>
              <w:t>第九节</w:t>
              <w:tab/>
              <w:t>基金合同的Th效</w:t>
              <w:tab/>
            </w:r>
            <w:r>
              <w:rPr>
                <w:rFonts w:ascii="宋体" w:eastAsia="宋体" w:hint="eastAsia"/>
              </w:rPr>
              <w:t>41</w:t>
            </w:r>
          </w:hyperlink>
        </w:p>
        <w:p>
          <w:pPr>
            <w:pStyle w:val="TOC2"/>
            <w:tabs>
              <w:tab w:pos="2476" w:val="left" w:leader="none"/>
              <w:tab w:pos="8644" w:val="right" w:leader="dot"/>
            </w:tabs>
            <w:spacing w:before="153"/>
            <w:rPr>
              <w:rFonts w:ascii="Times New Roman" w:eastAsia="Times New Roman"/>
            </w:rPr>
          </w:pPr>
          <w:hyperlink w:history="true" w:anchor="_bookmark32">
            <w:r>
              <w:rPr/>
              <w:t>一、</w:t>
              <w:tab/>
              <w:t>基金合同的生效</w:t>
              <w:tab/>
            </w:r>
            <w:r>
              <w:rPr>
                <w:rFonts w:ascii="Times New Roman" w:eastAsia="Times New Roman"/>
                <w:position w:val="2"/>
              </w:rPr>
              <w:t>41</w:t>
            </w:r>
          </w:hyperlink>
        </w:p>
        <w:p>
          <w:pPr>
            <w:pStyle w:val="TOC2"/>
            <w:tabs>
              <w:tab w:pos="2476" w:val="left" w:leader="none"/>
              <w:tab w:pos="8644" w:val="right" w:leader="dot"/>
            </w:tabs>
            <w:rPr>
              <w:rFonts w:ascii="Times New Roman" w:eastAsia="Times New Roman"/>
            </w:rPr>
          </w:pPr>
          <w:hyperlink w:history="true" w:anchor="_bookmark33">
            <w:r>
              <w:rPr/>
              <w:t>二、</w:t>
              <w:tab/>
              <w:t>基金存续期内的基金份额持有人数量和资产规模</w:t>
              <w:tab/>
            </w:r>
            <w:r>
              <w:rPr>
                <w:rFonts w:ascii="Times New Roman" w:eastAsia="Times New Roman"/>
                <w:position w:val="2"/>
              </w:rPr>
              <w:t>41</w:t>
            </w:r>
          </w:hyperlink>
        </w:p>
        <w:p>
          <w:pPr>
            <w:pStyle w:val="TOC1"/>
            <w:tabs>
              <w:tab w:pos="1636" w:val="left" w:leader="none"/>
              <w:tab w:pos="8672" w:val="right" w:leader="dot"/>
            </w:tabs>
            <w:spacing w:before="158"/>
            <w:rPr>
              <w:rFonts w:ascii="宋体" w:eastAsia="宋体" w:hint="eastAsia"/>
            </w:rPr>
          </w:pPr>
          <w:hyperlink w:history="true" w:anchor="_bookmark34">
            <w:r>
              <w:rPr/>
              <w:t>第十节</w:t>
              <w:tab/>
              <w:t>基金份额的上市交易</w:t>
              <w:tab/>
            </w:r>
            <w:r>
              <w:rPr>
                <w:rFonts w:ascii="宋体" w:eastAsia="宋体" w:hint="eastAsia"/>
              </w:rPr>
              <w:t>42</w:t>
            </w:r>
          </w:hyperlink>
        </w:p>
        <w:p>
          <w:pPr>
            <w:pStyle w:val="TOC1"/>
            <w:tabs>
              <w:tab w:pos="1636" w:val="left" w:leader="none"/>
              <w:tab w:pos="8672" w:val="right" w:leader="dot"/>
            </w:tabs>
            <w:spacing w:before="140"/>
            <w:rPr>
              <w:rFonts w:ascii="宋体" w:eastAsia="宋体" w:hint="eastAsia"/>
            </w:rPr>
          </w:pPr>
          <w:hyperlink w:history="true" w:anchor="_bookmark35">
            <w:r>
              <w:rPr/>
              <w:t>第十一节</w:t>
              <w:tab/>
              <w:t>基金份额的申购、赎回</w:t>
              <w:tab/>
            </w:r>
            <w:r>
              <w:rPr>
                <w:rFonts w:ascii="宋体" w:eastAsia="宋体" w:hint="eastAsia"/>
              </w:rPr>
              <w:t>44</w:t>
            </w:r>
          </w:hyperlink>
        </w:p>
        <w:p>
          <w:pPr>
            <w:pStyle w:val="TOC2"/>
            <w:tabs>
              <w:tab w:pos="2476" w:val="left" w:leader="none"/>
              <w:tab w:pos="8644" w:val="right" w:leader="dot"/>
            </w:tabs>
            <w:spacing w:before="152"/>
            <w:rPr>
              <w:rFonts w:ascii="Times New Roman" w:eastAsia="Times New Roman"/>
            </w:rPr>
          </w:pPr>
          <w:hyperlink w:history="true" w:anchor="_bookmark36">
            <w:r>
              <w:rPr/>
              <w:t>一、</w:t>
              <w:tab/>
              <w:t>基金投资者范围</w:t>
              <w:tab/>
            </w:r>
            <w:r>
              <w:rPr>
                <w:rFonts w:ascii="Times New Roman" w:eastAsia="Times New Roman"/>
                <w:position w:val="2"/>
              </w:rPr>
              <w:t>44</w:t>
            </w:r>
          </w:hyperlink>
        </w:p>
        <w:p>
          <w:pPr>
            <w:pStyle w:val="TOC2"/>
            <w:tabs>
              <w:tab w:pos="2476" w:val="left" w:leader="none"/>
              <w:tab w:pos="8644" w:val="right" w:leader="dot"/>
            </w:tabs>
            <w:rPr>
              <w:rFonts w:ascii="Times New Roman" w:eastAsia="Times New Roman"/>
            </w:rPr>
          </w:pPr>
          <w:hyperlink w:history="true" w:anchor="_bookmark37">
            <w:r>
              <w:rPr/>
              <w:t>二、</w:t>
              <w:tab/>
              <w:t>申购与赎回的场所</w:t>
              <w:tab/>
            </w:r>
            <w:r>
              <w:rPr>
                <w:rFonts w:ascii="Times New Roman" w:eastAsia="Times New Roman"/>
                <w:position w:val="2"/>
              </w:rPr>
              <w:t>44</w:t>
            </w:r>
          </w:hyperlink>
        </w:p>
        <w:p>
          <w:pPr>
            <w:pStyle w:val="TOC2"/>
            <w:tabs>
              <w:tab w:pos="2476" w:val="left" w:leader="none"/>
              <w:tab w:pos="8644" w:val="right" w:leader="dot"/>
            </w:tabs>
            <w:rPr>
              <w:rFonts w:ascii="Times New Roman" w:eastAsia="Times New Roman"/>
            </w:rPr>
          </w:pPr>
          <w:hyperlink w:history="true" w:anchor="_bookmark38">
            <w:r>
              <w:rPr/>
              <w:t>三、</w:t>
              <w:tab/>
              <w:t>申购和赎回的开放日及时间</w:t>
              <w:tab/>
            </w:r>
            <w:r>
              <w:rPr>
                <w:rFonts w:ascii="Times New Roman" w:eastAsia="Times New Roman"/>
                <w:position w:val="2"/>
              </w:rPr>
              <w:t>44</w:t>
            </w:r>
          </w:hyperlink>
        </w:p>
        <w:p>
          <w:pPr>
            <w:pStyle w:val="TOC2"/>
            <w:tabs>
              <w:tab w:pos="2476" w:val="left" w:leader="none"/>
              <w:tab w:pos="8644" w:val="right" w:leader="dot"/>
            </w:tabs>
            <w:rPr>
              <w:rFonts w:ascii="Times New Roman" w:eastAsia="Times New Roman"/>
            </w:rPr>
          </w:pPr>
          <w:hyperlink w:history="true" w:anchor="_bookmark39">
            <w:r>
              <w:rPr/>
              <w:t>四、</w:t>
              <w:tab/>
              <w:t>申购与赎回的原则</w:t>
              <w:tab/>
            </w:r>
            <w:r>
              <w:rPr>
                <w:rFonts w:ascii="Times New Roman" w:eastAsia="Times New Roman"/>
                <w:position w:val="2"/>
              </w:rPr>
              <w:t>44</w:t>
            </w:r>
          </w:hyperlink>
        </w:p>
        <w:p>
          <w:pPr>
            <w:pStyle w:val="TOC2"/>
            <w:tabs>
              <w:tab w:pos="2476" w:val="left" w:leader="none"/>
              <w:tab w:pos="8644" w:val="right" w:leader="dot"/>
            </w:tabs>
            <w:rPr>
              <w:rFonts w:ascii="Times New Roman" w:eastAsia="Times New Roman"/>
            </w:rPr>
          </w:pPr>
          <w:hyperlink w:history="true" w:anchor="_bookmark40">
            <w:r>
              <w:rPr/>
              <w:t>五、</w:t>
              <w:tab/>
              <w:t>申购和赎回的程序</w:t>
              <w:tab/>
            </w:r>
            <w:r>
              <w:rPr>
                <w:rFonts w:ascii="Times New Roman" w:eastAsia="Times New Roman"/>
                <w:position w:val="2"/>
              </w:rPr>
              <w:t>45</w:t>
            </w:r>
          </w:hyperlink>
        </w:p>
        <w:p>
          <w:pPr>
            <w:pStyle w:val="TOC2"/>
            <w:tabs>
              <w:tab w:pos="2476" w:val="left" w:leader="none"/>
              <w:tab w:pos="8644" w:val="right" w:leader="dot"/>
            </w:tabs>
            <w:rPr>
              <w:rFonts w:ascii="Times New Roman" w:eastAsia="Times New Roman"/>
            </w:rPr>
          </w:pPr>
          <w:hyperlink w:history="true" w:anchor="_bookmark41">
            <w:r>
              <w:rPr/>
              <w:t>六、</w:t>
              <w:tab/>
              <w:t>申购和赎回的数额限制</w:t>
              <w:tab/>
            </w:r>
            <w:r>
              <w:rPr>
                <w:rFonts w:ascii="Times New Roman" w:eastAsia="Times New Roman"/>
                <w:position w:val="2"/>
              </w:rPr>
              <w:t>46</w:t>
            </w:r>
          </w:hyperlink>
        </w:p>
        <w:p>
          <w:pPr>
            <w:pStyle w:val="TOC2"/>
            <w:tabs>
              <w:tab w:pos="2476" w:val="left" w:leader="none"/>
              <w:tab w:pos="8644" w:val="right" w:leader="dot"/>
            </w:tabs>
            <w:rPr>
              <w:rFonts w:ascii="Times New Roman" w:eastAsia="Times New Roman"/>
            </w:rPr>
          </w:pPr>
          <w:hyperlink w:history="true" w:anchor="_bookmark42">
            <w:r>
              <w:rPr/>
              <w:t>七、</w:t>
              <w:tab/>
              <w:t>申购与赎回的费率</w:t>
              <w:tab/>
            </w:r>
            <w:r>
              <w:rPr>
                <w:rFonts w:ascii="Times New Roman" w:eastAsia="Times New Roman"/>
                <w:position w:val="2"/>
              </w:rPr>
              <w:t>47</w:t>
            </w:r>
          </w:hyperlink>
        </w:p>
        <w:p>
          <w:pPr>
            <w:pStyle w:val="TOC2"/>
            <w:tabs>
              <w:tab w:pos="2476" w:val="left" w:leader="none"/>
              <w:tab w:pos="8644" w:val="right" w:leader="dot"/>
            </w:tabs>
            <w:rPr>
              <w:rFonts w:ascii="Times New Roman" w:eastAsia="Times New Roman"/>
            </w:rPr>
          </w:pPr>
          <w:hyperlink w:history="true" w:anchor="_bookmark43">
            <w:r>
              <w:rPr/>
              <w:t>八、</w:t>
              <w:tab/>
              <w:t>申购份额与赎回金额的计算</w:t>
              <w:tab/>
            </w:r>
            <w:r>
              <w:rPr>
                <w:rFonts w:ascii="Times New Roman" w:eastAsia="Times New Roman"/>
                <w:position w:val="2"/>
              </w:rPr>
              <w:t>49</w:t>
            </w:r>
          </w:hyperlink>
        </w:p>
        <w:p>
          <w:pPr>
            <w:pStyle w:val="TOC2"/>
            <w:tabs>
              <w:tab w:pos="2476" w:val="left" w:leader="none"/>
              <w:tab w:pos="8644" w:val="right" w:leader="dot"/>
            </w:tabs>
            <w:spacing w:before="171"/>
            <w:rPr>
              <w:rFonts w:ascii="Times New Roman" w:eastAsia="Times New Roman"/>
            </w:rPr>
          </w:pPr>
          <w:hyperlink w:history="true" w:anchor="_bookmark44">
            <w:r>
              <w:rPr/>
              <w:t>九、</w:t>
              <w:tab/>
              <w:t>申购和赎回的登记结算</w:t>
              <w:tab/>
            </w:r>
            <w:r>
              <w:rPr>
                <w:rFonts w:ascii="Times New Roman" w:eastAsia="Times New Roman"/>
                <w:position w:val="2"/>
              </w:rPr>
              <w:t>51</w:t>
            </w:r>
          </w:hyperlink>
        </w:p>
        <w:p>
          <w:pPr>
            <w:pStyle w:val="TOC2"/>
            <w:tabs>
              <w:tab w:pos="2476" w:val="left" w:leader="none"/>
              <w:tab w:pos="8644" w:val="right" w:leader="dot"/>
            </w:tabs>
            <w:rPr>
              <w:rFonts w:ascii="Times New Roman" w:eastAsia="Times New Roman"/>
            </w:rPr>
          </w:pPr>
          <w:hyperlink w:history="true" w:anchor="_bookmark45">
            <w:r>
              <w:rPr/>
              <w:t>十、</w:t>
              <w:tab/>
              <w:t>基金份额的登记</w:t>
              <w:tab/>
            </w:r>
            <w:r>
              <w:rPr>
                <w:rFonts w:ascii="Times New Roman" w:eastAsia="Times New Roman"/>
                <w:position w:val="2"/>
              </w:rPr>
              <w:t>51</w:t>
            </w:r>
          </w:hyperlink>
        </w:p>
        <w:p>
          <w:pPr>
            <w:pStyle w:val="TOC2"/>
            <w:tabs>
              <w:tab w:pos="2476" w:val="left" w:leader="none"/>
              <w:tab w:pos="8644" w:val="right" w:leader="dot"/>
            </w:tabs>
            <w:rPr>
              <w:rFonts w:ascii="Times New Roman" w:eastAsia="Times New Roman"/>
            </w:rPr>
          </w:pPr>
          <w:hyperlink w:history="true" w:anchor="_bookmark46">
            <w:r>
              <w:rPr/>
              <w:t>十一、</w:t>
              <w:tab/>
              <w:t>拒绝或暂停申购的情形及处理方式</w:t>
              <w:tab/>
            </w:r>
            <w:r>
              <w:rPr>
                <w:rFonts w:ascii="Times New Roman" w:eastAsia="Times New Roman"/>
                <w:position w:val="2"/>
              </w:rPr>
              <w:t>51</w:t>
            </w:r>
          </w:hyperlink>
        </w:p>
        <w:p>
          <w:pPr>
            <w:pStyle w:val="TOC2"/>
            <w:tabs>
              <w:tab w:pos="2476" w:val="left" w:leader="none"/>
              <w:tab w:pos="8644" w:val="right" w:leader="dot"/>
            </w:tabs>
            <w:rPr>
              <w:rFonts w:ascii="Times New Roman" w:eastAsia="Times New Roman"/>
            </w:rPr>
          </w:pPr>
          <w:hyperlink w:history="true" w:anchor="_bookmark47">
            <w:r>
              <w:rPr/>
              <w:t>十二、</w:t>
              <w:tab/>
              <w:t>暂停赎回或者延缓支付赎回款项的情形及处理方式</w:t>
              <w:tab/>
            </w:r>
            <w:r>
              <w:rPr>
                <w:rFonts w:ascii="Times New Roman" w:eastAsia="Times New Roman"/>
                <w:position w:val="2"/>
              </w:rPr>
              <w:t>52</w:t>
            </w:r>
          </w:hyperlink>
        </w:p>
        <w:p>
          <w:pPr>
            <w:pStyle w:val="TOC2"/>
            <w:tabs>
              <w:tab w:pos="2476" w:val="left" w:leader="none"/>
              <w:tab w:pos="8644" w:val="right" w:leader="dot"/>
            </w:tabs>
            <w:rPr>
              <w:rFonts w:ascii="Times New Roman" w:eastAsia="Times New Roman"/>
            </w:rPr>
          </w:pPr>
          <w:hyperlink w:history="true" w:anchor="_bookmark48">
            <w:r>
              <w:rPr/>
              <w:t>十三、</w:t>
              <w:tab/>
              <w:t>巨额赎回的认定及处理方式</w:t>
              <w:tab/>
            </w:r>
            <w:r>
              <w:rPr>
                <w:rFonts w:ascii="Times New Roman" w:eastAsia="Times New Roman"/>
                <w:position w:val="2"/>
              </w:rPr>
              <w:t>53</w:t>
            </w:r>
          </w:hyperlink>
        </w:p>
        <w:p>
          <w:pPr>
            <w:pStyle w:val="TOC2"/>
            <w:tabs>
              <w:tab w:pos="2476" w:val="left" w:leader="none"/>
              <w:tab w:pos="8644" w:val="right" w:leader="dot"/>
            </w:tabs>
            <w:rPr>
              <w:rFonts w:ascii="Times New Roman" w:eastAsia="Times New Roman"/>
            </w:rPr>
          </w:pPr>
          <w:hyperlink w:history="true" w:anchor="_bookmark49">
            <w:r>
              <w:rPr/>
              <w:t>十四、</w:t>
              <w:tab/>
              <w:t>其他暂停申购和赎回的情形及处理方式</w:t>
              <w:tab/>
            </w:r>
            <w:r>
              <w:rPr>
                <w:rFonts w:ascii="Times New Roman" w:eastAsia="Times New Roman"/>
                <w:position w:val="2"/>
              </w:rPr>
              <w:t>54</w:t>
            </w:r>
          </w:hyperlink>
        </w:p>
        <w:p>
          <w:pPr>
            <w:pStyle w:val="TOC2"/>
            <w:tabs>
              <w:tab w:pos="2476" w:val="left" w:leader="none"/>
              <w:tab w:pos="8644" w:val="right" w:leader="dot"/>
            </w:tabs>
            <w:rPr>
              <w:rFonts w:ascii="Times New Roman" w:eastAsia="Times New Roman"/>
            </w:rPr>
          </w:pPr>
          <w:hyperlink w:history="true" w:anchor="_bookmark50">
            <w:r>
              <w:rPr/>
              <w:t>十五、</w:t>
              <w:tab/>
              <w:t>重新开放申购或赎回的公告</w:t>
              <w:tab/>
            </w:r>
            <w:r>
              <w:rPr>
                <w:rFonts w:ascii="Times New Roman" w:eastAsia="Times New Roman"/>
                <w:position w:val="2"/>
              </w:rPr>
              <w:t>54</w:t>
            </w:r>
          </w:hyperlink>
        </w:p>
        <w:p>
          <w:pPr>
            <w:pStyle w:val="TOC2"/>
            <w:tabs>
              <w:tab w:pos="2476" w:val="left" w:leader="none"/>
              <w:tab w:pos="8644" w:val="right" w:leader="dot"/>
            </w:tabs>
            <w:rPr>
              <w:rFonts w:ascii="Times New Roman" w:eastAsia="Times New Roman"/>
            </w:rPr>
          </w:pPr>
          <w:hyperlink w:history="true" w:anchor="_bookmark51">
            <w:r>
              <w:rPr/>
              <w:t>十六、</w:t>
              <w:tab/>
              <w:t>基金的转换</w:t>
              <w:tab/>
            </w:r>
            <w:r>
              <w:rPr>
                <w:rFonts w:ascii="Times New Roman" w:eastAsia="Times New Roman"/>
                <w:position w:val="2"/>
              </w:rPr>
              <w:t>54</w:t>
            </w:r>
          </w:hyperlink>
        </w:p>
        <w:p>
          <w:pPr>
            <w:pStyle w:val="TOC2"/>
            <w:tabs>
              <w:tab w:pos="2476" w:val="left" w:leader="none"/>
              <w:tab w:pos="8644" w:val="right" w:leader="dot"/>
            </w:tabs>
            <w:rPr>
              <w:rFonts w:ascii="Times New Roman" w:eastAsia="Times New Roman"/>
            </w:rPr>
          </w:pPr>
          <w:hyperlink w:history="true" w:anchor="_bookmark52">
            <w:r>
              <w:rPr/>
              <w:t>十七、</w:t>
              <w:tab/>
              <w:t>转托管</w:t>
              <w:tab/>
            </w:r>
            <w:r>
              <w:rPr>
                <w:rFonts w:ascii="Times New Roman" w:eastAsia="Times New Roman"/>
                <w:position w:val="2"/>
              </w:rPr>
              <w:t>54</w:t>
            </w:r>
          </w:hyperlink>
        </w:p>
        <w:p>
          <w:pPr>
            <w:pStyle w:val="TOC2"/>
            <w:tabs>
              <w:tab w:pos="2476" w:val="left" w:leader="none"/>
              <w:tab w:pos="8644" w:val="right" w:leader="dot"/>
            </w:tabs>
            <w:spacing w:before="171"/>
            <w:rPr>
              <w:rFonts w:ascii="Times New Roman" w:eastAsia="Times New Roman"/>
            </w:rPr>
          </w:pPr>
          <w:hyperlink w:history="true" w:anchor="_bookmark53">
            <w:r>
              <w:rPr/>
              <w:t>十八、</w:t>
              <w:tab/>
              <w:t>定期定额投资计划</w:t>
              <w:tab/>
            </w:r>
            <w:r>
              <w:rPr>
                <w:rFonts w:ascii="Times New Roman" w:eastAsia="Times New Roman"/>
                <w:position w:val="2"/>
              </w:rPr>
              <w:t>55</w:t>
            </w:r>
          </w:hyperlink>
        </w:p>
        <w:p>
          <w:pPr>
            <w:pStyle w:val="TOC2"/>
            <w:tabs>
              <w:tab w:pos="2476" w:val="left" w:leader="none"/>
              <w:tab w:pos="8644" w:val="right" w:leader="dot"/>
            </w:tabs>
            <w:rPr>
              <w:rFonts w:ascii="Times New Roman" w:eastAsia="Times New Roman"/>
            </w:rPr>
          </w:pPr>
          <w:hyperlink w:history="true" w:anchor="_bookmark54">
            <w:r>
              <w:rPr/>
              <w:t>十九、</w:t>
              <w:tab/>
              <w:t>基金的非交易过户</w:t>
              <w:tab/>
            </w:r>
            <w:r>
              <w:rPr>
                <w:rFonts w:ascii="Times New Roman" w:eastAsia="Times New Roman"/>
                <w:position w:val="2"/>
              </w:rPr>
              <w:t>55</w:t>
            </w:r>
          </w:hyperlink>
        </w:p>
        <w:p>
          <w:pPr>
            <w:pStyle w:val="TOC2"/>
            <w:tabs>
              <w:tab w:pos="2476" w:val="left" w:leader="none"/>
              <w:tab w:pos="8644" w:val="right" w:leader="dot"/>
            </w:tabs>
            <w:rPr>
              <w:rFonts w:ascii="Times New Roman" w:eastAsia="Times New Roman"/>
            </w:rPr>
          </w:pPr>
          <w:hyperlink w:history="true" w:anchor="_bookmark55">
            <w:r>
              <w:rPr/>
              <w:t>二十、</w:t>
              <w:tab/>
              <w:t>基金的冻结与解冻</w:t>
              <w:tab/>
            </w:r>
            <w:r>
              <w:rPr>
                <w:rFonts w:ascii="Times New Roman" w:eastAsia="Times New Roman"/>
                <w:position w:val="2"/>
              </w:rPr>
              <w:t>55</w:t>
            </w:r>
          </w:hyperlink>
        </w:p>
        <w:p>
          <w:pPr>
            <w:pStyle w:val="TOC2"/>
            <w:tabs>
              <w:tab w:pos="8644" w:val="right" w:leader="dot"/>
            </w:tabs>
            <w:rPr>
              <w:rFonts w:ascii="Times New Roman" w:eastAsia="Times New Roman"/>
            </w:rPr>
          </w:pPr>
          <w:hyperlink w:history="true" w:anchor="_bookmark56">
            <w:r>
              <w:rPr/>
              <w:t>二十一、 其他特殊业务</w:t>
              <w:tab/>
            </w:r>
            <w:r>
              <w:rPr>
                <w:rFonts w:ascii="Times New Roman" w:eastAsia="Times New Roman"/>
                <w:position w:val="2"/>
              </w:rPr>
              <w:t>56</w:t>
            </w:r>
          </w:hyperlink>
        </w:p>
        <w:p>
          <w:pPr>
            <w:pStyle w:val="TOC1"/>
            <w:tabs>
              <w:tab w:pos="1636" w:val="left" w:leader="none"/>
              <w:tab w:pos="8672" w:val="right" w:leader="dot"/>
            </w:tabs>
            <w:spacing w:after="98"/>
            <w:rPr>
              <w:rFonts w:ascii="宋体" w:eastAsia="宋体" w:hint="eastAsia"/>
            </w:rPr>
          </w:pPr>
          <w:hyperlink w:history="true" w:anchor="_bookmark57">
            <w:r>
              <w:rPr/>
              <w:t>第十二节</w:t>
              <w:tab/>
              <w:t>基金的费用与税收</w:t>
              <w:tab/>
            </w:r>
            <w:r>
              <w:rPr>
                <w:rFonts w:ascii="宋体" w:eastAsia="宋体" w:hint="eastAsia"/>
              </w:rPr>
              <w:t>57</w:t>
            </w:r>
          </w:hyperlink>
        </w:p>
        <w:p>
          <w:pPr>
            <w:pStyle w:val="TOC2"/>
            <w:tabs>
              <w:tab w:pos="2476" w:val="left" w:leader="none"/>
              <w:tab w:pos="8644" w:val="right" w:leader="dot"/>
            </w:tabs>
            <w:spacing w:before="187"/>
            <w:rPr>
              <w:rFonts w:ascii="Times New Roman" w:eastAsia="Times New Roman"/>
            </w:rPr>
          </w:pPr>
          <w:hyperlink w:history="true" w:anchor="_bookmark58">
            <w:r>
              <w:rPr/>
              <w:t>一、</w:t>
              <w:tab/>
              <w:t>与基金运作相关的费用</w:t>
              <w:tab/>
            </w:r>
            <w:r>
              <w:rPr>
                <w:rFonts w:ascii="Times New Roman" w:eastAsia="Times New Roman"/>
                <w:position w:val="2"/>
              </w:rPr>
              <w:t>57</w:t>
            </w:r>
          </w:hyperlink>
        </w:p>
        <w:p>
          <w:pPr>
            <w:pStyle w:val="TOC2"/>
            <w:tabs>
              <w:tab w:pos="2476" w:val="left" w:leader="none"/>
              <w:tab w:pos="8644" w:val="right" w:leader="dot"/>
            </w:tabs>
            <w:rPr>
              <w:rFonts w:ascii="Times New Roman" w:eastAsia="Times New Roman"/>
            </w:rPr>
          </w:pPr>
          <w:hyperlink w:history="true" w:anchor="_bookmark59">
            <w:r>
              <w:rPr/>
              <w:t>二、</w:t>
              <w:tab/>
              <w:t>与基金销售有关的费用</w:t>
              <w:tab/>
            </w:r>
            <w:r>
              <w:rPr>
                <w:rFonts w:ascii="Times New Roman" w:eastAsia="Times New Roman"/>
                <w:position w:val="2"/>
              </w:rPr>
              <w:t>59</w:t>
            </w:r>
          </w:hyperlink>
        </w:p>
        <w:p>
          <w:pPr>
            <w:pStyle w:val="TOC2"/>
            <w:tabs>
              <w:tab w:pos="2476" w:val="left" w:leader="none"/>
              <w:tab w:pos="8644" w:val="right" w:leader="dot"/>
            </w:tabs>
            <w:rPr>
              <w:rFonts w:ascii="Times New Roman" w:eastAsia="Times New Roman"/>
            </w:rPr>
          </w:pPr>
          <w:hyperlink w:history="true" w:anchor="_bookmark60">
            <w:r>
              <w:rPr/>
              <w:t>三、</w:t>
              <w:tab/>
              <w:t>基金税收</w:t>
              <w:tab/>
            </w:r>
            <w:r>
              <w:rPr>
                <w:rFonts w:ascii="Times New Roman" w:eastAsia="Times New Roman"/>
                <w:position w:val="2"/>
              </w:rPr>
              <w:t>59</w:t>
            </w:r>
          </w:hyperlink>
        </w:p>
        <w:p>
          <w:pPr>
            <w:pStyle w:val="TOC1"/>
            <w:tabs>
              <w:tab w:pos="1636" w:val="left" w:leader="none"/>
              <w:tab w:pos="8672" w:val="right" w:leader="dot"/>
            </w:tabs>
            <w:rPr>
              <w:rFonts w:ascii="宋体" w:eastAsia="宋体" w:hint="eastAsia"/>
            </w:rPr>
          </w:pPr>
          <w:hyperlink w:history="true" w:anchor="_bookmark61">
            <w:r>
              <w:rPr/>
              <w:t>第十三节</w:t>
              <w:tab/>
              <w:t>基金的财产</w:t>
              <w:tab/>
            </w:r>
            <w:r>
              <w:rPr>
                <w:rFonts w:ascii="宋体" w:eastAsia="宋体" w:hint="eastAsia"/>
              </w:rPr>
              <w:t>60</w:t>
            </w:r>
          </w:hyperlink>
        </w:p>
        <w:p>
          <w:pPr>
            <w:pStyle w:val="TOC2"/>
            <w:tabs>
              <w:tab w:pos="2476" w:val="left" w:leader="none"/>
              <w:tab w:pos="8644" w:val="right" w:leader="dot"/>
            </w:tabs>
            <w:spacing w:before="152"/>
            <w:rPr>
              <w:rFonts w:ascii="Times New Roman" w:eastAsia="Times New Roman"/>
            </w:rPr>
          </w:pPr>
          <w:hyperlink w:history="true" w:anchor="_bookmark62">
            <w:r>
              <w:rPr/>
              <w:t>一、</w:t>
              <w:tab/>
              <w:t>基金资产总值</w:t>
              <w:tab/>
            </w:r>
            <w:r>
              <w:rPr>
                <w:rFonts w:ascii="Times New Roman" w:eastAsia="Times New Roman"/>
                <w:position w:val="2"/>
              </w:rPr>
              <w:t>60</w:t>
            </w:r>
          </w:hyperlink>
        </w:p>
        <w:p>
          <w:pPr>
            <w:pStyle w:val="TOC2"/>
            <w:tabs>
              <w:tab w:pos="2476" w:val="left" w:leader="none"/>
              <w:tab w:pos="8644" w:val="right" w:leader="dot"/>
            </w:tabs>
            <w:rPr>
              <w:rFonts w:ascii="Times New Roman" w:eastAsia="Times New Roman"/>
            </w:rPr>
          </w:pPr>
          <w:hyperlink w:history="true" w:anchor="_bookmark63">
            <w:r>
              <w:rPr/>
              <w:t>二、</w:t>
              <w:tab/>
              <w:t>基金资产净值</w:t>
              <w:tab/>
            </w:r>
            <w:r>
              <w:rPr>
                <w:rFonts w:ascii="Times New Roman" w:eastAsia="Times New Roman"/>
                <w:position w:val="2"/>
              </w:rPr>
              <w:t>60</w:t>
            </w:r>
          </w:hyperlink>
        </w:p>
        <w:p>
          <w:pPr>
            <w:pStyle w:val="TOC2"/>
            <w:tabs>
              <w:tab w:pos="2476" w:val="left" w:leader="none"/>
              <w:tab w:pos="8644" w:val="right" w:leader="dot"/>
            </w:tabs>
            <w:rPr>
              <w:rFonts w:ascii="Times New Roman" w:eastAsia="Times New Roman"/>
            </w:rPr>
          </w:pPr>
          <w:hyperlink w:history="true" w:anchor="_bookmark64">
            <w:r>
              <w:rPr/>
              <w:t>三、</w:t>
              <w:tab/>
              <w:t>基金财产的账户</w:t>
              <w:tab/>
            </w:r>
            <w:r>
              <w:rPr>
                <w:rFonts w:ascii="Times New Roman" w:eastAsia="Times New Roman"/>
                <w:position w:val="2"/>
              </w:rPr>
              <w:t>60</w:t>
            </w:r>
          </w:hyperlink>
        </w:p>
        <w:p>
          <w:pPr>
            <w:pStyle w:val="TOC2"/>
            <w:tabs>
              <w:tab w:pos="2476" w:val="left" w:leader="none"/>
              <w:tab w:pos="8644" w:val="right" w:leader="dot"/>
            </w:tabs>
            <w:rPr>
              <w:rFonts w:ascii="Times New Roman" w:eastAsia="Times New Roman"/>
            </w:rPr>
          </w:pPr>
          <w:hyperlink w:history="true" w:anchor="_bookmark65">
            <w:r>
              <w:rPr/>
              <w:t>四、</w:t>
              <w:tab/>
              <w:t>基金财产的保管和处分</w:t>
              <w:tab/>
            </w:r>
            <w:r>
              <w:rPr>
                <w:rFonts w:ascii="Times New Roman" w:eastAsia="Times New Roman"/>
                <w:position w:val="2"/>
              </w:rPr>
              <w:t>60</w:t>
            </w:r>
          </w:hyperlink>
        </w:p>
        <w:p>
          <w:pPr>
            <w:pStyle w:val="TOC1"/>
            <w:tabs>
              <w:tab w:pos="1636" w:val="left" w:leader="none"/>
              <w:tab w:pos="8672" w:val="right" w:leader="dot"/>
            </w:tabs>
            <w:rPr>
              <w:rFonts w:ascii="宋体" w:eastAsia="宋体" w:hint="eastAsia"/>
            </w:rPr>
          </w:pPr>
          <w:hyperlink w:history="true" w:anchor="_bookmark66">
            <w:r>
              <w:rPr/>
              <w:t>第十四节</w:t>
              <w:tab/>
              <w:t>基金资产估值</w:t>
              <w:tab/>
            </w:r>
            <w:r>
              <w:rPr>
                <w:rFonts w:ascii="宋体" w:eastAsia="宋体" w:hint="eastAsia"/>
              </w:rPr>
              <w:t>62</w:t>
            </w:r>
          </w:hyperlink>
        </w:p>
        <w:p>
          <w:pPr>
            <w:pStyle w:val="TOC2"/>
            <w:tabs>
              <w:tab w:pos="2476" w:val="left" w:leader="none"/>
              <w:tab w:pos="8644" w:val="right" w:leader="dot"/>
            </w:tabs>
            <w:spacing w:before="152"/>
            <w:rPr>
              <w:rFonts w:ascii="Times New Roman" w:eastAsia="Times New Roman"/>
            </w:rPr>
          </w:pPr>
          <w:hyperlink w:history="true" w:anchor="_bookmark67">
            <w:r>
              <w:rPr/>
              <w:t>一、</w:t>
              <w:tab/>
              <w:t>估值目的</w:t>
              <w:tab/>
            </w:r>
            <w:r>
              <w:rPr>
                <w:rFonts w:ascii="Times New Roman" w:eastAsia="Times New Roman"/>
                <w:position w:val="2"/>
              </w:rPr>
              <w:t>62</w:t>
            </w:r>
          </w:hyperlink>
        </w:p>
        <w:p>
          <w:pPr>
            <w:pStyle w:val="TOC2"/>
            <w:tabs>
              <w:tab w:pos="2476" w:val="left" w:leader="none"/>
              <w:tab w:pos="8644" w:val="right" w:leader="dot"/>
            </w:tabs>
            <w:rPr>
              <w:rFonts w:ascii="Times New Roman" w:eastAsia="Times New Roman"/>
            </w:rPr>
          </w:pPr>
          <w:hyperlink w:history="true" w:anchor="_bookmark68">
            <w:r>
              <w:rPr/>
              <w:t>二、</w:t>
              <w:tab/>
              <w:t>估值日</w:t>
              <w:tab/>
            </w:r>
            <w:r>
              <w:rPr>
                <w:rFonts w:ascii="Times New Roman" w:eastAsia="Times New Roman"/>
                <w:position w:val="2"/>
              </w:rPr>
              <w:t>62</w:t>
            </w:r>
          </w:hyperlink>
        </w:p>
        <w:p>
          <w:pPr>
            <w:pStyle w:val="TOC2"/>
            <w:tabs>
              <w:tab w:pos="2476" w:val="left" w:leader="none"/>
              <w:tab w:pos="8644" w:val="right" w:leader="dot"/>
            </w:tabs>
            <w:rPr>
              <w:rFonts w:ascii="Times New Roman" w:eastAsia="Times New Roman"/>
            </w:rPr>
          </w:pPr>
          <w:hyperlink w:history="true" w:anchor="_bookmark69">
            <w:r>
              <w:rPr/>
              <w:t>三、</w:t>
              <w:tab/>
              <w:t>估值对象</w:t>
              <w:tab/>
            </w:r>
            <w:r>
              <w:rPr>
                <w:rFonts w:ascii="Times New Roman" w:eastAsia="Times New Roman"/>
                <w:position w:val="2"/>
              </w:rPr>
              <w:t>62</w:t>
            </w:r>
          </w:hyperlink>
        </w:p>
        <w:p>
          <w:pPr>
            <w:pStyle w:val="TOC2"/>
            <w:tabs>
              <w:tab w:pos="2476" w:val="left" w:leader="none"/>
              <w:tab w:pos="8644" w:val="right" w:leader="dot"/>
            </w:tabs>
            <w:rPr>
              <w:rFonts w:ascii="Times New Roman" w:eastAsia="Times New Roman"/>
            </w:rPr>
          </w:pPr>
          <w:hyperlink w:history="true" w:anchor="_bookmark70">
            <w:r>
              <w:rPr/>
              <w:t>四、</w:t>
              <w:tab/>
              <w:t>估值方法</w:t>
              <w:tab/>
            </w:r>
            <w:r>
              <w:rPr>
                <w:rFonts w:ascii="Times New Roman" w:eastAsia="Times New Roman"/>
                <w:position w:val="2"/>
              </w:rPr>
              <w:t>62</w:t>
            </w:r>
          </w:hyperlink>
        </w:p>
        <w:p>
          <w:pPr>
            <w:pStyle w:val="TOC2"/>
            <w:tabs>
              <w:tab w:pos="2476" w:val="left" w:leader="none"/>
              <w:tab w:pos="8644" w:val="right" w:leader="dot"/>
            </w:tabs>
            <w:rPr>
              <w:rFonts w:ascii="Times New Roman" w:eastAsia="Times New Roman"/>
            </w:rPr>
          </w:pPr>
          <w:hyperlink w:history="true" w:anchor="_bookmark71">
            <w:r>
              <w:rPr/>
              <w:t>五、</w:t>
              <w:tab/>
              <w:t>估值程序</w:t>
              <w:tab/>
            </w:r>
            <w:r>
              <w:rPr>
                <w:rFonts w:ascii="Times New Roman" w:eastAsia="Times New Roman"/>
                <w:position w:val="2"/>
              </w:rPr>
              <w:t>63</w:t>
            </w:r>
          </w:hyperlink>
        </w:p>
        <w:p>
          <w:pPr>
            <w:pStyle w:val="TOC2"/>
            <w:tabs>
              <w:tab w:pos="2476" w:val="left" w:leader="none"/>
              <w:tab w:pos="8644" w:val="right" w:leader="dot"/>
            </w:tabs>
            <w:rPr>
              <w:rFonts w:ascii="Times New Roman" w:eastAsia="Times New Roman"/>
            </w:rPr>
          </w:pPr>
          <w:hyperlink w:history="true" w:anchor="_bookmark72">
            <w:r>
              <w:rPr/>
              <w:t>六、</w:t>
              <w:tab/>
              <w:t>基金份额净值的确认和估值错误的处理</w:t>
              <w:tab/>
            </w:r>
            <w:r>
              <w:rPr>
                <w:rFonts w:ascii="Times New Roman" w:eastAsia="Times New Roman"/>
                <w:position w:val="2"/>
              </w:rPr>
              <w:t>64</w:t>
            </w:r>
          </w:hyperlink>
        </w:p>
        <w:p>
          <w:pPr>
            <w:pStyle w:val="TOC2"/>
            <w:tabs>
              <w:tab w:pos="2476" w:val="left" w:leader="none"/>
              <w:tab w:pos="8644" w:val="right" w:leader="dot"/>
            </w:tabs>
            <w:rPr>
              <w:rFonts w:ascii="Times New Roman" w:eastAsia="Times New Roman"/>
            </w:rPr>
          </w:pPr>
          <w:hyperlink w:history="true" w:anchor="_bookmark73">
            <w:r>
              <w:rPr/>
              <w:t>七、</w:t>
              <w:tab/>
              <w:t>暂停估值的情形</w:t>
              <w:tab/>
            </w:r>
            <w:r>
              <w:rPr>
                <w:rFonts w:ascii="Times New Roman" w:eastAsia="Times New Roman"/>
                <w:position w:val="2"/>
              </w:rPr>
              <w:t>66</w:t>
            </w:r>
          </w:hyperlink>
        </w:p>
        <w:p>
          <w:pPr>
            <w:pStyle w:val="TOC2"/>
            <w:tabs>
              <w:tab w:pos="2476" w:val="left" w:leader="none"/>
              <w:tab w:pos="8644" w:val="right" w:leader="dot"/>
            </w:tabs>
            <w:rPr>
              <w:rFonts w:ascii="Times New Roman" w:eastAsia="Times New Roman"/>
            </w:rPr>
          </w:pPr>
          <w:hyperlink w:history="true" w:anchor="_bookmark74">
            <w:r>
              <w:rPr/>
              <w:t>八、</w:t>
              <w:tab/>
              <w:t>特殊情形的处理</w:t>
              <w:tab/>
            </w:r>
            <w:r>
              <w:rPr>
                <w:rFonts w:ascii="Times New Roman" w:eastAsia="Times New Roman"/>
                <w:position w:val="2"/>
              </w:rPr>
              <w:t>67</w:t>
            </w:r>
          </w:hyperlink>
        </w:p>
        <w:p>
          <w:pPr>
            <w:pStyle w:val="TOC1"/>
            <w:tabs>
              <w:tab w:pos="1636" w:val="left" w:leader="none"/>
              <w:tab w:pos="8672" w:val="right" w:leader="dot"/>
            </w:tabs>
            <w:rPr>
              <w:rFonts w:ascii="宋体" w:eastAsia="宋体" w:hint="eastAsia"/>
            </w:rPr>
          </w:pPr>
          <w:hyperlink w:history="true" w:anchor="_bookmark75">
            <w:r>
              <w:rPr/>
              <w:t>第十五节</w:t>
              <w:tab/>
              <w:t>基金的收益与分配</w:t>
              <w:tab/>
            </w:r>
            <w:r>
              <w:rPr>
                <w:rFonts w:ascii="宋体" w:eastAsia="宋体" w:hint="eastAsia"/>
              </w:rPr>
              <w:t>68</w:t>
            </w:r>
          </w:hyperlink>
        </w:p>
        <w:p>
          <w:pPr>
            <w:pStyle w:val="TOC2"/>
            <w:tabs>
              <w:tab w:pos="2476" w:val="left" w:leader="none"/>
              <w:tab w:pos="8644" w:val="right" w:leader="dot"/>
            </w:tabs>
            <w:spacing w:before="152"/>
            <w:rPr>
              <w:rFonts w:ascii="Times New Roman" w:eastAsia="Times New Roman"/>
            </w:rPr>
          </w:pPr>
          <w:hyperlink w:history="true" w:anchor="_bookmark76">
            <w:r>
              <w:rPr/>
              <w:t>一、</w:t>
              <w:tab/>
              <w:t>基金利润的构成</w:t>
              <w:tab/>
            </w:r>
            <w:r>
              <w:rPr>
                <w:rFonts w:ascii="Times New Roman" w:eastAsia="Times New Roman"/>
                <w:position w:val="2"/>
              </w:rPr>
              <w:t>68</w:t>
            </w:r>
          </w:hyperlink>
        </w:p>
        <w:p>
          <w:pPr>
            <w:pStyle w:val="TOC2"/>
            <w:tabs>
              <w:tab w:pos="2476" w:val="left" w:leader="none"/>
              <w:tab w:pos="8644" w:val="right" w:leader="dot"/>
            </w:tabs>
            <w:rPr>
              <w:rFonts w:ascii="Times New Roman" w:eastAsia="Times New Roman"/>
            </w:rPr>
          </w:pPr>
          <w:hyperlink w:history="true" w:anchor="_bookmark77">
            <w:r>
              <w:rPr/>
              <w:t>二、</w:t>
              <w:tab/>
              <w:t>基金可供分配利润</w:t>
              <w:tab/>
            </w:r>
            <w:r>
              <w:rPr>
                <w:rFonts w:ascii="Times New Roman" w:eastAsia="Times New Roman"/>
                <w:position w:val="2"/>
              </w:rPr>
              <w:t>68</w:t>
            </w:r>
          </w:hyperlink>
        </w:p>
        <w:p>
          <w:pPr>
            <w:pStyle w:val="TOC2"/>
            <w:tabs>
              <w:tab w:pos="2476" w:val="left" w:leader="none"/>
              <w:tab w:pos="8644" w:val="right" w:leader="dot"/>
            </w:tabs>
            <w:rPr>
              <w:rFonts w:ascii="Times New Roman" w:eastAsia="Times New Roman"/>
            </w:rPr>
          </w:pPr>
          <w:hyperlink w:history="true" w:anchor="_bookmark78">
            <w:r>
              <w:rPr/>
              <w:t>三、</w:t>
              <w:tab/>
              <w:t>基金收益分配原则</w:t>
              <w:tab/>
            </w:r>
            <w:r>
              <w:rPr>
                <w:rFonts w:ascii="Times New Roman" w:eastAsia="Times New Roman"/>
                <w:position w:val="2"/>
              </w:rPr>
              <w:t>68</w:t>
            </w:r>
          </w:hyperlink>
        </w:p>
        <w:p>
          <w:pPr>
            <w:pStyle w:val="TOC2"/>
            <w:tabs>
              <w:tab w:pos="2476" w:val="left" w:leader="none"/>
              <w:tab w:pos="8644" w:val="right" w:leader="dot"/>
            </w:tabs>
            <w:rPr>
              <w:rFonts w:ascii="Times New Roman" w:eastAsia="Times New Roman"/>
            </w:rPr>
          </w:pPr>
          <w:hyperlink w:history="true" w:anchor="_bookmark79">
            <w:r>
              <w:rPr/>
              <w:t>四、</w:t>
              <w:tab/>
              <w:t>收益分配方案</w:t>
              <w:tab/>
            </w:r>
            <w:r>
              <w:rPr>
                <w:rFonts w:ascii="Times New Roman" w:eastAsia="Times New Roman"/>
                <w:position w:val="2"/>
              </w:rPr>
              <w:t>68</w:t>
            </w:r>
          </w:hyperlink>
        </w:p>
        <w:p>
          <w:pPr>
            <w:pStyle w:val="TOC2"/>
            <w:tabs>
              <w:tab w:pos="2476" w:val="left" w:leader="none"/>
              <w:tab w:pos="8644" w:val="right" w:leader="dot"/>
            </w:tabs>
            <w:rPr>
              <w:rFonts w:ascii="Times New Roman" w:eastAsia="Times New Roman"/>
            </w:rPr>
          </w:pPr>
          <w:hyperlink w:history="true" w:anchor="_bookmark80">
            <w:r>
              <w:rPr/>
              <w:t>五、</w:t>
              <w:tab/>
              <w:t>收益分配方案的确定、公告与实施</w:t>
              <w:tab/>
            </w:r>
            <w:r>
              <w:rPr>
                <w:rFonts w:ascii="Times New Roman" w:eastAsia="Times New Roman"/>
                <w:position w:val="2"/>
              </w:rPr>
              <w:t>69</w:t>
            </w:r>
          </w:hyperlink>
        </w:p>
        <w:p>
          <w:pPr>
            <w:pStyle w:val="TOC2"/>
            <w:tabs>
              <w:tab w:pos="2476" w:val="left" w:leader="none"/>
              <w:tab w:pos="8644" w:val="right" w:leader="dot"/>
            </w:tabs>
            <w:spacing w:before="171"/>
            <w:rPr>
              <w:rFonts w:ascii="Times New Roman" w:eastAsia="Times New Roman"/>
            </w:rPr>
          </w:pPr>
          <w:hyperlink w:history="true" w:anchor="_bookmark81">
            <w:r>
              <w:rPr/>
              <w:t>六、</w:t>
              <w:tab/>
              <w:t>基金收益分配中发生的费用</w:t>
              <w:tab/>
            </w:r>
            <w:r>
              <w:rPr>
                <w:rFonts w:ascii="Times New Roman" w:eastAsia="Times New Roman"/>
                <w:position w:val="2"/>
              </w:rPr>
              <w:t>69</w:t>
            </w:r>
          </w:hyperlink>
        </w:p>
        <w:p>
          <w:pPr>
            <w:pStyle w:val="TOC1"/>
            <w:tabs>
              <w:tab w:pos="1636" w:val="left" w:leader="none"/>
              <w:tab w:pos="8672" w:val="right" w:leader="dot"/>
            </w:tabs>
            <w:rPr>
              <w:rFonts w:ascii="宋体" w:eastAsia="宋体" w:hint="eastAsia"/>
            </w:rPr>
          </w:pPr>
          <w:hyperlink w:history="true" w:anchor="_bookmark82">
            <w:r>
              <w:rPr/>
              <w:t>第十六节</w:t>
              <w:tab/>
              <w:t>基金的会计与审计</w:t>
              <w:tab/>
            </w:r>
            <w:r>
              <w:rPr>
                <w:rFonts w:ascii="宋体" w:eastAsia="宋体" w:hint="eastAsia"/>
              </w:rPr>
              <w:t>70</w:t>
            </w:r>
          </w:hyperlink>
        </w:p>
        <w:p>
          <w:pPr>
            <w:pStyle w:val="TOC2"/>
            <w:tabs>
              <w:tab w:pos="2476" w:val="left" w:leader="none"/>
              <w:tab w:pos="8644" w:val="right" w:leader="dot"/>
            </w:tabs>
            <w:spacing w:before="153"/>
            <w:rPr>
              <w:rFonts w:ascii="Times New Roman" w:eastAsia="Times New Roman"/>
            </w:rPr>
          </w:pPr>
          <w:hyperlink w:history="true" w:anchor="_bookmark83">
            <w:r>
              <w:rPr/>
              <w:t>一、</w:t>
              <w:tab/>
              <w:t>基金会计政策</w:t>
              <w:tab/>
            </w:r>
            <w:r>
              <w:rPr>
                <w:rFonts w:ascii="Times New Roman" w:eastAsia="Times New Roman"/>
                <w:position w:val="2"/>
              </w:rPr>
              <w:t>70</w:t>
            </w:r>
          </w:hyperlink>
        </w:p>
        <w:p>
          <w:pPr>
            <w:pStyle w:val="TOC2"/>
            <w:tabs>
              <w:tab w:pos="2476" w:val="left" w:leader="none"/>
              <w:tab w:pos="8644" w:val="right" w:leader="dot"/>
            </w:tabs>
            <w:rPr>
              <w:rFonts w:ascii="Times New Roman" w:eastAsia="Times New Roman"/>
            </w:rPr>
          </w:pPr>
          <w:hyperlink w:history="true" w:anchor="_bookmark84">
            <w:r>
              <w:rPr/>
              <w:t>二、</w:t>
              <w:tab/>
              <w:t>基金年度审计</w:t>
              <w:tab/>
            </w:r>
            <w:r>
              <w:rPr>
                <w:rFonts w:ascii="Times New Roman" w:eastAsia="Times New Roman"/>
                <w:position w:val="2"/>
              </w:rPr>
              <w:t>70</w:t>
            </w:r>
          </w:hyperlink>
        </w:p>
        <w:p>
          <w:pPr>
            <w:pStyle w:val="TOC1"/>
            <w:tabs>
              <w:tab w:pos="1636" w:val="left" w:leader="none"/>
              <w:tab w:pos="8672" w:val="right" w:leader="dot"/>
            </w:tabs>
            <w:rPr>
              <w:rFonts w:ascii="宋体" w:eastAsia="宋体" w:hint="eastAsia"/>
            </w:rPr>
          </w:pPr>
          <w:hyperlink w:history="true" w:anchor="_bookmark85">
            <w:r>
              <w:rPr/>
              <w:t>第十七节</w:t>
              <w:tab/>
              <w:t>基金的信息披露</w:t>
              <w:tab/>
            </w:r>
            <w:r>
              <w:rPr>
                <w:rFonts w:ascii="宋体" w:eastAsia="宋体" w:hint="eastAsia"/>
              </w:rPr>
              <w:t>71</w:t>
            </w:r>
          </w:hyperlink>
        </w:p>
        <w:p>
          <w:pPr>
            <w:pStyle w:val="TOC1"/>
            <w:tabs>
              <w:tab w:pos="1636" w:val="left" w:leader="none"/>
              <w:tab w:pos="8672" w:val="right" w:leader="dot"/>
            </w:tabs>
            <w:spacing w:before="139"/>
            <w:rPr>
              <w:rFonts w:ascii="宋体" w:eastAsia="宋体" w:hint="eastAsia"/>
            </w:rPr>
          </w:pPr>
          <w:hyperlink w:history="true" w:anchor="_bookmark86">
            <w:r>
              <w:rPr/>
              <w:t>第十八节</w:t>
              <w:tab/>
              <w:t>基金合同的变更、终止与基金财产的清算</w:t>
              <w:tab/>
            </w:r>
            <w:r>
              <w:rPr>
                <w:rFonts w:ascii="宋体" w:eastAsia="宋体" w:hint="eastAsia"/>
              </w:rPr>
              <w:t>76</w:t>
            </w:r>
          </w:hyperlink>
        </w:p>
        <w:p>
          <w:pPr>
            <w:pStyle w:val="TOC2"/>
            <w:tabs>
              <w:tab w:pos="2476" w:val="left" w:leader="none"/>
              <w:tab w:pos="8644" w:val="right" w:leader="dot"/>
            </w:tabs>
            <w:spacing w:before="153" w:after="117"/>
            <w:rPr>
              <w:rFonts w:ascii="Times New Roman" w:eastAsia="Times New Roman"/>
            </w:rPr>
          </w:pPr>
          <w:hyperlink w:history="true" w:anchor="_bookmark87">
            <w:r>
              <w:rPr/>
              <w:t>一、</w:t>
              <w:tab/>
              <w:t>《基金合同》的变更</w:t>
              <w:tab/>
            </w:r>
            <w:r>
              <w:rPr>
                <w:rFonts w:ascii="Times New Roman" w:eastAsia="Times New Roman"/>
                <w:position w:val="2"/>
              </w:rPr>
              <w:t>76</w:t>
            </w:r>
          </w:hyperlink>
        </w:p>
        <w:p>
          <w:pPr>
            <w:pStyle w:val="TOC2"/>
            <w:tabs>
              <w:tab w:pos="2476" w:val="left" w:leader="none"/>
              <w:tab w:pos="8644" w:val="right" w:leader="dot"/>
            </w:tabs>
            <w:spacing w:before="187"/>
            <w:rPr>
              <w:rFonts w:ascii="Times New Roman" w:eastAsia="Times New Roman"/>
            </w:rPr>
          </w:pPr>
          <w:hyperlink w:history="true" w:anchor="_bookmark88">
            <w:r>
              <w:rPr/>
              <w:t>二、</w:t>
              <w:tab/>
              <w:t>《基金合同》的终止</w:t>
              <w:tab/>
            </w:r>
            <w:r>
              <w:rPr>
                <w:rFonts w:ascii="Times New Roman" w:eastAsia="Times New Roman"/>
                <w:position w:val="2"/>
              </w:rPr>
              <w:t>77</w:t>
            </w:r>
          </w:hyperlink>
        </w:p>
        <w:p>
          <w:pPr>
            <w:pStyle w:val="TOC2"/>
            <w:tabs>
              <w:tab w:pos="2476" w:val="left" w:leader="none"/>
              <w:tab w:pos="8644" w:val="right" w:leader="dot"/>
            </w:tabs>
            <w:rPr>
              <w:rFonts w:ascii="Times New Roman" w:eastAsia="Times New Roman"/>
            </w:rPr>
          </w:pPr>
          <w:hyperlink w:history="true" w:anchor="_bookmark89">
            <w:r>
              <w:rPr/>
              <w:t>三、</w:t>
              <w:tab/>
              <w:t>基金财产的清算</w:t>
              <w:tab/>
            </w:r>
            <w:r>
              <w:rPr>
                <w:rFonts w:ascii="Times New Roman" w:eastAsia="Times New Roman"/>
                <w:position w:val="2"/>
              </w:rPr>
              <w:t>77</w:t>
            </w:r>
          </w:hyperlink>
        </w:p>
        <w:p>
          <w:pPr>
            <w:pStyle w:val="TOC2"/>
            <w:tabs>
              <w:tab w:pos="2476" w:val="left" w:leader="none"/>
              <w:tab w:pos="8644" w:val="right" w:leader="dot"/>
            </w:tabs>
            <w:rPr>
              <w:rFonts w:ascii="Times New Roman" w:eastAsia="Times New Roman"/>
            </w:rPr>
          </w:pPr>
          <w:hyperlink w:history="true" w:anchor="_bookmark90">
            <w:r>
              <w:rPr/>
              <w:t>四、</w:t>
              <w:tab/>
              <w:t>清算费用</w:t>
              <w:tab/>
            </w:r>
            <w:r>
              <w:rPr>
                <w:rFonts w:ascii="Times New Roman" w:eastAsia="Times New Roman"/>
                <w:position w:val="2"/>
              </w:rPr>
              <w:t>77</w:t>
            </w:r>
          </w:hyperlink>
        </w:p>
        <w:p>
          <w:pPr>
            <w:pStyle w:val="TOC2"/>
            <w:tabs>
              <w:tab w:pos="2476" w:val="left" w:leader="none"/>
              <w:tab w:pos="8644" w:val="right" w:leader="dot"/>
            </w:tabs>
            <w:rPr>
              <w:rFonts w:ascii="Times New Roman" w:eastAsia="Times New Roman"/>
            </w:rPr>
          </w:pPr>
          <w:hyperlink w:history="true" w:anchor="_bookmark91">
            <w:r>
              <w:rPr/>
              <w:t>五、</w:t>
              <w:tab/>
              <w:t>基金财产清算剩余资产的分配</w:t>
              <w:tab/>
            </w:r>
            <w:r>
              <w:rPr>
                <w:rFonts w:ascii="Times New Roman" w:eastAsia="Times New Roman"/>
                <w:position w:val="2"/>
              </w:rPr>
              <w:t>77</w:t>
            </w:r>
          </w:hyperlink>
        </w:p>
        <w:p>
          <w:pPr>
            <w:pStyle w:val="TOC2"/>
            <w:tabs>
              <w:tab w:pos="2476" w:val="left" w:leader="none"/>
              <w:tab w:pos="8644" w:val="right" w:leader="dot"/>
            </w:tabs>
            <w:rPr>
              <w:rFonts w:ascii="Times New Roman" w:eastAsia="Times New Roman"/>
            </w:rPr>
          </w:pPr>
          <w:hyperlink w:history="true" w:anchor="_bookmark92">
            <w:r>
              <w:rPr/>
              <w:t>六、</w:t>
              <w:tab/>
              <w:t>基金财产清算的公告</w:t>
              <w:tab/>
            </w:r>
            <w:r>
              <w:rPr>
                <w:rFonts w:ascii="Times New Roman" w:eastAsia="Times New Roman"/>
                <w:position w:val="2"/>
              </w:rPr>
              <w:t>78</w:t>
            </w:r>
          </w:hyperlink>
        </w:p>
        <w:p>
          <w:pPr>
            <w:pStyle w:val="TOC2"/>
            <w:tabs>
              <w:tab w:pos="2476" w:val="left" w:leader="none"/>
              <w:tab w:pos="8644" w:val="right" w:leader="dot"/>
            </w:tabs>
            <w:rPr>
              <w:rFonts w:ascii="Times New Roman" w:eastAsia="Times New Roman"/>
            </w:rPr>
          </w:pPr>
          <w:hyperlink w:history="true" w:anchor="_bookmark93">
            <w:r>
              <w:rPr/>
              <w:t>七、</w:t>
              <w:tab/>
              <w:t>基金财产清算账册及文件的保存</w:t>
              <w:tab/>
            </w:r>
            <w:r>
              <w:rPr>
                <w:rFonts w:ascii="Times New Roman" w:eastAsia="Times New Roman"/>
                <w:position w:val="2"/>
              </w:rPr>
              <w:t>78</w:t>
            </w:r>
          </w:hyperlink>
        </w:p>
        <w:p>
          <w:pPr>
            <w:pStyle w:val="TOC1"/>
            <w:tabs>
              <w:tab w:pos="1636" w:val="left" w:leader="none"/>
              <w:tab w:pos="8672" w:val="right" w:leader="dot"/>
            </w:tabs>
            <w:rPr>
              <w:rFonts w:ascii="宋体" w:eastAsia="宋体" w:hint="eastAsia"/>
            </w:rPr>
          </w:pPr>
          <w:hyperlink w:history="true" w:anchor="_bookmark94">
            <w:r>
              <w:rPr/>
              <w:t>第十九节</w:t>
              <w:tab/>
              <w:t>基金托管人</w:t>
              <w:tab/>
            </w:r>
            <w:r>
              <w:rPr>
                <w:rFonts w:ascii="宋体" w:eastAsia="宋体" w:hint="eastAsia"/>
              </w:rPr>
              <w:t>79</w:t>
            </w:r>
          </w:hyperlink>
        </w:p>
        <w:p>
          <w:pPr>
            <w:pStyle w:val="TOC1"/>
            <w:tabs>
              <w:tab w:pos="1636" w:val="left" w:leader="none"/>
              <w:tab w:pos="8672" w:val="right" w:leader="dot"/>
            </w:tabs>
            <w:spacing w:before="139"/>
            <w:rPr>
              <w:rFonts w:ascii="宋体" w:eastAsia="宋体" w:hint="eastAsia"/>
            </w:rPr>
          </w:pPr>
          <w:hyperlink w:history="true" w:anchor="_bookmark95">
            <w:r>
              <w:rPr/>
              <w:t>第二十节</w:t>
              <w:tab/>
              <w:t>境外资产托管人</w:t>
              <w:tab/>
            </w:r>
            <w:r>
              <w:rPr>
                <w:rFonts w:ascii="宋体" w:eastAsia="宋体" w:hint="eastAsia"/>
              </w:rPr>
              <w:t>82</w:t>
            </w:r>
          </w:hyperlink>
        </w:p>
        <w:p>
          <w:pPr>
            <w:pStyle w:val="TOC2"/>
            <w:tabs>
              <w:tab w:pos="2476" w:val="left" w:leader="none"/>
              <w:tab w:pos="8644" w:val="right" w:leader="dot"/>
            </w:tabs>
            <w:spacing w:before="153"/>
            <w:rPr>
              <w:rFonts w:ascii="Times New Roman" w:eastAsia="Times New Roman"/>
            </w:rPr>
          </w:pPr>
          <w:hyperlink w:history="true" w:anchor="_bookmark96">
            <w:r>
              <w:rPr/>
              <w:t>一、</w:t>
              <w:tab/>
              <w:t>基本情况</w:t>
              <w:tab/>
            </w:r>
            <w:r>
              <w:rPr>
                <w:rFonts w:ascii="Times New Roman" w:eastAsia="Times New Roman"/>
                <w:position w:val="2"/>
              </w:rPr>
              <w:t>82</w:t>
            </w:r>
          </w:hyperlink>
        </w:p>
        <w:p>
          <w:pPr>
            <w:pStyle w:val="TOC2"/>
            <w:tabs>
              <w:tab w:pos="2476" w:val="left" w:leader="none"/>
              <w:tab w:pos="8644" w:val="right" w:leader="dot"/>
            </w:tabs>
            <w:spacing w:before="171"/>
            <w:rPr>
              <w:rFonts w:ascii="Times New Roman" w:eastAsia="Times New Roman"/>
            </w:rPr>
          </w:pPr>
          <w:hyperlink w:history="true" w:anchor="_bookmark97">
            <w:r>
              <w:rPr/>
              <w:t>二、</w:t>
              <w:tab/>
              <w:t>境外托管人的职责</w:t>
              <w:tab/>
            </w:r>
            <w:r>
              <w:rPr>
                <w:rFonts w:ascii="Times New Roman" w:eastAsia="Times New Roman"/>
                <w:position w:val="2"/>
              </w:rPr>
              <w:t>82</w:t>
            </w:r>
          </w:hyperlink>
        </w:p>
        <w:p>
          <w:pPr>
            <w:pStyle w:val="TOC1"/>
            <w:tabs>
              <w:tab w:pos="8672" w:val="right" w:leader="dot"/>
            </w:tabs>
            <w:rPr>
              <w:rFonts w:ascii="宋体" w:eastAsia="宋体" w:hint="eastAsia"/>
            </w:rPr>
          </w:pPr>
          <w:hyperlink w:history="true" w:anchor="_bookmark98">
            <w:r>
              <w:rPr/>
              <w:t>第二十一节</w:t>
            </w:r>
            <w:r>
              <w:rPr>
                <w:spacing w:val="-60"/>
              </w:rPr>
              <w:t> </w:t>
            </w:r>
            <w:r>
              <w:rPr/>
              <w:t>相关服务机构</w:t>
              <w:tab/>
            </w:r>
            <w:r>
              <w:rPr>
                <w:rFonts w:ascii="宋体" w:eastAsia="宋体" w:hint="eastAsia"/>
              </w:rPr>
              <w:t>84</w:t>
            </w:r>
          </w:hyperlink>
        </w:p>
        <w:p>
          <w:pPr>
            <w:pStyle w:val="TOC2"/>
            <w:tabs>
              <w:tab w:pos="2476" w:val="left" w:leader="none"/>
              <w:tab w:pos="8644" w:val="right" w:leader="dot"/>
            </w:tabs>
            <w:spacing w:before="153"/>
            <w:rPr>
              <w:rFonts w:ascii="Times New Roman" w:eastAsia="Times New Roman"/>
            </w:rPr>
          </w:pPr>
          <w:hyperlink w:history="true" w:anchor="_bookmark99">
            <w:r>
              <w:rPr/>
              <w:t>一、</w:t>
              <w:tab/>
              <w:t>基金份额销售机构</w:t>
              <w:tab/>
            </w:r>
            <w:r>
              <w:rPr>
                <w:rFonts w:ascii="Times New Roman" w:eastAsia="Times New Roman"/>
                <w:position w:val="2"/>
              </w:rPr>
              <w:t>84</w:t>
            </w:r>
          </w:hyperlink>
        </w:p>
        <w:p>
          <w:pPr>
            <w:pStyle w:val="TOC2"/>
            <w:tabs>
              <w:tab w:pos="2476" w:val="left" w:leader="none"/>
              <w:tab w:pos="8644" w:val="right" w:leader="dot"/>
            </w:tabs>
            <w:rPr>
              <w:rFonts w:ascii="Times New Roman" w:eastAsia="Times New Roman"/>
            </w:rPr>
          </w:pPr>
          <w:hyperlink w:history="true" w:anchor="_bookmark100">
            <w:r>
              <w:rPr/>
              <w:t>二、</w:t>
              <w:tab/>
              <w:t>基金登记结算机构</w:t>
              <w:tab/>
            </w:r>
            <w:r>
              <w:rPr>
                <w:rFonts w:ascii="Times New Roman" w:eastAsia="Times New Roman"/>
                <w:position w:val="2"/>
              </w:rPr>
              <w:t>120</w:t>
            </w:r>
          </w:hyperlink>
        </w:p>
        <w:p>
          <w:pPr>
            <w:pStyle w:val="TOC2"/>
            <w:tabs>
              <w:tab w:pos="2476" w:val="left" w:leader="none"/>
              <w:tab w:pos="8644" w:val="right" w:leader="dot"/>
            </w:tabs>
            <w:rPr>
              <w:rFonts w:ascii="Times New Roman" w:eastAsia="Times New Roman"/>
            </w:rPr>
          </w:pPr>
          <w:hyperlink w:history="true" w:anchor="_bookmark101">
            <w:r>
              <w:rPr/>
              <w:t>三、</w:t>
              <w:tab/>
              <w:t>律师事务所和经办律师</w:t>
              <w:tab/>
            </w:r>
            <w:r>
              <w:rPr>
                <w:rFonts w:ascii="Times New Roman" w:eastAsia="Times New Roman"/>
                <w:position w:val="2"/>
              </w:rPr>
              <w:t>121</w:t>
            </w:r>
          </w:hyperlink>
        </w:p>
        <w:p>
          <w:pPr>
            <w:pStyle w:val="TOC2"/>
            <w:tabs>
              <w:tab w:pos="2476" w:val="left" w:leader="none"/>
              <w:tab w:pos="8644" w:val="right" w:leader="dot"/>
            </w:tabs>
            <w:spacing w:before="171"/>
            <w:rPr>
              <w:rFonts w:ascii="Times New Roman" w:eastAsia="Times New Roman"/>
            </w:rPr>
          </w:pPr>
          <w:hyperlink w:history="true" w:anchor="_bookmark102">
            <w:r>
              <w:rPr/>
              <w:t>四、</w:t>
              <w:tab/>
              <w:t>会计师事务所和经办注册会计师</w:t>
              <w:tab/>
            </w:r>
            <w:r>
              <w:rPr>
                <w:rFonts w:ascii="Times New Roman" w:eastAsia="Times New Roman"/>
                <w:position w:val="2"/>
              </w:rPr>
              <w:t>121</w:t>
            </w:r>
          </w:hyperlink>
        </w:p>
        <w:p>
          <w:pPr>
            <w:pStyle w:val="TOC1"/>
            <w:tabs>
              <w:tab w:pos="8672" w:val="right" w:leader="dot"/>
            </w:tabs>
            <w:rPr>
              <w:rFonts w:ascii="宋体" w:eastAsia="宋体" w:hint="eastAsia"/>
            </w:rPr>
          </w:pPr>
          <w:hyperlink w:history="true" w:anchor="_bookmark103">
            <w:r>
              <w:rPr/>
              <w:t>第二十二节</w:t>
            </w:r>
            <w:r>
              <w:rPr>
                <w:spacing w:val="-60"/>
              </w:rPr>
              <w:t> </w:t>
            </w:r>
            <w:r>
              <w:rPr/>
              <w:t>基金合同内容摘要</w:t>
              <w:tab/>
            </w:r>
            <w:r>
              <w:rPr>
                <w:rFonts w:ascii="宋体" w:eastAsia="宋体" w:hint="eastAsia"/>
              </w:rPr>
              <w:t>122</w:t>
            </w:r>
          </w:hyperlink>
        </w:p>
        <w:p>
          <w:pPr>
            <w:pStyle w:val="TOC2"/>
            <w:tabs>
              <w:tab w:pos="2476" w:val="left" w:leader="none"/>
              <w:tab w:pos="8644" w:val="right" w:leader="dot"/>
            </w:tabs>
            <w:spacing w:before="153"/>
            <w:rPr>
              <w:rFonts w:ascii="Times New Roman" w:eastAsia="Times New Roman"/>
            </w:rPr>
          </w:pPr>
          <w:hyperlink w:history="true" w:anchor="_bookmark104">
            <w:r>
              <w:rPr/>
              <w:t>一、</w:t>
              <w:tab/>
              <w:t>基金份额持有人、基金管理人和基金托管人的权利、义务</w:t>
              <w:tab/>
            </w:r>
            <w:r>
              <w:rPr>
                <w:rFonts w:ascii="Times New Roman" w:eastAsia="Times New Roman"/>
                <w:position w:val="2"/>
              </w:rPr>
              <w:t>122</w:t>
            </w:r>
          </w:hyperlink>
        </w:p>
        <w:p>
          <w:pPr>
            <w:pStyle w:val="TOC2"/>
            <w:tabs>
              <w:tab w:pos="2476" w:val="left" w:leader="none"/>
              <w:tab w:pos="8644" w:val="right" w:leader="dot"/>
            </w:tabs>
            <w:rPr>
              <w:rFonts w:ascii="Times New Roman" w:eastAsia="Times New Roman"/>
            </w:rPr>
          </w:pPr>
          <w:hyperlink w:history="true" w:anchor="_bookmark105">
            <w:r>
              <w:rPr/>
              <w:t>二、</w:t>
              <w:tab/>
              <w:t>基金份额持有人大会召集、议事及表决的程序和规则</w:t>
              <w:tab/>
            </w:r>
            <w:r>
              <w:rPr>
                <w:rFonts w:ascii="Times New Roman" w:eastAsia="Times New Roman"/>
                <w:position w:val="2"/>
              </w:rPr>
              <w:t>127</w:t>
            </w:r>
          </w:hyperlink>
        </w:p>
        <w:p>
          <w:pPr>
            <w:pStyle w:val="TOC2"/>
            <w:tabs>
              <w:tab w:pos="2476" w:val="left" w:leader="none"/>
              <w:tab w:pos="8644" w:val="right" w:leader="dot"/>
            </w:tabs>
            <w:rPr>
              <w:rFonts w:ascii="Times New Roman" w:eastAsia="Times New Roman"/>
            </w:rPr>
          </w:pPr>
          <w:hyperlink w:history="true" w:anchor="_bookmark106">
            <w:r>
              <w:rPr/>
              <w:t>三、</w:t>
              <w:tab/>
              <w:t>基金合同解除和终止的事由、程序</w:t>
              <w:tab/>
            </w:r>
            <w:r>
              <w:rPr>
                <w:rFonts w:ascii="Times New Roman" w:eastAsia="Times New Roman"/>
                <w:position w:val="2"/>
              </w:rPr>
              <w:t>132</w:t>
            </w:r>
          </w:hyperlink>
        </w:p>
        <w:p>
          <w:pPr>
            <w:pStyle w:val="TOC2"/>
            <w:tabs>
              <w:tab w:pos="2476" w:val="left" w:leader="none"/>
              <w:tab w:pos="8644" w:val="right" w:leader="dot"/>
            </w:tabs>
            <w:spacing w:before="171"/>
            <w:rPr>
              <w:rFonts w:ascii="Times New Roman" w:eastAsia="Times New Roman"/>
            </w:rPr>
          </w:pPr>
          <w:hyperlink w:history="true" w:anchor="_bookmark107">
            <w:r>
              <w:rPr/>
              <w:t>四、</w:t>
              <w:tab/>
              <w:t>争议解决方式</w:t>
              <w:tab/>
            </w:r>
            <w:r>
              <w:rPr>
                <w:rFonts w:ascii="Times New Roman" w:eastAsia="Times New Roman"/>
                <w:position w:val="2"/>
              </w:rPr>
              <w:t>133</w:t>
            </w:r>
          </w:hyperlink>
        </w:p>
        <w:p>
          <w:pPr>
            <w:pStyle w:val="TOC2"/>
            <w:tabs>
              <w:tab w:pos="2476" w:val="left" w:leader="none"/>
              <w:tab w:pos="8644" w:val="right" w:leader="dot"/>
            </w:tabs>
            <w:rPr>
              <w:rFonts w:ascii="Times New Roman" w:eastAsia="Times New Roman"/>
            </w:rPr>
          </w:pPr>
          <w:hyperlink w:history="true" w:anchor="_bookmark108">
            <w:r>
              <w:rPr/>
              <w:t>五、</w:t>
              <w:tab/>
              <w:t>基金合同存放地和投资者取得基金合同的方式</w:t>
              <w:tab/>
            </w:r>
            <w:r>
              <w:rPr>
                <w:rFonts w:ascii="Times New Roman" w:eastAsia="Times New Roman"/>
                <w:position w:val="2"/>
              </w:rPr>
              <w:t>134</w:t>
            </w:r>
          </w:hyperlink>
        </w:p>
        <w:p>
          <w:pPr>
            <w:pStyle w:val="TOC1"/>
            <w:tabs>
              <w:tab w:pos="8672" w:val="right" w:leader="dot"/>
            </w:tabs>
            <w:rPr>
              <w:rFonts w:ascii="宋体" w:eastAsia="宋体" w:hint="eastAsia"/>
            </w:rPr>
          </w:pPr>
          <w:hyperlink w:history="true" w:anchor="_bookmark109">
            <w:r>
              <w:rPr/>
              <w:t>第二十三节</w:t>
            </w:r>
            <w:r>
              <w:rPr>
                <w:spacing w:val="-60"/>
              </w:rPr>
              <w:t> </w:t>
            </w:r>
            <w:r>
              <w:rPr/>
              <w:t>基金托管协议的内容摘要</w:t>
              <w:tab/>
            </w:r>
            <w:r>
              <w:rPr>
                <w:rFonts w:ascii="宋体" w:eastAsia="宋体" w:hint="eastAsia"/>
              </w:rPr>
              <w:t>135</w:t>
            </w:r>
          </w:hyperlink>
        </w:p>
        <w:p>
          <w:pPr>
            <w:pStyle w:val="TOC2"/>
            <w:tabs>
              <w:tab w:pos="2476" w:val="left" w:leader="none"/>
              <w:tab w:pos="8644" w:val="right" w:leader="dot"/>
            </w:tabs>
            <w:spacing w:before="153"/>
            <w:rPr>
              <w:rFonts w:ascii="Times New Roman" w:eastAsia="Times New Roman"/>
            </w:rPr>
          </w:pPr>
          <w:hyperlink w:history="true" w:anchor="_bookmark110">
            <w:r>
              <w:rPr/>
              <w:t>一、</w:t>
              <w:tab/>
              <w:t>托管协议当事人</w:t>
              <w:tab/>
            </w:r>
            <w:r>
              <w:rPr>
                <w:rFonts w:ascii="Times New Roman" w:eastAsia="Times New Roman"/>
                <w:position w:val="2"/>
              </w:rPr>
              <w:t>135</w:t>
            </w:r>
          </w:hyperlink>
        </w:p>
        <w:p>
          <w:pPr>
            <w:pStyle w:val="TOC2"/>
            <w:tabs>
              <w:tab w:pos="2476" w:val="left" w:leader="none"/>
              <w:tab w:pos="8644" w:val="right" w:leader="dot"/>
            </w:tabs>
            <w:rPr>
              <w:rFonts w:ascii="Times New Roman" w:eastAsia="Times New Roman"/>
            </w:rPr>
          </w:pPr>
          <w:hyperlink w:history="true" w:anchor="_bookmark111">
            <w:r>
              <w:rPr/>
              <w:t>二、</w:t>
              <w:tab/>
              <w:t>基金托管人的受托职责和托管职责</w:t>
              <w:tab/>
            </w:r>
            <w:r>
              <w:rPr>
                <w:rFonts w:ascii="Times New Roman" w:eastAsia="Times New Roman"/>
                <w:position w:val="2"/>
              </w:rPr>
              <w:t>136</w:t>
            </w:r>
          </w:hyperlink>
        </w:p>
        <w:p>
          <w:pPr>
            <w:pStyle w:val="TOC2"/>
            <w:tabs>
              <w:tab w:pos="2476" w:val="left" w:leader="none"/>
              <w:tab w:pos="8644" w:val="right" w:leader="dot"/>
            </w:tabs>
            <w:rPr>
              <w:rFonts w:ascii="Times New Roman" w:eastAsia="Times New Roman"/>
            </w:rPr>
          </w:pPr>
          <w:hyperlink w:history="true" w:anchor="_bookmark112">
            <w:r>
              <w:rPr/>
              <w:t>三、</w:t>
              <w:tab/>
              <w:t>基金托管人对基金管理人的业务监督和核查</w:t>
              <w:tab/>
            </w:r>
            <w:r>
              <w:rPr>
                <w:rFonts w:ascii="Times New Roman" w:eastAsia="Times New Roman"/>
                <w:position w:val="2"/>
              </w:rPr>
              <w:t>136</w:t>
            </w:r>
          </w:hyperlink>
        </w:p>
        <w:p>
          <w:pPr>
            <w:pStyle w:val="TOC2"/>
            <w:tabs>
              <w:tab w:pos="2476" w:val="left" w:leader="none"/>
              <w:tab w:pos="8644" w:val="right" w:leader="dot"/>
            </w:tabs>
            <w:spacing w:before="171"/>
            <w:rPr>
              <w:rFonts w:ascii="Times New Roman" w:eastAsia="Times New Roman"/>
            </w:rPr>
          </w:pPr>
          <w:hyperlink w:history="true" w:anchor="_bookmark113">
            <w:r>
              <w:rPr/>
              <w:t>四、</w:t>
              <w:tab/>
              <w:t>基金管理人对基金托管人的业务核查</w:t>
              <w:tab/>
            </w:r>
            <w:r>
              <w:rPr>
                <w:rFonts w:ascii="Times New Roman" w:eastAsia="Times New Roman"/>
                <w:position w:val="2"/>
              </w:rPr>
              <w:t>142</w:t>
            </w:r>
          </w:hyperlink>
        </w:p>
        <w:p>
          <w:pPr>
            <w:pStyle w:val="TOC2"/>
            <w:tabs>
              <w:tab w:pos="2476" w:val="left" w:leader="none"/>
              <w:tab w:pos="8644" w:val="right" w:leader="dot"/>
            </w:tabs>
            <w:rPr>
              <w:rFonts w:ascii="Times New Roman" w:eastAsia="Times New Roman"/>
            </w:rPr>
          </w:pPr>
          <w:hyperlink w:history="true" w:anchor="_bookmark114">
            <w:r>
              <w:rPr/>
              <w:t>五、</w:t>
              <w:tab/>
              <w:t>基金财产的保管</w:t>
              <w:tab/>
            </w:r>
            <w:r>
              <w:rPr>
                <w:rFonts w:ascii="Times New Roman" w:eastAsia="Times New Roman"/>
                <w:position w:val="2"/>
              </w:rPr>
              <w:t>142</w:t>
            </w:r>
          </w:hyperlink>
        </w:p>
        <w:p>
          <w:pPr>
            <w:pStyle w:val="TOC2"/>
            <w:tabs>
              <w:tab w:pos="2476" w:val="left" w:leader="none"/>
              <w:tab w:pos="8644" w:val="right" w:leader="dot"/>
            </w:tabs>
            <w:rPr>
              <w:rFonts w:ascii="Times New Roman" w:eastAsia="Times New Roman"/>
            </w:rPr>
          </w:pPr>
          <w:hyperlink w:history="true" w:anchor="_bookmark115">
            <w:r>
              <w:rPr/>
              <w:t>六、</w:t>
              <w:tab/>
              <w:t>基金资产净值计算和会计核算</w:t>
              <w:tab/>
            </w:r>
            <w:r>
              <w:rPr>
                <w:rFonts w:ascii="Times New Roman" w:eastAsia="Times New Roman"/>
                <w:position w:val="2"/>
              </w:rPr>
              <w:t>145</w:t>
            </w:r>
          </w:hyperlink>
        </w:p>
        <w:p>
          <w:pPr>
            <w:pStyle w:val="TOC2"/>
            <w:tabs>
              <w:tab w:pos="2476" w:val="left" w:leader="none"/>
              <w:tab w:pos="8644" w:val="right" w:leader="dot"/>
            </w:tabs>
            <w:rPr>
              <w:rFonts w:ascii="Times New Roman" w:eastAsia="Times New Roman"/>
            </w:rPr>
          </w:pPr>
          <w:hyperlink w:history="true" w:anchor="_bookmark116">
            <w:r>
              <w:rPr/>
              <w:t>七、</w:t>
              <w:tab/>
              <w:t>基金份额持有人名册的登记与保管</w:t>
              <w:tab/>
            </w:r>
            <w:r>
              <w:rPr>
                <w:rFonts w:ascii="Times New Roman" w:eastAsia="Times New Roman"/>
                <w:position w:val="2"/>
              </w:rPr>
              <w:t>148</w:t>
            </w:r>
          </w:hyperlink>
        </w:p>
        <w:p>
          <w:pPr>
            <w:pStyle w:val="TOC2"/>
            <w:tabs>
              <w:tab w:pos="2476" w:val="left" w:leader="none"/>
              <w:tab w:pos="8644" w:val="right" w:leader="dot"/>
            </w:tabs>
            <w:spacing w:after="117"/>
            <w:rPr>
              <w:rFonts w:ascii="Times New Roman" w:eastAsia="Times New Roman"/>
            </w:rPr>
          </w:pPr>
          <w:hyperlink w:history="true" w:anchor="_bookmark117">
            <w:r>
              <w:rPr/>
              <w:t>八、</w:t>
              <w:tab/>
              <w:t>争议解决方式</w:t>
              <w:tab/>
            </w:r>
            <w:r>
              <w:rPr>
                <w:rFonts w:ascii="Times New Roman" w:eastAsia="Times New Roman"/>
                <w:position w:val="2"/>
              </w:rPr>
              <w:t>148</w:t>
            </w:r>
          </w:hyperlink>
        </w:p>
        <w:p>
          <w:pPr>
            <w:pStyle w:val="TOC2"/>
            <w:tabs>
              <w:tab w:pos="2476" w:val="left" w:leader="none"/>
              <w:tab w:pos="8644" w:val="right" w:leader="dot"/>
            </w:tabs>
            <w:spacing w:before="187"/>
            <w:rPr>
              <w:rFonts w:ascii="Times New Roman" w:eastAsia="Times New Roman"/>
            </w:rPr>
          </w:pPr>
          <w:hyperlink w:history="true" w:anchor="_bookmark118">
            <w:r>
              <w:rPr/>
              <w:t>九、</w:t>
              <w:tab/>
              <w:t>托管协议的修改与终止</w:t>
              <w:tab/>
            </w:r>
            <w:r>
              <w:rPr>
                <w:rFonts w:ascii="Times New Roman" w:eastAsia="Times New Roman"/>
                <w:position w:val="2"/>
              </w:rPr>
              <w:t>149</w:t>
            </w:r>
          </w:hyperlink>
        </w:p>
        <w:p>
          <w:pPr>
            <w:pStyle w:val="TOC1"/>
            <w:tabs>
              <w:tab w:pos="8672" w:val="right" w:leader="dot"/>
            </w:tabs>
            <w:rPr>
              <w:rFonts w:ascii="宋体" w:eastAsia="宋体" w:hint="eastAsia"/>
            </w:rPr>
          </w:pPr>
          <w:hyperlink w:history="true" w:anchor="_bookmark119">
            <w:r>
              <w:rPr/>
              <w:t>第二十四节</w:t>
            </w:r>
            <w:r>
              <w:rPr>
                <w:spacing w:val="-60"/>
              </w:rPr>
              <w:t> </w:t>
            </w:r>
            <w:r>
              <w:rPr/>
              <w:t>对基金份额持有人的服务</w:t>
              <w:tab/>
            </w:r>
            <w:r>
              <w:rPr>
                <w:rFonts w:ascii="宋体" w:eastAsia="宋体" w:hint="eastAsia"/>
              </w:rPr>
              <w:t>150</w:t>
            </w:r>
          </w:hyperlink>
        </w:p>
        <w:p>
          <w:pPr>
            <w:pStyle w:val="TOC1"/>
            <w:tabs>
              <w:tab w:pos="8672" w:val="right" w:leader="dot"/>
            </w:tabs>
            <w:spacing w:before="140"/>
            <w:rPr>
              <w:rFonts w:ascii="宋体" w:eastAsia="宋体" w:hint="eastAsia"/>
            </w:rPr>
          </w:pPr>
          <w:hyperlink w:history="true" w:anchor="_bookmark120">
            <w:r>
              <w:rPr/>
              <w:t>第二十五节</w:t>
            </w:r>
            <w:r>
              <w:rPr>
                <w:spacing w:val="-60"/>
              </w:rPr>
              <w:t> </w:t>
            </w:r>
            <w:r>
              <w:rPr/>
              <w:t>其他应披露事项</w:t>
              <w:tab/>
            </w:r>
            <w:r>
              <w:rPr>
                <w:rFonts w:ascii="宋体" w:eastAsia="宋体" w:hint="eastAsia"/>
              </w:rPr>
              <w:t>151</w:t>
            </w:r>
          </w:hyperlink>
        </w:p>
        <w:p>
          <w:pPr>
            <w:pStyle w:val="TOC1"/>
            <w:tabs>
              <w:tab w:pos="8672" w:val="right" w:leader="dot"/>
            </w:tabs>
            <w:spacing w:before="139"/>
            <w:rPr>
              <w:rFonts w:ascii="宋体" w:eastAsia="宋体" w:hint="eastAsia"/>
            </w:rPr>
          </w:pPr>
          <w:hyperlink w:history="true" w:anchor="_bookmark121">
            <w:r>
              <w:rPr/>
              <w:t>第二十六节</w:t>
            </w:r>
            <w:r>
              <w:rPr>
                <w:spacing w:val="-60"/>
              </w:rPr>
              <w:t> </w:t>
            </w:r>
            <w:r>
              <w:rPr/>
              <w:t>招募说明书存放及查阅方式</w:t>
              <w:tab/>
            </w:r>
            <w:r>
              <w:rPr>
                <w:rFonts w:ascii="宋体" w:eastAsia="宋体" w:hint="eastAsia"/>
              </w:rPr>
              <w:t>154</w:t>
            </w:r>
          </w:hyperlink>
        </w:p>
        <w:p>
          <w:pPr>
            <w:pStyle w:val="TOC1"/>
            <w:tabs>
              <w:tab w:pos="8672" w:val="right" w:leader="dot"/>
            </w:tabs>
            <w:spacing w:before="140"/>
            <w:rPr>
              <w:rFonts w:ascii="宋体" w:eastAsia="宋体" w:hint="eastAsia"/>
            </w:rPr>
          </w:pPr>
          <w:hyperlink w:history="true" w:anchor="_bookmark122">
            <w:r>
              <w:rPr/>
              <w:t>第二十七节</w:t>
            </w:r>
            <w:r>
              <w:rPr>
                <w:spacing w:val="-60"/>
              </w:rPr>
              <w:t> </w:t>
            </w:r>
            <w:r>
              <w:rPr/>
              <w:t>备查文件</w:t>
              <w:tab/>
            </w:r>
            <w:r>
              <w:rPr>
                <w:rFonts w:ascii="宋体" w:eastAsia="宋体" w:hint="eastAsia"/>
              </w:rPr>
              <w:t>155</w:t>
            </w:r>
          </w:hyperlink>
        </w:p>
      </w:sdtContent>
    </w:sdt>
    <w:p>
      <w:pPr>
        <w:spacing w:after="0"/>
        <w:rPr>
          <w:rFonts w:ascii="宋体" w:eastAsia="宋体" w:hint="eastAsia"/>
        </w:rPr>
        <w:sectPr>
          <w:type w:val="continuous"/>
          <w:pgSz w:w="11910" w:h="16840"/>
          <w:pgMar w:top="1600" w:bottom="1696" w:left="1420" w:right="1000"/>
        </w:sectPr>
      </w:pPr>
    </w:p>
    <w:p>
      <w:pPr>
        <w:pStyle w:val="Heading1"/>
        <w:tabs>
          <w:tab w:pos="1260" w:val="left" w:leader="none"/>
        </w:tabs>
      </w:pPr>
      <w:bookmarkStart w:name="_bookmark0" w:id="1"/>
      <w:bookmarkEnd w:id="1"/>
      <w:r>
        <w:rPr>
          <w:b w:val="0"/>
        </w:rPr>
      </w:r>
      <w:r>
        <w:rPr/>
        <w:t>第一节</w:t>
        <w:tab/>
        <w:t>绪言</w:t>
      </w:r>
    </w:p>
    <w:p>
      <w:pPr>
        <w:pStyle w:val="BodyText"/>
        <w:spacing w:line="364" w:lineRule="auto" w:before="138"/>
        <w:ind w:left="376" w:right="794" w:firstLine="482"/>
        <w:jc w:val="both"/>
      </w:pPr>
      <w:r>
        <w:rPr>
          <w:spacing w:val="-15"/>
        </w:rPr>
        <w:t>本《招募说明书》依据《中华人民共和国证券投资基金法》</w:t>
      </w:r>
      <w:r>
        <w:rPr/>
        <w:t>（</w:t>
      </w:r>
      <w:r>
        <w:rPr>
          <w:spacing w:val="-17"/>
        </w:rPr>
        <w:t>以下简称《基金法》</w:t>
      </w:r>
      <w:r>
        <w:rPr>
          <w:spacing w:val="-105"/>
        </w:rPr>
        <w:t>）</w:t>
      </w:r>
      <w:r>
        <w:rPr>
          <w:spacing w:val="-40"/>
        </w:rPr>
        <w:t>、《证</w:t>
      </w:r>
      <w:r>
        <w:rPr>
          <w:spacing w:val="-9"/>
        </w:rPr>
        <w:t>券投资基金运作管理办法》</w:t>
      </w:r>
      <w:r>
        <w:rPr/>
        <w:t>（</w:t>
      </w:r>
      <w:r>
        <w:rPr>
          <w:spacing w:val="-11"/>
        </w:rPr>
        <w:t>以下简称《运作办法》</w:t>
      </w:r>
      <w:r>
        <w:rPr>
          <w:spacing w:val="-105"/>
        </w:rPr>
        <w:t>）</w:t>
      </w:r>
      <w:r>
        <w:rPr>
          <w:spacing w:val="-18"/>
        </w:rPr>
        <w:t>、《证券投资基金销售管理办法》</w:t>
      </w:r>
      <w:r>
        <w:rPr/>
        <w:t>（以下</w:t>
      </w:r>
      <w:r>
        <w:rPr>
          <w:spacing w:val="-13"/>
        </w:rPr>
        <w:t>简称《销售办法》</w:t>
      </w:r>
      <w:r>
        <w:rPr>
          <w:spacing w:val="-103"/>
        </w:rPr>
        <w:t>）</w:t>
      </w:r>
      <w:r>
        <w:rPr>
          <w:spacing w:val="-15"/>
        </w:rPr>
        <w:t>、《公开募集证券投资基金信息披露管理办法》</w:t>
      </w:r>
      <w:r>
        <w:rPr>
          <w:spacing w:val="3"/>
        </w:rPr>
        <w:t>（</w:t>
      </w:r>
      <w:r>
        <w:rPr/>
        <w:t>以下简称《信息披露办</w:t>
      </w:r>
      <w:r>
        <w:rPr>
          <w:spacing w:val="-53"/>
        </w:rPr>
        <w:t>法》</w:t>
      </w:r>
      <w:r>
        <w:rPr>
          <w:spacing w:val="-105"/>
        </w:rPr>
        <w:t>）</w:t>
      </w:r>
      <w:r>
        <w:rPr>
          <w:spacing w:val="-13"/>
        </w:rPr>
        <w:t>、《证券投资基金信息披露内容与格式准则第 </w:t>
      </w:r>
      <w:r>
        <w:rPr/>
        <w:t>5</w:t>
      </w:r>
      <w:r>
        <w:rPr>
          <w:spacing w:val="-19"/>
        </w:rPr>
        <w:t> 号&lt;招募说明书的内容与格式&gt;》、《合格</w:t>
      </w:r>
      <w:r>
        <w:rPr>
          <w:spacing w:val="-24"/>
        </w:rPr>
        <w:t>境内机构投资者境外证券投资管理试行办法》</w:t>
      </w:r>
      <w:r>
        <w:rPr/>
        <w:t>（以下简称“《试行办法》</w:t>
      </w:r>
      <w:r>
        <w:rPr>
          <w:spacing w:val="-105"/>
        </w:rPr>
        <w:t>”）</w:t>
      </w:r>
      <w:r>
        <w:rPr>
          <w:spacing w:val="-15"/>
        </w:rPr>
        <w:t>、《关于实施&lt;合</w:t>
      </w:r>
      <w:r>
        <w:rPr>
          <w:spacing w:val="-19"/>
        </w:rPr>
        <w:t>格境内机构投资者境外证券投资管理试行办法&gt;有关问题的通知》</w:t>
      </w:r>
      <w:r>
        <w:rPr/>
        <w:t>（</w:t>
      </w:r>
      <w:r>
        <w:rPr>
          <w:spacing w:val="-28"/>
        </w:rPr>
        <w:t>以下简称《通知》、《公开</w:t>
      </w:r>
      <w:r>
        <w:rPr>
          <w:spacing w:val="-5"/>
        </w:rPr>
        <w:t>募集开放式证券投资基金流动性风险管理规定》</w:t>
      </w:r>
      <w:r>
        <w:rPr/>
        <w:t>（</w:t>
      </w:r>
      <w:r>
        <w:rPr>
          <w:spacing w:val="-17"/>
        </w:rPr>
        <w:t>以下简称《管理规定》</w:t>
      </w:r>
      <w:r>
        <w:rPr>
          <w:spacing w:val="-44"/>
        </w:rPr>
        <w:t>）</w:t>
      </w:r>
      <w:r>
        <w:rPr>
          <w:spacing w:val="-2"/>
        </w:rPr>
        <w:t>等有关法律法规以</w:t>
      </w:r>
      <w:r>
        <w:rPr/>
        <w:t>及《易方达黄金主题证券投资基金（LOF）基金合同》编写。</w:t>
      </w:r>
    </w:p>
    <w:p>
      <w:pPr>
        <w:pStyle w:val="BodyText"/>
        <w:spacing w:line="364" w:lineRule="auto"/>
        <w:ind w:left="376" w:right="794" w:firstLine="482"/>
        <w:jc w:val="both"/>
      </w:pPr>
      <w:r>
        <w:rPr/>
        <w:t>基金管理人承诺本招募说明书不存在任何虚假记载、误导性陈述或者重大遗漏，并对</w:t>
      </w:r>
      <w:r>
        <w:rPr>
          <w:spacing w:val="-11"/>
        </w:rPr>
        <w:t>其真实性、准确性、完整性承担法律责任。本基金是根据本招募说明书所载明的资料申请募</w:t>
      </w:r>
      <w:r>
        <w:rPr>
          <w:spacing w:val="-9"/>
        </w:rPr>
        <w:t>集的。本基金管理人没有委托或授权任何其他人提供未在本招募说明书中载明的信息，或对</w:t>
      </w:r>
      <w:r>
        <w:rPr/>
        <w:t>本招募说明书作任何解释或者说明。</w:t>
      </w:r>
    </w:p>
    <w:p>
      <w:pPr>
        <w:pStyle w:val="BodyText"/>
        <w:spacing w:line="364" w:lineRule="auto"/>
        <w:ind w:left="376" w:right="794" w:firstLine="482"/>
        <w:jc w:val="both"/>
      </w:pPr>
      <w:r>
        <w:rPr/>
        <w:t>本招募说明书根据本基金的基金合同编写，并经中国证监会核准。基金合同是约定基</w:t>
      </w:r>
      <w:r>
        <w:rPr>
          <w:spacing w:val="-8"/>
        </w:rPr>
        <w:t>金当事人之间权利、义务的法律文件。基金投资者自依基金合同取得基金份额，即成为基金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1118" w:header="0" w:top="1400" w:bottom="1300" w:left="1420" w:right="1000"/>
          <w:pgNumType w:start="1"/>
        </w:sectPr>
      </w:pPr>
    </w:p>
    <w:p>
      <w:pPr>
        <w:pStyle w:val="Heading1"/>
        <w:tabs>
          <w:tab w:pos="1260" w:val="left" w:leader="none"/>
        </w:tabs>
      </w:pPr>
      <w:bookmarkStart w:name="_bookmark1" w:id="2"/>
      <w:bookmarkEnd w:id="2"/>
      <w:r>
        <w:rPr>
          <w:b w:val="0"/>
        </w:rPr>
      </w:r>
      <w:r>
        <w:rPr/>
        <w:t>第二节</w:t>
        <w:tab/>
        <w:t>释义</w:t>
      </w:r>
    </w:p>
    <w:p>
      <w:pPr>
        <w:pStyle w:val="BodyText"/>
        <w:spacing w:before="138"/>
        <w:ind w:left="856"/>
      </w:pPr>
      <w:r>
        <w:rPr/>
        <w:t>本《招募说明书》中除非文意另有所指，下列词语有如下含义：</w:t>
      </w:r>
    </w:p>
    <w:p>
      <w:pPr>
        <w:pStyle w:val="BodyText"/>
        <w:tabs>
          <w:tab w:pos="3106" w:val="left" w:leader="none"/>
        </w:tabs>
        <w:spacing w:line="364" w:lineRule="auto" w:before="139"/>
        <w:ind w:left="3106" w:right="794" w:hanging="2310"/>
        <w:jc w:val="both"/>
      </w:pPr>
      <w:r>
        <w:rPr/>
        <w:t>《基金合同》</w:t>
        <w:tab/>
        <w:t>指《易方达黄金主题证券投资基金（LOF）基金合同》及对该合同的任何有效的修订和补充</w:t>
      </w:r>
    </w:p>
    <w:p>
      <w:pPr>
        <w:pStyle w:val="BodyText"/>
        <w:tabs>
          <w:tab w:pos="3106" w:val="left" w:leader="none"/>
        </w:tabs>
        <w:spacing w:line="364" w:lineRule="auto"/>
        <w:ind w:left="3106" w:right="794" w:hanging="2310"/>
        <w:jc w:val="both"/>
      </w:pPr>
      <w:r>
        <w:rPr/>
        <w:t>中国</w:t>
        <w:tab/>
        <w:t>指中华人民共和</w:t>
      </w:r>
      <w:r>
        <w:rPr>
          <w:spacing w:val="-23"/>
        </w:rPr>
        <w:t>国</w:t>
      </w:r>
      <w:r>
        <w:rPr/>
        <w:t>（仅</w:t>
      </w:r>
      <w:r>
        <w:rPr>
          <w:spacing w:val="-23"/>
        </w:rPr>
        <w:t>为</w:t>
      </w:r>
      <w:r>
        <w:rPr/>
        <w:t>《基金合同</w:t>
      </w:r>
      <w:r>
        <w:rPr>
          <w:spacing w:val="-22"/>
        </w:rPr>
        <w:t>》</w:t>
      </w:r>
      <w:r>
        <w:rPr/>
        <w:t>目的</w:t>
      </w:r>
      <w:r>
        <w:rPr>
          <w:spacing w:val="-23"/>
        </w:rPr>
        <w:t>，</w:t>
      </w:r>
      <w:r>
        <w:rPr/>
        <w:t>不包括香港特</w:t>
      </w:r>
      <w:r>
        <w:rPr>
          <w:spacing w:val="-13"/>
        </w:rPr>
        <w:t>别</w:t>
      </w:r>
      <w:r>
        <w:rPr/>
        <w:t>行政区、澳门特别行政区及台湾地区）</w:t>
      </w:r>
    </w:p>
    <w:p>
      <w:pPr>
        <w:pStyle w:val="BodyText"/>
        <w:tabs>
          <w:tab w:pos="3106" w:val="left" w:leader="none"/>
        </w:tabs>
        <w:spacing w:line="364" w:lineRule="auto"/>
        <w:ind w:left="3106" w:right="794" w:hanging="2310"/>
        <w:jc w:val="both"/>
      </w:pPr>
      <w:r>
        <w:rPr/>
        <w:t>法律法规</w:t>
        <w:tab/>
        <w:t>指中华人民共和国现时有效并公布实施的法律</w:t>
      </w:r>
      <w:r>
        <w:rPr>
          <w:spacing w:val="-45"/>
        </w:rPr>
        <w:t>、</w:t>
      </w:r>
      <w:r>
        <w:rPr/>
        <w:t>行政法规</w:t>
      </w:r>
      <w:r>
        <w:rPr>
          <w:spacing w:val="-44"/>
        </w:rPr>
        <w:t>、</w:t>
      </w:r>
      <w:r>
        <w:rPr>
          <w:spacing w:val="-15"/>
        </w:rPr>
        <w:t>司</w:t>
      </w:r>
      <w:r>
        <w:rPr/>
        <w:t>法解释</w:t>
      </w:r>
      <w:r>
        <w:rPr>
          <w:spacing w:val="-45"/>
        </w:rPr>
        <w:t>、</w:t>
      </w:r>
      <w:r>
        <w:rPr/>
        <w:t>地方法规</w:t>
      </w:r>
      <w:r>
        <w:rPr>
          <w:spacing w:val="-44"/>
        </w:rPr>
        <w:t>、</w:t>
      </w:r>
      <w:r>
        <w:rPr/>
        <w:t>部门规章及其他规范性文件以及对于该</w:t>
      </w:r>
      <w:r>
        <w:rPr>
          <w:spacing w:val="-15"/>
        </w:rPr>
        <w:t>等</w:t>
      </w:r>
      <w:r>
        <w:rPr/>
        <w:t>法律法规的不时修改和补充</w:t>
      </w:r>
    </w:p>
    <w:p>
      <w:pPr>
        <w:pStyle w:val="BodyText"/>
        <w:tabs>
          <w:tab w:pos="3106" w:val="left" w:leader="none"/>
        </w:tabs>
        <w:spacing w:line="268" w:lineRule="exact"/>
        <w:jc w:val="both"/>
      </w:pPr>
      <w:r>
        <w:rPr/>
        <w:t>《基金法》</w:t>
        <w:tab/>
        <w:t>指《中华人民共和国证券投资基金法》</w:t>
      </w:r>
    </w:p>
    <w:p>
      <w:pPr>
        <w:pStyle w:val="BodyText"/>
        <w:tabs>
          <w:tab w:pos="3106" w:val="left" w:leader="none"/>
        </w:tabs>
        <w:spacing w:before="138"/>
      </w:pPr>
      <w:r>
        <w:rPr/>
        <w:t>《销售办法》</w:t>
        <w:tab/>
        <w:t>指《证券投资基金销售管理办法》</w:t>
      </w:r>
    </w:p>
    <w:p>
      <w:pPr>
        <w:pStyle w:val="BodyText"/>
        <w:tabs>
          <w:tab w:pos="3106" w:val="left" w:leader="none"/>
        </w:tabs>
        <w:spacing w:before="139"/>
      </w:pPr>
      <w:r>
        <w:rPr/>
        <w:t>《运作办法》</w:t>
        <w:tab/>
        <w:t>指《证券投资基金运作管理办法》</w:t>
      </w:r>
    </w:p>
    <w:p>
      <w:pPr>
        <w:pStyle w:val="BodyText"/>
        <w:tabs>
          <w:tab w:pos="3106" w:val="left" w:leader="none"/>
        </w:tabs>
        <w:spacing w:before="140"/>
      </w:pPr>
      <w:r>
        <w:rPr/>
        <w:t>《信息披露办法》</w:t>
        <w:tab/>
        <w:t>指《公开募集证券投资基金信息披露管理办法》</w:t>
      </w:r>
    </w:p>
    <w:p>
      <w:pPr>
        <w:pStyle w:val="BodyText"/>
        <w:tabs>
          <w:tab w:pos="3106" w:val="left" w:leader="none"/>
        </w:tabs>
        <w:spacing w:before="139"/>
      </w:pPr>
      <w:r>
        <w:rPr/>
        <w:t>《试行办法》</w:t>
        <w:tab/>
        <w:t>指《合格境内机构投资者境外证券投资管理试行办法》</w:t>
      </w:r>
    </w:p>
    <w:p>
      <w:pPr>
        <w:pStyle w:val="BodyText"/>
        <w:tabs>
          <w:tab w:pos="3106" w:val="left" w:leader="none"/>
        </w:tabs>
        <w:spacing w:line="364" w:lineRule="auto" w:before="139"/>
        <w:ind w:left="3106" w:right="690" w:hanging="2310"/>
      </w:pPr>
      <w:r>
        <w:rPr/>
        <w:t>《通知》</w:t>
        <w:tab/>
        <w:t>《关于实施&lt;合格境内机构投资者境外证券投资管理试行办法&gt; 有关问题的通知》</w:t>
      </w:r>
    </w:p>
    <w:p>
      <w:pPr>
        <w:pStyle w:val="BodyText"/>
        <w:tabs>
          <w:tab w:pos="3106" w:val="left" w:leader="none"/>
        </w:tabs>
        <w:spacing w:line="268" w:lineRule="exact"/>
      </w:pPr>
      <w:r>
        <w:rPr/>
        <w:t>《管理规定》</w:t>
        <w:tab/>
        <w:t>指中国证监会</w:t>
      </w:r>
      <w:r>
        <w:rPr>
          <w:spacing w:val="-53"/>
        </w:rPr>
        <w:t> </w:t>
      </w:r>
      <w:r>
        <w:rPr/>
        <w:t>2017</w:t>
      </w:r>
      <w:r>
        <w:rPr>
          <w:spacing w:val="-53"/>
        </w:rPr>
        <w:t> </w:t>
      </w:r>
      <w:r>
        <w:rPr/>
        <w:t>年</w:t>
      </w:r>
      <w:r>
        <w:rPr>
          <w:spacing w:val="-53"/>
        </w:rPr>
        <w:t> </w:t>
      </w:r>
      <w:r>
        <w:rPr/>
        <w:t>8</w:t>
      </w:r>
      <w:r>
        <w:rPr>
          <w:spacing w:val="-53"/>
        </w:rPr>
        <w:t> </w:t>
      </w:r>
      <w:r>
        <w:rPr/>
        <w:t>月</w:t>
      </w:r>
      <w:r>
        <w:rPr>
          <w:spacing w:val="-53"/>
        </w:rPr>
        <w:t> </w:t>
      </w:r>
      <w:r>
        <w:rPr/>
        <w:t>31</w:t>
      </w:r>
      <w:r>
        <w:rPr>
          <w:spacing w:val="-53"/>
        </w:rPr>
        <w:t> </w:t>
      </w:r>
      <w:r>
        <w:rPr/>
        <w:t>日颁布、同年</w:t>
      </w:r>
      <w:r>
        <w:rPr>
          <w:spacing w:val="-53"/>
        </w:rPr>
        <w:t> </w:t>
      </w:r>
      <w:r>
        <w:rPr/>
        <w:t>10</w:t>
      </w:r>
      <w:r>
        <w:rPr>
          <w:spacing w:val="-53"/>
        </w:rPr>
        <w:t> </w:t>
      </w:r>
      <w:r>
        <w:rPr/>
        <w:t>月</w:t>
      </w:r>
      <w:r>
        <w:rPr>
          <w:spacing w:val="-53"/>
        </w:rPr>
        <w:t> </w:t>
      </w:r>
      <w:r>
        <w:rPr/>
        <w:t>1</w:t>
      </w:r>
      <w:r>
        <w:rPr>
          <w:spacing w:val="-53"/>
        </w:rPr>
        <w:t> </w:t>
      </w:r>
      <w:r>
        <w:rPr/>
        <w:t>日实施的</w:t>
      </w:r>
    </w:p>
    <w:p>
      <w:pPr>
        <w:pStyle w:val="BodyText"/>
        <w:spacing w:line="364" w:lineRule="auto" w:before="140"/>
        <w:ind w:left="3106" w:right="918"/>
      </w:pPr>
      <w:r>
        <w:rPr/>
        <w:t>《公开募集开放式证券投资基金流动性风险管理规定》及颁布机关对其不时做出的修订</w:t>
      </w:r>
    </w:p>
    <w:p>
      <w:pPr>
        <w:pStyle w:val="BodyText"/>
        <w:tabs>
          <w:tab w:pos="3106" w:val="left" w:leader="none"/>
        </w:tabs>
        <w:spacing w:line="268" w:lineRule="exact"/>
      </w:pPr>
      <w:r>
        <w:rPr/>
        <w:t>元</w:t>
        <w:tab/>
        <w:t>如无特指，指中国法定货币人民币元</w:t>
      </w:r>
    </w:p>
    <w:p>
      <w:pPr>
        <w:pStyle w:val="BodyText"/>
        <w:tabs>
          <w:tab w:pos="3106" w:val="left" w:leader="none"/>
        </w:tabs>
        <w:spacing w:before="139"/>
      </w:pPr>
      <w:r>
        <w:rPr/>
        <w:t>基金或本基金</w:t>
        <w:tab/>
      </w:r>
      <w:r>
        <w:rPr>
          <w:spacing w:val="4"/>
        </w:rPr>
        <w:t>指依</w:t>
      </w:r>
      <w:r>
        <w:rPr>
          <w:spacing w:val="5"/>
        </w:rPr>
        <w:t>据</w:t>
      </w:r>
      <w:r>
        <w:rPr>
          <w:spacing w:val="4"/>
        </w:rPr>
        <w:t>《基金</w:t>
      </w:r>
      <w:r>
        <w:rPr>
          <w:spacing w:val="5"/>
        </w:rPr>
        <w:t>合</w:t>
      </w:r>
      <w:r>
        <w:rPr>
          <w:spacing w:val="4"/>
        </w:rPr>
        <w:t>同》所</w:t>
      </w:r>
      <w:r>
        <w:rPr>
          <w:spacing w:val="5"/>
        </w:rPr>
        <w:t>募</w:t>
      </w:r>
      <w:r>
        <w:rPr>
          <w:spacing w:val="4"/>
        </w:rPr>
        <w:t>集的易</w:t>
      </w:r>
      <w:r>
        <w:rPr>
          <w:spacing w:val="5"/>
        </w:rPr>
        <w:t>方</w:t>
      </w:r>
      <w:r>
        <w:rPr>
          <w:spacing w:val="4"/>
        </w:rPr>
        <w:t>达黄金</w:t>
      </w:r>
      <w:r>
        <w:rPr>
          <w:spacing w:val="5"/>
        </w:rPr>
        <w:t>主</w:t>
      </w:r>
      <w:r>
        <w:rPr>
          <w:spacing w:val="4"/>
        </w:rPr>
        <w:t>题证券投</w:t>
      </w:r>
      <w:r>
        <w:rPr>
          <w:spacing w:val="5"/>
        </w:rPr>
        <w:t>资</w:t>
      </w:r>
      <w:r>
        <w:rPr>
          <w:spacing w:val="4"/>
        </w:rPr>
        <w:t>基</w:t>
      </w:r>
      <w:r>
        <w:rPr/>
        <w:t>金</w:t>
      </w:r>
    </w:p>
    <w:p>
      <w:pPr>
        <w:pStyle w:val="BodyText"/>
        <w:spacing w:before="140"/>
        <w:ind w:left="3106"/>
      </w:pPr>
      <w:r>
        <w:rPr/>
        <w:t>（LOF）</w:t>
      </w:r>
    </w:p>
    <w:p>
      <w:pPr>
        <w:pStyle w:val="BodyText"/>
        <w:spacing w:line="364" w:lineRule="auto" w:before="139"/>
        <w:ind w:left="3106" w:right="794" w:hanging="2310"/>
        <w:jc w:val="both"/>
      </w:pPr>
      <w:r>
        <w:rPr>
          <w:spacing w:val="-3"/>
        </w:rPr>
        <w:t>《招募说明书》       指《易方达黄金主题证券投资基金</w:t>
      </w:r>
      <w:r>
        <w:rPr>
          <w:spacing w:val="-5"/>
        </w:rPr>
        <w:t>（LOF）</w:t>
      </w:r>
      <w:r>
        <w:rPr>
          <w:spacing w:val="-17"/>
        </w:rPr>
        <w:t>招募说明书》，即供</w:t>
      </w:r>
      <w:r>
        <w:rPr>
          <w:spacing w:val="3"/>
        </w:rPr>
        <w:t>基金投资者选择并决定是否提出基金认购或申购申请的要约邀请文件及其更新</w:t>
      </w:r>
    </w:p>
    <w:p>
      <w:pPr>
        <w:pStyle w:val="BodyText"/>
        <w:spacing w:line="364" w:lineRule="auto"/>
        <w:ind w:left="3106" w:right="795" w:hanging="2310"/>
      </w:pPr>
      <w:r>
        <w:rPr/>
        <w:t>基金产品资料概要指《易方达黄金主题证券投资基金（LOF）基金产品资料概要》及其更新</w:t>
      </w:r>
    </w:p>
    <w:p>
      <w:pPr>
        <w:pStyle w:val="BodyText"/>
        <w:tabs>
          <w:tab w:pos="3106" w:val="left" w:leader="none"/>
        </w:tabs>
        <w:spacing w:line="364" w:lineRule="auto"/>
        <w:ind w:left="3106" w:right="794" w:hanging="2310"/>
      </w:pPr>
      <w:r>
        <w:rPr/>
        <w:t>托管协议</w:t>
        <w:tab/>
        <w:t>指基金管理人与基金托管人签订</w:t>
      </w:r>
      <w:r>
        <w:rPr>
          <w:spacing w:val="-88"/>
        </w:rPr>
        <w:t>的</w:t>
      </w:r>
      <w:r>
        <w:rPr/>
        <w:t>《易方达黄金主题证券投</w:t>
      </w:r>
      <w:r>
        <w:rPr>
          <w:spacing w:val="-16"/>
        </w:rPr>
        <w:t>资</w:t>
      </w:r>
      <w:r>
        <w:rPr/>
        <w:t>基金（LOF）托管协议》及其任何有效修订和补充</w:t>
      </w:r>
    </w:p>
    <w:p>
      <w:pPr>
        <w:pStyle w:val="BodyText"/>
        <w:tabs>
          <w:tab w:pos="3106" w:val="left" w:leader="none"/>
        </w:tabs>
        <w:spacing w:line="364" w:lineRule="auto"/>
        <w:ind w:right="585"/>
      </w:pPr>
      <w:r>
        <w:rPr/>
        <w:t>《发售公告》</w:t>
        <w:tab/>
        <w:t>指《易方达黄金主题证券投资基金（LOF）基金份额发售公告》业务规则</w:t>
        <w:tab/>
        <w:t>指易方达基金管理有限公司</w:t>
      </w:r>
      <w:r>
        <w:rPr>
          <w:spacing w:val="-88"/>
        </w:rPr>
        <w:t>、</w:t>
      </w:r>
      <w:r>
        <w:rPr/>
        <w:t>深圳证券交易所和中国证券登记</w:t>
      </w:r>
    </w:p>
    <w:p>
      <w:pPr>
        <w:pStyle w:val="BodyText"/>
        <w:spacing w:line="268" w:lineRule="exact"/>
        <w:ind w:left="3106"/>
      </w:pPr>
      <w:r>
        <w:rPr/>
        <w:t>结算有限责任公司的相关业务规则</w:t>
      </w:r>
    </w:p>
    <w:p>
      <w:pPr>
        <w:pStyle w:val="BodyText"/>
        <w:tabs>
          <w:tab w:pos="3106" w:val="left" w:leader="none"/>
        </w:tabs>
        <w:spacing w:before="136"/>
      </w:pPr>
      <w:r>
        <w:rPr/>
        <w:t>中国证监会</w:t>
        <w:tab/>
        <w:t>指中国证券监督管理委员会</w:t>
      </w:r>
    </w:p>
    <w:p>
      <w:pPr>
        <w:spacing w:after="0"/>
        <w:sectPr>
          <w:pgSz w:w="11910" w:h="16840"/>
          <w:pgMar w:header="0" w:footer="1118" w:top="1400" w:bottom="1380" w:left="1420" w:right="1000"/>
        </w:sectPr>
      </w:pPr>
    </w:p>
    <w:p>
      <w:pPr>
        <w:pStyle w:val="BodyText"/>
        <w:tabs>
          <w:tab w:pos="3106" w:val="left" w:leader="none"/>
        </w:tabs>
        <w:spacing w:line="331" w:lineRule="auto" w:before="43"/>
        <w:ind w:right="1548"/>
        <w:jc w:val="both"/>
      </w:pPr>
      <w:r>
        <w:rPr/>
        <w:t>银行监管机构   指中国银行保险监督管理委员会或其他经国务院授权的机</w:t>
      </w:r>
      <w:r>
        <w:rPr>
          <w:spacing w:val="-18"/>
        </w:rPr>
        <w:t>构</w:t>
      </w:r>
      <w:r>
        <w:rPr/>
        <w:t>国家外汇局</w:t>
        <w:tab/>
        <w:t>指国家外汇管理局或其授权的代表机构</w:t>
      </w:r>
    </w:p>
    <w:p>
      <w:pPr>
        <w:pStyle w:val="BodyText"/>
        <w:tabs>
          <w:tab w:pos="3106" w:val="left" w:leader="none"/>
        </w:tabs>
        <w:spacing w:before="36"/>
        <w:jc w:val="both"/>
      </w:pPr>
      <w:r>
        <w:rPr/>
        <w:t>基金管理人</w:t>
        <w:tab/>
        <w:t>指易方达基金管理有限公司</w:t>
      </w:r>
    </w:p>
    <w:p>
      <w:pPr>
        <w:pStyle w:val="BodyText"/>
        <w:tabs>
          <w:tab w:pos="3106" w:val="left" w:leader="none"/>
        </w:tabs>
        <w:spacing w:before="139"/>
        <w:jc w:val="both"/>
      </w:pPr>
      <w:r>
        <w:rPr/>
        <w:t>基金托管人</w:t>
        <w:tab/>
        <w:t>指中国农业银行股份有限公司</w:t>
      </w:r>
    </w:p>
    <w:p>
      <w:pPr>
        <w:pStyle w:val="BodyText"/>
        <w:tabs>
          <w:tab w:pos="3106" w:val="left" w:leader="none"/>
        </w:tabs>
        <w:spacing w:line="364" w:lineRule="auto" w:before="140"/>
        <w:ind w:left="3106" w:right="794" w:hanging="2310"/>
        <w:jc w:val="both"/>
      </w:pPr>
      <w:r>
        <w:rPr/>
        <w:t>境外托管人</w:t>
        <w:tab/>
        <w:t>指符合法律法规规定的条件</w:t>
      </w:r>
      <w:r>
        <w:rPr>
          <w:spacing w:val="-45"/>
        </w:rPr>
        <w:t>，</w:t>
      </w:r>
      <w:r>
        <w:rPr/>
        <w:t>由基金托管人委托</w:t>
      </w:r>
      <w:r>
        <w:rPr>
          <w:spacing w:val="-44"/>
        </w:rPr>
        <w:t>，</w:t>
      </w:r>
      <w:r>
        <w:rPr/>
        <w:t>并根据基</w:t>
      </w:r>
      <w:r>
        <w:rPr>
          <w:spacing w:val="-15"/>
        </w:rPr>
        <w:t>金</w:t>
      </w:r>
      <w:r>
        <w:rPr/>
        <w:t>托管人与其签订的合同</w:t>
      </w:r>
      <w:r>
        <w:rPr>
          <w:spacing w:val="-88"/>
        </w:rPr>
        <w:t>，</w:t>
      </w:r>
      <w:r>
        <w:rPr/>
        <w:t>为本基金提供境外资产托管服务的</w:t>
      </w:r>
      <w:r>
        <w:rPr>
          <w:spacing w:val="-16"/>
        </w:rPr>
        <w:t>境</w:t>
      </w:r>
      <w:r>
        <w:rPr/>
        <w:t>外金融机构</w:t>
      </w:r>
    </w:p>
    <w:p>
      <w:pPr>
        <w:pStyle w:val="BodyText"/>
        <w:tabs>
          <w:tab w:pos="3106" w:val="left" w:leader="none"/>
        </w:tabs>
        <w:spacing w:line="364" w:lineRule="auto"/>
        <w:ind w:left="3106" w:right="603" w:hanging="2310"/>
      </w:pPr>
      <w:r>
        <w:rPr/>
        <w:t>境外投资顾问</w:t>
        <w:tab/>
        <w:t>指符合法律法规规定的条件</w:t>
      </w:r>
      <w:r>
        <w:rPr>
          <w:spacing w:val="-105"/>
        </w:rPr>
        <w:t>，</w:t>
      </w:r>
      <w:r>
        <w:rPr/>
        <w:t>根据基金管理人与其签订的合同</w:t>
      </w:r>
      <w:r>
        <w:rPr>
          <w:spacing w:val="-18"/>
        </w:rPr>
        <w:t>， </w:t>
      </w:r>
      <w:r>
        <w:rPr>
          <w:spacing w:val="4"/>
        </w:rPr>
        <w:t>为本</w:t>
      </w:r>
      <w:r>
        <w:rPr>
          <w:spacing w:val="5"/>
        </w:rPr>
        <w:t>基</w:t>
      </w:r>
      <w:r>
        <w:rPr>
          <w:spacing w:val="4"/>
        </w:rPr>
        <w:t>金境外</w:t>
      </w:r>
      <w:r>
        <w:rPr>
          <w:spacing w:val="5"/>
        </w:rPr>
        <w:t>证</w:t>
      </w:r>
      <w:r>
        <w:rPr>
          <w:spacing w:val="4"/>
        </w:rPr>
        <w:t>券投资</w:t>
      </w:r>
      <w:r>
        <w:rPr>
          <w:spacing w:val="5"/>
        </w:rPr>
        <w:t>提</w:t>
      </w:r>
      <w:r>
        <w:rPr>
          <w:spacing w:val="4"/>
        </w:rPr>
        <w:t>供证券</w:t>
      </w:r>
      <w:r>
        <w:rPr>
          <w:spacing w:val="5"/>
        </w:rPr>
        <w:t>买</w:t>
      </w:r>
      <w:r>
        <w:rPr>
          <w:spacing w:val="4"/>
        </w:rPr>
        <w:t>卖建议</w:t>
      </w:r>
      <w:r>
        <w:rPr>
          <w:spacing w:val="5"/>
        </w:rPr>
        <w:t>或</w:t>
      </w:r>
      <w:r>
        <w:rPr>
          <w:spacing w:val="4"/>
        </w:rPr>
        <w:t>投资组合</w:t>
      </w:r>
      <w:r>
        <w:rPr>
          <w:spacing w:val="5"/>
        </w:rPr>
        <w:t>管</w:t>
      </w:r>
      <w:r>
        <w:rPr>
          <w:spacing w:val="4"/>
        </w:rPr>
        <w:t>理</w:t>
      </w:r>
      <w:r>
        <w:rPr/>
        <w:t>等 服务的境外金融机构</w:t>
      </w:r>
      <w:r>
        <w:rPr>
          <w:spacing w:val="-105"/>
        </w:rPr>
        <w:t>。</w:t>
      </w:r>
      <w:r>
        <w:rPr/>
        <w:t>基金管理人有权根据基金运作情况选择</w:t>
      </w:r>
      <w:r>
        <w:rPr>
          <w:spacing w:val="-18"/>
        </w:rPr>
        <w:t>、</w:t>
      </w:r>
      <w:r>
        <w:rPr/>
        <w:t>更换或撤销境外投资顾问</w:t>
      </w:r>
    </w:p>
    <w:p>
      <w:pPr>
        <w:pStyle w:val="BodyText"/>
        <w:tabs>
          <w:tab w:pos="3106" w:val="left" w:leader="none"/>
        </w:tabs>
        <w:spacing w:line="364" w:lineRule="auto"/>
        <w:ind w:left="3106" w:right="794" w:hanging="2310"/>
      </w:pPr>
      <w:r>
        <w:rPr/>
        <w:t>基金份额持有人</w:t>
        <w:tab/>
        <w:t>指根</w:t>
      </w:r>
      <w:r>
        <w:rPr>
          <w:spacing w:val="-23"/>
        </w:rPr>
        <w:t>据</w:t>
      </w:r>
      <w:r>
        <w:rPr/>
        <w:t>《招募说明书</w:t>
      </w:r>
      <w:r>
        <w:rPr>
          <w:spacing w:val="-23"/>
        </w:rPr>
        <w:t>》</w:t>
      </w:r>
      <w:r>
        <w:rPr>
          <w:spacing w:val="-22"/>
        </w:rPr>
        <w:t>和</w:t>
      </w:r>
      <w:r>
        <w:rPr/>
        <w:t>《基金合同</w:t>
      </w:r>
      <w:r>
        <w:rPr>
          <w:spacing w:val="-23"/>
        </w:rPr>
        <w:t>》</w:t>
      </w:r>
      <w:r>
        <w:rPr/>
        <w:t>及相关文件合法取得</w:t>
      </w:r>
      <w:r>
        <w:rPr>
          <w:spacing w:val="-13"/>
        </w:rPr>
        <w:t>本</w:t>
      </w:r>
      <w:r>
        <w:rPr/>
        <w:t>基金基金份额的投资者</w:t>
      </w:r>
    </w:p>
    <w:p>
      <w:pPr>
        <w:pStyle w:val="BodyText"/>
        <w:tabs>
          <w:tab w:pos="3106" w:val="left" w:leader="none"/>
        </w:tabs>
        <w:spacing w:line="364" w:lineRule="auto"/>
        <w:ind w:left="3106" w:right="794" w:hanging="2310"/>
        <w:jc w:val="both"/>
      </w:pPr>
      <w:r>
        <w:rPr/>
        <w:t>基金销售业务</w:t>
        <w:tab/>
        <w:t>指基金管理人或销售机构宣传推介基金</w:t>
      </w:r>
      <w:r>
        <w:rPr>
          <w:spacing w:val="-45"/>
        </w:rPr>
        <w:t>，</w:t>
      </w:r>
      <w:r>
        <w:rPr/>
        <w:t>发售基金份额</w:t>
      </w:r>
      <w:r>
        <w:rPr>
          <w:spacing w:val="-44"/>
        </w:rPr>
        <w:t>，</w:t>
      </w:r>
      <w:r>
        <w:rPr/>
        <w:t>办</w:t>
      </w:r>
      <w:r>
        <w:rPr>
          <w:spacing w:val="-15"/>
        </w:rPr>
        <w:t>理</w:t>
      </w:r>
      <w:r>
        <w:rPr/>
        <w:t>基金份额的申购</w:t>
      </w:r>
      <w:r>
        <w:rPr>
          <w:spacing w:val="-23"/>
        </w:rPr>
        <w:t>、</w:t>
      </w:r>
      <w:r>
        <w:rPr/>
        <w:t>赎回</w:t>
      </w:r>
      <w:r>
        <w:rPr>
          <w:spacing w:val="-23"/>
        </w:rPr>
        <w:t>、</w:t>
      </w:r>
      <w:r>
        <w:rPr/>
        <w:t>转换</w:t>
      </w:r>
      <w:r>
        <w:rPr>
          <w:spacing w:val="-22"/>
        </w:rPr>
        <w:t>、</w:t>
      </w:r>
      <w:r>
        <w:rPr/>
        <w:t>非交易过户</w:t>
      </w:r>
      <w:r>
        <w:rPr>
          <w:spacing w:val="-23"/>
        </w:rPr>
        <w:t>、</w:t>
      </w:r>
      <w:r>
        <w:rPr/>
        <w:t>转托管及定期</w:t>
      </w:r>
      <w:r>
        <w:rPr>
          <w:spacing w:val="-13"/>
        </w:rPr>
        <w:t>定</w:t>
      </w:r>
      <w:r>
        <w:rPr/>
        <w:t>额投资等业务</w:t>
      </w:r>
    </w:p>
    <w:p>
      <w:pPr>
        <w:pStyle w:val="BodyText"/>
        <w:tabs>
          <w:tab w:pos="3106" w:val="left" w:leader="none"/>
        </w:tabs>
        <w:spacing w:line="268" w:lineRule="exact"/>
        <w:jc w:val="both"/>
      </w:pPr>
      <w:r>
        <w:rPr/>
        <w:t>销售机构</w:t>
        <w:tab/>
        <w:t>指基金管理人及非直销销售机构</w:t>
      </w:r>
    </w:p>
    <w:p>
      <w:pPr>
        <w:pStyle w:val="BodyText"/>
        <w:tabs>
          <w:tab w:pos="3106" w:val="left" w:leader="none"/>
        </w:tabs>
        <w:spacing w:before="135"/>
        <w:jc w:val="both"/>
      </w:pPr>
      <w:r>
        <w:rPr/>
        <w:t>直销机构</w:t>
        <w:tab/>
        <w:t>指易方达基金管理有限公司</w:t>
      </w:r>
    </w:p>
    <w:p>
      <w:pPr>
        <w:pStyle w:val="BodyText"/>
        <w:spacing w:line="364" w:lineRule="auto" w:before="139"/>
        <w:ind w:left="3106" w:right="794" w:hanging="2310"/>
        <w:jc w:val="both"/>
      </w:pPr>
      <w:r>
        <w:rPr>
          <w:spacing w:val="-6"/>
        </w:rPr>
        <w:t>非直销销售机构       指符合《销售办法》和中国证监会规定的其他条件，取得基金</w:t>
      </w:r>
      <w:r>
        <w:rPr>
          <w:spacing w:val="-5"/>
        </w:rPr>
        <w:t>销售业务资格并与基金管理人签订了基金销售服务协议，办理</w:t>
      </w:r>
      <w:r>
        <w:rPr/>
        <w:t>基金销售业务的机构</w:t>
      </w:r>
    </w:p>
    <w:p>
      <w:pPr>
        <w:pStyle w:val="BodyText"/>
        <w:tabs>
          <w:tab w:pos="3106" w:val="left" w:leader="none"/>
        </w:tabs>
        <w:spacing w:line="364" w:lineRule="auto"/>
        <w:ind w:left="3106" w:right="794" w:hanging="2310"/>
        <w:jc w:val="both"/>
      </w:pPr>
      <w:r>
        <w:rPr/>
        <w:t>登记结算业务</w:t>
        <w:tab/>
        <w:t>指基金登记</w:t>
      </w:r>
      <w:r>
        <w:rPr>
          <w:spacing w:val="-30"/>
        </w:rPr>
        <w:t>、</w:t>
      </w:r>
      <w:r>
        <w:rPr/>
        <w:t>存管</w:t>
      </w:r>
      <w:r>
        <w:rPr>
          <w:spacing w:val="-30"/>
        </w:rPr>
        <w:t>、</w:t>
      </w:r>
      <w:r>
        <w:rPr/>
        <w:t>清算和交收业务</w:t>
      </w:r>
      <w:r>
        <w:rPr>
          <w:spacing w:val="-30"/>
        </w:rPr>
        <w:t>，</w:t>
      </w:r>
      <w:r>
        <w:rPr/>
        <w:t>具体内容包括投资者</w:t>
      </w:r>
      <w:r>
        <w:rPr>
          <w:spacing w:val="-14"/>
        </w:rPr>
        <w:t>基</w:t>
      </w:r>
      <w:r>
        <w:rPr/>
        <w:t>金账户管理</w:t>
      </w:r>
      <w:r>
        <w:rPr>
          <w:spacing w:val="-30"/>
        </w:rPr>
        <w:t>、</w:t>
      </w:r>
      <w:r>
        <w:rPr/>
        <w:t>基金份额登记结算</w:t>
      </w:r>
      <w:r>
        <w:rPr>
          <w:spacing w:val="-30"/>
        </w:rPr>
        <w:t>、</w:t>
      </w:r>
      <w:r>
        <w:rPr/>
        <w:t>清算及基金交易确认</w:t>
      </w:r>
      <w:r>
        <w:rPr>
          <w:spacing w:val="-30"/>
        </w:rPr>
        <w:t>、</w:t>
      </w:r>
      <w:r>
        <w:rPr/>
        <w:t>发</w:t>
      </w:r>
      <w:r>
        <w:rPr>
          <w:spacing w:val="-14"/>
        </w:rPr>
        <w:t>放</w:t>
      </w:r>
      <w:r>
        <w:rPr/>
        <w:t>红利、建立并保管基金份额持有人名册等</w:t>
      </w:r>
    </w:p>
    <w:p>
      <w:pPr>
        <w:pStyle w:val="BodyText"/>
        <w:tabs>
          <w:tab w:pos="3106" w:val="left" w:leader="none"/>
        </w:tabs>
        <w:spacing w:line="364" w:lineRule="auto"/>
        <w:ind w:left="3106" w:right="654" w:hanging="2310"/>
      </w:pPr>
      <w:r>
        <w:rPr/>
        <w:t>基金登记结算机构</w:t>
        <w:tab/>
      </w:r>
      <w:r>
        <w:rPr>
          <w:spacing w:val="4"/>
        </w:rPr>
        <w:t>指易</w:t>
      </w:r>
      <w:r>
        <w:rPr>
          <w:spacing w:val="5"/>
        </w:rPr>
        <w:t>方</w:t>
      </w:r>
      <w:r>
        <w:rPr>
          <w:spacing w:val="4"/>
        </w:rPr>
        <w:t>达基金</w:t>
      </w:r>
      <w:r>
        <w:rPr>
          <w:spacing w:val="5"/>
        </w:rPr>
        <w:t>管</w:t>
      </w:r>
      <w:r>
        <w:rPr>
          <w:spacing w:val="4"/>
        </w:rPr>
        <w:t>理有限</w:t>
      </w:r>
      <w:r>
        <w:rPr>
          <w:spacing w:val="5"/>
        </w:rPr>
        <w:t>公</w:t>
      </w:r>
      <w:r>
        <w:rPr>
          <w:spacing w:val="4"/>
        </w:rPr>
        <w:t>司或其</w:t>
      </w:r>
      <w:r>
        <w:rPr>
          <w:spacing w:val="5"/>
        </w:rPr>
        <w:t>委</w:t>
      </w:r>
      <w:r>
        <w:rPr>
          <w:spacing w:val="4"/>
        </w:rPr>
        <w:t>托的其</w:t>
      </w:r>
      <w:r>
        <w:rPr>
          <w:spacing w:val="5"/>
        </w:rPr>
        <w:t>他</w:t>
      </w:r>
      <w:r>
        <w:rPr>
          <w:spacing w:val="4"/>
        </w:rPr>
        <w:t>符合条件</w:t>
      </w:r>
      <w:r>
        <w:rPr>
          <w:spacing w:val="5"/>
        </w:rPr>
        <w:t>的</w:t>
      </w:r>
      <w:r>
        <w:rPr>
          <w:spacing w:val="4"/>
        </w:rPr>
        <w:t>办</w:t>
      </w:r>
      <w:r>
        <w:rPr/>
        <w:t>理基金登记结算业务的机构</w:t>
      </w:r>
      <w:r>
        <w:rPr>
          <w:spacing w:val="-88"/>
        </w:rPr>
        <w:t>。</w:t>
      </w:r>
      <w:r>
        <w:rPr/>
        <w:t>本基金</w:t>
      </w:r>
      <w:r>
        <w:rPr>
          <w:spacing w:val="-53"/>
        </w:rPr>
        <w:t> </w:t>
      </w:r>
      <w:r>
        <w:rPr/>
        <w:t>A</w:t>
      </w:r>
      <w:r>
        <w:rPr>
          <w:spacing w:val="-53"/>
        </w:rPr>
        <w:t> </w:t>
      </w:r>
      <w:r>
        <w:rPr/>
        <w:t>类人民币份额的基金登记结算机构为中国证券登记结算有限责任公司，A</w:t>
      </w:r>
      <w:r>
        <w:rPr>
          <w:spacing w:val="-53"/>
        </w:rPr>
        <w:t> </w:t>
      </w:r>
      <w:r>
        <w:rPr/>
        <w:t>类美元份额、</w:t>
      </w:r>
      <w:r>
        <w:rPr>
          <w:spacing w:val="-16"/>
        </w:rPr>
        <w:t>C </w:t>
      </w:r>
      <w:r>
        <w:rPr/>
        <w:t>类美元份额</w:t>
      </w:r>
      <w:r>
        <w:rPr>
          <w:spacing w:val="-36"/>
        </w:rPr>
        <w:t>、</w:t>
      </w:r>
      <w:r>
        <w:rPr/>
        <w:t>C</w:t>
      </w:r>
      <w:r>
        <w:rPr>
          <w:spacing w:val="-53"/>
        </w:rPr>
        <w:t> </w:t>
      </w:r>
      <w:r>
        <w:rPr/>
        <w:t>类人民币份额的登记结算机构为易方达基金管理有限公司</w:t>
      </w:r>
    </w:p>
    <w:p>
      <w:pPr>
        <w:pStyle w:val="BodyText"/>
        <w:spacing w:line="364" w:lineRule="auto"/>
        <w:ind w:left="3106" w:right="794" w:hanging="2310"/>
        <w:jc w:val="both"/>
      </w:pPr>
      <w:r>
        <w:rPr>
          <w:spacing w:val="-7"/>
        </w:rPr>
        <w:t>基金合同当事人       指受《基金合同》约束，根据《基金合同》享受权利并承担义</w:t>
      </w:r>
      <w:r>
        <w:rPr>
          <w:spacing w:val="-11"/>
        </w:rPr>
        <w:t>务的法律主体，包括基金管理人、基金托管人和基金份额持有</w:t>
      </w:r>
      <w:r>
        <w:rPr/>
        <w:t>人</w:t>
      </w:r>
    </w:p>
    <w:p>
      <w:pPr>
        <w:pStyle w:val="BodyText"/>
        <w:tabs>
          <w:tab w:pos="3106" w:val="left" w:leader="none"/>
        </w:tabs>
        <w:spacing w:line="364" w:lineRule="auto"/>
        <w:ind w:left="3106" w:right="794" w:hanging="2310"/>
        <w:jc w:val="both"/>
      </w:pPr>
      <w:r>
        <w:rPr/>
        <w:t>个人投资者</w:t>
        <w:tab/>
      </w:r>
      <w:r>
        <w:rPr>
          <w:spacing w:val="4"/>
        </w:rPr>
        <w:t>指符</w:t>
      </w:r>
      <w:r>
        <w:rPr>
          <w:spacing w:val="5"/>
        </w:rPr>
        <w:t>合</w:t>
      </w:r>
      <w:r>
        <w:rPr>
          <w:spacing w:val="4"/>
        </w:rPr>
        <w:t>法律法</w:t>
      </w:r>
      <w:r>
        <w:rPr>
          <w:spacing w:val="5"/>
        </w:rPr>
        <w:t>规</w:t>
      </w:r>
      <w:r>
        <w:rPr>
          <w:spacing w:val="4"/>
        </w:rPr>
        <w:t>规定的</w:t>
      </w:r>
      <w:r>
        <w:rPr>
          <w:spacing w:val="5"/>
        </w:rPr>
        <w:t>条</w:t>
      </w:r>
      <w:r>
        <w:rPr>
          <w:spacing w:val="4"/>
        </w:rPr>
        <w:t>件可以</w:t>
      </w:r>
      <w:r>
        <w:rPr>
          <w:spacing w:val="5"/>
        </w:rPr>
        <w:t>投</w:t>
      </w:r>
      <w:r>
        <w:rPr>
          <w:spacing w:val="4"/>
        </w:rPr>
        <w:t>资开放</w:t>
      </w:r>
      <w:r>
        <w:rPr>
          <w:spacing w:val="5"/>
        </w:rPr>
        <w:t>式</w:t>
      </w:r>
      <w:r>
        <w:rPr>
          <w:spacing w:val="4"/>
        </w:rPr>
        <w:t>证券投资</w:t>
      </w:r>
      <w:r>
        <w:rPr>
          <w:spacing w:val="5"/>
        </w:rPr>
        <w:t>基</w:t>
      </w:r>
      <w:r>
        <w:rPr>
          <w:spacing w:val="4"/>
        </w:rPr>
        <w:t>金</w:t>
      </w:r>
      <w:r>
        <w:rPr/>
        <w:t>的自然人</w:t>
      </w:r>
    </w:p>
    <w:p>
      <w:pPr>
        <w:spacing w:after="0" w:line="364" w:lineRule="auto"/>
        <w:jc w:val="both"/>
        <w:sectPr>
          <w:pgSz w:w="11910" w:h="16840"/>
          <w:pgMar w:header="0" w:footer="1118" w:top="1480" w:bottom="1380" w:left="1420" w:right="1000"/>
        </w:sectPr>
      </w:pPr>
    </w:p>
    <w:p>
      <w:pPr>
        <w:pStyle w:val="BodyText"/>
        <w:tabs>
          <w:tab w:pos="3106" w:val="left" w:leader="none"/>
        </w:tabs>
        <w:spacing w:line="364" w:lineRule="auto" w:before="45"/>
        <w:ind w:left="3106" w:right="794" w:hanging="2310"/>
        <w:jc w:val="both"/>
      </w:pPr>
      <w:r>
        <w:rPr/>
        <w:t>机构投资者</w:t>
        <w:tab/>
      </w:r>
      <w:r>
        <w:rPr>
          <w:spacing w:val="4"/>
        </w:rPr>
        <w:t>指符</w:t>
      </w:r>
      <w:r>
        <w:rPr>
          <w:spacing w:val="5"/>
        </w:rPr>
        <w:t>合</w:t>
      </w:r>
      <w:r>
        <w:rPr>
          <w:spacing w:val="4"/>
        </w:rPr>
        <w:t>法律法</w:t>
      </w:r>
      <w:r>
        <w:rPr>
          <w:spacing w:val="5"/>
        </w:rPr>
        <w:t>规</w:t>
      </w:r>
      <w:r>
        <w:rPr>
          <w:spacing w:val="4"/>
        </w:rPr>
        <w:t>规定可</w:t>
      </w:r>
      <w:r>
        <w:rPr>
          <w:spacing w:val="5"/>
        </w:rPr>
        <w:t>以</w:t>
      </w:r>
      <w:r>
        <w:rPr>
          <w:spacing w:val="4"/>
        </w:rPr>
        <w:t>投资开</w:t>
      </w:r>
      <w:r>
        <w:rPr>
          <w:spacing w:val="5"/>
        </w:rPr>
        <w:t>放</w:t>
      </w:r>
      <w:r>
        <w:rPr>
          <w:spacing w:val="4"/>
        </w:rPr>
        <w:t>式证券</w:t>
      </w:r>
      <w:r>
        <w:rPr>
          <w:spacing w:val="5"/>
        </w:rPr>
        <w:t>投</w:t>
      </w:r>
      <w:r>
        <w:rPr>
          <w:spacing w:val="4"/>
        </w:rPr>
        <w:t>资基金的</w:t>
      </w:r>
      <w:r>
        <w:rPr>
          <w:spacing w:val="5"/>
        </w:rPr>
        <w:t>在</w:t>
      </w:r>
      <w:r>
        <w:rPr>
          <w:spacing w:val="4"/>
        </w:rPr>
        <w:t>中</w:t>
      </w:r>
      <w:r>
        <w:rPr/>
        <w:t>国</w:t>
      </w:r>
      <w:r>
        <w:rPr>
          <w:spacing w:val="4"/>
        </w:rPr>
        <w:t>合法</w:t>
      </w:r>
      <w:r>
        <w:rPr>
          <w:spacing w:val="5"/>
        </w:rPr>
        <w:t>注</w:t>
      </w:r>
      <w:r>
        <w:rPr>
          <w:spacing w:val="4"/>
        </w:rPr>
        <w:t>册登记</w:t>
      </w:r>
      <w:r>
        <w:rPr>
          <w:spacing w:val="5"/>
        </w:rPr>
        <w:t>并</w:t>
      </w:r>
      <w:r>
        <w:rPr>
          <w:spacing w:val="4"/>
        </w:rPr>
        <w:t>存续或</w:t>
      </w:r>
      <w:r>
        <w:rPr>
          <w:spacing w:val="5"/>
        </w:rPr>
        <w:t>经</w:t>
      </w:r>
      <w:r>
        <w:rPr>
          <w:spacing w:val="4"/>
        </w:rPr>
        <w:t>政府有</w:t>
      </w:r>
      <w:r>
        <w:rPr>
          <w:spacing w:val="5"/>
        </w:rPr>
        <w:t>关</w:t>
      </w:r>
      <w:r>
        <w:rPr>
          <w:spacing w:val="4"/>
        </w:rPr>
        <w:t>部门批</w:t>
      </w:r>
      <w:r>
        <w:rPr>
          <w:spacing w:val="5"/>
        </w:rPr>
        <w:t>准</w:t>
      </w:r>
      <w:r>
        <w:rPr>
          <w:spacing w:val="4"/>
        </w:rPr>
        <w:t>设立并存</w:t>
      </w:r>
      <w:r>
        <w:rPr>
          <w:spacing w:val="5"/>
        </w:rPr>
        <w:t>续</w:t>
      </w:r>
      <w:r>
        <w:rPr>
          <w:spacing w:val="4"/>
        </w:rPr>
        <w:t>的</w:t>
      </w:r>
      <w:r>
        <w:rPr/>
        <w:t>企业法人、事业法人、社会团体和其他组织</w:t>
      </w:r>
    </w:p>
    <w:p>
      <w:pPr>
        <w:pStyle w:val="BodyText"/>
        <w:tabs>
          <w:tab w:pos="3106" w:val="left" w:leader="none"/>
        </w:tabs>
        <w:spacing w:line="364" w:lineRule="auto"/>
        <w:ind w:left="3106" w:right="794" w:hanging="2310"/>
        <w:jc w:val="both"/>
      </w:pPr>
      <w:r>
        <w:rPr/>
        <w:t>投资者</w:t>
        <w:tab/>
        <w:t>指个人投资者</w:t>
      </w:r>
      <w:r>
        <w:rPr>
          <w:spacing w:val="-88"/>
        </w:rPr>
        <w:t>、</w:t>
      </w:r>
      <w:r>
        <w:rPr/>
        <w:t>机构投资者和法律法规或中国证监会允许购</w:t>
      </w:r>
      <w:r>
        <w:rPr>
          <w:spacing w:val="-16"/>
        </w:rPr>
        <w:t>买</w:t>
      </w:r>
      <w:r>
        <w:rPr/>
        <w:t>开放式证券投资基金的其他投资者的总称</w:t>
      </w:r>
    </w:p>
    <w:p>
      <w:pPr>
        <w:pStyle w:val="BodyText"/>
        <w:spacing w:line="364" w:lineRule="auto"/>
        <w:ind w:left="3106" w:right="794" w:hanging="2310"/>
        <w:jc w:val="both"/>
      </w:pPr>
      <w:r>
        <w:rPr>
          <w:spacing w:val="-6"/>
        </w:rPr>
        <w:t>基金合同生效日       基金募集结束，基金募集的基金份额总额、募集金额和基金份</w:t>
      </w:r>
      <w:r>
        <w:rPr>
          <w:spacing w:val="-7"/>
        </w:rPr>
        <w:t>额持有人人数达到法律规定及《基金合同》约定的条件，基金</w:t>
      </w:r>
      <w:r>
        <w:rPr>
          <w:spacing w:val="-5"/>
        </w:rPr>
        <w:t>管理人聘请法定机构验资并办理完毕基金备案手续，获得中国</w:t>
      </w:r>
      <w:r>
        <w:rPr/>
        <w:t>证监会书面确认之日</w:t>
      </w:r>
    </w:p>
    <w:p>
      <w:pPr>
        <w:pStyle w:val="BodyText"/>
        <w:tabs>
          <w:tab w:pos="3106" w:val="left" w:leader="none"/>
        </w:tabs>
        <w:spacing w:line="364" w:lineRule="auto"/>
        <w:ind w:left="3106" w:right="794" w:hanging="2310"/>
        <w:jc w:val="both"/>
      </w:pPr>
      <w:r>
        <w:rPr/>
        <w:t>基金募集期</w:t>
        <w:tab/>
        <w:t>指基金合同和招募说明书中载明</w:t>
      </w:r>
      <w:r>
        <w:rPr>
          <w:spacing w:val="-88"/>
        </w:rPr>
        <w:t>，</w:t>
      </w:r>
      <w:r>
        <w:rPr/>
        <w:t>并经中国证监会核准的基</w:t>
      </w:r>
      <w:r>
        <w:rPr>
          <w:spacing w:val="-16"/>
        </w:rPr>
        <w:t>金</w:t>
      </w:r>
      <w:r>
        <w:rPr/>
        <w:t>份额募集期限，自基金份额发售之日起不超过</w:t>
      </w:r>
      <w:r>
        <w:rPr>
          <w:spacing w:val="-53"/>
        </w:rPr>
        <w:t> </w:t>
      </w:r>
      <w:r>
        <w:rPr/>
        <w:t>3</w:t>
      </w:r>
      <w:r>
        <w:rPr>
          <w:spacing w:val="-53"/>
        </w:rPr>
        <w:t> </w:t>
      </w:r>
      <w:r>
        <w:rPr/>
        <w:t>个月的期限</w:t>
      </w:r>
    </w:p>
    <w:p>
      <w:pPr>
        <w:pStyle w:val="BodyText"/>
        <w:tabs>
          <w:tab w:pos="3106" w:val="left" w:leader="none"/>
        </w:tabs>
        <w:spacing w:line="364" w:lineRule="auto"/>
        <w:ind w:right="2178"/>
        <w:jc w:val="both"/>
      </w:pPr>
      <w:r>
        <w:rPr/>
        <w:t>基金存续期</w:t>
        <w:tab/>
        <w:t>指《基金合同》生效后合法存续的不定期期</w:t>
      </w:r>
      <w:r>
        <w:rPr>
          <w:spacing w:val="-18"/>
        </w:rPr>
        <w:t>限</w:t>
      </w:r>
      <w:r>
        <w:rPr/>
        <w:t>日/天</w:t>
        <w:tab/>
        <w:t>指公历日</w:t>
      </w:r>
    </w:p>
    <w:p>
      <w:pPr>
        <w:pStyle w:val="BodyText"/>
        <w:tabs>
          <w:tab w:pos="3106" w:val="left" w:leader="none"/>
        </w:tabs>
        <w:spacing w:line="268" w:lineRule="exact"/>
        <w:jc w:val="both"/>
      </w:pPr>
      <w:r>
        <w:rPr/>
        <w:t>月</w:t>
        <w:tab/>
        <w:t>指公历月</w:t>
      </w:r>
    </w:p>
    <w:p>
      <w:pPr>
        <w:pStyle w:val="BodyText"/>
        <w:tabs>
          <w:tab w:pos="3106" w:val="left" w:leader="none"/>
        </w:tabs>
        <w:spacing w:before="134"/>
      </w:pPr>
      <w:r>
        <w:rPr/>
        <w:t>工作日/交易日</w:t>
        <w:tab/>
        <w:t>指上海证券交易所和深圳证券交易所的正常交易日</w:t>
      </w:r>
    </w:p>
    <w:p>
      <w:pPr>
        <w:pStyle w:val="BodyText"/>
        <w:tabs>
          <w:tab w:pos="3106" w:val="left" w:leader="none"/>
        </w:tabs>
        <w:spacing w:line="364" w:lineRule="auto" w:before="140"/>
        <w:ind w:left="3106" w:right="794" w:hanging="2310"/>
      </w:pPr>
      <w:r>
        <w:rPr/>
        <w:t>开放日</w:t>
        <w:tab/>
        <w:t>指销售机构为投资者办理本基金份额申购</w:t>
      </w:r>
      <w:r>
        <w:rPr>
          <w:spacing w:val="-88"/>
        </w:rPr>
        <w:t>、</w:t>
      </w:r>
      <w:r>
        <w:rPr/>
        <w:t>赎回等业务的工</w:t>
      </w:r>
      <w:r>
        <w:rPr>
          <w:spacing w:val="-16"/>
        </w:rPr>
        <w:t>作</w:t>
      </w:r>
      <w:r>
        <w:rPr/>
        <w:t>日</w:t>
      </w:r>
    </w:p>
    <w:p>
      <w:pPr>
        <w:pStyle w:val="BodyText"/>
        <w:tabs>
          <w:tab w:pos="3106" w:val="left" w:leader="none"/>
        </w:tabs>
        <w:spacing w:line="268" w:lineRule="exact"/>
      </w:pPr>
      <w:r>
        <w:rPr/>
        <w:t>T</w:t>
      </w:r>
      <w:r>
        <w:rPr>
          <w:spacing w:val="-53"/>
        </w:rPr>
        <w:t> </w:t>
      </w:r>
      <w:r>
        <w:rPr/>
        <w:t>日</w:t>
        <w:tab/>
        <w:t>指申购、赎回或办理其他基金业务的申请日</w:t>
      </w:r>
    </w:p>
    <w:p>
      <w:pPr>
        <w:pStyle w:val="BodyText"/>
        <w:tabs>
          <w:tab w:pos="3106" w:val="left" w:leader="none"/>
        </w:tabs>
        <w:spacing w:before="139"/>
      </w:pPr>
      <w:r>
        <w:rPr/>
        <w:t>T+n</w:t>
      </w:r>
      <w:r>
        <w:rPr>
          <w:spacing w:val="-53"/>
        </w:rPr>
        <w:t> </w:t>
      </w:r>
      <w:r>
        <w:rPr/>
        <w:t>日</w:t>
        <w:tab/>
        <w:t>指自</w:t>
      </w:r>
      <w:r>
        <w:rPr>
          <w:spacing w:val="-53"/>
        </w:rPr>
        <w:t> </w:t>
      </w:r>
      <w:r>
        <w:rPr/>
        <w:t>T</w:t>
      </w:r>
      <w:r>
        <w:rPr>
          <w:spacing w:val="-53"/>
        </w:rPr>
        <w:t> </w:t>
      </w:r>
      <w:r>
        <w:rPr/>
        <w:t>日起第</w:t>
      </w:r>
      <w:r>
        <w:rPr>
          <w:spacing w:val="-53"/>
        </w:rPr>
        <w:t> </w:t>
      </w:r>
      <w:r>
        <w:rPr/>
        <w:t>n</w:t>
      </w:r>
      <w:r>
        <w:rPr>
          <w:spacing w:val="-53"/>
        </w:rPr>
        <w:t> </w:t>
      </w:r>
      <w:r>
        <w:rPr/>
        <w:t>个工作日（不包含</w:t>
      </w:r>
      <w:r>
        <w:rPr>
          <w:spacing w:val="-53"/>
        </w:rPr>
        <w:t> </w:t>
      </w:r>
      <w:r>
        <w:rPr/>
        <w:t>T</w:t>
      </w:r>
      <w:r>
        <w:rPr>
          <w:spacing w:val="-53"/>
        </w:rPr>
        <w:t> </w:t>
      </w:r>
      <w:r>
        <w:rPr/>
        <w:t>日</w:t>
      </w:r>
      <w:r>
        <w:rPr>
          <w:spacing w:val="-105"/>
        </w:rPr>
        <w:t>）</w:t>
      </w:r>
      <w:r>
        <w:rPr/>
        <w:t>，n</w:t>
      </w:r>
      <w:r>
        <w:rPr>
          <w:spacing w:val="-53"/>
        </w:rPr>
        <w:t> </w:t>
      </w:r>
      <w:r>
        <w:rPr/>
        <w:t>指自然数</w:t>
      </w:r>
    </w:p>
    <w:p>
      <w:pPr>
        <w:pStyle w:val="BodyText"/>
        <w:tabs>
          <w:tab w:pos="3106" w:val="left" w:leader="none"/>
        </w:tabs>
        <w:spacing w:line="364" w:lineRule="auto" w:before="140"/>
        <w:ind w:left="3106" w:right="794" w:hanging="2310"/>
      </w:pPr>
      <w:r>
        <w:rPr/>
        <w:t>认购</w:t>
        <w:tab/>
        <w:t>指在本基金募集期内投资者按照本基金合同</w:t>
      </w:r>
      <w:r>
        <w:rPr>
          <w:spacing w:val="-45"/>
        </w:rPr>
        <w:t>、</w:t>
      </w:r>
      <w:r>
        <w:rPr/>
        <w:t>招募说明书</w:t>
      </w:r>
      <w:r>
        <w:rPr>
          <w:spacing w:val="-44"/>
        </w:rPr>
        <w:t>、</w:t>
      </w:r>
      <w:r>
        <w:rPr>
          <w:spacing w:val="-15"/>
        </w:rPr>
        <w:t>业</w:t>
      </w:r>
      <w:r>
        <w:rPr/>
        <w:t>务规则和其他相关规定，申请购买本基金基金份额的行为</w:t>
      </w:r>
    </w:p>
    <w:p>
      <w:pPr>
        <w:pStyle w:val="BodyText"/>
        <w:tabs>
          <w:tab w:pos="3106" w:val="left" w:leader="none"/>
        </w:tabs>
        <w:spacing w:line="364" w:lineRule="auto"/>
        <w:ind w:left="3106" w:right="794" w:hanging="2310"/>
      </w:pPr>
      <w:r>
        <w:rPr/>
        <w:t>发售</w:t>
        <w:tab/>
        <w:t>指在本基金募集期内</w:t>
      </w:r>
      <w:r>
        <w:rPr>
          <w:spacing w:val="-88"/>
        </w:rPr>
        <w:t>，</w:t>
      </w:r>
      <w:r>
        <w:rPr/>
        <w:t>销售机构向投资者销售本基金基金份</w:t>
      </w:r>
      <w:r>
        <w:rPr>
          <w:spacing w:val="-16"/>
        </w:rPr>
        <w:t>额</w:t>
      </w:r>
      <w:r>
        <w:rPr/>
        <w:t>的行为</w:t>
      </w:r>
    </w:p>
    <w:p>
      <w:pPr>
        <w:pStyle w:val="BodyText"/>
        <w:tabs>
          <w:tab w:pos="3106" w:val="left" w:leader="none"/>
        </w:tabs>
        <w:spacing w:line="364" w:lineRule="auto"/>
        <w:ind w:left="3106" w:right="689" w:hanging="2310"/>
      </w:pPr>
      <w:r>
        <w:rPr/>
        <w:t>申购</w:t>
        <w:tab/>
      </w:r>
      <w:r>
        <w:rPr>
          <w:spacing w:val="-49"/>
        </w:rPr>
        <w:t>指</w:t>
      </w:r>
      <w:r>
        <w:rPr/>
        <w:t>《基金合同</w:t>
      </w:r>
      <w:r>
        <w:rPr>
          <w:spacing w:val="-49"/>
        </w:rPr>
        <w:t>》</w:t>
      </w:r>
      <w:r>
        <w:rPr/>
        <w:t>生效后</w:t>
      </w:r>
      <w:r>
        <w:rPr>
          <w:spacing w:val="-49"/>
        </w:rPr>
        <w:t>，</w:t>
      </w:r>
      <w:r>
        <w:rPr/>
        <w:t>投资者按照本基金合同</w:t>
      </w:r>
      <w:r>
        <w:rPr>
          <w:spacing w:val="-49"/>
        </w:rPr>
        <w:t>、</w:t>
      </w:r>
      <w:r>
        <w:rPr/>
        <w:t>招募说明书</w:t>
      </w:r>
      <w:r>
        <w:rPr>
          <w:spacing w:val="-13"/>
        </w:rPr>
        <w:t>、</w:t>
      </w:r>
      <w:r>
        <w:rPr/>
        <w:t>业务规则以及销售机构规定的手续</w:t>
      </w:r>
      <w:r>
        <w:rPr>
          <w:spacing w:val="-88"/>
        </w:rPr>
        <w:t>，</w:t>
      </w:r>
      <w:r>
        <w:rPr/>
        <w:t>向基金管理人申请购买本基金基金份额的行为</w:t>
      </w:r>
      <w:r>
        <w:rPr>
          <w:spacing w:val="-30"/>
        </w:rPr>
        <w:t>。</w:t>
      </w:r>
      <w:r>
        <w:rPr/>
        <w:t>本基金的日常申购</w:t>
      </w:r>
      <w:r>
        <w:rPr>
          <w:spacing w:val="-30"/>
        </w:rPr>
        <w:t>自</w:t>
      </w:r>
      <w:r>
        <w:rPr/>
        <w:t>《基金合同</w:t>
      </w:r>
      <w:r>
        <w:rPr>
          <w:spacing w:val="-30"/>
        </w:rPr>
        <w:t>》</w:t>
      </w:r>
      <w:r>
        <w:rPr/>
        <w:t>生效后不超过</w:t>
      </w:r>
      <w:r>
        <w:rPr>
          <w:spacing w:val="-53"/>
        </w:rPr>
        <w:t> </w:t>
      </w:r>
      <w:r>
        <w:rPr/>
        <w:t>3</w:t>
      </w:r>
      <w:r>
        <w:rPr>
          <w:spacing w:val="-53"/>
        </w:rPr>
        <w:t> </w:t>
      </w:r>
      <w:r>
        <w:rPr/>
        <w:t>个月的时间开始办理</w:t>
      </w:r>
    </w:p>
    <w:p>
      <w:pPr>
        <w:pStyle w:val="BodyText"/>
        <w:tabs>
          <w:tab w:pos="3106" w:val="left" w:leader="none"/>
        </w:tabs>
        <w:spacing w:line="364" w:lineRule="auto"/>
        <w:ind w:left="3106" w:right="794" w:hanging="2310"/>
        <w:jc w:val="both"/>
      </w:pPr>
      <w:r>
        <w:rPr/>
        <w:t>赎回</w:t>
        <w:tab/>
      </w:r>
      <w:r>
        <w:rPr>
          <w:spacing w:val="-23"/>
        </w:rPr>
        <w:t>指</w:t>
      </w:r>
      <w:r>
        <w:rPr/>
        <w:t>《基金合同</w:t>
      </w:r>
      <w:r>
        <w:rPr>
          <w:spacing w:val="-23"/>
        </w:rPr>
        <w:t>》</w:t>
      </w:r>
      <w:r>
        <w:rPr/>
        <w:t>生效后</w:t>
      </w:r>
      <w:r>
        <w:rPr>
          <w:spacing w:val="-22"/>
        </w:rPr>
        <w:t>，</w:t>
      </w:r>
      <w:r>
        <w:rPr/>
        <w:t>基金份额持有人根据基金合同</w:t>
      </w:r>
      <w:r>
        <w:rPr>
          <w:spacing w:val="-23"/>
        </w:rPr>
        <w:t>、</w:t>
      </w:r>
      <w:r>
        <w:rPr/>
        <w:t>招</w:t>
      </w:r>
      <w:r>
        <w:rPr>
          <w:spacing w:val="-13"/>
        </w:rPr>
        <w:t>募</w:t>
      </w:r>
      <w:r>
        <w:rPr/>
        <w:t>说明书和业务规则以及销售机构规定的手续</w:t>
      </w:r>
      <w:r>
        <w:rPr>
          <w:spacing w:val="-88"/>
        </w:rPr>
        <w:t>，</w:t>
      </w:r>
      <w:r>
        <w:rPr/>
        <w:t>向基金管理人</w:t>
      </w:r>
      <w:r>
        <w:rPr>
          <w:spacing w:val="-16"/>
        </w:rPr>
        <w:t>卖</w:t>
      </w:r>
      <w:r>
        <w:rPr/>
        <w:t>出基金份额的行为</w:t>
      </w:r>
      <w:r>
        <w:rPr>
          <w:spacing w:val="-30"/>
        </w:rPr>
        <w:t>。</w:t>
      </w:r>
      <w:r>
        <w:rPr/>
        <w:t>本基金的日常赎回</w:t>
      </w:r>
      <w:r>
        <w:rPr>
          <w:spacing w:val="-30"/>
        </w:rPr>
        <w:t>自</w:t>
      </w:r>
      <w:r>
        <w:rPr/>
        <w:t>《基金合同</w:t>
      </w:r>
      <w:r>
        <w:rPr>
          <w:spacing w:val="-30"/>
        </w:rPr>
        <w:t>》</w:t>
      </w:r>
      <w:r>
        <w:rPr/>
        <w:t>生效</w:t>
      </w:r>
      <w:r>
        <w:rPr>
          <w:spacing w:val="-14"/>
        </w:rPr>
        <w:t>后</w:t>
      </w:r>
      <w:r>
        <w:rPr/>
        <w:t>不超过</w:t>
      </w:r>
      <w:r>
        <w:rPr>
          <w:spacing w:val="-53"/>
        </w:rPr>
        <w:t> </w:t>
      </w:r>
      <w:r>
        <w:rPr/>
        <w:t>3</w:t>
      </w:r>
      <w:r>
        <w:rPr>
          <w:spacing w:val="-53"/>
        </w:rPr>
        <w:t> </w:t>
      </w:r>
      <w:r>
        <w:rPr/>
        <w:t>个月的时间开始办理</w:t>
      </w:r>
    </w:p>
    <w:p>
      <w:pPr>
        <w:pStyle w:val="BodyText"/>
        <w:tabs>
          <w:tab w:pos="3106" w:val="left" w:leader="none"/>
        </w:tabs>
        <w:spacing w:line="364" w:lineRule="auto"/>
        <w:ind w:left="3106" w:right="794" w:hanging="2310"/>
        <w:jc w:val="both"/>
      </w:pPr>
      <w:r>
        <w:rPr/>
        <w:t>巨额赎回</w:t>
        <w:tab/>
        <w:t>指在单个开放日</w:t>
      </w:r>
      <w:r>
        <w:rPr>
          <w:spacing w:val="-45"/>
        </w:rPr>
        <w:t>，</w:t>
      </w:r>
      <w:r>
        <w:rPr/>
        <w:t>本基金的基金份额净赎回申</w:t>
      </w:r>
      <w:r>
        <w:rPr>
          <w:spacing w:val="-44"/>
        </w:rPr>
        <w:t>请</w:t>
      </w:r>
      <w:r>
        <w:rPr/>
        <w:t>（赎回申请</w:t>
      </w:r>
      <w:r>
        <w:rPr>
          <w:spacing w:val="-15"/>
        </w:rPr>
        <w:t>总</w:t>
      </w:r>
      <w:r>
        <w:rPr>
          <w:spacing w:val="4"/>
        </w:rPr>
        <w:t>数加</w:t>
      </w:r>
      <w:r>
        <w:rPr>
          <w:spacing w:val="5"/>
        </w:rPr>
        <w:t>上</w:t>
      </w:r>
      <w:r>
        <w:rPr>
          <w:spacing w:val="4"/>
        </w:rPr>
        <w:t>基金转</w:t>
      </w:r>
      <w:r>
        <w:rPr>
          <w:spacing w:val="5"/>
        </w:rPr>
        <w:t>换</w:t>
      </w:r>
      <w:r>
        <w:rPr>
          <w:spacing w:val="4"/>
        </w:rPr>
        <w:t>中转出</w:t>
      </w:r>
      <w:r>
        <w:rPr>
          <w:spacing w:val="5"/>
        </w:rPr>
        <w:t>申</w:t>
      </w:r>
      <w:r>
        <w:rPr>
          <w:spacing w:val="4"/>
        </w:rPr>
        <w:t>请份额</w:t>
      </w:r>
      <w:r>
        <w:rPr>
          <w:spacing w:val="5"/>
        </w:rPr>
        <w:t>总</w:t>
      </w:r>
      <w:r>
        <w:rPr>
          <w:spacing w:val="4"/>
        </w:rPr>
        <w:t>数后扣</w:t>
      </w:r>
      <w:r>
        <w:rPr>
          <w:spacing w:val="5"/>
        </w:rPr>
        <w:t>除</w:t>
      </w:r>
      <w:r>
        <w:rPr>
          <w:spacing w:val="4"/>
        </w:rPr>
        <w:t>申购申请</w:t>
      </w:r>
      <w:r>
        <w:rPr>
          <w:spacing w:val="5"/>
        </w:rPr>
        <w:t>总</w:t>
      </w:r>
      <w:r>
        <w:rPr>
          <w:spacing w:val="4"/>
        </w:rPr>
        <w:t>数</w:t>
      </w:r>
      <w:r>
        <w:rPr/>
        <w:t>及基金转换中转入申请份额总数后的余额</w:t>
      </w:r>
      <w:r>
        <w:rPr>
          <w:spacing w:val="-88"/>
        </w:rPr>
        <w:t>）</w:t>
      </w:r>
      <w:r>
        <w:rPr/>
        <w:t>超过上一日本基金</w:t>
      </w:r>
      <w:r>
        <w:rPr>
          <w:spacing w:val="-16"/>
        </w:rPr>
        <w:t>总</w:t>
      </w:r>
    </w:p>
    <w:p>
      <w:pPr>
        <w:spacing w:after="0" w:line="364" w:lineRule="auto"/>
        <w:jc w:val="both"/>
        <w:sectPr>
          <w:pgSz w:w="11910" w:h="16840"/>
          <w:pgMar w:header="0" w:footer="1118" w:top="1380" w:bottom="1380" w:left="1420" w:right="1000"/>
        </w:sectPr>
      </w:pPr>
    </w:p>
    <w:p>
      <w:pPr>
        <w:pStyle w:val="BodyText"/>
        <w:spacing w:before="45"/>
        <w:ind w:left="3106"/>
        <w:jc w:val="both"/>
      </w:pPr>
      <w:r>
        <w:rPr/>
        <w:t>份额的 10%时的情形</w:t>
      </w:r>
    </w:p>
    <w:p>
      <w:pPr>
        <w:pStyle w:val="BodyText"/>
        <w:tabs>
          <w:tab w:pos="3106" w:val="left" w:leader="none"/>
        </w:tabs>
        <w:spacing w:line="364" w:lineRule="auto" w:before="139"/>
        <w:ind w:left="3106" w:right="794" w:hanging="2310"/>
        <w:jc w:val="both"/>
      </w:pPr>
      <w:r>
        <w:rPr/>
        <w:t>上市交易</w:t>
        <w:tab/>
      </w:r>
      <w:r>
        <w:rPr>
          <w:spacing w:val="4"/>
        </w:rPr>
        <w:t>基金</w:t>
      </w:r>
      <w:r>
        <w:rPr>
          <w:spacing w:val="5"/>
        </w:rPr>
        <w:t>合</w:t>
      </w:r>
      <w:r>
        <w:rPr>
          <w:spacing w:val="4"/>
        </w:rPr>
        <w:t>同生效</w:t>
      </w:r>
      <w:r>
        <w:rPr>
          <w:spacing w:val="5"/>
        </w:rPr>
        <w:t>后</w:t>
      </w:r>
      <w:r>
        <w:rPr>
          <w:spacing w:val="4"/>
        </w:rPr>
        <w:t>投资者</w:t>
      </w:r>
      <w:r>
        <w:rPr>
          <w:spacing w:val="5"/>
        </w:rPr>
        <w:t>通</w:t>
      </w:r>
      <w:r>
        <w:rPr>
          <w:spacing w:val="4"/>
        </w:rPr>
        <w:t>过深圳</w:t>
      </w:r>
      <w:r>
        <w:rPr>
          <w:spacing w:val="5"/>
        </w:rPr>
        <w:t>证</w:t>
      </w:r>
      <w:r>
        <w:rPr>
          <w:spacing w:val="4"/>
        </w:rPr>
        <w:t>券交易</w:t>
      </w:r>
      <w:r>
        <w:rPr>
          <w:spacing w:val="5"/>
        </w:rPr>
        <w:t>所</w:t>
      </w:r>
      <w:r>
        <w:rPr>
          <w:spacing w:val="4"/>
        </w:rPr>
        <w:t>会员单位</w:t>
      </w:r>
      <w:r>
        <w:rPr>
          <w:spacing w:val="5"/>
        </w:rPr>
        <w:t>以</w:t>
      </w:r>
      <w:r>
        <w:rPr>
          <w:spacing w:val="4"/>
        </w:rPr>
        <w:t>集</w:t>
      </w:r>
      <w:r>
        <w:rPr/>
        <w:t>中竞价的方式买卖</w:t>
      </w:r>
      <w:r>
        <w:rPr>
          <w:spacing w:val="-53"/>
        </w:rPr>
        <w:t> </w:t>
      </w:r>
      <w:r>
        <w:rPr/>
        <w:t>A</w:t>
      </w:r>
      <w:r>
        <w:rPr>
          <w:spacing w:val="-53"/>
        </w:rPr>
        <w:t> </w:t>
      </w:r>
      <w:r>
        <w:rPr/>
        <w:t>类人民币份额的行为</w:t>
      </w:r>
    </w:p>
    <w:p>
      <w:pPr>
        <w:pStyle w:val="BodyText"/>
        <w:tabs>
          <w:tab w:pos="3106" w:val="left" w:leader="none"/>
        </w:tabs>
        <w:spacing w:line="364" w:lineRule="auto"/>
        <w:ind w:left="3106" w:right="794" w:hanging="2310"/>
        <w:jc w:val="both"/>
      </w:pPr>
      <w:r>
        <w:rPr/>
        <w:t>场外</w:t>
        <w:tab/>
        <w:t>通过深圳证券交易所外的销售机构办理基金份额认购</w:t>
      </w:r>
      <w:r>
        <w:rPr>
          <w:spacing w:val="-88"/>
        </w:rPr>
        <w:t>、</w:t>
      </w:r>
      <w:r>
        <w:rPr/>
        <w:t>申购</w:t>
      </w:r>
      <w:r>
        <w:rPr>
          <w:spacing w:val="-16"/>
        </w:rPr>
        <w:t>和</w:t>
      </w:r>
      <w:r>
        <w:rPr/>
        <w:t>赎回的场所</w:t>
      </w:r>
      <w:r>
        <w:rPr>
          <w:spacing w:val="-30"/>
        </w:rPr>
        <w:t>。</w:t>
      </w:r>
      <w:r>
        <w:rPr/>
        <w:t>通过该等场所办理基金份额的认购</w:t>
      </w:r>
      <w:r>
        <w:rPr>
          <w:spacing w:val="-30"/>
        </w:rPr>
        <w:t>、</w:t>
      </w:r>
      <w:r>
        <w:rPr/>
        <w:t>申购</w:t>
      </w:r>
      <w:r>
        <w:rPr>
          <w:spacing w:val="-30"/>
        </w:rPr>
        <w:t>、</w:t>
      </w:r>
      <w:r>
        <w:rPr/>
        <w:t>赎</w:t>
      </w:r>
      <w:r>
        <w:rPr>
          <w:spacing w:val="-14"/>
        </w:rPr>
        <w:t>回</w:t>
      </w:r>
      <w:r>
        <w:rPr/>
        <w:t>也称为场外认购、场外申购、场外赎回</w:t>
      </w:r>
    </w:p>
    <w:p>
      <w:pPr>
        <w:pStyle w:val="BodyText"/>
        <w:tabs>
          <w:tab w:pos="3106" w:val="left" w:leader="none"/>
        </w:tabs>
        <w:spacing w:line="364" w:lineRule="auto"/>
        <w:ind w:left="3106" w:right="654" w:hanging="2310"/>
      </w:pPr>
      <w:r>
        <w:rPr/>
        <w:t>场内</w:t>
        <w:tab/>
      </w:r>
      <w:r>
        <w:rPr>
          <w:spacing w:val="4"/>
        </w:rPr>
        <w:t>通过</w:t>
      </w:r>
      <w:r>
        <w:rPr>
          <w:spacing w:val="5"/>
        </w:rPr>
        <w:t>深</w:t>
      </w:r>
      <w:r>
        <w:rPr>
          <w:spacing w:val="4"/>
        </w:rPr>
        <w:t>圳证券</w:t>
      </w:r>
      <w:r>
        <w:rPr>
          <w:spacing w:val="5"/>
        </w:rPr>
        <w:t>交</w:t>
      </w:r>
      <w:r>
        <w:rPr>
          <w:spacing w:val="4"/>
        </w:rPr>
        <w:t>易所内</w:t>
      </w:r>
      <w:r>
        <w:rPr>
          <w:spacing w:val="5"/>
        </w:rPr>
        <w:t>具</w:t>
      </w:r>
      <w:r>
        <w:rPr>
          <w:spacing w:val="4"/>
        </w:rPr>
        <w:t>有相应</w:t>
      </w:r>
      <w:r>
        <w:rPr>
          <w:spacing w:val="5"/>
        </w:rPr>
        <w:t>业</w:t>
      </w:r>
      <w:r>
        <w:rPr>
          <w:spacing w:val="4"/>
        </w:rPr>
        <w:t>务资格</w:t>
      </w:r>
      <w:r>
        <w:rPr>
          <w:spacing w:val="5"/>
        </w:rPr>
        <w:t>的</w:t>
      </w:r>
      <w:r>
        <w:rPr>
          <w:spacing w:val="4"/>
        </w:rPr>
        <w:t>会员单位</w:t>
      </w:r>
      <w:r>
        <w:rPr>
          <w:spacing w:val="5"/>
        </w:rPr>
        <w:t>利</w:t>
      </w:r>
      <w:r>
        <w:rPr>
          <w:spacing w:val="4"/>
        </w:rPr>
        <w:t>用</w:t>
      </w:r>
      <w:r>
        <w:rPr/>
        <w:t>交易所交易系统办理</w:t>
      </w:r>
      <w:r>
        <w:rPr>
          <w:spacing w:val="-53"/>
        </w:rPr>
        <w:t> </w:t>
      </w:r>
      <w:r>
        <w:rPr/>
        <w:t>A</w:t>
      </w:r>
      <w:r>
        <w:rPr>
          <w:spacing w:val="-53"/>
        </w:rPr>
        <w:t> </w:t>
      </w:r>
      <w:r>
        <w:rPr/>
        <w:t>类人民币基金份额认购</w:t>
      </w:r>
      <w:r>
        <w:rPr>
          <w:spacing w:val="-45"/>
        </w:rPr>
        <w:t>、</w:t>
      </w:r>
      <w:r>
        <w:rPr/>
        <w:t>申购</w:t>
      </w:r>
      <w:r>
        <w:rPr>
          <w:spacing w:val="-44"/>
        </w:rPr>
        <w:t>、</w:t>
      </w:r>
      <w:r>
        <w:rPr/>
        <w:t>赎回和上市交易的场所</w:t>
      </w:r>
      <w:r>
        <w:rPr>
          <w:spacing w:val="-105"/>
        </w:rPr>
        <w:t>。</w:t>
      </w:r>
      <w:r>
        <w:rPr/>
        <w:t>通过该等场所办</w:t>
      </w:r>
      <w:r>
        <w:rPr>
          <w:spacing w:val="26"/>
        </w:rPr>
        <w:t>理</w:t>
      </w:r>
      <w:r>
        <w:rPr/>
        <w:t>A</w:t>
      </w:r>
      <w:r>
        <w:rPr>
          <w:spacing w:val="-79"/>
        </w:rPr>
        <w:t> </w:t>
      </w:r>
      <w:r>
        <w:rPr/>
        <w:t>类人民币基金份额的认购</w:t>
      </w:r>
      <w:r>
        <w:rPr>
          <w:spacing w:val="-16"/>
        </w:rPr>
        <w:t>、</w:t>
      </w:r>
      <w:r>
        <w:rPr/>
        <w:t>申购、赎回也称为场内认购、场内申购、场内赎回</w:t>
      </w:r>
    </w:p>
    <w:p>
      <w:pPr>
        <w:pStyle w:val="BodyText"/>
        <w:spacing w:line="364" w:lineRule="auto"/>
        <w:ind w:left="3106" w:right="794" w:hanging="2310"/>
        <w:jc w:val="both"/>
      </w:pPr>
      <w:r>
        <w:rPr/>
        <w:t>开放式基金账户       指投资者通过场外销售机构在登记结算机构注册的开放式基</w:t>
      </w:r>
      <w:r>
        <w:rPr>
          <w:spacing w:val="-11"/>
        </w:rPr>
        <w:t>金账户，用于记录其持有的、基金管理人所管理的场外基金份</w:t>
      </w:r>
      <w:r>
        <w:rPr>
          <w:spacing w:val="-12"/>
        </w:rPr>
        <w:t>额余额及其变动情况。其中场外 </w:t>
      </w:r>
      <w:r>
        <w:rPr/>
        <w:t>A</w:t>
      </w:r>
      <w:r>
        <w:rPr>
          <w:spacing w:val="-9"/>
        </w:rPr>
        <w:t> 类人民币份额记录在中国证</w:t>
      </w:r>
      <w:r>
        <w:rPr>
          <w:spacing w:val="3"/>
        </w:rPr>
        <w:t>券登记结算有限责任公司开立的基金账户并登记在登记结算系统，A</w:t>
      </w:r>
      <w:r>
        <w:rPr>
          <w:spacing w:val="-6"/>
        </w:rPr>
        <w:t> 类美元份额、</w:t>
      </w:r>
      <w:r>
        <w:rPr/>
        <w:t>C</w:t>
      </w:r>
      <w:r>
        <w:rPr>
          <w:spacing w:val="-6"/>
        </w:rPr>
        <w:t> 类美元份额、</w:t>
      </w:r>
      <w:r>
        <w:rPr/>
        <w:t>C</w:t>
      </w:r>
      <w:r>
        <w:rPr>
          <w:spacing w:val="-6"/>
        </w:rPr>
        <w:t> 类人民币份额记录在</w:t>
      </w:r>
      <w:r>
        <w:rPr>
          <w:spacing w:val="3"/>
        </w:rPr>
        <w:t>易方达基金管理有限公司开立的基金账户并登记在易方达基金管理有限公司的注册登记系统</w:t>
      </w:r>
    </w:p>
    <w:p>
      <w:pPr>
        <w:pStyle w:val="BodyText"/>
        <w:spacing w:line="364" w:lineRule="auto"/>
        <w:ind w:left="3106" w:right="794" w:hanging="2310"/>
        <w:jc w:val="both"/>
      </w:pPr>
      <w:r>
        <w:rPr>
          <w:spacing w:val="2"/>
        </w:rPr>
        <w:t>深圳证券账户指在中国证券登记结算有限责任公司深圳分公司开设的深圳证券交易所</w:t>
      </w:r>
      <w:r>
        <w:rPr>
          <w:spacing w:val="-2"/>
        </w:rPr>
        <w:t>人民币普通股票账户</w:t>
      </w:r>
      <w:r>
        <w:rPr/>
        <w:t>（</w:t>
      </w:r>
      <w:r>
        <w:rPr>
          <w:spacing w:val="-27"/>
        </w:rPr>
        <w:t>即 </w:t>
      </w:r>
      <w:r>
        <w:rPr/>
        <w:t>A</w:t>
      </w:r>
      <w:r>
        <w:rPr>
          <w:spacing w:val="-14"/>
        </w:rPr>
        <w:t> 股账户</w:t>
      </w:r>
      <w:r>
        <w:rPr>
          <w:spacing w:val="-30"/>
        </w:rPr>
        <w:t>）</w:t>
      </w:r>
      <w:r>
        <w:rPr>
          <w:spacing w:val="-4"/>
        </w:rPr>
        <w:t>或证券投资基金账户，本</w:t>
      </w:r>
      <w:r>
        <w:rPr>
          <w:spacing w:val="-6"/>
        </w:rPr>
        <w:t>基金的场内 </w:t>
      </w:r>
      <w:r>
        <w:rPr/>
        <w:t>A</w:t>
      </w:r>
      <w:r>
        <w:rPr>
          <w:spacing w:val="-4"/>
        </w:rPr>
        <w:t> 类人民币份额记录在该账户并登记在证券登记系统</w:t>
      </w:r>
    </w:p>
    <w:p>
      <w:pPr>
        <w:pStyle w:val="BodyText"/>
        <w:tabs>
          <w:tab w:pos="3106" w:val="left" w:leader="none"/>
        </w:tabs>
        <w:spacing w:line="364" w:lineRule="auto"/>
        <w:ind w:left="3106" w:right="794" w:hanging="2310"/>
        <w:jc w:val="both"/>
      </w:pPr>
      <w:r>
        <w:rPr/>
        <w:t>交易账户</w:t>
        <w:tab/>
      </w:r>
      <w:r>
        <w:rPr>
          <w:spacing w:val="4"/>
        </w:rPr>
        <w:t>指各</w:t>
      </w:r>
      <w:r>
        <w:rPr>
          <w:spacing w:val="5"/>
        </w:rPr>
        <w:t>销</w:t>
      </w:r>
      <w:r>
        <w:rPr>
          <w:spacing w:val="4"/>
        </w:rPr>
        <w:t>售机构</w:t>
      </w:r>
      <w:r>
        <w:rPr>
          <w:spacing w:val="5"/>
        </w:rPr>
        <w:t>为</w:t>
      </w:r>
      <w:r>
        <w:rPr>
          <w:spacing w:val="4"/>
        </w:rPr>
        <w:t>投资者</w:t>
      </w:r>
      <w:r>
        <w:rPr>
          <w:spacing w:val="5"/>
        </w:rPr>
        <w:t>开</w:t>
      </w:r>
      <w:r>
        <w:rPr>
          <w:spacing w:val="4"/>
        </w:rPr>
        <w:t>立的记</w:t>
      </w:r>
      <w:r>
        <w:rPr>
          <w:spacing w:val="5"/>
        </w:rPr>
        <w:t>录</w:t>
      </w:r>
      <w:r>
        <w:rPr>
          <w:spacing w:val="4"/>
        </w:rPr>
        <w:t>投资者</w:t>
      </w:r>
      <w:r>
        <w:rPr>
          <w:spacing w:val="5"/>
        </w:rPr>
        <w:t>通</w:t>
      </w:r>
      <w:r>
        <w:rPr>
          <w:spacing w:val="4"/>
        </w:rPr>
        <w:t>过该销售</w:t>
      </w:r>
      <w:r>
        <w:rPr>
          <w:spacing w:val="5"/>
        </w:rPr>
        <w:t>机</w:t>
      </w:r>
      <w:r>
        <w:rPr>
          <w:spacing w:val="4"/>
        </w:rPr>
        <w:t>构</w:t>
      </w:r>
      <w:r>
        <w:rPr/>
        <w:t>办理认购</w:t>
      </w:r>
      <w:r>
        <w:rPr>
          <w:spacing w:val="-30"/>
        </w:rPr>
        <w:t>、</w:t>
      </w:r>
      <w:r>
        <w:rPr/>
        <w:t>申购</w:t>
      </w:r>
      <w:r>
        <w:rPr>
          <w:spacing w:val="-30"/>
        </w:rPr>
        <w:t>、</w:t>
      </w:r>
      <w:r>
        <w:rPr/>
        <w:t>赎回</w:t>
      </w:r>
      <w:r>
        <w:rPr>
          <w:spacing w:val="-30"/>
        </w:rPr>
        <w:t>、</w:t>
      </w:r>
      <w:r>
        <w:rPr/>
        <w:t>转换及转托管等业务而引起的基金份</w:t>
      </w:r>
      <w:r>
        <w:rPr>
          <w:spacing w:val="-14"/>
        </w:rPr>
        <w:t>额</w:t>
      </w:r>
      <w:r>
        <w:rPr/>
        <w:t>的变动及结余情况的账户</w:t>
      </w:r>
    </w:p>
    <w:p>
      <w:pPr>
        <w:pStyle w:val="BodyText"/>
        <w:tabs>
          <w:tab w:pos="3106" w:val="left" w:leader="none"/>
        </w:tabs>
        <w:spacing w:line="364" w:lineRule="auto"/>
        <w:ind w:right="794"/>
        <w:jc w:val="both"/>
      </w:pPr>
      <w:r>
        <w:rPr/>
        <w:t>登记结算系统</w:t>
        <w:tab/>
        <w:t>指中国证券登记结算有限责任公司开放式基金注册登记系统证券登记系统</w:t>
        <w:tab/>
      </w:r>
      <w:r>
        <w:rPr>
          <w:spacing w:val="4"/>
        </w:rPr>
        <w:t>指中</w:t>
      </w:r>
      <w:r>
        <w:rPr>
          <w:spacing w:val="5"/>
        </w:rPr>
        <w:t>国</w:t>
      </w:r>
      <w:r>
        <w:rPr>
          <w:spacing w:val="4"/>
        </w:rPr>
        <w:t>证券登</w:t>
      </w:r>
      <w:r>
        <w:rPr>
          <w:spacing w:val="5"/>
        </w:rPr>
        <w:t>记</w:t>
      </w:r>
      <w:r>
        <w:rPr>
          <w:spacing w:val="4"/>
        </w:rPr>
        <w:t>结算有</w:t>
      </w:r>
      <w:r>
        <w:rPr>
          <w:spacing w:val="5"/>
        </w:rPr>
        <w:t>限</w:t>
      </w:r>
      <w:r>
        <w:rPr>
          <w:spacing w:val="4"/>
        </w:rPr>
        <w:t>责任公</w:t>
      </w:r>
      <w:r>
        <w:rPr>
          <w:spacing w:val="5"/>
        </w:rPr>
        <w:t>司</w:t>
      </w:r>
      <w:r>
        <w:rPr>
          <w:spacing w:val="4"/>
        </w:rPr>
        <w:t>深圳分</w:t>
      </w:r>
      <w:r>
        <w:rPr>
          <w:spacing w:val="5"/>
        </w:rPr>
        <w:t>公</w:t>
      </w:r>
      <w:r>
        <w:rPr>
          <w:spacing w:val="4"/>
        </w:rPr>
        <w:t>司证券登</w:t>
      </w:r>
      <w:r>
        <w:rPr>
          <w:spacing w:val="5"/>
        </w:rPr>
        <w:t>记</w:t>
      </w:r>
      <w:r>
        <w:rPr>
          <w:spacing w:val="4"/>
        </w:rPr>
        <w:t>结</w:t>
      </w:r>
      <w:r>
        <w:rPr/>
        <w:t>算</w:t>
      </w:r>
    </w:p>
    <w:p>
      <w:pPr>
        <w:pStyle w:val="BodyText"/>
        <w:spacing w:line="268" w:lineRule="exact"/>
        <w:ind w:left="3106"/>
      </w:pPr>
      <w:r>
        <w:rPr/>
        <w:t>系统</w:t>
      </w:r>
    </w:p>
    <w:p>
      <w:pPr>
        <w:pStyle w:val="BodyText"/>
        <w:spacing w:line="364" w:lineRule="auto" w:before="129"/>
        <w:ind w:left="3106" w:right="794" w:hanging="2310"/>
        <w:jc w:val="both"/>
      </w:pPr>
      <w:r>
        <w:rPr>
          <w:spacing w:val="-4"/>
        </w:rPr>
        <w:t>场外份额登记在登记结算系统下的 </w:t>
      </w:r>
      <w:r>
        <w:rPr/>
        <w:t>A</w:t>
      </w:r>
      <w:r>
        <w:rPr>
          <w:spacing w:val="-14"/>
        </w:rPr>
        <w:t> 类人民币份额，登记在易方达基金管理有限公司的</w:t>
      </w:r>
      <w:r>
        <w:rPr/>
        <w:t>A</w:t>
      </w:r>
      <w:r>
        <w:rPr>
          <w:spacing w:val="-9"/>
        </w:rPr>
        <w:t> 类美元份额、</w:t>
      </w:r>
      <w:r>
        <w:rPr/>
        <w:t>C</w:t>
      </w:r>
      <w:r>
        <w:rPr>
          <w:spacing w:val="-9"/>
        </w:rPr>
        <w:t> 类美元份额、</w:t>
      </w:r>
      <w:r>
        <w:rPr/>
        <w:t>C</w:t>
      </w:r>
      <w:r>
        <w:rPr>
          <w:spacing w:val="-9"/>
        </w:rPr>
        <w:t> 类人民币份额</w:t>
      </w:r>
    </w:p>
    <w:p>
      <w:pPr>
        <w:pStyle w:val="BodyText"/>
        <w:spacing w:line="268" w:lineRule="exact"/>
        <w:jc w:val="both"/>
      </w:pPr>
      <w:r>
        <w:rPr/>
        <w:t>场内份额登记在证券登记系统下的 A 类人民币份额</w:t>
      </w:r>
    </w:p>
    <w:p>
      <w:pPr>
        <w:pStyle w:val="BodyText"/>
        <w:tabs>
          <w:tab w:pos="3106" w:val="left" w:leader="none"/>
        </w:tabs>
        <w:spacing w:line="364" w:lineRule="auto" w:before="139"/>
        <w:ind w:left="3106" w:right="794" w:hanging="2310"/>
        <w:jc w:val="both"/>
      </w:pPr>
      <w:r>
        <w:rPr/>
        <w:t>系统内转托管</w:t>
        <w:tab/>
      </w:r>
      <w:r>
        <w:rPr>
          <w:spacing w:val="4"/>
        </w:rPr>
        <w:t>指基</w:t>
      </w:r>
      <w:r>
        <w:rPr>
          <w:spacing w:val="5"/>
        </w:rPr>
        <w:t>金</w:t>
      </w:r>
      <w:r>
        <w:rPr>
          <w:spacing w:val="4"/>
        </w:rPr>
        <w:t>份额持</w:t>
      </w:r>
      <w:r>
        <w:rPr>
          <w:spacing w:val="5"/>
        </w:rPr>
        <w:t>有</w:t>
      </w:r>
      <w:r>
        <w:rPr>
          <w:spacing w:val="4"/>
        </w:rPr>
        <w:t>人将其</w:t>
      </w:r>
      <w:r>
        <w:rPr>
          <w:spacing w:val="5"/>
        </w:rPr>
        <w:t>持</w:t>
      </w:r>
      <w:r>
        <w:rPr>
          <w:spacing w:val="4"/>
        </w:rPr>
        <w:t>有</w:t>
      </w:r>
      <w:r>
        <w:rPr/>
        <w:t>的</w:t>
      </w:r>
      <w:r>
        <w:rPr>
          <w:spacing w:val="-48"/>
        </w:rPr>
        <w:t> </w:t>
      </w:r>
      <w:r>
        <w:rPr/>
        <w:t>A</w:t>
      </w:r>
      <w:r>
        <w:rPr>
          <w:spacing w:val="-48"/>
        </w:rPr>
        <w:t> </w:t>
      </w:r>
      <w:r>
        <w:rPr>
          <w:spacing w:val="5"/>
        </w:rPr>
        <w:t>类</w:t>
      </w:r>
      <w:r>
        <w:rPr>
          <w:spacing w:val="4"/>
        </w:rPr>
        <w:t>人民币</w:t>
      </w:r>
      <w:r>
        <w:rPr>
          <w:spacing w:val="5"/>
        </w:rPr>
        <w:t>份</w:t>
      </w:r>
      <w:r>
        <w:rPr>
          <w:spacing w:val="4"/>
        </w:rPr>
        <w:t>额在登记</w:t>
      </w:r>
      <w:r>
        <w:rPr>
          <w:spacing w:val="5"/>
        </w:rPr>
        <w:t>结</w:t>
      </w:r>
      <w:r>
        <w:rPr>
          <w:spacing w:val="4"/>
        </w:rPr>
        <w:t>算</w:t>
      </w:r>
      <w:r>
        <w:rPr/>
        <w:t>系统内不同销售机</w:t>
      </w:r>
      <w:r>
        <w:rPr>
          <w:spacing w:val="-45"/>
        </w:rPr>
        <w:t>构</w:t>
      </w:r>
      <w:r>
        <w:rPr/>
        <w:t>（网点</w:t>
      </w:r>
      <w:r>
        <w:rPr>
          <w:spacing w:val="-44"/>
        </w:rPr>
        <w:t>）</w:t>
      </w:r>
      <w:r>
        <w:rPr/>
        <w:t>之间或证券登记系统内不同会员</w:t>
      </w:r>
      <w:r>
        <w:rPr>
          <w:spacing w:val="-15"/>
        </w:rPr>
        <w:t>单</w:t>
      </w:r>
      <w:r>
        <w:rPr>
          <w:spacing w:val="-30"/>
        </w:rPr>
        <w:t>位</w:t>
      </w:r>
      <w:r>
        <w:rPr/>
        <w:t>（席位</w:t>
      </w:r>
      <w:r>
        <w:rPr>
          <w:spacing w:val="-30"/>
        </w:rPr>
        <w:t>）</w:t>
      </w:r>
      <w:r>
        <w:rPr/>
        <w:t>之间进行转托管的行为</w:t>
      </w:r>
      <w:r>
        <w:rPr>
          <w:spacing w:val="-30"/>
        </w:rPr>
        <w:t>，</w:t>
      </w:r>
      <w:r>
        <w:rPr/>
        <w:t>或者基金份额持有人将</w:t>
      </w:r>
      <w:r>
        <w:rPr>
          <w:spacing w:val="-14"/>
        </w:rPr>
        <w:t>持</w:t>
      </w:r>
      <w:r>
        <w:rPr/>
        <w:t>有的</w:t>
      </w:r>
      <w:r>
        <w:rPr>
          <w:spacing w:val="-53"/>
        </w:rPr>
        <w:t> </w:t>
      </w:r>
      <w:r>
        <w:rPr/>
        <w:t>A</w:t>
      </w:r>
      <w:r>
        <w:rPr>
          <w:spacing w:val="-53"/>
        </w:rPr>
        <w:t> </w:t>
      </w:r>
      <w:r>
        <w:rPr/>
        <w:t>类美元份额</w:t>
      </w:r>
      <w:r>
        <w:rPr>
          <w:spacing w:val="-36"/>
        </w:rPr>
        <w:t>、</w:t>
      </w:r>
      <w:r>
        <w:rPr/>
        <w:t>C</w:t>
      </w:r>
      <w:r>
        <w:rPr>
          <w:spacing w:val="-53"/>
        </w:rPr>
        <w:t> </w:t>
      </w:r>
      <w:r>
        <w:rPr/>
        <w:t>类美元份额和</w:t>
      </w:r>
      <w:r>
        <w:rPr>
          <w:spacing w:val="-53"/>
        </w:rPr>
        <w:t> </w:t>
      </w:r>
      <w:r>
        <w:rPr/>
        <w:t>C</w:t>
      </w:r>
      <w:r>
        <w:rPr>
          <w:spacing w:val="-53"/>
        </w:rPr>
        <w:t> </w:t>
      </w:r>
      <w:r>
        <w:rPr/>
        <w:t>类人民币份额在易方</w:t>
      </w:r>
      <w:r>
        <w:rPr>
          <w:spacing w:val="-13"/>
        </w:rPr>
        <w:t>达</w:t>
      </w:r>
    </w:p>
    <w:p>
      <w:pPr>
        <w:spacing w:after="0" w:line="364" w:lineRule="auto"/>
        <w:jc w:val="both"/>
        <w:sectPr>
          <w:pgSz w:w="11910" w:h="16840"/>
          <w:pgMar w:header="0" w:footer="1118" w:top="1380" w:bottom="1380" w:left="1420" w:right="1000"/>
        </w:sectPr>
      </w:pPr>
    </w:p>
    <w:p>
      <w:pPr>
        <w:pStyle w:val="BodyText"/>
        <w:spacing w:line="364" w:lineRule="auto" w:before="45"/>
        <w:ind w:left="3106" w:right="794"/>
      </w:pPr>
      <w:r>
        <w:rPr/>
        <w:t>基金管理有限公司注册登记系统内销售机构之间进行转托管的行为</w:t>
      </w:r>
    </w:p>
    <w:p>
      <w:pPr>
        <w:pStyle w:val="BodyText"/>
        <w:tabs>
          <w:tab w:pos="3106" w:val="left" w:leader="none"/>
        </w:tabs>
        <w:spacing w:line="364" w:lineRule="auto"/>
        <w:ind w:left="3106" w:right="794" w:hanging="2310"/>
        <w:jc w:val="both"/>
      </w:pPr>
      <w:r>
        <w:rPr/>
        <w:t>跨系统转托管</w:t>
        <w:tab/>
      </w:r>
      <w:r>
        <w:rPr>
          <w:spacing w:val="4"/>
        </w:rPr>
        <w:t>指持</w:t>
      </w:r>
      <w:r>
        <w:rPr>
          <w:spacing w:val="5"/>
        </w:rPr>
        <w:t>有</w:t>
      </w:r>
      <w:r>
        <w:rPr>
          <w:spacing w:val="4"/>
        </w:rPr>
        <w:t>人将其</w:t>
      </w:r>
      <w:r>
        <w:rPr>
          <w:spacing w:val="5"/>
        </w:rPr>
        <w:t>持</w:t>
      </w:r>
      <w:r>
        <w:rPr>
          <w:spacing w:val="4"/>
        </w:rPr>
        <w:t>有</w:t>
      </w:r>
      <w:r>
        <w:rPr/>
        <w:t>的</w:t>
      </w:r>
      <w:r>
        <w:rPr>
          <w:spacing w:val="-48"/>
        </w:rPr>
        <w:t> </w:t>
      </w:r>
      <w:r>
        <w:rPr/>
        <w:t>A</w:t>
      </w:r>
      <w:r>
        <w:rPr>
          <w:spacing w:val="-48"/>
        </w:rPr>
        <w:t> </w:t>
      </w:r>
      <w:r>
        <w:rPr>
          <w:spacing w:val="5"/>
        </w:rPr>
        <w:t>类</w:t>
      </w:r>
      <w:r>
        <w:rPr>
          <w:spacing w:val="4"/>
        </w:rPr>
        <w:t>人民币</w:t>
      </w:r>
      <w:r>
        <w:rPr>
          <w:spacing w:val="5"/>
        </w:rPr>
        <w:t>份</w:t>
      </w:r>
      <w:r>
        <w:rPr>
          <w:spacing w:val="4"/>
        </w:rPr>
        <w:t>额在登</w:t>
      </w:r>
      <w:r>
        <w:rPr>
          <w:spacing w:val="5"/>
        </w:rPr>
        <w:t>记</w:t>
      </w:r>
      <w:r>
        <w:rPr>
          <w:spacing w:val="4"/>
        </w:rPr>
        <w:t>结算系统</w:t>
      </w:r>
      <w:r>
        <w:rPr>
          <w:spacing w:val="5"/>
        </w:rPr>
        <w:t>和</w:t>
      </w:r>
      <w:r>
        <w:rPr>
          <w:spacing w:val="4"/>
        </w:rPr>
        <w:t>证</w:t>
      </w:r>
      <w:r>
        <w:rPr/>
        <w:t>券登记系统之间进行转托管的行为</w:t>
      </w:r>
    </w:p>
    <w:p>
      <w:pPr>
        <w:pStyle w:val="BodyText"/>
        <w:tabs>
          <w:tab w:pos="3106" w:val="left" w:leader="none"/>
        </w:tabs>
        <w:spacing w:line="364" w:lineRule="auto"/>
        <w:ind w:left="3106" w:right="794" w:hanging="2310"/>
        <w:jc w:val="both"/>
      </w:pPr>
      <w:r>
        <w:rPr/>
        <w:t>基金转换</w:t>
        <w:tab/>
        <w:t>指基金份额持有人按基金管理人规定的条件提出申请</w:t>
      </w:r>
      <w:r>
        <w:rPr>
          <w:spacing w:val="-88"/>
        </w:rPr>
        <w:t>，</w:t>
      </w:r>
      <w:r>
        <w:rPr/>
        <w:t>将其</w:t>
      </w:r>
      <w:r>
        <w:rPr>
          <w:spacing w:val="-16"/>
        </w:rPr>
        <w:t>所</w:t>
      </w:r>
      <w:r>
        <w:rPr/>
        <w:t>持有的基金管理人管理的某一开放式基</w:t>
      </w:r>
      <w:r>
        <w:rPr>
          <w:spacing w:val="-45"/>
        </w:rPr>
        <w:t>金</w:t>
      </w:r>
      <w:r>
        <w:rPr/>
        <w:t>（转出基金</w:t>
      </w:r>
      <w:r>
        <w:rPr>
          <w:spacing w:val="-44"/>
        </w:rPr>
        <w:t>）</w:t>
      </w:r>
      <w:r>
        <w:rPr/>
        <w:t>的全</w:t>
      </w:r>
      <w:r>
        <w:rPr>
          <w:spacing w:val="-15"/>
        </w:rPr>
        <w:t>部</w:t>
      </w:r>
      <w:r>
        <w:rPr>
          <w:spacing w:val="4"/>
        </w:rPr>
        <w:t>或部</w:t>
      </w:r>
      <w:r>
        <w:rPr>
          <w:spacing w:val="5"/>
        </w:rPr>
        <w:t>分</w:t>
      </w:r>
      <w:r>
        <w:rPr>
          <w:spacing w:val="4"/>
        </w:rPr>
        <w:t>基金份</w:t>
      </w:r>
      <w:r>
        <w:rPr>
          <w:spacing w:val="5"/>
        </w:rPr>
        <w:t>额</w:t>
      </w:r>
      <w:r>
        <w:rPr>
          <w:spacing w:val="4"/>
        </w:rPr>
        <w:t>转换为</w:t>
      </w:r>
      <w:r>
        <w:rPr>
          <w:spacing w:val="5"/>
        </w:rPr>
        <w:t>同</w:t>
      </w:r>
      <w:r>
        <w:rPr>
          <w:spacing w:val="4"/>
        </w:rPr>
        <w:t>一基金</w:t>
      </w:r>
      <w:r>
        <w:rPr>
          <w:spacing w:val="5"/>
        </w:rPr>
        <w:t>管</w:t>
      </w:r>
      <w:r>
        <w:rPr>
          <w:spacing w:val="4"/>
        </w:rPr>
        <w:t>理人管</w:t>
      </w:r>
      <w:r>
        <w:rPr>
          <w:spacing w:val="5"/>
        </w:rPr>
        <w:t>理</w:t>
      </w:r>
      <w:r>
        <w:rPr>
          <w:spacing w:val="4"/>
        </w:rPr>
        <w:t>的某一其</w:t>
      </w:r>
      <w:r>
        <w:rPr>
          <w:spacing w:val="5"/>
        </w:rPr>
        <w:t>他</w:t>
      </w:r>
      <w:r>
        <w:rPr>
          <w:spacing w:val="4"/>
        </w:rPr>
        <w:t>基</w:t>
      </w:r>
      <w:r>
        <w:rPr/>
        <w:t>金</w:t>
      </w:r>
    </w:p>
    <w:p>
      <w:pPr>
        <w:pStyle w:val="BodyText"/>
        <w:spacing w:line="268" w:lineRule="exact"/>
        <w:ind w:left="3106"/>
      </w:pPr>
      <w:r>
        <w:rPr/>
        <w:t>（转入基金）的基金份额的行为</w:t>
      </w:r>
    </w:p>
    <w:p>
      <w:pPr>
        <w:pStyle w:val="BodyText"/>
        <w:spacing w:line="364" w:lineRule="auto" w:before="138"/>
        <w:ind w:left="3106" w:right="794" w:hanging="2310"/>
        <w:jc w:val="both"/>
      </w:pPr>
      <w:r>
        <w:rPr>
          <w:spacing w:val="-5"/>
        </w:rPr>
        <w:t>定期定额投资计划     指投资者通过有关销售机构提出申请，约定每期扣款日、扣款</w:t>
      </w:r>
      <w:r>
        <w:rPr>
          <w:spacing w:val="-10"/>
        </w:rPr>
        <w:t>金额及扣款方式，由销售机构于每期约定扣款日在投资者指定</w:t>
      </w:r>
      <w:r>
        <w:rPr/>
        <w:t>银行账户内自动完成扣款及基金申购申请的一种投资方式</w:t>
      </w:r>
    </w:p>
    <w:p>
      <w:pPr>
        <w:pStyle w:val="BodyText"/>
        <w:tabs>
          <w:tab w:pos="3106" w:val="left" w:leader="none"/>
        </w:tabs>
        <w:spacing w:line="364" w:lineRule="auto"/>
        <w:ind w:left="3106" w:right="794" w:hanging="2310"/>
        <w:jc w:val="both"/>
      </w:pPr>
      <w:r>
        <w:rPr/>
        <w:t>基金利润</w:t>
        <w:tab/>
        <w:t>指基金利息收入</w:t>
      </w:r>
      <w:r>
        <w:rPr>
          <w:spacing w:val="-45"/>
        </w:rPr>
        <w:t>、</w:t>
      </w:r>
      <w:r>
        <w:rPr/>
        <w:t>投资收益</w:t>
      </w:r>
      <w:r>
        <w:rPr>
          <w:spacing w:val="-44"/>
        </w:rPr>
        <w:t>、</w:t>
      </w:r>
      <w:r>
        <w:rPr/>
        <w:t>公允价值变动收益和其他收入</w:t>
      </w:r>
      <w:r>
        <w:rPr>
          <w:spacing w:val="-15"/>
        </w:rPr>
        <w:t>扣</w:t>
      </w:r>
      <w:r>
        <w:rPr/>
        <w:t>除相关费用后的余额</w:t>
      </w:r>
    </w:p>
    <w:p>
      <w:pPr>
        <w:pStyle w:val="BodyText"/>
        <w:tabs>
          <w:tab w:pos="3106" w:val="left" w:leader="none"/>
        </w:tabs>
        <w:spacing w:line="364" w:lineRule="auto"/>
        <w:ind w:left="3106" w:right="794" w:hanging="2310"/>
        <w:jc w:val="both"/>
      </w:pPr>
      <w:r>
        <w:rPr/>
        <w:t>基金资产总值</w:t>
        <w:tab/>
        <w:t>指基金所拥有的各类证券及票据价值</w:t>
      </w:r>
      <w:r>
        <w:rPr>
          <w:spacing w:val="-88"/>
        </w:rPr>
        <w:t>、</w:t>
      </w:r>
      <w:r>
        <w:rPr/>
        <w:t>银行存款本息和本基</w:t>
      </w:r>
      <w:r>
        <w:rPr>
          <w:spacing w:val="-16"/>
        </w:rPr>
        <w:t>金</w:t>
      </w:r>
      <w:r>
        <w:rPr/>
        <w:t>应收的款项以及其他投资所形成的价值总和</w:t>
      </w:r>
    </w:p>
    <w:p>
      <w:pPr>
        <w:pStyle w:val="BodyText"/>
        <w:tabs>
          <w:tab w:pos="3106" w:val="left" w:leader="none"/>
        </w:tabs>
        <w:spacing w:line="268" w:lineRule="exact"/>
        <w:jc w:val="both"/>
      </w:pPr>
      <w:r>
        <w:rPr/>
        <w:t>基金资产净值</w:t>
        <w:tab/>
        <w:t>指基金资产总值扣除负债后的净资产值</w:t>
      </w:r>
    </w:p>
    <w:p>
      <w:pPr>
        <w:pStyle w:val="BodyText"/>
        <w:tabs>
          <w:tab w:pos="3106" w:val="left" w:leader="none"/>
        </w:tabs>
        <w:spacing w:line="364" w:lineRule="auto" w:before="137"/>
        <w:ind w:left="3106" w:right="794" w:hanging="2310"/>
        <w:jc w:val="both"/>
      </w:pPr>
      <w:r>
        <w:rPr/>
        <w:t>基金份额净值</w:t>
        <w:tab/>
        <w:t>A</w:t>
      </w:r>
      <w:r>
        <w:rPr>
          <w:spacing w:val="-65"/>
        </w:rPr>
        <w:t> </w:t>
      </w:r>
      <w:r>
        <w:rPr/>
        <w:t>类人民币基金份额的基金份额净值指以估值</w:t>
      </w:r>
      <w:r>
        <w:rPr>
          <w:spacing w:val="40"/>
        </w:rPr>
        <w:t>日</w:t>
      </w:r>
      <w:r>
        <w:rPr/>
        <w:t>A</w:t>
      </w:r>
      <w:r>
        <w:rPr>
          <w:spacing w:val="-65"/>
        </w:rPr>
        <w:t> </w:t>
      </w:r>
      <w:r>
        <w:rPr/>
        <w:t>类基金资</w:t>
      </w:r>
      <w:r>
        <w:rPr>
          <w:spacing w:val="-14"/>
        </w:rPr>
        <w:t>产</w:t>
      </w:r>
      <w:r>
        <w:rPr>
          <w:spacing w:val="4"/>
        </w:rPr>
        <w:t>净值</w:t>
      </w:r>
      <w:r>
        <w:rPr>
          <w:spacing w:val="5"/>
        </w:rPr>
        <w:t>除</w:t>
      </w:r>
      <w:r>
        <w:rPr>
          <w:spacing w:val="4"/>
        </w:rPr>
        <w:t>以估值</w:t>
      </w:r>
      <w:r>
        <w:rPr/>
        <w:t>日</w:t>
      </w:r>
      <w:r>
        <w:rPr>
          <w:spacing w:val="-48"/>
        </w:rPr>
        <w:t> </w:t>
      </w:r>
      <w:r>
        <w:rPr/>
        <w:t>A</w:t>
      </w:r>
      <w:r>
        <w:rPr>
          <w:spacing w:val="-48"/>
        </w:rPr>
        <w:t> </w:t>
      </w:r>
      <w:r>
        <w:rPr>
          <w:spacing w:val="4"/>
        </w:rPr>
        <w:t>类基</w:t>
      </w:r>
      <w:r>
        <w:rPr>
          <w:spacing w:val="5"/>
        </w:rPr>
        <w:t>金</w:t>
      </w:r>
      <w:r>
        <w:rPr>
          <w:spacing w:val="4"/>
        </w:rPr>
        <w:t>份额余</w:t>
      </w:r>
      <w:r>
        <w:rPr>
          <w:spacing w:val="5"/>
        </w:rPr>
        <w:t>额</w:t>
      </w:r>
      <w:r>
        <w:rPr>
          <w:spacing w:val="4"/>
        </w:rPr>
        <w:t>后得出</w:t>
      </w:r>
      <w:r>
        <w:rPr>
          <w:spacing w:val="5"/>
        </w:rPr>
        <w:t>的</w:t>
      </w:r>
      <w:r>
        <w:rPr>
          <w:spacing w:val="4"/>
        </w:rPr>
        <w:t>单位基金</w:t>
      </w:r>
      <w:r>
        <w:rPr>
          <w:spacing w:val="5"/>
        </w:rPr>
        <w:t>份</w:t>
      </w:r>
      <w:r>
        <w:rPr>
          <w:spacing w:val="4"/>
        </w:rPr>
        <w:t>额</w:t>
      </w:r>
      <w:r>
        <w:rPr/>
        <w:t>的价值</w:t>
      </w:r>
      <w:r>
        <w:rPr>
          <w:spacing w:val="-88"/>
        </w:rPr>
        <w:t>，</w:t>
      </w:r>
      <w:r>
        <w:rPr/>
        <w:t>估值日</w:t>
      </w:r>
      <w:r>
        <w:rPr>
          <w:spacing w:val="-53"/>
        </w:rPr>
        <w:t> </w:t>
      </w:r>
      <w:r>
        <w:rPr/>
        <w:t>A</w:t>
      </w:r>
      <w:r>
        <w:rPr>
          <w:spacing w:val="-53"/>
        </w:rPr>
        <w:t> </w:t>
      </w:r>
      <w:r>
        <w:rPr/>
        <w:t>类基金份额余额为估值日</w:t>
      </w:r>
      <w:r>
        <w:rPr>
          <w:spacing w:val="-53"/>
        </w:rPr>
        <w:t> </w:t>
      </w:r>
      <w:r>
        <w:rPr/>
        <w:t>A</w:t>
      </w:r>
      <w:r>
        <w:rPr>
          <w:spacing w:val="-53"/>
        </w:rPr>
        <w:t> </w:t>
      </w:r>
      <w:r>
        <w:rPr/>
        <w:t>类各币种基金份</w:t>
      </w:r>
      <w:r>
        <w:rPr>
          <w:spacing w:val="-14"/>
        </w:rPr>
        <w:t>额</w:t>
      </w:r>
      <w:r>
        <w:rPr/>
        <w:t>余额的合计</w:t>
      </w:r>
      <w:r>
        <w:rPr>
          <w:spacing w:val="-18"/>
        </w:rPr>
        <w:t>数</w:t>
      </w:r>
      <w:r>
        <w:rPr>
          <w:spacing w:val="-9"/>
        </w:rPr>
        <w:t>；A</w:t>
      </w:r>
      <w:r>
        <w:rPr>
          <w:spacing w:val="-53"/>
        </w:rPr>
        <w:t> </w:t>
      </w:r>
      <w:r>
        <w:rPr/>
        <w:t>类美元基金份额的基金份额净值以</w:t>
      </w:r>
      <w:r>
        <w:rPr>
          <w:spacing w:val="-53"/>
        </w:rPr>
        <w:t> </w:t>
      </w:r>
      <w:r>
        <w:rPr/>
        <w:t>A</w:t>
      </w:r>
      <w:r>
        <w:rPr>
          <w:spacing w:val="-53"/>
        </w:rPr>
        <w:t> </w:t>
      </w:r>
      <w:r>
        <w:rPr/>
        <w:t>类人</w:t>
      </w:r>
      <w:r>
        <w:rPr>
          <w:spacing w:val="-14"/>
        </w:rPr>
        <w:t>民</w:t>
      </w:r>
      <w:r>
        <w:rPr/>
        <w:t>币基金份额的基金份额净值为基础</w:t>
      </w:r>
      <w:r>
        <w:rPr>
          <w:spacing w:val="-88"/>
        </w:rPr>
        <w:t>，</w:t>
      </w:r>
      <w:r>
        <w:rPr/>
        <w:t>按照估值日的估值汇率</w:t>
      </w:r>
      <w:r>
        <w:rPr>
          <w:spacing w:val="-16"/>
        </w:rPr>
        <w:t>进</w:t>
      </w:r>
      <w:r>
        <w:rPr/>
        <w:t>行折</w:t>
      </w:r>
      <w:r>
        <w:rPr>
          <w:spacing w:val="-18"/>
        </w:rPr>
        <w:t>算</w:t>
      </w:r>
      <w:r>
        <w:rPr>
          <w:spacing w:val="-9"/>
        </w:rPr>
        <w:t>；C</w:t>
      </w:r>
      <w:r>
        <w:rPr>
          <w:spacing w:val="-53"/>
        </w:rPr>
        <w:t> </w:t>
      </w:r>
      <w:r>
        <w:rPr/>
        <w:t>类人民币基金份额的基金份额净值指以估值日</w:t>
      </w:r>
      <w:r>
        <w:rPr>
          <w:spacing w:val="-53"/>
        </w:rPr>
        <w:t> </w:t>
      </w:r>
      <w:r>
        <w:rPr/>
        <w:t>C</w:t>
      </w:r>
      <w:r>
        <w:rPr>
          <w:spacing w:val="-53"/>
        </w:rPr>
        <w:t> </w:t>
      </w:r>
      <w:r>
        <w:rPr>
          <w:spacing w:val="-14"/>
        </w:rPr>
        <w:t>类</w:t>
      </w:r>
      <w:r>
        <w:rPr>
          <w:spacing w:val="4"/>
        </w:rPr>
        <w:t>基金</w:t>
      </w:r>
      <w:r>
        <w:rPr>
          <w:spacing w:val="5"/>
        </w:rPr>
        <w:t>份</w:t>
      </w:r>
      <w:r>
        <w:rPr>
          <w:spacing w:val="4"/>
        </w:rPr>
        <w:t>额的基</w:t>
      </w:r>
      <w:r>
        <w:rPr>
          <w:spacing w:val="5"/>
        </w:rPr>
        <w:t>金</w:t>
      </w:r>
      <w:r>
        <w:rPr>
          <w:spacing w:val="4"/>
        </w:rPr>
        <w:t>资产净</w:t>
      </w:r>
      <w:r>
        <w:rPr>
          <w:spacing w:val="5"/>
        </w:rPr>
        <w:t>值</w:t>
      </w:r>
      <w:r>
        <w:rPr>
          <w:spacing w:val="4"/>
        </w:rPr>
        <w:t>除以估</w:t>
      </w:r>
      <w:r>
        <w:rPr>
          <w:spacing w:val="5"/>
        </w:rPr>
        <w:t>值</w:t>
      </w:r>
      <w:r>
        <w:rPr/>
        <w:t>日</w:t>
      </w:r>
      <w:r>
        <w:rPr>
          <w:spacing w:val="-48"/>
        </w:rPr>
        <w:t> </w:t>
      </w:r>
      <w:r>
        <w:rPr/>
        <w:t>C</w:t>
      </w:r>
      <w:r>
        <w:rPr>
          <w:spacing w:val="-48"/>
        </w:rPr>
        <w:t> </w:t>
      </w:r>
      <w:r>
        <w:rPr>
          <w:spacing w:val="4"/>
        </w:rPr>
        <w:t>类</w:t>
      </w:r>
      <w:r>
        <w:rPr>
          <w:spacing w:val="5"/>
        </w:rPr>
        <w:t>基</w:t>
      </w:r>
      <w:r>
        <w:rPr>
          <w:spacing w:val="4"/>
        </w:rPr>
        <w:t>金份额余</w:t>
      </w:r>
      <w:r>
        <w:rPr>
          <w:spacing w:val="5"/>
        </w:rPr>
        <w:t>额</w:t>
      </w:r>
      <w:r>
        <w:rPr>
          <w:spacing w:val="4"/>
        </w:rPr>
        <w:t>后</w:t>
      </w:r>
      <w:r>
        <w:rPr/>
        <w:t>得出的单位基金份额的价</w:t>
      </w:r>
      <w:r>
        <w:rPr>
          <w:spacing w:val="-45"/>
        </w:rPr>
        <w:t>值</w:t>
      </w:r>
      <w:r>
        <w:rPr>
          <w:spacing w:val="-44"/>
        </w:rPr>
        <w:t>；</w:t>
      </w:r>
      <w:r>
        <w:rPr/>
        <w:t>估值日</w:t>
      </w:r>
      <w:r>
        <w:rPr>
          <w:spacing w:val="-53"/>
        </w:rPr>
        <w:t> </w:t>
      </w:r>
      <w:r>
        <w:rPr/>
        <w:t>C</w:t>
      </w:r>
      <w:r>
        <w:rPr>
          <w:spacing w:val="-53"/>
        </w:rPr>
        <w:t> </w:t>
      </w:r>
      <w:r>
        <w:rPr/>
        <w:t>类基金份额余额为估值</w:t>
      </w:r>
      <w:r>
        <w:rPr>
          <w:spacing w:val="-14"/>
        </w:rPr>
        <w:t>日</w:t>
      </w:r>
      <w:r>
        <w:rPr/>
        <w:t>C</w:t>
      </w:r>
      <w:r>
        <w:rPr>
          <w:spacing w:val="-52"/>
        </w:rPr>
        <w:t> </w:t>
      </w:r>
      <w:r>
        <w:rPr/>
        <w:t>类各币种基金份额余额的合计数；C</w:t>
      </w:r>
      <w:r>
        <w:rPr>
          <w:spacing w:val="-52"/>
        </w:rPr>
        <w:t> </w:t>
      </w:r>
      <w:r>
        <w:rPr/>
        <w:t>类美元基金份额的基金份额净值以</w:t>
      </w:r>
      <w:r>
        <w:rPr>
          <w:spacing w:val="-53"/>
        </w:rPr>
        <w:t> </w:t>
      </w:r>
      <w:r>
        <w:rPr/>
        <w:t>C</w:t>
      </w:r>
      <w:r>
        <w:rPr>
          <w:spacing w:val="-53"/>
        </w:rPr>
        <w:t> </w:t>
      </w:r>
      <w:r>
        <w:rPr/>
        <w:t>类人民币基金份额的基金份额净值为基础</w:t>
      </w:r>
      <w:r>
        <w:rPr>
          <w:spacing w:val="-88"/>
        </w:rPr>
        <w:t>，</w:t>
      </w:r>
      <w:r>
        <w:rPr/>
        <w:t>按</w:t>
      </w:r>
      <w:r>
        <w:rPr>
          <w:spacing w:val="-15"/>
        </w:rPr>
        <w:t>照</w:t>
      </w:r>
      <w:r>
        <w:rPr/>
        <w:t>估值日的估值汇率进行折算</w:t>
      </w:r>
    </w:p>
    <w:p>
      <w:pPr>
        <w:pStyle w:val="BodyText"/>
        <w:tabs>
          <w:tab w:pos="3106" w:val="left" w:leader="none"/>
        </w:tabs>
        <w:spacing w:line="364" w:lineRule="auto"/>
        <w:ind w:left="3106" w:right="794" w:hanging="2310"/>
        <w:jc w:val="both"/>
      </w:pPr>
      <w:r>
        <w:rPr/>
        <w:t>基金资产估值</w:t>
        <w:tab/>
        <w:t>指计算</w:t>
      </w:r>
      <w:r>
        <w:rPr>
          <w:spacing w:val="-45"/>
        </w:rPr>
        <w:t>、</w:t>
      </w:r>
      <w:r>
        <w:rPr/>
        <w:t>评估基金资产和负债的价值</w:t>
      </w:r>
      <w:r>
        <w:rPr>
          <w:spacing w:val="-44"/>
        </w:rPr>
        <w:t>，</w:t>
      </w:r>
      <w:r>
        <w:rPr/>
        <w:t>以确定基金资产净值</w:t>
      </w:r>
      <w:r>
        <w:rPr>
          <w:spacing w:val="-15"/>
        </w:rPr>
        <w:t>和</w:t>
      </w:r>
      <w:r>
        <w:rPr/>
        <w:t>基金份额净值的过程</w:t>
      </w:r>
    </w:p>
    <w:p>
      <w:pPr>
        <w:pStyle w:val="BodyText"/>
        <w:tabs>
          <w:tab w:pos="3106" w:val="left" w:leader="none"/>
        </w:tabs>
        <w:spacing w:line="364" w:lineRule="auto"/>
        <w:ind w:left="3106" w:right="794" w:hanging="2310"/>
        <w:jc w:val="both"/>
      </w:pPr>
      <w:r>
        <w:rPr/>
        <w:t>货币市场工具</w:t>
        <w:tab/>
        <w:t>指银行存款</w:t>
      </w:r>
      <w:r>
        <w:rPr>
          <w:spacing w:val="-23"/>
        </w:rPr>
        <w:t>、</w:t>
      </w:r>
      <w:r>
        <w:rPr/>
        <w:t>可转让存单</w:t>
      </w:r>
      <w:r>
        <w:rPr>
          <w:spacing w:val="-23"/>
        </w:rPr>
        <w:t>、</w:t>
      </w:r>
      <w:r>
        <w:rPr/>
        <w:t>银行承兑汇票</w:t>
      </w:r>
      <w:r>
        <w:rPr>
          <w:spacing w:val="-22"/>
        </w:rPr>
        <w:t>、</w:t>
      </w:r>
      <w:r>
        <w:rPr/>
        <w:t>银行票据</w:t>
      </w:r>
      <w:r>
        <w:rPr>
          <w:spacing w:val="-23"/>
        </w:rPr>
        <w:t>、</w:t>
      </w:r>
      <w:r>
        <w:rPr/>
        <w:t>商业</w:t>
      </w:r>
      <w:r>
        <w:rPr>
          <w:spacing w:val="-13"/>
        </w:rPr>
        <w:t>票</w:t>
      </w:r>
      <w:r>
        <w:rPr/>
        <w:t>据</w:t>
      </w:r>
      <w:r>
        <w:rPr>
          <w:spacing w:val="-30"/>
        </w:rPr>
        <w:t>、</w:t>
      </w:r>
      <w:r>
        <w:rPr/>
        <w:t>回购协议</w:t>
      </w:r>
      <w:r>
        <w:rPr>
          <w:spacing w:val="-30"/>
        </w:rPr>
        <w:t>、</w:t>
      </w:r>
      <w:r>
        <w:rPr/>
        <w:t>短期政府债券等中国证监会</w:t>
      </w:r>
      <w:r>
        <w:rPr>
          <w:spacing w:val="-30"/>
        </w:rPr>
        <w:t>、</w:t>
      </w:r>
      <w:r>
        <w:rPr/>
        <w:t>中国人民银行</w:t>
      </w:r>
      <w:r>
        <w:rPr>
          <w:spacing w:val="-14"/>
        </w:rPr>
        <w:t>认</w:t>
      </w:r>
      <w:r>
        <w:rPr/>
        <w:t>可的具有良好流动性的金融工具</w:t>
      </w:r>
    </w:p>
    <w:p>
      <w:pPr>
        <w:pStyle w:val="BodyText"/>
        <w:tabs>
          <w:tab w:pos="3106" w:val="left" w:leader="none"/>
        </w:tabs>
        <w:spacing w:line="364" w:lineRule="auto"/>
        <w:ind w:left="3106" w:right="794" w:hanging="2310"/>
        <w:jc w:val="both"/>
      </w:pPr>
      <w:r>
        <w:rPr/>
        <w:t>黄金基金</w:t>
        <w:tab/>
        <w:t>指黄金</w:t>
      </w:r>
      <w:r>
        <w:rPr>
          <w:spacing w:val="-52"/>
        </w:rPr>
        <w:t> </w:t>
      </w:r>
      <w:r>
        <w:rPr/>
        <w:t>ETF（即跟踪黄金价格或黄金价格指数的</w:t>
      </w:r>
      <w:r>
        <w:rPr>
          <w:spacing w:val="-52"/>
        </w:rPr>
        <w:t> </w:t>
      </w:r>
      <w:r>
        <w:rPr/>
        <w:t>ETF）及黄金股票基</w:t>
      </w:r>
      <w:r>
        <w:rPr>
          <w:spacing w:val="-97"/>
        </w:rPr>
        <w:t>金</w:t>
      </w:r>
      <w:r>
        <w:rPr/>
        <w:t>（包括跟踪黄金股票指数的指数基金和</w:t>
      </w:r>
      <w:r>
        <w:rPr>
          <w:spacing w:val="-53"/>
        </w:rPr>
        <w:t> </w:t>
      </w:r>
      <w:r>
        <w:rPr/>
        <w:t>ETF</w:t>
      </w:r>
      <w:r>
        <w:rPr>
          <w:spacing w:val="-97"/>
        </w:rPr>
        <w:t>，</w:t>
      </w:r>
      <w:r>
        <w:rPr/>
        <w:t>以及</w:t>
      </w:r>
      <w:r>
        <w:rPr>
          <w:spacing w:val="-53"/>
        </w:rPr>
        <w:t> </w:t>
      </w:r>
      <w:r>
        <w:rPr>
          <w:spacing w:val="-5"/>
        </w:rPr>
        <w:t>80%</w:t>
      </w:r>
    </w:p>
    <w:p>
      <w:pPr>
        <w:spacing w:after="0" w:line="364" w:lineRule="auto"/>
        <w:jc w:val="both"/>
        <w:sectPr>
          <w:pgSz w:w="11910" w:h="16840"/>
          <w:pgMar w:header="0" w:footer="1118" w:top="1380" w:bottom="1380" w:left="1420" w:right="1000"/>
        </w:sectPr>
      </w:pPr>
    </w:p>
    <w:p>
      <w:pPr>
        <w:pStyle w:val="BodyText"/>
        <w:spacing w:before="45"/>
        <w:ind w:left="3106"/>
      </w:pPr>
      <w:r>
        <w:rPr/>
        <w:t>以上基金资产投资于黄金采掘公司股票的主动基金）</w:t>
      </w:r>
    </w:p>
    <w:p>
      <w:pPr>
        <w:pStyle w:val="BodyText"/>
        <w:tabs>
          <w:tab w:pos="3106" w:val="left" w:leader="none"/>
        </w:tabs>
        <w:spacing w:line="364" w:lineRule="auto" w:before="139"/>
        <w:ind w:left="3106" w:right="794" w:hanging="2310"/>
        <w:jc w:val="both"/>
      </w:pPr>
      <w:r>
        <w:rPr/>
        <w:t>指定媒介</w:t>
        <w:tab/>
      </w:r>
      <w:r>
        <w:rPr>
          <w:spacing w:val="4"/>
        </w:rPr>
        <w:t>指中</w:t>
      </w:r>
      <w:r>
        <w:rPr>
          <w:spacing w:val="5"/>
        </w:rPr>
        <w:t>国</w:t>
      </w:r>
      <w:r>
        <w:rPr>
          <w:spacing w:val="4"/>
        </w:rPr>
        <w:t>证监会</w:t>
      </w:r>
      <w:r>
        <w:rPr>
          <w:spacing w:val="5"/>
        </w:rPr>
        <w:t>指</w:t>
      </w:r>
      <w:r>
        <w:rPr>
          <w:spacing w:val="4"/>
        </w:rPr>
        <w:t>定的用</w:t>
      </w:r>
      <w:r>
        <w:rPr>
          <w:spacing w:val="5"/>
        </w:rPr>
        <w:t>以</w:t>
      </w:r>
      <w:r>
        <w:rPr>
          <w:spacing w:val="4"/>
        </w:rPr>
        <w:t>进行信</w:t>
      </w:r>
      <w:r>
        <w:rPr>
          <w:spacing w:val="5"/>
        </w:rPr>
        <w:t>息</w:t>
      </w:r>
      <w:r>
        <w:rPr>
          <w:spacing w:val="4"/>
        </w:rPr>
        <w:t>披露的</w:t>
      </w:r>
      <w:r>
        <w:rPr>
          <w:spacing w:val="5"/>
        </w:rPr>
        <w:t>全</w:t>
      </w:r>
      <w:r>
        <w:rPr>
          <w:spacing w:val="4"/>
        </w:rPr>
        <w:t>国性报刊</w:t>
      </w:r>
      <w:r>
        <w:rPr>
          <w:spacing w:val="5"/>
        </w:rPr>
        <w:t>及</w:t>
      </w:r>
      <w:r>
        <w:rPr>
          <w:spacing w:val="4"/>
        </w:rPr>
        <w:t>指</w:t>
      </w:r>
      <w:r>
        <w:rPr/>
        <w:t>定互联网网</w:t>
      </w:r>
      <w:r>
        <w:rPr>
          <w:spacing w:val="-30"/>
        </w:rPr>
        <w:t>站</w:t>
      </w:r>
      <w:r>
        <w:rPr/>
        <w:t>（包括基金管理人网站</w:t>
      </w:r>
      <w:r>
        <w:rPr>
          <w:spacing w:val="-30"/>
        </w:rPr>
        <w:t>、</w:t>
      </w:r>
      <w:r>
        <w:rPr/>
        <w:t>基金托管人网站</w:t>
      </w:r>
      <w:r>
        <w:rPr>
          <w:spacing w:val="-30"/>
        </w:rPr>
        <w:t>、</w:t>
      </w:r>
      <w:r>
        <w:rPr/>
        <w:t>中国</w:t>
      </w:r>
      <w:r>
        <w:rPr>
          <w:spacing w:val="-14"/>
        </w:rPr>
        <w:t>证</w:t>
      </w:r>
      <w:r>
        <w:rPr/>
        <w:t>监会基金电子披露网站）等媒介</w:t>
      </w:r>
    </w:p>
    <w:p>
      <w:pPr>
        <w:pStyle w:val="BodyText"/>
        <w:spacing w:line="364" w:lineRule="auto"/>
        <w:ind w:left="3106" w:right="794" w:hanging="2310"/>
      </w:pPr>
      <w:r>
        <w:rPr>
          <w:spacing w:val="-6"/>
        </w:rPr>
        <w:t>销售服务费指从基金财产中计提的，用于本基金市场推广、销售以及基金份额持有人服</w:t>
      </w:r>
      <w:r>
        <w:rPr/>
        <w:t>务的费用</w:t>
      </w:r>
    </w:p>
    <w:p>
      <w:pPr>
        <w:pStyle w:val="BodyText"/>
        <w:tabs>
          <w:tab w:pos="3106" w:val="left" w:leader="none"/>
        </w:tabs>
        <w:spacing w:line="364" w:lineRule="auto"/>
        <w:ind w:left="3106" w:right="689" w:hanging="2310"/>
      </w:pPr>
      <w:r>
        <w:rPr/>
        <w:t>不可抗力</w:t>
        <w:tab/>
        <w:t>指本合同当事人不能预见</w:t>
      </w:r>
      <w:r>
        <w:rPr>
          <w:spacing w:val="-88"/>
        </w:rPr>
        <w:t>、</w:t>
      </w:r>
      <w:r>
        <w:rPr/>
        <w:t>不能避免且不能克服的客观事件或因素</w:t>
      </w:r>
      <w:r>
        <w:rPr>
          <w:spacing w:val="-49"/>
        </w:rPr>
        <w:t>，</w:t>
      </w:r>
      <w:r>
        <w:rPr/>
        <w:t>包括但不限于洪水</w:t>
      </w:r>
      <w:r>
        <w:rPr>
          <w:spacing w:val="-49"/>
        </w:rPr>
        <w:t>、</w:t>
      </w:r>
      <w:r>
        <w:rPr/>
        <w:t>地震及其他自然灾害</w:t>
      </w:r>
      <w:r>
        <w:rPr>
          <w:spacing w:val="-49"/>
        </w:rPr>
        <w:t>、</w:t>
      </w:r>
      <w:r>
        <w:rPr/>
        <w:t>战争</w:t>
      </w:r>
      <w:r>
        <w:rPr>
          <w:spacing w:val="-49"/>
        </w:rPr>
        <w:t>、</w:t>
      </w:r>
      <w:r>
        <w:rPr/>
        <w:t>疫情</w:t>
      </w:r>
      <w:r>
        <w:rPr>
          <w:spacing w:val="-13"/>
        </w:rPr>
        <w:t>、</w:t>
      </w:r>
      <w:r>
        <w:rPr/>
        <w:t>骚乱</w:t>
      </w:r>
      <w:r>
        <w:rPr>
          <w:spacing w:val="-15"/>
        </w:rPr>
        <w:t>、</w:t>
      </w:r>
      <w:r>
        <w:rPr/>
        <w:t>火灾</w:t>
      </w:r>
      <w:r>
        <w:rPr>
          <w:spacing w:val="-15"/>
        </w:rPr>
        <w:t>、</w:t>
      </w:r>
      <w:r>
        <w:rPr/>
        <w:t>政府征用</w:t>
      </w:r>
      <w:r>
        <w:rPr>
          <w:spacing w:val="-15"/>
        </w:rPr>
        <w:t>、</w:t>
      </w:r>
      <w:r>
        <w:rPr/>
        <w:t>没收</w:t>
      </w:r>
      <w:r>
        <w:rPr>
          <w:spacing w:val="-15"/>
        </w:rPr>
        <w:t>、</w:t>
      </w:r>
      <w:r>
        <w:rPr/>
        <w:t>恐怖袭击</w:t>
      </w:r>
      <w:r>
        <w:rPr>
          <w:spacing w:val="-15"/>
        </w:rPr>
        <w:t>、</w:t>
      </w:r>
      <w:r>
        <w:rPr/>
        <w:t>传染病传播</w:t>
      </w:r>
      <w:r>
        <w:rPr>
          <w:spacing w:val="-15"/>
        </w:rPr>
        <w:t>、</w:t>
      </w:r>
      <w:r>
        <w:rPr/>
        <w:t>法律法规变化</w:t>
      </w:r>
      <w:r>
        <w:rPr>
          <w:spacing w:val="-45"/>
        </w:rPr>
        <w:t>、</w:t>
      </w:r>
      <w:r>
        <w:rPr/>
        <w:t>突发停电或其他突发事件</w:t>
      </w:r>
      <w:r>
        <w:rPr>
          <w:spacing w:val="-44"/>
        </w:rPr>
        <w:t>、</w:t>
      </w:r>
      <w:r>
        <w:rPr/>
        <w:t>证券交易场所非正常暂停或停止交易等</w:t>
      </w:r>
    </w:p>
    <w:p>
      <w:pPr>
        <w:pStyle w:val="BodyText"/>
        <w:spacing w:line="364" w:lineRule="auto"/>
        <w:ind w:left="3106" w:right="794" w:hanging="2310"/>
        <w:jc w:val="both"/>
      </w:pPr>
      <w:r>
        <w:rPr>
          <w:spacing w:val="-6"/>
        </w:rPr>
        <w:t>流动性受限资产       指由于法律法规、监管、合同或操作障碍等原因无法以合理价</w:t>
      </w:r>
      <w:r>
        <w:rPr>
          <w:spacing w:val="-3"/>
        </w:rPr>
        <w:t>格予以变现的资产，包括但不限于到期日在 </w:t>
      </w:r>
      <w:r>
        <w:rPr/>
        <w:t>10</w:t>
      </w:r>
      <w:r>
        <w:rPr>
          <w:spacing w:val="-9"/>
        </w:rPr>
        <w:t> 个交易日以上</w:t>
      </w:r>
      <w:r>
        <w:rPr>
          <w:spacing w:val="-17"/>
        </w:rPr>
        <w:t>的逆回购与银行定期存款</w:t>
      </w:r>
      <w:r>
        <w:rPr/>
        <w:t>（</w:t>
      </w:r>
      <w:r>
        <w:rPr>
          <w:spacing w:val="-2"/>
        </w:rPr>
        <w:t>含协议约定有条件提前支取的银行</w:t>
      </w:r>
      <w:r>
        <w:rPr/>
        <w:t>存款</w:t>
      </w:r>
      <w:r>
        <w:rPr>
          <w:spacing w:val="-105"/>
        </w:rPr>
        <w:t>）</w:t>
      </w:r>
      <w:r>
        <w:rPr/>
        <w:t>、停牌股票、流通受限的新股及非公开发行股票、资产支持证券、因发行人债务违约无法进行转让或交易的债券等</w:t>
      </w:r>
    </w:p>
    <w:p>
      <w:pPr>
        <w:spacing w:after="0" w:line="364" w:lineRule="auto"/>
        <w:jc w:val="both"/>
        <w:sectPr>
          <w:pgSz w:w="11910" w:h="16840"/>
          <w:pgMar w:header="0" w:footer="1118" w:top="1380" w:bottom="1380" w:left="1420" w:right="1000"/>
        </w:sectPr>
      </w:pPr>
    </w:p>
    <w:p>
      <w:pPr>
        <w:pStyle w:val="Heading1"/>
        <w:tabs>
          <w:tab w:pos="1260" w:val="left" w:leader="none"/>
        </w:tabs>
      </w:pPr>
      <w:bookmarkStart w:name="_bookmark2" w:id="3"/>
      <w:bookmarkEnd w:id="3"/>
      <w:r>
        <w:rPr>
          <w:b w:val="0"/>
        </w:rPr>
      </w:r>
      <w:r>
        <w:rPr/>
        <w:t>第三节</w:t>
        <w:tab/>
        <w:t>风险揭示</w:t>
      </w:r>
    </w:p>
    <w:p>
      <w:pPr>
        <w:pStyle w:val="BodyText"/>
        <w:spacing w:line="364" w:lineRule="auto" w:before="138"/>
        <w:ind w:left="376" w:right="585" w:firstLine="472"/>
      </w:pPr>
      <w:r>
        <w:rPr>
          <w:spacing w:val="-7"/>
        </w:rPr>
        <w:t>本基金为基金中基金，其投资于基金的资产合计不低于本基金基金资产净值的 </w:t>
      </w:r>
      <w:r>
        <w:rPr>
          <w:spacing w:val="-11"/>
        </w:rPr>
        <w:t>60%</w:t>
      </w:r>
      <w:r>
        <w:rPr>
          <w:spacing w:val="-6"/>
        </w:rPr>
        <w:t>，投</w:t>
      </w:r>
      <w:r>
        <w:rPr>
          <w:spacing w:val="-10"/>
        </w:rPr>
        <w:t>资于基金的资产中不低于 </w:t>
      </w:r>
      <w:r>
        <w:rPr/>
        <w:t>80%</w:t>
      </w:r>
      <w:r>
        <w:rPr>
          <w:spacing w:val="-5"/>
        </w:rPr>
        <w:t>投资于黄金基金，因此，本基金投资于黄金基金的资产占本基金</w:t>
      </w:r>
      <w:r>
        <w:rPr>
          <w:spacing w:val="-3"/>
        </w:rPr>
        <w:t>基金资产净值的比例可低至</w:t>
      </w:r>
      <w:r>
        <w:rPr/>
        <w:t>48%</w:t>
      </w:r>
      <w:r>
        <w:rPr>
          <w:spacing w:val="-11"/>
        </w:rPr>
        <w:t>。本基金的投资运作中可能出现的风险包括基金特有风险、境</w:t>
      </w:r>
      <w:r>
        <w:rPr>
          <w:spacing w:val="-13"/>
        </w:rPr>
        <w:t>外投资风险、基金运作风险、本基金法律文件中涉及基金风险特征的表述与销售机构对基 金</w:t>
      </w:r>
      <w:r>
        <w:rPr>
          <w:spacing w:val="-17"/>
        </w:rPr>
        <w:t>的风险评级可能不一致的风险、其他风险五类。其中基金特有风险主要包括基金业绩严重 受</w:t>
      </w:r>
      <w:r>
        <w:rPr>
          <w:spacing w:val="-19"/>
        </w:rPr>
        <w:t>黄金价格单一因素影响、投资黄金 </w:t>
      </w:r>
      <w:r>
        <w:rPr/>
        <w:t>ETF</w:t>
      </w:r>
      <w:r>
        <w:rPr>
          <w:spacing w:val="-10"/>
        </w:rPr>
        <w:t> 所面临的特有风险、投资对象资产数量与资产规模有限引致的特殊风险等；境外投资风险主要包括国别/地区市场风险、政府管制风险、监管 风险</w:t>
      </w:r>
      <w:r>
        <w:rPr>
          <w:spacing w:val="-11"/>
        </w:rPr>
        <w:t>、政治风险、流动性风险、汇率风险、利率风险、衍生品风险、金融模型风险、信用风 险等</w:t>
      </w:r>
      <w:r>
        <w:rPr>
          <w:spacing w:val="-1"/>
        </w:rPr>
        <w:t>；运作风险主要包括操作风险、会计核算风险、税务风险、交易结算风险、法律风险、证券借贷/正回购/逆回购风险等；其他风险主要包括自然灾害风险和第三方风险。</w:t>
      </w:r>
    </w:p>
    <w:p>
      <w:pPr>
        <w:pStyle w:val="Heading2"/>
        <w:tabs>
          <w:tab w:pos="1216" w:val="left" w:leader="none"/>
        </w:tabs>
        <w:spacing w:line="355" w:lineRule="exact"/>
      </w:pPr>
      <w:bookmarkStart w:name="_bookmark3" w:id="4"/>
      <w:bookmarkEnd w:id="4"/>
      <w:r>
        <w:rPr/>
      </w:r>
      <w:r>
        <w:rPr/>
        <w:t>一、</w:t>
        <w:tab/>
        <w:t>本基金特有风险</w:t>
      </w:r>
    </w:p>
    <w:p>
      <w:pPr>
        <w:pStyle w:val="BodyText"/>
        <w:spacing w:before="184"/>
        <w:ind w:left="849"/>
      </w:pPr>
      <w:r>
        <w:rPr/>
        <w:t>1、基金业绩严重受黄金价格单一因素的影响</w:t>
      </w:r>
    </w:p>
    <w:p>
      <w:pPr>
        <w:pStyle w:val="BodyText"/>
        <w:spacing w:line="364" w:lineRule="auto" w:before="140"/>
        <w:ind w:left="376" w:right="795" w:firstLine="472"/>
      </w:pPr>
      <w:r>
        <w:rPr/>
        <w:t>本基金主要投资黄金基金和黄金采掘公司股票，业绩表现受黄金价格波动影响较大。影响黄金价格波动的因素包括但不限于：</w:t>
      </w:r>
    </w:p>
    <w:p>
      <w:pPr>
        <w:pStyle w:val="ListParagraph"/>
        <w:numPr>
          <w:ilvl w:val="0"/>
          <w:numId w:val="1"/>
        </w:numPr>
        <w:tabs>
          <w:tab w:pos="1376" w:val="left" w:leader="none"/>
        </w:tabs>
        <w:spacing w:line="364" w:lineRule="auto" w:before="0" w:after="0"/>
        <w:ind w:left="376" w:right="794" w:firstLine="472"/>
        <w:jc w:val="left"/>
        <w:rPr>
          <w:sz w:val="21"/>
        </w:rPr>
      </w:pPr>
      <w:r>
        <w:rPr>
          <w:spacing w:val="-3"/>
          <w:sz w:val="21"/>
        </w:rPr>
        <w:t>全球黄金供给和需求的变动。包括因为黄金生产商的对冲、各国央行的购买和出</w:t>
      </w:r>
      <w:r>
        <w:rPr>
          <w:sz w:val="21"/>
        </w:rPr>
        <w:t>售、主要黄金生产国黄金生产成本的变动等；</w:t>
      </w:r>
    </w:p>
    <w:p>
      <w:pPr>
        <w:pStyle w:val="ListParagraph"/>
        <w:numPr>
          <w:ilvl w:val="0"/>
          <w:numId w:val="1"/>
        </w:numPr>
        <w:tabs>
          <w:tab w:pos="1376" w:val="left" w:leader="none"/>
        </w:tabs>
        <w:spacing w:line="268" w:lineRule="exact" w:before="0" w:after="0"/>
        <w:ind w:left="1375" w:right="0" w:hanging="527"/>
        <w:jc w:val="left"/>
        <w:rPr>
          <w:sz w:val="21"/>
        </w:rPr>
      </w:pPr>
      <w:r>
        <w:rPr>
          <w:sz w:val="21"/>
        </w:rPr>
        <w:t>投资者对通胀水平的预期；</w:t>
      </w:r>
    </w:p>
    <w:p>
      <w:pPr>
        <w:pStyle w:val="ListParagraph"/>
        <w:numPr>
          <w:ilvl w:val="0"/>
          <w:numId w:val="1"/>
        </w:numPr>
        <w:tabs>
          <w:tab w:pos="1376" w:val="left" w:leader="none"/>
        </w:tabs>
        <w:spacing w:line="240" w:lineRule="auto" w:before="138" w:after="0"/>
        <w:ind w:left="1375" w:right="0" w:hanging="527"/>
        <w:jc w:val="left"/>
        <w:rPr>
          <w:sz w:val="21"/>
        </w:rPr>
      </w:pPr>
      <w:r>
        <w:rPr>
          <w:sz w:val="21"/>
        </w:rPr>
        <w:t>主要经济体的利率水平；</w:t>
      </w:r>
    </w:p>
    <w:p>
      <w:pPr>
        <w:pStyle w:val="ListParagraph"/>
        <w:numPr>
          <w:ilvl w:val="0"/>
          <w:numId w:val="1"/>
        </w:numPr>
        <w:tabs>
          <w:tab w:pos="1376" w:val="left" w:leader="none"/>
        </w:tabs>
        <w:spacing w:line="240" w:lineRule="auto" w:before="140" w:after="0"/>
        <w:ind w:left="1375" w:right="0" w:hanging="527"/>
        <w:jc w:val="left"/>
        <w:rPr>
          <w:sz w:val="21"/>
        </w:rPr>
      </w:pPr>
      <w:r>
        <w:rPr>
          <w:sz w:val="21"/>
        </w:rPr>
        <w:t>主要经济体法定货币币值的变动；</w:t>
      </w:r>
    </w:p>
    <w:p>
      <w:pPr>
        <w:pStyle w:val="ListParagraph"/>
        <w:numPr>
          <w:ilvl w:val="0"/>
          <w:numId w:val="1"/>
        </w:numPr>
        <w:tabs>
          <w:tab w:pos="1376" w:val="left" w:leader="none"/>
        </w:tabs>
        <w:spacing w:line="240" w:lineRule="auto" w:before="139" w:after="0"/>
        <w:ind w:left="1375" w:right="0" w:hanging="527"/>
        <w:jc w:val="left"/>
        <w:rPr>
          <w:sz w:val="21"/>
        </w:rPr>
      </w:pPr>
      <w:r>
        <w:rPr>
          <w:sz w:val="21"/>
        </w:rPr>
        <w:t>各国央行、对冲基金、商品基金等机构投资者的投资与交易活动；</w:t>
      </w:r>
    </w:p>
    <w:p>
      <w:pPr>
        <w:pStyle w:val="ListParagraph"/>
        <w:numPr>
          <w:ilvl w:val="0"/>
          <w:numId w:val="1"/>
        </w:numPr>
        <w:tabs>
          <w:tab w:pos="1376" w:val="left" w:leader="none"/>
        </w:tabs>
        <w:spacing w:line="240" w:lineRule="auto" w:before="140" w:after="0"/>
        <w:ind w:left="1375" w:right="0" w:hanging="527"/>
        <w:jc w:val="left"/>
        <w:rPr>
          <w:sz w:val="21"/>
        </w:rPr>
      </w:pPr>
      <w:r>
        <w:rPr>
          <w:sz w:val="21"/>
        </w:rPr>
        <w:t>全球或地区政治、经济、金融局势及货币体系的变化。</w:t>
      </w:r>
    </w:p>
    <w:p>
      <w:pPr>
        <w:pStyle w:val="BodyText"/>
        <w:spacing w:line="364" w:lineRule="auto" w:before="139"/>
        <w:ind w:left="376" w:right="794" w:firstLine="472"/>
        <w:jc w:val="both"/>
      </w:pPr>
      <w:r>
        <w:rPr/>
        <w:t>黄金价格波动具有长周期的特点，其预期收益可能在较长的期限内超越股票、债券等</w:t>
      </w:r>
      <w:r>
        <w:rPr>
          <w:spacing w:val="-10"/>
        </w:rPr>
        <w:t>传统资产类别，也可能在较长期限内持续缺乏吸引力。黄金价格的长周期波动构成本基金最</w:t>
      </w:r>
      <w:r>
        <w:rPr>
          <w:spacing w:val="-9"/>
        </w:rPr>
        <w:t>大的风险，黄金价格下跌可能导致黄金基金净值下跌，黄金矿业公司盈利下降，黄金采掘公</w:t>
      </w:r>
      <w:r>
        <w:rPr/>
        <w:t>司股票价格下跌。</w:t>
      </w:r>
    </w:p>
    <w:p>
      <w:pPr>
        <w:pStyle w:val="BodyText"/>
        <w:spacing w:line="267" w:lineRule="exact"/>
        <w:ind w:left="849"/>
        <w:jc w:val="both"/>
      </w:pPr>
      <w:r>
        <w:rPr/>
        <w:t>2、投资黄金 ETF 所面临的特有风险</w:t>
      </w:r>
    </w:p>
    <w:p>
      <w:pPr>
        <w:pStyle w:val="BodyText"/>
        <w:spacing w:line="364" w:lineRule="auto" w:before="140"/>
        <w:ind w:left="376" w:right="795" w:firstLine="472"/>
      </w:pPr>
      <w:r>
        <w:rPr>
          <w:spacing w:val="-14"/>
        </w:rPr>
        <w:t>黄金 </w:t>
      </w:r>
      <w:r>
        <w:rPr/>
        <w:t>ETF</w:t>
      </w:r>
      <w:r>
        <w:rPr>
          <w:spacing w:val="-9"/>
        </w:rPr>
        <w:t> 大多追踪伦敦黄金市场定盘价，黄金价格的波动将体现在黄金 </w:t>
      </w:r>
      <w:r>
        <w:rPr/>
        <w:t>ETF</w:t>
      </w:r>
      <w:r>
        <w:rPr>
          <w:spacing w:val="-9"/>
        </w:rPr>
        <w:t> 的基金资产净值中。黄金价格的下跌将对基金资产形成不利影响。</w:t>
      </w:r>
    </w:p>
    <w:p>
      <w:pPr>
        <w:pStyle w:val="BodyText"/>
        <w:spacing w:line="364" w:lineRule="auto"/>
        <w:ind w:left="376" w:right="795" w:firstLine="472"/>
      </w:pPr>
      <w:r>
        <w:rPr>
          <w:spacing w:val="-11"/>
        </w:rPr>
        <w:t>黄金 </w:t>
      </w:r>
      <w:r>
        <w:rPr/>
        <w:t>ETF</w:t>
      </w:r>
      <w:r>
        <w:rPr>
          <w:spacing w:val="-6"/>
        </w:rPr>
        <w:t> 的市场价格受到二级市场供求关系的影响，价格可能与资产份额净值出现折价或溢价，因此面临流动性风险。</w:t>
      </w:r>
    </w:p>
    <w:p>
      <w:pPr>
        <w:pStyle w:val="BodyText"/>
        <w:spacing w:line="364" w:lineRule="auto"/>
        <w:ind w:left="376" w:right="794" w:firstLine="472"/>
      </w:pPr>
      <w:r>
        <w:rPr>
          <w:spacing w:val="-7"/>
        </w:rPr>
        <w:t>为维持黄金 </w:t>
      </w:r>
      <w:r>
        <w:rPr/>
        <w:t>ETF</w:t>
      </w:r>
      <w:r>
        <w:rPr>
          <w:spacing w:val="-9"/>
        </w:rPr>
        <w:t> 的运作，基金资产需承担一定费用，反映在黄金 </w:t>
      </w:r>
      <w:r>
        <w:rPr/>
        <w:t>ETF</w:t>
      </w:r>
      <w:r>
        <w:rPr>
          <w:spacing w:val="-7"/>
        </w:rPr>
        <w:t> 的价格和份额净</w:t>
      </w:r>
      <w:r>
        <w:rPr>
          <w:spacing w:val="-13"/>
        </w:rPr>
        <w:t>值中，体现为黄金 </w:t>
      </w:r>
      <w:r>
        <w:rPr/>
        <w:t>ETF</w:t>
      </w:r>
      <w:r>
        <w:rPr>
          <w:spacing w:val="-14"/>
        </w:rPr>
        <w:t> 的业绩表现落后于黄金价格涨幅。因此，本基金投资黄金 </w:t>
      </w:r>
      <w:r>
        <w:rPr/>
        <w:t>ETF</w:t>
      </w:r>
      <w:r>
        <w:rPr>
          <w:spacing w:val="-17"/>
        </w:rPr>
        <w:t> 的收益</w:t>
      </w:r>
    </w:p>
    <w:p>
      <w:pPr>
        <w:spacing w:after="0" w:line="364" w:lineRule="auto"/>
        <w:sectPr>
          <w:pgSz w:w="11910" w:h="16840"/>
          <w:pgMar w:header="0" w:footer="1118" w:top="1400" w:bottom="1380" w:left="1420" w:right="1000"/>
        </w:sectPr>
      </w:pPr>
    </w:p>
    <w:p>
      <w:pPr>
        <w:pStyle w:val="BodyText"/>
        <w:spacing w:before="45"/>
        <w:ind w:left="376"/>
      </w:pPr>
      <w:r>
        <w:rPr/>
        <w:t>会与黄金价格走势出现偏离。</w:t>
      </w:r>
    </w:p>
    <w:p>
      <w:pPr>
        <w:pStyle w:val="BodyText"/>
        <w:spacing w:line="364" w:lineRule="auto" w:before="139"/>
        <w:ind w:left="376" w:right="794" w:firstLine="472"/>
        <w:jc w:val="both"/>
      </w:pPr>
      <w:r>
        <w:rPr>
          <w:spacing w:val="-11"/>
        </w:rPr>
        <w:t>黄金 </w:t>
      </w:r>
      <w:r>
        <w:rPr/>
        <w:t>ETF</w:t>
      </w:r>
      <w:r>
        <w:rPr>
          <w:spacing w:val="-6"/>
        </w:rPr>
        <w:t> 所持有的实物黄金可能存在盗窃、损坏等风险，也可能因为实物黄金的品质</w:t>
      </w:r>
      <w:r>
        <w:rPr>
          <w:spacing w:val="-10"/>
        </w:rPr>
        <w:t>低于市场标准，或资产托管人</w:t>
      </w:r>
      <w:r>
        <w:rPr/>
        <w:t>（</w:t>
      </w:r>
      <w:r>
        <w:rPr>
          <w:spacing w:val="-8"/>
        </w:rPr>
        <w:t>此处特指黄金 </w:t>
      </w:r>
      <w:r>
        <w:rPr/>
        <w:t>ETF</w:t>
      </w:r>
      <w:r>
        <w:rPr>
          <w:spacing w:val="-9"/>
        </w:rPr>
        <w:t> 的资产托管人</w:t>
      </w:r>
      <w:r>
        <w:rPr>
          <w:spacing w:val="-30"/>
        </w:rPr>
        <w:t>）</w:t>
      </w:r>
      <w:r>
        <w:rPr>
          <w:spacing w:val="-2"/>
        </w:rPr>
        <w:t>未能及时将申购的黄金由</w:t>
      </w:r>
      <w:r>
        <w:rPr>
          <w:spacing w:val="-6"/>
        </w:rPr>
        <w:t>非指定账户转至基金指定账户，导致黄金 </w:t>
      </w:r>
      <w:r>
        <w:rPr/>
        <w:t>ETF</w:t>
      </w:r>
      <w:r>
        <w:rPr>
          <w:spacing w:val="-13"/>
        </w:rPr>
        <w:t> 的资产产生损失。如出现上述情形，基金资产</w:t>
      </w:r>
      <w:r>
        <w:rPr/>
        <w:t>将受到不利影响。</w:t>
      </w:r>
    </w:p>
    <w:p>
      <w:pPr>
        <w:pStyle w:val="BodyText"/>
        <w:spacing w:line="364" w:lineRule="auto"/>
        <w:ind w:left="376" w:right="794" w:firstLine="472"/>
        <w:jc w:val="both"/>
      </w:pPr>
      <w:r>
        <w:rPr/>
        <w:t>为进行避险和有效管理，本基金有可能投资于通过投资商品期货或互换协议等衍生工</w:t>
      </w:r>
      <w:r>
        <w:rPr>
          <w:spacing w:val="-3"/>
        </w:rPr>
        <w:t>具来追踪黄金价格或黄金价格指数的黄金 </w:t>
      </w:r>
      <w:r>
        <w:rPr/>
        <w:t>ETF</w:t>
      </w:r>
      <w:r>
        <w:rPr>
          <w:spacing w:val="-16"/>
        </w:rPr>
        <w:t>。此类黄金 </w:t>
      </w:r>
      <w:r>
        <w:rPr/>
        <w:t>ETF</w:t>
      </w:r>
      <w:r>
        <w:rPr>
          <w:spacing w:val="-9"/>
        </w:rPr>
        <w:t> 与其跟踪标的的表现可能不一</w:t>
      </w:r>
      <w:r>
        <w:rPr/>
        <w:t>致，并可能存在对手方信用风险，从而影响本基金的业绩表现。</w:t>
      </w:r>
    </w:p>
    <w:p>
      <w:pPr>
        <w:pStyle w:val="BodyText"/>
        <w:spacing w:line="268" w:lineRule="exact"/>
        <w:ind w:left="849"/>
      </w:pPr>
      <w:r>
        <w:rPr/>
        <w:t>3、投资对象资产数量与资产规模有限引致的特殊风险</w:t>
      </w:r>
    </w:p>
    <w:p>
      <w:pPr>
        <w:pStyle w:val="BodyText"/>
        <w:spacing w:line="364" w:lineRule="auto" w:before="138"/>
        <w:ind w:left="376" w:right="794" w:firstLine="472"/>
        <w:jc w:val="both"/>
      </w:pPr>
      <w:r>
        <w:rPr>
          <w:spacing w:val="-8"/>
        </w:rPr>
        <w:t>由于黄金 </w:t>
      </w:r>
      <w:r>
        <w:rPr/>
        <w:t>ETF</w:t>
      </w:r>
      <w:r>
        <w:rPr>
          <w:spacing w:val="-11"/>
        </w:rPr>
        <w:t> 与黄金股票指数 </w:t>
      </w:r>
      <w:r>
        <w:rPr/>
        <w:t>ETF</w:t>
      </w:r>
      <w:r>
        <w:rPr>
          <w:spacing w:val="-7"/>
        </w:rPr>
        <w:t> 数量和资产规模有限，本基金必须根据法律法规的</w:t>
      </w:r>
      <w:r>
        <w:rPr>
          <w:spacing w:val="-20"/>
        </w:rPr>
        <w:t>要求进行分散投资，影响了投资的灵活性。例如，当流动性最强、跟踪偏离度最低的黄金 </w:t>
      </w:r>
      <w:r>
        <w:rPr>
          <w:spacing w:val="-5"/>
        </w:rPr>
        <w:t>ETF </w:t>
      </w:r>
      <w:r>
        <w:rPr>
          <w:spacing w:val="-7"/>
        </w:rPr>
        <w:t>投资比例已达到合规性上限时，本基金必须寻找次优的投资目标，从而影响本基金的投资表</w:t>
      </w:r>
      <w:r>
        <w:rPr/>
        <w:t>现。</w:t>
      </w:r>
    </w:p>
    <w:p>
      <w:pPr>
        <w:pStyle w:val="BodyText"/>
        <w:spacing w:line="364" w:lineRule="auto"/>
        <w:ind w:left="376" w:right="795" w:firstLine="472"/>
      </w:pPr>
      <w:r>
        <w:rPr>
          <w:spacing w:val="-5"/>
        </w:rPr>
        <w:t>另外，如果黄金 </w:t>
      </w:r>
      <w:r>
        <w:rPr/>
        <w:t>ETF</w:t>
      </w:r>
      <w:r>
        <w:rPr>
          <w:spacing w:val="-9"/>
        </w:rPr>
        <w:t> 的规模大幅缩小，本基金对该黄金 </w:t>
      </w:r>
      <w:r>
        <w:rPr/>
        <w:t>ETF</w:t>
      </w:r>
      <w:r>
        <w:rPr>
          <w:spacing w:val="-7"/>
        </w:rPr>
        <w:t> 的投资可能会被动超标， 而被迫减持该基金，带来额外的交易成本，对基金资产净值形成负面影响。</w:t>
      </w:r>
    </w:p>
    <w:p>
      <w:pPr>
        <w:pStyle w:val="BodyText"/>
        <w:spacing w:line="268" w:lineRule="exact"/>
        <w:ind w:left="849"/>
      </w:pPr>
      <w:r>
        <w:rPr/>
        <w:t>4、上市交易及外汇额度限制引致的特殊风险</w:t>
      </w:r>
    </w:p>
    <w:p>
      <w:pPr>
        <w:pStyle w:val="ListParagraph"/>
        <w:numPr>
          <w:ilvl w:val="0"/>
          <w:numId w:val="2"/>
        </w:numPr>
        <w:tabs>
          <w:tab w:pos="1376" w:val="left" w:leader="none"/>
        </w:tabs>
        <w:spacing w:line="364" w:lineRule="auto" w:before="137" w:after="0"/>
        <w:ind w:left="376" w:right="794" w:firstLine="472"/>
        <w:jc w:val="left"/>
        <w:rPr>
          <w:sz w:val="21"/>
        </w:rPr>
      </w:pPr>
      <w:r>
        <w:rPr>
          <w:spacing w:val="-4"/>
          <w:sz w:val="21"/>
        </w:rPr>
        <w:t>在上市交易期间，如继续接受申购可能导致突破国家外汇局批准的外汇额度，本</w:t>
      </w:r>
      <w:r>
        <w:rPr>
          <w:sz w:val="21"/>
        </w:rPr>
        <w:t>基金将暂停申购，由此可能导致二级市场价格出现较大波动。</w:t>
      </w:r>
    </w:p>
    <w:p>
      <w:pPr>
        <w:pStyle w:val="ListParagraph"/>
        <w:numPr>
          <w:ilvl w:val="0"/>
          <w:numId w:val="2"/>
        </w:numPr>
        <w:tabs>
          <w:tab w:pos="1376" w:val="left" w:leader="none"/>
        </w:tabs>
        <w:spacing w:line="364" w:lineRule="auto" w:before="0" w:after="0"/>
        <w:ind w:left="376" w:right="794" w:firstLine="472"/>
        <w:jc w:val="both"/>
        <w:rPr>
          <w:sz w:val="21"/>
        </w:rPr>
      </w:pPr>
      <w:r>
        <w:rPr>
          <w:spacing w:val="-2"/>
          <w:sz w:val="21"/>
        </w:rPr>
        <w:t>当本基金因外汇额度原因暂停申购期间出现了较高的折溢价率，折溢价率可能因</w:t>
      </w:r>
      <w:r>
        <w:rPr>
          <w:spacing w:val="-4"/>
          <w:sz w:val="21"/>
        </w:rPr>
        <w:t>国家外汇局批准基金管理人新增外汇额度以及本基金恢复申购业务而大幅缩小，亦可能导致</w:t>
      </w:r>
      <w:r>
        <w:rPr>
          <w:sz w:val="21"/>
        </w:rPr>
        <w:t>本基金二级市场价格出现较大波动。</w:t>
      </w:r>
    </w:p>
    <w:p>
      <w:pPr>
        <w:pStyle w:val="ListParagraph"/>
        <w:numPr>
          <w:ilvl w:val="0"/>
          <w:numId w:val="2"/>
        </w:numPr>
        <w:tabs>
          <w:tab w:pos="1389" w:val="left" w:leader="none"/>
        </w:tabs>
        <w:spacing w:line="268" w:lineRule="exact" w:before="0" w:after="0"/>
        <w:ind w:left="1388" w:right="0" w:hanging="540"/>
        <w:jc w:val="left"/>
        <w:rPr>
          <w:sz w:val="21"/>
        </w:rPr>
      </w:pPr>
      <w:r>
        <w:rPr>
          <w:spacing w:val="3"/>
          <w:sz w:val="21"/>
        </w:rPr>
        <w:t>本基金二级市场收盘价折溢价率可能因黄金价格波动等市场因素发生较大变动。</w:t>
      </w:r>
    </w:p>
    <w:p>
      <w:pPr>
        <w:pStyle w:val="Heading2"/>
        <w:tabs>
          <w:tab w:pos="1216" w:val="left" w:leader="none"/>
        </w:tabs>
        <w:spacing w:before="140"/>
      </w:pPr>
      <w:bookmarkStart w:name="_bookmark4" w:id="5"/>
      <w:bookmarkEnd w:id="5"/>
      <w:r>
        <w:rPr/>
      </w:r>
      <w:r>
        <w:rPr/>
        <w:t>二、</w:t>
        <w:tab/>
        <w:t>境外投资风险</w:t>
      </w:r>
    </w:p>
    <w:p>
      <w:pPr>
        <w:pStyle w:val="BodyText"/>
        <w:spacing w:line="364" w:lineRule="auto" w:before="185"/>
        <w:ind w:left="376" w:right="794" w:firstLine="472"/>
        <w:jc w:val="both"/>
      </w:pPr>
      <w:r>
        <w:rPr/>
        <w:t>1、国别/</w:t>
      </w:r>
      <w:r>
        <w:rPr>
          <w:spacing w:val="-6"/>
        </w:rPr>
        <w:t>地区市场风险：国别</w:t>
      </w:r>
      <w:r>
        <w:rPr/>
        <w:t>/</w:t>
      </w:r>
      <w:r>
        <w:rPr>
          <w:spacing w:val="-1"/>
        </w:rPr>
        <w:t>地区市场风险系指本基金的境外投资受到所投资国家或</w:t>
      </w:r>
      <w:r>
        <w:rPr>
          <w:spacing w:val="-7"/>
        </w:rPr>
        <w:t>地区宏观经济运行情况、财政货币政策、产业政策等多种因素的影响，上述因素的变化可能</w:t>
      </w:r>
      <w:r>
        <w:rPr/>
        <w:t>会使基金资产面临潜在风险。此外，部分国家/地区（尤其是新兴市场国家或地区）证券市</w:t>
      </w:r>
      <w:r>
        <w:rPr>
          <w:spacing w:val="-5"/>
        </w:rPr>
        <w:t>场的运行规律和波动性异于国内证券市场，存在市场流动性不足、价格波动大、对外国投资</w:t>
      </w:r>
      <w:r>
        <w:rPr>
          <w:spacing w:val="-8"/>
        </w:rPr>
        <w:t>及本金汇出有管制、通货膨胀和通货紧缩、利率变动等风险，加上时间和空间的差异，在实</w:t>
      </w:r>
      <w:r>
        <w:rPr/>
        <w:t>际运作过程中，境外投资的市场风险比国内市场风险更难控制。</w:t>
      </w:r>
    </w:p>
    <w:p>
      <w:pPr>
        <w:pStyle w:val="BodyText"/>
        <w:spacing w:line="364" w:lineRule="auto"/>
        <w:ind w:left="376" w:right="689" w:firstLine="472"/>
        <w:jc w:val="both"/>
      </w:pPr>
      <w:r>
        <w:rPr/>
        <w:t>2</w:t>
      </w:r>
      <w:r>
        <w:rPr>
          <w:spacing w:val="-14"/>
        </w:rPr>
        <w:t>、政府管制风险：在特殊情况下，部分国家或地区的政府部门可能采取一定管制措施， </w:t>
      </w:r>
      <w:r>
        <w:rPr>
          <w:spacing w:val="-13"/>
        </w:rPr>
        <w:t>包括没收公司财产、对货币兑换进行限制、限制资本外流、征收高额税收、取消经营资格等， </w:t>
      </w:r>
      <w:r>
        <w:rPr/>
        <w:t>会对基金投资造成影响。</w:t>
      </w:r>
    </w:p>
    <w:p>
      <w:pPr>
        <w:pStyle w:val="BodyText"/>
        <w:spacing w:line="364" w:lineRule="auto"/>
        <w:ind w:left="376" w:right="794" w:firstLine="472"/>
      </w:pPr>
      <w:r>
        <w:rPr/>
        <w:t>3</w:t>
      </w:r>
      <w:r>
        <w:rPr>
          <w:spacing w:val="-7"/>
        </w:rPr>
        <w:t>、监管风险：由于监管层或监管模式出现非预期的变动，某些已经存在的或者运作的</w:t>
      </w:r>
      <w:r>
        <w:rPr>
          <w:spacing w:val="-5"/>
        </w:rPr>
        <w:t>交易可能被新的监管层或监管体系认定为非法交易，或受到更严格的管理，将导致基金运作</w:t>
      </w:r>
    </w:p>
    <w:p>
      <w:pPr>
        <w:spacing w:after="0" w:line="364" w:lineRule="auto"/>
        <w:sectPr>
          <w:pgSz w:w="11910" w:h="16840"/>
          <w:pgMar w:header="0" w:footer="1118" w:top="1380" w:bottom="1380" w:left="1420" w:right="1000"/>
        </w:sectPr>
      </w:pPr>
    </w:p>
    <w:p>
      <w:pPr>
        <w:pStyle w:val="BodyText"/>
        <w:spacing w:before="45"/>
        <w:ind w:left="376"/>
      </w:pPr>
      <w:r>
        <w:rPr/>
        <w:t>承受监管风险。基金运作可能被迫进行调整，由此可能对基金净值产生影响。</w:t>
      </w:r>
    </w:p>
    <w:p>
      <w:pPr>
        <w:pStyle w:val="BodyText"/>
        <w:spacing w:line="364" w:lineRule="auto" w:before="139"/>
        <w:ind w:left="376" w:right="689" w:firstLine="472"/>
        <w:jc w:val="both"/>
      </w:pPr>
      <w:r>
        <w:rPr/>
        <w:t>4</w:t>
      </w:r>
      <w:r>
        <w:rPr>
          <w:spacing w:val="-6"/>
        </w:rPr>
        <w:t>、政治风险：基金投资对象所在国家或地区的政治、经济、社会结构不稳定，可能发</w:t>
      </w:r>
      <w:r>
        <w:rPr>
          <w:spacing w:val="-12"/>
        </w:rPr>
        <w:t>生政府的快速更替、政策变化、地区冲突，或发生恐怖袭击、战争、暴动等，从而影响经济</w:t>
      </w:r>
      <w:r>
        <w:rPr>
          <w:spacing w:val="-16"/>
        </w:rPr>
        <w:t>增长、行业发展以及投资者信心，导致证券和货币市场大幅波动，对基金净值产生不利影响。</w:t>
      </w:r>
    </w:p>
    <w:p>
      <w:pPr>
        <w:pStyle w:val="BodyText"/>
        <w:spacing w:line="268" w:lineRule="exact"/>
        <w:ind w:left="849"/>
      </w:pPr>
      <w:r>
        <w:rPr/>
        <w:t>5、流动性风险：</w:t>
      </w:r>
    </w:p>
    <w:p>
      <w:pPr>
        <w:pStyle w:val="BodyText"/>
        <w:spacing w:before="7"/>
        <w:ind w:left="0"/>
        <w:rPr>
          <w:sz w:val="18"/>
        </w:rPr>
      </w:pPr>
    </w:p>
    <w:p>
      <w:pPr>
        <w:pStyle w:val="ListParagraph"/>
        <w:numPr>
          <w:ilvl w:val="0"/>
          <w:numId w:val="3"/>
        </w:numPr>
        <w:tabs>
          <w:tab w:pos="1323" w:val="left" w:leader="none"/>
        </w:tabs>
        <w:spacing w:line="240" w:lineRule="auto" w:before="0" w:after="0"/>
        <w:ind w:left="1323" w:right="0" w:hanging="527"/>
        <w:jc w:val="left"/>
        <w:rPr>
          <w:sz w:val="21"/>
        </w:rPr>
      </w:pPr>
      <w:r>
        <w:rPr>
          <w:sz w:val="21"/>
        </w:rPr>
        <w:t>流动性风险评估</w:t>
      </w:r>
    </w:p>
    <w:p>
      <w:pPr>
        <w:pStyle w:val="BodyText"/>
        <w:spacing w:before="7"/>
        <w:ind w:left="0"/>
        <w:rPr>
          <w:sz w:val="15"/>
        </w:rPr>
      </w:pPr>
    </w:p>
    <w:p>
      <w:pPr>
        <w:pStyle w:val="BodyText"/>
        <w:spacing w:line="417" w:lineRule="auto"/>
        <w:ind w:left="376" w:right="794" w:firstLine="420"/>
        <w:jc w:val="both"/>
      </w:pPr>
      <w:r>
        <w:rPr>
          <w:spacing w:val="-5"/>
        </w:rPr>
        <w:t>流动性风险指基金在短时间内购买以及售出金融工具，由于市场暂时的供需不平衡和本</w:t>
      </w:r>
      <w:r>
        <w:rPr>
          <w:spacing w:val="-8"/>
        </w:rPr>
        <w:t>基金较大的流动性需求，使得市场在交易过程中产生不利的暂时价格变动，增加交易成本和</w:t>
      </w:r>
      <w:r>
        <w:rPr/>
        <w:t>交易难度。</w:t>
      </w:r>
    </w:p>
    <w:p>
      <w:pPr>
        <w:pStyle w:val="BodyText"/>
        <w:spacing w:line="417" w:lineRule="auto"/>
        <w:ind w:left="376" w:right="794" w:firstLine="420"/>
        <w:jc w:val="both"/>
      </w:pPr>
      <w:r>
        <w:rPr>
          <w:spacing w:val="1"/>
        </w:rPr>
        <w:t>本基金可投资全球市场内依法可投资的公募基金（</w:t>
      </w:r>
      <w:r>
        <w:rPr>
          <w:spacing w:val="-26"/>
        </w:rPr>
        <w:t>含 </w:t>
      </w:r>
      <w:r>
        <w:rPr/>
        <w:t>ET</w:t>
      </w:r>
      <w:r>
        <w:rPr>
          <w:spacing w:val="1"/>
        </w:rPr>
        <w:t>F</w:t>
      </w:r>
      <w:r>
        <w:rPr>
          <w:spacing w:val="-103"/>
        </w:rPr>
        <w:t>）</w:t>
      </w:r>
      <w:r>
        <w:rPr/>
        <w:t>、股票、固定收益证券、货</w:t>
      </w:r>
      <w:r>
        <w:rPr>
          <w:spacing w:val="-9"/>
        </w:rPr>
        <w:t>币市场工具等，一般情况下，这些资产市场流动性较好。但本基金投资于上述资产时，仍存</w:t>
      </w:r>
      <w:r>
        <w:rPr/>
        <w:t>在以下流动性风险：当某国/地区的资本市场规模较小，金融市场不发达，某金融品种流通</w:t>
      </w:r>
      <w:r>
        <w:rPr>
          <w:spacing w:val="-10"/>
        </w:rPr>
        <w:t>市值较低，参与机构数量较少，成交不活跃，以及基金需要在短时间内进行大量交易时，有</w:t>
      </w:r>
      <w:r>
        <w:rPr>
          <w:spacing w:val="-7"/>
        </w:rPr>
        <w:t>可能发生流动性风险，导致基金难以及时建仓，或在出现大额赎回时，被迫在不利价格大量</w:t>
      </w:r>
      <w:r>
        <w:rPr/>
        <w:t>抛售证券，使基金净值遭受不利影响。</w:t>
      </w:r>
    </w:p>
    <w:p>
      <w:pPr>
        <w:pStyle w:val="ListParagraph"/>
        <w:numPr>
          <w:ilvl w:val="0"/>
          <w:numId w:val="3"/>
        </w:numPr>
        <w:tabs>
          <w:tab w:pos="1323" w:val="left" w:leader="none"/>
        </w:tabs>
        <w:spacing w:line="268" w:lineRule="exact" w:before="0" w:after="0"/>
        <w:ind w:left="1323" w:right="0" w:hanging="527"/>
        <w:jc w:val="left"/>
        <w:rPr>
          <w:sz w:val="21"/>
        </w:rPr>
      </w:pPr>
      <w:r>
        <w:rPr>
          <w:sz w:val="21"/>
        </w:rPr>
        <w:t>巨额赎回情形下的流动性风险管理措施</w:t>
      </w:r>
    </w:p>
    <w:p>
      <w:pPr>
        <w:pStyle w:val="BodyText"/>
        <w:spacing w:before="6"/>
        <w:ind w:left="0"/>
        <w:rPr>
          <w:sz w:val="15"/>
        </w:rPr>
      </w:pPr>
    </w:p>
    <w:p>
      <w:pPr>
        <w:pStyle w:val="BodyText"/>
        <w:spacing w:line="417" w:lineRule="auto"/>
        <w:ind w:left="376" w:right="585" w:firstLine="420"/>
      </w:pPr>
      <w:r>
        <w:rPr>
          <w:spacing w:val="-8"/>
        </w:rPr>
        <w:t>当本基金发生巨额赎回时，基金管理人可以根据基金当时的资产组合状况决定全额赎回 </w:t>
      </w:r>
      <w:r>
        <w:rPr>
          <w:spacing w:val="-12"/>
        </w:rPr>
        <w:t>或部分延期赎回；此外，如出现连续两个或两个以上开放日发生巨额赎回，可暂停接受投资 </w:t>
      </w:r>
      <w:r>
        <w:rPr>
          <w:spacing w:val="-16"/>
        </w:rPr>
        <w:t>人的赎回申请或延缓支付赎回款项；当本基金发生巨额赎回且单个基金份额持有人的赎回申 </w:t>
      </w:r>
      <w:r>
        <w:rPr>
          <w:spacing w:val="-19"/>
        </w:rPr>
        <w:t>请超过上一开放日基金总份额 </w:t>
      </w:r>
      <w:r>
        <w:rPr/>
        <w:t>10%</w:t>
      </w:r>
      <w:r>
        <w:rPr>
          <w:spacing w:val="-6"/>
        </w:rPr>
        <w:t>的，基金管理人有权对该单个基金份额持有人超出该比例的</w:t>
      </w:r>
      <w:r>
        <w:rPr>
          <w:spacing w:val="-2"/>
        </w:rPr>
        <w:t>赎回申请实施延期办理。具体情形、程序见招募说明书“第十节基金份额的申购、赎回” </w:t>
      </w:r>
      <w:r>
        <w:rPr>
          <w:spacing w:val="-8"/>
        </w:rPr>
        <w:t>之“十三、巨额赎回的认定及处理方式”。</w:t>
      </w:r>
    </w:p>
    <w:p>
      <w:pPr>
        <w:pStyle w:val="BodyText"/>
        <w:spacing w:line="417" w:lineRule="auto"/>
        <w:ind w:left="376" w:right="794"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ListParagraph"/>
        <w:numPr>
          <w:ilvl w:val="0"/>
          <w:numId w:val="3"/>
        </w:numPr>
        <w:tabs>
          <w:tab w:pos="1324" w:val="left" w:leader="none"/>
        </w:tabs>
        <w:spacing w:line="417" w:lineRule="auto" w:before="0" w:after="0"/>
        <w:ind w:left="376" w:right="795" w:firstLine="420"/>
        <w:jc w:val="left"/>
        <w:rPr>
          <w:sz w:val="21"/>
        </w:rPr>
      </w:pPr>
      <w:r>
        <w:rPr>
          <w:sz w:val="21"/>
        </w:rPr>
        <w:t>除巨额赎回情形外实施备用的流动性风险管理工具的情形、程序及对投资者的潜在影响</w:t>
      </w:r>
    </w:p>
    <w:p>
      <w:pPr>
        <w:pStyle w:val="BodyText"/>
        <w:spacing w:line="417" w:lineRule="auto"/>
        <w:ind w:left="376" w:right="585"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269" w:lineRule="exact"/>
      </w:pPr>
      <w:r>
        <w:rPr/>
        <w:t>暂停接受赎回申请、延缓支付赎回款项等工具的情形、程序见招募说明书“第十节基金</w:t>
      </w:r>
    </w:p>
    <w:p>
      <w:pPr>
        <w:spacing w:after="0" w:line="269" w:lineRule="exact"/>
        <w:sectPr>
          <w:pgSz w:w="11910" w:h="16840"/>
          <w:pgMar w:header="0" w:footer="1118" w:top="1380" w:bottom="1380" w:left="1420" w:right="1000"/>
        </w:sectPr>
      </w:pPr>
    </w:p>
    <w:p>
      <w:pPr>
        <w:pStyle w:val="BodyText"/>
        <w:spacing w:line="417" w:lineRule="auto" w:before="43"/>
        <w:ind w:left="376" w:right="585"/>
      </w:pPr>
      <w:r>
        <w:rPr>
          <w:spacing w:val="-10"/>
        </w:rPr>
        <w:t>份额的申购、赎回”之“十二、暂停赎回或者延缓支付赎回款项的情形及处理方式”的相关 </w:t>
      </w:r>
      <w:r>
        <w:rPr>
          <w:spacing w:val="-11"/>
        </w:rPr>
        <w:t>规定。若本基金暂停赎回申请，投资者在暂停赎回期间将无法赎回其持有的基金份额。若本 </w:t>
      </w:r>
      <w:r>
        <w:rPr/>
        <w:t>基金延缓支付赎回款项，赎回款支付时间将后延，可能对投资者的资金安排带来不利影响。</w:t>
      </w:r>
    </w:p>
    <w:p>
      <w:pPr>
        <w:pStyle w:val="BodyText"/>
        <w:spacing w:line="417" w:lineRule="auto"/>
        <w:ind w:left="376" w:right="794" w:firstLine="420"/>
        <w:jc w:val="both"/>
      </w:pPr>
      <w:r>
        <w:rPr>
          <w:spacing w:val="-3"/>
        </w:rPr>
        <w:t>短期赎回费适用于持续持有期少于 </w:t>
      </w:r>
      <w:r>
        <w:rPr/>
        <w:t>7</w:t>
      </w:r>
      <w:r>
        <w:rPr>
          <w:spacing w:val="-9"/>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17" w:lineRule="auto"/>
        <w:ind w:left="376" w:right="794" w:firstLine="420"/>
        <w:jc w:val="both"/>
      </w:pPr>
      <w:r>
        <w:rPr>
          <w:spacing w:val="-7"/>
        </w:rPr>
        <w:t>暂停基金估值的情形、程序见招募说明书“第十三节基金资产估值”之“七、暂停估值</w:t>
      </w:r>
      <w:r>
        <w:rPr>
          <w:spacing w:val="-11"/>
        </w:rPr>
        <w:t>的情形”的相关规定。若本基金暂停基金估值，一方面投资者将无法知晓本基金的基金份额</w:t>
      </w:r>
      <w:r>
        <w:rPr>
          <w:spacing w:val="-10"/>
        </w:rPr>
        <w:t>净值，另一方面基金将延缓支付赎回款项或暂停接受申购赎回申请，延缓支付赎回款项可能</w:t>
      </w:r>
    </w:p>
    <w:p>
      <w:pPr>
        <w:pStyle w:val="BodyText"/>
        <w:spacing w:line="269" w:lineRule="exact"/>
        <w:ind w:left="376"/>
      </w:pPr>
      <w:r>
        <w:rPr/>
        <w:t>影响投资者的资金安排，暂停接受申购赎回申请将导致投资者无法申购或赎回本基金。</w:t>
      </w:r>
    </w:p>
    <w:p>
      <w:pPr>
        <w:pStyle w:val="BodyText"/>
        <w:spacing w:line="364" w:lineRule="auto" w:before="100"/>
        <w:ind w:left="376" w:right="794" w:firstLine="472"/>
        <w:jc w:val="both"/>
      </w:pPr>
      <w:r>
        <w:rPr/>
        <w:t>6</w:t>
      </w:r>
      <w:r>
        <w:rPr>
          <w:spacing w:val="-7"/>
        </w:rPr>
        <w:t>、汇率风险：本基金投资的海外市场金融品种以外币计价，如果所投资市场的货币相</w:t>
      </w:r>
      <w:r>
        <w:rPr>
          <w:spacing w:val="-6"/>
        </w:rPr>
        <w:t>对于人民币贬值，将对基金收益产生不利影响；此外，外币对人民币的汇率大幅波动也将加</w:t>
      </w:r>
      <w:r>
        <w:rPr/>
        <w:t>大基金净值波动的幅度。</w:t>
      </w:r>
    </w:p>
    <w:p>
      <w:pPr>
        <w:pStyle w:val="BodyText"/>
        <w:spacing w:line="364" w:lineRule="auto"/>
        <w:ind w:left="376" w:right="794" w:firstLine="472"/>
        <w:jc w:val="both"/>
      </w:pPr>
      <w:r>
        <w:rPr/>
        <w:t>7</w:t>
      </w:r>
      <w:r>
        <w:rPr>
          <w:spacing w:val="-7"/>
        </w:rPr>
        <w:t>、利率风险：金融市场利率的波动会导致证券市场价格和收益率的变动。利率直接影响着债券的价格和收益率，影响着企业的融资成本和利润。基金投资于债券和股票，其收益</w:t>
      </w:r>
      <w:r>
        <w:rPr/>
        <w:t>水平可能会受到利率变化的影响。</w:t>
      </w:r>
    </w:p>
    <w:p>
      <w:pPr>
        <w:pStyle w:val="BodyText"/>
        <w:spacing w:line="364" w:lineRule="auto"/>
        <w:ind w:left="376" w:right="794" w:firstLine="472"/>
        <w:jc w:val="both"/>
      </w:pPr>
      <w:r>
        <w:rPr/>
        <w:t>8</w:t>
      </w:r>
      <w:r>
        <w:rPr>
          <w:spacing w:val="-3"/>
        </w:rPr>
        <w:t>、衍生品风险：本基金可能投资于以黄金 </w:t>
      </w:r>
      <w:r>
        <w:rPr/>
        <w:t>ETF</w:t>
      </w:r>
      <w:r>
        <w:rPr>
          <w:spacing w:val="-7"/>
        </w:rPr>
        <w:t>、黄金股票指数 </w:t>
      </w:r>
      <w:r>
        <w:rPr/>
        <w:t>ETF</w:t>
      </w:r>
      <w:r>
        <w:rPr>
          <w:spacing w:val="-8"/>
        </w:rPr>
        <w:t> 或黄金股票为标的</w:t>
      </w:r>
      <w:r>
        <w:rPr>
          <w:spacing w:val="-14"/>
        </w:rPr>
        <w:t>资产的期货与期权，以及外汇远期合约等金融衍生品。尽管本基金将谨慎地使用衍生品进行</w:t>
      </w:r>
      <w:r>
        <w:rPr>
          <w:spacing w:val="-9"/>
        </w:rPr>
        <w:t>投资，但衍生品仍可能给基金带来额外风险，包括杠杆风险、交易对手的信用风险、衍生品</w:t>
      </w:r>
      <w:r>
        <w:rPr>
          <w:spacing w:val="-6"/>
        </w:rPr>
        <w:t>价格与其基础品种的相关度降低带来的风险等，由此可能会增加基金净值的波动幅度。在本</w:t>
      </w:r>
      <w:r>
        <w:rPr/>
        <w:t>基金中，衍生品将仅用于避险和进行组合的有效管理。</w:t>
      </w:r>
    </w:p>
    <w:p>
      <w:pPr>
        <w:pStyle w:val="BodyText"/>
        <w:spacing w:line="364" w:lineRule="auto"/>
        <w:ind w:left="376" w:right="794" w:firstLine="472"/>
        <w:jc w:val="both"/>
      </w:pPr>
      <w:r>
        <w:rPr/>
        <w:t>9</w:t>
      </w:r>
      <w:r>
        <w:rPr>
          <w:spacing w:val="-6"/>
        </w:rPr>
        <w:t>、金融模型风险：基金管理人有时会使用金融模型来进行资产定价、趋势判断、风险</w:t>
      </w:r>
      <w:r>
        <w:rPr>
          <w:spacing w:val="-10"/>
        </w:rPr>
        <w:t>评估等，辅助其做出投资决策。但是金融模型通常是建立在一系列的学术假设之上的，投资</w:t>
      </w:r>
      <w:r>
        <w:rPr>
          <w:spacing w:val="-7"/>
        </w:rPr>
        <w:t>实践和学术假设之间存在一定的差距；而且金融模型结论的准确性往往受制于模型使用的数</w:t>
      </w:r>
      <w:r>
        <w:rPr>
          <w:spacing w:val="-10"/>
        </w:rPr>
        <w:t>据的精确性。因此，基金管理人在使用金融模型时，面临出现错误结论的可能性，形成投资</w:t>
      </w:r>
      <w:r>
        <w:rPr/>
        <w:t>风险。</w:t>
      </w:r>
    </w:p>
    <w:p>
      <w:pPr>
        <w:pStyle w:val="BodyText"/>
        <w:spacing w:line="364" w:lineRule="auto"/>
        <w:ind w:left="376" w:right="795" w:firstLine="472"/>
      </w:pPr>
      <w:r>
        <w:rPr/>
        <w:t>10、信用风险：信用风险是指基金在交易过程发生交收违约，或者基金所投资债券之发行人出现违约、拒绝支付到期本息，都可能导致基金资产损失和收益变化。</w:t>
      </w:r>
    </w:p>
    <w:p>
      <w:pPr>
        <w:pStyle w:val="Heading2"/>
        <w:tabs>
          <w:tab w:pos="1216" w:val="left" w:leader="none"/>
        </w:tabs>
      </w:pPr>
      <w:bookmarkStart w:name="_bookmark5" w:id="6"/>
      <w:bookmarkEnd w:id="6"/>
      <w:r>
        <w:rPr/>
      </w:r>
      <w:r>
        <w:rPr/>
        <w:t>三、</w:t>
        <w:tab/>
        <w:t>基金运作风险</w:t>
      </w:r>
    </w:p>
    <w:p>
      <w:pPr>
        <w:pStyle w:val="BodyText"/>
        <w:spacing w:line="364" w:lineRule="auto" w:before="177"/>
        <w:ind w:left="376" w:right="794" w:firstLine="420"/>
        <w:jc w:val="both"/>
      </w:pPr>
      <w:r>
        <w:rPr/>
        <w:t>1、操作风险：在开放式基金的各种交易行为或者后台运作中，可能因为技术系统的故</w:t>
      </w:r>
      <w:r>
        <w:rPr>
          <w:spacing w:val="-4"/>
        </w:rPr>
        <w:t>障或者差错而影响交易的正常进行或者导致投资者的利益受到影响。这种操作风险可能来自</w:t>
      </w:r>
      <w:r>
        <w:rPr>
          <w:spacing w:val="-9"/>
        </w:rPr>
        <w:t>基金管理公司、基金登记结算机构、销售机构、交易对手、托管行、证券交易所、证券登记</w:t>
      </w:r>
    </w:p>
    <w:p>
      <w:pPr>
        <w:spacing w:after="0" w:line="364" w:lineRule="auto"/>
        <w:jc w:val="both"/>
        <w:sectPr>
          <w:pgSz w:w="11910" w:h="16840"/>
          <w:pgMar w:header="0" w:footer="1118" w:top="1480" w:bottom="1380" w:left="1420" w:right="1000"/>
        </w:sectPr>
      </w:pPr>
    </w:p>
    <w:p>
      <w:pPr>
        <w:pStyle w:val="BodyText"/>
        <w:spacing w:before="45"/>
        <w:ind w:left="376"/>
      </w:pPr>
      <w:r>
        <w:rPr/>
        <w:t>结算机构等等。</w:t>
      </w:r>
    </w:p>
    <w:p>
      <w:pPr>
        <w:pStyle w:val="BodyText"/>
        <w:spacing w:line="364" w:lineRule="auto" w:before="139"/>
        <w:ind w:left="376" w:right="794" w:firstLine="420"/>
        <w:jc w:val="both"/>
      </w:pPr>
      <w:r>
        <w:rPr/>
        <w:t>2、会计核算风险：会计核算风险主要是指由于会计核算及会计管理上违规操作形成的</w:t>
      </w:r>
      <w:r>
        <w:rPr>
          <w:spacing w:val="-10"/>
        </w:rPr>
        <w:t>风险或错误，通常是指基金管理人在计算、整理、制证、填单、登账、编表、保管及其相关业务处理中，由于客观原因与非主观故意所造成的行为过失，从而对基金收益造成影响的风</w:t>
      </w:r>
      <w:r>
        <w:rPr/>
        <w:t>险。</w:t>
      </w:r>
    </w:p>
    <w:p>
      <w:pPr>
        <w:pStyle w:val="BodyText"/>
        <w:spacing w:line="364" w:lineRule="auto"/>
        <w:ind w:left="376" w:right="585" w:firstLine="420"/>
      </w:pPr>
      <w:r>
        <w:rPr>
          <w:spacing w:val="3"/>
        </w:rPr>
        <w:t>3、法律及税务风险：基金所投资的国家/</w:t>
      </w:r>
      <w:r>
        <w:rPr>
          <w:spacing w:val="2"/>
        </w:rPr>
        <w:t>地区在法律法规、税务政策可能与国内不同， </w:t>
      </w:r>
      <w:r>
        <w:rPr>
          <w:spacing w:val="-4"/>
        </w:rPr>
        <w:t>海外市场可能要求基金就股息、利息、资本利得等收益向当地税务机构缴纳税金，使基金收 益受到一定影响。此外，各国/地区的法律及税收规定可能发生变化，有可能对基金造成不 利影响。</w:t>
      </w:r>
    </w:p>
    <w:p>
      <w:pPr>
        <w:pStyle w:val="BodyText"/>
        <w:spacing w:line="364" w:lineRule="auto"/>
        <w:ind w:left="376" w:right="794" w:firstLine="420"/>
        <w:jc w:val="both"/>
      </w:pPr>
      <w:r>
        <w:rPr/>
        <w:t>4、交易结算风险：海外的证券交易佣金可能比国内高。海外证券交易所、货币市场、</w:t>
      </w:r>
      <w:r>
        <w:rPr>
          <w:spacing w:val="-5"/>
        </w:rPr>
        <w:t>证券交易体系以及证券经纪商的监管体系和制度与国内不同。证券交易交割时间、资金清算</w:t>
      </w:r>
      <w:r>
        <w:rPr>
          <w:spacing w:val="-6"/>
        </w:rPr>
        <w:t>时间有可能比国内需要更长时间。此外，在基金的投资交易中，因交易的对手方无法履行对</w:t>
      </w:r>
      <w:r>
        <w:rPr/>
        <w:t>一位或多位的交易对手的支付义务而使得基金在投资交易中蒙受损失。</w:t>
      </w:r>
    </w:p>
    <w:p>
      <w:pPr>
        <w:pStyle w:val="BodyText"/>
        <w:spacing w:line="364" w:lineRule="auto"/>
        <w:ind w:left="376" w:right="585" w:firstLine="420"/>
      </w:pPr>
      <w:r>
        <w:rPr/>
        <w:t>5、证券借贷/正回购/逆回购风险：证券借贷的风险表现为，作为证券借出方，如果交 </w:t>
      </w:r>
      <w:r>
        <w:rPr>
          <w:spacing w:val="-8"/>
        </w:rPr>
        <w:t>易对手方</w:t>
      </w:r>
      <w:r>
        <w:rPr/>
        <w:t>（即证券借入方</w:t>
      </w:r>
      <w:r>
        <w:rPr>
          <w:spacing w:val="-30"/>
        </w:rPr>
        <w:t>）</w:t>
      </w:r>
      <w:r>
        <w:rPr>
          <w:spacing w:val="-6"/>
        </w:rPr>
        <w:t>违约，则基金可能面临到期无法获得证券借贷收入甚至借出证券 </w:t>
      </w:r>
      <w:r>
        <w:rPr/>
        <w:t>无法归还的风险，从而导致基金资产发生损失。证券回购中的风险体现为，在回购交易中， </w:t>
      </w:r>
      <w:r>
        <w:rPr>
          <w:spacing w:val="-3"/>
        </w:rPr>
        <w:t>交易对手方可能因财务状况或其它原因不能履行付款或结算的义务，从而对基金资产价值造 成不利影响。</w:t>
      </w:r>
    </w:p>
    <w:p>
      <w:pPr>
        <w:tabs>
          <w:tab w:pos="1216" w:val="left" w:leader="none"/>
        </w:tabs>
        <w:spacing w:line="421" w:lineRule="exact" w:before="0"/>
        <w:ind w:left="376" w:right="0" w:firstLine="0"/>
        <w:jc w:val="left"/>
        <w:rPr>
          <w:rFonts w:ascii="Microsoft JhengHei" w:eastAsia="Microsoft JhengHei" w:hint="eastAsia"/>
          <w:b/>
          <w:sz w:val="28"/>
        </w:rPr>
      </w:pPr>
      <w:bookmarkStart w:name="_bookmark6" w:id="7"/>
      <w:bookmarkEnd w:id="7"/>
      <w:r>
        <w:rPr/>
      </w:r>
      <w:r>
        <w:rPr>
          <w:rFonts w:ascii="Microsoft JhengHei" w:eastAsia="Microsoft JhengHei" w:hint="eastAsia"/>
          <w:b/>
          <w:sz w:val="28"/>
        </w:rPr>
        <w:t>四、</w:t>
        <w:tab/>
      </w:r>
      <w:r>
        <w:rPr>
          <w:rFonts w:ascii="Microsoft JhengHei" w:eastAsia="Microsoft JhengHei" w:hint="eastAsia"/>
          <w:b/>
          <w:spacing w:val="7"/>
          <w:sz w:val="28"/>
        </w:rPr>
        <w:t>本基金法律文件中涉及基金风险特征的表述与销售机构对</w:t>
      </w:r>
      <w:r>
        <w:rPr>
          <w:rFonts w:ascii="Microsoft JhengHei" w:eastAsia="Microsoft JhengHei" w:hint="eastAsia"/>
          <w:b/>
          <w:sz w:val="28"/>
        </w:rPr>
        <w:t>基</w:t>
      </w:r>
    </w:p>
    <w:p>
      <w:pPr>
        <w:spacing w:before="25"/>
        <w:ind w:left="376" w:right="0" w:firstLine="0"/>
        <w:jc w:val="left"/>
        <w:rPr>
          <w:rFonts w:ascii="Microsoft JhengHei" w:eastAsia="Microsoft JhengHei" w:hint="eastAsia"/>
          <w:b/>
          <w:sz w:val="28"/>
        </w:rPr>
      </w:pPr>
      <w:r>
        <w:rPr>
          <w:rFonts w:ascii="Microsoft JhengHei" w:eastAsia="Microsoft JhengHei" w:hint="eastAsia"/>
          <w:b/>
          <w:sz w:val="28"/>
        </w:rPr>
        <w:t>金的风险评级可能不一致的风险</w:t>
      </w:r>
    </w:p>
    <w:p>
      <w:pPr>
        <w:pStyle w:val="BodyText"/>
        <w:spacing w:line="364" w:lineRule="auto" w:before="121"/>
        <w:ind w:left="376" w:right="794" w:firstLine="420"/>
        <w:jc w:val="both"/>
      </w:pPr>
      <w:r>
        <w:rPr>
          <w:spacing w:val="-10"/>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w:t>
      </w:r>
      <w:r>
        <w:rPr>
          <w:spacing w:val="-5"/>
        </w:rPr>
        <w:t>求完成风险承受能力与产品风险之间的匹配检验，并须及时关注销售机构对于本基金风险评</w:t>
      </w:r>
      <w:r>
        <w:rPr/>
        <w:t>级的调整情况，谨慎作出投资决策。</w:t>
      </w:r>
    </w:p>
    <w:p>
      <w:pPr>
        <w:pStyle w:val="Heading2"/>
        <w:tabs>
          <w:tab w:pos="1216" w:val="left" w:leader="none"/>
        </w:tabs>
        <w:spacing w:line="355" w:lineRule="exact"/>
      </w:pPr>
      <w:bookmarkStart w:name="_bookmark7" w:id="8"/>
      <w:bookmarkEnd w:id="8"/>
      <w:r>
        <w:rPr/>
      </w:r>
      <w:r>
        <w:rPr/>
        <w:t>五、</w:t>
        <w:tab/>
        <w:t>其他风险</w:t>
      </w:r>
    </w:p>
    <w:p>
      <w:pPr>
        <w:pStyle w:val="BodyText"/>
        <w:spacing w:line="364" w:lineRule="auto" w:before="184"/>
        <w:ind w:left="376" w:right="795" w:firstLine="420"/>
      </w:pPr>
      <w:r>
        <w:rPr/>
        <w:t>1、自然灾害风险：全球各地可能发生的自然灾害会直接影响到当地的经济运行状况， 进而影响到本基金所持有的当地证券的价格，从而影响到本基金的收益。</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jc w:val="both"/>
      </w:pPr>
      <w:r>
        <w:rPr/>
        <w:t>2</w:t>
      </w:r>
      <w:r>
        <w:rPr>
          <w:spacing w:val="-9"/>
        </w:rPr>
        <w:t>、第三方风险：本基金运作的当事人，如：管理人、境内</w:t>
      </w:r>
      <w:r>
        <w:rPr/>
        <w:t>/</w:t>
      </w:r>
      <w:r>
        <w:rPr>
          <w:spacing w:val="-2"/>
        </w:rPr>
        <w:t>境外托管行和券商等，在合</w:t>
      </w:r>
      <w:r>
        <w:rPr>
          <w:spacing w:val="-7"/>
        </w:rPr>
        <w:t>作中自身没有过错，但是当事人委托的或无任何关系的第三方的作为可能影响到当事人，并</w:t>
      </w:r>
      <w:r>
        <w:rPr/>
        <w:t>且进一步影响到基金的收益。</w:t>
      </w:r>
    </w:p>
    <w:p>
      <w:pPr>
        <w:spacing w:after="0" w:line="364" w:lineRule="auto"/>
        <w:jc w:val="both"/>
        <w:sectPr>
          <w:pgSz w:w="11910" w:h="16840"/>
          <w:pgMar w:header="0" w:footer="1118" w:top="1380" w:bottom="1380" w:left="1420" w:right="1000"/>
        </w:sectPr>
      </w:pPr>
    </w:p>
    <w:p>
      <w:pPr>
        <w:pStyle w:val="Heading1"/>
        <w:tabs>
          <w:tab w:pos="1260" w:val="left" w:leader="none"/>
        </w:tabs>
      </w:pPr>
      <w:bookmarkStart w:name="_bookmark8" w:id="9"/>
      <w:bookmarkEnd w:id="9"/>
      <w:r>
        <w:rPr>
          <w:b w:val="0"/>
        </w:rPr>
      </w:r>
      <w:r>
        <w:rPr/>
        <w:t>第四节</w:t>
        <w:tab/>
        <w:t>基金的投资</w:t>
      </w:r>
    </w:p>
    <w:p>
      <w:pPr>
        <w:pStyle w:val="Heading2"/>
        <w:tabs>
          <w:tab w:pos="1216" w:val="left" w:leader="none"/>
        </w:tabs>
        <w:spacing w:before="139"/>
      </w:pPr>
      <w:bookmarkStart w:name="_bookmark9" w:id="10"/>
      <w:bookmarkEnd w:id="10"/>
      <w:r>
        <w:rPr/>
      </w:r>
      <w:r>
        <w:rPr/>
        <w:t>一、</w:t>
        <w:tab/>
        <w:t>投资目标</w:t>
      </w:r>
    </w:p>
    <w:p>
      <w:pPr>
        <w:pStyle w:val="BodyText"/>
        <w:spacing w:before="185"/>
      </w:pPr>
      <w:r>
        <w:rPr/>
        <w:t>追求基金资产的长期稳定增值。</w:t>
      </w:r>
    </w:p>
    <w:p>
      <w:pPr>
        <w:pStyle w:val="Heading2"/>
        <w:tabs>
          <w:tab w:pos="1216" w:val="left" w:leader="none"/>
        </w:tabs>
        <w:spacing w:before="140"/>
      </w:pPr>
      <w:bookmarkStart w:name="_bookmark10" w:id="11"/>
      <w:bookmarkEnd w:id="11"/>
      <w:r>
        <w:rPr/>
      </w:r>
      <w:r>
        <w:rPr/>
        <w:t>二、</w:t>
        <w:tab/>
        <w:t>投资范围</w:t>
      </w:r>
    </w:p>
    <w:p>
      <w:pPr>
        <w:pStyle w:val="BodyText"/>
        <w:spacing w:line="364" w:lineRule="auto" w:before="185"/>
        <w:ind w:left="376" w:right="864" w:firstLine="420"/>
        <w:jc w:val="both"/>
      </w:pPr>
      <w:r>
        <w:rPr/>
        <w:t>本基金投资范围包括全球市场内依法可投资的公募基金（</w:t>
      </w:r>
      <w:r>
        <w:rPr>
          <w:spacing w:val="-27"/>
        </w:rPr>
        <w:t>含 </w:t>
      </w:r>
      <w:r>
        <w:rPr/>
        <w:t>ETF</w:t>
      </w:r>
      <w:r>
        <w:rPr>
          <w:spacing w:val="-105"/>
        </w:rPr>
        <w:t>）</w:t>
      </w:r>
      <w:r>
        <w:rPr>
          <w:spacing w:val="-2"/>
        </w:rPr>
        <w:t>、股票、固定收益证</w:t>
      </w:r>
      <w:r>
        <w:rPr/>
        <w:t>券、货币市场工具、金融衍生产品及中国证监会允许本基金投资的其他金融工具。</w:t>
      </w:r>
    </w:p>
    <w:p>
      <w:pPr>
        <w:pStyle w:val="BodyText"/>
        <w:spacing w:line="364" w:lineRule="auto"/>
        <w:ind w:left="376" w:right="813" w:firstLine="420"/>
        <w:jc w:val="both"/>
      </w:pPr>
      <w:r>
        <w:rPr/>
        <w:t>本基金的投资组合比例范围为：投资于基金的资产合计不低于本基金基金资产净值的60%，</w:t>
      </w:r>
      <w:r>
        <w:rPr>
          <w:spacing w:val="-5"/>
        </w:rPr>
        <w:t>投资于基金的资产中不低于 </w:t>
      </w:r>
      <w:r>
        <w:rPr/>
        <w:t>80%投资于黄金基金；现金或者到期日在一年以内的政府</w:t>
      </w:r>
      <w:r>
        <w:rPr>
          <w:spacing w:val="-3"/>
        </w:rPr>
        <w:t>债券的投资比例合计不低于本基金基金资产净值的 </w:t>
      </w:r>
      <w:r>
        <w:rPr/>
        <w:t>5%，现金不包括结算备付金、存出保证</w:t>
      </w:r>
      <w:r>
        <w:rPr>
          <w:spacing w:val="-4"/>
        </w:rPr>
        <w:t>金、应收申购款等。黄金基金指黄金 </w:t>
      </w:r>
      <w:r>
        <w:rPr/>
        <w:t>ETF（</w:t>
      </w:r>
      <w:r>
        <w:rPr>
          <w:spacing w:val="-4"/>
        </w:rPr>
        <w:t>即跟踪黄金价格或黄金价格指数的 </w:t>
      </w:r>
      <w:r>
        <w:rPr/>
        <w:t>ETF）</w:t>
      </w:r>
      <w:r>
        <w:rPr>
          <w:spacing w:val="-6"/>
        </w:rPr>
        <w:t>及黄金</w:t>
      </w:r>
      <w:r>
        <w:rPr/>
        <w:t>股票基金（</w:t>
      </w:r>
      <w:r>
        <w:rPr>
          <w:spacing w:val="-4"/>
        </w:rPr>
        <w:t>包括跟踪黄金股票指数的指数基金和 </w:t>
      </w:r>
      <w:r>
        <w:rPr/>
        <w:t>ETF，</w:t>
      </w:r>
      <w:r>
        <w:rPr>
          <w:spacing w:val="-18"/>
        </w:rPr>
        <w:t>以及 </w:t>
      </w:r>
      <w:r>
        <w:rPr/>
        <w:t>80%</w:t>
      </w:r>
      <w:r>
        <w:rPr>
          <w:spacing w:val="-2"/>
        </w:rPr>
        <w:t>以上基金资产投资于黄金采</w:t>
      </w:r>
      <w:r>
        <w:rPr/>
        <w:t>掘公司股票的主动基金</w:t>
      </w:r>
      <w:r>
        <w:rPr>
          <w:spacing w:val="-105"/>
        </w:rPr>
        <w:t>）</w:t>
      </w:r>
      <w:r>
        <w:rPr/>
        <w:t>。</w:t>
      </w:r>
    </w:p>
    <w:p>
      <w:pPr>
        <w:pStyle w:val="BodyText"/>
        <w:spacing w:line="364" w:lineRule="auto"/>
        <w:ind w:left="376" w:right="864" w:firstLine="420"/>
        <w:jc w:val="both"/>
      </w:pPr>
      <w:r>
        <w:rPr/>
        <w:t>如法律法规或监管机构以后允许基金直接投资黄金实物、黄金凭证或与实物商品挂钩的衍生品等其他工具（包括但不限于以后在国内上市、以跟踪黄金价格或黄金价格指数为</w:t>
      </w:r>
      <w:r>
        <w:rPr>
          <w:spacing w:val="-14"/>
        </w:rPr>
        <w:t>目的的 </w:t>
      </w:r>
      <w:r>
        <w:rPr/>
        <w:t>ETF，以及在国内外上市的黄金期货合约及黄金期权合约</w:t>
      </w:r>
      <w:r>
        <w:rPr>
          <w:spacing w:val="-105"/>
        </w:rPr>
        <w:t>）</w:t>
      </w:r>
      <w:r>
        <w:rPr>
          <w:spacing w:val="-2"/>
        </w:rPr>
        <w:t>，基金管理人可以将其纳</w:t>
      </w:r>
      <w:r>
        <w:rPr/>
        <w:t>入投资范围。</w:t>
      </w:r>
    </w:p>
    <w:p>
      <w:pPr>
        <w:pStyle w:val="BodyText"/>
        <w:spacing w:line="364" w:lineRule="auto"/>
        <w:ind w:left="376" w:right="1128" w:firstLine="420"/>
      </w:pPr>
      <w:r>
        <w:rPr/>
        <w:t>如法律法规或监管机构以后允许本基金投资其他品种，基金管理人在履行适当程序后，可以将其纳入投资范围。</w:t>
      </w:r>
    </w:p>
    <w:p>
      <w:pPr>
        <w:pStyle w:val="Heading2"/>
        <w:tabs>
          <w:tab w:pos="1216" w:val="left" w:leader="none"/>
        </w:tabs>
      </w:pPr>
      <w:bookmarkStart w:name="_bookmark11" w:id="12"/>
      <w:bookmarkEnd w:id="12"/>
      <w:r>
        <w:rPr/>
      </w:r>
      <w:r>
        <w:rPr/>
        <w:t>三、</w:t>
        <w:tab/>
        <w:t>投资理念</w:t>
      </w:r>
    </w:p>
    <w:p>
      <w:pPr>
        <w:pStyle w:val="BodyText"/>
        <w:spacing w:line="364" w:lineRule="auto" w:before="179"/>
        <w:ind w:left="376" w:right="795" w:firstLine="539"/>
      </w:pPr>
      <w:r>
        <w:rPr/>
        <w:t>通过对影响黄金价格的核心要素进行深入研究，把握黄金价格的中长期趋势；通过主动配置黄金基金、黄金采掘公司股票及其他资产，追求基金资产的长期稳定增值。</w:t>
      </w:r>
    </w:p>
    <w:p>
      <w:pPr>
        <w:pStyle w:val="Heading2"/>
        <w:tabs>
          <w:tab w:pos="1216" w:val="left" w:leader="none"/>
        </w:tabs>
      </w:pPr>
      <w:bookmarkStart w:name="_bookmark12" w:id="13"/>
      <w:bookmarkEnd w:id="13"/>
      <w:r>
        <w:rPr/>
      </w:r>
      <w:r>
        <w:rPr/>
        <w:t>四、</w:t>
        <w:tab/>
        <w:t>投资策略</w:t>
      </w:r>
    </w:p>
    <w:p>
      <w:pPr>
        <w:pStyle w:val="BodyText"/>
        <w:spacing w:before="185"/>
      </w:pPr>
      <w:r>
        <w:rPr/>
        <w:t>1、资产配置策略</w:t>
      </w:r>
    </w:p>
    <w:p>
      <w:pPr>
        <w:pStyle w:val="BodyText"/>
        <w:spacing w:line="364" w:lineRule="auto" w:before="140"/>
        <w:ind w:left="376" w:right="585" w:firstLine="420"/>
      </w:pPr>
      <w:r>
        <w:rPr>
          <w:spacing w:val="2"/>
        </w:rPr>
        <w:t>本基金主要通过对国际黄金价格中长期趋势的判断，在不同资产类别中进行资产配置。在研究、分析黄金价格趋势的过程中，本基金将重点考察以下因素：</w:t>
      </w:r>
    </w:p>
    <w:p>
      <w:pPr>
        <w:pStyle w:val="ListParagraph"/>
        <w:numPr>
          <w:ilvl w:val="0"/>
          <w:numId w:val="4"/>
        </w:numPr>
        <w:tabs>
          <w:tab w:pos="1323" w:val="left" w:leader="none"/>
        </w:tabs>
        <w:spacing w:line="268" w:lineRule="exact" w:before="0" w:after="0"/>
        <w:ind w:left="1323" w:right="0" w:hanging="527"/>
        <w:jc w:val="left"/>
        <w:rPr>
          <w:sz w:val="21"/>
        </w:rPr>
      </w:pPr>
      <w:r>
        <w:rPr>
          <w:sz w:val="21"/>
        </w:rPr>
        <w:t>各国央行黄金储备量的变化以及政策变化；</w:t>
      </w:r>
    </w:p>
    <w:p>
      <w:pPr>
        <w:pStyle w:val="ListParagraph"/>
        <w:numPr>
          <w:ilvl w:val="0"/>
          <w:numId w:val="4"/>
        </w:numPr>
        <w:tabs>
          <w:tab w:pos="1323" w:val="left" w:leader="none"/>
        </w:tabs>
        <w:spacing w:line="240" w:lineRule="auto" w:before="139" w:after="0"/>
        <w:ind w:left="1323" w:right="0" w:hanging="527"/>
        <w:jc w:val="left"/>
        <w:rPr>
          <w:sz w:val="21"/>
        </w:rPr>
      </w:pPr>
      <w:r>
        <w:rPr>
          <w:sz w:val="21"/>
        </w:rPr>
        <w:t>全球黄金开采与回收量、开采与回收成本的变化等；</w:t>
      </w:r>
    </w:p>
    <w:p>
      <w:pPr>
        <w:pStyle w:val="ListParagraph"/>
        <w:numPr>
          <w:ilvl w:val="0"/>
          <w:numId w:val="4"/>
        </w:numPr>
        <w:tabs>
          <w:tab w:pos="1323" w:val="left" w:leader="none"/>
        </w:tabs>
        <w:spacing w:line="240" w:lineRule="auto" w:before="140" w:after="0"/>
        <w:ind w:left="1323" w:right="0" w:hanging="527"/>
        <w:jc w:val="left"/>
        <w:rPr>
          <w:sz w:val="21"/>
        </w:rPr>
      </w:pPr>
      <w:r>
        <w:rPr>
          <w:sz w:val="21"/>
        </w:rPr>
        <w:t>全球黄金工业需求、消费需求及投资需求的变化；</w:t>
      </w:r>
    </w:p>
    <w:p>
      <w:pPr>
        <w:pStyle w:val="ListParagraph"/>
        <w:numPr>
          <w:ilvl w:val="0"/>
          <w:numId w:val="4"/>
        </w:numPr>
        <w:tabs>
          <w:tab w:pos="1323" w:val="left" w:leader="none"/>
        </w:tabs>
        <w:spacing w:line="240" w:lineRule="auto" w:before="139" w:after="0"/>
        <w:ind w:left="1323" w:right="0" w:hanging="527"/>
        <w:jc w:val="left"/>
        <w:rPr>
          <w:sz w:val="21"/>
        </w:rPr>
      </w:pPr>
      <w:r>
        <w:rPr>
          <w:sz w:val="21"/>
        </w:rPr>
        <w:t>全球利率水平及变化、主要国家货币政策、通胀率变化等；</w:t>
      </w:r>
    </w:p>
    <w:p>
      <w:pPr>
        <w:pStyle w:val="ListParagraph"/>
        <w:numPr>
          <w:ilvl w:val="0"/>
          <w:numId w:val="4"/>
        </w:numPr>
        <w:tabs>
          <w:tab w:pos="1323" w:val="left" w:leader="none"/>
        </w:tabs>
        <w:spacing w:line="240" w:lineRule="auto" w:before="139" w:after="0"/>
        <w:ind w:left="1323" w:right="0" w:hanging="527"/>
        <w:jc w:val="left"/>
        <w:rPr>
          <w:sz w:val="21"/>
        </w:rPr>
      </w:pPr>
      <w:r>
        <w:rPr>
          <w:sz w:val="21"/>
        </w:rPr>
        <w:t>战争、危机等特殊事件的发生以及对黄金价格的影响。</w:t>
      </w:r>
    </w:p>
    <w:p>
      <w:pPr>
        <w:pStyle w:val="BodyText"/>
        <w:spacing w:before="140"/>
      </w:pPr>
      <w:r>
        <w:rPr/>
        <w:t>根据以上分析结果，本基金将主要对以下类别资产进行主动配置：</w:t>
      </w:r>
    </w:p>
    <w:p>
      <w:pPr>
        <w:pStyle w:val="ListParagraph"/>
        <w:numPr>
          <w:ilvl w:val="0"/>
          <w:numId w:val="5"/>
        </w:numPr>
        <w:tabs>
          <w:tab w:pos="1323" w:val="left" w:leader="none"/>
        </w:tabs>
        <w:spacing w:line="240" w:lineRule="auto" w:before="139" w:after="0"/>
        <w:ind w:left="1323" w:right="0" w:hanging="527"/>
        <w:jc w:val="left"/>
        <w:rPr>
          <w:sz w:val="21"/>
        </w:rPr>
      </w:pPr>
      <w:r>
        <w:rPr>
          <w:spacing w:val="-18"/>
          <w:sz w:val="21"/>
        </w:rPr>
        <w:t>黄金 </w:t>
      </w:r>
      <w:r>
        <w:rPr>
          <w:sz w:val="21"/>
        </w:rPr>
        <w:t>ETF；</w:t>
      </w:r>
    </w:p>
    <w:p>
      <w:pPr>
        <w:spacing w:after="0" w:line="240" w:lineRule="auto"/>
        <w:jc w:val="left"/>
        <w:rPr>
          <w:sz w:val="21"/>
        </w:rPr>
        <w:sectPr>
          <w:pgSz w:w="11910" w:h="16840"/>
          <w:pgMar w:header="0" w:footer="1118" w:top="1400" w:bottom="1380" w:left="1420" w:right="1000"/>
        </w:sectPr>
      </w:pPr>
    </w:p>
    <w:p>
      <w:pPr>
        <w:pStyle w:val="ListParagraph"/>
        <w:numPr>
          <w:ilvl w:val="0"/>
          <w:numId w:val="5"/>
        </w:numPr>
        <w:tabs>
          <w:tab w:pos="1323" w:val="left" w:leader="none"/>
        </w:tabs>
        <w:spacing w:line="240" w:lineRule="auto" w:before="45" w:after="0"/>
        <w:ind w:left="1323" w:right="0" w:hanging="527"/>
        <w:jc w:val="left"/>
        <w:rPr>
          <w:sz w:val="21"/>
        </w:rPr>
      </w:pPr>
      <w:r>
        <w:rPr>
          <w:sz w:val="21"/>
        </w:rPr>
        <w:t>黄金股票类资产（包括黄金采掘公司股票及黄金股票基金</w:t>
      </w:r>
      <w:r>
        <w:rPr>
          <w:spacing w:val="-105"/>
          <w:sz w:val="21"/>
        </w:rPr>
        <w:t>）</w:t>
      </w:r>
      <w:r>
        <w:rPr>
          <w:sz w:val="21"/>
        </w:rPr>
        <w:t>；</w:t>
      </w:r>
    </w:p>
    <w:p>
      <w:pPr>
        <w:pStyle w:val="ListParagraph"/>
        <w:numPr>
          <w:ilvl w:val="0"/>
          <w:numId w:val="5"/>
        </w:numPr>
        <w:tabs>
          <w:tab w:pos="1323" w:val="left" w:leader="none"/>
        </w:tabs>
        <w:spacing w:line="240" w:lineRule="auto" w:before="139" w:after="0"/>
        <w:ind w:left="1323" w:right="0" w:hanging="527"/>
        <w:jc w:val="left"/>
        <w:rPr>
          <w:sz w:val="21"/>
        </w:rPr>
      </w:pPr>
      <w:r>
        <w:rPr>
          <w:sz w:val="21"/>
        </w:rPr>
        <w:t>其他资产。</w:t>
      </w:r>
    </w:p>
    <w:p>
      <w:pPr>
        <w:pStyle w:val="BodyText"/>
        <w:spacing w:line="364" w:lineRule="auto" w:before="140"/>
        <w:ind w:left="376" w:right="794" w:firstLine="420"/>
        <w:jc w:val="both"/>
      </w:pPr>
      <w:r>
        <w:rPr>
          <w:spacing w:val="-9"/>
        </w:rPr>
        <w:t>在其他因素不变的前提下，黄金价格的变动将引起黄金采掘企业的盈利水平同方向且更大幅度的波动，但黄金采掘企业的套期保值策略、产量、生产成本等实际经营情况也会影响</w:t>
      </w:r>
      <w:r>
        <w:rPr>
          <w:spacing w:val="-11"/>
        </w:rPr>
        <w:t>企业的盈利；此外，市场对黄金价格和企业增长的预期、行业板块的估值水平以及市场总体</w:t>
      </w:r>
      <w:r>
        <w:rPr>
          <w:spacing w:val="-6"/>
        </w:rPr>
        <w:t>趋势会对黄金采掘企业的股价产生影响。黄金价格与黄金采掘企业股价的差异化波动给本基金提供了战胜业绩比较基准的投资机会。当预期黄金价格下跌时，本基金管理人将从其他资</w:t>
      </w:r>
      <w:r>
        <w:rPr>
          <w:spacing w:val="-9"/>
        </w:rPr>
        <w:t>产中，选择有望带来稳健回报的品种进行投资，主要包括货币市场基金、债券基金、固定收益证券和股票等。本基金管理人将在深入研究黄金价格趋势、黄金采掘企业盈利和估值水平</w:t>
      </w:r>
      <w:r>
        <w:rPr>
          <w:spacing w:val="-6"/>
        </w:rPr>
        <w:t>变化，以及考察其他品种的风险收益特征的基础上，进行黄金 </w:t>
      </w:r>
      <w:r>
        <w:rPr/>
        <w:t>ETF</w:t>
      </w:r>
      <w:r>
        <w:rPr>
          <w:spacing w:val="-5"/>
        </w:rPr>
        <w:t>、黄金股票类资产以及其</w:t>
      </w:r>
      <w:r>
        <w:rPr/>
        <w:t>他资产的比例配置，并不断进行组合的优化。</w:t>
      </w:r>
    </w:p>
    <w:p>
      <w:pPr>
        <w:pStyle w:val="BodyText"/>
        <w:spacing w:line="265" w:lineRule="exact"/>
        <w:jc w:val="both"/>
      </w:pPr>
      <w:r>
        <w:rPr/>
        <w:t>2、黄金 ETF 的选择标准</w:t>
      </w:r>
    </w:p>
    <w:p>
      <w:pPr>
        <w:pStyle w:val="BodyText"/>
        <w:spacing w:line="364" w:lineRule="auto" w:before="139"/>
        <w:ind w:left="376" w:right="794" w:firstLine="420"/>
        <w:jc w:val="both"/>
      </w:pPr>
      <w:r>
        <w:rPr>
          <w:spacing w:val="-18"/>
        </w:rPr>
        <w:t>黄金 </w:t>
      </w:r>
      <w:r>
        <w:rPr/>
        <w:t>ETF</w:t>
      </w:r>
      <w:r>
        <w:rPr>
          <w:spacing w:val="-13"/>
        </w:rPr>
        <w:t> 以追踪黄金价格或黄金价格指数为目标，属于高度同质化的产品。本基金在选</w:t>
      </w:r>
      <w:r>
        <w:rPr>
          <w:spacing w:val="-14"/>
        </w:rPr>
        <w:t>择黄金 </w:t>
      </w:r>
      <w:r>
        <w:rPr/>
        <w:t>ETF</w:t>
      </w:r>
      <w:r>
        <w:rPr>
          <w:spacing w:val="-13"/>
        </w:rPr>
        <w:t> 时将综合考虑基金规模、跟踪偏离度与跟踪误差、折溢价、二级市场流动性、综</w:t>
      </w:r>
      <w:r>
        <w:rPr>
          <w:spacing w:val="-2"/>
        </w:rPr>
        <w:t>合费率、信用风险及汇率风险等因素。此外，本基金将不参与黄金 </w:t>
      </w:r>
      <w:r>
        <w:rPr/>
        <w:t>ETF</w:t>
      </w:r>
      <w:r>
        <w:rPr>
          <w:spacing w:val="-9"/>
        </w:rPr>
        <w:t> 的实物申赎。</w:t>
      </w:r>
    </w:p>
    <w:p>
      <w:pPr>
        <w:pStyle w:val="BodyText"/>
        <w:spacing w:line="268" w:lineRule="exact"/>
      </w:pPr>
      <w:r>
        <w:rPr/>
        <w:t>3、黄金股票类资产的选择标准</w:t>
      </w:r>
    </w:p>
    <w:p>
      <w:pPr>
        <w:pStyle w:val="BodyText"/>
        <w:spacing w:before="140"/>
      </w:pPr>
      <w:r>
        <w:rPr/>
        <w:t>本基金对黄金采掘公司股票进行投资主要考虑以下因素：</w:t>
      </w:r>
    </w:p>
    <w:p>
      <w:pPr>
        <w:pStyle w:val="ListParagraph"/>
        <w:numPr>
          <w:ilvl w:val="0"/>
          <w:numId w:val="6"/>
        </w:numPr>
        <w:tabs>
          <w:tab w:pos="1323" w:val="left" w:leader="none"/>
        </w:tabs>
        <w:spacing w:line="240" w:lineRule="auto" w:before="139" w:after="0"/>
        <w:ind w:left="1323" w:right="0" w:hanging="527"/>
        <w:jc w:val="left"/>
        <w:rPr>
          <w:sz w:val="21"/>
        </w:rPr>
      </w:pPr>
      <w:r>
        <w:rPr>
          <w:sz w:val="21"/>
        </w:rPr>
        <w:t>金矿的储量、开采难度等；</w:t>
      </w:r>
    </w:p>
    <w:p>
      <w:pPr>
        <w:pStyle w:val="ListParagraph"/>
        <w:numPr>
          <w:ilvl w:val="0"/>
          <w:numId w:val="6"/>
        </w:numPr>
        <w:tabs>
          <w:tab w:pos="1323" w:val="left" w:leader="none"/>
        </w:tabs>
        <w:spacing w:line="240" w:lineRule="auto" w:before="140" w:after="0"/>
        <w:ind w:left="1323" w:right="0" w:hanging="527"/>
        <w:jc w:val="left"/>
        <w:rPr>
          <w:sz w:val="21"/>
        </w:rPr>
      </w:pPr>
      <w:r>
        <w:rPr>
          <w:sz w:val="21"/>
        </w:rPr>
        <w:t>开采技术、生产能力以及产量的预期变化；</w:t>
      </w:r>
    </w:p>
    <w:p>
      <w:pPr>
        <w:pStyle w:val="ListParagraph"/>
        <w:numPr>
          <w:ilvl w:val="0"/>
          <w:numId w:val="6"/>
        </w:numPr>
        <w:tabs>
          <w:tab w:pos="1323" w:val="left" w:leader="none"/>
        </w:tabs>
        <w:spacing w:line="240" w:lineRule="auto" w:before="139" w:after="0"/>
        <w:ind w:left="1323" w:right="0" w:hanging="527"/>
        <w:jc w:val="left"/>
        <w:rPr>
          <w:sz w:val="21"/>
        </w:rPr>
      </w:pPr>
      <w:r>
        <w:rPr>
          <w:sz w:val="21"/>
        </w:rPr>
        <w:t>经营成本的变化；</w:t>
      </w:r>
    </w:p>
    <w:p>
      <w:pPr>
        <w:pStyle w:val="ListParagraph"/>
        <w:numPr>
          <w:ilvl w:val="0"/>
          <w:numId w:val="6"/>
        </w:numPr>
        <w:tabs>
          <w:tab w:pos="1323" w:val="left" w:leader="none"/>
        </w:tabs>
        <w:spacing w:line="240" w:lineRule="auto" w:before="139" w:after="0"/>
        <w:ind w:left="1323" w:right="0" w:hanging="527"/>
        <w:jc w:val="left"/>
        <w:rPr>
          <w:sz w:val="21"/>
        </w:rPr>
      </w:pPr>
      <w:r>
        <w:rPr>
          <w:sz w:val="21"/>
        </w:rPr>
        <w:t>黄金价格变动对企业盈利影响的敏感性；</w:t>
      </w:r>
    </w:p>
    <w:p>
      <w:pPr>
        <w:pStyle w:val="ListParagraph"/>
        <w:numPr>
          <w:ilvl w:val="0"/>
          <w:numId w:val="6"/>
        </w:numPr>
        <w:tabs>
          <w:tab w:pos="1323" w:val="left" w:leader="none"/>
        </w:tabs>
        <w:spacing w:line="240" w:lineRule="auto" w:before="140" w:after="0"/>
        <w:ind w:left="1323" w:right="0" w:hanging="527"/>
        <w:jc w:val="left"/>
        <w:rPr>
          <w:sz w:val="21"/>
        </w:rPr>
      </w:pPr>
      <w:r>
        <w:rPr>
          <w:sz w:val="21"/>
        </w:rPr>
        <w:t>在同行业、类似企业中，估值的比较分析等。</w:t>
      </w:r>
    </w:p>
    <w:p>
      <w:pPr>
        <w:pStyle w:val="BodyText"/>
        <w:spacing w:before="139"/>
      </w:pPr>
      <w:r>
        <w:rPr/>
        <w:t>对黄金股票基金进行研究与分析时，本基金将重点考察以下因素：</w:t>
      </w:r>
    </w:p>
    <w:p>
      <w:pPr>
        <w:pStyle w:val="ListParagraph"/>
        <w:numPr>
          <w:ilvl w:val="0"/>
          <w:numId w:val="7"/>
        </w:numPr>
        <w:tabs>
          <w:tab w:pos="1324" w:val="left" w:leader="none"/>
        </w:tabs>
        <w:spacing w:line="364" w:lineRule="auto" w:before="140" w:after="0"/>
        <w:ind w:left="376" w:right="795" w:firstLine="420"/>
        <w:jc w:val="left"/>
        <w:rPr>
          <w:sz w:val="21"/>
        </w:rPr>
      </w:pPr>
      <w:r>
        <w:rPr>
          <w:sz w:val="21"/>
        </w:rPr>
        <w:t>基金的跟踪误差、超额收益、取得超额收益的持续性以及单位跟踪误差风险的超额收益；</w:t>
      </w:r>
    </w:p>
    <w:p>
      <w:pPr>
        <w:pStyle w:val="ListParagraph"/>
        <w:numPr>
          <w:ilvl w:val="0"/>
          <w:numId w:val="7"/>
        </w:numPr>
        <w:tabs>
          <w:tab w:pos="1323" w:val="left" w:leader="none"/>
        </w:tabs>
        <w:spacing w:line="268" w:lineRule="exact" w:before="0" w:after="0"/>
        <w:ind w:left="1323" w:right="0" w:hanging="527"/>
        <w:jc w:val="left"/>
        <w:rPr>
          <w:sz w:val="21"/>
        </w:rPr>
      </w:pPr>
      <w:r>
        <w:rPr>
          <w:sz w:val="21"/>
        </w:rPr>
        <w:t>基金的投资策略以及投资风格的稳定性；</w:t>
      </w:r>
    </w:p>
    <w:p>
      <w:pPr>
        <w:pStyle w:val="ListParagraph"/>
        <w:numPr>
          <w:ilvl w:val="0"/>
          <w:numId w:val="7"/>
        </w:numPr>
        <w:tabs>
          <w:tab w:pos="1323" w:val="left" w:leader="none"/>
        </w:tabs>
        <w:spacing w:line="240" w:lineRule="auto" w:before="139" w:after="0"/>
        <w:ind w:left="1323" w:right="0" w:hanging="527"/>
        <w:jc w:val="left"/>
        <w:rPr>
          <w:sz w:val="21"/>
        </w:rPr>
      </w:pPr>
      <w:r>
        <w:rPr>
          <w:sz w:val="21"/>
        </w:rPr>
        <w:t>资产管理人的管理规模、组合经理的管理经验；</w:t>
      </w:r>
    </w:p>
    <w:p>
      <w:pPr>
        <w:pStyle w:val="ListParagraph"/>
        <w:numPr>
          <w:ilvl w:val="0"/>
          <w:numId w:val="7"/>
        </w:numPr>
        <w:tabs>
          <w:tab w:pos="1323" w:val="left" w:leader="none"/>
        </w:tabs>
        <w:spacing w:line="240" w:lineRule="auto" w:before="140" w:after="0"/>
        <w:ind w:left="1323" w:right="0" w:hanging="527"/>
        <w:jc w:val="left"/>
        <w:rPr>
          <w:sz w:val="21"/>
        </w:rPr>
      </w:pPr>
      <w:r>
        <w:rPr>
          <w:sz w:val="21"/>
        </w:rPr>
        <w:t>基金的规模、成立时间、销售地域、申购手续的便捷性、基金的综合费率等。</w:t>
      </w:r>
    </w:p>
    <w:p>
      <w:pPr>
        <w:pStyle w:val="BodyText"/>
        <w:spacing w:before="139"/>
      </w:pPr>
      <w:r>
        <w:rPr/>
        <w:t>4、其他资产的选择标准</w:t>
      </w:r>
    </w:p>
    <w:p>
      <w:pPr>
        <w:pStyle w:val="BodyText"/>
        <w:spacing w:line="364" w:lineRule="auto" w:before="140"/>
        <w:ind w:left="376" w:right="794" w:firstLine="420"/>
        <w:jc w:val="both"/>
      </w:pPr>
      <w:r>
        <w:rPr>
          <w:spacing w:val="-6"/>
        </w:rPr>
        <w:t>如预期黄金价格处于下跌趋势，本基金将增加其他资产的投资比例。股票方面，本基金</w:t>
      </w:r>
      <w:r>
        <w:rPr>
          <w:spacing w:val="-8"/>
        </w:rPr>
        <w:t>将主要选择经营稳健、持续分红能力强、现金流充裕、股价被市场低估的股票进行投资，争</w:t>
      </w:r>
      <w:r>
        <w:rPr>
          <w:spacing w:val="-9"/>
        </w:rPr>
        <w:t>取取得稳定回报。本基金还将根据对国际汇率和利率走势的判断，投资于能取得稳定回报固</w:t>
      </w:r>
      <w:r>
        <w:rPr>
          <w:spacing w:val="-7"/>
        </w:rPr>
        <w:t>定收益类品种，包括国债和公司债；经营历史较长、单位风险的超额收益较高、下方风险较</w:t>
      </w:r>
      <w:r>
        <w:rPr/>
        <w:t>低的债券基金；投资回报优良，同时严格控制流动性风险和信用风险的货币市场基金等。</w:t>
      </w:r>
    </w:p>
    <w:p>
      <w:pPr>
        <w:spacing w:after="0" w:line="364" w:lineRule="auto"/>
        <w:jc w:val="both"/>
        <w:sectPr>
          <w:pgSz w:w="11910" w:h="16840"/>
          <w:pgMar w:header="0" w:footer="1118" w:top="1380" w:bottom="1380" w:left="1420" w:right="1000"/>
        </w:sectPr>
      </w:pPr>
    </w:p>
    <w:p>
      <w:pPr>
        <w:pStyle w:val="BodyText"/>
        <w:spacing w:before="45"/>
      </w:pPr>
      <w:r>
        <w:rPr/>
        <w:t>5、衍生品投资及证券借贷策略</w:t>
      </w:r>
    </w:p>
    <w:p>
      <w:pPr>
        <w:pStyle w:val="BodyText"/>
        <w:spacing w:line="364" w:lineRule="auto" w:before="139"/>
        <w:ind w:left="376" w:right="585" w:firstLine="420"/>
      </w:pPr>
      <w:r>
        <w:rPr>
          <w:spacing w:val="2"/>
        </w:rPr>
        <w:t>为降低留存现金、汇率因素的影响，本基金还将本着谨慎原则，在风险可控的前提下， </w:t>
      </w:r>
      <w:r>
        <w:rPr>
          <w:spacing w:val="-6"/>
        </w:rPr>
        <w:t>投资于以黄金 </w:t>
      </w:r>
      <w:r>
        <w:rPr/>
        <w:t>ETF</w:t>
      </w:r>
      <w:r>
        <w:rPr>
          <w:spacing w:val="-10"/>
        </w:rPr>
        <w:t>、黄金股票指数 </w:t>
      </w:r>
      <w:r>
        <w:rPr/>
        <w:t>ETF</w:t>
      </w:r>
      <w:r>
        <w:rPr>
          <w:spacing w:val="-9"/>
        </w:rPr>
        <w:t> 或黄金采掘公司股票为标的资产的期货与期权，以及外汇远期合约等汇率衍生品。</w:t>
      </w:r>
    </w:p>
    <w:p>
      <w:pPr>
        <w:pStyle w:val="BodyText"/>
        <w:spacing w:line="268" w:lineRule="exact"/>
      </w:pPr>
      <w:r>
        <w:rPr/>
        <w:t>衍生品投资的主要策略包括：</w:t>
      </w:r>
    </w:p>
    <w:p>
      <w:pPr>
        <w:pStyle w:val="ListParagraph"/>
        <w:numPr>
          <w:ilvl w:val="0"/>
          <w:numId w:val="8"/>
        </w:numPr>
        <w:tabs>
          <w:tab w:pos="1324" w:val="left" w:leader="none"/>
        </w:tabs>
        <w:spacing w:line="364" w:lineRule="auto" w:before="140" w:after="0"/>
        <w:ind w:left="376" w:right="794" w:firstLine="420"/>
        <w:jc w:val="both"/>
        <w:rPr>
          <w:sz w:val="21"/>
        </w:rPr>
      </w:pPr>
      <w:r>
        <w:rPr>
          <w:sz w:val="21"/>
        </w:rPr>
        <w:t>避险。本基金可利用外汇远期合约规避外币资产对人民币的汇率风险，避免汇率</w:t>
      </w:r>
      <w:r>
        <w:rPr>
          <w:spacing w:val="-8"/>
          <w:sz w:val="21"/>
        </w:rPr>
        <w:t>剧烈波动对基金的业绩产生不良影响；可利用以黄金 </w:t>
      </w:r>
      <w:r>
        <w:rPr>
          <w:sz w:val="21"/>
        </w:rPr>
        <w:t>ETF</w:t>
      </w:r>
      <w:r>
        <w:rPr>
          <w:spacing w:val="-13"/>
          <w:sz w:val="21"/>
        </w:rPr>
        <w:t> 或黄金股票指数 </w:t>
      </w:r>
      <w:r>
        <w:rPr>
          <w:sz w:val="21"/>
        </w:rPr>
        <w:t>ETF</w:t>
      </w:r>
      <w:r>
        <w:rPr>
          <w:spacing w:val="-11"/>
          <w:sz w:val="21"/>
        </w:rPr>
        <w:t> 为标的资产的</w:t>
      </w:r>
      <w:r>
        <w:rPr>
          <w:spacing w:val="-7"/>
          <w:sz w:val="21"/>
        </w:rPr>
        <w:t>衍生工具，规避黄金市场的系统性风险；还可利用与单只证券相关的衍生产品规避单个证券</w:t>
      </w:r>
      <w:r>
        <w:rPr>
          <w:sz w:val="21"/>
        </w:rPr>
        <w:t>在短时期内剧烈波动的风险等。</w:t>
      </w:r>
    </w:p>
    <w:p>
      <w:pPr>
        <w:pStyle w:val="ListParagraph"/>
        <w:numPr>
          <w:ilvl w:val="0"/>
          <w:numId w:val="8"/>
        </w:numPr>
        <w:tabs>
          <w:tab w:pos="1324" w:val="left" w:leader="none"/>
        </w:tabs>
        <w:spacing w:line="364" w:lineRule="auto" w:before="0" w:after="0"/>
        <w:ind w:left="376" w:right="794" w:firstLine="420"/>
        <w:jc w:val="both"/>
        <w:rPr>
          <w:sz w:val="21"/>
        </w:rPr>
      </w:pPr>
      <w:r>
        <w:rPr>
          <w:sz w:val="21"/>
        </w:rPr>
        <w:t>有效管理。主要包括对现金流量的有效管理、降低冲击成本等。在短期的申购赎</w:t>
      </w:r>
      <w:r>
        <w:rPr>
          <w:spacing w:val="-7"/>
          <w:sz w:val="21"/>
        </w:rPr>
        <w:t>回规模较大或市场大幅波动时，利用金融衍生品可迅速调整现金头寸，同时管理风险以减少</w:t>
      </w:r>
      <w:r>
        <w:rPr>
          <w:sz w:val="21"/>
        </w:rPr>
        <w:t>不利影响。</w:t>
      </w:r>
    </w:p>
    <w:p>
      <w:pPr>
        <w:pStyle w:val="BodyText"/>
        <w:spacing w:line="364" w:lineRule="auto"/>
        <w:ind w:left="376" w:right="794" w:firstLine="420"/>
      </w:pPr>
      <w:r>
        <w:rPr>
          <w:spacing w:val="-10"/>
        </w:rPr>
        <w:t>此外，在符合有关法律法规的前提下，本基金还可在严格进行风险控制的前提下，进行</w:t>
      </w:r>
      <w:r>
        <w:rPr/>
        <w:t>证券借贷交易、回购交易等投资，以提高投资收益。</w:t>
      </w:r>
    </w:p>
    <w:p>
      <w:pPr>
        <w:pStyle w:val="Heading2"/>
        <w:tabs>
          <w:tab w:pos="1216" w:val="left" w:leader="none"/>
        </w:tabs>
      </w:pPr>
      <w:bookmarkStart w:name="_bookmark13" w:id="14"/>
      <w:bookmarkEnd w:id="14"/>
      <w:r>
        <w:rPr/>
      </w:r>
      <w:r>
        <w:rPr/>
        <w:t>五、</w:t>
        <w:tab/>
        <w:t>业绩比较基准</w:t>
      </w:r>
    </w:p>
    <w:p>
      <w:pPr>
        <w:pStyle w:val="BodyText"/>
        <w:spacing w:line="364" w:lineRule="auto" w:before="182"/>
        <w:ind w:left="376" w:right="795" w:firstLine="420"/>
        <w:jc w:val="both"/>
      </w:pPr>
      <w:r>
        <w:rPr/>
        <w:t>以伦敦黄金市场下午定盘价计价的国际现货黄金（经汇率折算）×50%+MSCI 全球金矿股指数（MSCIACWISELECTGOLDMINERSIMIINDEX）×50%。</w:t>
      </w:r>
    </w:p>
    <w:p>
      <w:pPr>
        <w:pStyle w:val="BodyText"/>
        <w:spacing w:line="364" w:lineRule="auto"/>
        <w:ind w:left="376" w:right="689" w:firstLine="420"/>
        <w:jc w:val="both"/>
      </w:pPr>
      <w:r>
        <w:rPr>
          <w:spacing w:val="-4"/>
        </w:rPr>
        <w:t>本基金为黄金主题基金，投资于基金的资产合计不低于本基金基金资产净值的 </w:t>
      </w:r>
      <w:r>
        <w:rPr>
          <w:spacing w:val="-5"/>
        </w:rPr>
        <w:t>60%</w:t>
      </w:r>
      <w:r>
        <w:rPr>
          <w:spacing w:val="-3"/>
        </w:rPr>
        <w:t>，投</w:t>
      </w:r>
      <w:r>
        <w:rPr>
          <w:spacing w:val="-8"/>
        </w:rPr>
        <w:t>资于基金的资产中不低于 </w:t>
      </w:r>
      <w:r>
        <w:rPr/>
        <w:t>80%</w:t>
      </w:r>
      <w:r>
        <w:rPr>
          <w:spacing w:val="-4"/>
        </w:rPr>
        <w:t>投资于黄金基金，黄金基金指黄金 </w:t>
      </w:r>
      <w:r>
        <w:rPr/>
        <w:t>ETF（即跟踪黄金价格或黄</w:t>
      </w:r>
      <w:r>
        <w:rPr>
          <w:spacing w:val="-7"/>
        </w:rPr>
        <w:t>金价格指数的 </w:t>
      </w:r>
      <w:r>
        <w:rPr/>
        <w:t>ETF）及黄金股票基金（</w:t>
      </w:r>
      <w:r>
        <w:rPr>
          <w:spacing w:val="-3"/>
        </w:rPr>
        <w:t>包括跟踪黄金股票指数的指数基金和 </w:t>
      </w:r>
      <w:r>
        <w:rPr/>
        <w:t>ETF，</w:t>
      </w:r>
      <w:r>
        <w:rPr>
          <w:spacing w:val="-15"/>
        </w:rPr>
        <w:t>以及 </w:t>
      </w:r>
      <w:r>
        <w:rPr/>
        <w:t>80% 以上基金资产投资于黄金采掘公司股票的主动基金</w:t>
      </w:r>
      <w:r>
        <w:rPr>
          <w:spacing w:val="-105"/>
        </w:rPr>
        <w:t>）</w:t>
      </w:r>
      <w:r>
        <w:rPr/>
        <w:t>。基金管理人在对黄金基金、黄金采掘</w:t>
      </w:r>
      <w:r>
        <w:rPr>
          <w:spacing w:val="-4"/>
        </w:rPr>
        <w:t>公司股票以及与其他资产进行主动配置的过程中，黄金价格和黄金采掘公司股票价格是影响</w:t>
      </w:r>
      <w:r>
        <w:rPr>
          <w:spacing w:val="-15"/>
        </w:rPr>
        <w:t>投资判断的关键因素。采用“以伦敦黄金市场下午定盘价计价的国际现货黄金</w:t>
      </w:r>
      <w:r>
        <w:rPr/>
        <w:t>（经汇率折算</w:t>
      </w:r>
      <w:r>
        <w:rPr>
          <w:spacing w:val="-14"/>
        </w:rPr>
        <w:t>）</w:t>
      </w:r>
    </w:p>
    <w:p>
      <w:pPr>
        <w:pStyle w:val="BodyText"/>
        <w:spacing w:line="266" w:lineRule="exact"/>
        <w:ind w:left="376"/>
      </w:pPr>
      <w:r>
        <w:rPr/>
        <w:t>×50%+MSCI</w:t>
      </w:r>
      <w:r>
        <w:rPr>
          <w:spacing w:val="-12"/>
        </w:rPr>
        <w:t> 全球金矿股指数</w:t>
      </w:r>
      <w:r>
        <w:rPr/>
        <w:t>（MSCIACWISELECTGOLDMINERSIMIINDEX）×50%”作为业绩比较</w:t>
      </w:r>
    </w:p>
    <w:p>
      <w:pPr>
        <w:pStyle w:val="BodyText"/>
        <w:spacing w:before="138"/>
        <w:ind w:left="376"/>
      </w:pPr>
      <w:r>
        <w:rPr/>
        <w:t>基准，能够相对比较真实、客观地反映本基金的风险收益特征。</w:t>
      </w:r>
    </w:p>
    <w:p>
      <w:pPr>
        <w:pStyle w:val="BodyText"/>
        <w:spacing w:line="364" w:lineRule="auto" w:before="139"/>
        <w:ind w:left="376" w:right="794" w:firstLine="420"/>
        <w:jc w:val="both"/>
      </w:pPr>
      <w:r>
        <w:rPr>
          <w:spacing w:val="-10"/>
        </w:rPr>
        <w:t>未来，如基金变更投资范围、或黄金市场中出现其它代表性更强、投资者认同度更高的价格基准、或伦敦黄金市场变更定价方式或停止公告定盘价，本基金管理人可依据维护基金</w:t>
      </w:r>
      <w:r>
        <w:rPr>
          <w:spacing w:val="-7"/>
        </w:rPr>
        <w:t>份额持有人合法权益的原则，对业绩比较基准进行相应调整。业绩比较基准的变更需经基金</w:t>
      </w:r>
      <w:r>
        <w:rPr/>
        <w:t>管理人与基金托管人协商一致，并在报中国证监会备案后在更新的招募说明书中列示。</w:t>
      </w:r>
    </w:p>
    <w:p>
      <w:pPr>
        <w:pStyle w:val="Heading2"/>
        <w:tabs>
          <w:tab w:pos="1216" w:val="left" w:leader="none"/>
        </w:tabs>
        <w:spacing w:line="358" w:lineRule="exact"/>
      </w:pPr>
      <w:bookmarkStart w:name="_bookmark14" w:id="15"/>
      <w:bookmarkEnd w:id="15"/>
      <w:r>
        <w:rPr/>
      </w:r>
      <w:r>
        <w:rPr/>
        <w:t>六、</w:t>
        <w:tab/>
        <w:t>风险收益特征</w:t>
      </w:r>
    </w:p>
    <w:p>
      <w:pPr>
        <w:pStyle w:val="BodyText"/>
        <w:spacing w:line="364" w:lineRule="auto" w:before="185"/>
        <w:ind w:left="376" w:right="794" w:firstLine="420"/>
        <w:jc w:val="both"/>
      </w:pPr>
      <w:r>
        <w:rPr>
          <w:spacing w:val="-6"/>
        </w:rPr>
        <w:t>基金管理人根据对黄金价格走势的判断，在黄金基金、黄金采掘公司股票及其他资产之</w:t>
      </w:r>
      <w:r>
        <w:rPr>
          <w:spacing w:val="-9"/>
        </w:rPr>
        <w:t>间进行主动配置。本基金的表现与黄金价格相关性较高，本基金是预期收益与预期风险较高</w:t>
      </w:r>
      <w:r>
        <w:rPr/>
        <w:t>的基金品种。此外，本基金主要投资海外，存在汇率风险。</w:t>
      </w:r>
    </w:p>
    <w:p>
      <w:pPr>
        <w:spacing w:after="0" w:line="364" w:lineRule="auto"/>
        <w:jc w:val="both"/>
        <w:sectPr>
          <w:pgSz w:w="11910" w:h="16840"/>
          <w:pgMar w:header="0" w:footer="1118" w:top="1380" w:bottom="1380" w:left="1420" w:right="1000"/>
        </w:sectPr>
      </w:pPr>
    </w:p>
    <w:p>
      <w:pPr>
        <w:pStyle w:val="Heading2"/>
        <w:tabs>
          <w:tab w:pos="1216" w:val="left" w:leader="none"/>
        </w:tabs>
        <w:spacing w:before="46"/>
      </w:pPr>
      <w:bookmarkStart w:name="_bookmark15" w:id="16"/>
      <w:bookmarkEnd w:id="16"/>
      <w:r>
        <w:rPr/>
      </w:r>
      <w:r>
        <w:rPr/>
        <w:t>七、</w:t>
        <w:tab/>
        <w:t>投资决策依据与决策程序</w:t>
      </w:r>
    </w:p>
    <w:p>
      <w:pPr>
        <w:pStyle w:val="BodyText"/>
        <w:spacing w:before="185"/>
      </w:pPr>
      <w:r>
        <w:rPr/>
        <w:t>1、决策依据</w:t>
      </w:r>
    </w:p>
    <w:p>
      <w:pPr>
        <w:pStyle w:val="ListParagraph"/>
        <w:numPr>
          <w:ilvl w:val="0"/>
          <w:numId w:val="9"/>
        </w:numPr>
        <w:tabs>
          <w:tab w:pos="1323" w:val="left" w:leader="none"/>
        </w:tabs>
        <w:spacing w:line="240" w:lineRule="auto" w:before="139" w:after="0"/>
        <w:ind w:left="1323" w:right="0" w:hanging="527"/>
        <w:jc w:val="left"/>
        <w:rPr>
          <w:sz w:val="21"/>
        </w:rPr>
      </w:pPr>
      <w:r>
        <w:rPr>
          <w:sz w:val="21"/>
        </w:rPr>
        <w:t>国家有关法律法规和基金合同的有关规定。</w:t>
      </w:r>
    </w:p>
    <w:p>
      <w:pPr>
        <w:pStyle w:val="ListParagraph"/>
        <w:numPr>
          <w:ilvl w:val="0"/>
          <w:numId w:val="9"/>
        </w:numPr>
        <w:tabs>
          <w:tab w:pos="1324" w:val="left" w:leader="none"/>
        </w:tabs>
        <w:spacing w:line="364" w:lineRule="auto" w:before="140" w:after="0"/>
        <w:ind w:left="376" w:right="795" w:firstLine="420"/>
        <w:jc w:val="left"/>
        <w:rPr>
          <w:sz w:val="21"/>
        </w:rPr>
      </w:pPr>
      <w:r>
        <w:rPr>
          <w:sz w:val="21"/>
        </w:rPr>
        <w:t>宏观研究、行业研究、公司研究、固定收益研究、衍生品研究、投资策略研究、基金研究等方面的报告。</w:t>
      </w:r>
    </w:p>
    <w:p>
      <w:pPr>
        <w:pStyle w:val="BodyText"/>
        <w:spacing w:line="268" w:lineRule="exact"/>
      </w:pPr>
      <w:r>
        <w:rPr/>
        <w:t>2、决策程序</w:t>
      </w:r>
    </w:p>
    <w:p>
      <w:pPr>
        <w:pStyle w:val="ListParagraph"/>
        <w:numPr>
          <w:ilvl w:val="0"/>
          <w:numId w:val="10"/>
        </w:numPr>
        <w:tabs>
          <w:tab w:pos="1323" w:val="left" w:leader="none"/>
        </w:tabs>
        <w:spacing w:line="240" w:lineRule="auto" w:before="139" w:after="0"/>
        <w:ind w:left="1323" w:right="0" w:hanging="527"/>
        <w:jc w:val="left"/>
        <w:rPr>
          <w:sz w:val="21"/>
        </w:rPr>
      </w:pPr>
      <w:r>
        <w:rPr>
          <w:sz w:val="21"/>
        </w:rPr>
        <w:t>投资研究</w:t>
      </w:r>
    </w:p>
    <w:p>
      <w:pPr>
        <w:pStyle w:val="BodyText"/>
        <w:spacing w:line="364" w:lineRule="auto" w:before="140"/>
        <w:ind w:left="376" w:right="794" w:firstLine="420"/>
        <w:jc w:val="both"/>
      </w:pPr>
      <w:r>
        <w:rPr>
          <w:spacing w:val="-6"/>
        </w:rPr>
        <w:t>研究员充分利用外部研究成果、市场信息和公司资源展开宏观研究、策略研究、行业研</w:t>
      </w:r>
      <w:r>
        <w:rPr>
          <w:spacing w:val="-11"/>
        </w:rPr>
        <w:t>究、公司基本面研究、固定收益证券研究和金融衍生品研究，强调自上而下和自下而上相结</w:t>
      </w:r>
      <w:r>
        <w:rPr/>
        <w:t>合的研究过程，注重研究的前瞻性和准确性，为各层次的投资决策提供支持。</w:t>
      </w:r>
    </w:p>
    <w:p>
      <w:pPr>
        <w:pStyle w:val="ListParagraph"/>
        <w:numPr>
          <w:ilvl w:val="0"/>
          <w:numId w:val="10"/>
        </w:numPr>
        <w:tabs>
          <w:tab w:pos="1323" w:val="left" w:leader="none"/>
        </w:tabs>
        <w:spacing w:line="268" w:lineRule="exact" w:before="0" w:after="0"/>
        <w:ind w:left="1323" w:right="0" w:hanging="527"/>
        <w:jc w:val="left"/>
        <w:rPr>
          <w:sz w:val="21"/>
        </w:rPr>
      </w:pPr>
      <w:r>
        <w:rPr>
          <w:sz w:val="21"/>
        </w:rPr>
        <w:t>资产配置</w:t>
      </w:r>
    </w:p>
    <w:p>
      <w:pPr>
        <w:pStyle w:val="BodyText"/>
        <w:spacing w:before="139"/>
      </w:pPr>
      <w:r>
        <w:rPr/>
        <w:t>在内外部研究支持下，基金经理拟定资产配置计划，按照制度提交审议并实施。</w:t>
      </w:r>
    </w:p>
    <w:p>
      <w:pPr>
        <w:pStyle w:val="ListParagraph"/>
        <w:numPr>
          <w:ilvl w:val="0"/>
          <w:numId w:val="10"/>
        </w:numPr>
        <w:tabs>
          <w:tab w:pos="1323" w:val="left" w:leader="none"/>
        </w:tabs>
        <w:spacing w:line="240" w:lineRule="auto" w:before="140" w:after="0"/>
        <w:ind w:left="1323" w:right="0" w:hanging="527"/>
        <w:jc w:val="left"/>
        <w:rPr>
          <w:sz w:val="21"/>
        </w:rPr>
      </w:pPr>
      <w:r>
        <w:rPr>
          <w:sz w:val="21"/>
        </w:rPr>
        <w:t>基金投资组合的构建</w:t>
      </w:r>
    </w:p>
    <w:p>
      <w:pPr>
        <w:pStyle w:val="BodyText"/>
        <w:spacing w:line="364" w:lineRule="auto" w:before="139"/>
        <w:ind w:left="376" w:right="689" w:firstLine="420"/>
      </w:pPr>
      <w:r>
        <w:rPr>
          <w:spacing w:val="-10"/>
        </w:rPr>
        <w:t>在决定资产配置比例的基础上，基金经理将主要关注基金管理团队、资产规模、流动性、</w:t>
      </w:r>
      <w:r>
        <w:rPr>
          <w:spacing w:val="-9"/>
        </w:rPr>
        <w:t>投资策略、投资业绩、汇率风险等基本情况，确定基金投资对象。同时，对于执行被动管理</w:t>
      </w:r>
      <w:r>
        <w:rPr>
          <w:spacing w:val="-16"/>
        </w:rPr>
        <w:t>并上市交易的 </w:t>
      </w:r>
      <w:r>
        <w:rPr/>
        <w:t>ETF，基金经理还将考察其跟踪偏离度、成交金额以及折溢价率等指标。</w:t>
      </w:r>
    </w:p>
    <w:p>
      <w:pPr>
        <w:pStyle w:val="BodyText"/>
        <w:spacing w:line="364" w:lineRule="auto"/>
        <w:ind w:left="376" w:right="689" w:firstLine="420"/>
        <w:jc w:val="both"/>
      </w:pPr>
      <w:r>
        <w:rPr>
          <w:spacing w:val="-10"/>
        </w:rPr>
        <w:t>基金经理将在充分考虑以上因素的情况下，选择有优秀的基金管理团队、资产规模较大、</w:t>
      </w:r>
      <w:r>
        <w:rPr>
          <w:spacing w:val="-16"/>
        </w:rPr>
        <w:t>流动性充裕、信用风险低、汇率风险小、跟踪误差与跟踪偏离度较低、折溢价率较低的基金， </w:t>
      </w:r>
      <w:r>
        <w:rPr/>
        <w:t>构造基金中基金投资组合。</w:t>
      </w:r>
    </w:p>
    <w:p>
      <w:pPr>
        <w:pStyle w:val="ListParagraph"/>
        <w:numPr>
          <w:ilvl w:val="0"/>
          <w:numId w:val="10"/>
        </w:numPr>
        <w:tabs>
          <w:tab w:pos="1323" w:val="left" w:leader="none"/>
        </w:tabs>
        <w:spacing w:line="268" w:lineRule="exact" w:before="0" w:after="0"/>
        <w:ind w:left="1323" w:right="0" w:hanging="527"/>
        <w:jc w:val="left"/>
        <w:rPr>
          <w:sz w:val="21"/>
        </w:rPr>
      </w:pPr>
      <w:r>
        <w:rPr>
          <w:sz w:val="21"/>
        </w:rPr>
        <w:t>股票投资组合的构建</w:t>
      </w:r>
    </w:p>
    <w:p>
      <w:pPr>
        <w:pStyle w:val="BodyText"/>
        <w:spacing w:line="364" w:lineRule="auto" w:before="138"/>
        <w:ind w:left="376" w:right="794" w:firstLine="420"/>
        <w:jc w:val="both"/>
      </w:pPr>
      <w:r>
        <w:rPr>
          <w:spacing w:val="-6"/>
        </w:rPr>
        <w:t>基金经理在参考内外部研究报告的基础上，通过“自上而下”与“自下而上”相结合的</w:t>
      </w:r>
      <w:r>
        <w:rPr>
          <w:spacing w:val="-10"/>
        </w:rPr>
        <w:t>方式，对上市公司基本面、估值水平、市场表现作出评估，挖掘驱动上市公司股价表现的关</w:t>
      </w:r>
      <w:r>
        <w:rPr/>
        <w:t>键因素，形成对证券预期收益的判断，完成股票组合构建。</w:t>
      </w:r>
    </w:p>
    <w:p>
      <w:pPr>
        <w:pStyle w:val="ListParagraph"/>
        <w:numPr>
          <w:ilvl w:val="0"/>
          <w:numId w:val="10"/>
        </w:numPr>
        <w:tabs>
          <w:tab w:pos="1323" w:val="left" w:leader="none"/>
        </w:tabs>
        <w:spacing w:line="268" w:lineRule="exact" w:before="0" w:after="0"/>
        <w:ind w:left="1323" w:right="0" w:hanging="527"/>
        <w:jc w:val="left"/>
        <w:rPr>
          <w:sz w:val="21"/>
        </w:rPr>
      </w:pPr>
      <w:r>
        <w:rPr>
          <w:sz w:val="21"/>
        </w:rPr>
        <w:t>债券投资组合的构建</w:t>
      </w:r>
    </w:p>
    <w:p>
      <w:pPr>
        <w:pStyle w:val="BodyText"/>
        <w:spacing w:line="364" w:lineRule="auto" w:before="139"/>
        <w:ind w:left="376" w:right="795" w:firstLine="420"/>
      </w:pPr>
      <w:r>
        <w:rPr/>
        <w:t>基金经理基于资产配置决策以及对各国/地区债券市场的研究，决定债券组合的期限结构、债券类别配置并选择具体债券，构建债券组合。</w:t>
      </w:r>
    </w:p>
    <w:p>
      <w:pPr>
        <w:pStyle w:val="ListParagraph"/>
        <w:numPr>
          <w:ilvl w:val="0"/>
          <w:numId w:val="10"/>
        </w:numPr>
        <w:tabs>
          <w:tab w:pos="1323" w:val="left" w:leader="none"/>
        </w:tabs>
        <w:spacing w:line="268" w:lineRule="exact" w:before="0" w:after="0"/>
        <w:ind w:left="1323" w:right="0" w:hanging="527"/>
        <w:jc w:val="left"/>
        <w:rPr>
          <w:sz w:val="21"/>
        </w:rPr>
      </w:pPr>
      <w:r>
        <w:rPr>
          <w:sz w:val="21"/>
        </w:rPr>
        <w:t>交易执行</w:t>
      </w:r>
    </w:p>
    <w:p>
      <w:pPr>
        <w:pStyle w:val="BodyText"/>
        <w:spacing w:line="364" w:lineRule="auto" w:before="140"/>
        <w:ind w:left="376" w:right="794" w:firstLine="420"/>
        <w:jc w:val="both"/>
      </w:pPr>
      <w:r>
        <w:rPr>
          <w:spacing w:val="-6"/>
        </w:rPr>
        <w:t>基金管理人设置独立的集中交易室，基金经理下达的投资指令通过集中交易室实施。集中交易室接到基金经理的投资指令后，根据有关规定对投资指令的合规性、合理性和有效性</w:t>
      </w:r>
      <w:r>
        <w:rPr/>
        <w:t>进行检查，确保投资指令在合法、合规的前提下得到高效的执行。</w:t>
      </w:r>
    </w:p>
    <w:p>
      <w:pPr>
        <w:pStyle w:val="ListParagraph"/>
        <w:numPr>
          <w:ilvl w:val="0"/>
          <w:numId w:val="10"/>
        </w:numPr>
        <w:tabs>
          <w:tab w:pos="1323" w:val="left" w:leader="none"/>
        </w:tabs>
        <w:spacing w:line="268" w:lineRule="exact" w:before="0" w:after="0"/>
        <w:ind w:left="1323" w:right="0" w:hanging="527"/>
        <w:jc w:val="left"/>
        <w:rPr>
          <w:sz w:val="21"/>
        </w:rPr>
      </w:pPr>
      <w:r>
        <w:rPr>
          <w:sz w:val="21"/>
        </w:rPr>
        <w:t>投资与合规风险的监控和管理</w:t>
      </w:r>
    </w:p>
    <w:p>
      <w:pPr>
        <w:pStyle w:val="ListParagraph"/>
        <w:numPr>
          <w:ilvl w:val="0"/>
          <w:numId w:val="11"/>
        </w:numPr>
        <w:tabs>
          <w:tab w:pos="1114" w:val="left" w:leader="none"/>
        </w:tabs>
        <w:spacing w:line="364" w:lineRule="auto" w:before="139" w:after="0"/>
        <w:ind w:left="376" w:right="795" w:firstLine="420"/>
        <w:jc w:val="left"/>
        <w:rPr>
          <w:sz w:val="21"/>
        </w:rPr>
      </w:pPr>
      <w:r>
        <w:rPr>
          <w:sz w:val="21"/>
        </w:rPr>
        <w:t>投资风险管理部定期出具基金绩效评估和风险管理报告，供基金经理调整投资组合时参考。</w:t>
      </w:r>
    </w:p>
    <w:p>
      <w:pPr>
        <w:pStyle w:val="ListParagraph"/>
        <w:numPr>
          <w:ilvl w:val="0"/>
          <w:numId w:val="11"/>
        </w:numPr>
        <w:tabs>
          <w:tab w:pos="1114" w:val="left" w:leader="none"/>
        </w:tabs>
        <w:spacing w:line="268" w:lineRule="exact" w:before="0" w:after="0"/>
        <w:ind w:left="1113" w:right="0" w:hanging="318"/>
        <w:jc w:val="left"/>
        <w:rPr>
          <w:sz w:val="21"/>
        </w:rPr>
      </w:pPr>
      <w:r>
        <w:rPr>
          <w:sz w:val="21"/>
        </w:rPr>
        <w:t>监察合规管理部门对基金的日常投资和交易是否遵守法律法规、基金合同进行独立</w:t>
      </w:r>
    </w:p>
    <w:p>
      <w:pPr>
        <w:spacing w:after="0" w:line="268" w:lineRule="exact"/>
        <w:jc w:val="left"/>
        <w:rPr>
          <w:sz w:val="21"/>
        </w:rPr>
        <w:sectPr>
          <w:pgSz w:w="11910" w:h="16840"/>
          <w:pgMar w:header="0" w:footer="1118" w:top="1380" w:bottom="1380" w:left="1420" w:right="1000"/>
        </w:sectPr>
      </w:pPr>
    </w:p>
    <w:p>
      <w:pPr>
        <w:pStyle w:val="BodyText"/>
        <w:spacing w:before="45"/>
        <w:ind w:left="376"/>
      </w:pPr>
      <w:r>
        <w:rPr/>
        <w:t>监督检查。</w:t>
      </w:r>
    </w:p>
    <w:p>
      <w:pPr>
        <w:pStyle w:val="Heading2"/>
        <w:tabs>
          <w:tab w:pos="1216" w:val="left" w:leader="none"/>
        </w:tabs>
        <w:spacing w:before="141"/>
      </w:pPr>
      <w:bookmarkStart w:name="_bookmark16" w:id="17"/>
      <w:bookmarkEnd w:id="17"/>
      <w:r>
        <w:rPr/>
      </w:r>
      <w:r>
        <w:rPr/>
        <w:t>八、</w:t>
        <w:tab/>
        <w:t>投资禁止与限制</w:t>
      </w:r>
    </w:p>
    <w:p>
      <w:pPr>
        <w:pStyle w:val="BodyText"/>
        <w:spacing w:before="184"/>
      </w:pPr>
      <w:r>
        <w:rPr/>
        <w:t>（一）投资禁止</w:t>
      </w:r>
    </w:p>
    <w:p>
      <w:pPr>
        <w:pStyle w:val="BodyText"/>
        <w:spacing w:line="364" w:lineRule="auto" w:before="140"/>
        <w:ind w:left="376" w:right="794" w:firstLine="420"/>
      </w:pPr>
      <w:r>
        <w:rPr>
          <w:spacing w:val="-6"/>
        </w:rPr>
        <w:t>为维护基金份额持有人的合法权益，除中国证监会另有规定外，本基金禁止从事下列行</w:t>
      </w:r>
      <w:r>
        <w:rPr/>
        <w:t>为：</w:t>
      </w:r>
    </w:p>
    <w:p>
      <w:pPr>
        <w:pStyle w:val="BodyText"/>
        <w:spacing w:line="268" w:lineRule="exact"/>
      </w:pPr>
      <w:r>
        <w:rPr/>
        <w:t>1、承销证券；</w:t>
      </w:r>
    </w:p>
    <w:p>
      <w:pPr>
        <w:pStyle w:val="BodyText"/>
        <w:spacing w:before="139"/>
      </w:pPr>
      <w:r>
        <w:rPr/>
        <w:t>2、向他人贷款或提供担保；</w:t>
      </w:r>
    </w:p>
    <w:p>
      <w:pPr>
        <w:pStyle w:val="BodyText"/>
        <w:spacing w:before="140"/>
      </w:pPr>
      <w:r>
        <w:rPr/>
        <w:t>3、从事承担无限责任的投资；</w:t>
      </w:r>
    </w:p>
    <w:p>
      <w:pPr>
        <w:pStyle w:val="BodyText"/>
        <w:spacing w:before="139"/>
      </w:pPr>
      <w:r>
        <w:rPr/>
        <w:t>4、购买不动产；</w:t>
      </w:r>
    </w:p>
    <w:p>
      <w:pPr>
        <w:pStyle w:val="BodyText"/>
        <w:spacing w:before="140"/>
      </w:pPr>
      <w:r>
        <w:rPr/>
        <w:t>5、购买房地产抵押按揭；</w:t>
      </w:r>
    </w:p>
    <w:p>
      <w:pPr>
        <w:pStyle w:val="BodyText"/>
        <w:spacing w:before="139"/>
      </w:pPr>
      <w:r>
        <w:rPr/>
        <w:t>6、购买贵重金属或代表贵重金属的凭证；</w:t>
      </w:r>
    </w:p>
    <w:p>
      <w:pPr>
        <w:pStyle w:val="BodyText"/>
        <w:spacing w:before="139"/>
      </w:pPr>
      <w:r>
        <w:rPr/>
        <w:t>7、购买实物商品；</w:t>
      </w:r>
    </w:p>
    <w:p>
      <w:pPr>
        <w:pStyle w:val="BodyText"/>
        <w:spacing w:before="140"/>
      </w:pPr>
      <w:r>
        <w:rPr/>
        <w:t>8、除应付赎回、交易清算等临时用途以外，借入现金；</w:t>
      </w:r>
    </w:p>
    <w:p>
      <w:pPr>
        <w:pStyle w:val="BodyText"/>
        <w:spacing w:before="139"/>
      </w:pPr>
      <w:r>
        <w:rPr/>
        <w:t>9、利用融资购买证券，但投资金融衍生品除外；</w:t>
      </w:r>
    </w:p>
    <w:p>
      <w:pPr>
        <w:pStyle w:val="BodyText"/>
        <w:spacing w:before="140"/>
      </w:pPr>
      <w:r>
        <w:rPr/>
        <w:t>10、参与未持有基础资产的卖空交易；</w:t>
      </w:r>
    </w:p>
    <w:p>
      <w:pPr>
        <w:pStyle w:val="BodyText"/>
        <w:spacing w:before="139"/>
      </w:pPr>
      <w:r>
        <w:rPr/>
        <w:t>11、购买证券用于控制或影响发行该证券的机构或其管理层；</w:t>
      </w:r>
    </w:p>
    <w:p>
      <w:pPr>
        <w:pStyle w:val="BodyText"/>
        <w:spacing w:before="140"/>
      </w:pPr>
      <w:r>
        <w:rPr/>
        <w:t>12、直接投资与实物商品相关的衍生品；</w:t>
      </w:r>
    </w:p>
    <w:p>
      <w:pPr>
        <w:pStyle w:val="BodyText"/>
        <w:spacing w:line="364" w:lineRule="auto" w:before="139"/>
        <w:ind w:left="376" w:right="794" w:firstLine="420"/>
      </w:pPr>
      <w:r>
        <w:rPr/>
        <w:t>13</w:t>
      </w:r>
      <w:r>
        <w:rPr>
          <w:spacing w:val="-10"/>
        </w:rPr>
        <w:t>、向基金管理人、基金托管人出资或者买卖其基金管理人、基金托管人发行的股票或</w:t>
      </w:r>
      <w:r>
        <w:rPr/>
        <w:t>债券；</w:t>
      </w:r>
    </w:p>
    <w:p>
      <w:pPr>
        <w:pStyle w:val="BodyText"/>
        <w:spacing w:line="364" w:lineRule="auto"/>
        <w:ind w:left="376" w:right="794" w:firstLine="420"/>
      </w:pPr>
      <w:r>
        <w:rPr/>
        <w:t>14</w:t>
      </w:r>
      <w:r>
        <w:rPr>
          <w:spacing w:val="-11"/>
        </w:rPr>
        <w:t>、买卖与基金管理人、基金托管人有控股关系的股东或者与基金管理人、基金托管人</w:t>
      </w:r>
      <w:r>
        <w:rPr/>
        <w:t>有其他重大利害关系的公司发行的证券或者承销期内承销的证券；</w:t>
      </w:r>
    </w:p>
    <w:p>
      <w:pPr>
        <w:pStyle w:val="BodyText"/>
        <w:spacing w:line="268" w:lineRule="exact"/>
      </w:pPr>
      <w:r>
        <w:rPr/>
        <w:t>15、从事内幕交易、操纵证券价格及其他不正当的证券交易活动；</w:t>
      </w:r>
    </w:p>
    <w:p>
      <w:pPr>
        <w:pStyle w:val="BodyText"/>
        <w:spacing w:before="139"/>
      </w:pPr>
      <w:r>
        <w:rPr/>
        <w:t>16、基金中基金不得投资于以下基金：</w:t>
      </w:r>
    </w:p>
    <w:p>
      <w:pPr>
        <w:pStyle w:val="ListParagraph"/>
        <w:numPr>
          <w:ilvl w:val="0"/>
          <w:numId w:val="12"/>
        </w:numPr>
        <w:tabs>
          <w:tab w:pos="1323" w:val="left" w:leader="none"/>
        </w:tabs>
        <w:spacing w:line="240" w:lineRule="auto" w:before="139" w:after="0"/>
        <w:ind w:left="1323" w:right="0" w:hanging="527"/>
        <w:jc w:val="left"/>
        <w:rPr>
          <w:sz w:val="21"/>
        </w:rPr>
      </w:pPr>
      <w:r>
        <w:rPr>
          <w:sz w:val="21"/>
        </w:rPr>
        <w:t>其他基金中基金；</w:t>
      </w:r>
    </w:p>
    <w:p>
      <w:pPr>
        <w:pStyle w:val="ListParagraph"/>
        <w:numPr>
          <w:ilvl w:val="0"/>
          <w:numId w:val="12"/>
        </w:numPr>
        <w:tabs>
          <w:tab w:pos="1323" w:val="left" w:leader="none"/>
        </w:tabs>
        <w:spacing w:line="240" w:lineRule="auto" w:before="139" w:after="0"/>
        <w:ind w:left="1323" w:right="0" w:hanging="527"/>
        <w:jc w:val="left"/>
        <w:rPr>
          <w:sz w:val="21"/>
        </w:rPr>
      </w:pPr>
      <w:r>
        <w:rPr>
          <w:sz w:val="21"/>
        </w:rPr>
        <w:t>联接基金；</w:t>
      </w:r>
    </w:p>
    <w:p>
      <w:pPr>
        <w:pStyle w:val="ListParagraph"/>
        <w:numPr>
          <w:ilvl w:val="0"/>
          <w:numId w:val="12"/>
        </w:numPr>
        <w:tabs>
          <w:tab w:pos="1323" w:val="left" w:leader="none"/>
        </w:tabs>
        <w:spacing w:line="240" w:lineRule="auto" w:before="140" w:after="0"/>
        <w:ind w:left="1323" w:right="0" w:hanging="527"/>
        <w:jc w:val="left"/>
        <w:rPr>
          <w:sz w:val="21"/>
        </w:rPr>
      </w:pPr>
      <w:r>
        <w:rPr>
          <w:sz w:val="21"/>
        </w:rPr>
        <w:t>投资于前述两项基金的伞型基金子基金。</w:t>
      </w:r>
    </w:p>
    <w:p>
      <w:pPr>
        <w:pStyle w:val="BodyText"/>
        <w:spacing w:line="364" w:lineRule="auto" w:before="139"/>
        <w:ind w:right="918"/>
      </w:pPr>
      <w:r>
        <w:rPr/>
        <w:t>17、当时有效的法律法规、中国证监会及《基金合同》规定禁止从事的其他行为。 </w:t>
      </w:r>
      <w:r>
        <w:rPr>
          <w:spacing w:val="-1"/>
        </w:rPr>
        <w:t>如法律法规或监管部门取消上述禁止性规定，本基金管理人可不受上述规定的限制。</w:t>
      </w:r>
    </w:p>
    <w:p>
      <w:pPr>
        <w:pStyle w:val="BodyText"/>
        <w:spacing w:line="268" w:lineRule="exact"/>
      </w:pPr>
      <w:r>
        <w:rPr/>
        <w:t>（二）投资限制</w:t>
      </w:r>
    </w:p>
    <w:p>
      <w:pPr>
        <w:pStyle w:val="BodyText"/>
        <w:spacing w:before="140"/>
      </w:pPr>
      <w:r>
        <w:rPr/>
        <w:t>本基金的投资组合将遵循以下限制：</w:t>
      </w:r>
    </w:p>
    <w:p>
      <w:pPr>
        <w:pStyle w:val="BodyText"/>
        <w:spacing w:line="364" w:lineRule="auto" w:before="139"/>
        <w:ind w:left="376" w:right="795" w:firstLine="420"/>
      </w:pPr>
      <w:r>
        <w:rPr/>
        <w:t>1、基金持有同一家银行的存款不得超过基金净值的 20%。在基金托管账户的存款可以不受上述限制。</w:t>
      </w:r>
    </w:p>
    <w:p>
      <w:pPr>
        <w:pStyle w:val="BodyText"/>
        <w:spacing w:line="364" w:lineRule="auto"/>
        <w:ind w:left="376" w:right="795" w:firstLine="420"/>
      </w:pPr>
      <w:r>
        <w:rPr/>
        <w:t>2、基金持有同一机构（政府、国际金融组织除外）发行的证券市值不得超过基金净值的 10%。</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jc w:val="both"/>
      </w:pPr>
      <w:r>
        <w:rPr/>
        <w:t>3、基金持有与中国证监会签署双边监管合作谅解备忘录国家或地区以外的其他国家或</w:t>
      </w:r>
      <w:r>
        <w:rPr>
          <w:spacing w:val="-2"/>
        </w:rPr>
        <w:t>地区证券市场挂牌交易的证券资产不得超过基金资产净值的 </w:t>
      </w:r>
      <w:r>
        <w:rPr>
          <w:spacing w:val="-9"/>
        </w:rPr>
        <w:t>10%</w:t>
      </w:r>
      <w:r>
        <w:rPr>
          <w:spacing w:val="-4"/>
        </w:rPr>
        <w:t>，其中持有任一国家或地区</w:t>
      </w:r>
      <w:r>
        <w:rPr>
          <w:spacing w:val="-3"/>
        </w:rPr>
        <w:t>市场的证券资产不得超过基金资产净值的 </w:t>
      </w:r>
      <w:r>
        <w:rPr/>
        <w:t>3%。</w:t>
      </w:r>
    </w:p>
    <w:p>
      <w:pPr>
        <w:pStyle w:val="BodyText"/>
        <w:spacing w:line="364" w:lineRule="auto"/>
        <w:ind w:left="376" w:right="794" w:firstLine="420"/>
        <w:jc w:val="both"/>
      </w:pPr>
      <w:r>
        <w:rPr/>
        <w:t>4</w:t>
      </w:r>
      <w:r>
        <w:rPr>
          <w:spacing w:val="-2"/>
        </w:rPr>
        <w:t>、同一基金管理人管理的全部基金不得持有同一机构 </w:t>
      </w:r>
      <w:r>
        <w:rPr/>
        <w:t>10%以上具有投票权的证券发行</w:t>
      </w:r>
      <w:r>
        <w:rPr>
          <w:spacing w:val="-10"/>
        </w:rPr>
        <w:t>总量。前项投资比例限制应当合并计算同一机构境内外上市的总股本，同时应当一并计算全</w:t>
      </w:r>
      <w:r>
        <w:rPr/>
        <w:t>球存托凭证和美国存托凭证所代表的基础证券，并假设对持有的股本权证行使转换。</w:t>
      </w:r>
    </w:p>
    <w:p>
      <w:pPr>
        <w:pStyle w:val="BodyText"/>
        <w:spacing w:line="364" w:lineRule="auto"/>
        <w:ind w:left="376" w:right="795" w:firstLine="420"/>
        <w:jc w:val="both"/>
      </w:pPr>
      <w:r>
        <w:rPr/>
        <w:t>5、基金持有非流动性资产市值不得超过基金净值的 10%。前项非流动性资产是指法律或基金合同规定的流通受限证券以及中国证监会认定的其他资产。</w:t>
      </w:r>
    </w:p>
    <w:p>
      <w:pPr>
        <w:pStyle w:val="BodyText"/>
        <w:spacing w:line="364" w:lineRule="auto"/>
        <w:ind w:left="376" w:right="795" w:firstLine="420"/>
        <w:jc w:val="both"/>
      </w:pPr>
      <w:r>
        <w:rPr/>
        <w:t>6、每只境外基金投资比例不超过基金中基金资产净值的 20%。如投资境外伞型基金， 该伞型基金应当视为一只基金。</w:t>
      </w:r>
    </w:p>
    <w:p>
      <w:pPr>
        <w:pStyle w:val="BodyText"/>
        <w:spacing w:line="364" w:lineRule="auto"/>
        <w:ind w:left="376" w:right="795" w:firstLine="420"/>
        <w:jc w:val="both"/>
      </w:pPr>
      <w:r>
        <w:rPr/>
        <w:t>7、同一基金管理人管理的全部基金持有任何一只境外基金，不得超过该境外基金总份额的 20%。</w:t>
      </w:r>
    </w:p>
    <w:p>
      <w:pPr>
        <w:pStyle w:val="BodyText"/>
        <w:spacing w:line="268" w:lineRule="exact"/>
        <w:jc w:val="both"/>
      </w:pPr>
      <w:r>
        <w:rPr/>
        <w:t>8、为应付赎回、交易清算等临时用途借入现金的比例不得超过基金资产净值的 10%。</w:t>
      </w:r>
    </w:p>
    <w:p>
      <w:pPr>
        <w:pStyle w:val="BodyText"/>
        <w:spacing w:line="364" w:lineRule="auto" w:before="135"/>
        <w:ind w:left="376" w:right="794" w:firstLine="420"/>
        <w:jc w:val="both"/>
      </w:pPr>
      <w:r>
        <w:rPr/>
        <w:t>9、本基金管理人管理的全部开放式基金持有一家上市公司发行的可流通股票，不得超</w:t>
      </w:r>
      <w:r>
        <w:rPr>
          <w:spacing w:val="-5"/>
        </w:rPr>
        <w:t>过该上市公司可流通股票的 </w:t>
      </w:r>
      <w:r>
        <w:rPr>
          <w:spacing w:val="-9"/>
        </w:rPr>
        <w:t>15%</w:t>
      </w:r>
      <w:r>
        <w:rPr>
          <w:spacing w:val="-4"/>
        </w:rPr>
        <w:t>；本基金管理人管理的全部投资组合持有一家上市公司发行</w:t>
      </w:r>
      <w:r>
        <w:rPr>
          <w:spacing w:val="-3"/>
        </w:rPr>
        <w:t>的可流通股票，不得超过该上市公司可流通股票的 </w:t>
      </w:r>
      <w:r>
        <w:rPr/>
        <w:t>30%。</w:t>
      </w:r>
    </w:p>
    <w:p>
      <w:pPr>
        <w:pStyle w:val="BodyText"/>
        <w:spacing w:line="364" w:lineRule="auto"/>
        <w:ind w:right="794"/>
        <w:jc w:val="both"/>
      </w:pPr>
      <w:r>
        <w:rPr/>
        <w:t>10</w:t>
      </w:r>
      <w:r>
        <w:rPr>
          <w:spacing w:val="-2"/>
        </w:rPr>
        <w:t>、本基金主动投资于流动性受限资产的市值合计不得超过该基金资产净值的 </w:t>
      </w:r>
      <w:r>
        <w:rPr/>
        <w:t>15%。</w:t>
      </w:r>
      <w:r>
        <w:rPr>
          <w:spacing w:val="-10"/>
        </w:rPr>
        <w:t>因证券市场波动、上市公司股票停牌、基金规模变动等基金管理人之外的因素致使基金</w:t>
      </w:r>
    </w:p>
    <w:p>
      <w:pPr>
        <w:pStyle w:val="BodyText"/>
        <w:spacing w:line="268" w:lineRule="exact"/>
        <w:ind w:left="376"/>
      </w:pPr>
      <w:r>
        <w:rPr/>
        <w:t>不符合前款所规定比例限制的，基金管理人不得主动新增流动性受限资产的投资。</w:t>
      </w:r>
    </w:p>
    <w:p>
      <w:pPr>
        <w:pStyle w:val="BodyText"/>
        <w:spacing w:line="364" w:lineRule="auto" w:before="138"/>
        <w:ind w:left="376" w:right="794" w:firstLine="420"/>
      </w:pPr>
      <w:r>
        <w:rPr/>
        <w:t>11</w:t>
      </w:r>
      <w:r>
        <w:rPr>
          <w:spacing w:val="-11"/>
        </w:rPr>
        <w:t>、本基金与私募类证券资管产品及中国证监会认定的其他主体为交易对手开展逆回购</w:t>
      </w:r>
      <w:r>
        <w:rPr/>
        <w:t>交易的，可接受质押品的资质要求应当与基金合同约定的投资范围保持一致。</w:t>
      </w:r>
    </w:p>
    <w:p>
      <w:pPr>
        <w:pStyle w:val="BodyText"/>
        <w:spacing w:line="364" w:lineRule="auto"/>
        <w:ind w:left="376" w:right="794" w:firstLine="420"/>
        <w:jc w:val="both"/>
      </w:pPr>
      <w:r>
        <w:rPr>
          <w:spacing w:val="-2"/>
        </w:rPr>
        <w:t>基金管理人应当在基金合同生效后 </w:t>
      </w:r>
      <w:r>
        <w:rPr/>
        <w:t>6</w:t>
      </w:r>
      <w:r>
        <w:rPr>
          <w:spacing w:val="-5"/>
        </w:rPr>
        <w:t> 个月内使基金的投资组合比例符合基金合同的有</w:t>
      </w:r>
      <w:r>
        <w:rPr>
          <w:spacing w:val="-11"/>
        </w:rPr>
        <w:t>关约定。在基金合同生效 </w:t>
      </w:r>
      <w:r>
        <w:rPr/>
        <w:t>6</w:t>
      </w:r>
      <w:r>
        <w:rPr>
          <w:spacing w:val="-14"/>
        </w:rPr>
        <w:t> 个月后，若基金超过上述 </w:t>
      </w:r>
      <w:r>
        <w:rPr/>
        <w:t>1-8</w:t>
      </w:r>
      <w:r>
        <w:rPr>
          <w:spacing w:val="-11"/>
        </w:rPr>
        <w:t> 项投资比例限制，应当在超过比例</w:t>
      </w:r>
      <w:r>
        <w:rPr>
          <w:spacing w:val="-27"/>
        </w:rPr>
        <w:t>后 </w:t>
      </w:r>
      <w:r>
        <w:rPr/>
        <w:t>30</w:t>
      </w:r>
      <w:r>
        <w:rPr>
          <w:spacing w:val="-8"/>
        </w:rPr>
        <w:t> 个工作日内采用合理的商业措施减仓，以符合投资比例限制要求。因证券市场波动、</w:t>
      </w:r>
    </w:p>
    <w:p>
      <w:pPr>
        <w:pStyle w:val="BodyText"/>
        <w:spacing w:line="268" w:lineRule="exact"/>
        <w:ind w:left="376"/>
        <w:jc w:val="both"/>
      </w:pPr>
      <w:r>
        <w:rPr>
          <w:spacing w:val="-11"/>
        </w:rPr>
        <w:t>证券发行人合并、基金规模变动等基金管理人之外的因素致使基金投资比例不符合上述第 </w:t>
      </w:r>
      <w:r>
        <w:rPr/>
        <w:t>9</w:t>
      </w:r>
    </w:p>
    <w:p>
      <w:pPr>
        <w:pStyle w:val="BodyText"/>
        <w:spacing w:line="364" w:lineRule="auto" w:before="138"/>
        <w:ind w:left="376" w:right="795"/>
        <w:jc w:val="both"/>
      </w:pPr>
      <w:r>
        <w:rPr>
          <w:spacing w:val="-3"/>
        </w:rPr>
        <w:t>项规定投资比例的，基金管理人应当在 </w:t>
      </w:r>
      <w:r>
        <w:rPr/>
        <w:t>10</w:t>
      </w:r>
      <w:r>
        <w:rPr>
          <w:spacing w:val="-8"/>
        </w:rPr>
        <w:t> 个交易日内进行调整，但中国证监会规定的特殊情形除外。</w:t>
      </w:r>
    </w:p>
    <w:p>
      <w:pPr>
        <w:pStyle w:val="BodyText"/>
        <w:spacing w:line="364" w:lineRule="auto"/>
        <w:ind w:left="376" w:right="794" w:firstLine="420"/>
        <w:jc w:val="both"/>
      </w:pPr>
      <w:r>
        <w:rPr>
          <w:spacing w:val="-4"/>
        </w:rPr>
        <w:t>法律法规或中国有关监管部门取消上述限制，本基金不受上述限制。《基金法》及其他</w:t>
      </w:r>
      <w:r>
        <w:rPr>
          <w:spacing w:val="-10"/>
        </w:rPr>
        <w:t>有关法律法规或监管部门调整上述限制的，履行适当程序后，基金可依据届时有效的法律法</w:t>
      </w:r>
      <w:r>
        <w:rPr/>
        <w:t>规适时合理地调整上述限制。</w:t>
      </w:r>
    </w:p>
    <w:p>
      <w:pPr>
        <w:pStyle w:val="BodyText"/>
        <w:spacing w:line="268" w:lineRule="exact"/>
      </w:pPr>
      <w:r>
        <w:rPr/>
        <w:t>（三）金融衍生品投资</w:t>
      </w:r>
    </w:p>
    <w:p>
      <w:pPr>
        <w:pStyle w:val="BodyText"/>
        <w:spacing w:line="364" w:lineRule="auto" w:before="139"/>
        <w:ind w:left="376" w:right="794" w:firstLine="420"/>
      </w:pPr>
      <w:r>
        <w:rPr>
          <w:spacing w:val="-5"/>
        </w:rPr>
        <w:t>本基金投资衍生品应当仅限于投资组合避险或有效管理，不得用于投机或放大交易，同</w:t>
      </w:r>
      <w:r>
        <w:rPr/>
        <w:t>时应当严格遵守下列规定：</w:t>
      </w:r>
    </w:p>
    <w:p>
      <w:pPr>
        <w:pStyle w:val="BodyText"/>
        <w:spacing w:line="268" w:lineRule="exact"/>
      </w:pPr>
      <w:r>
        <w:rPr/>
        <w:t>1、本基金所持有的黄金基金和与黄金基金挂钩的衍生品合约价值合计（轧差计算）应</w:t>
      </w:r>
    </w:p>
    <w:p>
      <w:pPr>
        <w:spacing w:after="0" w:line="268" w:lineRule="exact"/>
        <w:sectPr>
          <w:pgSz w:w="11910" w:h="16840"/>
          <w:pgMar w:header="0" w:footer="1118" w:top="1380" w:bottom="1380" w:left="1420" w:right="1000"/>
        </w:sectPr>
      </w:pPr>
    </w:p>
    <w:p>
      <w:pPr>
        <w:pStyle w:val="BodyText"/>
        <w:spacing w:before="45"/>
        <w:ind w:left="376"/>
      </w:pPr>
      <w:r>
        <w:rPr/>
        <w:t>符合基金合同中关于黄金基金投资比例的有关约定。</w:t>
      </w:r>
    </w:p>
    <w:p>
      <w:pPr>
        <w:pStyle w:val="BodyText"/>
        <w:spacing w:before="139"/>
      </w:pPr>
      <w:r>
        <w:rPr/>
        <w:t>2、本基金的金融衍生品全部敞口不得高于基金资产净值的 100％。</w:t>
      </w:r>
    </w:p>
    <w:p>
      <w:pPr>
        <w:pStyle w:val="BodyText"/>
        <w:spacing w:line="364" w:lineRule="auto" w:before="140"/>
        <w:ind w:left="376" w:right="795" w:firstLine="420"/>
      </w:pPr>
      <w:r>
        <w:rPr/>
        <w:t>3、本基金投资期货支付的初始保证金、投资期权支付或收取的期权费、投资柜台交易衍生品支付的初始费用的总额不得高于基金资产净值的 10％。</w:t>
      </w:r>
    </w:p>
    <w:p>
      <w:pPr>
        <w:pStyle w:val="BodyText"/>
        <w:spacing w:line="268" w:lineRule="exact"/>
      </w:pPr>
      <w:r>
        <w:rPr/>
        <w:t>4、本基金投资于远期合约、互换等柜台交易金融衍生品，应当符合以下要求：</w:t>
      </w:r>
    </w:p>
    <w:p>
      <w:pPr>
        <w:pStyle w:val="ListParagraph"/>
        <w:numPr>
          <w:ilvl w:val="0"/>
          <w:numId w:val="13"/>
        </w:numPr>
        <w:tabs>
          <w:tab w:pos="1324" w:val="left" w:leader="none"/>
        </w:tabs>
        <w:spacing w:line="364" w:lineRule="auto" w:before="139" w:after="0"/>
        <w:ind w:left="376" w:right="795" w:firstLine="420"/>
        <w:jc w:val="left"/>
        <w:rPr>
          <w:sz w:val="21"/>
        </w:rPr>
      </w:pPr>
      <w:r>
        <w:rPr>
          <w:sz w:val="21"/>
        </w:rPr>
        <w:t>所有参与交易的对手方（中资商业银行除外）应当具有不低于中国证监会认可的信用评级机构评级。</w:t>
      </w:r>
    </w:p>
    <w:p>
      <w:pPr>
        <w:pStyle w:val="ListParagraph"/>
        <w:numPr>
          <w:ilvl w:val="0"/>
          <w:numId w:val="13"/>
        </w:numPr>
        <w:tabs>
          <w:tab w:pos="1324" w:val="left" w:leader="none"/>
        </w:tabs>
        <w:spacing w:line="364" w:lineRule="auto" w:before="0" w:after="0"/>
        <w:ind w:left="376" w:right="795" w:firstLine="420"/>
        <w:jc w:val="left"/>
        <w:rPr>
          <w:sz w:val="21"/>
        </w:rPr>
      </w:pPr>
      <w:r>
        <w:rPr>
          <w:sz w:val="21"/>
        </w:rPr>
        <w:t>交易对手方应当至少每个工作日对交易进行估值，并且基金可在任何时候以公允价值终止交易。</w:t>
      </w:r>
    </w:p>
    <w:p>
      <w:pPr>
        <w:pStyle w:val="ListParagraph"/>
        <w:numPr>
          <w:ilvl w:val="0"/>
          <w:numId w:val="13"/>
        </w:numPr>
        <w:tabs>
          <w:tab w:pos="1323" w:val="left" w:leader="none"/>
        </w:tabs>
        <w:spacing w:line="268" w:lineRule="exact" w:before="0" w:after="0"/>
        <w:ind w:left="1323" w:right="0" w:hanging="527"/>
        <w:jc w:val="left"/>
        <w:rPr>
          <w:sz w:val="21"/>
        </w:rPr>
      </w:pPr>
      <w:r>
        <w:rPr>
          <w:spacing w:val="-3"/>
          <w:sz w:val="21"/>
        </w:rPr>
        <w:t>任一交易对手方的市值计价敞口不得超过基金资产净值的 </w:t>
      </w:r>
      <w:r>
        <w:rPr>
          <w:sz w:val="21"/>
        </w:rPr>
        <w:t>20％。</w:t>
      </w:r>
    </w:p>
    <w:p>
      <w:pPr>
        <w:pStyle w:val="BodyText"/>
        <w:spacing w:line="364" w:lineRule="auto" w:before="139"/>
        <w:ind w:left="376" w:right="794" w:firstLine="420"/>
      </w:pPr>
      <w:r>
        <w:rPr/>
        <w:t>5</w:t>
      </w:r>
      <w:r>
        <w:rPr>
          <w:spacing w:val="-13"/>
        </w:rPr>
        <w:t>、基金管理人应当在本基金会计年度结束后 </w:t>
      </w:r>
      <w:r>
        <w:rPr/>
        <w:t>60</w:t>
      </w:r>
      <w:r>
        <w:rPr>
          <w:spacing w:val="-9"/>
        </w:rPr>
        <w:t> 个工作日内向中国证监会提交包括衍生</w:t>
      </w:r>
      <w:r>
        <w:rPr/>
        <w:t>品头寸及风险分析年度报告。</w:t>
      </w:r>
    </w:p>
    <w:p>
      <w:pPr>
        <w:pStyle w:val="BodyText"/>
        <w:spacing w:line="268" w:lineRule="exact"/>
      </w:pPr>
      <w:r>
        <w:rPr/>
        <w:t>（四）本基金可以参与证券借贷交易，并且应当遵守下列规定：</w:t>
      </w:r>
    </w:p>
    <w:p>
      <w:pPr>
        <w:pStyle w:val="BodyText"/>
        <w:spacing w:line="364" w:lineRule="auto" w:before="139"/>
        <w:ind w:left="376" w:right="795" w:firstLine="420"/>
      </w:pPr>
      <w:r>
        <w:rPr/>
        <w:t>1、所有参与交易的对手方（中资商业银行除外）应当具有中国证监会认可的信用评级机构评级。</w:t>
      </w:r>
    </w:p>
    <w:p>
      <w:pPr>
        <w:pStyle w:val="BodyText"/>
        <w:spacing w:line="268" w:lineRule="exact"/>
      </w:pPr>
      <w:r>
        <w:rPr/>
        <w:t>2、应当采取市值计价制度进行调整以确保担保物市值不低于已借出证券市值的 102％。</w:t>
      </w:r>
    </w:p>
    <w:p>
      <w:pPr>
        <w:pStyle w:val="BodyText"/>
        <w:spacing w:line="364" w:lineRule="auto" w:before="140"/>
        <w:ind w:left="376" w:right="795" w:firstLine="420"/>
      </w:pPr>
      <w:r>
        <w:rPr/>
        <w:t>3、借方应当在交易期内及时向本基金支付已借出证券产生的所有股息、利息和分红。一旦借方违约，本基金根据协议和有关法律有权保留和处置担保物以满足索赔需要。</w:t>
      </w:r>
    </w:p>
    <w:p>
      <w:pPr>
        <w:pStyle w:val="BodyText"/>
        <w:spacing w:line="268" w:lineRule="exact"/>
      </w:pPr>
      <w:r>
        <w:rPr/>
        <w:t>4、除中国证监会另有规定外，担保物可以是以下金融工具或品种：</w:t>
      </w:r>
    </w:p>
    <w:p>
      <w:pPr>
        <w:pStyle w:val="ListParagraph"/>
        <w:numPr>
          <w:ilvl w:val="0"/>
          <w:numId w:val="14"/>
        </w:numPr>
        <w:tabs>
          <w:tab w:pos="1323" w:val="left" w:leader="none"/>
        </w:tabs>
        <w:spacing w:line="240" w:lineRule="auto" w:before="139" w:after="0"/>
        <w:ind w:left="1323" w:right="0" w:hanging="527"/>
        <w:jc w:val="left"/>
        <w:rPr>
          <w:sz w:val="21"/>
        </w:rPr>
      </w:pPr>
      <w:r>
        <w:rPr>
          <w:sz w:val="21"/>
        </w:rPr>
        <w:t>现金；</w:t>
      </w:r>
    </w:p>
    <w:p>
      <w:pPr>
        <w:pStyle w:val="ListParagraph"/>
        <w:numPr>
          <w:ilvl w:val="0"/>
          <w:numId w:val="14"/>
        </w:numPr>
        <w:tabs>
          <w:tab w:pos="1323" w:val="left" w:leader="none"/>
        </w:tabs>
        <w:spacing w:line="240" w:lineRule="auto" w:before="140" w:after="0"/>
        <w:ind w:left="1323" w:right="0" w:hanging="527"/>
        <w:jc w:val="left"/>
        <w:rPr>
          <w:sz w:val="21"/>
        </w:rPr>
      </w:pPr>
      <w:r>
        <w:rPr>
          <w:sz w:val="21"/>
        </w:rPr>
        <w:t>存款证明；</w:t>
      </w:r>
    </w:p>
    <w:p>
      <w:pPr>
        <w:pStyle w:val="ListParagraph"/>
        <w:numPr>
          <w:ilvl w:val="0"/>
          <w:numId w:val="14"/>
        </w:numPr>
        <w:tabs>
          <w:tab w:pos="1323" w:val="left" w:leader="none"/>
        </w:tabs>
        <w:spacing w:line="240" w:lineRule="auto" w:before="139" w:after="0"/>
        <w:ind w:left="1323" w:right="0" w:hanging="527"/>
        <w:jc w:val="left"/>
        <w:rPr>
          <w:sz w:val="21"/>
        </w:rPr>
      </w:pPr>
      <w:r>
        <w:rPr>
          <w:sz w:val="21"/>
        </w:rPr>
        <w:t>商业票据；</w:t>
      </w:r>
    </w:p>
    <w:p>
      <w:pPr>
        <w:pStyle w:val="ListParagraph"/>
        <w:numPr>
          <w:ilvl w:val="0"/>
          <w:numId w:val="14"/>
        </w:numPr>
        <w:tabs>
          <w:tab w:pos="1323" w:val="left" w:leader="none"/>
        </w:tabs>
        <w:spacing w:line="240" w:lineRule="auto" w:before="139" w:after="0"/>
        <w:ind w:left="1323" w:right="0" w:hanging="527"/>
        <w:jc w:val="left"/>
        <w:rPr>
          <w:sz w:val="21"/>
        </w:rPr>
      </w:pPr>
      <w:r>
        <w:rPr>
          <w:sz w:val="21"/>
        </w:rPr>
        <w:t>政府债券；</w:t>
      </w:r>
    </w:p>
    <w:p>
      <w:pPr>
        <w:pStyle w:val="ListParagraph"/>
        <w:numPr>
          <w:ilvl w:val="0"/>
          <w:numId w:val="14"/>
        </w:numPr>
        <w:tabs>
          <w:tab w:pos="1323" w:val="left" w:leader="none"/>
        </w:tabs>
        <w:spacing w:line="364" w:lineRule="auto" w:before="140" w:after="0"/>
        <w:ind w:left="376" w:right="794" w:firstLine="420"/>
        <w:jc w:val="left"/>
        <w:rPr>
          <w:sz w:val="21"/>
        </w:rPr>
      </w:pPr>
      <w:r>
        <w:rPr>
          <w:spacing w:val="-3"/>
          <w:sz w:val="21"/>
        </w:rPr>
        <w:t>中资商业银行或由不低于中国证监会认可的信用评级机构评级的境外金融机构</w:t>
      </w:r>
      <w:r>
        <w:rPr>
          <w:sz w:val="21"/>
        </w:rPr>
        <w:t>（ </w:t>
      </w:r>
      <w:r>
        <w:rPr>
          <w:spacing w:val="-4"/>
          <w:sz w:val="21"/>
        </w:rPr>
        <w:t>作为交易对手方或其关联方的除外</w:t>
      </w:r>
      <w:r>
        <w:rPr>
          <w:sz w:val="21"/>
        </w:rPr>
        <w:t>）出具的不可撤销信用证。</w:t>
      </w:r>
    </w:p>
    <w:p>
      <w:pPr>
        <w:pStyle w:val="BodyText"/>
        <w:spacing w:line="364" w:lineRule="auto"/>
        <w:ind w:left="376" w:right="795" w:firstLine="420"/>
      </w:pPr>
      <w:r>
        <w:rPr/>
        <w:t>5、本基金有权在任何时候终止证券借贷交易并在正常市场惯例的合理期限内要求归还任一或所有已借出的证券。</w:t>
      </w:r>
    </w:p>
    <w:p>
      <w:pPr>
        <w:pStyle w:val="BodyText"/>
        <w:spacing w:line="364" w:lineRule="auto"/>
        <w:ind w:left="376" w:right="795" w:firstLine="420"/>
      </w:pPr>
      <w:r>
        <w:rPr/>
        <w:t>6、基金管理人应当对基金参与证券借贷交易中发生的任何损失负相应责任。上述比例限制计算，基金因参与证券借贷交易而持有的担保物不得计入基金总资产。</w:t>
      </w:r>
    </w:p>
    <w:p>
      <w:pPr>
        <w:pStyle w:val="BodyText"/>
        <w:spacing w:line="268" w:lineRule="exact"/>
      </w:pPr>
      <w:r>
        <w:rPr/>
        <w:t>（五）基金可根据正常市场惯例参与正回购交易、逆回购交易，并且应当遵守下列规定：</w:t>
      </w:r>
    </w:p>
    <w:p>
      <w:pPr>
        <w:pStyle w:val="BodyText"/>
        <w:spacing w:line="364" w:lineRule="auto" w:before="137"/>
        <w:ind w:left="376" w:right="795" w:firstLine="420"/>
      </w:pPr>
      <w:r>
        <w:rPr/>
        <w:t>1、所有参与正回购交易的对手方（中资商业银行除外）应当具有中国证监会认可的信用评级机构信用评级。</w:t>
      </w:r>
    </w:p>
    <w:p>
      <w:pPr>
        <w:pStyle w:val="BodyText"/>
        <w:spacing w:line="364" w:lineRule="auto"/>
        <w:ind w:left="376" w:right="795" w:firstLine="420"/>
      </w:pPr>
      <w:r>
        <w:rPr/>
        <w:t>2、参与正回购交易，应当采取市值计价制度对卖出收益进行调整以确保现金不低于已售出证券市值的 102%。一旦买方违约，本基金根据协议和有关法律有权保留或处置卖出收</w:t>
      </w:r>
    </w:p>
    <w:p>
      <w:pPr>
        <w:spacing w:after="0" w:line="364" w:lineRule="auto"/>
        <w:sectPr>
          <w:pgSz w:w="11910" w:h="16840"/>
          <w:pgMar w:header="0" w:footer="1118" w:top="1380" w:bottom="1380" w:left="1420" w:right="1000"/>
        </w:sectPr>
      </w:pPr>
    </w:p>
    <w:p>
      <w:pPr>
        <w:pStyle w:val="BodyText"/>
        <w:spacing w:before="45"/>
        <w:ind w:left="376"/>
      </w:pPr>
      <w:r>
        <w:rPr/>
        <w:t>益以满足索赔需要。</w:t>
      </w:r>
    </w:p>
    <w:p>
      <w:pPr>
        <w:pStyle w:val="BodyText"/>
        <w:spacing w:line="364" w:lineRule="auto" w:before="139"/>
        <w:ind w:left="376" w:right="795" w:firstLine="420"/>
      </w:pPr>
      <w:r>
        <w:rPr/>
        <w:t>3、买方应当在正回购交易期内及时向本基金支付售出证券产生的所有股息、利息和分红。</w:t>
      </w:r>
    </w:p>
    <w:p>
      <w:pPr>
        <w:pStyle w:val="BodyText"/>
        <w:spacing w:line="364" w:lineRule="auto"/>
        <w:ind w:left="376" w:right="795" w:firstLine="420"/>
        <w:jc w:val="both"/>
      </w:pPr>
      <w:r>
        <w:rPr/>
        <w:t>4、参与逆回购交易，应当对购入证券采取市值计价制度进行调整以确保已购入证券市值不低于支付现金的 102%。一旦卖方违约，本基金根据协议和有关法律有权保留或处置已购入证券以满足索赔需要。</w:t>
      </w:r>
    </w:p>
    <w:p>
      <w:pPr>
        <w:pStyle w:val="BodyText"/>
        <w:spacing w:line="364" w:lineRule="auto"/>
        <w:ind w:left="376" w:right="795" w:firstLine="420"/>
      </w:pPr>
      <w:r>
        <w:rPr/>
        <w:t>5、基金管理人应当对基金参与证券正回购交易、逆回购交易中发生的任何损失负相应责任。</w:t>
      </w:r>
    </w:p>
    <w:p>
      <w:pPr>
        <w:pStyle w:val="BodyText"/>
        <w:spacing w:line="364" w:lineRule="auto"/>
        <w:ind w:left="376" w:right="794" w:firstLine="420"/>
      </w:pPr>
      <w:r>
        <w:rPr/>
        <w:t>（六</w:t>
      </w:r>
      <w:r>
        <w:rPr>
          <w:spacing w:val="-30"/>
        </w:rPr>
        <w:t>）</w:t>
      </w:r>
      <w:r>
        <w:rPr>
          <w:spacing w:val="-6"/>
        </w:rPr>
        <w:t>基金参与证券借贷交易、正回购交易，所有已借出而未归还证券总市值或所有已</w:t>
      </w:r>
      <w:r>
        <w:rPr>
          <w:spacing w:val="-3"/>
        </w:rPr>
        <w:t>售出而未回购证券总市值均不得超过基金总资产的 </w:t>
      </w:r>
      <w:r>
        <w:rPr/>
        <w:t>50％。</w:t>
      </w:r>
    </w:p>
    <w:p>
      <w:pPr>
        <w:pStyle w:val="BodyText"/>
        <w:spacing w:line="364" w:lineRule="auto"/>
        <w:ind w:left="376" w:right="794" w:firstLine="420"/>
      </w:pPr>
      <w:r>
        <w:rPr>
          <w:spacing w:val="-8"/>
        </w:rPr>
        <w:t>前项比例限制计算，基金因参与证券借贷交易、正回购交易而持有的担保物、现金不得</w:t>
      </w:r>
      <w:r>
        <w:rPr/>
        <w:t>计入基金总资产。</w:t>
      </w:r>
    </w:p>
    <w:p>
      <w:pPr>
        <w:pStyle w:val="Heading2"/>
        <w:tabs>
          <w:tab w:pos="1216" w:val="left" w:leader="none"/>
        </w:tabs>
      </w:pPr>
      <w:bookmarkStart w:name="_bookmark17" w:id="18"/>
      <w:bookmarkEnd w:id="18"/>
      <w:r>
        <w:rPr/>
      </w:r>
      <w:r>
        <w:rPr/>
        <w:t>九、</w:t>
        <w:tab/>
        <w:t>基金投资风险管理</w:t>
      </w:r>
    </w:p>
    <w:p>
      <w:pPr>
        <w:pStyle w:val="BodyText"/>
        <w:spacing w:line="364" w:lineRule="auto" w:before="181"/>
        <w:ind w:left="376" w:right="794" w:firstLine="420"/>
      </w:pPr>
      <w:r>
        <w:rPr>
          <w:spacing w:val="-8"/>
        </w:rPr>
        <w:t>本基金为基金中基金，采取主动方式进行投资管理，在运作过程中基金投资风险主要表</w:t>
      </w:r>
      <w:r>
        <w:rPr/>
        <w:t>现为市场风险和合规性风险。</w:t>
      </w:r>
    </w:p>
    <w:p>
      <w:pPr>
        <w:pStyle w:val="BodyText"/>
        <w:spacing w:line="364" w:lineRule="auto"/>
        <w:ind w:left="376" w:right="794" w:firstLine="420"/>
        <w:jc w:val="both"/>
      </w:pPr>
      <w:r>
        <w:rPr>
          <w:spacing w:val="-11"/>
        </w:rPr>
        <w:t>其中，为控制市场风险，本基金通过跟踪误差、下方风险、黄金基金净暴露度、黄金采</w:t>
      </w:r>
      <w:r>
        <w:rPr>
          <w:spacing w:val="-4"/>
        </w:rPr>
        <w:t>掘公司股票净暴露度及基于衍生品的 </w:t>
      </w:r>
      <w:r>
        <w:rPr/>
        <w:t>ETF</w:t>
      </w:r>
      <w:r>
        <w:rPr>
          <w:spacing w:val="-15"/>
        </w:rPr>
        <w:t> 基金暴露度等风险控制指标，对主动投资过程中基</w:t>
      </w:r>
      <w:r>
        <w:rPr/>
        <w:t>金投资绩效和风险进行识别和监督。</w:t>
      </w:r>
    </w:p>
    <w:p>
      <w:pPr>
        <w:pStyle w:val="BodyText"/>
        <w:spacing w:line="364" w:lineRule="auto"/>
        <w:ind w:left="376" w:right="794" w:firstLine="420"/>
        <w:jc w:val="both"/>
      </w:pPr>
      <w:r>
        <w:rPr>
          <w:spacing w:val="-5"/>
        </w:rPr>
        <w:t>此外，为控制合规性风险，本基金主要对以下合规性指标进行监督和控制：本基金所投</w:t>
      </w:r>
      <w:r>
        <w:rPr>
          <w:spacing w:val="-6"/>
        </w:rPr>
        <w:t>资基金占该基金基金资产净值比例、本基金所投资基金占本基金资产净值比例、本基金投资</w:t>
      </w:r>
      <w:r>
        <w:rPr>
          <w:spacing w:val="-5"/>
        </w:rPr>
        <w:t>于基金的资产净值合计占本基金基金资产净值比例，以及本基金投资于黄金基金的资产净值</w:t>
      </w:r>
      <w:r>
        <w:rPr/>
        <w:t>合计占本基金基金资产净值的比例等。</w:t>
      </w:r>
    </w:p>
    <w:p>
      <w:pPr>
        <w:pStyle w:val="Heading2"/>
        <w:tabs>
          <w:tab w:pos="1216" w:val="left" w:leader="none"/>
        </w:tabs>
        <w:spacing w:line="358" w:lineRule="exact"/>
      </w:pPr>
      <w:bookmarkStart w:name="_bookmark18" w:id="19"/>
      <w:bookmarkEnd w:id="19"/>
      <w:r>
        <w:rPr/>
      </w:r>
      <w:r>
        <w:rPr/>
        <w:t>十、</w:t>
        <w:tab/>
        <w:t>衍生品投资的风险管理与决策流程</w:t>
      </w:r>
    </w:p>
    <w:p>
      <w:pPr>
        <w:pStyle w:val="BodyText"/>
        <w:spacing w:before="183"/>
      </w:pPr>
      <w:r>
        <w:rPr/>
        <w:t>（一）投资衍生品的风险管理</w:t>
      </w:r>
    </w:p>
    <w:p>
      <w:pPr>
        <w:pStyle w:val="BodyText"/>
        <w:spacing w:line="364" w:lineRule="auto" w:before="139"/>
        <w:ind w:left="376" w:right="794" w:firstLine="420"/>
        <w:jc w:val="both"/>
      </w:pPr>
      <w:r>
        <w:rPr>
          <w:spacing w:val="-7"/>
        </w:rPr>
        <w:t>金融衍生品的投资过程，同时也是风险管理的过程。在金融衍生品的投资业务中，包括</w:t>
      </w:r>
      <w:r>
        <w:rPr>
          <w:spacing w:val="-11"/>
        </w:rPr>
        <w:t>了“事前的风险定位、事中的风险管理和事后的风险评估”的全过程、多角度、全方位的风</w:t>
      </w:r>
      <w:r>
        <w:rPr/>
        <w:t>险监控体系。</w:t>
      </w:r>
    </w:p>
    <w:p>
      <w:pPr>
        <w:pStyle w:val="BodyText"/>
        <w:spacing w:line="364" w:lineRule="auto"/>
        <w:ind w:left="376" w:right="794" w:firstLine="420"/>
        <w:jc w:val="both"/>
      </w:pPr>
      <w:r>
        <w:rPr/>
        <w:t>1、事前风险控制：投资决策前，投资研究人员必须对所运用的金融衍生品的原理、特</w:t>
      </w:r>
      <w:r>
        <w:rPr>
          <w:spacing w:val="-10"/>
        </w:rPr>
        <w:t>性、运作机制、风险有深入的研究和分析。对拟投资方案可能蕴含的风险进行充分评估，并</w:t>
      </w:r>
      <w:r>
        <w:rPr/>
        <w:t>进行必要的情形分析和压力测试。金融衍生品的投资方案经审批后方可执行。</w:t>
      </w:r>
    </w:p>
    <w:p>
      <w:pPr>
        <w:pStyle w:val="BodyText"/>
        <w:spacing w:line="364" w:lineRule="auto"/>
        <w:ind w:left="376" w:right="794" w:firstLine="420"/>
        <w:jc w:val="both"/>
      </w:pPr>
      <w:r>
        <w:rPr/>
        <w:t>2、事中风险控制：衍生品研究组对交易对手的信用评级进行跟踪，防范信用风险的发</w:t>
      </w:r>
      <w:r>
        <w:rPr>
          <w:spacing w:val="-10"/>
        </w:rPr>
        <w:t>生，并利用现代金融工程的手段对对组合进行风险评估。基金经理或衍生品研究组对衍生品</w:t>
      </w:r>
      <w:r>
        <w:rPr>
          <w:spacing w:val="-7"/>
        </w:rPr>
        <w:t>头寸以及风险敞口进行监控，一旦衍生品的亏损超过投资方案防范的目标，应按制度进行汇</w:t>
      </w:r>
    </w:p>
    <w:p>
      <w:pPr>
        <w:spacing w:after="0" w:line="364" w:lineRule="auto"/>
        <w:jc w:val="both"/>
        <w:sectPr>
          <w:pgSz w:w="11910" w:h="16840"/>
          <w:pgMar w:header="0" w:footer="1118" w:top="1380" w:bottom="1380" w:left="1420" w:right="1000"/>
        </w:sectPr>
      </w:pPr>
    </w:p>
    <w:p>
      <w:pPr>
        <w:pStyle w:val="BodyText"/>
        <w:spacing w:before="45"/>
        <w:ind w:left="376"/>
      </w:pPr>
      <w:r>
        <w:rPr/>
        <w:t>报，并考虑采取强制平仓等措施以避免出现严重的风险事件。</w:t>
      </w:r>
    </w:p>
    <w:p>
      <w:pPr>
        <w:pStyle w:val="BodyText"/>
        <w:spacing w:line="364" w:lineRule="auto" w:before="139"/>
        <w:ind w:left="376" w:right="794" w:firstLine="420"/>
        <w:jc w:val="both"/>
      </w:pPr>
      <w:r>
        <w:rPr/>
        <w:t>3、事后风险控制：基金经理或衍生品研究组定期对基金的衍生品交易策略、运作情况</w:t>
      </w:r>
      <w:r>
        <w:rPr>
          <w:spacing w:val="-5"/>
        </w:rPr>
        <w:t>做投资回顾分析和风险评估，识别内部控制中的弱点和系统中的不足，提供改进的建议；定</w:t>
      </w:r>
      <w:r>
        <w:rPr/>
        <w:t>期评估、审定和改进风险管理政策。</w:t>
      </w:r>
    </w:p>
    <w:p>
      <w:pPr>
        <w:pStyle w:val="BodyText"/>
        <w:spacing w:line="268" w:lineRule="exact"/>
      </w:pPr>
      <w:r>
        <w:rPr/>
        <w:t>（二）投资衍生品的决策流程</w:t>
      </w:r>
    </w:p>
    <w:p>
      <w:pPr>
        <w:pStyle w:val="BodyText"/>
        <w:spacing w:line="364" w:lineRule="auto" w:before="140"/>
        <w:ind w:left="376" w:right="794" w:firstLine="420"/>
        <w:jc w:val="both"/>
      </w:pPr>
      <w:r>
        <w:rPr/>
        <w:t>1、基金经理在内外部研究的支持下，本着组合避险和有效管理的策略原则，提出衍生</w:t>
      </w:r>
      <w:r>
        <w:rPr>
          <w:spacing w:val="-7"/>
        </w:rPr>
        <w:t>品投资需求及相关报告，并按照公司制度提交审议。审批通过后，基金经理将投资指令提交</w:t>
      </w:r>
      <w:r>
        <w:rPr/>
        <w:t>集中交易室执行。</w:t>
      </w:r>
    </w:p>
    <w:p>
      <w:pPr>
        <w:pStyle w:val="BodyText"/>
        <w:spacing w:line="268" w:lineRule="exact"/>
      </w:pPr>
      <w:r>
        <w:rPr/>
        <w:t>2、基金经理对衍生品的投资运作情况进行回顾和评估检讨。</w:t>
      </w:r>
    </w:p>
    <w:p>
      <w:pPr>
        <w:pStyle w:val="Heading2"/>
        <w:tabs>
          <w:tab w:pos="1636" w:val="left" w:leader="none"/>
        </w:tabs>
        <w:spacing w:before="140"/>
      </w:pPr>
      <w:bookmarkStart w:name="_bookmark19" w:id="20"/>
      <w:bookmarkEnd w:id="20"/>
      <w:r>
        <w:rPr/>
      </w:r>
      <w:r>
        <w:rPr/>
        <w:t>十一、</w:t>
        <w:tab/>
        <w:t>代理投票</w:t>
      </w:r>
    </w:p>
    <w:p>
      <w:pPr>
        <w:pStyle w:val="BodyText"/>
        <w:spacing w:before="185"/>
      </w:pPr>
      <w:r>
        <w:rPr/>
        <w:t>1、基金管理人行使代理投票权应遵循基金份额持有人利益最大化的原则。</w:t>
      </w:r>
    </w:p>
    <w:p>
      <w:pPr>
        <w:pStyle w:val="BodyText"/>
        <w:spacing w:line="364" w:lineRule="auto" w:before="140"/>
        <w:ind w:left="376" w:right="794" w:firstLine="420"/>
        <w:jc w:val="both"/>
      </w:pPr>
      <w:r>
        <w:rPr/>
        <w:t>2、行使代理投票权应考虑不同地区市场上适用的法律或监管要求、公司治理标准、披</w:t>
      </w:r>
      <w:r>
        <w:rPr>
          <w:spacing w:val="-7"/>
        </w:rPr>
        <w:t>露实务操作等存在的差异，充分研究提案的合理性，并综合考虑投资顾问、独立第三方研究</w:t>
      </w:r>
      <w:r>
        <w:rPr>
          <w:spacing w:val="-8"/>
        </w:rPr>
        <w:t>机构等的意见后，选择合适的方式行使投票权。本着基金投资者利益最大化的原则，对持股</w:t>
      </w:r>
      <w:r>
        <w:rPr>
          <w:spacing w:val="-7"/>
        </w:rPr>
        <w:t>比例较小或审议非重要事项、支付较高费用等情况时，基金管理人可以选择不参与上市公司</w:t>
      </w:r>
      <w:r>
        <w:rPr/>
        <w:t>的投票。</w:t>
      </w:r>
    </w:p>
    <w:p>
      <w:pPr>
        <w:pStyle w:val="BodyText"/>
        <w:spacing w:line="364" w:lineRule="auto"/>
        <w:ind w:left="376" w:right="795" w:firstLine="420"/>
      </w:pPr>
      <w:r>
        <w:rPr/>
        <w:t>3、代理投票权的执行，可选择实地投票、通过交易经纪商系统投票、委托境外投资顾问、托管人或第三方代理投票机构投票等方式。</w:t>
      </w:r>
    </w:p>
    <w:p>
      <w:pPr>
        <w:pStyle w:val="BodyText"/>
        <w:spacing w:line="268" w:lineRule="exact"/>
      </w:pPr>
      <w:r>
        <w:rPr/>
        <w:t>4、基金管理人应保留投票记录。</w:t>
      </w:r>
    </w:p>
    <w:p>
      <w:pPr>
        <w:pStyle w:val="Heading2"/>
        <w:tabs>
          <w:tab w:pos="1636" w:val="left" w:leader="none"/>
        </w:tabs>
        <w:spacing w:before="138"/>
      </w:pPr>
      <w:bookmarkStart w:name="_bookmark20" w:id="21"/>
      <w:bookmarkEnd w:id="21"/>
      <w:r>
        <w:rPr/>
      </w:r>
      <w:r>
        <w:rPr/>
        <w:t>十二、</w:t>
        <w:tab/>
        <w:t>证券交易管理</w:t>
      </w:r>
    </w:p>
    <w:p>
      <w:pPr>
        <w:pStyle w:val="BodyText"/>
        <w:spacing w:line="364" w:lineRule="auto" w:before="185"/>
        <w:ind w:left="376" w:right="795" w:firstLine="420"/>
      </w:pPr>
      <w:r>
        <w:rPr/>
        <w:t>1、基金管理人挑选证券经纪商主要考虑的因素包括：交易执行能力、研究报告质量、提供研究服务质量、法规监管资讯服务以及价值贡献等方面。</w:t>
      </w:r>
    </w:p>
    <w:p>
      <w:pPr>
        <w:pStyle w:val="ListParagraph"/>
        <w:numPr>
          <w:ilvl w:val="0"/>
          <w:numId w:val="15"/>
        </w:numPr>
        <w:tabs>
          <w:tab w:pos="1324" w:val="left" w:leader="none"/>
        </w:tabs>
        <w:spacing w:line="364" w:lineRule="auto" w:before="0" w:after="0"/>
        <w:ind w:left="376" w:right="794" w:firstLine="420"/>
        <w:jc w:val="both"/>
        <w:rPr>
          <w:sz w:val="21"/>
        </w:rPr>
      </w:pPr>
      <w:r>
        <w:rPr>
          <w:sz w:val="21"/>
        </w:rPr>
        <w:t>交易执行能力。主要指券商是否能够对投资指令进行有效的执行，以及能否取得</w:t>
      </w:r>
      <w:r>
        <w:rPr>
          <w:spacing w:val="-5"/>
          <w:sz w:val="21"/>
        </w:rPr>
        <w:t>较高质量的成交结果。衡量交易执行能力的指标主要有：是否完成交易、成交的及时性、成</w:t>
      </w:r>
      <w:r>
        <w:rPr>
          <w:sz w:val="21"/>
        </w:rPr>
        <w:t>交价格、对市场的影响等；</w:t>
      </w:r>
    </w:p>
    <w:p>
      <w:pPr>
        <w:pStyle w:val="ListParagraph"/>
        <w:numPr>
          <w:ilvl w:val="0"/>
          <w:numId w:val="15"/>
        </w:numPr>
        <w:tabs>
          <w:tab w:pos="1324" w:val="left" w:leader="none"/>
        </w:tabs>
        <w:spacing w:line="364" w:lineRule="auto" w:before="0" w:after="0"/>
        <w:ind w:left="376" w:right="795" w:firstLine="420"/>
        <w:jc w:val="left"/>
        <w:rPr>
          <w:sz w:val="21"/>
        </w:rPr>
      </w:pPr>
      <w:r>
        <w:rPr>
          <w:sz w:val="21"/>
        </w:rPr>
        <w:t>研究报告的质量。主要是指券商能否提供高质量的宏观经济研究、行业研究及市场走向、个股分析报告和专题研究报告，报告内容是否详实，投资建议是否准确等；</w:t>
      </w:r>
    </w:p>
    <w:p>
      <w:pPr>
        <w:pStyle w:val="ListParagraph"/>
        <w:numPr>
          <w:ilvl w:val="0"/>
          <w:numId w:val="15"/>
        </w:numPr>
        <w:tabs>
          <w:tab w:pos="1324" w:val="left" w:leader="none"/>
        </w:tabs>
        <w:spacing w:line="364" w:lineRule="auto" w:before="0" w:after="0"/>
        <w:ind w:left="376" w:right="795" w:firstLine="420"/>
        <w:jc w:val="left"/>
        <w:rPr>
          <w:sz w:val="21"/>
        </w:rPr>
      </w:pPr>
      <w:r>
        <w:rPr>
          <w:sz w:val="21"/>
        </w:rPr>
        <w:t>提供研究服务的质量。主要包括协助安排上市公司调研、研究资料共享、路演服务、日常沟通交流、接受委托研究的服务质量等方面；</w:t>
      </w:r>
    </w:p>
    <w:p>
      <w:pPr>
        <w:pStyle w:val="ListParagraph"/>
        <w:numPr>
          <w:ilvl w:val="0"/>
          <w:numId w:val="15"/>
        </w:numPr>
        <w:tabs>
          <w:tab w:pos="1324" w:val="left" w:leader="none"/>
        </w:tabs>
        <w:spacing w:line="364" w:lineRule="auto" w:before="0" w:after="0"/>
        <w:ind w:left="376" w:right="795" w:firstLine="420"/>
        <w:jc w:val="left"/>
        <w:rPr>
          <w:sz w:val="21"/>
        </w:rPr>
      </w:pPr>
      <w:r>
        <w:rPr>
          <w:sz w:val="21"/>
        </w:rPr>
        <w:t>法规监管资讯服务。主要包括境外投资法律规定、交易监管规则、信息披露、个人利益冲突、税收等资讯的提供与培训；</w:t>
      </w:r>
    </w:p>
    <w:p>
      <w:pPr>
        <w:pStyle w:val="ListParagraph"/>
        <w:numPr>
          <w:ilvl w:val="0"/>
          <w:numId w:val="15"/>
        </w:numPr>
        <w:tabs>
          <w:tab w:pos="1324" w:val="left" w:leader="none"/>
        </w:tabs>
        <w:spacing w:line="364" w:lineRule="auto" w:before="0" w:after="0"/>
        <w:ind w:left="376" w:right="795" w:firstLine="420"/>
        <w:jc w:val="left"/>
        <w:rPr>
          <w:sz w:val="21"/>
        </w:rPr>
      </w:pPr>
      <w:r>
        <w:rPr>
          <w:sz w:val="21"/>
        </w:rPr>
        <w:t>价值贡献。主要是指证券经纪商对公司研究团队、投资团队在业务能力提升上所做的培训服务、对公司投资提升所作出的贡献；</w:t>
      </w:r>
    </w:p>
    <w:p>
      <w:pPr>
        <w:spacing w:after="0" w:line="364" w:lineRule="auto"/>
        <w:jc w:val="left"/>
        <w:rPr>
          <w:sz w:val="21"/>
        </w:rPr>
        <w:sectPr>
          <w:pgSz w:w="11910" w:h="16840"/>
          <w:pgMar w:header="0" w:footer="1118" w:top="1380" w:bottom="1380" w:left="1420" w:right="1000"/>
        </w:sectPr>
      </w:pPr>
    </w:p>
    <w:p>
      <w:pPr>
        <w:pStyle w:val="ListParagraph"/>
        <w:numPr>
          <w:ilvl w:val="0"/>
          <w:numId w:val="15"/>
        </w:numPr>
        <w:tabs>
          <w:tab w:pos="1325" w:val="left" w:leader="none"/>
        </w:tabs>
        <w:spacing w:line="364" w:lineRule="auto" w:before="45" w:after="0"/>
        <w:ind w:left="376" w:right="795" w:firstLine="420"/>
        <w:jc w:val="left"/>
        <w:rPr>
          <w:sz w:val="21"/>
        </w:rPr>
      </w:pPr>
      <w:r>
        <w:rPr>
          <w:sz w:val="21"/>
        </w:rPr>
        <w:t>其他因素。主要是证券经纪商的财务状况、经营行为规范、风险管理机制、近年内有无重大违规行为等。</w:t>
      </w:r>
    </w:p>
    <w:p>
      <w:pPr>
        <w:pStyle w:val="BodyText"/>
        <w:spacing w:line="268" w:lineRule="exact"/>
      </w:pPr>
      <w:r>
        <w:rPr/>
        <w:t>2、席位交易量的分配依据</w:t>
      </w:r>
    </w:p>
    <w:p>
      <w:pPr>
        <w:pStyle w:val="BodyText"/>
        <w:spacing w:line="364" w:lineRule="auto" w:before="139"/>
        <w:ind w:left="376" w:right="794" w:firstLine="420"/>
        <w:jc w:val="both"/>
      </w:pPr>
      <w:r>
        <w:rPr>
          <w:spacing w:val="-5"/>
        </w:rPr>
        <w:t>基金管理人主要根据对证券经纪商的评价结果进行交易量分配。评价证券经纪商将重点</w:t>
      </w:r>
      <w:r>
        <w:rPr>
          <w:spacing w:val="-7"/>
        </w:rPr>
        <w:t>依据其交易执行能力、研究报告质量、提供研究服务质量、法规监管资讯服务和价值贡献等</w:t>
      </w:r>
      <w:r>
        <w:rPr/>
        <w:t>方面的指标，并采用十分制进行评分。</w:t>
      </w:r>
    </w:p>
    <w:p>
      <w:pPr>
        <w:pStyle w:val="BodyText"/>
        <w:spacing w:line="364" w:lineRule="auto"/>
        <w:ind w:left="376" w:right="795" w:firstLine="420"/>
        <w:jc w:val="both"/>
      </w:pPr>
      <w:r>
        <w:rPr/>
        <w:t>评分的计算公式是：∑i(</w:t>
      </w:r>
      <w:r>
        <w:rPr>
          <w:spacing w:val="-27"/>
        </w:rPr>
        <w:t>第 </w:t>
      </w:r>
      <w:r>
        <w:rPr/>
        <w:t>i</w:t>
      </w:r>
      <w:r>
        <w:rPr>
          <w:spacing w:val="-7"/>
        </w:rPr>
        <w:t> 项评价项目×项目权重)，其中各项目权重由基金管理人根据相关法规要求和内部制度进行确定。</w:t>
      </w:r>
    </w:p>
    <w:p>
      <w:pPr>
        <w:pStyle w:val="BodyText"/>
        <w:spacing w:line="268" w:lineRule="exact"/>
      </w:pPr>
      <w:r>
        <w:rPr/>
        <w:t>3、其他事项</w:t>
      </w:r>
    </w:p>
    <w:p>
      <w:pPr>
        <w:pStyle w:val="BodyText"/>
        <w:spacing w:line="364" w:lineRule="auto" w:before="138"/>
        <w:ind w:left="376" w:right="585" w:firstLine="420"/>
      </w:pPr>
      <w:r>
        <w:rPr>
          <w:spacing w:val="-6"/>
        </w:rPr>
        <w:t>本基金管理人将根据有关规定，在基金定期报告中对所选择的证券经纪商、基金通过该 </w:t>
      </w:r>
      <w:r>
        <w:rPr>
          <w:spacing w:val="-10"/>
        </w:rPr>
        <w:t>证券经纪商买卖证券的成交量以及所支付的佣金等进行披露。对于在证券经纪商选择和交易 </w:t>
      </w:r>
      <w:r>
        <w:rPr/>
        <w:t>量分配中存在或潜在的利益冲突，管理人应该本着尽可能维护持有人的利益进行妥善处理， 并按规定进行报告。</w:t>
      </w:r>
    </w:p>
    <w:p>
      <w:pPr>
        <w:pStyle w:val="Heading2"/>
        <w:tabs>
          <w:tab w:pos="1636" w:val="left" w:leader="none"/>
        </w:tabs>
        <w:spacing w:line="358" w:lineRule="exact"/>
      </w:pPr>
      <w:bookmarkStart w:name="_bookmark21" w:id="22"/>
      <w:bookmarkEnd w:id="22"/>
      <w:r>
        <w:rPr/>
      </w:r>
      <w:r>
        <w:rPr/>
        <w:t>十三、</w:t>
        <w:tab/>
        <w:t>基金投资组合报告(未经审计)</w:t>
      </w:r>
    </w:p>
    <w:p>
      <w:pPr>
        <w:pStyle w:val="BodyText"/>
        <w:spacing w:line="364" w:lineRule="auto" w:before="185"/>
        <w:ind w:left="376" w:right="714"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376" w:right="714" w:firstLine="420"/>
      </w:pPr>
      <w:r>
        <w:rPr/>
        <w:t>本基金的托管人中国农业银行股份有限公司根据本基金合同的规定，复核了本报告的内容，保证复核内容不存在虚假记载、误导性陈述或者重大遗漏。</w:t>
      </w:r>
    </w:p>
    <w:p>
      <w:pPr>
        <w:pStyle w:val="BodyText"/>
        <w:spacing w:line="364" w:lineRule="auto"/>
        <w:ind w:right="1863"/>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2"/>
        </w:rPr>
        <w:t> 日。</w:t>
      </w:r>
      <w:r>
        <w:rPr/>
        <w:t>1、报告期末基金资产组合情况</w:t>
      </w: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
        <w:gridCol w:w="3550"/>
        <w:gridCol w:w="2380"/>
        <w:gridCol w:w="1327"/>
      </w:tblGrid>
      <w:tr>
        <w:trPr>
          <w:trHeight w:val="1199" w:hRule="atLeast"/>
        </w:trPr>
        <w:tc>
          <w:tcPr>
            <w:tcW w:w="743" w:type="dxa"/>
          </w:tcPr>
          <w:p>
            <w:pPr>
              <w:pStyle w:val="TableParagraph"/>
              <w:rPr>
                <w:sz w:val="20"/>
              </w:rPr>
            </w:pPr>
          </w:p>
          <w:p>
            <w:pPr>
              <w:pStyle w:val="TableParagraph"/>
              <w:spacing w:before="1"/>
              <w:rPr>
                <w:sz w:val="17"/>
              </w:rPr>
            </w:pPr>
          </w:p>
          <w:p>
            <w:pPr>
              <w:pStyle w:val="TableParagraph"/>
              <w:ind w:left="150" w:right="123"/>
              <w:jc w:val="center"/>
              <w:rPr>
                <w:sz w:val="21"/>
              </w:rPr>
            </w:pPr>
            <w:r>
              <w:rPr>
                <w:sz w:val="21"/>
              </w:rPr>
              <w:t>序号</w:t>
            </w:r>
          </w:p>
        </w:tc>
        <w:tc>
          <w:tcPr>
            <w:tcW w:w="3550" w:type="dxa"/>
          </w:tcPr>
          <w:p>
            <w:pPr>
              <w:pStyle w:val="TableParagraph"/>
              <w:rPr>
                <w:sz w:val="20"/>
              </w:rPr>
            </w:pPr>
          </w:p>
          <w:p>
            <w:pPr>
              <w:pStyle w:val="TableParagraph"/>
              <w:spacing w:before="1"/>
              <w:rPr>
                <w:sz w:val="17"/>
              </w:rPr>
            </w:pPr>
          </w:p>
          <w:p>
            <w:pPr>
              <w:pStyle w:val="TableParagraph"/>
              <w:ind w:right="1544"/>
              <w:jc w:val="right"/>
              <w:rPr>
                <w:sz w:val="21"/>
              </w:rPr>
            </w:pPr>
            <w:r>
              <w:rPr>
                <w:sz w:val="21"/>
              </w:rPr>
              <w:t>项目</w:t>
            </w:r>
          </w:p>
        </w:tc>
        <w:tc>
          <w:tcPr>
            <w:tcW w:w="2380" w:type="dxa"/>
          </w:tcPr>
          <w:p>
            <w:pPr>
              <w:pStyle w:val="TableParagraph"/>
              <w:rPr>
                <w:sz w:val="20"/>
              </w:rPr>
            </w:pPr>
          </w:p>
          <w:p>
            <w:pPr>
              <w:pStyle w:val="TableParagraph"/>
              <w:spacing w:before="1"/>
              <w:rPr>
                <w:sz w:val="17"/>
              </w:rPr>
            </w:pPr>
          </w:p>
          <w:p>
            <w:pPr>
              <w:pStyle w:val="TableParagraph"/>
              <w:ind w:left="463"/>
              <w:rPr>
                <w:sz w:val="21"/>
              </w:rPr>
            </w:pPr>
            <w:r>
              <w:rPr>
                <w:sz w:val="21"/>
              </w:rPr>
              <w:t>金额(人民币元)</w:t>
            </w:r>
          </w:p>
        </w:tc>
        <w:tc>
          <w:tcPr>
            <w:tcW w:w="1327" w:type="dxa"/>
          </w:tcPr>
          <w:p>
            <w:pPr>
              <w:pStyle w:val="TableParagraph"/>
              <w:spacing w:line="348" w:lineRule="auto" w:before="85"/>
              <w:ind w:left="146" w:right="118"/>
              <w:jc w:val="center"/>
              <w:rPr>
                <w:sz w:val="21"/>
              </w:rPr>
            </w:pPr>
            <w:r>
              <w:rPr>
                <w:sz w:val="21"/>
              </w:rPr>
              <w:t>占基金总资产的比例</w:t>
            </w:r>
          </w:p>
          <w:p>
            <w:pPr>
              <w:pStyle w:val="TableParagraph"/>
              <w:spacing w:line="269" w:lineRule="exact"/>
              <w:ind w:left="144" w:right="118"/>
              <w:jc w:val="center"/>
              <w:rPr>
                <w:sz w:val="21"/>
              </w:rPr>
            </w:pPr>
            <w:r>
              <w:rPr>
                <w:sz w:val="21"/>
              </w:rPr>
              <w:t>(%)</w:t>
            </w:r>
          </w:p>
        </w:tc>
      </w:tr>
      <w:tr>
        <w:trPr>
          <w:trHeight w:val="419" w:hRule="atLeast"/>
        </w:trPr>
        <w:tc>
          <w:tcPr>
            <w:tcW w:w="743" w:type="dxa"/>
          </w:tcPr>
          <w:p>
            <w:pPr>
              <w:pStyle w:val="TableParagraph"/>
              <w:spacing w:before="85"/>
              <w:ind w:left="27"/>
              <w:jc w:val="center"/>
              <w:rPr>
                <w:sz w:val="21"/>
              </w:rPr>
            </w:pPr>
            <w:r>
              <w:rPr>
                <w:sz w:val="21"/>
              </w:rPr>
              <w:t>1</w:t>
            </w:r>
          </w:p>
        </w:tc>
        <w:tc>
          <w:tcPr>
            <w:tcW w:w="3550" w:type="dxa"/>
          </w:tcPr>
          <w:p>
            <w:pPr>
              <w:pStyle w:val="TableParagraph"/>
              <w:spacing w:before="85"/>
              <w:ind w:left="125"/>
              <w:rPr>
                <w:sz w:val="21"/>
              </w:rPr>
            </w:pPr>
            <w:r>
              <w:rPr>
                <w:sz w:val="21"/>
              </w:rPr>
              <w:t>权益投资</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9" w:hRule="atLeast"/>
        </w:trPr>
        <w:tc>
          <w:tcPr>
            <w:tcW w:w="743" w:type="dxa"/>
          </w:tcPr>
          <w:p>
            <w:pPr>
              <w:pStyle w:val="TableParagraph"/>
              <w:rPr>
                <w:rFonts w:ascii="Times New Roman"/>
                <w:sz w:val="20"/>
              </w:rPr>
            </w:pPr>
          </w:p>
        </w:tc>
        <w:tc>
          <w:tcPr>
            <w:tcW w:w="3550" w:type="dxa"/>
          </w:tcPr>
          <w:p>
            <w:pPr>
              <w:pStyle w:val="TableParagraph"/>
              <w:spacing w:before="85"/>
              <w:ind w:left="125"/>
              <w:rPr>
                <w:sz w:val="21"/>
              </w:rPr>
            </w:pPr>
            <w:r>
              <w:rPr>
                <w:sz w:val="21"/>
              </w:rPr>
              <w:t>其中：普通股</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85"/>
              <w:ind w:left="755"/>
              <w:rPr>
                <w:sz w:val="21"/>
              </w:rPr>
            </w:pPr>
            <w:r>
              <w:rPr>
                <w:sz w:val="21"/>
              </w:rPr>
              <w:t>存托凭证</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85"/>
              <w:ind w:left="755"/>
              <w:rPr>
                <w:sz w:val="21"/>
              </w:rPr>
            </w:pPr>
            <w:r>
              <w:rPr>
                <w:sz w:val="21"/>
              </w:rPr>
              <w:t>优先股</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85"/>
              <w:ind w:left="755"/>
              <w:rPr>
                <w:sz w:val="21"/>
              </w:rPr>
            </w:pPr>
            <w:r>
              <w:rPr>
                <w:sz w:val="21"/>
              </w:rPr>
              <w:t>房地产信托</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spacing w:before="37"/>
              <w:ind w:left="10"/>
              <w:jc w:val="center"/>
              <w:rPr>
                <w:sz w:val="21"/>
              </w:rPr>
            </w:pPr>
            <w:r>
              <w:rPr>
                <w:sz w:val="21"/>
              </w:rPr>
              <w:t>2</w:t>
            </w:r>
          </w:p>
        </w:tc>
        <w:tc>
          <w:tcPr>
            <w:tcW w:w="3550" w:type="dxa"/>
          </w:tcPr>
          <w:p>
            <w:pPr>
              <w:pStyle w:val="TableParagraph"/>
              <w:spacing w:before="37"/>
              <w:ind w:left="108"/>
              <w:rPr>
                <w:sz w:val="21"/>
              </w:rPr>
            </w:pPr>
            <w:r>
              <w:rPr>
                <w:sz w:val="21"/>
              </w:rPr>
              <w:t>基金投资</w:t>
            </w:r>
          </w:p>
        </w:tc>
        <w:tc>
          <w:tcPr>
            <w:tcW w:w="2380" w:type="dxa"/>
          </w:tcPr>
          <w:p>
            <w:pPr>
              <w:pStyle w:val="TableParagraph"/>
              <w:spacing w:before="85"/>
              <w:ind w:right="96"/>
              <w:jc w:val="right"/>
              <w:rPr>
                <w:sz w:val="21"/>
              </w:rPr>
            </w:pPr>
            <w:r>
              <w:rPr>
                <w:sz w:val="21"/>
              </w:rPr>
              <w:t>256,584,828.21</w:t>
            </w:r>
          </w:p>
        </w:tc>
        <w:tc>
          <w:tcPr>
            <w:tcW w:w="1327" w:type="dxa"/>
          </w:tcPr>
          <w:p>
            <w:pPr>
              <w:pStyle w:val="TableParagraph"/>
              <w:spacing w:before="85"/>
              <w:ind w:right="96"/>
              <w:jc w:val="right"/>
              <w:rPr>
                <w:sz w:val="21"/>
              </w:rPr>
            </w:pPr>
            <w:r>
              <w:rPr>
                <w:sz w:val="21"/>
              </w:rPr>
              <w:t>85.99</w:t>
            </w:r>
          </w:p>
        </w:tc>
      </w:tr>
      <w:tr>
        <w:trPr>
          <w:trHeight w:val="418" w:hRule="atLeast"/>
        </w:trPr>
        <w:tc>
          <w:tcPr>
            <w:tcW w:w="743" w:type="dxa"/>
          </w:tcPr>
          <w:p>
            <w:pPr>
              <w:pStyle w:val="TableParagraph"/>
              <w:spacing w:before="85"/>
              <w:ind w:left="27"/>
              <w:jc w:val="center"/>
              <w:rPr>
                <w:sz w:val="21"/>
              </w:rPr>
            </w:pPr>
            <w:r>
              <w:rPr>
                <w:sz w:val="21"/>
              </w:rPr>
              <w:t>3</w:t>
            </w:r>
          </w:p>
        </w:tc>
        <w:tc>
          <w:tcPr>
            <w:tcW w:w="3550" w:type="dxa"/>
          </w:tcPr>
          <w:p>
            <w:pPr>
              <w:pStyle w:val="TableParagraph"/>
              <w:spacing w:before="85"/>
              <w:ind w:left="125"/>
              <w:rPr>
                <w:sz w:val="21"/>
              </w:rPr>
            </w:pPr>
            <w:r>
              <w:rPr>
                <w:sz w:val="21"/>
              </w:rPr>
              <w:t>固定收益投资</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85"/>
              <w:ind w:left="125"/>
              <w:rPr>
                <w:sz w:val="21"/>
              </w:rPr>
            </w:pPr>
            <w:r>
              <w:rPr>
                <w:sz w:val="21"/>
              </w:rPr>
              <w:t>其中：债券</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85"/>
              <w:ind w:right="1524"/>
              <w:jc w:val="right"/>
              <w:rPr>
                <w:sz w:val="21"/>
              </w:rPr>
            </w:pPr>
            <w:r>
              <w:rPr>
                <w:sz w:val="21"/>
              </w:rPr>
              <w:t>资产支持证券</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r>
        <w:trPr>
          <w:trHeight w:val="418" w:hRule="atLeast"/>
        </w:trPr>
        <w:tc>
          <w:tcPr>
            <w:tcW w:w="743" w:type="dxa"/>
          </w:tcPr>
          <w:p>
            <w:pPr>
              <w:pStyle w:val="TableParagraph"/>
              <w:spacing w:before="85"/>
              <w:ind w:left="27"/>
              <w:jc w:val="center"/>
              <w:rPr>
                <w:sz w:val="21"/>
              </w:rPr>
            </w:pPr>
            <w:r>
              <w:rPr>
                <w:sz w:val="21"/>
              </w:rPr>
              <w:t>4</w:t>
            </w:r>
          </w:p>
        </w:tc>
        <w:tc>
          <w:tcPr>
            <w:tcW w:w="3550" w:type="dxa"/>
          </w:tcPr>
          <w:p>
            <w:pPr>
              <w:pStyle w:val="TableParagraph"/>
              <w:spacing w:before="85"/>
              <w:ind w:left="125"/>
              <w:rPr>
                <w:sz w:val="21"/>
              </w:rPr>
            </w:pPr>
            <w:r>
              <w:rPr>
                <w:sz w:val="21"/>
              </w:rPr>
              <w:t>金融衍生品投资</w:t>
            </w:r>
          </w:p>
        </w:tc>
        <w:tc>
          <w:tcPr>
            <w:tcW w:w="2380" w:type="dxa"/>
          </w:tcPr>
          <w:p>
            <w:pPr>
              <w:pStyle w:val="TableParagraph"/>
              <w:spacing w:before="85"/>
              <w:ind w:right="96"/>
              <w:jc w:val="right"/>
              <w:rPr>
                <w:sz w:val="21"/>
              </w:rPr>
            </w:pPr>
            <w:r>
              <w:rPr>
                <w:sz w:val="21"/>
              </w:rPr>
              <w:t>-</w:t>
            </w:r>
          </w:p>
        </w:tc>
        <w:tc>
          <w:tcPr>
            <w:tcW w:w="1327" w:type="dxa"/>
          </w:tcPr>
          <w:p>
            <w:pPr>
              <w:pStyle w:val="TableParagraph"/>
              <w:spacing w:before="85"/>
              <w:ind w:right="96"/>
              <w:jc w:val="right"/>
              <w:rPr>
                <w:sz w:val="21"/>
              </w:rPr>
            </w:pPr>
            <w:r>
              <w:rPr>
                <w:sz w:val="21"/>
              </w:rPr>
              <w:t>-</w:t>
            </w:r>
          </w:p>
        </w:tc>
      </w:tr>
    </w:tbl>
    <w:p>
      <w:pPr>
        <w:spacing w:after="0"/>
        <w:jc w:val="right"/>
        <w:rPr>
          <w:sz w:val="21"/>
        </w:rPr>
        <w:sectPr>
          <w:pgSz w:w="11910" w:h="16840"/>
          <w:pgMar w:header="0" w:footer="1118" w:top="1380" w:bottom="1380" w:left="1420" w:right="1000"/>
        </w:sect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
        <w:gridCol w:w="3550"/>
        <w:gridCol w:w="2380"/>
        <w:gridCol w:w="1327"/>
      </w:tblGrid>
      <w:tr>
        <w:trPr>
          <w:trHeight w:val="419" w:hRule="atLeast"/>
        </w:trPr>
        <w:tc>
          <w:tcPr>
            <w:tcW w:w="743" w:type="dxa"/>
          </w:tcPr>
          <w:p>
            <w:pPr>
              <w:pStyle w:val="TableParagraph"/>
              <w:rPr>
                <w:rFonts w:ascii="Times New Roman"/>
                <w:sz w:val="20"/>
              </w:rPr>
            </w:pPr>
          </w:p>
        </w:tc>
        <w:tc>
          <w:tcPr>
            <w:tcW w:w="3550" w:type="dxa"/>
          </w:tcPr>
          <w:p>
            <w:pPr>
              <w:pStyle w:val="TableParagraph"/>
              <w:spacing w:before="42"/>
              <w:ind w:left="108"/>
              <w:rPr>
                <w:sz w:val="21"/>
              </w:rPr>
            </w:pPr>
            <w:r>
              <w:rPr>
                <w:sz w:val="21"/>
              </w:rPr>
              <w:t>其中：远期</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419" w:hRule="atLeast"/>
        </w:trPr>
        <w:tc>
          <w:tcPr>
            <w:tcW w:w="743" w:type="dxa"/>
          </w:tcPr>
          <w:p>
            <w:pPr>
              <w:pStyle w:val="TableParagraph"/>
              <w:rPr>
                <w:rFonts w:ascii="Times New Roman"/>
                <w:sz w:val="20"/>
              </w:rPr>
            </w:pPr>
          </w:p>
        </w:tc>
        <w:tc>
          <w:tcPr>
            <w:tcW w:w="3550" w:type="dxa"/>
          </w:tcPr>
          <w:p>
            <w:pPr>
              <w:pStyle w:val="TableParagraph"/>
              <w:spacing w:before="42"/>
              <w:ind w:left="738"/>
              <w:rPr>
                <w:sz w:val="21"/>
              </w:rPr>
            </w:pPr>
            <w:r>
              <w:rPr>
                <w:sz w:val="21"/>
              </w:rPr>
              <w:t>期货</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419" w:hRule="atLeast"/>
        </w:trPr>
        <w:tc>
          <w:tcPr>
            <w:tcW w:w="743" w:type="dxa"/>
          </w:tcPr>
          <w:p>
            <w:pPr>
              <w:pStyle w:val="TableParagraph"/>
              <w:rPr>
                <w:rFonts w:ascii="Times New Roman"/>
                <w:sz w:val="20"/>
              </w:rPr>
            </w:pPr>
          </w:p>
        </w:tc>
        <w:tc>
          <w:tcPr>
            <w:tcW w:w="3550" w:type="dxa"/>
          </w:tcPr>
          <w:p>
            <w:pPr>
              <w:pStyle w:val="TableParagraph"/>
              <w:spacing w:before="42"/>
              <w:ind w:left="738"/>
              <w:rPr>
                <w:sz w:val="21"/>
              </w:rPr>
            </w:pPr>
            <w:r>
              <w:rPr>
                <w:sz w:val="21"/>
              </w:rPr>
              <w:t>期权</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418" w:hRule="atLeast"/>
        </w:trPr>
        <w:tc>
          <w:tcPr>
            <w:tcW w:w="743" w:type="dxa"/>
          </w:tcPr>
          <w:p>
            <w:pPr>
              <w:pStyle w:val="TableParagraph"/>
              <w:rPr>
                <w:rFonts w:ascii="Times New Roman"/>
                <w:sz w:val="20"/>
              </w:rPr>
            </w:pPr>
          </w:p>
        </w:tc>
        <w:tc>
          <w:tcPr>
            <w:tcW w:w="3550" w:type="dxa"/>
          </w:tcPr>
          <w:p>
            <w:pPr>
              <w:pStyle w:val="TableParagraph"/>
              <w:spacing w:before="42"/>
              <w:ind w:left="733"/>
              <w:rPr>
                <w:sz w:val="21"/>
              </w:rPr>
            </w:pPr>
            <w:r>
              <w:rPr>
                <w:sz w:val="21"/>
              </w:rPr>
              <w:t>权证</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418" w:hRule="atLeast"/>
        </w:trPr>
        <w:tc>
          <w:tcPr>
            <w:tcW w:w="743" w:type="dxa"/>
          </w:tcPr>
          <w:p>
            <w:pPr>
              <w:pStyle w:val="TableParagraph"/>
              <w:spacing w:before="91"/>
              <w:ind w:left="27"/>
              <w:jc w:val="center"/>
              <w:rPr>
                <w:sz w:val="21"/>
              </w:rPr>
            </w:pPr>
            <w:r>
              <w:rPr>
                <w:sz w:val="21"/>
              </w:rPr>
              <w:t>5</w:t>
            </w:r>
          </w:p>
        </w:tc>
        <w:tc>
          <w:tcPr>
            <w:tcW w:w="3550" w:type="dxa"/>
          </w:tcPr>
          <w:p>
            <w:pPr>
              <w:pStyle w:val="TableParagraph"/>
              <w:spacing w:before="91"/>
              <w:ind w:left="125"/>
              <w:rPr>
                <w:sz w:val="21"/>
              </w:rPr>
            </w:pPr>
            <w:r>
              <w:rPr>
                <w:sz w:val="21"/>
              </w:rPr>
              <w:t>买入返售金融资产</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808" w:hRule="atLeast"/>
        </w:trPr>
        <w:tc>
          <w:tcPr>
            <w:tcW w:w="743" w:type="dxa"/>
          </w:tcPr>
          <w:p>
            <w:pPr>
              <w:pStyle w:val="TableParagraph"/>
              <w:rPr>
                <w:rFonts w:ascii="Times New Roman"/>
                <w:sz w:val="20"/>
              </w:rPr>
            </w:pPr>
          </w:p>
        </w:tc>
        <w:tc>
          <w:tcPr>
            <w:tcW w:w="3550" w:type="dxa"/>
          </w:tcPr>
          <w:p>
            <w:pPr>
              <w:pStyle w:val="TableParagraph"/>
              <w:spacing w:before="91"/>
              <w:ind w:left="125"/>
              <w:rPr>
                <w:sz w:val="21"/>
              </w:rPr>
            </w:pPr>
            <w:r>
              <w:rPr>
                <w:sz w:val="21"/>
              </w:rPr>
              <w:t>其中：买断式回购的买入返售金融资</w:t>
            </w:r>
          </w:p>
          <w:p>
            <w:pPr>
              <w:pStyle w:val="TableParagraph"/>
              <w:spacing w:before="121"/>
              <w:ind w:left="125"/>
              <w:rPr>
                <w:sz w:val="21"/>
              </w:rPr>
            </w:pPr>
            <w:r>
              <w:rPr>
                <w:sz w:val="21"/>
              </w:rPr>
              <w:t>产</w:t>
            </w:r>
          </w:p>
        </w:tc>
        <w:tc>
          <w:tcPr>
            <w:tcW w:w="2380" w:type="dxa"/>
          </w:tcPr>
          <w:p>
            <w:pPr>
              <w:pStyle w:val="TableParagraph"/>
              <w:spacing w:before="4"/>
              <w:rPr>
                <w:sz w:val="22"/>
              </w:rPr>
            </w:pPr>
          </w:p>
          <w:p>
            <w:pPr>
              <w:pStyle w:val="TableParagraph"/>
              <w:ind w:right="96"/>
              <w:jc w:val="right"/>
              <w:rPr>
                <w:sz w:val="21"/>
              </w:rPr>
            </w:pPr>
            <w:r>
              <w:rPr>
                <w:sz w:val="21"/>
              </w:rPr>
              <w:t>-</w:t>
            </w:r>
          </w:p>
        </w:tc>
        <w:tc>
          <w:tcPr>
            <w:tcW w:w="1327"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743" w:type="dxa"/>
          </w:tcPr>
          <w:p>
            <w:pPr>
              <w:pStyle w:val="TableParagraph"/>
              <w:spacing w:before="42"/>
              <w:ind w:left="10"/>
              <w:jc w:val="center"/>
              <w:rPr>
                <w:sz w:val="21"/>
              </w:rPr>
            </w:pPr>
            <w:r>
              <w:rPr>
                <w:sz w:val="21"/>
              </w:rPr>
              <w:t>6</w:t>
            </w:r>
          </w:p>
        </w:tc>
        <w:tc>
          <w:tcPr>
            <w:tcW w:w="3550" w:type="dxa"/>
          </w:tcPr>
          <w:p>
            <w:pPr>
              <w:pStyle w:val="TableParagraph"/>
              <w:spacing w:before="42"/>
              <w:ind w:left="108"/>
              <w:rPr>
                <w:sz w:val="21"/>
              </w:rPr>
            </w:pPr>
            <w:r>
              <w:rPr>
                <w:sz w:val="21"/>
              </w:rPr>
              <w:t>货币市场工具</w:t>
            </w:r>
          </w:p>
        </w:tc>
        <w:tc>
          <w:tcPr>
            <w:tcW w:w="2380" w:type="dxa"/>
          </w:tcPr>
          <w:p>
            <w:pPr>
              <w:pStyle w:val="TableParagraph"/>
              <w:spacing w:before="91"/>
              <w:ind w:right="96"/>
              <w:jc w:val="right"/>
              <w:rPr>
                <w:sz w:val="21"/>
              </w:rPr>
            </w:pPr>
            <w:r>
              <w:rPr>
                <w:sz w:val="21"/>
              </w:rPr>
              <w:t>-</w:t>
            </w:r>
          </w:p>
        </w:tc>
        <w:tc>
          <w:tcPr>
            <w:tcW w:w="1327" w:type="dxa"/>
          </w:tcPr>
          <w:p>
            <w:pPr>
              <w:pStyle w:val="TableParagraph"/>
              <w:spacing w:before="91"/>
              <w:ind w:right="96"/>
              <w:jc w:val="right"/>
              <w:rPr>
                <w:sz w:val="21"/>
              </w:rPr>
            </w:pPr>
            <w:r>
              <w:rPr>
                <w:sz w:val="21"/>
              </w:rPr>
              <w:t>-</w:t>
            </w:r>
          </w:p>
        </w:tc>
      </w:tr>
      <w:tr>
        <w:trPr>
          <w:trHeight w:val="418" w:hRule="atLeast"/>
        </w:trPr>
        <w:tc>
          <w:tcPr>
            <w:tcW w:w="743" w:type="dxa"/>
          </w:tcPr>
          <w:p>
            <w:pPr>
              <w:pStyle w:val="TableParagraph"/>
              <w:spacing w:before="91"/>
              <w:ind w:left="27"/>
              <w:jc w:val="center"/>
              <w:rPr>
                <w:sz w:val="21"/>
              </w:rPr>
            </w:pPr>
            <w:r>
              <w:rPr>
                <w:sz w:val="21"/>
              </w:rPr>
              <w:t>7</w:t>
            </w:r>
          </w:p>
        </w:tc>
        <w:tc>
          <w:tcPr>
            <w:tcW w:w="3550" w:type="dxa"/>
          </w:tcPr>
          <w:p>
            <w:pPr>
              <w:pStyle w:val="TableParagraph"/>
              <w:spacing w:before="91"/>
              <w:ind w:left="125"/>
              <w:rPr>
                <w:sz w:val="21"/>
              </w:rPr>
            </w:pPr>
            <w:r>
              <w:rPr>
                <w:sz w:val="21"/>
              </w:rPr>
              <w:t>银行存款和结算备付金合计</w:t>
            </w:r>
          </w:p>
        </w:tc>
        <w:tc>
          <w:tcPr>
            <w:tcW w:w="2380" w:type="dxa"/>
          </w:tcPr>
          <w:p>
            <w:pPr>
              <w:pStyle w:val="TableParagraph"/>
              <w:spacing w:before="91"/>
              <w:ind w:right="96"/>
              <w:jc w:val="right"/>
              <w:rPr>
                <w:sz w:val="21"/>
              </w:rPr>
            </w:pPr>
            <w:r>
              <w:rPr>
                <w:sz w:val="21"/>
              </w:rPr>
              <w:t>41,371,128.46</w:t>
            </w:r>
          </w:p>
        </w:tc>
        <w:tc>
          <w:tcPr>
            <w:tcW w:w="1327" w:type="dxa"/>
          </w:tcPr>
          <w:p>
            <w:pPr>
              <w:pStyle w:val="TableParagraph"/>
              <w:spacing w:before="91"/>
              <w:ind w:right="96"/>
              <w:jc w:val="right"/>
              <w:rPr>
                <w:sz w:val="21"/>
              </w:rPr>
            </w:pPr>
            <w:r>
              <w:rPr>
                <w:sz w:val="21"/>
              </w:rPr>
              <w:t>13.87</w:t>
            </w:r>
          </w:p>
        </w:tc>
      </w:tr>
      <w:tr>
        <w:trPr>
          <w:trHeight w:val="418" w:hRule="atLeast"/>
        </w:trPr>
        <w:tc>
          <w:tcPr>
            <w:tcW w:w="743" w:type="dxa"/>
          </w:tcPr>
          <w:p>
            <w:pPr>
              <w:pStyle w:val="TableParagraph"/>
              <w:spacing w:before="91"/>
              <w:ind w:left="27"/>
              <w:jc w:val="center"/>
              <w:rPr>
                <w:sz w:val="21"/>
              </w:rPr>
            </w:pPr>
            <w:r>
              <w:rPr>
                <w:sz w:val="21"/>
              </w:rPr>
              <w:t>8</w:t>
            </w:r>
          </w:p>
        </w:tc>
        <w:tc>
          <w:tcPr>
            <w:tcW w:w="3550" w:type="dxa"/>
          </w:tcPr>
          <w:p>
            <w:pPr>
              <w:pStyle w:val="TableParagraph"/>
              <w:spacing w:before="76"/>
              <w:ind w:left="108"/>
              <w:rPr>
                <w:sz w:val="21"/>
              </w:rPr>
            </w:pPr>
            <w:r>
              <w:rPr>
                <w:sz w:val="21"/>
              </w:rPr>
              <w:t>其他资产</w:t>
            </w:r>
          </w:p>
        </w:tc>
        <w:tc>
          <w:tcPr>
            <w:tcW w:w="2380" w:type="dxa"/>
          </w:tcPr>
          <w:p>
            <w:pPr>
              <w:pStyle w:val="TableParagraph"/>
              <w:spacing w:before="76"/>
              <w:ind w:right="96"/>
              <w:jc w:val="right"/>
              <w:rPr>
                <w:sz w:val="21"/>
              </w:rPr>
            </w:pPr>
            <w:r>
              <w:rPr>
                <w:sz w:val="21"/>
              </w:rPr>
              <w:t>417,689.02</w:t>
            </w:r>
          </w:p>
        </w:tc>
        <w:tc>
          <w:tcPr>
            <w:tcW w:w="1327" w:type="dxa"/>
          </w:tcPr>
          <w:p>
            <w:pPr>
              <w:pStyle w:val="TableParagraph"/>
              <w:spacing w:before="76"/>
              <w:ind w:right="96"/>
              <w:jc w:val="right"/>
              <w:rPr>
                <w:sz w:val="21"/>
              </w:rPr>
            </w:pPr>
            <w:r>
              <w:rPr>
                <w:sz w:val="21"/>
              </w:rPr>
              <w:t>0.14</w:t>
            </w:r>
          </w:p>
        </w:tc>
      </w:tr>
      <w:tr>
        <w:trPr>
          <w:trHeight w:val="418" w:hRule="atLeast"/>
        </w:trPr>
        <w:tc>
          <w:tcPr>
            <w:tcW w:w="743" w:type="dxa"/>
          </w:tcPr>
          <w:p>
            <w:pPr>
              <w:pStyle w:val="TableParagraph"/>
              <w:spacing w:before="91"/>
              <w:ind w:left="27"/>
              <w:jc w:val="center"/>
              <w:rPr>
                <w:sz w:val="21"/>
              </w:rPr>
            </w:pPr>
            <w:r>
              <w:rPr>
                <w:sz w:val="21"/>
              </w:rPr>
              <w:t>9</w:t>
            </w:r>
          </w:p>
        </w:tc>
        <w:tc>
          <w:tcPr>
            <w:tcW w:w="3550" w:type="dxa"/>
          </w:tcPr>
          <w:p>
            <w:pPr>
              <w:pStyle w:val="TableParagraph"/>
              <w:spacing w:before="76"/>
              <w:ind w:left="108"/>
              <w:rPr>
                <w:sz w:val="21"/>
              </w:rPr>
            </w:pPr>
            <w:r>
              <w:rPr>
                <w:sz w:val="21"/>
              </w:rPr>
              <w:t>合计</w:t>
            </w:r>
          </w:p>
        </w:tc>
        <w:tc>
          <w:tcPr>
            <w:tcW w:w="2380" w:type="dxa"/>
          </w:tcPr>
          <w:p>
            <w:pPr>
              <w:pStyle w:val="TableParagraph"/>
              <w:spacing w:before="76"/>
              <w:ind w:right="96"/>
              <w:jc w:val="right"/>
              <w:rPr>
                <w:sz w:val="21"/>
              </w:rPr>
            </w:pPr>
            <w:r>
              <w:rPr>
                <w:sz w:val="21"/>
              </w:rPr>
              <w:t>298,373,645.69</w:t>
            </w:r>
          </w:p>
        </w:tc>
        <w:tc>
          <w:tcPr>
            <w:tcW w:w="1327" w:type="dxa"/>
          </w:tcPr>
          <w:p>
            <w:pPr>
              <w:pStyle w:val="TableParagraph"/>
              <w:spacing w:before="76"/>
              <w:ind w:right="96"/>
              <w:jc w:val="right"/>
              <w:rPr>
                <w:sz w:val="21"/>
              </w:rPr>
            </w:pPr>
            <w:r>
              <w:rPr>
                <w:sz w:val="21"/>
              </w:rPr>
              <w:t>100.00</w:t>
            </w:r>
          </w:p>
        </w:tc>
      </w:tr>
    </w:tbl>
    <w:p>
      <w:pPr>
        <w:pStyle w:val="BodyText"/>
        <w:spacing w:line="364" w:lineRule="auto" w:before="3"/>
        <w:ind w:right="2283"/>
      </w:pPr>
      <w:r>
        <w:rPr/>
        <w:t>2、报告期末在各个国家（地区）</w:t>
      </w:r>
      <w:r>
        <w:rPr>
          <w:spacing w:val="-2"/>
        </w:rPr>
        <w:t>证券市场的股票及存托凭证投资分布</w:t>
      </w:r>
      <w:r>
        <w:rPr/>
        <w:t>本基金本报告期末未持有权益投资。</w:t>
      </w:r>
    </w:p>
    <w:p>
      <w:pPr>
        <w:pStyle w:val="BodyText"/>
        <w:spacing w:line="364" w:lineRule="auto"/>
        <w:ind w:right="3963"/>
      </w:pPr>
      <w:r>
        <w:rPr/>
        <w:t>3</w:t>
      </w:r>
      <w:r>
        <w:rPr>
          <w:spacing w:val="-1"/>
        </w:rPr>
        <w:t>、报告期末按行业分类的股票及存托凭证投资组合</w:t>
      </w:r>
      <w:r>
        <w:rPr/>
        <w:t>本基金本报告期末未持有权益投资。</w:t>
      </w:r>
    </w:p>
    <w:p>
      <w:pPr>
        <w:pStyle w:val="BodyText"/>
        <w:spacing w:line="268" w:lineRule="exact"/>
      </w:pPr>
      <w:r>
        <w:rPr/>
        <w:t>4、报告期末按公允价值占基金资产净值比例大小排序的前十名股票及存托凭证投资明</w:t>
      </w:r>
    </w:p>
    <w:p>
      <w:pPr>
        <w:pStyle w:val="BodyText"/>
        <w:spacing w:before="138"/>
        <w:ind w:left="376"/>
      </w:pPr>
      <w:r>
        <w:rPr/>
        <w:t>细</w:t>
      </w:r>
    </w:p>
    <w:p>
      <w:pPr>
        <w:pStyle w:val="BodyText"/>
        <w:spacing w:before="140"/>
      </w:pPr>
      <w:r>
        <w:rPr/>
        <w:t>本基金本报告期末未持有权益投资。</w:t>
      </w:r>
    </w:p>
    <w:p>
      <w:pPr>
        <w:pStyle w:val="BodyText"/>
        <w:spacing w:line="364" w:lineRule="auto" w:before="139"/>
        <w:ind w:right="4173"/>
      </w:pPr>
      <w:r>
        <w:rPr/>
        <w:t>5</w:t>
      </w:r>
      <w:r>
        <w:rPr>
          <w:spacing w:val="-1"/>
        </w:rPr>
        <w:t>、报告期末按债券信用等级分类的债券投资组合</w:t>
      </w:r>
      <w:r>
        <w:rPr/>
        <w:t>本基金本报告期末未持有债券。</w:t>
      </w:r>
    </w:p>
    <w:p>
      <w:pPr>
        <w:pStyle w:val="BodyText"/>
        <w:spacing w:line="364" w:lineRule="auto"/>
        <w:ind w:right="1653"/>
      </w:pPr>
      <w:r>
        <w:rPr/>
        <w:t>6</w:t>
      </w:r>
      <w:r>
        <w:rPr>
          <w:spacing w:val="-1"/>
        </w:rPr>
        <w:t>、报告期末按公允价值占基金资产净值比例大小排序的前五名债券投资明细</w:t>
      </w:r>
      <w:r>
        <w:rPr/>
        <w:t>本基金本报告期末未持有债券。</w:t>
      </w:r>
    </w:p>
    <w:p>
      <w:pPr>
        <w:pStyle w:val="BodyText"/>
        <w:spacing w:line="364" w:lineRule="auto"/>
        <w:ind w:right="813"/>
      </w:pPr>
      <w:r>
        <w:rPr/>
        <w:t>7、报告期末按公允价值占基金资产净值比例大小排序的前十名资产支持证券投资明细本基金本报告期末未持有资产支持证券。</w:t>
      </w:r>
    </w:p>
    <w:p>
      <w:pPr>
        <w:pStyle w:val="BodyText"/>
        <w:spacing w:line="364" w:lineRule="auto"/>
        <w:ind w:right="1023"/>
      </w:pPr>
      <w:r>
        <w:rPr/>
        <w:t>8、报告期末按公允价值占基金资产净值比例大小排序的前五名金融衍生品投资明细本基金本报告期末未持有金融衍生品。</w:t>
      </w:r>
    </w:p>
    <w:p>
      <w:pPr>
        <w:pStyle w:val="BodyText"/>
        <w:spacing w:line="268" w:lineRule="exact"/>
      </w:pPr>
      <w:r>
        <w:rPr/>
        <w:t>9、报告期末按公允价值占基金资产净值比例大小排序的前十名基金投资明细</w:t>
      </w:r>
    </w:p>
    <w:p>
      <w:pPr>
        <w:pStyle w:val="BodyText"/>
        <w:spacing w:before="5" w:after="1"/>
        <w:ind w:left="0"/>
        <w:rPr>
          <w:sz w:val="10"/>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
        <w:gridCol w:w="1625"/>
        <w:gridCol w:w="709"/>
        <w:gridCol w:w="992"/>
        <w:gridCol w:w="1984"/>
        <w:gridCol w:w="1701"/>
        <w:gridCol w:w="936"/>
      </w:tblGrid>
      <w:tr>
        <w:trPr>
          <w:trHeight w:val="1560" w:hRule="atLeast"/>
        </w:trPr>
        <w:tc>
          <w:tcPr>
            <w:tcW w:w="340" w:type="dxa"/>
          </w:tcPr>
          <w:p>
            <w:pPr>
              <w:pStyle w:val="TableParagraph"/>
              <w:rPr>
                <w:sz w:val="20"/>
              </w:rPr>
            </w:pPr>
          </w:p>
          <w:p>
            <w:pPr>
              <w:pStyle w:val="TableParagraph"/>
              <w:spacing w:before="3"/>
              <w:rPr>
                <w:sz w:val="15"/>
              </w:rPr>
            </w:pPr>
          </w:p>
          <w:p>
            <w:pPr>
              <w:pStyle w:val="TableParagraph"/>
              <w:spacing w:line="348" w:lineRule="auto"/>
              <w:ind w:left="108" w:right="11"/>
              <w:rPr>
                <w:sz w:val="21"/>
              </w:rPr>
            </w:pPr>
            <w:r>
              <w:rPr>
                <w:sz w:val="21"/>
              </w:rPr>
              <w:t>序号</w:t>
            </w:r>
          </w:p>
        </w:tc>
        <w:tc>
          <w:tcPr>
            <w:tcW w:w="1625" w:type="dxa"/>
          </w:tcPr>
          <w:p>
            <w:pPr>
              <w:pStyle w:val="TableParagraph"/>
              <w:rPr>
                <w:sz w:val="20"/>
              </w:rPr>
            </w:pPr>
          </w:p>
          <w:p>
            <w:pPr>
              <w:pStyle w:val="TableParagraph"/>
              <w:rPr>
                <w:sz w:val="20"/>
              </w:rPr>
            </w:pPr>
          </w:p>
          <w:p>
            <w:pPr>
              <w:pStyle w:val="TableParagraph"/>
              <w:spacing w:before="134"/>
              <w:ind w:left="108"/>
              <w:rPr>
                <w:sz w:val="21"/>
              </w:rPr>
            </w:pPr>
            <w:r>
              <w:rPr>
                <w:sz w:val="21"/>
              </w:rPr>
              <w:t>基金名称</w:t>
            </w:r>
          </w:p>
        </w:tc>
        <w:tc>
          <w:tcPr>
            <w:tcW w:w="709" w:type="dxa"/>
          </w:tcPr>
          <w:p>
            <w:pPr>
              <w:pStyle w:val="TableParagraph"/>
              <w:rPr>
                <w:sz w:val="20"/>
              </w:rPr>
            </w:pPr>
          </w:p>
          <w:p>
            <w:pPr>
              <w:pStyle w:val="TableParagraph"/>
              <w:spacing w:before="3"/>
              <w:rPr>
                <w:sz w:val="15"/>
              </w:rPr>
            </w:pPr>
          </w:p>
          <w:p>
            <w:pPr>
              <w:pStyle w:val="TableParagraph"/>
              <w:spacing w:line="348" w:lineRule="auto"/>
              <w:ind w:left="108" w:right="40"/>
              <w:rPr>
                <w:sz w:val="21"/>
              </w:rPr>
            </w:pPr>
            <w:r>
              <w:rPr>
                <w:sz w:val="21"/>
              </w:rPr>
              <w:t>基 金类型</w:t>
            </w:r>
          </w:p>
        </w:tc>
        <w:tc>
          <w:tcPr>
            <w:tcW w:w="992" w:type="dxa"/>
          </w:tcPr>
          <w:p>
            <w:pPr>
              <w:pStyle w:val="TableParagraph"/>
              <w:rPr>
                <w:sz w:val="20"/>
              </w:rPr>
            </w:pPr>
          </w:p>
          <w:p>
            <w:pPr>
              <w:pStyle w:val="TableParagraph"/>
              <w:spacing w:before="3"/>
              <w:rPr>
                <w:sz w:val="15"/>
              </w:rPr>
            </w:pPr>
          </w:p>
          <w:p>
            <w:pPr>
              <w:pStyle w:val="TableParagraph"/>
              <w:spacing w:line="348" w:lineRule="auto"/>
              <w:ind w:left="390" w:right="169" w:hanging="210"/>
              <w:rPr>
                <w:sz w:val="21"/>
              </w:rPr>
            </w:pPr>
            <w:r>
              <w:rPr>
                <w:sz w:val="21"/>
              </w:rPr>
              <w:t>运作方式</w:t>
            </w:r>
          </w:p>
        </w:tc>
        <w:tc>
          <w:tcPr>
            <w:tcW w:w="1984" w:type="dxa"/>
          </w:tcPr>
          <w:p>
            <w:pPr>
              <w:pStyle w:val="TableParagraph"/>
              <w:rPr>
                <w:sz w:val="20"/>
              </w:rPr>
            </w:pPr>
          </w:p>
          <w:p>
            <w:pPr>
              <w:pStyle w:val="TableParagraph"/>
              <w:rPr>
                <w:sz w:val="20"/>
              </w:rPr>
            </w:pPr>
          </w:p>
          <w:p>
            <w:pPr>
              <w:pStyle w:val="TableParagraph"/>
              <w:spacing w:before="134"/>
              <w:ind w:left="132" w:right="122"/>
              <w:jc w:val="center"/>
              <w:rPr>
                <w:sz w:val="21"/>
              </w:rPr>
            </w:pPr>
            <w:r>
              <w:rPr>
                <w:sz w:val="21"/>
              </w:rPr>
              <w:t>管理人</w:t>
            </w:r>
          </w:p>
        </w:tc>
        <w:tc>
          <w:tcPr>
            <w:tcW w:w="1701" w:type="dxa"/>
          </w:tcPr>
          <w:p>
            <w:pPr>
              <w:pStyle w:val="TableParagraph"/>
              <w:rPr>
                <w:sz w:val="20"/>
              </w:rPr>
            </w:pPr>
          </w:p>
          <w:p>
            <w:pPr>
              <w:pStyle w:val="TableParagraph"/>
              <w:spacing w:before="3"/>
              <w:rPr>
                <w:sz w:val="15"/>
              </w:rPr>
            </w:pPr>
          </w:p>
          <w:p>
            <w:pPr>
              <w:pStyle w:val="TableParagraph"/>
              <w:ind w:left="129" w:right="119"/>
              <w:jc w:val="center"/>
              <w:rPr>
                <w:sz w:val="21"/>
              </w:rPr>
            </w:pPr>
            <w:r>
              <w:rPr>
                <w:sz w:val="21"/>
              </w:rPr>
              <w:t>公允价值</w:t>
            </w:r>
          </w:p>
          <w:p>
            <w:pPr>
              <w:pStyle w:val="TableParagraph"/>
              <w:spacing w:before="121"/>
              <w:ind w:left="129" w:right="119"/>
              <w:jc w:val="center"/>
              <w:rPr>
                <w:sz w:val="21"/>
              </w:rPr>
            </w:pPr>
            <w:r>
              <w:rPr>
                <w:sz w:val="21"/>
              </w:rPr>
              <w:t>（人民币元）</w:t>
            </w:r>
          </w:p>
        </w:tc>
        <w:tc>
          <w:tcPr>
            <w:tcW w:w="936" w:type="dxa"/>
          </w:tcPr>
          <w:p>
            <w:pPr>
              <w:pStyle w:val="TableParagraph"/>
              <w:spacing w:line="348" w:lineRule="auto" w:before="62"/>
              <w:ind w:left="152" w:right="141"/>
              <w:jc w:val="both"/>
              <w:rPr>
                <w:sz w:val="21"/>
              </w:rPr>
            </w:pPr>
            <w:r>
              <w:rPr>
                <w:sz w:val="21"/>
              </w:rPr>
              <w:t>占基金资产净值比例</w:t>
            </w:r>
          </w:p>
          <w:p>
            <w:pPr>
              <w:pStyle w:val="TableParagraph"/>
              <w:spacing w:line="269" w:lineRule="exact"/>
              <w:ind w:left="310"/>
              <w:rPr>
                <w:sz w:val="21"/>
              </w:rPr>
            </w:pPr>
            <w:r>
              <w:rPr>
                <w:sz w:val="21"/>
              </w:rPr>
              <w:t>(%)</w:t>
            </w:r>
          </w:p>
        </w:tc>
      </w:tr>
      <w:tr>
        <w:trPr>
          <w:trHeight w:val="780" w:hRule="atLeast"/>
        </w:trPr>
        <w:tc>
          <w:tcPr>
            <w:tcW w:w="340" w:type="dxa"/>
          </w:tcPr>
          <w:p>
            <w:pPr>
              <w:pStyle w:val="TableParagraph"/>
              <w:rPr>
                <w:sz w:val="20"/>
              </w:rPr>
            </w:pPr>
          </w:p>
          <w:p>
            <w:pPr>
              <w:pStyle w:val="TableParagraph"/>
              <w:spacing w:before="1"/>
              <w:ind w:left="117"/>
              <w:rPr>
                <w:sz w:val="21"/>
              </w:rPr>
            </w:pPr>
            <w:r>
              <w:rPr>
                <w:sz w:val="21"/>
              </w:rPr>
              <w:t>1</w:t>
            </w:r>
          </w:p>
        </w:tc>
        <w:tc>
          <w:tcPr>
            <w:tcW w:w="1625" w:type="dxa"/>
          </w:tcPr>
          <w:p>
            <w:pPr>
              <w:pStyle w:val="TableParagraph"/>
              <w:spacing w:before="62"/>
              <w:ind w:left="130"/>
              <w:rPr>
                <w:sz w:val="21"/>
              </w:rPr>
            </w:pPr>
            <w:r>
              <w:rPr>
                <w:sz w:val="21"/>
              </w:rPr>
              <w:t>iSharesMSCIGl</w:t>
            </w:r>
          </w:p>
          <w:p>
            <w:pPr>
              <w:pStyle w:val="TableParagraph"/>
              <w:spacing w:before="121"/>
              <w:ind w:left="130"/>
              <w:rPr>
                <w:sz w:val="21"/>
              </w:rPr>
            </w:pPr>
            <w:r>
              <w:rPr>
                <w:sz w:val="21"/>
              </w:rPr>
              <w:t>obalGoldMiner</w:t>
            </w:r>
          </w:p>
        </w:tc>
        <w:tc>
          <w:tcPr>
            <w:tcW w:w="709" w:type="dxa"/>
          </w:tcPr>
          <w:p>
            <w:pPr>
              <w:pStyle w:val="TableParagraph"/>
              <w:rPr>
                <w:sz w:val="20"/>
              </w:rPr>
            </w:pPr>
          </w:p>
          <w:p>
            <w:pPr>
              <w:pStyle w:val="TableParagraph"/>
              <w:spacing w:before="1"/>
              <w:ind w:left="196"/>
              <w:rPr>
                <w:sz w:val="21"/>
              </w:rPr>
            </w:pPr>
            <w:r>
              <w:rPr>
                <w:sz w:val="21"/>
              </w:rPr>
              <w:t>ETF</w:t>
            </w:r>
          </w:p>
        </w:tc>
        <w:tc>
          <w:tcPr>
            <w:tcW w:w="992" w:type="dxa"/>
          </w:tcPr>
          <w:p>
            <w:pPr>
              <w:pStyle w:val="TableParagraph"/>
              <w:rPr>
                <w:sz w:val="20"/>
              </w:rPr>
            </w:pPr>
          </w:p>
          <w:p>
            <w:pPr>
              <w:pStyle w:val="TableParagraph"/>
              <w:spacing w:before="1"/>
              <w:ind w:left="180"/>
              <w:rPr>
                <w:sz w:val="21"/>
              </w:rPr>
            </w:pPr>
            <w:r>
              <w:rPr>
                <w:sz w:val="21"/>
              </w:rPr>
              <w:t>开放式</w:t>
            </w:r>
          </w:p>
        </w:tc>
        <w:tc>
          <w:tcPr>
            <w:tcW w:w="1984" w:type="dxa"/>
          </w:tcPr>
          <w:p>
            <w:pPr>
              <w:pStyle w:val="TableParagraph"/>
              <w:spacing w:before="62"/>
              <w:ind w:left="132" w:right="122"/>
              <w:jc w:val="center"/>
              <w:rPr>
                <w:sz w:val="21"/>
              </w:rPr>
            </w:pPr>
            <w:r>
              <w:rPr>
                <w:sz w:val="21"/>
              </w:rPr>
              <w:t>BlackRockFundAdv</w:t>
            </w:r>
          </w:p>
          <w:p>
            <w:pPr>
              <w:pStyle w:val="TableParagraph"/>
              <w:spacing w:before="121"/>
              <w:ind w:left="132" w:right="122"/>
              <w:jc w:val="center"/>
              <w:rPr>
                <w:sz w:val="21"/>
              </w:rPr>
            </w:pPr>
            <w:r>
              <w:rPr>
                <w:sz w:val="21"/>
              </w:rPr>
              <w:t>isors</w:t>
            </w:r>
          </w:p>
        </w:tc>
        <w:tc>
          <w:tcPr>
            <w:tcW w:w="1701" w:type="dxa"/>
          </w:tcPr>
          <w:p>
            <w:pPr>
              <w:pStyle w:val="TableParagraph"/>
              <w:rPr>
                <w:sz w:val="20"/>
              </w:rPr>
            </w:pPr>
          </w:p>
          <w:p>
            <w:pPr>
              <w:pStyle w:val="TableParagraph"/>
              <w:spacing w:before="1"/>
              <w:ind w:left="228"/>
              <w:rPr>
                <w:sz w:val="21"/>
              </w:rPr>
            </w:pPr>
            <w:r>
              <w:rPr>
                <w:sz w:val="21"/>
              </w:rPr>
              <w:t>54,169,750.15</w:t>
            </w:r>
          </w:p>
        </w:tc>
        <w:tc>
          <w:tcPr>
            <w:tcW w:w="936" w:type="dxa"/>
          </w:tcPr>
          <w:p>
            <w:pPr>
              <w:pStyle w:val="TableParagraph"/>
              <w:rPr>
                <w:sz w:val="20"/>
              </w:rPr>
            </w:pPr>
          </w:p>
          <w:p>
            <w:pPr>
              <w:pStyle w:val="TableParagraph"/>
              <w:spacing w:before="1"/>
              <w:ind w:left="302"/>
              <w:rPr>
                <w:sz w:val="21"/>
              </w:rPr>
            </w:pPr>
            <w:r>
              <w:rPr>
                <w:sz w:val="21"/>
              </w:rPr>
              <w:t>18.49</w:t>
            </w:r>
          </w:p>
        </w:tc>
      </w:tr>
    </w:tbl>
    <w:p>
      <w:pPr>
        <w:spacing w:after="0"/>
        <w:rPr>
          <w:sz w:val="21"/>
        </w:rPr>
        <w:sectPr>
          <w:pgSz w:w="11910" w:h="16840"/>
          <w:pgMar w:header="0" w:footer="1118" w:top="1420" w:bottom="1380" w:left="1420" w:right="100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
        <w:gridCol w:w="1625"/>
        <w:gridCol w:w="709"/>
        <w:gridCol w:w="992"/>
        <w:gridCol w:w="1984"/>
        <w:gridCol w:w="1701"/>
        <w:gridCol w:w="936"/>
      </w:tblGrid>
      <w:tr>
        <w:trPr>
          <w:trHeight w:val="390" w:hRule="atLeast"/>
        </w:trPr>
        <w:tc>
          <w:tcPr>
            <w:tcW w:w="340" w:type="dxa"/>
          </w:tcPr>
          <w:p>
            <w:pPr>
              <w:pStyle w:val="TableParagraph"/>
              <w:rPr>
                <w:rFonts w:ascii="Times New Roman"/>
                <w:sz w:val="20"/>
              </w:rPr>
            </w:pPr>
          </w:p>
        </w:tc>
        <w:tc>
          <w:tcPr>
            <w:tcW w:w="1625" w:type="dxa"/>
          </w:tcPr>
          <w:p>
            <w:pPr>
              <w:pStyle w:val="TableParagraph"/>
              <w:spacing w:before="62"/>
              <w:ind w:left="110" w:right="100"/>
              <w:jc w:val="center"/>
              <w:rPr>
                <w:sz w:val="21"/>
              </w:rPr>
            </w:pPr>
            <w:r>
              <w:rPr>
                <w:sz w:val="21"/>
              </w:rPr>
              <w:t>sETF</w:t>
            </w:r>
          </w:p>
        </w:tc>
        <w:tc>
          <w:tcPr>
            <w:tcW w:w="709" w:type="dxa"/>
          </w:tcPr>
          <w:p>
            <w:pPr>
              <w:pStyle w:val="TableParagraph"/>
              <w:rPr>
                <w:rFonts w:ascii="Times New Roman"/>
                <w:sz w:val="20"/>
              </w:rPr>
            </w:pPr>
          </w:p>
        </w:tc>
        <w:tc>
          <w:tcPr>
            <w:tcW w:w="992" w:type="dxa"/>
          </w:tcPr>
          <w:p>
            <w:pPr>
              <w:pStyle w:val="TableParagraph"/>
              <w:rPr>
                <w:rFonts w:ascii="Times New Roman"/>
                <w:sz w:val="20"/>
              </w:rPr>
            </w:pPr>
          </w:p>
        </w:tc>
        <w:tc>
          <w:tcPr>
            <w:tcW w:w="1984" w:type="dxa"/>
          </w:tcPr>
          <w:p>
            <w:pPr>
              <w:pStyle w:val="TableParagraph"/>
              <w:rPr>
                <w:rFonts w:ascii="Times New Roman"/>
                <w:sz w:val="20"/>
              </w:rPr>
            </w:pPr>
          </w:p>
        </w:tc>
        <w:tc>
          <w:tcPr>
            <w:tcW w:w="1701" w:type="dxa"/>
          </w:tcPr>
          <w:p>
            <w:pPr>
              <w:pStyle w:val="TableParagraph"/>
              <w:rPr>
                <w:rFonts w:ascii="Times New Roman"/>
                <w:sz w:val="20"/>
              </w:rPr>
            </w:pPr>
          </w:p>
        </w:tc>
        <w:tc>
          <w:tcPr>
            <w:tcW w:w="936" w:type="dxa"/>
          </w:tcPr>
          <w:p>
            <w:pPr>
              <w:pStyle w:val="TableParagraph"/>
              <w:rPr>
                <w:rFonts w:ascii="Times New Roman"/>
                <w:sz w:val="20"/>
              </w:rPr>
            </w:pPr>
          </w:p>
        </w:tc>
      </w:tr>
      <w:tr>
        <w:trPr>
          <w:trHeight w:val="780" w:hRule="atLeast"/>
        </w:trPr>
        <w:tc>
          <w:tcPr>
            <w:tcW w:w="340" w:type="dxa"/>
          </w:tcPr>
          <w:p>
            <w:pPr>
              <w:pStyle w:val="TableParagraph"/>
              <w:rPr>
                <w:sz w:val="20"/>
              </w:rPr>
            </w:pPr>
          </w:p>
          <w:p>
            <w:pPr>
              <w:pStyle w:val="TableParagraph"/>
              <w:spacing w:before="1"/>
              <w:ind w:left="117"/>
              <w:rPr>
                <w:sz w:val="21"/>
              </w:rPr>
            </w:pPr>
            <w:r>
              <w:rPr>
                <w:sz w:val="21"/>
              </w:rPr>
              <w:t>2</w:t>
            </w:r>
          </w:p>
        </w:tc>
        <w:tc>
          <w:tcPr>
            <w:tcW w:w="1625" w:type="dxa"/>
          </w:tcPr>
          <w:p>
            <w:pPr>
              <w:pStyle w:val="TableParagraph"/>
              <w:spacing w:before="62"/>
              <w:ind w:left="110" w:right="100"/>
              <w:jc w:val="center"/>
              <w:rPr>
                <w:sz w:val="21"/>
              </w:rPr>
            </w:pPr>
            <w:r>
              <w:rPr>
                <w:sz w:val="21"/>
              </w:rPr>
              <w:t>SPDRGoldMiniS</w:t>
            </w:r>
          </w:p>
          <w:p>
            <w:pPr>
              <w:pStyle w:val="TableParagraph"/>
              <w:spacing w:before="121"/>
              <w:ind w:left="110" w:right="100"/>
              <w:jc w:val="center"/>
              <w:rPr>
                <w:sz w:val="21"/>
              </w:rPr>
            </w:pPr>
            <w:r>
              <w:rPr>
                <w:sz w:val="21"/>
              </w:rPr>
              <w:t>haresTrust</w:t>
            </w:r>
          </w:p>
        </w:tc>
        <w:tc>
          <w:tcPr>
            <w:tcW w:w="709" w:type="dxa"/>
          </w:tcPr>
          <w:p>
            <w:pPr>
              <w:pStyle w:val="TableParagraph"/>
              <w:rPr>
                <w:sz w:val="20"/>
              </w:rPr>
            </w:pPr>
          </w:p>
          <w:p>
            <w:pPr>
              <w:pStyle w:val="TableParagraph"/>
              <w:spacing w:before="1"/>
              <w:ind w:right="186"/>
              <w:jc w:val="right"/>
              <w:rPr>
                <w:sz w:val="21"/>
              </w:rPr>
            </w:pPr>
            <w:r>
              <w:rPr>
                <w:sz w:val="21"/>
              </w:rPr>
              <w:t>ETF</w:t>
            </w:r>
          </w:p>
        </w:tc>
        <w:tc>
          <w:tcPr>
            <w:tcW w:w="992" w:type="dxa"/>
          </w:tcPr>
          <w:p>
            <w:pPr>
              <w:pStyle w:val="TableParagraph"/>
              <w:rPr>
                <w:sz w:val="20"/>
              </w:rPr>
            </w:pPr>
          </w:p>
          <w:p>
            <w:pPr>
              <w:pStyle w:val="TableParagraph"/>
              <w:spacing w:before="1"/>
              <w:ind w:left="180"/>
              <w:rPr>
                <w:sz w:val="21"/>
              </w:rPr>
            </w:pPr>
            <w:r>
              <w:rPr>
                <w:sz w:val="21"/>
              </w:rPr>
              <w:t>开放式</w:t>
            </w:r>
          </w:p>
        </w:tc>
        <w:tc>
          <w:tcPr>
            <w:tcW w:w="1984" w:type="dxa"/>
          </w:tcPr>
          <w:p>
            <w:pPr>
              <w:pStyle w:val="TableParagraph"/>
              <w:spacing w:before="62"/>
              <w:ind w:left="132" w:right="122"/>
              <w:jc w:val="center"/>
              <w:rPr>
                <w:sz w:val="21"/>
              </w:rPr>
            </w:pPr>
            <w:r>
              <w:rPr>
                <w:sz w:val="21"/>
              </w:rPr>
              <w:t>WorldGoldTrustSe</w:t>
            </w:r>
          </w:p>
          <w:p>
            <w:pPr>
              <w:pStyle w:val="TableParagraph"/>
              <w:spacing w:before="121"/>
              <w:ind w:left="132" w:right="122"/>
              <w:jc w:val="center"/>
              <w:rPr>
                <w:sz w:val="21"/>
              </w:rPr>
            </w:pPr>
            <w:r>
              <w:rPr>
                <w:sz w:val="21"/>
              </w:rPr>
              <w:t>rvicesLLC</w:t>
            </w:r>
          </w:p>
        </w:tc>
        <w:tc>
          <w:tcPr>
            <w:tcW w:w="1701" w:type="dxa"/>
          </w:tcPr>
          <w:p>
            <w:pPr>
              <w:pStyle w:val="TableParagraph"/>
              <w:rPr>
                <w:sz w:val="20"/>
              </w:rPr>
            </w:pPr>
          </w:p>
          <w:p>
            <w:pPr>
              <w:pStyle w:val="TableParagraph"/>
              <w:spacing w:before="1"/>
              <w:ind w:right="97"/>
              <w:jc w:val="right"/>
              <w:rPr>
                <w:sz w:val="21"/>
              </w:rPr>
            </w:pPr>
            <w:r>
              <w:rPr>
                <w:sz w:val="21"/>
              </w:rPr>
              <w:t>52,599,043.85</w:t>
            </w:r>
          </w:p>
        </w:tc>
        <w:tc>
          <w:tcPr>
            <w:tcW w:w="936" w:type="dxa"/>
          </w:tcPr>
          <w:p>
            <w:pPr>
              <w:pStyle w:val="TableParagraph"/>
              <w:rPr>
                <w:sz w:val="20"/>
              </w:rPr>
            </w:pPr>
          </w:p>
          <w:p>
            <w:pPr>
              <w:pStyle w:val="TableParagraph"/>
              <w:spacing w:before="1"/>
              <w:ind w:right="96"/>
              <w:jc w:val="right"/>
              <w:rPr>
                <w:sz w:val="21"/>
              </w:rPr>
            </w:pPr>
            <w:r>
              <w:rPr>
                <w:sz w:val="21"/>
              </w:rPr>
              <w:t>17.95</w:t>
            </w:r>
          </w:p>
        </w:tc>
      </w:tr>
      <w:tr>
        <w:trPr>
          <w:trHeight w:val="780" w:hRule="atLeast"/>
        </w:trPr>
        <w:tc>
          <w:tcPr>
            <w:tcW w:w="340" w:type="dxa"/>
          </w:tcPr>
          <w:p>
            <w:pPr>
              <w:pStyle w:val="TableParagraph"/>
              <w:rPr>
                <w:sz w:val="20"/>
              </w:rPr>
            </w:pPr>
          </w:p>
          <w:p>
            <w:pPr>
              <w:pStyle w:val="TableParagraph"/>
              <w:spacing w:before="1"/>
              <w:ind w:left="117"/>
              <w:rPr>
                <w:sz w:val="21"/>
              </w:rPr>
            </w:pPr>
            <w:r>
              <w:rPr>
                <w:sz w:val="21"/>
              </w:rPr>
              <w:t>3</w:t>
            </w:r>
          </w:p>
        </w:tc>
        <w:tc>
          <w:tcPr>
            <w:tcW w:w="1625" w:type="dxa"/>
          </w:tcPr>
          <w:p>
            <w:pPr>
              <w:pStyle w:val="TableParagraph"/>
              <w:spacing w:before="62"/>
              <w:ind w:left="110" w:right="100"/>
              <w:jc w:val="center"/>
              <w:rPr>
                <w:sz w:val="21"/>
              </w:rPr>
            </w:pPr>
            <w:r>
              <w:rPr>
                <w:sz w:val="21"/>
              </w:rPr>
              <w:t>SPDRGoldShare</w:t>
            </w:r>
          </w:p>
          <w:p>
            <w:pPr>
              <w:pStyle w:val="TableParagraph"/>
              <w:spacing w:before="121"/>
              <w:ind w:left="9"/>
              <w:jc w:val="center"/>
              <w:rPr>
                <w:sz w:val="21"/>
              </w:rPr>
            </w:pPr>
            <w:r>
              <w:rPr>
                <w:sz w:val="21"/>
              </w:rPr>
              <w:t>s</w:t>
            </w:r>
          </w:p>
        </w:tc>
        <w:tc>
          <w:tcPr>
            <w:tcW w:w="709" w:type="dxa"/>
          </w:tcPr>
          <w:p>
            <w:pPr>
              <w:pStyle w:val="TableParagraph"/>
              <w:rPr>
                <w:sz w:val="20"/>
              </w:rPr>
            </w:pPr>
          </w:p>
          <w:p>
            <w:pPr>
              <w:pStyle w:val="TableParagraph"/>
              <w:spacing w:before="1"/>
              <w:ind w:right="186"/>
              <w:jc w:val="right"/>
              <w:rPr>
                <w:sz w:val="21"/>
              </w:rPr>
            </w:pPr>
            <w:r>
              <w:rPr>
                <w:sz w:val="21"/>
              </w:rPr>
              <w:t>ETF</w:t>
            </w:r>
          </w:p>
        </w:tc>
        <w:tc>
          <w:tcPr>
            <w:tcW w:w="992" w:type="dxa"/>
          </w:tcPr>
          <w:p>
            <w:pPr>
              <w:pStyle w:val="TableParagraph"/>
              <w:rPr>
                <w:sz w:val="20"/>
              </w:rPr>
            </w:pPr>
          </w:p>
          <w:p>
            <w:pPr>
              <w:pStyle w:val="TableParagraph"/>
              <w:spacing w:before="1"/>
              <w:ind w:left="180"/>
              <w:rPr>
                <w:sz w:val="21"/>
              </w:rPr>
            </w:pPr>
            <w:r>
              <w:rPr>
                <w:sz w:val="21"/>
              </w:rPr>
              <w:t>开放式</w:t>
            </w:r>
          </w:p>
        </w:tc>
        <w:tc>
          <w:tcPr>
            <w:tcW w:w="1984" w:type="dxa"/>
          </w:tcPr>
          <w:p>
            <w:pPr>
              <w:pStyle w:val="TableParagraph"/>
              <w:spacing w:before="62"/>
              <w:ind w:left="132" w:right="122"/>
              <w:jc w:val="center"/>
              <w:rPr>
                <w:sz w:val="21"/>
              </w:rPr>
            </w:pPr>
            <w:r>
              <w:rPr>
                <w:sz w:val="21"/>
              </w:rPr>
              <w:t>WorldGoldTrustSe</w:t>
            </w:r>
          </w:p>
          <w:p>
            <w:pPr>
              <w:pStyle w:val="TableParagraph"/>
              <w:spacing w:before="121"/>
              <w:ind w:left="132" w:right="122"/>
              <w:jc w:val="center"/>
              <w:rPr>
                <w:sz w:val="21"/>
              </w:rPr>
            </w:pPr>
            <w:r>
              <w:rPr>
                <w:sz w:val="21"/>
              </w:rPr>
              <w:t>rvicesLLC</w:t>
            </w:r>
          </w:p>
        </w:tc>
        <w:tc>
          <w:tcPr>
            <w:tcW w:w="1701" w:type="dxa"/>
          </w:tcPr>
          <w:p>
            <w:pPr>
              <w:pStyle w:val="TableParagraph"/>
              <w:rPr>
                <w:sz w:val="20"/>
              </w:rPr>
            </w:pPr>
          </w:p>
          <w:p>
            <w:pPr>
              <w:pStyle w:val="TableParagraph"/>
              <w:spacing w:before="1"/>
              <w:ind w:right="97"/>
              <w:jc w:val="right"/>
              <w:rPr>
                <w:sz w:val="21"/>
              </w:rPr>
            </w:pPr>
            <w:r>
              <w:rPr>
                <w:sz w:val="21"/>
              </w:rPr>
              <w:t>47,480,678.97</w:t>
            </w:r>
          </w:p>
        </w:tc>
        <w:tc>
          <w:tcPr>
            <w:tcW w:w="936" w:type="dxa"/>
          </w:tcPr>
          <w:p>
            <w:pPr>
              <w:pStyle w:val="TableParagraph"/>
              <w:rPr>
                <w:sz w:val="20"/>
              </w:rPr>
            </w:pPr>
          </w:p>
          <w:p>
            <w:pPr>
              <w:pStyle w:val="TableParagraph"/>
              <w:spacing w:before="1"/>
              <w:ind w:right="96"/>
              <w:jc w:val="right"/>
              <w:rPr>
                <w:sz w:val="21"/>
              </w:rPr>
            </w:pPr>
            <w:r>
              <w:rPr>
                <w:sz w:val="21"/>
              </w:rPr>
              <w:t>16.21</w:t>
            </w:r>
          </w:p>
        </w:tc>
      </w:tr>
      <w:tr>
        <w:trPr>
          <w:trHeight w:val="780" w:hRule="atLeast"/>
        </w:trPr>
        <w:tc>
          <w:tcPr>
            <w:tcW w:w="340" w:type="dxa"/>
          </w:tcPr>
          <w:p>
            <w:pPr>
              <w:pStyle w:val="TableParagraph"/>
              <w:rPr>
                <w:sz w:val="20"/>
              </w:rPr>
            </w:pPr>
          </w:p>
          <w:p>
            <w:pPr>
              <w:pStyle w:val="TableParagraph"/>
              <w:spacing w:before="1"/>
              <w:ind w:left="117"/>
              <w:rPr>
                <w:sz w:val="21"/>
              </w:rPr>
            </w:pPr>
            <w:r>
              <w:rPr>
                <w:sz w:val="21"/>
              </w:rPr>
              <w:t>4</w:t>
            </w:r>
          </w:p>
        </w:tc>
        <w:tc>
          <w:tcPr>
            <w:tcW w:w="1625" w:type="dxa"/>
          </w:tcPr>
          <w:p>
            <w:pPr>
              <w:pStyle w:val="TableParagraph"/>
              <w:spacing w:before="62"/>
              <w:ind w:left="110" w:right="100"/>
              <w:jc w:val="center"/>
              <w:rPr>
                <w:sz w:val="21"/>
              </w:rPr>
            </w:pPr>
            <w:r>
              <w:rPr>
                <w:sz w:val="21"/>
              </w:rPr>
              <w:t>iSharesGoldTr</w:t>
            </w:r>
          </w:p>
          <w:p>
            <w:pPr>
              <w:pStyle w:val="TableParagraph"/>
              <w:spacing w:before="121"/>
              <w:ind w:left="110" w:right="100"/>
              <w:jc w:val="center"/>
              <w:rPr>
                <w:sz w:val="21"/>
              </w:rPr>
            </w:pPr>
            <w:r>
              <w:rPr>
                <w:sz w:val="21"/>
              </w:rPr>
              <w:t>ust</w:t>
            </w:r>
          </w:p>
        </w:tc>
        <w:tc>
          <w:tcPr>
            <w:tcW w:w="709" w:type="dxa"/>
          </w:tcPr>
          <w:p>
            <w:pPr>
              <w:pStyle w:val="TableParagraph"/>
              <w:rPr>
                <w:sz w:val="20"/>
              </w:rPr>
            </w:pPr>
          </w:p>
          <w:p>
            <w:pPr>
              <w:pStyle w:val="TableParagraph"/>
              <w:spacing w:before="1"/>
              <w:ind w:right="186"/>
              <w:jc w:val="right"/>
              <w:rPr>
                <w:sz w:val="21"/>
              </w:rPr>
            </w:pPr>
            <w:r>
              <w:rPr>
                <w:sz w:val="21"/>
              </w:rPr>
              <w:t>ETF</w:t>
            </w:r>
          </w:p>
        </w:tc>
        <w:tc>
          <w:tcPr>
            <w:tcW w:w="992" w:type="dxa"/>
          </w:tcPr>
          <w:p>
            <w:pPr>
              <w:pStyle w:val="TableParagraph"/>
              <w:rPr>
                <w:sz w:val="20"/>
              </w:rPr>
            </w:pPr>
          </w:p>
          <w:p>
            <w:pPr>
              <w:pStyle w:val="TableParagraph"/>
              <w:spacing w:before="1"/>
              <w:ind w:left="180"/>
              <w:rPr>
                <w:sz w:val="21"/>
              </w:rPr>
            </w:pPr>
            <w:r>
              <w:rPr>
                <w:sz w:val="21"/>
              </w:rPr>
              <w:t>开放式</w:t>
            </w:r>
          </w:p>
        </w:tc>
        <w:tc>
          <w:tcPr>
            <w:tcW w:w="1984" w:type="dxa"/>
          </w:tcPr>
          <w:p>
            <w:pPr>
              <w:pStyle w:val="TableParagraph"/>
              <w:spacing w:before="62"/>
              <w:ind w:left="132" w:right="122"/>
              <w:jc w:val="center"/>
              <w:rPr>
                <w:sz w:val="21"/>
              </w:rPr>
            </w:pPr>
            <w:r>
              <w:rPr>
                <w:sz w:val="21"/>
              </w:rPr>
              <w:t>BlackRockFundAdv</w:t>
            </w:r>
          </w:p>
          <w:p>
            <w:pPr>
              <w:pStyle w:val="TableParagraph"/>
              <w:spacing w:before="121"/>
              <w:ind w:left="132" w:right="122"/>
              <w:jc w:val="center"/>
              <w:rPr>
                <w:sz w:val="21"/>
              </w:rPr>
            </w:pPr>
            <w:r>
              <w:rPr>
                <w:sz w:val="21"/>
              </w:rPr>
              <w:t>isors</w:t>
            </w:r>
          </w:p>
        </w:tc>
        <w:tc>
          <w:tcPr>
            <w:tcW w:w="1701" w:type="dxa"/>
          </w:tcPr>
          <w:p>
            <w:pPr>
              <w:pStyle w:val="TableParagraph"/>
              <w:rPr>
                <w:sz w:val="20"/>
              </w:rPr>
            </w:pPr>
          </w:p>
          <w:p>
            <w:pPr>
              <w:pStyle w:val="TableParagraph"/>
              <w:spacing w:before="1"/>
              <w:ind w:right="97"/>
              <w:jc w:val="right"/>
              <w:rPr>
                <w:sz w:val="21"/>
              </w:rPr>
            </w:pPr>
            <w:r>
              <w:rPr>
                <w:sz w:val="21"/>
              </w:rPr>
              <w:t>33,909,010.44</w:t>
            </w:r>
          </w:p>
        </w:tc>
        <w:tc>
          <w:tcPr>
            <w:tcW w:w="936" w:type="dxa"/>
          </w:tcPr>
          <w:p>
            <w:pPr>
              <w:pStyle w:val="TableParagraph"/>
              <w:rPr>
                <w:sz w:val="20"/>
              </w:rPr>
            </w:pPr>
          </w:p>
          <w:p>
            <w:pPr>
              <w:pStyle w:val="TableParagraph"/>
              <w:spacing w:before="1"/>
              <w:ind w:right="96"/>
              <w:jc w:val="right"/>
              <w:rPr>
                <w:sz w:val="21"/>
              </w:rPr>
            </w:pPr>
            <w:r>
              <w:rPr>
                <w:sz w:val="21"/>
              </w:rPr>
              <w:t>11.57</w:t>
            </w:r>
          </w:p>
        </w:tc>
      </w:tr>
      <w:tr>
        <w:trPr>
          <w:trHeight w:val="1170" w:hRule="atLeast"/>
        </w:trPr>
        <w:tc>
          <w:tcPr>
            <w:tcW w:w="340" w:type="dxa"/>
          </w:tcPr>
          <w:p>
            <w:pPr>
              <w:pStyle w:val="TableParagraph"/>
              <w:rPr>
                <w:sz w:val="20"/>
              </w:rPr>
            </w:pPr>
          </w:p>
          <w:p>
            <w:pPr>
              <w:pStyle w:val="TableParagraph"/>
              <w:spacing w:before="3"/>
              <w:rPr>
                <w:sz w:val="15"/>
              </w:rPr>
            </w:pPr>
          </w:p>
          <w:p>
            <w:pPr>
              <w:pStyle w:val="TableParagraph"/>
              <w:ind w:left="117"/>
              <w:rPr>
                <w:sz w:val="21"/>
              </w:rPr>
            </w:pPr>
            <w:r>
              <w:rPr>
                <w:sz w:val="21"/>
              </w:rPr>
              <w:t>5</w:t>
            </w:r>
          </w:p>
        </w:tc>
        <w:tc>
          <w:tcPr>
            <w:tcW w:w="1625" w:type="dxa"/>
          </w:tcPr>
          <w:p>
            <w:pPr>
              <w:pStyle w:val="TableParagraph"/>
              <w:spacing w:line="348" w:lineRule="auto" w:before="62"/>
              <w:ind w:left="110" w:right="99"/>
              <w:jc w:val="center"/>
              <w:rPr>
                <w:sz w:val="21"/>
              </w:rPr>
            </w:pPr>
            <w:r>
              <w:rPr>
                <w:sz w:val="21"/>
              </w:rPr>
              <w:t>VanEckVectors JuniorGoldMin</w:t>
            </w:r>
          </w:p>
          <w:p>
            <w:pPr>
              <w:pStyle w:val="TableParagraph"/>
              <w:spacing w:line="269" w:lineRule="exact"/>
              <w:ind w:left="110" w:right="100"/>
              <w:jc w:val="center"/>
              <w:rPr>
                <w:sz w:val="21"/>
              </w:rPr>
            </w:pPr>
            <w:r>
              <w:rPr>
                <w:sz w:val="21"/>
              </w:rPr>
              <w:t>ersETF</w:t>
            </w:r>
          </w:p>
        </w:tc>
        <w:tc>
          <w:tcPr>
            <w:tcW w:w="709" w:type="dxa"/>
          </w:tcPr>
          <w:p>
            <w:pPr>
              <w:pStyle w:val="TableParagraph"/>
              <w:rPr>
                <w:sz w:val="20"/>
              </w:rPr>
            </w:pPr>
          </w:p>
          <w:p>
            <w:pPr>
              <w:pStyle w:val="TableParagraph"/>
              <w:spacing w:before="3"/>
              <w:rPr>
                <w:sz w:val="15"/>
              </w:rPr>
            </w:pPr>
          </w:p>
          <w:p>
            <w:pPr>
              <w:pStyle w:val="TableParagraph"/>
              <w:ind w:right="186"/>
              <w:jc w:val="right"/>
              <w:rPr>
                <w:sz w:val="21"/>
              </w:rPr>
            </w:pPr>
            <w:r>
              <w:rPr>
                <w:sz w:val="21"/>
              </w:rPr>
              <w:t>ETF</w:t>
            </w:r>
          </w:p>
        </w:tc>
        <w:tc>
          <w:tcPr>
            <w:tcW w:w="992" w:type="dxa"/>
          </w:tcPr>
          <w:p>
            <w:pPr>
              <w:pStyle w:val="TableParagraph"/>
              <w:rPr>
                <w:sz w:val="20"/>
              </w:rPr>
            </w:pPr>
          </w:p>
          <w:p>
            <w:pPr>
              <w:pStyle w:val="TableParagraph"/>
              <w:spacing w:before="3"/>
              <w:rPr>
                <w:sz w:val="15"/>
              </w:rPr>
            </w:pPr>
          </w:p>
          <w:p>
            <w:pPr>
              <w:pStyle w:val="TableParagraph"/>
              <w:ind w:left="180"/>
              <w:rPr>
                <w:sz w:val="21"/>
              </w:rPr>
            </w:pPr>
            <w:r>
              <w:rPr>
                <w:sz w:val="21"/>
              </w:rPr>
              <w:t>开放式</w:t>
            </w:r>
          </w:p>
        </w:tc>
        <w:tc>
          <w:tcPr>
            <w:tcW w:w="1984" w:type="dxa"/>
          </w:tcPr>
          <w:p>
            <w:pPr>
              <w:pStyle w:val="TableParagraph"/>
              <w:rPr>
                <w:sz w:val="20"/>
              </w:rPr>
            </w:pPr>
          </w:p>
          <w:p>
            <w:pPr>
              <w:pStyle w:val="TableParagraph"/>
              <w:spacing w:line="348" w:lineRule="auto" w:before="1"/>
              <w:ind w:left="782" w:right="122" w:hanging="630"/>
              <w:rPr>
                <w:sz w:val="21"/>
              </w:rPr>
            </w:pPr>
            <w:r>
              <w:rPr>
                <w:sz w:val="21"/>
              </w:rPr>
              <w:t>VanEckAssociates Corp</w:t>
            </w:r>
          </w:p>
        </w:tc>
        <w:tc>
          <w:tcPr>
            <w:tcW w:w="1701" w:type="dxa"/>
          </w:tcPr>
          <w:p>
            <w:pPr>
              <w:pStyle w:val="TableParagraph"/>
              <w:rPr>
                <w:sz w:val="20"/>
              </w:rPr>
            </w:pPr>
          </w:p>
          <w:p>
            <w:pPr>
              <w:pStyle w:val="TableParagraph"/>
              <w:spacing w:before="3"/>
              <w:rPr>
                <w:sz w:val="15"/>
              </w:rPr>
            </w:pPr>
          </w:p>
          <w:p>
            <w:pPr>
              <w:pStyle w:val="TableParagraph"/>
              <w:ind w:right="97"/>
              <w:jc w:val="right"/>
              <w:rPr>
                <w:sz w:val="21"/>
              </w:rPr>
            </w:pPr>
            <w:r>
              <w:rPr>
                <w:sz w:val="21"/>
              </w:rPr>
              <w:t>28,641,873.13</w:t>
            </w:r>
          </w:p>
        </w:tc>
        <w:tc>
          <w:tcPr>
            <w:tcW w:w="936" w:type="dxa"/>
          </w:tcPr>
          <w:p>
            <w:pPr>
              <w:pStyle w:val="TableParagraph"/>
              <w:rPr>
                <w:sz w:val="20"/>
              </w:rPr>
            </w:pPr>
          </w:p>
          <w:p>
            <w:pPr>
              <w:pStyle w:val="TableParagraph"/>
              <w:spacing w:before="3"/>
              <w:rPr>
                <w:sz w:val="15"/>
              </w:rPr>
            </w:pPr>
          </w:p>
          <w:p>
            <w:pPr>
              <w:pStyle w:val="TableParagraph"/>
              <w:ind w:right="96"/>
              <w:jc w:val="right"/>
              <w:rPr>
                <w:sz w:val="21"/>
              </w:rPr>
            </w:pPr>
            <w:r>
              <w:rPr>
                <w:sz w:val="21"/>
              </w:rPr>
              <w:t>9.78</w:t>
            </w:r>
          </w:p>
        </w:tc>
      </w:tr>
      <w:tr>
        <w:trPr>
          <w:trHeight w:val="1560" w:hRule="atLeast"/>
        </w:trPr>
        <w:tc>
          <w:tcPr>
            <w:tcW w:w="340" w:type="dxa"/>
          </w:tcPr>
          <w:p>
            <w:pPr>
              <w:pStyle w:val="TableParagraph"/>
              <w:rPr>
                <w:sz w:val="20"/>
              </w:rPr>
            </w:pPr>
          </w:p>
          <w:p>
            <w:pPr>
              <w:pStyle w:val="TableParagraph"/>
              <w:rPr>
                <w:sz w:val="20"/>
              </w:rPr>
            </w:pPr>
          </w:p>
          <w:p>
            <w:pPr>
              <w:pStyle w:val="TableParagraph"/>
              <w:spacing w:before="134"/>
              <w:ind w:left="117"/>
              <w:rPr>
                <w:sz w:val="21"/>
              </w:rPr>
            </w:pPr>
            <w:r>
              <w:rPr>
                <w:sz w:val="21"/>
              </w:rPr>
              <w:t>6</w:t>
            </w:r>
          </w:p>
        </w:tc>
        <w:tc>
          <w:tcPr>
            <w:tcW w:w="1625" w:type="dxa"/>
          </w:tcPr>
          <w:p>
            <w:pPr>
              <w:pStyle w:val="TableParagraph"/>
              <w:spacing w:line="348" w:lineRule="auto" w:before="62"/>
              <w:ind w:left="130" w:right="119"/>
              <w:jc w:val="both"/>
              <w:rPr>
                <w:sz w:val="21"/>
              </w:rPr>
            </w:pPr>
            <w:r>
              <w:rPr>
                <w:sz w:val="21"/>
              </w:rPr>
              <w:t>DirexionDaily GoldMinersInd exBull3XShare</w:t>
            </w:r>
          </w:p>
          <w:p>
            <w:pPr>
              <w:pStyle w:val="TableParagraph"/>
              <w:spacing w:line="269" w:lineRule="exact"/>
              <w:ind w:left="9"/>
              <w:jc w:val="center"/>
              <w:rPr>
                <w:sz w:val="21"/>
              </w:rPr>
            </w:pPr>
            <w:r>
              <w:rPr>
                <w:sz w:val="21"/>
              </w:rPr>
              <w:t>s</w:t>
            </w:r>
          </w:p>
        </w:tc>
        <w:tc>
          <w:tcPr>
            <w:tcW w:w="709" w:type="dxa"/>
          </w:tcPr>
          <w:p>
            <w:pPr>
              <w:pStyle w:val="TableParagraph"/>
              <w:rPr>
                <w:sz w:val="20"/>
              </w:rPr>
            </w:pPr>
          </w:p>
          <w:p>
            <w:pPr>
              <w:pStyle w:val="TableParagraph"/>
              <w:rPr>
                <w:sz w:val="20"/>
              </w:rPr>
            </w:pPr>
          </w:p>
          <w:p>
            <w:pPr>
              <w:pStyle w:val="TableParagraph"/>
              <w:spacing w:before="134"/>
              <w:ind w:right="186"/>
              <w:jc w:val="right"/>
              <w:rPr>
                <w:sz w:val="21"/>
              </w:rPr>
            </w:pPr>
            <w:r>
              <w:rPr>
                <w:sz w:val="21"/>
              </w:rPr>
              <w:t>ETF</w:t>
            </w:r>
          </w:p>
        </w:tc>
        <w:tc>
          <w:tcPr>
            <w:tcW w:w="992" w:type="dxa"/>
          </w:tcPr>
          <w:p>
            <w:pPr>
              <w:pStyle w:val="TableParagraph"/>
              <w:rPr>
                <w:sz w:val="20"/>
              </w:rPr>
            </w:pPr>
          </w:p>
          <w:p>
            <w:pPr>
              <w:pStyle w:val="TableParagraph"/>
              <w:rPr>
                <w:sz w:val="20"/>
              </w:rPr>
            </w:pPr>
          </w:p>
          <w:p>
            <w:pPr>
              <w:pStyle w:val="TableParagraph"/>
              <w:spacing w:before="134"/>
              <w:ind w:left="180"/>
              <w:rPr>
                <w:sz w:val="21"/>
              </w:rPr>
            </w:pPr>
            <w:r>
              <w:rPr>
                <w:sz w:val="21"/>
              </w:rPr>
              <w:t>开放式</w:t>
            </w:r>
          </w:p>
        </w:tc>
        <w:tc>
          <w:tcPr>
            <w:tcW w:w="1984" w:type="dxa"/>
          </w:tcPr>
          <w:p>
            <w:pPr>
              <w:pStyle w:val="TableParagraph"/>
              <w:rPr>
                <w:sz w:val="20"/>
              </w:rPr>
            </w:pPr>
          </w:p>
          <w:p>
            <w:pPr>
              <w:pStyle w:val="TableParagraph"/>
              <w:spacing w:before="3"/>
              <w:rPr>
                <w:sz w:val="15"/>
              </w:rPr>
            </w:pPr>
          </w:p>
          <w:p>
            <w:pPr>
              <w:pStyle w:val="TableParagraph"/>
              <w:spacing w:line="348" w:lineRule="auto"/>
              <w:ind w:left="467" w:right="122" w:hanging="315"/>
              <w:rPr>
                <w:sz w:val="21"/>
              </w:rPr>
            </w:pPr>
            <w:r>
              <w:rPr>
                <w:sz w:val="21"/>
              </w:rPr>
              <w:t>RaffertyAssetMan agementLLC</w:t>
            </w:r>
          </w:p>
        </w:tc>
        <w:tc>
          <w:tcPr>
            <w:tcW w:w="1701" w:type="dxa"/>
          </w:tcPr>
          <w:p>
            <w:pPr>
              <w:pStyle w:val="TableParagraph"/>
              <w:rPr>
                <w:sz w:val="20"/>
              </w:rPr>
            </w:pPr>
          </w:p>
          <w:p>
            <w:pPr>
              <w:pStyle w:val="TableParagraph"/>
              <w:rPr>
                <w:sz w:val="20"/>
              </w:rPr>
            </w:pPr>
          </w:p>
          <w:p>
            <w:pPr>
              <w:pStyle w:val="TableParagraph"/>
              <w:spacing w:before="134"/>
              <w:ind w:right="97"/>
              <w:jc w:val="right"/>
              <w:rPr>
                <w:sz w:val="21"/>
              </w:rPr>
            </w:pPr>
            <w:r>
              <w:rPr>
                <w:sz w:val="21"/>
              </w:rPr>
              <w:t>12,365,202.76</w:t>
            </w:r>
          </w:p>
        </w:tc>
        <w:tc>
          <w:tcPr>
            <w:tcW w:w="936" w:type="dxa"/>
          </w:tcPr>
          <w:p>
            <w:pPr>
              <w:pStyle w:val="TableParagraph"/>
              <w:rPr>
                <w:sz w:val="20"/>
              </w:rPr>
            </w:pPr>
          </w:p>
          <w:p>
            <w:pPr>
              <w:pStyle w:val="TableParagraph"/>
              <w:rPr>
                <w:sz w:val="20"/>
              </w:rPr>
            </w:pPr>
          </w:p>
          <w:p>
            <w:pPr>
              <w:pStyle w:val="TableParagraph"/>
              <w:spacing w:before="134"/>
              <w:ind w:right="96"/>
              <w:jc w:val="right"/>
              <w:rPr>
                <w:sz w:val="21"/>
              </w:rPr>
            </w:pPr>
            <w:r>
              <w:rPr>
                <w:sz w:val="21"/>
              </w:rPr>
              <w:t>4.22</w:t>
            </w:r>
          </w:p>
        </w:tc>
      </w:tr>
      <w:tr>
        <w:trPr>
          <w:trHeight w:val="1170" w:hRule="atLeast"/>
        </w:trPr>
        <w:tc>
          <w:tcPr>
            <w:tcW w:w="340" w:type="dxa"/>
          </w:tcPr>
          <w:p>
            <w:pPr>
              <w:pStyle w:val="TableParagraph"/>
              <w:rPr>
                <w:sz w:val="20"/>
              </w:rPr>
            </w:pPr>
          </w:p>
          <w:p>
            <w:pPr>
              <w:pStyle w:val="TableParagraph"/>
              <w:spacing w:before="3"/>
              <w:rPr>
                <w:sz w:val="15"/>
              </w:rPr>
            </w:pPr>
          </w:p>
          <w:p>
            <w:pPr>
              <w:pStyle w:val="TableParagraph"/>
              <w:ind w:left="117"/>
              <w:rPr>
                <w:sz w:val="21"/>
              </w:rPr>
            </w:pPr>
            <w:r>
              <w:rPr>
                <w:sz w:val="21"/>
              </w:rPr>
              <w:t>7</w:t>
            </w:r>
          </w:p>
        </w:tc>
        <w:tc>
          <w:tcPr>
            <w:tcW w:w="1625" w:type="dxa"/>
          </w:tcPr>
          <w:p>
            <w:pPr>
              <w:pStyle w:val="TableParagraph"/>
              <w:rPr>
                <w:sz w:val="20"/>
              </w:rPr>
            </w:pPr>
          </w:p>
          <w:p>
            <w:pPr>
              <w:pStyle w:val="TableParagraph"/>
              <w:spacing w:line="348" w:lineRule="auto" w:before="1"/>
              <w:ind w:left="340" w:right="119" w:hanging="210"/>
              <w:rPr>
                <w:sz w:val="21"/>
              </w:rPr>
            </w:pPr>
            <w:r>
              <w:rPr>
                <w:sz w:val="21"/>
              </w:rPr>
              <w:t>INVESTECGSGLO BALGOLD-I</w:t>
            </w:r>
          </w:p>
        </w:tc>
        <w:tc>
          <w:tcPr>
            <w:tcW w:w="709" w:type="dxa"/>
          </w:tcPr>
          <w:p>
            <w:pPr>
              <w:pStyle w:val="TableParagraph"/>
              <w:rPr>
                <w:sz w:val="20"/>
              </w:rPr>
            </w:pPr>
          </w:p>
          <w:p>
            <w:pPr>
              <w:pStyle w:val="TableParagraph"/>
              <w:spacing w:line="348" w:lineRule="auto" w:before="1"/>
              <w:ind w:left="301" w:right="116" w:hanging="158"/>
              <w:rPr>
                <w:sz w:val="21"/>
              </w:rPr>
            </w:pPr>
            <w:r>
              <w:rPr>
                <w:sz w:val="21"/>
              </w:rPr>
              <w:t>SICA V</w:t>
            </w:r>
          </w:p>
        </w:tc>
        <w:tc>
          <w:tcPr>
            <w:tcW w:w="992" w:type="dxa"/>
          </w:tcPr>
          <w:p>
            <w:pPr>
              <w:pStyle w:val="TableParagraph"/>
              <w:rPr>
                <w:sz w:val="20"/>
              </w:rPr>
            </w:pPr>
          </w:p>
          <w:p>
            <w:pPr>
              <w:pStyle w:val="TableParagraph"/>
              <w:spacing w:before="3"/>
              <w:rPr>
                <w:sz w:val="15"/>
              </w:rPr>
            </w:pPr>
          </w:p>
          <w:p>
            <w:pPr>
              <w:pStyle w:val="TableParagraph"/>
              <w:ind w:left="180"/>
              <w:rPr>
                <w:sz w:val="21"/>
              </w:rPr>
            </w:pPr>
            <w:r>
              <w:rPr>
                <w:sz w:val="21"/>
              </w:rPr>
              <w:t>开放式</w:t>
            </w:r>
          </w:p>
        </w:tc>
        <w:tc>
          <w:tcPr>
            <w:tcW w:w="1984" w:type="dxa"/>
          </w:tcPr>
          <w:p>
            <w:pPr>
              <w:pStyle w:val="TableParagraph"/>
              <w:spacing w:line="348" w:lineRule="auto" w:before="62"/>
              <w:ind w:left="132" w:right="121"/>
              <w:jc w:val="center"/>
              <w:rPr>
                <w:sz w:val="21"/>
              </w:rPr>
            </w:pPr>
            <w:r>
              <w:rPr>
                <w:sz w:val="21"/>
              </w:rPr>
              <w:t>InvestecAssetMan agementLuxembour</w:t>
            </w:r>
          </w:p>
          <w:p>
            <w:pPr>
              <w:pStyle w:val="TableParagraph"/>
              <w:spacing w:line="269" w:lineRule="exact"/>
              <w:ind w:left="132" w:right="122"/>
              <w:jc w:val="center"/>
              <w:rPr>
                <w:sz w:val="21"/>
              </w:rPr>
            </w:pPr>
            <w:r>
              <w:rPr>
                <w:sz w:val="21"/>
              </w:rPr>
              <w:t>gSA</w:t>
            </w:r>
          </w:p>
        </w:tc>
        <w:tc>
          <w:tcPr>
            <w:tcW w:w="1701" w:type="dxa"/>
          </w:tcPr>
          <w:p>
            <w:pPr>
              <w:pStyle w:val="TableParagraph"/>
              <w:rPr>
                <w:sz w:val="20"/>
              </w:rPr>
            </w:pPr>
          </w:p>
          <w:p>
            <w:pPr>
              <w:pStyle w:val="TableParagraph"/>
              <w:spacing w:before="3"/>
              <w:rPr>
                <w:sz w:val="15"/>
              </w:rPr>
            </w:pPr>
          </w:p>
          <w:p>
            <w:pPr>
              <w:pStyle w:val="TableParagraph"/>
              <w:ind w:right="97"/>
              <w:jc w:val="right"/>
              <w:rPr>
                <w:sz w:val="21"/>
              </w:rPr>
            </w:pPr>
            <w:r>
              <w:rPr>
                <w:sz w:val="21"/>
              </w:rPr>
              <w:t>11,889,448.71</w:t>
            </w:r>
          </w:p>
        </w:tc>
        <w:tc>
          <w:tcPr>
            <w:tcW w:w="936" w:type="dxa"/>
          </w:tcPr>
          <w:p>
            <w:pPr>
              <w:pStyle w:val="TableParagraph"/>
              <w:rPr>
                <w:sz w:val="20"/>
              </w:rPr>
            </w:pPr>
          </w:p>
          <w:p>
            <w:pPr>
              <w:pStyle w:val="TableParagraph"/>
              <w:spacing w:before="3"/>
              <w:rPr>
                <w:sz w:val="15"/>
              </w:rPr>
            </w:pPr>
          </w:p>
          <w:p>
            <w:pPr>
              <w:pStyle w:val="TableParagraph"/>
              <w:ind w:right="96"/>
              <w:jc w:val="right"/>
              <w:rPr>
                <w:sz w:val="21"/>
              </w:rPr>
            </w:pPr>
            <w:r>
              <w:rPr>
                <w:sz w:val="21"/>
              </w:rPr>
              <w:t>4.06</w:t>
            </w:r>
          </w:p>
        </w:tc>
      </w:tr>
      <w:tr>
        <w:trPr>
          <w:trHeight w:val="1170" w:hRule="atLeast"/>
        </w:trPr>
        <w:tc>
          <w:tcPr>
            <w:tcW w:w="340" w:type="dxa"/>
          </w:tcPr>
          <w:p>
            <w:pPr>
              <w:pStyle w:val="TableParagraph"/>
              <w:rPr>
                <w:sz w:val="20"/>
              </w:rPr>
            </w:pPr>
          </w:p>
          <w:p>
            <w:pPr>
              <w:pStyle w:val="TableParagraph"/>
              <w:spacing w:before="3"/>
              <w:rPr>
                <w:sz w:val="15"/>
              </w:rPr>
            </w:pPr>
          </w:p>
          <w:p>
            <w:pPr>
              <w:pStyle w:val="TableParagraph"/>
              <w:ind w:left="117"/>
              <w:rPr>
                <w:sz w:val="21"/>
              </w:rPr>
            </w:pPr>
            <w:r>
              <w:rPr>
                <w:sz w:val="21"/>
              </w:rPr>
              <w:t>8</w:t>
            </w:r>
          </w:p>
        </w:tc>
        <w:tc>
          <w:tcPr>
            <w:tcW w:w="1625" w:type="dxa"/>
          </w:tcPr>
          <w:p>
            <w:pPr>
              <w:pStyle w:val="TableParagraph"/>
              <w:rPr>
                <w:sz w:val="20"/>
              </w:rPr>
            </w:pPr>
          </w:p>
          <w:p>
            <w:pPr>
              <w:pStyle w:val="TableParagraph"/>
              <w:spacing w:line="348" w:lineRule="auto" w:before="1"/>
              <w:ind w:left="182" w:right="170"/>
              <w:rPr>
                <w:sz w:val="21"/>
              </w:rPr>
            </w:pPr>
            <w:r>
              <w:rPr>
                <w:sz w:val="21"/>
              </w:rPr>
              <w:t>SCHRODERISF- GLGOLD-CAUSD</w:t>
            </w:r>
          </w:p>
        </w:tc>
        <w:tc>
          <w:tcPr>
            <w:tcW w:w="709" w:type="dxa"/>
          </w:tcPr>
          <w:p>
            <w:pPr>
              <w:pStyle w:val="TableParagraph"/>
              <w:rPr>
                <w:sz w:val="20"/>
              </w:rPr>
            </w:pPr>
          </w:p>
          <w:p>
            <w:pPr>
              <w:pStyle w:val="TableParagraph"/>
              <w:spacing w:line="348" w:lineRule="auto" w:before="1"/>
              <w:ind w:left="301" w:right="116" w:hanging="158"/>
              <w:rPr>
                <w:sz w:val="21"/>
              </w:rPr>
            </w:pPr>
            <w:r>
              <w:rPr>
                <w:sz w:val="21"/>
              </w:rPr>
              <w:t>SICA V</w:t>
            </w:r>
          </w:p>
        </w:tc>
        <w:tc>
          <w:tcPr>
            <w:tcW w:w="992" w:type="dxa"/>
          </w:tcPr>
          <w:p>
            <w:pPr>
              <w:pStyle w:val="TableParagraph"/>
              <w:rPr>
                <w:sz w:val="20"/>
              </w:rPr>
            </w:pPr>
          </w:p>
          <w:p>
            <w:pPr>
              <w:pStyle w:val="TableParagraph"/>
              <w:spacing w:before="3"/>
              <w:rPr>
                <w:sz w:val="15"/>
              </w:rPr>
            </w:pPr>
          </w:p>
          <w:p>
            <w:pPr>
              <w:pStyle w:val="TableParagraph"/>
              <w:ind w:left="180"/>
              <w:rPr>
                <w:sz w:val="21"/>
              </w:rPr>
            </w:pPr>
            <w:r>
              <w:rPr>
                <w:sz w:val="21"/>
              </w:rPr>
              <w:t>开放式</w:t>
            </w:r>
          </w:p>
        </w:tc>
        <w:tc>
          <w:tcPr>
            <w:tcW w:w="1984" w:type="dxa"/>
          </w:tcPr>
          <w:p>
            <w:pPr>
              <w:pStyle w:val="TableParagraph"/>
              <w:spacing w:line="348" w:lineRule="auto" w:before="62"/>
              <w:ind w:left="132" w:right="121"/>
              <w:jc w:val="center"/>
              <w:rPr>
                <w:sz w:val="21"/>
              </w:rPr>
            </w:pPr>
            <w:r>
              <w:rPr>
                <w:sz w:val="21"/>
              </w:rPr>
              <w:t>SchroderInvestme ntManagementEuro</w:t>
            </w:r>
          </w:p>
          <w:p>
            <w:pPr>
              <w:pStyle w:val="TableParagraph"/>
              <w:spacing w:line="269" w:lineRule="exact"/>
              <w:ind w:left="132" w:right="122"/>
              <w:jc w:val="center"/>
              <w:rPr>
                <w:sz w:val="21"/>
              </w:rPr>
            </w:pPr>
            <w:r>
              <w:rPr>
                <w:sz w:val="21"/>
              </w:rPr>
              <w:t>peSA</w:t>
            </w:r>
          </w:p>
        </w:tc>
        <w:tc>
          <w:tcPr>
            <w:tcW w:w="1701" w:type="dxa"/>
          </w:tcPr>
          <w:p>
            <w:pPr>
              <w:pStyle w:val="TableParagraph"/>
              <w:rPr>
                <w:sz w:val="20"/>
              </w:rPr>
            </w:pPr>
          </w:p>
          <w:p>
            <w:pPr>
              <w:pStyle w:val="TableParagraph"/>
              <w:spacing w:before="3"/>
              <w:rPr>
                <w:sz w:val="15"/>
              </w:rPr>
            </w:pPr>
          </w:p>
          <w:p>
            <w:pPr>
              <w:pStyle w:val="TableParagraph"/>
              <w:ind w:right="97"/>
              <w:jc w:val="right"/>
              <w:rPr>
                <w:sz w:val="21"/>
              </w:rPr>
            </w:pPr>
            <w:r>
              <w:rPr>
                <w:sz w:val="21"/>
              </w:rPr>
              <w:t>8,440,758.92</w:t>
            </w:r>
          </w:p>
        </w:tc>
        <w:tc>
          <w:tcPr>
            <w:tcW w:w="936" w:type="dxa"/>
          </w:tcPr>
          <w:p>
            <w:pPr>
              <w:pStyle w:val="TableParagraph"/>
              <w:rPr>
                <w:sz w:val="20"/>
              </w:rPr>
            </w:pPr>
          </w:p>
          <w:p>
            <w:pPr>
              <w:pStyle w:val="TableParagraph"/>
              <w:spacing w:before="3"/>
              <w:rPr>
                <w:sz w:val="15"/>
              </w:rPr>
            </w:pPr>
          </w:p>
          <w:p>
            <w:pPr>
              <w:pStyle w:val="TableParagraph"/>
              <w:ind w:right="96"/>
              <w:jc w:val="right"/>
              <w:rPr>
                <w:sz w:val="21"/>
              </w:rPr>
            </w:pPr>
            <w:r>
              <w:rPr>
                <w:sz w:val="21"/>
              </w:rPr>
              <w:t>2.88</w:t>
            </w:r>
          </w:p>
        </w:tc>
      </w:tr>
      <w:tr>
        <w:trPr>
          <w:trHeight w:val="1560" w:hRule="atLeast"/>
        </w:trPr>
        <w:tc>
          <w:tcPr>
            <w:tcW w:w="340" w:type="dxa"/>
          </w:tcPr>
          <w:p>
            <w:pPr>
              <w:pStyle w:val="TableParagraph"/>
              <w:rPr>
                <w:sz w:val="20"/>
              </w:rPr>
            </w:pPr>
          </w:p>
          <w:p>
            <w:pPr>
              <w:pStyle w:val="TableParagraph"/>
              <w:rPr>
                <w:sz w:val="20"/>
              </w:rPr>
            </w:pPr>
          </w:p>
          <w:p>
            <w:pPr>
              <w:pStyle w:val="TableParagraph"/>
              <w:spacing w:before="134"/>
              <w:ind w:left="117"/>
              <w:rPr>
                <w:sz w:val="21"/>
              </w:rPr>
            </w:pPr>
            <w:r>
              <w:rPr>
                <w:sz w:val="21"/>
              </w:rPr>
              <w:t>9</w:t>
            </w:r>
          </w:p>
        </w:tc>
        <w:tc>
          <w:tcPr>
            <w:tcW w:w="1625" w:type="dxa"/>
          </w:tcPr>
          <w:p>
            <w:pPr>
              <w:pStyle w:val="TableParagraph"/>
              <w:spacing w:line="348" w:lineRule="auto" w:before="62"/>
              <w:ind w:left="130" w:right="119"/>
              <w:jc w:val="both"/>
              <w:rPr>
                <w:sz w:val="21"/>
              </w:rPr>
            </w:pPr>
            <w:r>
              <w:rPr>
                <w:sz w:val="21"/>
              </w:rPr>
              <w:t>DirexionDaily JuniorGoldMin ersIndexBull3</w:t>
            </w:r>
          </w:p>
          <w:p>
            <w:pPr>
              <w:pStyle w:val="TableParagraph"/>
              <w:spacing w:line="269" w:lineRule="exact"/>
              <w:ind w:left="445"/>
              <w:rPr>
                <w:sz w:val="21"/>
              </w:rPr>
            </w:pPr>
            <w:r>
              <w:rPr>
                <w:sz w:val="21"/>
              </w:rPr>
              <w:t>xShares</w:t>
            </w:r>
          </w:p>
        </w:tc>
        <w:tc>
          <w:tcPr>
            <w:tcW w:w="709" w:type="dxa"/>
          </w:tcPr>
          <w:p>
            <w:pPr>
              <w:pStyle w:val="TableParagraph"/>
              <w:rPr>
                <w:sz w:val="20"/>
              </w:rPr>
            </w:pPr>
          </w:p>
          <w:p>
            <w:pPr>
              <w:pStyle w:val="TableParagraph"/>
              <w:rPr>
                <w:sz w:val="20"/>
              </w:rPr>
            </w:pPr>
          </w:p>
          <w:p>
            <w:pPr>
              <w:pStyle w:val="TableParagraph"/>
              <w:spacing w:before="134"/>
              <w:ind w:right="186"/>
              <w:jc w:val="right"/>
              <w:rPr>
                <w:sz w:val="21"/>
              </w:rPr>
            </w:pPr>
            <w:r>
              <w:rPr>
                <w:sz w:val="21"/>
              </w:rPr>
              <w:t>ETF</w:t>
            </w:r>
          </w:p>
        </w:tc>
        <w:tc>
          <w:tcPr>
            <w:tcW w:w="992" w:type="dxa"/>
          </w:tcPr>
          <w:p>
            <w:pPr>
              <w:pStyle w:val="TableParagraph"/>
              <w:rPr>
                <w:sz w:val="20"/>
              </w:rPr>
            </w:pPr>
          </w:p>
          <w:p>
            <w:pPr>
              <w:pStyle w:val="TableParagraph"/>
              <w:rPr>
                <w:sz w:val="20"/>
              </w:rPr>
            </w:pPr>
          </w:p>
          <w:p>
            <w:pPr>
              <w:pStyle w:val="TableParagraph"/>
              <w:spacing w:before="134"/>
              <w:ind w:left="180"/>
              <w:rPr>
                <w:sz w:val="21"/>
              </w:rPr>
            </w:pPr>
            <w:r>
              <w:rPr>
                <w:sz w:val="21"/>
              </w:rPr>
              <w:t>开放式</w:t>
            </w:r>
          </w:p>
        </w:tc>
        <w:tc>
          <w:tcPr>
            <w:tcW w:w="1984" w:type="dxa"/>
          </w:tcPr>
          <w:p>
            <w:pPr>
              <w:pStyle w:val="TableParagraph"/>
              <w:rPr>
                <w:sz w:val="20"/>
              </w:rPr>
            </w:pPr>
          </w:p>
          <w:p>
            <w:pPr>
              <w:pStyle w:val="TableParagraph"/>
              <w:spacing w:before="3"/>
              <w:rPr>
                <w:sz w:val="15"/>
              </w:rPr>
            </w:pPr>
          </w:p>
          <w:p>
            <w:pPr>
              <w:pStyle w:val="TableParagraph"/>
              <w:spacing w:line="348" w:lineRule="auto"/>
              <w:ind w:left="467" w:right="122" w:hanging="315"/>
              <w:rPr>
                <w:sz w:val="21"/>
              </w:rPr>
            </w:pPr>
            <w:r>
              <w:rPr>
                <w:sz w:val="21"/>
              </w:rPr>
              <w:t>RaffertyAssetMan agementLLC</w:t>
            </w:r>
          </w:p>
        </w:tc>
        <w:tc>
          <w:tcPr>
            <w:tcW w:w="1701" w:type="dxa"/>
          </w:tcPr>
          <w:p>
            <w:pPr>
              <w:pStyle w:val="TableParagraph"/>
              <w:rPr>
                <w:sz w:val="20"/>
              </w:rPr>
            </w:pPr>
          </w:p>
          <w:p>
            <w:pPr>
              <w:pStyle w:val="TableParagraph"/>
              <w:rPr>
                <w:sz w:val="20"/>
              </w:rPr>
            </w:pPr>
          </w:p>
          <w:p>
            <w:pPr>
              <w:pStyle w:val="TableParagraph"/>
              <w:spacing w:before="134"/>
              <w:ind w:right="97"/>
              <w:jc w:val="right"/>
              <w:rPr>
                <w:sz w:val="21"/>
              </w:rPr>
            </w:pPr>
            <w:r>
              <w:rPr>
                <w:sz w:val="21"/>
              </w:rPr>
              <w:t>7,089,061.28</w:t>
            </w:r>
          </w:p>
        </w:tc>
        <w:tc>
          <w:tcPr>
            <w:tcW w:w="936" w:type="dxa"/>
          </w:tcPr>
          <w:p>
            <w:pPr>
              <w:pStyle w:val="TableParagraph"/>
              <w:rPr>
                <w:sz w:val="20"/>
              </w:rPr>
            </w:pPr>
          </w:p>
          <w:p>
            <w:pPr>
              <w:pStyle w:val="TableParagraph"/>
              <w:rPr>
                <w:sz w:val="20"/>
              </w:rPr>
            </w:pPr>
          </w:p>
          <w:p>
            <w:pPr>
              <w:pStyle w:val="TableParagraph"/>
              <w:spacing w:before="134"/>
              <w:ind w:right="96"/>
              <w:jc w:val="right"/>
              <w:rPr>
                <w:sz w:val="21"/>
              </w:rPr>
            </w:pPr>
            <w:r>
              <w:rPr>
                <w:sz w:val="21"/>
              </w:rPr>
              <w:t>2.42</w:t>
            </w:r>
          </w:p>
        </w:tc>
      </w:tr>
    </w:tbl>
    <w:p>
      <w:pPr>
        <w:pStyle w:val="BodyText"/>
        <w:spacing w:before="3"/>
      </w:pPr>
      <w:r>
        <w:rPr/>
        <w:t>10、投资组合报告附注</w:t>
      </w:r>
    </w:p>
    <w:p>
      <w:pPr>
        <w:pStyle w:val="ListParagraph"/>
        <w:numPr>
          <w:ilvl w:val="0"/>
          <w:numId w:val="16"/>
        </w:numPr>
        <w:tabs>
          <w:tab w:pos="1324" w:val="left" w:leader="none"/>
        </w:tabs>
        <w:spacing w:line="364" w:lineRule="auto" w:before="139" w:after="0"/>
        <w:ind w:left="376" w:right="795"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16"/>
        </w:numPr>
        <w:tabs>
          <w:tab w:pos="1323" w:val="left" w:leader="none"/>
        </w:tabs>
        <w:spacing w:line="268" w:lineRule="exact" w:before="0" w:after="0"/>
        <w:ind w:left="1323" w:right="0" w:hanging="527"/>
        <w:jc w:val="left"/>
        <w:rPr>
          <w:sz w:val="21"/>
        </w:rPr>
      </w:pPr>
      <w:r>
        <w:rPr>
          <w:sz w:val="21"/>
        </w:rPr>
        <w:t>本基金投资的前十名股票没有超出基金合同规定的备选股票库。</w:t>
      </w:r>
    </w:p>
    <w:p>
      <w:pPr>
        <w:pStyle w:val="ListParagraph"/>
        <w:numPr>
          <w:ilvl w:val="0"/>
          <w:numId w:val="16"/>
        </w:numPr>
        <w:tabs>
          <w:tab w:pos="1323" w:val="left" w:leader="none"/>
        </w:tabs>
        <w:spacing w:line="240" w:lineRule="auto" w:before="140" w:after="0"/>
        <w:ind w:left="1323" w:right="0" w:hanging="527"/>
        <w:jc w:val="left"/>
        <w:rPr>
          <w:sz w:val="21"/>
        </w:rPr>
      </w:pPr>
      <w:r>
        <w:rPr>
          <w:sz w:val="21"/>
        </w:rPr>
        <w:t>其他各项资产构成</w:t>
      </w:r>
    </w:p>
    <w:p>
      <w:pPr>
        <w:pStyle w:val="BodyText"/>
        <w:spacing w:before="8"/>
        <w:ind w:left="0"/>
        <w:rPr>
          <w:sz w:val="10"/>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
        <w:gridCol w:w="2728"/>
        <w:gridCol w:w="4507"/>
      </w:tblGrid>
      <w:tr>
        <w:trPr>
          <w:trHeight w:val="419" w:hRule="atLeast"/>
        </w:trPr>
        <w:tc>
          <w:tcPr>
            <w:tcW w:w="765" w:type="dxa"/>
          </w:tcPr>
          <w:p>
            <w:pPr>
              <w:pStyle w:val="TableParagraph"/>
              <w:spacing w:before="91"/>
              <w:ind w:left="161" w:right="134"/>
              <w:jc w:val="center"/>
              <w:rPr>
                <w:sz w:val="21"/>
              </w:rPr>
            </w:pPr>
            <w:r>
              <w:rPr>
                <w:sz w:val="21"/>
              </w:rPr>
              <w:t>序号</w:t>
            </w:r>
          </w:p>
        </w:tc>
        <w:tc>
          <w:tcPr>
            <w:tcW w:w="2728" w:type="dxa"/>
          </w:tcPr>
          <w:p>
            <w:pPr>
              <w:pStyle w:val="TableParagraph"/>
              <w:spacing w:before="91"/>
              <w:ind w:left="1142" w:right="1115"/>
              <w:jc w:val="center"/>
              <w:rPr>
                <w:sz w:val="21"/>
              </w:rPr>
            </w:pPr>
            <w:r>
              <w:rPr>
                <w:sz w:val="21"/>
              </w:rPr>
              <w:t>名称</w:t>
            </w:r>
          </w:p>
        </w:tc>
        <w:tc>
          <w:tcPr>
            <w:tcW w:w="4507" w:type="dxa"/>
          </w:tcPr>
          <w:p>
            <w:pPr>
              <w:pStyle w:val="TableParagraph"/>
              <w:spacing w:before="91"/>
              <w:ind w:left="1506" w:right="1480"/>
              <w:jc w:val="center"/>
              <w:rPr>
                <w:sz w:val="21"/>
              </w:rPr>
            </w:pPr>
            <w:r>
              <w:rPr>
                <w:sz w:val="21"/>
              </w:rPr>
              <w:t>金额(人民币元)</w:t>
            </w:r>
          </w:p>
        </w:tc>
      </w:tr>
      <w:tr>
        <w:trPr>
          <w:trHeight w:val="419" w:hRule="atLeast"/>
        </w:trPr>
        <w:tc>
          <w:tcPr>
            <w:tcW w:w="765" w:type="dxa"/>
          </w:tcPr>
          <w:p>
            <w:pPr>
              <w:pStyle w:val="TableParagraph"/>
              <w:spacing w:before="91"/>
              <w:ind w:left="25"/>
              <w:jc w:val="center"/>
              <w:rPr>
                <w:sz w:val="21"/>
              </w:rPr>
            </w:pPr>
            <w:r>
              <w:rPr>
                <w:sz w:val="21"/>
              </w:rPr>
              <w:t>1</w:t>
            </w:r>
          </w:p>
        </w:tc>
        <w:tc>
          <w:tcPr>
            <w:tcW w:w="2728" w:type="dxa"/>
          </w:tcPr>
          <w:p>
            <w:pPr>
              <w:pStyle w:val="TableParagraph"/>
              <w:spacing w:before="91"/>
              <w:ind w:left="123"/>
              <w:rPr>
                <w:sz w:val="21"/>
              </w:rPr>
            </w:pPr>
            <w:r>
              <w:rPr>
                <w:sz w:val="21"/>
              </w:rPr>
              <w:t>存出保证金</w:t>
            </w:r>
          </w:p>
        </w:tc>
        <w:tc>
          <w:tcPr>
            <w:tcW w:w="4507" w:type="dxa"/>
          </w:tcPr>
          <w:p>
            <w:pPr>
              <w:pStyle w:val="TableParagraph"/>
              <w:spacing w:before="91"/>
              <w:ind w:right="96"/>
              <w:jc w:val="right"/>
              <w:rPr>
                <w:sz w:val="21"/>
              </w:rPr>
            </w:pPr>
            <w:r>
              <w:rPr>
                <w:sz w:val="21"/>
              </w:rPr>
              <w:t>-</w:t>
            </w:r>
          </w:p>
        </w:tc>
      </w:tr>
      <w:tr>
        <w:trPr>
          <w:trHeight w:val="419" w:hRule="atLeast"/>
        </w:trPr>
        <w:tc>
          <w:tcPr>
            <w:tcW w:w="765" w:type="dxa"/>
          </w:tcPr>
          <w:p>
            <w:pPr>
              <w:pStyle w:val="TableParagraph"/>
              <w:spacing w:before="91"/>
              <w:ind w:left="25"/>
              <w:jc w:val="center"/>
              <w:rPr>
                <w:sz w:val="21"/>
              </w:rPr>
            </w:pPr>
            <w:r>
              <w:rPr>
                <w:sz w:val="21"/>
              </w:rPr>
              <w:t>2</w:t>
            </w:r>
          </w:p>
        </w:tc>
        <w:tc>
          <w:tcPr>
            <w:tcW w:w="2728" w:type="dxa"/>
          </w:tcPr>
          <w:p>
            <w:pPr>
              <w:pStyle w:val="TableParagraph"/>
              <w:spacing w:before="91"/>
              <w:ind w:left="123"/>
              <w:rPr>
                <w:sz w:val="21"/>
              </w:rPr>
            </w:pPr>
            <w:r>
              <w:rPr>
                <w:sz w:val="21"/>
              </w:rPr>
              <w:t>应收证券清算款</w:t>
            </w:r>
          </w:p>
        </w:tc>
        <w:tc>
          <w:tcPr>
            <w:tcW w:w="4507" w:type="dxa"/>
          </w:tcPr>
          <w:p>
            <w:pPr>
              <w:pStyle w:val="TableParagraph"/>
              <w:spacing w:before="91"/>
              <w:ind w:right="96"/>
              <w:jc w:val="right"/>
              <w:rPr>
                <w:sz w:val="21"/>
              </w:rPr>
            </w:pPr>
            <w:r>
              <w:rPr>
                <w:sz w:val="21"/>
              </w:rPr>
              <w:t>-</w:t>
            </w:r>
          </w:p>
        </w:tc>
      </w:tr>
      <w:tr>
        <w:trPr>
          <w:trHeight w:val="418" w:hRule="atLeast"/>
        </w:trPr>
        <w:tc>
          <w:tcPr>
            <w:tcW w:w="765" w:type="dxa"/>
          </w:tcPr>
          <w:p>
            <w:pPr>
              <w:pStyle w:val="TableParagraph"/>
              <w:spacing w:before="91"/>
              <w:ind w:left="25"/>
              <w:jc w:val="center"/>
              <w:rPr>
                <w:sz w:val="21"/>
              </w:rPr>
            </w:pPr>
            <w:r>
              <w:rPr>
                <w:sz w:val="21"/>
              </w:rPr>
              <w:t>3</w:t>
            </w:r>
          </w:p>
        </w:tc>
        <w:tc>
          <w:tcPr>
            <w:tcW w:w="2728" w:type="dxa"/>
          </w:tcPr>
          <w:p>
            <w:pPr>
              <w:pStyle w:val="TableParagraph"/>
              <w:spacing w:before="91"/>
              <w:ind w:left="123"/>
              <w:rPr>
                <w:sz w:val="21"/>
              </w:rPr>
            </w:pPr>
            <w:r>
              <w:rPr>
                <w:sz w:val="21"/>
              </w:rPr>
              <w:t>应收股利</w:t>
            </w:r>
          </w:p>
        </w:tc>
        <w:tc>
          <w:tcPr>
            <w:tcW w:w="4507" w:type="dxa"/>
          </w:tcPr>
          <w:p>
            <w:pPr>
              <w:pStyle w:val="TableParagraph"/>
              <w:spacing w:before="91"/>
              <w:ind w:right="96"/>
              <w:jc w:val="right"/>
              <w:rPr>
                <w:sz w:val="21"/>
              </w:rPr>
            </w:pPr>
            <w:r>
              <w:rPr>
                <w:sz w:val="21"/>
              </w:rPr>
              <w:t>-</w:t>
            </w:r>
          </w:p>
        </w:tc>
      </w:tr>
      <w:tr>
        <w:trPr>
          <w:trHeight w:val="418" w:hRule="atLeast"/>
        </w:trPr>
        <w:tc>
          <w:tcPr>
            <w:tcW w:w="765" w:type="dxa"/>
          </w:tcPr>
          <w:p>
            <w:pPr>
              <w:pStyle w:val="TableParagraph"/>
              <w:spacing w:before="91"/>
              <w:ind w:left="25"/>
              <w:jc w:val="center"/>
              <w:rPr>
                <w:sz w:val="21"/>
              </w:rPr>
            </w:pPr>
            <w:r>
              <w:rPr>
                <w:sz w:val="21"/>
              </w:rPr>
              <w:t>4</w:t>
            </w:r>
          </w:p>
        </w:tc>
        <w:tc>
          <w:tcPr>
            <w:tcW w:w="2728" w:type="dxa"/>
          </w:tcPr>
          <w:p>
            <w:pPr>
              <w:pStyle w:val="TableParagraph"/>
              <w:spacing w:before="91"/>
              <w:ind w:left="123"/>
              <w:rPr>
                <w:sz w:val="21"/>
              </w:rPr>
            </w:pPr>
            <w:r>
              <w:rPr>
                <w:sz w:val="21"/>
              </w:rPr>
              <w:t>应收利息</w:t>
            </w:r>
          </w:p>
        </w:tc>
        <w:tc>
          <w:tcPr>
            <w:tcW w:w="4507" w:type="dxa"/>
          </w:tcPr>
          <w:p>
            <w:pPr>
              <w:pStyle w:val="TableParagraph"/>
              <w:spacing w:before="91"/>
              <w:ind w:right="96"/>
              <w:jc w:val="right"/>
              <w:rPr>
                <w:sz w:val="21"/>
              </w:rPr>
            </w:pPr>
            <w:r>
              <w:rPr>
                <w:sz w:val="21"/>
              </w:rPr>
              <w:t>11,822.06</w:t>
            </w:r>
          </w:p>
        </w:tc>
      </w:tr>
    </w:tbl>
    <w:p>
      <w:pPr>
        <w:spacing w:after="0"/>
        <w:jc w:val="right"/>
        <w:rPr>
          <w:sz w:val="21"/>
        </w:rPr>
        <w:sectPr>
          <w:pgSz w:w="11910" w:h="16840"/>
          <w:pgMar w:header="0" w:footer="1118" w:top="1420" w:bottom="1380" w:left="1420" w:right="100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
        <w:gridCol w:w="2728"/>
        <w:gridCol w:w="4507"/>
      </w:tblGrid>
      <w:tr>
        <w:trPr>
          <w:trHeight w:val="419" w:hRule="atLeast"/>
        </w:trPr>
        <w:tc>
          <w:tcPr>
            <w:tcW w:w="765" w:type="dxa"/>
          </w:tcPr>
          <w:p>
            <w:pPr>
              <w:pStyle w:val="TableParagraph"/>
              <w:spacing w:before="91"/>
              <w:ind w:left="25"/>
              <w:jc w:val="center"/>
              <w:rPr>
                <w:sz w:val="21"/>
              </w:rPr>
            </w:pPr>
            <w:r>
              <w:rPr>
                <w:sz w:val="21"/>
              </w:rPr>
              <w:t>5</w:t>
            </w:r>
          </w:p>
        </w:tc>
        <w:tc>
          <w:tcPr>
            <w:tcW w:w="2728" w:type="dxa"/>
          </w:tcPr>
          <w:p>
            <w:pPr>
              <w:pStyle w:val="TableParagraph"/>
              <w:spacing w:before="91"/>
              <w:ind w:left="123"/>
              <w:rPr>
                <w:sz w:val="21"/>
              </w:rPr>
            </w:pPr>
            <w:r>
              <w:rPr>
                <w:sz w:val="21"/>
              </w:rPr>
              <w:t>应收申购款</w:t>
            </w:r>
          </w:p>
        </w:tc>
        <w:tc>
          <w:tcPr>
            <w:tcW w:w="4507" w:type="dxa"/>
          </w:tcPr>
          <w:p>
            <w:pPr>
              <w:pStyle w:val="TableParagraph"/>
              <w:spacing w:before="91"/>
              <w:ind w:right="96"/>
              <w:jc w:val="right"/>
              <w:rPr>
                <w:sz w:val="21"/>
              </w:rPr>
            </w:pPr>
            <w:r>
              <w:rPr>
                <w:sz w:val="21"/>
              </w:rPr>
              <w:t>405,866.96</w:t>
            </w:r>
          </w:p>
        </w:tc>
      </w:tr>
      <w:tr>
        <w:trPr>
          <w:trHeight w:val="419" w:hRule="atLeast"/>
        </w:trPr>
        <w:tc>
          <w:tcPr>
            <w:tcW w:w="765" w:type="dxa"/>
          </w:tcPr>
          <w:p>
            <w:pPr>
              <w:pStyle w:val="TableParagraph"/>
              <w:spacing w:before="91"/>
              <w:ind w:left="25"/>
              <w:jc w:val="center"/>
              <w:rPr>
                <w:sz w:val="21"/>
              </w:rPr>
            </w:pPr>
            <w:r>
              <w:rPr>
                <w:sz w:val="21"/>
              </w:rPr>
              <w:t>6</w:t>
            </w:r>
          </w:p>
        </w:tc>
        <w:tc>
          <w:tcPr>
            <w:tcW w:w="2728" w:type="dxa"/>
          </w:tcPr>
          <w:p>
            <w:pPr>
              <w:pStyle w:val="TableParagraph"/>
              <w:spacing w:before="91"/>
              <w:ind w:left="123"/>
              <w:rPr>
                <w:sz w:val="21"/>
              </w:rPr>
            </w:pPr>
            <w:r>
              <w:rPr>
                <w:sz w:val="21"/>
              </w:rPr>
              <w:t>其他应收款</w:t>
            </w:r>
          </w:p>
        </w:tc>
        <w:tc>
          <w:tcPr>
            <w:tcW w:w="4507" w:type="dxa"/>
          </w:tcPr>
          <w:p>
            <w:pPr>
              <w:pStyle w:val="TableParagraph"/>
              <w:spacing w:before="91"/>
              <w:ind w:right="96"/>
              <w:jc w:val="right"/>
              <w:rPr>
                <w:sz w:val="21"/>
              </w:rPr>
            </w:pPr>
            <w:r>
              <w:rPr>
                <w:sz w:val="21"/>
              </w:rPr>
              <w:t>-</w:t>
            </w:r>
          </w:p>
        </w:tc>
      </w:tr>
      <w:tr>
        <w:trPr>
          <w:trHeight w:val="419" w:hRule="atLeast"/>
        </w:trPr>
        <w:tc>
          <w:tcPr>
            <w:tcW w:w="765" w:type="dxa"/>
          </w:tcPr>
          <w:p>
            <w:pPr>
              <w:pStyle w:val="TableParagraph"/>
              <w:spacing w:before="91"/>
              <w:ind w:left="25"/>
              <w:jc w:val="center"/>
              <w:rPr>
                <w:sz w:val="21"/>
              </w:rPr>
            </w:pPr>
            <w:r>
              <w:rPr>
                <w:sz w:val="21"/>
              </w:rPr>
              <w:t>7</w:t>
            </w:r>
          </w:p>
        </w:tc>
        <w:tc>
          <w:tcPr>
            <w:tcW w:w="2728" w:type="dxa"/>
          </w:tcPr>
          <w:p>
            <w:pPr>
              <w:pStyle w:val="TableParagraph"/>
              <w:spacing w:before="91"/>
              <w:ind w:left="123"/>
              <w:rPr>
                <w:sz w:val="21"/>
              </w:rPr>
            </w:pPr>
            <w:r>
              <w:rPr>
                <w:sz w:val="21"/>
              </w:rPr>
              <w:t>待摊费用</w:t>
            </w:r>
          </w:p>
        </w:tc>
        <w:tc>
          <w:tcPr>
            <w:tcW w:w="4507" w:type="dxa"/>
          </w:tcPr>
          <w:p>
            <w:pPr>
              <w:pStyle w:val="TableParagraph"/>
              <w:spacing w:before="91"/>
              <w:ind w:right="96"/>
              <w:jc w:val="right"/>
              <w:rPr>
                <w:sz w:val="21"/>
              </w:rPr>
            </w:pPr>
            <w:r>
              <w:rPr>
                <w:sz w:val="21"/>
              </w:rPr>
              <w:t>-</w:t>
            </w:r>
          </w:p>
        </w:tc>
      </w:tr>
      <w:tr>
        <w:trPr>
          <w:trHeight w:val="418" w:hRule="atLeast"/>
        </w:trPr>
        <w:tc>
          <w:tcPr>
            <w:tcW w:w="765" w:type="dxa"/>
          </w:tcPr>
          <w:p>
            <w:pPr>
              <w:pStyle w:val="TableParagraph"/>
              <w:spacing w:before="91"/>
              <w:ind w:left="25"/>
              <w:jc w:val="center"/>
              <w:rPr>
                <w:sz w:val="21"/>
              </w:rPr>
            </w:pPr>
            <w:r>
              <w:rPr>
                <w:sz w:val="21"/>
              </w:rPr>
              <w:t>8</w:t>
            </w:r>
          </w:p>
        </w:tc>
        <w:tc>
          <w:tcPr>
            <w:tcW w:w="2728" w:type="dxa"/>
          </w:tcPr>
          <w:p>
            <w:pPr>
              <w:pStyle w:val="TableParagraph"/>
              <w:spacing w:before="91"/>
              <w:ind w:left="123"/>
              <w:rPr>
                <w:sz w:val="21"/>
              </w:rPr>
            </w:pPr>
            <w:r>
              <w:rPr>
                <w:sz w:val="21"/>
              </w:rPr>
              <w:t>其他</w:t>
            </w:r>
          </w:p>
        </w:tc>
        <w:tc>
          <w:tcPr>
            <w:tcW w:w="4507" w:type="dxa"/>
          </w:tcPr>
          <w:p>
            <w:pPr>
              <w:pStyle w:val="TableParagraph"/>
              <w:spacing w:before="91"/>
              <w:ind w:right="96"/>
              <w:jc w:val="right"/>
              <w:rPr>
                <w:sz w:val="21"/>
              </w:rPr>
            </w:pPr>
            <w:r>
              <w:rPr>
                <w:sz w:val="21"/>
              </w:rPr>
              <w:t>-</w:t>
            </w:r>
          </w:p>
        </w:tc>
      </w:tr>
      <w:tr>
        <w:trPr>
          <w:trHeight w:val="418" w:hRule="atLeast"/>
        </w:trPr>
        <w:tc>
          <w:tcPr>
            <w:tcW w:w="765" w:type="dxa"/>
          </w:tcPr>
          <w:p>
            <w:pPr>
              <w:pStyle w:val="TableParagraph"/>
              <w:spacing w:before="91"/>
              <w:ind w:left="25"/>
              <w:jc w:val="center"/>
              <w:rPr>
                <w:sz w:val="21"/>
              </w:rPr>
            </w:pPr>
            <w:r>
              <w:rPr>
                <w:sz w:val="21"/>
              </w:rPr>
              <w:t>9</w:t>
            </w:r>
          </w:p>
        </w:tc>
        <w:tc>
          <w:tcPr>
            <w:tcW w:w="2728" w:type="dxa"/>
          </w:tcPr>
          <w:p>
            <w:pPr>
              <w:pStyle w:val="TableParagraph"/>
              <w:spacing w:before="91"/>
              <w:ind w:left="123"/>
              <w:rPr>
                <w:sz w:val="21"/>
              </w:rPr>
            </w:pPr>
            <w:r>
              <w:rPr>
                <w:sz w:val="21"/>
              </w:rPr>
              <w:t>合计</w:t>
            </w:r>
          </w:p>
        </w:tc>
        <w:tc>
          <w:tcPr>
            <w:tcW w:w="4507" w:type="dxa"/>
          </w:tcPr>
          <w:p>
            <w:pPr>
              <w:pStyle w:val="TableParagraph"/>
              <w:spacing w:before="91"/>
              <w:ind w:right="96"/>
              <w:jc w:val="right"/>
              <w:rPr>
                <w:sz w:val="21"/>
              </w:rPr>
            </w:pPr>
            <w:r>
              <w:rPr>
                <w:sz w:val="21"/>
              </w:rPr>
              <w:t>417,689.02</w:t>
            </w:r>
          </w:p>
        </w:tc>
      </w:tr>
    </w:tbl>
    <w:p>
      <w:pPr>
        <w:pStyle w:val="ListParagraph"/>
        <w:numPr>
          <w:ilvl w:val="0"/>
          <w:numId w:val="16"/>
        </w:numPr>
        <w:tabs>
          <w:tab w:pos="1323" w:val="left" w:leader="none"/>
        </w:tabs>
        <w:spacing w:line="364" w:lineRule="auto" w:before="3" w:after="0"/>
        <w:ind w:left="796" w:right="3858"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16"/>
        </w:numPr>
        <w:tabs>
          <w:tab w:pos="1323" w:val="left" w:leader="none"/>
        </w:tabs>
        <w:spacing w:line="364" w:lineRule="auto" w:before="0" w:after="0"/>
        <w:ind w:left="796" w:right="3753" w:firstLine="0"/>
        <w:jc w:val="left"/>
        <w:rPr>
          <w:sz w:val="21"/>
        </w:rPr>
      </w:pPr>
      <w:r>
        <w:rPr>
          <w:spacing w:val="-1"/>
          <w:sz w:val="21"/>
        </w:rPr>
        <w:t>报告期末前十名股票中存在流通受限情况的说明</w:t>
      </w:r>
      <w:r>
        <w:rPr>
          <w:sz w:val="21"/>
        </w:rPr>
        <w:t>本基金本报告期末未持有股票。</w:t>
      </w:r>
    </w:p>
    <w:p>
      <w:pPr>
        <w:spacing w:after="0" w:line="364" w:lineRule="auto"/>
        <w:jc w:val="left"/>
        <w:rPr>
          <w:sz w:val="21"/>
        </w:rPr>
        <w:sectPr>
          <w:pgSz w:w="11910" w:h="16840"/>
          <w:pgMar w:header="0" w:footer="1118" w:top="1420" w:bottom="1380" w:left="1420" w:right="1000"/>
        </w:sectPr>
      </w:pPr>
    </w:p>
    <w:p>
      <w:pPr>
        <w:pStyle w:val="Heading1"/>
        <w:tabs>
          <w:tab w:pos="1260" w:val="left" w:leader="none"/>
        </w:tabs>
      </w:pPr>
      <w:bookmarkStart w:name="_bookmark22" w:id="23"/>
      <w:bookmarkEnd w:id="23"/>
      <w:r>
        <w:rPr>
          <w:b w:val="0"/>
        </w:rPr>
      </w:r>
      <w:r>
        <w:rPr/>
        <w:t>第五节</w:t>
        <w:tab/>
        <w:t>基金的业绩</w:t>
      </w:r>
    </w:p>
    <w:p>
      <w:pPr>
        <w:pStyle w:val="BodyText"/>
        <w:spacing w:line="364" w:lineRule="auto" w:before="138"/>
        <w:ind w:left="376" w:right="794"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376" w:right="585" w:firstLine="420"/>
      </w:pPr>
      <w:r>
        <w:rPr>
          <w:spacing w:val="-4"/>
        </w:rPr>
        <w:t>本基金合同生效日为 </w:t>
      </w:r>
      <w:r>
        <w:rPr/>
        <w:t>2011</w:t>
      </w:r>
      <w:r>
        <w:rPr>
          <w:spacing w:val="-33"/>
        </w:rPr>
        <w:t> 年 </w:t>
      </w:r>
      <w:r>
        <w:rPr/>
        <w:t>5</w:t>
      </w:r>
      <w:r>
        <w:rPr>
          <w:spacing w:val="-33"/>
        </w:rPr>
        <w:t> 月 </w:t>
      </w:r>
      <w:r>
        <w:rPr/>
        <w:t>6</w:t>
      </w:r>
      <w:r>
        <w:rPr>
          <w:spacing w:val="-5"/>
        </w:rPr>
        <w:t> 日，基金合同生效以来</w:t>
      </w:r>
      <w:r>
        <w:rPr>
          <w:spacing w:val="3"/>
        </w:rPr>
        <w:t>（</w:t>
      </w:r>
      <w:r>
        <w:rPr>
          <w:spacing w:val="-16"/>
        </w:rPr>
        <w:t>截至 </w:t>
      </w:r>
      <w:r>
        <w:rPr/>
        <w:t>2019</w:t>
      </w:r>
      <w:r>
        <w:rPr>
          <w:spacing w:val="-33"/>
        </w:rPr>
        <w:t> 年 </w:t>
      </w:r>
      <w:r>
        <w:rPr/>
        <w:t>12</w:t>
      </w:r>
      <w:r>
        <w:rPr>
          <w:spacing w:val="-33"/>
        </w:rPr>
        <w:t> 月 </w:t>
      </w:r>
      <w:r>
        <w:rPr/>
        <w:t>31</w:t>
      </w:r>
      <w:r>
        <w:rPr>
          <w:spacing w:val="-23"/>
        </w:rPr>
        <w:t> 日</w:t>
      </w:r>
      <w:r>
        <w:rPr/>
        <w:t>） 的投资业绩及与同期基准的比较如下表所示：</w:t>
      </w:r>
    </w:p>
    <w:p>
      <w:pPr>
        <w:pStyle w:val="BodyText"/>
        <w:spacing w:line="364" w:lineRule="auto"/>
        <w:ind w:left="376" w:right="781" w:firstLine="420"/>
      </w:pPr>
      <w:r>
        <w:rPr/>
        <w:t>1、易方达黄金主题（QDII-LOF-FOF）A 类基金份额净值增长率与同期业绩比较基准收益率比较</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350"/>
        <w:gridCol w:w="1193"/>
        <w:gridCol w:w="1300"/>
        <w:gridCol w:w="1544"/>
        <w:gridCol w:w="992"/>
        <w:gridCol w:w="1026"/>
      </w:tblGrid>
      <w:tr>
        <w:trPr>
          <w:trHeight w:val="1225" w:hRule="atLeast"/>
        </w:trPr>
        <w:tc>
          <w:tcPr>
            <w:tcW w:w="1418" w:type="dxa"/>
          </w:tcPr>
          <w:p>
            <w:pPr>
              <w:pStyle w:val="TableParagraph"/>
              <w:rPr>
                <w:sz w:val="20"/>
              </w:rPr>
            </w:pPr>
          </w:p>
          <w:p>
            <w:pPr>
              <w:pStyle w:val="TableParagraph"/>
              <w:spacing w:before="149"/>
              <w:ind w:left="478" w:right="469"/>
              <w:jc w:val="center"/>
              <w:rPr>
                <w:sz w:val="21"/>
              </w:rPr>
            </w:pPr>
            <w:r>
              <w:rPr>
                <w:sz w:val="21"/>
              </w:rPr>
              <w:t>阶段</w:t>
            </w:r>
          </w:p>
        </w:tc>
        <w:tc>
          <w:tcPr>
            <w:tcW w:w="1350" w:type="dxa"/>
          </w:tcPr>
          <w:p>
            <w:pPr>
              <w:pStyle w:val="TableParagraph"/>
              <w:spacing w:line="266" w:lineRule="exact"/>
              <w:ind w:left="130" w:right="120"/>
              <w:jc w:val="center"/>
              <w:rPr>
                <w:sz w:val="21"/>
              </w:rPr>
            </w:pPr>
            <w:r>
              <w:rPr>
                <w:sz w:val="21"/>
              </w:rPr>
              <w:t>净值增长率</w:t>
            </w:r>
          </w:p>
          <w:p>
            <w:pPr>
              <w:pStyle w:val="TableParagraph"/>
              <w:spacing w:before="139"/>
              <w:ind w:left="10"/>
              <w:jc w:val="center"/>
              <w:rPr>
                <w:sz w:val="21"/>
              </w:rPr>
            </w:pPr>
            <w:r>
              <w:rPr>
                <w:sz w:val="21"/>
              </w:rPr>
              <w:t>①</w:t>
            </w:r>
          </w:p>
        </w:tc>
        <w:tc>
          <w:tcPr>
            <w:tcW w:w="1193" w:type="dxa"/>
          </w:tcPr>
          <w:p>
            <w:pPr>
              <w:pStyle w:val="TableParagraph"/>
              <w:spacing w:line="364" w:lineRule="auto"/>
              <w:ind w:left="176" w:right="164"/>
              <w:jc w:val="center"/>
              <w:rPr>
                <w:sz w:val="21"/>
              </w:rPr>
            </w:pPr>
            <w:r>
              <w:rPr>
                <w:sz w:val="21"/>
              </w:rPr>
              <w:t>净值增长率标准差</w:t>
            </w:r>
          </w:p>
          <w:p>
            <w:pPr>
              <w:pStyle w:val="TableParagraph"/>
              <w:spacing w:line="268" w:lineRule="exact"/>
              <w:ind w:left="9"/>
              <w:jc w:val="center"/>
              <w:rPr>
                <w:sz w:val="21"/>
              </w:rPr>
            </w:pPr>
            <w:r>
              <w:rPr>
                <w:sz w:val="21"/>
              </w:rPr>
              <w:t>②</w:t>
            </w:r>
          </w:p>
        </w:tc>
        <w:tc>
          <w:tcPr>
            <w:tcW w:w="1300" w:type="dxa"/>
          </w:tcPr>
          <w:p>
            <w:pPr>
              <w:pStyle w:val="TableParagraph"/>
              <w:spacing w:line="364" w:lineRule="auto"/>
              <w:ind w:left="125" w:right="114"/>
              <w:jc w:val="center"/>
              <w:rPr>
                <w:sz w:val="21"/>
              </w:rPr>
            </w:pPr>
            <w:r>
              <w:rPr>
                <w:sz w:val="21"/>
              </w:rPr>
              <w:t>业绩比较基准收益率</w:t>
            </w:r>
          </w:p>
          <w:p>
            <w:pPr>
              <w:pStyle w:val="TableParagraph"/>
              <w:spacing w:line="268" w:lineRule="exact"/>
              <w:ind w:left="10"/>
              <w:jc w:val="center"/>
              <w:rPr>
                <w:sz w:val="21"/>
              </w:rPr>
            </w:pPr>
            <w:r>
              <w:rPr>
                <w:sz w:val="21"/>
              </w:rPr>
              <w:t>③</w:t>
            </w:r>
          </w:p>
        </w:tc>
        <w:tc>
          <w:tcPr>
            <w:tcW w:w="1544" w:type="dxa"/>
          </w:tcPr>
          <w:p>
            <w:pPr>
              <w:pStyle w:val="TableParagraph"/>
              <w:spacing w:line="364" w:lineRule="auto"/>
              <w:ind w:left="141" w:right="130"/>
              <w:jc w:val="center"/>
              <w:rPr>
                <w:sz w:val="21"/>
              </w:rPr>
            </w:pPr>
            <w:r>
              <w:rPr>
                <w:sz w:val="21"/>
              </w:rPr>
              <w:t>业绩比较基准收益率标准差</w:t>
            </w:r>
          </w:p>
          <w:p>
            <w:pPr>
              <w:pStyle w:val="TableParagraph"/>
              <w:spacing w:line="268" w:lineRule="exact"/>
              <w:ind w:left="9"/>
              <w:jc w:val="center"/>
              <w:rPr>
                <w:sz w:val="21"/>
              </w:rPr>
            </w:pPr>
            <w:r>
              <w:rPr>
                <w:sz w:val="21"/>
              </w:rPr>
              <w:t>④</w:t>
            </w:r>
          </w:p>
        </w:tc>
        <w:tc>
          <w:tcPr>
            <w:tcW w:w="992" w:type="dxa"/>
          </w:tcPr>
          <w:p>
            <w:pPr>
              <w:pStyle w:val="TableParagraph"/>
              <w:rPr>
                <w:sz w:val="20"/>
              </w:rPr>
            </w:pPr>
          </w:p>
          <w:p>
            <w:pPr>
              <w:pStyle w:val="TableParagraph"/>
              <w:spacing w:before="149"/>
              <w:ind w:left="233"/>
              <w:rPr>
                <w:sz w:val="21"/>
              </w:rPr>
            </w:pPr>
            <w:r>
              <w:rPr>
                <w:sz w:val="21"/>
              </w:rPr>
              <w:t>①-③</w:t>
            </w:r>
          </w:p>
        </w:tc>
        <w:tc>
          <w:tcPr>
            <w:tcW w:w="1026" w:type="dxa"/>
          </w:tcPr>
          <w:p>
            <w:pPr>
              <w:pStyle w:val="TableParagraph"/>
              <w:rPr>
                <w:sz w:val="20"/>
              </w:rPr>
            </w:pPr>
          </w:p>
          <w:p>
            <w:pPr>
              <w:pStyle w:val="TableParagraph"/>
              <w:spacing w:before="149"/>
              <w:ind w:left="249"/>
              <w:rPr>
                <w:sz w:val="21"/>
              </w:rPr>
            </w:pPr>
            <w:r>
              <w:rPr>
                <w:sz w:val="21"/>
              </w:rPr>
              <w:t>②-④</w:t>
            </w:r>
          </w:p>
        </w:tc>
      </w:tr>
      <w:tr>
        <w:trPr>
          <w:trHeight w:val="1634" w:hRule="atLeast"/>
        </w:trPr>
        <w:tc>
          <w:tcPr>
            <w:tcW w:w="1418" w:type="dxa"/>
          </w:tcPr>
          <w:p>
            <w:pPr>
              <w:pStyle w:val="TableParagraph"/>
              <w:spacing w:line="364" w:lineRule="auto"/>
              <w:ind w:left="108" w:right="95"/>
              <w:jc w:val="both"/>
              <w:rPr>
                <w:sz w:val="21"/>
              </w:rPr>
            </w:pPr>
            <w:r>
              <w:rPr>
                <w:spacing w:val="27"/>
                <w:sz w:val="21"/>
              </w:rPr>
              <w:t>自基金合同</w:t>
            </w:r>
            <w:r>
              <w:rPr>
                <w:spacing w:val="-1"/>
                <w:sz w:val="21"/>
              </w:rPr>
              <w:t>生 效 日 至2011</w:t>
            </w:r>
            <w:r>
              <w:rPr>
                <w:spacing w:val="-20"/>
                <w:sz w:val="21"/>
              </w:rPr>
              <w:t> 年</w:t>
            </w:r>
            <w:r>
              <w:rPr>
                <w:sz w:val="21"/>
              </w:rPr>
              <w:t>12</w:t>
            </w:r>
            <w:r>
              <w:rPr>
                <w:spacing w:val="-36"/>
                <w:sz w:val="21"/>
              </w:rPr>
              <w:t> 月</w:t>
            </w:r>
          </w:p>
          <w:p>
            <w:pPr>
              <w:pStyle w:val="TableParagraph"/>
              <w:spacing w:line="268" w:lineRule="exact"/>
              <w:ind w:left="108"/>
              <w:rPr>
                <w:sz w:val="21"/>
              </w:rPr>
            </w:pPr>
            <w:r>
              <w:rPr>
                <w:sz w:val="21"/>
              </w:rPr>
              <w:t>31 日</w:t>
            </w:r>
          </w:p>
        </w:tc>
        <w:tc>
          <w:tcPr>
            <w:tcW w:w="1350" w:type="dxa"/>
          </w:tcPr>
          <w:p>
            <w:pPr>
              <w:pStyle w:val="TableParagraph"/>
              <w:rPr>
                <w:sz w:val="20"/>
              </w:rPr>
            </w:pPr>
          </w:p>
          <w:p>
            <w:pPr>
              <w:pStyle w:val="TableParagraph"/>
              <w:spacing w:before="7"/>
              <w:rPr>
                <w:sz w:val="27"/>
              </w:rPr>
            </w:pPr>
          </w:p>
          <w:p>
            <w:pPr>
              <w:pStyle w:val="TableParagraph"/>
              <w:ind w:right="97"/>
              <w:jc w:val="right"/>
              <w:rPr>
                <w:sz w:val="21"/>
              </w:rPr>
            </w:pPr>
            <w:r>
              <w:rPr>
                <w:sz w:val="21"/>
              </w:rPr>
              <w:t>-5.70%</w:t>
            </w:r>
          </w:p>
        </w:tc>
        <w:tc>
          <w:tcPr>
            <w:tcW w:w="1193" w:type="dxa"/>
          </w:tcPr>
          <w:p>
            <w:pPr>
              <w:pStyle w:val="TableParagraph"/>
              <w:rPr>
                <w:sz w:val="20"/>
              </w:rPr>
            </w:pPr>
          </w:p>
          <w:p>
            <w:pPr>
              <w:pStyle w:val="TableParagraph"/>
              <w:spacing w:before="7"/>
              <w:rPr>
                <w:sz w:val="27"/>
              </w:rPr>
            </w:pPr>
          </w:p>
          <w:p>
            <w:pPr>
              <w:pStyle w:val="TableParagraph"/>
              <w:ind w:right="96"/>
              <w:jc w:val="right"/>
              <w:rPr>
                <w:sz w:val="21"/>
              </w:rPr>
            </w:pPr>
            <w:r>
              <w:rPr>
                <w:sz w:val="21"/>
              </w:rPr>
              <w:t>0.87%</w:t>
            </w:r>
          </w:p>
        </w:tc>
        <w:tc>
          <w:tcPr>
            <w:tcW w:w="1300" w:type="dxa"/>
          </w:tcPr>
          <w:p>
            <w:pPr>
              <w:pStyle w:val="TableParagraph"/>
              <w:rPr>
                <w:sz w:val="20"/>
              </w:rPr>
            </w:pPr>
          </w:p>
          <w:p>
            <w:pPr>
              <w:pStyle w:val="TableParagraph"/>
              <w:spacing w:before="7"/>
              <w:rPr>
                <w:sz w:val="27"/>
              </w:rPr>
            </w:pPr>
          </w:p>
          <w:p>
            <w:pPr>
              <w:pStyle w:val="TableParagraph"/>
              <w:ind w:right="97"/>
              <w:jc w:val="right"/>
              <w:rPr>
                <w:sz w:val="21"/>
              </w:rPr>
            </w:pPr>
            <w:r>
              <w:rPr>
                <w:sz w:val="21"/>
              </w:rPr>
              <w:t>-1.42%</w:t>
            </w:r>
          </w:p>
        </w:tc>
        <w:tc>
          <w:tcPr>
            <w:tcW w:w="1544" w:type="dxa"/>
          </w:tcPr>
          <w:p>
            <w:pPr>
              <w:pStyle w:val="TableParagraph"/>
              <w:rPr>
                <w:sz w:val="20"/>
              </w:rPr>
            </w:pPr>
          </w:p>
          <w:p>
            <w:pPr>
              <w:pStyle w:val="TableParagraph"/>
              <w:spacing w:before="7"/>
              <w:rPr>
                <w:sz w:val="27"/>
              </w:rPr>
            </w:pPr>
          </w:p>
          <w:p>
            <w:pPr>
              <w:pStyle w:val="TableParagraph"/>
              <w:ind w:right="96"/>
              <w:jc w:val="right"/>
              <w:rPr>
                <w:sz w:val="21"/>
              </w:rPr>
            </w:pPr>
            <w:r>
              <w:rPr>
                <w:sz w:val="21"/>
              </w:rPr>
              <w:t>1.52%</w:t>
            </w:r>
          </w:p>
        </w:tc>
        <w:tc>
          <w:tcPr>
            <w:tcW w:w="992" w:type="dxa"/>
          </w:tcPr>
          <w:p>
            <w:pPr>
              <w:pStyle w:val="TableParagraph"/>
              <w:rPr>
                <w:sz w:val="20"/>
              </w:rPr>
            </w:pPr>
          </w:p>
          <w:p>
            <w:pPr>
              <w:pStyle w:val="TableParagraph"/>
              <w:spacing w:before="7"/>
              <w:rPr>
                <w:sz w:val="27"/>
              </w:rPr>
            </w:pPr>
          </w:p>
          <w:p>
            <w:pPr>
              <w:pStyle w:val="TableParagraph"/>
              <w:ind w:right="97"/>
              <w:jc w:val="right"/>
              <w:rPr>
                <w:sz w:val="21"/>
              </w:rPr>
            </w:pPr>
            <w:r>
              <w:rPr>
                <w:sz w:val="21"/>
              </w:rPr>
              <w:t>-4.28%</w:t>
            </w:r>
          </w:p>
        </w:tc>
        <w:tc>
          <w:tcPr>
            <w:tcW w:w="1026" w:type="dxa"/>
          </w:tcPr>
          <w:p>
            <w:pPr>
              <w:pStyle w:val="TableParagraph"/>
              <w:rPr>
                <w:sz w:val="20"/>
              </w:rPr>
            </w:pPr>
          </w:p>
          <w:p>
            <w:pPr>
              <w:pStyle w:val="TableParagraph"/>
              <w:spacing w:before="7"/>
              <w:rPr>
                <w:sz w:val="27"/>
              </w:rPr>
            </w:pPr>
          </w:p>
          <w:p>
            <w:pPr>
              <w:pStyle w:val="TableParagraph"/>
              <w:ind w:left="285"/>
              <w:rPr>
                <w:sz w:val="21"/>
              </w:rPr>
            </w:pPr>
            <w:r>
              <w:rPr>
                <w:sz w:val="21"/>
              </w:rPr>
              <w:t>-0.65%</w:t>
            </w:r>
          </w:p>
        </w:tc>
      </w:tr>
      <w:tr>
        <w:trPr>
          <w:trHeight w:val="1225" w:hRule="atLeast"/>
        </w:trPr>
        <w:tc>
          <w:tcPr>
            <w:tcW w:w="1418" w:type="dxa"/>
          </w:tcPr>
          <w:p>
            <w:pPr>
              <w:pStyle w:val="TableParagraph"/>
              <w:spacing w:line="266" w:lineRule="exact"/>
              <w:ind w:left="108"/>
              <w:rPr>
                <w:sz w:val="21"/>
              </w:rPr>
            </w:pPr>
            <w:r>
              <w:rPr>
                <w:sz w:val="21"/>
              </w:rPr>
              <w:t>2012</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2012</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-0.21%</w:t>
            </w:r>
          </w:p>
        </w:tc>
        <w:tc>
          <w:tcPr>
            <w:tcW w:w="1193" w:type="dxa"/>
          </w:tcPr>
          <w:p>
            <w:pPr>
              <w:pStyle w:val="TableParagraph"/>
              <w:rPr>
                <w:sz w:val="20"/>
              </w:rPr>
            </w:pPr>
          </w:p>
          <w:p>
            <w:pPr>
              <w:pStyle w:val="TableParagraph"/>
              <w:spacing w:before="149"/>
              <w:ind w:right="96"/>
              <w:jc w:val="right"/>
              <w:rPr>
                <w:sz w:val="21"/>
              </w:rPr>
            </w:pPr>
            <w:r>
              <w:rPr>
                <w:sz w:val="21"/>
              </w:rPr>
              <w:t>0.89%</w:t>
            </w:r>
          </w:p>
        </w:tc>
        <w:tc>
          <w:tcPr>
            <w:tcW w:w="1300" w:type="dxa"/>
          </w:tcPr>
          <w:p>
            <w:pPr>
              <w:pStyle w:val="TableParagraph"/>
              <w:rPr>
                <w:sz w:val="20"/>
              </w:rPr>
            </w:pPr>
          </w:p>
          <w:p>
            <w:pPr>
              <w:pStyle w:val="TableParagraph"/>
              <w:spacing w:before="149"/>
              <w:ind w:right="97"/>
              <w:jc w:val="right"/>
              <w:rPr>
                <w:sz w:val="21"/>
              </w:rPr>
            </w:pPr>
            <w:r>
              <w:rPr>
                <w:sz w:val="21"/>
              </w:rPr>
              <w:t>6.82%</w:t>
            </w:r>
          </w:p>
        </w:tc>
        <w:tc>
          <w:tcPr>
            <w:tcW w:w="1544" w:type="dxa"/>
          </w:tcPr>
          <w:p>
            <w:pPr>
              <w:pStyle w:val="TableParagraph"/>
              <w:rPr>
                <w:sz w:val="20"/>
              </w:rPr>
            </w:pPr>
          </w:p>
          <w:p>
            <w:pPr>
              <w:pStyle w:val="TableParagraph"/>
              <w:spacing w:before="149"/>
              <w:ind w:right="96"/>
              <w:jc w:val="right"/>
              <w:rPr>
                <w:sz w:val="21"/>
              </w:rPr>
            </w:pPr>
            <w:r>
              <w:rPr>
                <w:sz w:val="21"/>
              </w:rPr>
              <w:t>1.09%</w:t>
            </w:r>
          </w:p>
        </w:tc>
        <w:tc>
          <w:tcPr>
            <w:tcW w:w="992" w:type="dxa"/>
          </w:tcPr>
          <w:p>
            <w:pPr>
              <w:pStyle w:val="TableParagraph"/>
              <w:rPr>
                <w:sz w:val="20"/>
              </w:rPr>
            </w:pPr>
          </w:p>
          <w:p>
            <w:pPr>
              <w:pStyle w:val="TableParagraph"/>
              <w:spacing w:before="149"/>
              <w:ind w:right="97"/>
              <w:jc w:val="right"/>
              <w:rPr>
                <w:sz w:val="21"/>
              </w:rPr>
            </w:pPr>
            <w:r>
              <w:rPr>
                <w:sz w:val="21"/>
              </w:rPr>
              <w:t>-7.03%</w:t>
            </w:r>
          </w:p>
        </w:tc>
        <w:tc>
          <w:tcPr>
            <w:tcW w:w="1026" w:type="dxa"/>
          </w:tcPr>
          <w:p>
            <w:pPr>
              <w:pStyle w:val="TableParagraph"/>
              <w:rPr>
                <w:sz w:val="20"/>
              </w:rPr>
            </w:pPr>
          </w:p>
          <w:p>
            <w:pPr>
              <w:pStyle w:val="TableParagraph"/>
              <w:spacing w:before="149"/>
              <w:ind w:left="285"/>
              <w:rPr>
                <w:sz w:val="21"/>
              </w:rPr>
            </w:pPr>
            <w:r>
              <w:rPr>
                <w:sz w:val="21"/>
              </w:rPr>
              <w:t>-0.20%</w:t>
            </w:r>
          </w:p>
        </w:tc>
      </w:tr>
      <w:tr>
        <w:trPr>
          <w:trHeight w:val="1225" w:hRule="atLeast"/>
        </w:trPr>
        <w:tc>
          <w:tcPr>
            <w:tcW w:w="1418" w:type="dxa"/>
          </w:tcPr>
          <w:p>
            <w:pPr>
              <w:pStyle w:val="TableParagraph"/>
              <w:spacing w:line="266" w:lineRule="exact"/>
              <w:ind w:left="108"/>
              <w:rPr>
                <w:sz w:val="21"/>
              </w:rPr>
            </w:pPr>
            <w:r>
              <w:rPr>
                <w:sz w:val="21"/>
              </w:rPr>
              <w:t>2013</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2013</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-31.46%</w:t>
            </w:r>
          </w:p>
        </w:tc>
        <w:tc>
          <w:tcPr>
            <w:tcW w:w="1193" w:type="dxa"/>
          </w:tcPr>
          <w:p>
            <w:pPr>
              <w:pStyle w:val="TableParagraph"/>
              <w:rPr>
                <w:sz w:val="20"/>
              </w:rPr>
            </w:pPr>
          </w:p>
          <w:p>
            <w:pPr>
              <w:pStyle w:val="TableParagraph"/>
              <w:spacing w:before="149"/>
              <w:ind w:right="96"/>
              <w:jc w:val="right"/>
              <w:rPr>
                <w:sz w:val="21"/>
              </w:rPr>
            </w:pPr>
            <w:r>
              <w:rPr>
                <w:sz w:val="21"/>
              </w:rPr>
              <w:t>1.20%</w:t>
            </w:r>
          </w:p>
        </w:tc>
        <w:tc>
          <w:tcPr>
            <w:tcW w:w="1300" w:type="dxa"/>
          </w:tcPr>
          <w:p>
            <w:pPr>
              <w:pStyle w:val="TableParagraph"/>
              <w:rPr>
                <w:sz w:val="20"/>
              </w:rPr>
            </w:pPr>
          </w:p>
          <w:p>
            <w:pPr>
              <w:pStyle w:val="TableParagraph"/>
              <w:spacing w:before="149"/>
              <w:ind w:right="97"/>
              <w:jc w:val="right"/>
              <w:rPr>
                <w:sz w:val="21"/>
              </w:rPr>
            </w:pPr>
            <w:r>
              <w:rPr>
                <w:sz w:val="21"/>
              </w:rPr>
              <w:t>-29.32%</w:t>
            </w:r>
          </w:p>
        </w:tc>
        <w:tc>
          <w:tcPr>
            <w:tcW w:w="1544" w:type="dxa"/>
          </w:tcPr>
          <w:p>
            <w:pPr>
              <w:pStyle w:val="TableParagraph"/>
              <w:rPr>
                <w:sz w:val="20"/>
              </w:rPr>
            </w:pPr>
          </w:p>
          <w:p>
            <w:pPr>
              <w:pStyle w:val="TableParagraph"/>
              <w:spacing w:before="149"/>
              <w:ind w:right="96"/>
              <w:jc w:val="right"/>
              <w:rPr>
                <w:sz w:val="21"/>
              </w:rPr>
            </w:pPr>
            <w:r>
              <w:rPr>
                <w:sz w:val="21"/>
              </w:rPr>
              <w:t>1.36%</w:t>
            </w:r>
          </w:p>
        </w:tc>
        <w:tc>
          <w:tcPr>
            <w:tcW w:w="992" w:type="dxa"/>
          </w:tcPr>
          <w:p>
            <w:pPr>
              <w:pStyle w:val="TableParagraph"/>
              <w:rPr>
                <w:sz w:val="20"/>
              </w:rPr>
            </w:pPr>
          </w:p>
          <w:p>
            <w:pPr>
              <w:pStyle w:val="TableParagraph"/>
              <w:spacing w:before="149"/>
              <w:ind w:right="97"/>
              <w:jc w:val="right"/>
              <w:rPr>
                <w:sz w:val="21"/>
              </w:rPr>
            </w:pPr>
            <w:r>
              <w:rPr>
                <w:sz w:val="21"/>
              </w:rPr>
              <w:t>-2.14%</w:t>
            </w:r>
          </w:p>
        </w:tc>
        <w:tc>
          <w:tcPr>
            <w:tcW w:w="1026" w:type="dxa"/>
          </w:tcPr>
          <w:p>
            <w:pPr>
              <w:pStyle w:val="TableParagraph"/>
              <w:rPr>
                <w:sz w:val="20"/>
              </w:rPr>
            </w:pPr>
          </w:p>
          <w:p>
            <w:pPr>
              <w:pStyle w:val="TableParagraph"/>
              <w:spacing w:before="149"/>
              <w:ind w:left="285"/>
              <w:rPr>
                <w:sz w:val="21"/>
              </w:rPr>
            </w:pPr>
            <w:r>
              <w:rPr>
                <w:sz w:val="21"/>
              </w:rPr>
              <w:t>-0.16%</w:t>
            </w:r>
          </w:p>
        </w:tc>
      </w:tr>
      <w:tr>
        <w:trPr>
          <w:trHeight w:val="1225" w:hRule="atLeast"/>
        </w:trPr>
        <w:tc>
          <w:tcPr>
            <w:tcW w:w="1418" w:type="dxa"/>
          </w:tcPr>
          <w:p>
            <w:pPr>
              <w:pStyle w:val="TableParagraph"/>
              <w:spacing w:line="266" w:lineRule="exact"/>
              <w:ind w:left="108"/>
              <w:rPr>
                <w:sz w:val="21"/>
              </w:rPr>
            </w:pPr>
            <w:r>
              <w:rPr>
                <w:sz w:val="21"/>
              </w:rPr>
              <w:t>2014</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2014</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-1.71%</w:t>
            </w:r>
          </w:p>
        </w:tc>
        <w:tc>
          <w:tcPr>
            <w:tcW w:w="1193" w:type="dxa"/>
          </w:tcPr>
          <w:p>
            <w:pPr>
              <w:pStyle w:val="TableParagraph"/>
              <w:rPr>
                <w:sz w:val="20"/>
              </w:rPr>
            </w:pPr>
          </w:p>
          <w:p>
            <w:pPr>
              <w:pStyle w:val="TableParagraph"/>
              <w:spacing w:before="149"/>
              <w:ind w:right="96"/>
              <w:jc w:val="right"/>
              <w:rPr>
                <w:sz w:val="21"/>
              </w:rPr>
            </w:pPr>
            <w:r>
              <w:rPr>
                <w:sz w:val="21"/>
              </w:rPr>
              <w:t>0.72%</w:t>
            </w:r>
          </w:p>
        </w:tc>
        <w:tc>
          <w:tcPr>
            <w:tcW w:w="1300" w:type="dxa"/>
          </w:tcPr>
          <w:p>
            <w:pPr>
              <w:pStyle w:val="TableParagraph"/>
              <w:rPr>
                <w:sz w:val="20"/>
              </w:rPr>
            </w:pPr>
          </w:p>
          <w:p>
            <w:pPr>
              <w:pStyle w:val="TableParagraph"/>
              <w:spacing w:before="149"/>
              <w:ind w:right="97"/>
              <w:jc w:val="right"/>
              <w:rPr>
                <w:sz w:val="21"/>
              </w:rPr>
            </w:pPr>
            <w:r>
              <w:rPr>
                <w:sz w:val="21"/>
              </w:rPr>
              <w:t>2.43%</w:t>
            </w:r>
          </w:p>
        </w:tc>
        <w:tc>
          <w:tcPr>
            <w:tcW w:w="1544" w:type="dxa"/>
          </w:tcPr>
          <w:p>
            <w:pPr>
              <w:pStyle w:val="TableParagraph"/>
              <w:rPr>
                <w:sz w:val="20"/>
              </w:rPr>
            </w:pPr>
          </w:p>
          <w:p>
            <w:pPr>
              <w:pStyle w:val="TableParagraph"/>
              <w:spacing w:before="149"/>
              <w:ind w:right="96"/>
              <w:jc w:val="right"/>
              <w:rPr>
                <w:sz w:val="21"/>
              </w:rPr>
            </w:pPr>
            <w:r>
              <w:rPr>
                <w:sz w:val="21"/>
              </w:rPr>
              <w:t>0.85%</w:t>
            </w:r>
          </w:p>
        </w:tc>
        <w:tc>
          <w:tcPr>
            <w:tcW w:w="992" w:type="dxa"/>
          </w:tcPr>
          <w:p>
            <w:pPr>
              <w:pStyle w:val="TableParagraph"/>
              <w:rPr>
                <w:sz w:val="20"/>
              </w:rPr>
            </w:pPr>
          </w:p>
          <w:p>
            <w:pPr>
              <w:pStyle w:val="TableParagraph"/>
              <w:spacing w:before="149"/>
              <w:ind w:right="97"/>
              <w:jc w:val="right"/>
              <w:rPr>
                <w:sz w:val="21"/>
              </w:rPr>
            </w:pPr>
            <w:r>
              <w:rPr>
                <w:sz w:val="21"/>
              </w:rPr>
              <w:t>-4.14%</w:t>
            </w:r>
          </w:p>
        </w:tc>
        <w:tc>
          <w:tcPr>
            <w:tcW w:w="1026" w:type="dxa"/>
          </w:tcPr>
          <w:p>
            <w:pPr>
              <w:pStyle w:val="TableParagraph"/>
              <w:rPr>
                <w:sz w:val="20"/>
              </w:rPr>
            </w:pPr>
          </w:p>
          <w:p>
            <w:pPr>
              <w:pStyle w:val="TableParagraph"/>
              <w:spacing w:before="149"/>
              <w:ind w:left="292"/>
              <w:rPr>
                <w:sz w:val="21"/>
              </w:rPr>
            </w:pPr>
            <w:r>
              <w:rPr>
                <w:sz w:val="21"/>
              </w:rPr>
              <w:t>-0.13%</w:t>
            </w:r>
          </w:p>
        </w:tc>
      </w:tr>
      <w:tr>
        <w:trPr>
          <w:trHeight w:val="1225" w:hRule="atLeast"/>
        </w:trPr>
        <w:tc>
          <w:tcPr>
            <w:tcW w:w="1418" w:type="dxa"/>
          </w:tcPr>
          <w:p>
            <w:pPr>
              <w:pStyle w:val="TableParagraph"/>
              <w:spacing w:line="266" w:lineRule="exact"/>
              <w:ind w:left="108"/>
              <w:rPr>
                <w:sz w:val="21"/>
              </w:rPr>
            </w:pPr>
            <w:r>
              <w:rPr>
                <w:sz w:val="21"/>
              </w:rPr>
              <w:t>2015</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2015</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-3.94%</w:t>
            </w:r>
          </w:p>
        </w:tc>
        <w:tc>
          <w:tcPr>
            <w:tcW w:w="1193" w:type="dxa"/>
          </w:tcPr>
          <w:p>
            <w:pPr>
              <w:pStyle w:val="TableParagraph"/>
              <w:rPr>
                <w:sz w:val="20"/>
              </w:rPr>
            </w:pPr>
          </w:p>
          <w:p>
            <w:pPr>
              <w:pStyle w:val="TableParagraph"/>
              <w:spacing w:before="149"/>
              <w:ind w:right="96"/>
              <w:jc w:val="right"/>
              <w:rPr>
                <w:sz w:val="21"/>
              </w:rPr>
            </w:pPr>
            <w:r>
              <w:rPr>
                <w:sz w:val="21"/>
              </w:rPr>
              <w:t>0.80%</w:t>
            </w:r>
          </w:p>
        </w:tc>
        <w:tc>
          <w:tcPr>
            <w:tcW w:w="1300" w:type="dxa"/>
          </w:tcPr>
          <w:p>
            <w:pPr>
              <w:pStyle w:val="TableParagraph"/>
              <w:rPr>
                <w:sz w:val="20"/>
              </w:rPr>
            </w:pPr>
          </w:p>
          <w:p>
            <w:pPr>
              <w:pStyle w:val="TableParagraph"/>
              <w:spacing w:before="149"/>
              <w:ind w:right="97"/>
              <w:jc w:val="right"/>
              <w:rPr>
                <w:sz w:val="21"/>
              </w:rPr>
            </w:pPr>
            <w:r>
              <w:rPr>
                <w:sz w:val="21"/>
              </w:rPr>
              <w:t>-8.00%</w:t>
            </w:r>
          </w:p>
        </w:tc>
        <w:tc>
          <w:tcPr>
            <w:tcW w:w="1544" w:type="dxa"/>
          </w:tcPr>
          <w:p>
            <w:pPr>
              <w:pStyle w:val="TableParagraph"/>
              <w:rPr>
                <w:sz w:val="20"/>
              </w:rPr>
            </w:pPr>
          </w:p>
          <w:p>
            <w:pPr>
              <w:pStyle w:val="TableParagraph"/>
              <w:spacing w:before="149"/>
              <w:ind w:right="96"/>
              <w:jc w:val="right"/>
              <w:rPr>
                <w:sz w:val="21"/>
              </w:rPr>
            </w:pPr>
            <w:r>
              <w:rPr>
                <w:sz w:val="21"/>
              </w:rPr>
              <w:t>0.93%</w:t>
            </w:r>
          </w:p>
        </w:tc>
        <w:tc>
          <w:tcPr>
            <w:tcW w:w="992" w:type="dxa"/>
          </w:tcPr>
          <w:p>
            <w:pPr>
              <w:pStyle w:val="TableParagraph"/>
              <w:rPr>
                <w:sz w:val="20"/>
              </w:rPr>
            </w:pPr>
          </w:p>
          <w:p>
            <w:pPr>
              <w:pStyle w:val="TableParagraph"/>
              <w:spacing w:before="149"/>
              <w:ind w:right="97"/>
              <w:jc w:val="right"/>
              <w:rPr>
                <w:sz w:val="21"/>
              </w:rPr>
            </w:pPr>
            <w:r>
              <w:rPr>
                <w:sz w:val="21"/>
              </w:rPr>
              <w:t>4.06%</w:t>
            </w:r>
          </w:p>
        </w:tc>
        <w:tc>
          <w:tcPr>
            <w:tcW w:w="1026" w:type="dxa"/>
          </w:tcPr>
          <w:p>
            <w:pPr>
              <w:pStyle w:val="TableParagraph"/>
              <w:rPr>
                <w:sz w:val="20"/>
              </w:rPr>
            </w:pPr>
          </w:p>
          <w:p>
            <w:pPr>
              <w:pStyle w:val="TableParagraph"/>
              <w:spacing w:before="149"/>
              <w:ind w:left="292"/>
              <w:rPr>
                <w:sz w:val="21"/>
              </w:rPr>
            </w:pPr>
            <w:r>
              <w:rPr>
                <w:sz w:val="21"/>
              </w:rPr>
              <w:t>-0.13%</w:t>
            </w:r>
          </w:p>
        </w:tc>
      </w:tr>
      <w:tr>
        <w:trPr>
          <w:trHeight w:val="1225" w:hRule="atLeast"/>
        </w:trPr>
        <w:tc>
          <w:tcPr>
            <w:tcW w:w="1418" w:type="dxa"/>
          </w:tcPr>
          <w:p>
            <w:pPr>
              <w:pStyle w:val="TableParagraph"/>
              <w:spacing w:line="266" w:lineRule="exact"/>
              <w:ind w:left="108"/>
              <w:rPr>
                <w:sz w:val="21"/>
              </w:rPr>
            </w:pPr>
            <w:r>
              <w:rPr>
                <w:sz w:val="21"/>
              </w:rPr>
              <w:t>2016</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2016</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14.61%</w:t>
            </w:r>
          </w:p>
        </w:tc>
        <w:tc>
          <w:tcPr>
            <w:tcW w:w="1193" w:type="dxa"/>
          </w:tcPr>
          <w:p>
            <w:pPr>
              <w:pStyle w:val="TableParagraph"/>
              <w:rPr>
                <w:sz w:val="20"/>
              </w:rPr>
            </w:pPr>
          </w:p>
          <w:p>
            <w:pPr>
              <w:pStyle w:val="TableParagraph"/>
              <w:spacing w:before="149"/>
              <w:ind w:right="96"/>
              <w:jc w:val="right"/>
              <w:rPr>
                <w:sz w:val="21"/>
              </w:rPr>
            </w:pPr>
            <w:r>
              <w:rPr>
                <w:sz w:val="21"/>
              </w:rPr>
              <w:t>0.89%</w:t>
            </w:r>
          </w:p>
        </w:tc>
        <w:tc>
          <w:tcPr>
            <w:tcW w:w="1300" w:type="dxa"/>
          </w:tcPr>
          <w:p>
            <w:pPr>
              <w:pStyle w:val="TableParagraph"/>
              <w:rPr>
                <w:sz w:val="20"/>
              </w:rPr>
            </w:pPr>
          </w:p>
          <w:p>
            <w:pPr>
              <w:pStyle w:val="TableParagraph"/>
              <w:spacing w:before="149"/>
              <w:ind w:right="97"/>
              <w:jc w:val="right"/>
              <w:rPr>
                <w:sz w:val="21"/>
              </w:rPr>
            </w:pPr>
            <w:r>
              <w:rPr>
                <w:sz w:val="21"/>
              </w:rPr>
              <w:t>15.75%</w:t>
            </w:r>
          </w:p>
        </w:tc>
        <w:tc>
          <w:tcPr>
            <w:tcW w:w="1544" w:type="dxa"/>
          </w:tcPr>
          <w:p>
            <w:pPr>
              <w:pStyle w:val="TableParagraph"/>
              <w:rPr>
                <w:sz w:val="20"/>
              </w:rPr>
            </w:pPr>
          </w:p>
          <w:p>
            <w:pPr>
              <w:pStyle w:val="TableParagraph"/>
              <w:spacing w:before="149"/>
              <w:ind w:right="96"/>
              <w:jc w:val="right"/>
              <w:rPr>
                <w:sz w:val="21"/>
              </w:rPr>
            </w:pPr>
            <w:r>
              <w:rPr>
                <w:sz w:val="21"/>
              </w:rPr>
              <w:t>1.05%</w:t>
            </w:r>
          </w:p>
        </w:tc>
        <w:tc>
          <w:tcPr>
            <w:tcW w:w="992" w:type="dxa"/>
          </w:tcPr>
          <w:p>
            <w:pPr>
              <w:pStyle w:val="TableParagraph"/>
              <w:rPr>
                <w:sz w:val="20"/>
              </w:rPr>
            </w:pPr>
          </w:p>
          <w:p>
            <w:pPr>
              <w:pStyle w:val="TableParagraph"/>
              <w:spacing w:before="149"/>
              <w:ind w:right="97"/>
              <w:jc w:val="right"/>
              <w:rPr>
                <w:sz w:val="21"/>
              </w:rPr>
            </w:pPr>
            <w:r>
              <w:rPr>
                <w:sz w:val="21"/>
              </w:rPr>
              <w:t>-1.14%</w:t>
            </w:r>
          </w:p>
        </w:tc>
        <w:tc>
          <w:tcPr>
            <w:tcW w:w="1026" w:type="dxa"/>
          </w:tcPr>
          <w:p>
            <w:pPr>
              <w:pStyle w:val="TableParagraph"/>
              <w:rPr>
                <w:sz w:val="20"/>
              </w:rPr>
            </w:pPr>
          </w:p>
          <w:p>
            <w:pPr>
              <w:pStyle w:val="TableParagraph"/>
              <w:spacing w:before="149"/>
              <w:ind w:left="292"/>
              <w:rPr>
                <w:sz w:val="21"/>
              </w:rPr>
            </w:pPr>
            <w:r>
              <w:rPr>
                <w:sz w:val="21"/>
              </w:rPr>
              <w:t>-0.16%</w:t>
            </w:r>
          </w:p>
        </w:tc>
      </w:tr>
      <w:tr>
        <w:trPr>
          <w:trHeight w:val="1225" w:hRule="atLeast"/>
        </w:trPr>
        <w:tc>
          <w:tcPr>
            <w:tcW w:w="1418" w:type="dxa"/>
          </w:tcPr>
          <w:p>
            <w:pPr>
              <w:pStyle w:val="TableParagraph"/>
              <w:spacing w:line="266" w:lineRule="exact"/>
              <w:ind w:left="108"/>
              <w:rPr>
                <w:sz w:val="21"/>
              </w:rPr>
            </w:pPr>
            <w:r>
              <w:rPr>
                <w:sz w:val="21"/>
              </w:rPr>
              <w:t>2017</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2017</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49"/>
              <w:ind w:right="97"/>
              <w:jc w:val="right"/>
              <w:rPr>
                <w:sz w:val="21"/>
              </w:rPr>
            </w:pPr>
            <w:r>
              <w:rPr>
                <w:sz w:val="21"/>
              </w:rPr>
              <w:t>2.44%</w:t>
            </w:r>
          </w:p>
        </w:tc>
        <w:tc>
          <w:tcPr>
            <w:tcW w:w="1193" w:type="dxa"/>
          </w:tcPr>
          <w:p>
            <w:pPr>
              <w:pStyle w:val="TableParagraph"/>
              <w:rPr>
                <w:sz w:val="20"/>
              </w:rPr>
            </w:pPr>
          </w:p>
          <w:p>
            <w:pPr>
              <w:pStyle w:val="TableParagraph"/>
              <w:spacing w:before="149"/>
              <w:ind w:right="96"/>
              <w:jc w:val="right"/>
              <w:rPr>
                <w:sz w:val="21"/>
              </w:rPr>
            </w:pPr>
            <w:r>
              <w:rPr>
                <w:sz w:val="21"/>
              </w:rPr>
              <w:t>0.51%</w:t>
            </w:r>
          </w:p>
        </w:tc>
        <w:tc>
          <w:tcPr>
            <w:tcW w:w="1300" w:type="dxa"/>
          </w:tcPr>
          <w:p>
            <w:pPr>
              <w:pStyle w:val="TableParagraph"/>
              <w:rPr>
                <w:sz w:val="20"/>
              </w:rPr>
            </w:pPr>
          </w:p>
          <w:p>
            <w:pPr>
              <w:pStyle w:val="TableParagraph"/>
              <w:spacing w:before="149"/>
              <w:ind w:right="97"/>
              <w:jc w:val="right"/>
              <w:rPr>
                <w:sz w:val="21"/>
              </w:rPr>
            </w:pPr>
            <w:r>
              <w:rPr>
                <w:sz w:val="21"/>
              </w:rPr>
              <w:t>5.90%</w:t>
            </w:r>
          </w:p>
        </w:tc>
        <w:tc>
          <w:tcPr>
            <w:tcW w:w="1544" w:type="dxa"/>
          </w:tcPr>
          <w:p>
            <w:pPr>
              <w:pStyle w:val="TableParagraph"/>
              <w:rPr>
                <w:sz w:val="20"/>
              </w:rPr>
            </w:pPr>
          </w:p>
          <w:p>
            <w:pPr>
              <w:pStyle w:val="TableParagraph"/>
              <w:spacing w:before="149"/>
              <w:ind w:right="96"/>
              <w:jc w:val="right"/>
              <w:rPr>
                <w:sz w:val="21"/>
              </w:rPr>
            </w:pPr>
            <w:r>
              <w:rPr>
                <w:sz w:val="21"/>
              </w:rPr>
              <w:t>0.63%</w:t>
            </w:r>
          </w:p>
        </w:tc>
        <w:tc>
          <w:tcPr>
            <w:tcW w:w="992" w:type="dxa"/>
          </w:tcPr>
          <w:p>
            <w:pPr>
              <w:pStyle w:val="TableParagraph"/>
              <w:rPr>
                <w:sz w:val="20"/>
              </w:rPr>
            </w:pPr>
          </w:p>
          <w:p>
            <w:pPr>
              <w:pStyle w:val="TableParagraph"/>
              <w:spacing w:before="149"/>
              <w:ind w:right="97"/>
              <w:jc w:val="right"/>
              <w:rPr>
                <w:sz w:val="21"/>
              </w:rPr>
            </w:pPr>
            <w:r>
              <w:rPr>
                <w:sz w:val="21"/>
              </w:rPr>
              <w:t>-3.46%</w:t>
            </w:r>
          </w:p>
        </w:tc>
        <w:tc>
          <w:tcPr>
            <w:tcW w:w="1026" w:type="dxa"/>
          </w:tcPr>
          <w:p>
            <w:pPr>
              <w:pStyle w:val="TableParagraph"/>
              <w:rPr>
                <w:sz w:val="20"/>
              </w:rPr>
            </w:pPr>
          </w:p>
          <w:p>
            <w:pPr>
              <w:pStyle w:val="TableParagraph"/>
              <w:spacing w:before="149"/>
              <w:ind w:left="292"/>
              <w:rPr>
                <w:sz w:val="21"/>
              </w:rPr>
            </w:pPr>
            <w:r>
              <w:rPr>
                <w:sz w:val="21"/>
              </w:rPr>
              <w:t>-0.12%</w:t>
            </w:r>
          </w:p>
        </w:tc>
      </w:tr>
    </w:tbl>
    <w:p>
      <w:pPr>
        <w:spacing w:after="0"/>
        <w:rPr>
          <w:sz w:val="21"/>
        </w:rPr>
        <w:sectPr>
          <w:pgSz w:w="11910" w:h="16840"/>
          <w:pgMar w:header="0" w:footer="1118" w:top="1400" w:bottom="1380" w:left="1420" w:right="100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350"/>
        <w:gridCol w:w="1193"/>
        <w:gridCol w:w="1300"/>
        <w:gridCol w:w="1544"/>
        <w:gridCol w:w="992"/>
        <w:gridCol w:w="1030"/>
      </w:tblGrid>
      <w:tr>
        <w:trPr>
          <w:trHeight w:val="1225" w:hRule="atLeast"/>
        </w:trPr>
        <w:tc>
          <w:tcPr>
            <w:tcW w:w="1418" w:type="dxa"/>
          </w:tcPr>
          <w:p>
            <w:pPr>
              <w:pStyle w:val="TableParagraph"/>
              <w:spacing w:before="3"/>
              <w:ind w:left="108"/>
              <w:rPr>
                <w:sz w:val="21"/>
              </w:rPr>
            </w:pPr>
            <w:r>
              <w:rPr>
                <w:sz w:val="21"/>
              </w:rPr>
              <w:t>2018</w:t>
            </w:r>
            <w:r>
              <w:rPr>
                <w:spacing w:val="-27"/>
                <w:sz w:val="21"/>
              </w:rPr>
              <w:t> 年 </w:t>
            </w:r>
            <w:r>
              <w:rPr>
                <w:sz w:val="21"/>
              </w:rPr>
              <w:t>1</w:t>
            </w:r>
            <w:r>
              <w:rPr>
                <w:spacing w:val="-16"/>
                <w:sz w:val="21"/>
              </w:rPr>
              <w:t> 月</w:t>
            </w:r>
          </w:p>
          <w:p>
            <w:pPr>
              <w:pStyle w:val="TableParagraph"/>
              <w:spacing w:before="139"/>
              <w:ind w:left="108"/>
              <w:rPr>
                <w:sz w:val="21"/>
              </w:rPr>
            </w:pPr>
            <w:r>
              <w:rPr>
                <w:sz w:val="21"/>
              </w:rPr>
              <w:t>1</w:t>
            </w:r>
            <w:r>
              <w:rPr>
                <w:spacing w:val="-2"/>
                <w:sz w:val="21"/>
              </w:rPr>
              <w:t> 日至 </w:t>
            </w:r>
            <w:r>
              <w:rPr>
                <w:sz w:val="21"/>
              </w:rPr>
              <w:t>2018</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55"/>
              <w:ind w:right="97"/>
              <w:jc w:val="right"/>
              <w:rPr>
                <w:sz w:val="21"/>
              </w:rPr>
            </w:pPr>
            <w:r>
              <w:rPr>
                <w:sz w:val="21"/>
              </w:rPr>
              <w:t>-0.42%</w:t>
            </w:r>
          </w:p>
        </w:tc>
        <w:tc>
          <w:tcPr>
            <w:tcW w:w="1193" w:type="dxa"/>
          </w:tcPr>
          <w:p>
            <w:pPr>
              <w:pStyle w:val="TableParagraph"/>
              <w:rPr>
                <w:sz w:val="20"/>
              </w:rPr>
            </w:pPr>
          </w:p>
          <w:p>
            <w:pPr>
              <w:pStyle w:val="TableParagraph"/>
              <w:spacing w:before="155"/>
              <w:ind w:right="96"/>
              <w:jc w:val="right"/>
              <w:rPr>
                <w:sz w:val="21"/>
              </w:rPr>
            </w:pPr>
            <w:r>
              <w:rPr>
                <w:sz w:val="21"/>
              </w:rPr>
              <w:t>0.56%</w:t>
            </w:r>
          </w:p>
        </w:tc>
        <w:tc>
          <w:tcPr>
            <w:tcW w:w="1300" w:type="dxa"/>
          </w:tcPr>
          <w:p>
            <w:pPr>
              <w:pStyle w:val="TableParagraph"/>
              <w:rPr>
                <w:sz w:val="20"/>
              </w:rPr>
            </w:pPr>
          </w:p>
          <w:p>
            <w:pPr>
              <w:pStyle w:val="TableParagraph"/>
              <w:spacing w:before="155"/>
              <w:ind w:right="97"/>
              <w:jc w:val="right"/>
              <w:rPr>
                <w:sz w:val="21"/>
              </w:rPr>
            </w:pPr>
            <w:r>
              <w:rPr>
                <w:sz w:val="21"/>
              </w:rPr>
              <w:t>4.30%</w:t>
            </w:r>
          </w:p>
        </w:tc>
        <w:tc>
          <w:tcPr>
            <w:tcW w:w="1544" w:type="dxa"/>
          </w:tcPr>
          <w:p>
            <w:pPr>
              <w:pStyle w:val="TableParagraph"/>
              <w:rPr>
                <w:sz w:val="20"/>
              </w:rPr>
            </w:pPr>
          </w:p>
          <w:p>
            <w:pPr>
              <w:pStyle w:val="TableParagraph"/>
              <w:spacing w:before="155"/>
              <w:ind w:right="96"/>
              <w:jc w:val="right"/>
              <w:rPr>
                <w:sz w:val="21"/>
              </w:rPr>
            </w:pPr>
            <w:r>
              <w:rPr>
                <w:sz w:val="21"/>
              </w:rPr>
              <w:t>0.48%</w:t>
            </w:r>
          </w:p>
        </w:tc>
        <w:tc>
          <w:tcPr>
            <w:tcW w:w="992" w:type="dxa"/>
          </w:tcPr>
          <w:p>
            <w:pPr>
              <w:pStyle w:val="TableParagraph"/>
              <w:rPr>
                <w:sz w:val="20"/>
              </w:rPr>
            </w:pPr>
          </w:p>
          <w:p>
            <w:pPr>
              <w:pStyle w:val="TableParagraph"/>
              <w:spacing w:before="155"/>
              <w:ind w:left="234" w:right="78"/>
              <w:jc w:val="center"/>
              <w:rPr>
                <w:sz w:val="21"/>
              </w:rPr>
            </w:pPr>
            <w:r>
              <w:rPr>
                <w:sz w:val="21"/>
              </w:rPr>
              <w:t>-4.72%</w:t>
            </w:r>
          </w:p>
        </w:tc>
        <w:tc>
          <w:tcPr>
            <w:tcW w:w="1030" w:type="dxa"/>
          </w:tcPr>
          <w:p>
            <w:pPr>
              <w:pStyle w:val="TableParagraph"/>
              <w:rPr>
                <w:sz w:val="20"/>
              </w:rPr>
            </w:pPr>
          </w:p>
          <w:p>
            <w:pPr>
              <w:pStyle w:val="TableParagraph"/>
              <w:spacing w:before="155"/>
              <w:ind w:right="97"/>
              <w:jc w:val="right"/>
              <w:rPr>
                <w:sz w:val="21"/>
              </w:rPr>
            </w:pPr>
            <w:r>
              <w:rPr>
                <w:sz w:val="21"/>
              </w:rPr>
              <w:t>0.08%</w:t>
            </w:r>
          </w:p>
        </w:tc>
      </w:tr>
      <w:tr>
        <w:trPr>
          <w:trHeight w:val="1225" w:hRule="atLeast"/>
        </w:trPr>
        <w:tc>
          <w:tcPr>
            <w:tcW w:w="1418" w:type="dxa"/>
          </w:tcPr>
          <w:p>
            <w:pPr>
              <w:pStyle w:val="TableParagraph"/>
              <w:spacing w:before="3"/>
              <w:ind w:left="108"/>
              <w:rPr>
                <w:sz w:val="21"/>
              </w:rPr>
            </w:pPr>
            <w:r>
              <w:rPr>
                <w:sz w:val="21"/>
              </w:rPr>
              <w:t>2019</w:t>
            </w:r>
            <w:r>
              <w:rPr>
                <w:spacing w:val="-25"/>
                <w:sz w:val="21"/>
              </w:rPr>
              <w:t> 年 </w:t>
            </w:r>
            <w:r>
              <w:rPr>
                <w:sz w:val="21"/>
              </w:rPr>
              <w:t>1</w:t>
            </w:r>
            <w:r>
              <w:rPr>
                <w:spacing w:val="-19"/>
                <w:sz w:val="21"/>
              </w:rPr>
              <w:t> 月</w:t>
            </w:r>
          </w:p>
          <w:p>
            <w:pPr>
              <w:pStyle w:val="TableParagraph"/>
              <w:spacing w:before="139"/>
              <w:ind w:left="108"/>
              <w:rPr>
                <w:sz w:val="21"/>
              </w:rPr>
            </w:pPr>
            <w:r>
              <w:rPr>
                <w:sz w:val="21"/>
              </w:rPr>
              <w:t>1</w:t>
            </w:r>
            <w:r>
              <w:rPr>
                <w:spacing w:val="-2"/>
                <w:sz w:val="21"/>
              </w:rPr>
              <w:t> 日至 </w:t>
            </w:r>
            <w:r>
              <w:rPr>
                <w:sz w:val="21"/>
              </w:rPr>
              <w:t>2019</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0" w:type="dxa"/>
          </w:tcPr>
          <w:p>
            <w:pPr>
              <w:pStyle w:val="TableParagraph"/>
              <w:rPr>
                <w:sz w:val="20"/>
              </w:rPr>
            </w:pPr>
          </w:p>
          <w:p>
            <w:pPr>
              <w:pStyle w:val="TableParagraph"/>
              <w:spacing w:before="155"/>
              <w:ind w:right="97"/>
              <w:jc w:val="right"/>
              <w:rPr>
                <w:sz w:val="21"/>
              </w:rPr>
            </w:pPr>
            <w:r>
              <w:rPr>
                <w:sz w:val="21"/>
              </w:rPr>
              <w:t>20.08%</w:t>
            </w:r>
          </w:p>
        </w:tc>
        <w:tc>
          <w:tcPr>
            <w:tcW w:w="1193" w:type="dxa"/>
          </w:tcPr>
          <w:p>
            <w:pPr>
              <w:pStyle w:val="TableParagraph"/>
              <w:rPr>
                <w:sz w:val="20"/>
              </w:rPr>
            </w:pPr>
          </w:p>
          <w:p>
            <w:pPr>
              <w:pStyle w:val="TableParagraph"/>
              <w:spacing w:before="155"/>
              <w:ind w:right="96"/>
              <w:jc w:val="right"/>
              <w:rPr>
                <w:sz w:val="21"/>
              </w:rPr>
            </w:pPr>
            <w:r>
              <w:rPr>
                <w:sz w:val="21"/>
              </w:rPr>
              <w:t>1.14%</w:t>
            </w:r>
          </w:p>
        </w:tc>
        <w:tc>
          <w:tcPr>
            <w:tcW w:w="1300" w:type="dxa"/>
          </w:tcPr>
          <w:p>
            <w:pPr>
              <w:pStyle w:val="TableParagraph"/>
              <w:rPr>
                <w:sz w:val="20"/>
              </w:rPr>
            </w:pPr>
          </w:p>
          <w:p>
            <w:pPr>
              <w:pStyle w:val="TableParagraph"/>
              <w:spacing w:before="155"/>
              <w:ind w:right="97"/>
              <w:jc w:val="right"/>
              <w:rPr>
                <w:sz w:val="21"/>
              </w:rPr>
            </w:pPr>
            <w:r>
              <w:rPr>
                <w:sz w:val="21"/>
              </w:rPr>
              <w:t>24.88%</w:t>
            </w:r>
          </w:p>
        </w:tc>
        <w:tc>
          <w:tcPr>
            <w:tcW w:w="1544" w:type="dxa"/>
          </w:tcPr>
          <w:p>
            <w:pPr>
              <w:pStyle w:val="TableParagraph"/>
              <w:rPr>
                <w:sz w:val="20"/>
              </w:rPr>
            </w:pPr>
          </w:p>
          <w:p>
            <w:pPr>
              <w:pStyle w:val="TableParagraph"/>
              <w:spacing w:before="155"/>
              <w:ind w:right="96"/>
              <w:jc w:val="right"/>
              <w:rPr>
                <w:sz w:val="21"/>
              </w:rPr>
            </w:pPr>
            <w:r>
              <w:rPr>
                <w:sz w:val="21"/>
              </w:rPr>
              <w:t>0.85%</w:t>
            </w:r>
          </w:p>
        </w:tc>
        <w:tc>
          <w:tcPr>
            <w:tcW w:w="992" w:type="dxa"/>
          </w:tcPr>
          <w:p>
            <w:pPr>
              <w:pStyle w:val="TableParagraph"/>
              <w:rPr>
                <w:sz w:val="20"/>
              </w:rPr>
            </w:pPr>
          </w:p>
          <w:p>
            <w:pPr>
              <w:pStyle w:val="TableParagraph"/>
              <w:spacing w:before="155"/>
              <w:ind w:left="234" w:right="78"/>
              <w:jc w:val="center"/>
              <w:rPr>
                <w:sz w:val="21"/>
              </w:rPr>
            </w:pPr>
            <w:r>
              <w:rPr>
                <w:sz w:val="21"/>
              </w:rPr>
              <w:t>-4.80%</w:t>
            </w:r>
          </w:p>
        </w:tc>
        <w:tc>
          <w:tcPr>
            <w:tcW w:w="1030" w:type="dxa"/>
          </w:tcPr>
          <w:p>
            <w:pPr>
              <w:pStyle w:val="TableParagraph"/>
              <w:rPr>
                <w:sz w:val="20"/>
              </w:rPr>
            </w:pPr>
          </w:p>
          <w:p>
            <w:pPr>
              <w:pStyle w:val="TableParagraph"/>
              <w:spacing w:before="155"/>
              <w:ind w:right="97"/>
              <w:jc w:val="right"/>
              <w:rPr>
                <w:sz w:val="21"/>
              </w:rPr>
            </w:pPr>
            <w:r>
              <w:rPr>
                <w:sz w:val="21"/>
              </w:rPr>
              <w:t>0.29%</w:t>
            </w:r>
          </w:p>
        </w:tc>
      </w:tr>
      <w:tr>
        <w:trPr>
          <w:trHeight w:val="1633" w:hRule="atLeast"/>
        </w:trPr>
        <w:tc>
          <w:tcPr>
            <w:tcW w:w="1418" w:type="dxa"/>
          </w:tcPr>
          <w:p>
            <w:pPr>
              <w:pStyle w:val="TableParagraph"/>
              <w:spacing w:line="364" w:lineRule="auto" w:before="3"/>
              <w:ind w:left="108" w:right="95"/>
              <w:jc w:val="both"/>
              <w:rPr>
                <w:sz w:val="21"/>
              </w:rPr>
            </w:pPr>
            <w:r>
              <w:rPr>
                <w:spacing w:val="27"/>
                <w:sz w:val="21"/>
              </w:rPr>
              <w:t>自基金合同</w:t>
            </w:r>
            <w:r>
              <w:rPr>
                <w:spacing w:val="-1"/>
                <w:sz w:val="21"/>
              </w:rPr>
              <w:t>生 效 日 至2019</w:t>
            </w:r>
            <w:r>
              <w:rPr>
                <w:spacing w:val="-20"/>
                <w:sz w:val="21"/>
              </w:rPr>
              <w:t> 年</w:t>
            </w:r>
            <w:r>
              <w:rPr>
                <w:sz w:val="21"/>
              </w:rPr>
              <w:t>12</w:t>
            </w:r>
            <w:r>
              <w:rPr>
                <w:spacing w:val="-36"/>
                <w:sz w:val="21"/>
              </w:rPr>
              <w:t> 月</w:t>
            </w:r>
          </w:p>
          <w:p>
            <w:pPr>
              <w:pStyle w:val="TableParagraph"/>
              <w:spacing w:line="268" w:lineRule="exact"/>
              <w:ind w:left="108"/>
              <w:rPr>
                <w:sz w:val="21"/>
              </w:rPr>
            </w:pPr>
            <w:r>
              <w:rPr>
                <w:sz w:val="21"/>
              </w:rPr>
              <w:t>31 日</w:t>
            </w:r>
          </w:p>
        </w:tc>
        <w:tc>
          <w:tcPr>
            <w:tcW w:w="1350" w:type="dxa"/>
          </w:tcPr>
          <w:p>
            <w:pPr>
              <w:pStyle w:val="TableParagraph"/>
              <w:rPr>
                <w:sz w:val="20"/>
              </w:rPr>
            </w:pPr>
          </w:p>
          <w:p>
            <w:pPr>
              <w:pStyle w:val="TableParagraph"/>
              <w:spacing w:before="1"/>
              <w:rPr>
                <w:sz w:val="28"/>
              </w:rPr>
            </w:pPr>
          </w:p>
          <w:p>
            <w:pPr>
              <w:pStyle w:val="TableParagraph"/>
              <w:ind w:right="97"/>
              <w:jc w:val="right"/>
              <w:rPr>
                <w:sz w:val="21"/>
              </w:rPr>
            </w:pPr>
            <w:r>
              <w:rPr>
                <w:sz w:val="21"/>
              </w:rPr>
              <w:t>-14.50%</w:t>
            </w:r>
          </w:p>
        </w:tc>
        <w:tc>
          <w:tcPr>
            <w:tcW w:w="1193" w:type="dxa"/>
          </w:tcPr>
          <w:p>
            <w:pPr>
              <w:pStyle w:val="TableParagraph"/>
              <w:rPr>
                <w:sz w:val="20"/>
              </w:rPr>
            </w:pPr>
          </w:p>
          <w:p>
            <w:pPr>
              <w:pStyle w:val="TableParagraph"/>
              <w:spacing w:before="1"/>
              <w:rPr>
                <w:sz w:val="28"/>
              </w:rPr>
            </w:pPr>
          </w:p>
          <w:p>
            <w:pPr>
              <w:pStyle w:val="TableParagraph"/>
              <w:ind w:right="96"/>
              <w:jc w:val="right"/>
              <w:rPr>
                <w:sz w:val="21"/>
              </w:rPr>
            </w:pPr>
            <w:r>
              <w:rPr>
                <w:sz w:val="21"/>
              </w:rPr>
              <w:t>0.87%</w:t>
            </w:r>
          </w:p>
        </w:tc>
        <w:tc>
          <w:tcPr>
            <w:tcW w:w="1300" w:type="dxa"/>
          </w:tcPr>
          <w:p>
            <w:pPr>
              <w:pStyle w:val="TableParagraph"/>
              <w:rPr>
                <w:sz w:val="20"/>
              </w:rPr>
            </w:pPr>
          </w:p>
          <w:p>
            <w:pPr>
              <w:pStyle w:val="TableParagraph"/>
              <w:spacing w:before="1"/>
              <w:rPr>
                <w:sz w:val="28"/>
              </w:rPr>
            </w:pPr>
          </w:p>
          <w:p>
            <w:pPr>
              <w:pStyle w:val="TableParagraph"/>
              <w:ind w:right="97"/>
              <w:jc w:val="right"/>
              <w:rPr>
                <w:sz w:val="21"/>
              </w:rPr>
            </w:pPr>
            <w:r>
              <w:rPr>
                <w:sz w:val="21"/>
              </w:rPr>
              <w:t>11.97%</w:t>
            </w:r>
          </w:p>
        </w:tc>
        <w:tc>
          <w:tcPr>
            <w:tcW w:w="1544" w:type="dxa"/>
          </w:tcPr>
          <w:p>
            <w:pPr>
              <w:pStyle w:val="TableParagraph"/>
              <w:rPr>
                <w:sz w:val="20"/>
              </w:rPr>
            </w:pPr>
          </w:p>
          <w:p>
            <w:pPr>
              <w:pStyle w:val="TableParagraph"/>
              <w:spacing w:before="1"/>
              <w:rPr>
                <w:sz w:val="28"/>
              </w:rPr>
            </w:pPr>
          </w:p>
          <w:p>
            <w:pPr>
              <w:pStyle w:val="TableParagraph"/>
              <w:ind w:right="96"/>
              <w:jc w:val="right"/>
              <w:rPr>
                <w:sz w:val="21"/>
              </w:rPr>
            </w:pPr>
            <w:r>
              <w:rPr>
                <w:sz w:val="21"/>
              </w:rPr>
              <w:t>1.00%</w:t>
            </w:r>
          </w:p>
        </w:tc>
        <w:tc>
          <w:tcPr>
            <w:tcW w:w="992" w:type="dxa"/>
          </w:tcPr>
          <w:p>
            <w:pPr>
              <w:pStyle w:val="TableParagraph"/>
              <w:rPr>
                <w:sz w:val="20"/>
              </w:rPr>
            </w:pPr>
          </w:p>
          <w:p>
            <w:pPr>
              <w:pStyle w:val="TableParagraph"/>
              <w:spacing w:before="1"/>
              <w:rPr>
                <w:sz w:val="28"/>
              </w:rPr>
            </w:pPr>
          </w:p>
          <w:p>
            <w:pPr>
              <w:pStyle w:val="TableParagraph"/>
              <w:ind w:left="129" w:right="78"/>
              <w:jc w:val="center"/>
              <w:rPr>
                <w:sz w:val="21"/>
              </w:rPr>
            </w:pPr>
            <w:r>
              <w:rPr>
                <w:sz w:val="21"/>
              </w:rPr>
              <w:t>-26.47%</w:t>
            </w:r>
          </w:p>
        </w:tc>
        <w:tc>
          <w:tcPr>
            <w:tcW w:w="1030" w:type="dxa"/>
          </w:tcPr>
          <w:p>
            <w:pPr>
              <w:pStyle w:val="TableParagraph"/>
              <w:rPr>
                <w:sz w:val="20"/>
              </w:rPr>
            </w:pPr>
          </w:p>
          <w:p>
            <w:pPr>
              <w:pStyle w:val="TableParagraph"/>
              <w:spacing w:before="1"/>
              <w:rPr>
                <w:sz w:val="28"/>
              </w:rPr>
            </w:pPr>
          </w:p>
          <w:p>
            <w:pPr>
              <w:pStyle w:val="TableParagraph"/>
              <w:ind w:right="97"/>
              <w:jc w:val="right"/>
              <w:rPr>
                <w:sz w:val="21"/>
              </w:rPr>
            </w:pPr>
            <w:r>
              <w:rPr>
                <w:sz w:val="21"/>
              </w:rPr>
              <w:t>-0.13%</w:t>
            </w:r>
          </w:p>
        </w:tc>
      </w:tr>
    </w:tbl>
    <w:p>
      <w:pPr>
        <w:pStyle w:val="BodyText"/>
        <w:spacing w:line="364" w:lineRule="auto" w:before="3"/>
        <w:ind w:left="376" w:right="781" w:firstLine="420"/>
      </w:pPr>
      <w:r>
        <w:rPr/>
        <w:t>2、易方达黄金主题（QDII-LOF-FOF）C 类基金份额净值增长率与同期业绩比较基准收益率比较</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351"/>
        <w:gridCol w:w="1194"/>
        <w:gridCol w:w="1301"/>
        <w:gridCol w:w="1545"/>
        <w:gridCol w:w="993"/>
        <w:gridCol w:w="1024"/>
      </w:tblGrid>
      <w:tr>
        <w:trPr>
          <w:trHeight w:val="1225" w:hRule="atLeast"/>
        </w:trPr>
        <w:tc>
          <w:tcPr>
            <w:tcW w:w="1419" w:type="dxa"/>
          </w:tcPr>
          <w:p>
            <w:pPr>
              <w:pStyle w:val="TableParagraph"/>
              <w:rPr>
                <w:sz w:val="20"/>
              </w:rPr>
            </w:pPr>
          </w:p>
          <w:p>
            <w:pPr>
              <w:pStyle w:val="TableParagraph"/>
              <w:spacing w:before="151"/>
              <w:ind w:left="479" w:right="469"/>
              <w:jc w:val="center"/>
              <w:rPr>
                <w:sz w:val="21"/>
              </w:rPr>
            </w:pPr>
            <w:r>
              <w:rPr>
                <w:sz w:val="21"/>
              </w:rPr>
              <w:t>阶段</w:t>
            </w:r>
          </w:p>
        </w:tc>
        <w:tc>
          <w:tcPr>
            <w:tcW w:w="1351" w:type="dxa"/>
          </w:tcPr>
          <w:p>
            <w:pPr>
              <w:pStyle w:val="TableParagraph"/>
              <w:spacing w:line="268" w:lineRule="exact"/>
              <w:ind w:left="130" w:right="121"/>
              <w:jc w:val="center"/>
              <w:rPr>
                <w:sz w:val="21"/>
              </w:rPr>
            </w:pPr>
            <w:r>
              <w:rPr>
                <w:sz w:val="21"/>
              </w:rPr>
              <w:t>净值增长率</w:t>
            </w:r>
          </w:p>
          <w:p>
            <w:pPr>
              <w:pStyle w:val="TableParagraph"/>
              <w:spacing w:before="139"/>
              <w:ind w:left="9"/>
              <w:jc w:val="center"/>
              <w:rPr>
                <w:sz w:val="21"/>
              </w:rPr>
            </w:pPr>
            <w:r>
              <w:rPr>
                <w:sz w:val="21"/>
              </w:rPr>
              <w:t>①</w:t>
            </w:r>
          </w:p>
        </w:tc>
        <w:tc>
          <w:tcPr>
            <w:tcW w:w="1194" w:type="dxa"/>
          </w:tcPr>
          <w:p>
            <w:pPr>
              <w:pStyle w:val="TableParagraph"/>
              <w:spacing w:line="364" w:lineRule="auto"/>
              <w:ind w:left="177" w:right="166"/>
              <w:jc w:val="center"/>
              <w:rPr>
                <w:sz w:val="21"/>
              </w:rPr>
            </w:pPr>
            <w:r>
              <w:rPr>
                <w:sz w:val="21"/>
              </w:rPr>
              <w:t>净值增长率标准差</w:t>
            </w:r>
          </w:p>
          <w:p>
            <w:pPr>
              <w:pStyle w:val="TableParagraph"/>
              <w:spacing w:line="268" w:lineRule="exact"/>
              <w:ind w:left="10"/>
              <w:jc w:val="center"/>
              <w:rPr>
                <w:sz w:val="21"/>
              </w:rPr>
            </w:pPr>
            <w:r>
              <w:rPr>
                <w:sz w:val="21"/>
              </w:rPr>
              <w:t>②</w:t>
            </w:r>
          </w:p>
        </w:tc>
        <w:tc>
          <w:tcPr>
            <w:tcW w:w="1301" w:type="dxa"/>
          </w:tcPr>
          <w:p>
            <w:pPr>
              <w:pStyle w:val="TableParagraph"/>
              <w:spacing w:line="364" w:lineRule="auto"/>
              <w:ind w:left="125" w:right="113"/>
              <w:jc w:val="center"/>
              <w:rPr>
                <w:sz w:val="21"/>
              </w:rPr>
            </w:pPr>
            <w:r>
              <w:rPr>
                <w:sz w:val="21"/>
              </w:rPr>
              <w:t>业绩比较基准收益率</w:t>
            </w:r>
          </w:p>
          <w:p>
            <w:pPr>
              <w:pStyle w:val="TableParagraph"/>
              <w:spacing w:line="268" w:lineRule="exact"/>
              <w:ind w:left="9"/>
              <w:jc w:val="center"/>
              <w:rPr>
                <w:sz w:val="21"/>
              </w:rPr>
            </w:pPr>
            <w:r>
              <w:rPr>
                <w:sz w:val="21"/>
              </w:rPr>
              <w:t>③</w:t>
            </w:r>
          </w:p>
        </w:tc>
        <w:tc>
          <w:tcPr>
            <w:tcW w:w="1545" w:type="dxa"/>
          </w:tcPr>
          <w:p>
            <w:pPr>
              <w:pStyle w:val="TableParagraph"/>
              <w:spacing w:line="364" w:lineRule="auto"/>
              <w:ind w:left="142" w:right="130"/>
              <w:jc w:val="center"/>
              <w:rPr>
                <w:sz w:val="21"/>
              </w:rPr>
            </w:pPr>
            <w:r>
              <w:rPr>
                <w:sz w:val="21"/>
              </w:rPr>
              <w:t>业绩比较基准收益率标准差</w:t>
            </w:r>
          </w:p>
          <w:p>
            <w:pPr>
              <w:pStyle w:val="TableParagraph"/>
              <w:spacing w:line="268" w:lineRule="exact"/>
              <w:ind w:left="10"/>
              <w:jc w:val="center"/>
              <w:rPr>
                <w:sz w:val="21"/>
              </w:rPr>
            </w:pPr>
            <w:r>
              <w:rPr>
                <w:sz w:val="21"/>
              </w:rPr>
              <w:t>④</w:t>
            </w:r>
          </w:p>
        </w:tc>
        <w:tc>
          <w:tcPr>
            <w:tcW w:w="993" w:type="dxa"/>
          </w:tcPr>
          <w:p>
            <w:pPr>
              <w:pStyle w:val="TableParagraph"/>
              <w:rPr>
                <w:sz w:val="20"/>
              </w:rPr>
            </w:pPr>
          </w:p>
          <w:p>
            <w:pPr>
              <w:pStyle w:val="TableParagraph"/>
              <w:spacing w:before="151"/>
              <w:ind w:left="234"/>
              <w:rPr>
                <w:sz w:val="21"/>
              </w:rPr>
            </w:pPr>
            <w:r>
              <w:rPr>
                <w:sz w:val="21"/>
              </w:rPr>
              <w:t>①-③</w:t>
            </w:r>
          </w:p>
        </w:tc>
        <w:tc>
          <w:tcPr>
            <w:tcW w:w="1024" w:type="dxa"/>
          </w:tcPr>
          <w:p>
            <w:pPr>
              <w:pStyle w:val="TableParagraph"/>
              <w:rPr>
                <w:sz w:val="20"/>
              </w:rPr>
            </w:pPr>
          </w:p>
          <w:p>
            <w:pPr>
              <w:pStyle w:val="TableParagraph"/>
              <w:spacing w:before="151"/>
              <w:ind w:left="249"/>
              <w:rPr>
                <w:sz w:val="21"/>
              </w:rPr>
            </w:pPr>
            <w:r>
              <w:rPr>
                <w:sz w:val="21"/>
              </w:rPr>
              <w:t>②-④</w:t>
            </w:r>
          </w:p>
        </w:tc>
      </w:tr>
      <w:tr>
        <w:trPr>
          <w:trHeight w:val="1225" w:hRule="atLeast"/>
        </w:trPr>
        <w:tc>
          <w:tcPr>
            <w:tcW w:w="1419" w:type="dxa"/>
          </w:tcPr>
          <w:p>
            <w:pPr>
              <w:pStyle w:val="TableParagraph"/>
              <w:spacing w:line="268" w:lineRule="exact"/>
              <w:ind w:left="108"/>
              <w:rPr>
                <w:sz w:val="21"/>
              </w:rPr>
            </w:pPr>
            <w:r>
              <w:rPr>
                <w:sz w:val="21"/>
              </w:rPr>
              <w:t>2019</w:t>
            </w:r>
            <w:r>
              <w:rPr>
                <w:spacing w:val="-20"/>
                <w:sz w:val="21"/>
              </w:rPr>
              <w:t> 年</w:t>
            </w:r>
            <w:r>
              <w:rPr>
                <w:sz w:val="21"/>
              </w:rPr>
              <w:t>10</w:t>
            </w:r>
            <w:r>
              <w:rPr>
                <w:spacing w:val="-36"/>
                <w:sz w:val="21"/>
              </w:rPr>
              <w:t> 月</w:t>
            </w:r>
          </w:p>
          <w:p>
            <w:pPr>
              <w:pStyle w:val="TableParagraph"/>
              <w:spacing w:before="139"/>
              <w:ind w:left="108"/>
              <w:rPr>
                <w:sz w:val="21"/>
              </w:rPr>
            </w:pPr>
            <w:r>
              <w:rPr>
                <w:sz w:val="21"/>
              </w:rPr>
              <w:t>14</w:t>
            </w:r>
            <w:r>
              <w:rPr>
                <w:spacing w:val="-28"/>
                <w:sz w:val="21"/>
              </w:rPr>
              <w:t> 日至 </w:t>
            </w:r>
            <w:r>
              <w:rPr>
                <w:sz w:val="21"/>
              </w:rPr>
              <w:t>2019</w:t>
            </w:r>
          </w:p>
          <w:p>
            <w:pPr>
              <w:pStyle w:val="TableParagraph"/>
              <w:spacing w:before="140"/>
              <w:ind w:left="108"/>
              <w:rPr>
                <w:sz w:val="21"/>
              </w:rPr>
            </w:pPr>
            <w:r>
              <w:rPr>
                <w:spacing w:val="-34"/>
                <w:sz w:val="21"/>
              </w:rPr>
              <w:t>年 </w:t>
            </w:r>
            <w:r>
              <w:rPr>
                <w:sz w:val="21"/>
              </w:rPr>
              <w:t>12</w:t>
            </w:r>
            <w:r>
              <w:rPr>
                <w:spacing w:val="-45"/>
                <w:sz w:val="21"/>
              </w:rPr>
              <w:t> 月 </w:t>
            </w:r>
            <w:r>
              <w:rPr>
                <w:sz w:val="21"/>
              </w:rPr>
              <w:t>31</w:t>
            </w:r>
            <w:r>
              <w:rPr>
                <w:spacing w:val="-34"/>
                <w:sz w:val="21"/>
              </w:rPr>
              <w:t> 日</w:t>
            </w:r>
          </w:p>
        </w:tc>
        <w:tc>
          <w:tcPr>
            <w:tcW w:w="1351" w:type="dxa"/>
          </w:tcPr>
          <w:p>
            <w:pPr>
              <w:pStyle w:val="TableParagraph"/>
              <w:rPr>
                <w:sz w:val="20"/>
              </w:rPr>
            </w:pPr>
          </w:p>
          <w:p>
            <w:pPr>
              <w:pStyle w:val="TableParagraph"/>
              <w:spacing w:before="151"/>
              <w:ind w:left="717"/>
              <w:rPr>
                <w:sz w:val="21"/>
              </w:rPr>
            </w:pPr>
            <w:r>
              <w:rPr>
                <w:sz w:val="21"/>
              </w:rPr>
              <w:t>6.21%</w:t>
            </w:r>
          </w:p>
        </w:tc>
        <w:tc>
          <w:tcPr>
            <w:tcW w:w="1194" w:type="dxa"/>
          </w:tcPr>
          <w:p>
            <w:pPr>
              <w:pStyle w:val="TableParagraph"/>
              <w:rPr>
                <w:sz w:val="20"/>
              </w:rPr>
            </w:pPr>
          </w:p>
          <w:p>
            <w:pPr>
              <w:pStyle w:val="TableParagraph"/>
              <w:spacing w:before="151"/>
              <w:ind w:left="560"/>
              <w:rPr>
                <w:sz w:val="21"/>
              </w:rPr>
            </w:pPr>
            <w:r>
              <w:rPr>
                <w:sz w:val="21"/>
              </w:rPr>
              <w:t>1.36%</w:t>
            </w:r>
          </w:p>
        </w:tc>
        <w:tc>
          <w:tcPr>
            <w:tcW w:w="1301" w:type="dxa"/>
          </w:tcPr>
          <w:p>
            <w:pPr>
              <w:pStyle w:val="TableParagraph"/>
              <w:rPr>
                <w:sz w:val="20"/>
              </w:rPr>
            </w:pPr>
          </w:p>
          <w:p>
            <w:pPr>
              <w:pStyle w:val="TableParagraph"/>
              <w:spacing w:before="151"/>
              <w:ind w:left="667"/>
              <w:rPr>
                <w:sz w:val="21"/>
              </w:rPr>
            </w:pPr>
            <w:r>
              <w:rPr>
                <w:sz w:val="21"/>
              </w:rPr>
              <w:t>5.86%</w:t>
            </w:r>
          </w:p>
        </w:tc>
        <w:tc>
          <w:tcPr>
            <w:tcW w:w="1545" w:type="dxa"/>
          </w:tcPr>
          <w:p>
            <w:pPr>
              <w:pStyle w:val="TableParagraph"/>
              <w:rPr>
                <w:sz w:val="20"/>
              </w:rPr>
            </w:pPr>
          </w:p>
          <w:p>
            <w:pPr>
              <w:pStyle w:val="TableParagraph"/>
              <w:spacing w:before="151"/>
              <w:ind w:left="912"/>
              <w:rPr>
                <w:sz w:val="21"/>
              </w:rPr>
            </w:pPr>
            <w:r>
              <w:rPr>
                <w:sz w:val="21"/>
              </w:rPr>
              <w:t>0.86%</w:t>
            </w:r>
          </w:p>
        </w:tc>
        <w:tc>
          <w:tcPr>
            <w:tcW w:w="993" w:type="dxa"/>
          </w:tcPr>
          <w:p>
            <w:pPr>
              <w:pStyle w:val="TableParagraph"/>
              <w:rPr>
                <w:sz w:val="20"/>
              </w:rPr>
            </w:pPr>
          </w:p>
          <w:p>
            <w:pPr>
              <w:pStyle w:val="TableParagraph"/>
              <w:spacing w:before="151"/>
              <w:ind w:left="360"/>
              <w:rPr>
                <w:sz w:val="21"/>
              </w:rPr>
            </w:pPr>
            <w:r>
              <w:rPr>
                <w:sz w:val="21"/>
              </w:rPr>
              <w:t>0.35%</w:t>
            </w:r>
          </w:p>
        </w:tc>
        <w:tc>
          <w:tcPr>
            <w:tcW w:w="1024" w:type="dxa"/>
          </w:tcPr>
          <w:p>
            <w:pPr>
              <w:pStyle w:val="TableParagraph"/>
              <w:rPr>
                <w:sz w:val="20"/>
              </w:rPr>
            </w:pPr>
          </w:p>
          <w:p>
            <w:pPr>
              <w:pStyle w:val="TableParagraph"/>
              <w:spacing w:before="151"/>
              <w:ind w:left="390"/>
              <w:rPr>
                <w:sz w:val="21"/>
              </w:rPr>
            </w:pPr>
            <w:r>
              <w:rPr>
                <w:sz w:val="21"/>
              </w:rPr>
              <w:t>0.50%</w:t>
            </w:r>
          </w:p>
        </w:tc>
      </w:tr>
    </w:tbl>
    <w:p>
      <w:pPr>
        <w:pStyle w:val="BodyText"/>
        <w:spacing w:before="97"/>
      </w:pPr>
      <w:r>
        <w:rPr/>
        <w:t>注：1、同期业绩比较基准已经转换为以人民币计价。</w:t>
      </w:r>
    </w:p>
    <w:p>
      <w:pPr>
        <w:pStyle w:val="BodyText"/>
        <w:spacing w:before="6"/>
        <w:ind w:left="0"/>
        <w:rPr>
          <w:sz w:val="15"/>
        </w:rPr>
      </w:pPr>
    </w:p>
    <w:p>
      <w:pPr>
        <w:pStyle w:val="BodyText"/>
        <w:spacing w:line="417" w:lineRule="auto" w:before="1"/>
        <w:ind w:left="376" w:right="918" w:firstLine="420"/>
      </w:pPr>
      <w:r>
        <w:rPr/>
        <w:t>2</w:t>
      </w:r>
      <w:r>
        <w:rPr>
          <w:spacing w:val="-2"/>
        </w:rPr>
        <w:t>、上述净值表现数据按照《证券投资基金信息披露编报规则第 </w:t>
      </w:r>
      <w:r>
        <w:rPr/>
        <w:t>2</w:t>
      </w:r>
      <w:r>
        <w:rPr>
          <w:spacing w:val="-9"/>
        </w:rPr>
        <w:t> 号&lt;基金净值表现的</w:t>
      </w:r>
      <w:r>
        <w:rPr/>
        <w:t>编制及披露&gt;》的相关规定编制。</w:t>
      </w:r>
    </w:p>
    <w:p>
      <w:pPr>
        <w:pStyle w:val="BodyText"/>
        <w:spacing w:line="269" w:lineRule="exact"/>
      </w:pPr>
      <w:r>
        <w:rPr/>
        <w:t>3、自 2019 年 10 月 11 日起，本基金增设 C 类份额类别，份额首次确认日为 2019 年</w:t>
      </w:r>
    </w:p>
    <w:p>
      <w:pPr>
        <w:pStyle w:val="BodyText"/>
        <w:spacing w:before="6"/>
        <w:ind w:left="0"/>
        <w:rPr>
          <w:sz w:val="15"/>
        </w:rPr>
      </w:pPr>
    </w:p>
    <w:p>
      <w:pPr>
        <w:pStyle w:val="BodyText"/>
        <w:ind w:left="376"/>
      </w:pPr>
      <w:r>
        <w:rPr/>
        <w:t>10 月 14 日。</w:t>
      </w:r>
    </w:p>
    <w:p>
      <w:pPr>
        <w:spacing w:after="0"/>
        <w:sectPr>
          <w:pgSz w:w="11910" w:h="16840"/>
          <w:pgMar w:header="0" w:footer="1118" w:top="1420" w:bottom="1380" w:left="1420" w:right="1000"/>
        </w:sectPr>
      </w:pPr>
    </w:p>
    <w:p>
      <w:pPr>
        <w:pStyle w:val="Heading1"/>
        <w:tabs>
          <w:tab w:pos="1260" w:val="left" w:leader="none"/>
        </w:tabs>
      </w:pPr>
      <w:bookmarkStart w:name="_bookmark23" w:id="24"/>
      <w:bookmarkEnd w:id="24"/>
      <w:r>
        <w:rPr>
          <w:b w:val="0"/>
        </w:rPr>
      </w:r>
      <w:r>
        <w:rPr/>
        <w:t>第六节</w:t>
        <w:tab/>
        <w:t>基金管理人</w:t>
      </w:r>
    </w:p>
    <w:p>
      <w:pPr>
        <w:pStyle w:val="Heading2"/>
        <w:tabs>
          <w:tab w:pos="1216" w:val="left" w:leader="none"/>
        </w:tabs>
        <w:spacing w:before="139"/>
      </w:pPr>
      <w:bookmarkStart w:name="_bookmark24" w:id="25"/>
      <w:bookmarkEnd w:id="25"/>
      <w:r>
        <w:rPr/>
      </w:r>
      <w:r>
        <w:rPr/>
        <w:t>一、</w:t>
        <w:tab/>
        <w:t>基金管理人基本情况</w:t>
      </w:r>
    </w:p>
    <w:p>
      <w:pPr>
        <w:pStyle w:val="BodyText"/>
        <w:spacing w:before="185"/>
      </w:pPr>
      <w:r>
        <w:rPr/>
        <w:t>1、基金管理人：易方达基金管理有限公司</w:t>
      </w:r>
    </w:p>
    <w:p>
      <w:pPr>
        <w:pStyle w:val="BodyText"/>
        <w:spacing w:line="364" w:lineRule="auto" w:before="139"/>
        <w:ind w:right="165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009"/>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5694"/>
      </w:pPr>
      <w:r>
        <w:rPr/>
        <w:t>注册资本：13,244.2</w:t>
      </w:r>
      <w:r>
        <w:rPr>
          <w:spacing w:val="-13"/>
        </w:rPr>
        <w:t> 万元人民币</w:t>
      </w:r>
      <w:r>
        <w:rPr/>
        <w:t>联系人：李红枫</w:t>
      </w:r>
    </w:p>
    <w:p>
      <w:pPr>
        <w:pStyle w:val="BodyText"/>
        <w:spacing w:line="364" w:lineRule="auto"/>
        <w:ind w:right="6578"/>
      </w:pPr>
      <w:r>
        <w:rPr>
          <w:spacing w:val="-1"/>
        </w:rPr>
        <w:t>联系电话</w:t>
      </w:r>
      <w:r>
        <w:rPr/>
        <w:t>：4008818088 2、股权结构：</w:t>
      </w:r>
    </w:p>
    <w:tbl>
      <w:tblPr>
        <w:tblW w:w="0" w:type="auto"/>
        <w:jc w:val="left"/>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0"/>
        <w:gridCol w:w="2001"/>
      </w:tblGrid>
      <w:tr>
        <w:trPr>
          <w:trHeight w:val="313" w:hRule="atLeast"/>
        </w:trPr>
        <w:tc>
          <w:tcPr>
            <w:tcW w:w="4400" w:type="dxa"/>
            <w:tcBorders>
              <w:right w:val="dashed" w:sz="4" w:space="0" w:color="000000"/>
            </w:tcBorders>
          </w:tcPr>
          <w:p>
            <w:pPr>
              <w:pStyle w:val="TableParagraph"/>
              <w:spacing w:line="266" w:lineRule="exact"/>
              <w:ind w:left="184" w:right="175"/>
              <w:jc w:val="center"/>
              <w:rPr>
                <w:sz w:val="21"/>
              </w:rPr>
            </w:pPr>
            <w:r>
              <w:rPr>
                <w:sz w:val="21"/>
              </w:rPr>
              <w:t>股东名称</w:t>
            </w:r>
          </w:p>
        </w:tc>
        <w:tc>
          <w:tcPr>
            <w:tcW w:w="2001" w:type="dxa"/>
            <w:tcBorders>
              <w:left w:val="dashed" w:sz="4" w:space="0" w:color="000000"/>
            </w:tcBorders>
          </w:tcPr>
          <w:p>
            <w:pPr>
              <w:pStyle w:val="TableParagraph"/>
              <w:spacing w:line="266" w:lineRule="exact"/>
              <w:ind w:left="508" w:right="498"/>
              <w:jc w:val="center"/>
              <w:rPr>
                <w:sz w:val="21"/>
              </w:rPr>
            </w:pPr>
            <w:r>
              <w:rPr>
                <w:sz w:val="21"/>
              </w:rPr>
              <w:t>出资比例</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广东粤财信托有限公司</w:t>
            </w:r>
          </w:p>
        </w:tc>
        <w:tc>
          <w:tcPr>
            <w:tcW w:w="2001" w:type="dxa"/>
            <w:tcBorders>
              <w:left w:val="dashed" w:sz="4" w:space="0" w:color="000000"/>
            </w:tcBorders>
          </w:tcPr>
          <w:p>
            <w:pPr>
              <w:pStyle w:val="TableParagraph"/>
              <w:spacing w:line="266" w:lineRule="exact"/>
              <w:ind w:left="508" w:right="498"/>
              <w:jc w:val="center"/>
              <w:rPr>
                <w:sz w:val="21"/>
              </w:rPr>
            </w:pPr>
            <w:r>
              <w:rPr>
                <w:sz w:val="21"/>
              </w:rPr>
              <w:t>22.6514％</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广发证券股份有限公司</w:t>
            </w:r>
          </w:p>
        </w:tc>
        <w:tc>
          <w:tcPr>
            <w:tcW w:w="2001" w:type="dxa"/>
            <w:tcBorders>
              <w:left w:val="dashed" w:sz="4" w:space="0" w:color="000000"/>
            </w:tcBorders>
          </w:tcPr>
          <w:p>
            <w:pPr>
              <w:pStyle w:val="TableParagraph"/>
              <w:spacing w:line="266" w:lineRule="exact"/>
              <w:ind w:left="508" w:right="498"/>
              <w:jc w:val="center"/>
              <w:rPr>
                <w:sz w:val="21"/>
              </w:rPr>
            </w:pPr>
            <w:r>
              <w:rPr>
                <w:sz w:val="21"/>
              </w:rPr>
              <w:t>22.6514％</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盈峰控股集团有限公司</w:t>
            </w:r>
          </w:p>
        </w:tc>
        <w:tc>
          <w:tcPr>
            <w:tcW w:w="2001" w:type="dxa"/>
            <w:tcBorders>
              <w:left w:val="dashed" w:sz="4" w:space="0" w:color="000000"/>
            </w:tcBorders>
          </w:tcPr>
          <w:p>
            <w:pPr>
              <w:pStyle w:val="TableParagraph"/>
              <w:spacing w:line="266" w:lineRule="exact"/>
              <w:ind w:left="508" w:right="498"/>
              <w:jc w:val="center"/>
              <w:rPr>
                <w:sz w:val="21"/>
              </w:rPr>
            </w:pPr>
            <w:r>
              <w:rPr>
                <w:sz w:val="21"/>
              </w:rPr>
              <w:t>22.6514％</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广东省广晟资产经营有限公司</w:t>
            </w:r>
          </w:p>
        </w:tc>
        <w:tc>
          <w:tcPr>
            <w:tcW w:w="2001" w:type="dxa"/>
            <w:tcBorders>
              <w:left w:val="dashed" w:sz="4" w:space="0" w:color="000000"/>
            </w:tcBorders>
          </w:tcPr>
          <w:p>
            <w:pPr>
              <w:pStyle w:val="TableParagraph"/>
              <w:spacing w:line="266" w:lineRule="exact"/>
              <w:ind w:left="508" w:right="498"/>
              <w:jc w:val="center"/>
              <w:rPr>
                <w:sz w:val="21"/>
              </w:rPr>
            </w:pPr>
            <w:r>
              <w:rPr>
                <w:sz w:val="21"/>
              </w:rPr>
              <w:t>15.1010％</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广州市广永国有资产经营有限公司</w:t>
            </w:r>
          </w:p>
        </w:tc>
        <w:tc>
          <w:tcPr>
            <w:tcW w:w="2001" w:type="dxa"/>
            <w:tcBorders>
              <w:left w:val="dashed" w:sz="4" w:space="0" w:color="000000"/>
            </w:tcBorders>
          </w:tcPr>
          <w:p>
            <w:pPr>
              <w:pStyle w:val="TableParagraph"/>
              <w:spacing w:line="266" w:lineRule="exact"/>
              <w:ind w:left="508" w:right="498"/>
              <w:jc w:val="center"/>
              <w:rPr>
                <w:sz w:val="21"/>
              </w:rPr>
            </w:pPr>
            <w:r>
              <w:rPr>
                <w:sz w:val="21"/>
              </w:rPr>
              <w:t>7.5505％</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珠海祺荣宝股权投资合伙企业（有限合伙）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1.5087％</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珠海祺泰宝股权投资合伙企业（有限合伙）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1.6205％</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珠海祺丰宝股权投资合伙企业（有限合伙）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1.5309％</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珠海聚莱康股权投资合伙企业（有限合伙）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1.7558％</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珠海聚宁康股权投资合伙企业（有限合伙）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1.4396％</w:t>
            </w:r>
          </w:p>
        </w:tc>
      </w:tr>
      <w:tr>
        <w:trPr>
          <w:trHeight w:val="313" w:hRule="atLeast"/>
        </w:trPr>
        <w:tc>
          <w:tcPr>
            <w:tcW w:w="4400" w:type="dxa"/>
            <w:tcBorders>
              <w:right w:val="dashed" w:sz="4" w:space="0" w:color="000000"/>
            </w:tcBorders>
          </w:tcPr>
          <w:p>
            <w:pPr>
              <w:pStyle w:val="TableParagraph"/>
              <w:spacing w:line="266" w:lineRule="exact"/>
              <w:ind w:left="185" w:right="175"/>
              <w:jc w:val="center"/>
              <w:rPr>
                <w:sz w:val="21"/>
              </w:rPr>
            </w:pPr>
            <w:r>
              <w:rPr>
                <w:sz w:val="21"/>
              </w:rPr>
              <w:t>珠海聚弘康股权投资合伙企业（有限合伙）</w:t>
            </w:r>
          </w:p>
        </w:tc>
        <w:tc>
          <w:tcPr>
            <w:tcW w:w="2001" w:type="dxa"/>
            <w:tcBorders>
              <w:left w:val="dashed" w:sz="4" w:space="0" w:color="000000"/>
            </w:tcBorders>
          </w:tcPr>
          <w:p>
            <w:pPr>
              <w:pStyle w:val="TableParagraph"/>
              <w:spacing w:line="266" w:lineRule="exact"/>
              <w:ind w:left="508" w:right="498"/>
              <w:jc w:val="center"/>
              <w:rPr>
                <w:sz w:val="21"/>
              </w:rPr>
            </w:pPr>
            <w:r>
              <w:rPr>
                <w:sz w:val="21"/>
              </w:rPr>
              <w:t>1.5388％</w:t>
            </w:r>
          </w:p>
        </w:tc>
      </w:tr>
      <w:tr>
        <w:trPr>
          <w:trHeight w:val="313" w:hRule="atLeast"/>
        </w:trPr>
        <w:tc>
          <w:tcPr>
            <w:tcW w:w="4400" w:type="dxa"/>
            <w:tcBorders>
              <w:right w:val="dashed" w:sz="4" w:space="0" w:color="000000"/>
            </w:tcBorders>
          </w:tcPr>
          <w:p>
            <w:pPr>
              <w:pStyle w:val="TableParagraph"/>
              <w:spacing w:line="266" w:lineRule="exact"/>
              <w:ind w:left="184" w:right="175"/>
              <w:jc w:val="center"/>
              <w:rPr>
                <w:sz w:val="21"/>
              </w:rPr>
            </w:pPr>
            <w:r>
              <w:rPr>
                <w:sz w:val="21"/>
              </w:rPr>
              <w:t>总计</w:t>
            </w:r>
          </w:p>
        </w:tc>
        <w:tc>
          <w:tcPr>
            <w:tcW w:w="2001" w:type="dxa"/>
            <w:tcBorders>
              <w:left w:val="dashed" w:sz="4" w:space="0" w:color="000000"/>
            </w:tcBorders>
          </w:tcPr>
          <w:p>
            <w:pPr>
              <w:pStyle w:val="TableParagraph"/>
              <w:spacing w:line="266" w:lineRule="exact"/>
              <w:ind w:left="508" w:right="498"/>
              <w:jc w:val="center"/>
              <w:rPr>
                <w:sz w:val="21"/>
              </w:rPr>
            </w:pPr>
            <w:r>
              <w:rPr>
                <w:sz w:val="21"/>
              </w:rPr>
              <w:t>100％</w:t>
            </w:r>
          </w:p>
        </w:tc>
      </w:tr>
    </w:tbl>
    <w:p>
      <w:pPr>
        <w:pStyle w:val="BodyText"/>
        <w:ind w:left="0"/>
        <w:rPr>
          <w:sz w:val="20"/>
        </w:rPr>
      </w:pPr>
    </w:p>
    <w:p>
      <w:pPr>
        <w:pStyle w:val="Heading2"/>
        <w:tabs>
          <w:tab w:pos="1216" w:val="left" w:leader="none"/>
        </w:tabs>
        <w:spacing w:before="150"/>
      </w:pPr>
      <w:bookmarkStart w:name="_bookmark25" w:id="26"/>
      <w:bookmarkEnd w:id="26"/>
      <w:r>
        <w:rPr/>
      </w:r>
      <w:r>
        <w:rPr/>
        <w:t>二、</w:t>
        <w:tab/>
        <w:t>主要人员情况</w:t>
      </w:r>
    </w:p>
    <w:p>
      <w:pPr>
        <w:pStyle w:val="BodyText"/>
        <w:spacing w:before="184"/>
        <w:ind w:left="798"/>
      </w:pPr>
      <w:r>
        <w:rPr/>
        <w:t>1、董事、监事及高级管理人员</w:t>
      </w:r>
    </w:p>
    <w:p>
      <w:pPr>
        <w:pStyle w:val="BodyText"/>
        <w:spacing w:line="364" w:lineRule="auto" w:before="140"/>
        <w:ind w:left="376" w:right="794" w:firstLine="420"/>
        <w:jc w:val="both"/>
      </w:pPr>
      <w:r>
        <w:rPr>
          <w:spacing w:val="-10"/>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、资产管理部副总经理、总经理；中国平安保险股份有限公司投资管理部副总经理（主持工作</w:t>
      </w:r>
      <w:r>
        <w:rPr>
          <w:spacing w:val="-105"/>
        </w:rPr>
        <w:t>）</w:t>
      </w:r>
      <w:r>
        <w:rPr/>
        <w:t>；全国社会保障基金理事会投资部资产配置处处长、投资部副主任、境外投资部主</w:t>
      </w:r>
      <w:r>
        <w:rPr>
          <w:spacing w:val="-5"/>
        </w:rPr>
        <w:t>任、投资部主任、证券投资部主任。现任易方达基金管理有限公司董事长；易方达国际控股</w:t>
      </w:r>
      <w:r>
        <w:rPr/>
        <w:t>有限公司董事长。</w:t>
      </w:r>
    </w:p>
    <w:p>
      <w:pPr>
        <w:pStyle w:val="BodyText"/>
        <w:spacing w:line="364" w:lineRule="auto"/>
        <w:ind w:left="376" w:right="794" w:firstLine="420"/>
      </w:pPr>
      <w:r>
        <w:rPr>
          <w:spacing w:val="-9"/>
        </w:rPr>
        <w:t>刘晓艳女士，经济学博士，副董事长、总裁。曾任广发证券有限责任公司投资理财部副</w:t>
      </w:r>
      <w:r>
        <w:rPr>
          <w:spacing w:val="-5"/>
        </w:rPr>
        <w:t>经理、基金经理，基金投资理财部副总经理、基金资产管理部总经理；易方达基金管理有限</w:t>
      </w:r>
    </w:p>
    <w:p>
      <w:pPr>
        <w:pStyle w:val="BodyText"/>
        <w:spacing w:line="268" w:lineRule="exact"/>
        <w:ind w:left="376"/>
      </w:pPr>
      <w:r>
        <w:rPr>
          <w:spacing w:val="-8"/>
        </w:rPr>
        <w:t>公司督察员、监察部总经理、市场部总经理、总裁助理、公司副总裁、常务副总裁。现任易</w:t>
      </w:r>
    </w:p>
    <w:p>
      <w:pPr>
        <w:spacing w:after="0" w:line="268" w:lineRule="exact"/>
        <w:sectPr>
          <w:pgSz w:w="11910" w:h="16840"/>
          <w:pgMar w:header="0" w:footer="1118" w:top="1400" w:bottom="1380" w:left="1420" w:right="1000"/>
        </w:sectPr>
      </w:pPr>
    </w:p>
    <w:p>
      <w:pPr>
        <w:pStyle w:val="BodyText"/>
        <w:spacing w:before="45"/>
        <w:ind w:left="376"/>
      </w:pPr>
      <w:r>
        <w:rPr/>
        <w:t>方达基金管理有限公司副董事长、总裁；易方达资产管理（香港）有限公司董事长。</w:t>
      </w:r>
    </w:p>
    <w:p>
      <w:pPr>
        <w:pStyle w:val="BodyText"/>
        <w:spacing w:line="364" w:lineRule="auto" w:before="139"/>
        <w:ind w:left="376" w:right="689" w:firstLine="420"/>
      </w:pPr>
      <w:r>
        <w:rPr/>
        <w:t>周泽群先生，高级管理人员工商管理硕士（EMBA</w:t>
      </w:r>
      <w:r>
        <w:rPr>
          <w:spacing w:val="-105"/>
        </w:rPr>
        <w:t>）</w:t>
      </w:r>
      <w:r>
        <w:rPr/>
        <w:t>，董事。曾任珠海粤财实业有限公司</w:t>
      </w:r>
      <w:r>
        <w:rPr>
          <w:spacing w:val="-7"/>
        </w:rPr>
        <w:t>董事长；粤财控股</w:t>
      </w:r>
      <w:r>
        <w:rPr/>
        <w:t>（北京）</w:t>
      </w:r>
      <w:r>
        <w:rPr>
          <w:spacing w:val="-4"/>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364" w:lineRule="auto"/>
        <w:ind w:left="376" w:right="794"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5"/>
        </w:rPr>
        <w:t>有限公司董事长。现任易方达基金管理有限公司董事；广发证券股</w:t>
      </w:r>
      <w:r>
        <w:rPr/>
        <w:t>份有限公司执行董事、常务副总经理；广发控股（香港）有限公司董事长。</w:t>
      </w:r>
    </w:p>
    <w:p>
      <w:pPr>
        <w:pStyle w:val="BodyText"/>
        <w:spacing w:line="364" w:lineRule="auto"/>
        <w:ind w:left="376" w:right="585" w:firstLine="420"/>
      </w:pPr>
      <w:r>
        <w:rPr>
          <w:spacing w:val="-4"/>
        </w:rPr>
        <w:t>陈志辉先生，管理学硕士，董事。曾任美的集团税务总监；安永会计师事务所广州分所 </w:t>
      </w:r>
      <w:r>
        <w:rPr/>
        <w:t>高级审计员；盈峰控股集团有限公司资财中心总经理。现任易方达基金管理有限公司董事； </w:t>
      </w:r>
      <w:r>
        <w:rPr>
          <w:spacing w:val="-4"/>
        </w:rPr>
        <w:t>宁波盈峰股权投资基金管理有限公司合伙人、联席总裁；深圳市盈峰环保产业基金管理有限 </w:t>
      </w:r>
      <w:r>
        <w:rPr>
          <w:spacing w:val="-10"/>
        </w:rPr>
        <w:t>公司监事；广东顺德盈峰互联网产业投资管理有限公司监事；广东神华保险代理有限公司董 事；西安高新盈峰创业投资管理有限公司董事。</w:t>
      </w:r>
    </w:p>
    <w:p>
      <w:pPr>
        <w:pStyle w:val="BodyText"/>
        <w:spacing w:line="364" w:lineRule="auto"/>
        <w:ind w:left="376" w:right="794" w:firstLine="420"/>
        <w:jc w:val="both"/>
      </w:pPr>
      <w:r>
        <w:rPr>
          <w:spacing w:val="-11"/>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2"/>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left="376" w:right="585" w:firstLine="420"/>
      </w:pPr>
      <w:r>
        <w:rPr>
          <w:spacing w:val="-4"/>
        </w:rPr>
        <w:t>忻榕女士，工商行政管理博士，独立董事。曾任中科院研究生院讲师；美国加州高温橡 </w:t>
      </w:r>
      <w:r>
        <w:rPr/>
        <w:t>胶公司市场部经理；美国加州大学讲师；美国南加州大学助理教授；香港科技大学副教授； 中欧国际工商学院教授；瑞士洛桑管理学院教授。现任易方达基金管理有限公司独立董事； </w:t>
      </w:r>
      <w:r>
        <w:rPr>
          <w:spacing w:val="-5"/>
        </w:rPr>
        <w:t>中欧国际工商学院教授；复星旅游文化集团</w:t>
      </w:r>
      <w:r>
        <w:rPr/>
        <w:t>（开曼）</w:t>
      </w:r>
      <w:r>
        <w:rPr>
          <w:spacing w:val="-6"/>
        </w:rPr>
        <w:t>有限公司独立董事；上海汇招信息技术 有限公司董事。</w:t>
      </w:r>
    </w:p>
    <w:p>
      <w:pPr>
        <w:pStyle w:val="BodyText"/>
        <w:spacing w:line="364" w:lineRule="auto"/>
        <w:ind w:left="376" w:right="689" w:firstLine="420"/>
      </w:pPr>
      <w:r>
        <w:rPr/>
        <w:t>谭劲松先生，管理学博士（会计学</w:t>
      </w:r>
      <w:r>
        <w:rPr>
          <w:spacing w:val="-105"/>
        </w:rPr>
        <w:t>）</w:t>
      </w:r>
      <w:r>
        <w:rPr/>
        <w:t>，独立董事。曾任邵阳市财会学校教师；中山大学</w:t>
      </w:r>
      <w:r>
        <w:rPr>
          <w:spacing w:val="-4"/>
        </w:rPr>
        <w:t>管理学院助教、讲师、副教授。现任易方达基金管理有限公司独立董事；中山大学管理学院</w:t>
      </w:r>
      <w:r>
        <w:rPr>
          <w:spacing w:val="-15"/>
        </w:rPr>
        <w:t>教授；中远海运特种运输股份有限公司独立董事；上海莱士血液制品股份有限公司独立董事； </w:t>
      </w:r>
      <w:r>
        <w:rPr>
          <w:spacing w:val="-6"/>
        </w:rPr>
        <w:t>珠海华发实业股份有限公司独立董事；广州恒运企业集团股份有限公司独立董事；中国南方</w:t>
      </w:r>
      <w:r>
        <w:rPr>
          <w:spacing w:val="-12"/>
        </w:rPr>
        <w:t>航空股份有限公司独立董事；广州环保投资集团有限公司外部董事；玉山银行</w:t>
      </w:r>
      <w:r>
        <w:rPr/>
        <w:t>（中国）有限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376" w:right="794" w:firstLine="420"/>
        <w:jc w:val="both"/>
      </w:pPr>
      <w:r>
        <w:rPr>
          <w:spacing w:val="-6"/>
        </w:rPr>
        <w:t>刘发宏先生，工商管理硕士</w:t>
      </w:r>
      <w:r>
        <w:rPr/>
        <w:t>（MBA</w:t>
      </w:r>
      <w:r>
        <w:rPr>
          <w:spacing w:val="-105"/>
        </w:rPr>
        <w:t>）</w:t>
      </w:r>
      <w:r>
        <w:rPr>
          <w:spacing w:val="-8"/>
        </w:rPr>
        <w:t>，监事会主席。曾任天津商学院团总支书记兼政治辅导员、人事处干部；海南省三亚国际奥林匹克射击娱乐中心会计主管；三英</w:t>
      </w:r>
      <w:r>
        <w:rPr/>
        <w:t>（珠海）</w:t>
      </w:r>
      <w:r>
        <w:rPr>
          <w:spacing w:val="-5"/>
        </w:rPr>
        <w:t>纺织有</w:t>
      </w:r>
      <w:r>
        <w:rPr>
          <w:spacing w:val="-10"/>
        </w:rPr>
        <w:t>限公司财务主管；珠海市饼业食品有限公司财务部长、审计部长；珠海市国弘财务顾问有限公司项目经理；珠海市迪威有限公司会计师；珠海市卡都九洲食品有限公司财务总监；珠海</w:t>
      </w:r>
      <w:r>
        <w:rPr/>
        <w:t>格力集团（派驻下属企业）</w:t>
      </w:r>
      <w:r>
        <w:rPr>
          <w:spacing w:val="-7"/>
        </w:rPr>
        <w:t>财务总监；珠海市国资委</w:t>
      </w:r>
      <w:r>
        <w:rPr/>
        <w:t>（派驻国有企业）</w:t>
      </w:r>
      <w:r>
        <w:rPr>
          <w:spacing w:val="-8"/>
        </w:rPr>
        <w:t>财务总监；珠海港置业开发有限公司总经理；酒鬼酒股份有限公司副总经理；广东粤财投资控股有限公司审计部</w:t>
      </w:r>
      <w:r>
        <w:rPr>
          <w:spacing w:val="-11"/>
        </w:rPr>
        <w:t>总经理；广东粤财信托有限公司党委委员、副书记。现任易方达基金管理有限公司监事会主</w:t>
      </w:r>
      <w:r>
        <w:rPr>
          <w:spacing w:val="-10"/>
        </w:rPr>
        <w:t>席；广东粤财投资控股有限公司党委办主任、人力资源部总经理；广东粤财信托有限公司董</w:t>
      </w:r>
      <w:r>
        <w:rPr/>
        <w:t>事。</w:t>
      </w:r>
    </w:p>
    <w:p>
      <w:pPr>
        <w:pStyle w:val="BodyText"/>
        <w:spacing w:line="364" w:lineRule="auto"/>
        <w:ind w:left="376" w:right="794"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5"/>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376" w:right="689" w:firstLine="420"/>
      </w:pPr>
      <w:r>
        <w:rPr>
          <w:spacing w:val="-4"/>
        </w:rPr>
        <w:t>陈国祥先生，经济学硕士，监事。曾任交通银行广州分行江南西营业部经理；广东粤财</w:t>
      </w:r>
      <w:r>
        <w:rPr>
          <w:spacing w:val="-15"/>
        </w:rPr>
        <w:t>信托投资公司证券部副总经理、基金部总经理；易方达基金管理有限公司市场拓展部总经理、</w:t>
      </w:r>
      <w:r>
        <w:rPr/>
        <w:t>总裁助理、市场总监。现任易方达基金管理有限公司监事。</w:t>
      </w:r>
    </w:p>
    <w:p>
      <w:pPr>
        <w:pStyle w:val="BodyText"/>
        <w:spacing w:line="364" w:lineRule="auto"/>
        <w:ind w:left="376" w:right="794" w:firstLine="420"/>
        <w:jc w:val="both"/>
      </w:pPr>
      <w:r>
        <w:rPr>
          <w:spacing w:val="-5"/>
        </w:rPr>
        <w:t>廖智先生，经济学硕士，监事。曾任广东证券股份有限公司基金部主管；易方达基金管</w:t>
      </w:r>
      <w:r>
        <w:rPr>
          <w:spacing w:val="-6"/>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left="376" w:right="794" w:firstLine="420"/>
        <w:jc w:val="both"/>
      </w:pPr>
      <w:r>
        <w:rPr>
          <w:spacing w:val="-9"/>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w:t>
      </w:r>
    </w:p>
    <w:p>
      <w:pPr>
        <w:pStyle w:val="BodyText"/>
        <w:spacing w:line="364" w:lineRule="auto"/>
        <w:ind w:left="376" w:right="794" w:firstLine="420"/>
        <w:jc w:val="both"/>
      </w:pPr>
      <w:r>
        <w:rPr/>
        <w:t>张优造先生，工商管理硕士(MBA)，常务副总裁。曾任南方证券交易中心业务发展部经</w:t>
      </w: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pStyle w:val="BodyText"/>
        <w:spacing w:line="364" w:lineRule="auto"/>
        <w:ind w:left="376" w:right="794" w:firstLine="420"/>
      </w:pPr>
      <w:r>
        <w:rPr>
          <w:spacing w:val="-11"/>
        </w:rPr>
        <w:t>陈彤先生，经济学博士，副总裁。曾任中国经济开发信托投资公司成都营业部研发部副</w:t>
      </w:r>
      <w:r>
        <w:rPr>
          <w:spacing w:val="-5"/>
        </w:rPr>
        <w:t>经理、交易部经理、研发部经理、证券总部研究部行业研究员；易方达基金管理有限公司市</w:t>
      </w:r>
    </w:p>
    <w:p>
      <w:pPr>
        <w:spacing w:after="0" w:line="364" w:lineRule="auto"/>
        <w:sectPr>
          <w:pgSz w:w="11910" w:h="16840"/>
          <w:pgMar w:header="0" w:footer="1118" w:top="1380" w:bottom="1380" w:left="1420" w:right="1000"/>
        </w:sectPr>
      </w:pPr>
    </w:p>
    <w:p>
      <w:pPr>
        <w:pStyle w:val="BodyText"/>
        <w:spacing w:line="364" w:lineRule="auto" w:before="45"/>
        <w:ind w:left="376" w:right="794"/>
        <w:jc w:val="both"/>
      </w:pP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364" w:lineRule="auto"/>
        <w:ind w:left="376" w:right="585" w:firstLine="420"/>
      </w:pPr>
      <w:r>
        <w:rPr/>
        <w:t>马骏先生，高级管理人员工商管理硕士（EMBA</w:t>
      </w:r>
      <w:r>
        <w:rPr>
          <w:spacing w:val="-105"/>
        </w:rPr>
        <w:t>）</w:t>
      </w:r>
      <w:r>
        <w:rPr/>
        <w:t>，副总裁。曾任君安证券有限公司营业 </w:t>
      </w:r>
      <w:r>
        <w:rPr>
          <w:spacing w:val="-10"/>
        </w:rPr>
        <w:t>部职员；深圳众大投资有限公司投资部副总经理；广发证券有限责任公司研究员；易方达基 </w:t>
      </w:r>
      <w:r>
        <w:rPr/>
        <w:t>金管理有限公司固定收益部总经理、现金管理部总经理、固定收益总部总经理、总裁助理、</w:t>
      </w:r>
      <w:r>
        <w:rPr>
          <w:spacing w:val="-2"/>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交易型开放式指数基金基金经理。现任易方达基金管理有限公司副总裁；易方达资产管理（香港）有限公司董事、人民币合格境外投资者（RQFII）业务负责人</w:t>
      </w:r>
      <w:r>
        <w:rPr>
          <w:spacing w:val="-7"/>
        </w:rPr>
        <w:t>、证券交易负责人员</w:t>
      </w:r>
      <w:r>
        <w:rPr/>
        <w:t>（RO</w:t>
      </w:r>
      <w:r>
        <w:rPr>
          <w:spacing w:val="-105"/>
        </w:rPr>
        <w:t>）</w:t>
      </w:r>
      <w:r>
        <w:rPr>
          <w:spacing w:val="-6"/>
        </w:rPr>
        <w:t>、就证券提供意见负责人员</w:t>
      </w:r>
      <w:r>
        <w:rPr/>
        <w:t>（RO</w:t>
      </w:r>
      <w:r>
        <w:rPr>
          <w:spacing w:val="-105"/>
        </w:rPr>
        <w:t>）</w:t>
      </w:r>
      <w:r>
        <w:rPr>
          <w:spacing w:val="-4"/>
        </w:rPr>
        <w:t>、提供资产管理负责人员</w:t>
      </w:r>
    </w:p>
    <w:p>
      <w:pPr>
        <w:pStyle w:val="BodyText"/>
        <w:spacing w:line="266" w:lineRule="exact"/>
        <w:ind w:left="376"/>
      </w:pPr>
      <w:r>
        <w:rPr/>
        <w:t>（RO</w:t>
      </w:r>
      <w:r>
        <w:rPr>
          <w:spacing w:val="-105"/>
        </w:rPr>
        <w:t>）</w:t>
      </w:r>
      <w:r>
        <w:rPr/>
        <w:t>、固定收益投资决策委员会委员、产品审批委员会委员。</w:t>
      </w:r>
    </w:p>
    <w:p>
      <w:pPr>
        <w:pStyle w:val="BodyText"/>
        <w:spacing w:line="364" w:lineRule="auto" w:before="138"/>
        <w:ind w:left="376" w:right="794"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left="376" w:right="794"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376" w:right="689" w:firstLine="420"/>
      </w:pPr>
      <w:r>
        <w:rPr/>
        <w:t>范岳先生，工商管理硕士(MBA)，首席产品官。曾任中国工商银行深圳分行国际业务部</w:t>
      </w:r>
      <w:r>
        <w:rPr>
          <w:spacing w:val="-15"/>
        </w:rPr>
        <w:t>科员；深圳证券登记结算公司办公室经理、国际部经理；深圳证券交易所北京中心助理主任、</w:t>
      </w:r>
      <w:r>
        <w:rPr>
          <w:spacing w:val="-8"/>
        </w:rPr>
        <w:t>上市部副总监、基金债券部副总监、基金管理部总监。现任易方达基金管理有限公司首席产品官。</w:t>
      </w:r>
    </w:p>
    <w:p>
      <w:pPr>
        <w:pStyle w:val="BodyText"/>
        <w:spacing w:line="364" w:lineRule="auto"/>
        <w:ind w:left="376" w:right="585" w:firstLine="420"/>
      </w:pPr>
      <w:r>
        <w:rPr>
          <w:spacing w:val="-8"/>
        </w:rPr>
        <w:t>关秀霞女士，财务硕士、工商管理硕士，首席国际业务官。曾任中国银行 (香港) 分析 </w:t>
      </w:r>
      <w:r>
        <w:rPr>
          <w:spacing w:val="1"/>
        </w:rPr>
        <w:t>员；</w:t>
      </w:r>
      <w:r>
        <w:rPr/>
        <w:t>Daniel Dennis</w:t>
      </w:r>
      <w:r>
        <w:rPr>
          <w:spacing w:val="2"/>
        </w:rPr>
        <w:t> 高级审计师；美国道富银行波士顿及亚洲总部大中华地区高级副总裁、</w:t>
      </w:r>
      <w:r>
        <w:rPr>
          <w:spacing w:val="-4"/>
        </w:rPr>
        <w:t>董事总经理、中国区行长、亚洲区</w:t>
      </w:r>
      <w:r>
        <w:rPr/>
        <w:t>（除日本外</w:t>
      </w:r>
      <w:r>
        <w:rPr>
          <w:spacing w:val="-15"/>
        </w:rPr>
        <w:t>）</w:t>
      </w:r>
      <w:r>
        <w:rPr>
          <w:spacing w:val="-5"/>
        </w:rPr>
        <w:t>副总裁、机构服务主管、美国共同基金业务 风险经理、公司内部审计部高级审计师。现任易方达基金管理有限公司首席国际业务官。</w:t>
      </w:r>
    </w:p>
    <w:p>
      <w:pPr>
        <w:pStyle w:val="BodyText"/>
        <w:spacing w:line="364" w:lineRule="auto"/>
        <w:ind w:left="376" w:right="794" w:firstLine="420"/>
        <w:jc w:val="both"/>
      </w:pPr>
      <w:r>
        <w:rPr/>
        <w:t>高松凡先生，高级管理人员工商管理硕士（EMBA</w:t>
      </w:r>
      <w:r>
        <w:rPr>
          <w:spacing w:val="-105"/>
        </w:rPr>
        <w:t>）</w:t>
      </w:r>
      <w:r>
        <w:rPr/>
        <w:t>，首席养老金业务官。曾任招商银行</w:t>
      </w:r>
      <w:r>
        <w:rPr>
          <w:spacing w:val="-7"/>
        </w:rPr>
        <w:t>总行人事部高级经理、企业年金中心副主任；浦东发展银行总行企业年金部总经理；长江养</w:t>
      </w:r>
      <w:r>
        <w:rPr>
          <w:spacing w:val="-10"/>
        </w:rPr>
        <w:t>老保险公司首席市场总监；易方达基金管理有限公司养老金业务总监。现任易方达基金管理</w:t>
      </w:r>
      <w:r>
        <w:rPr/>
        <w:t>有限公司首席养老金业务官。</w:t>
      </w:r>
    </w:p>
    <w:p>
      <w:pPr>
        <w:pStyle w:val="BodyText"/>
        <w:spacing w:line="364" w:lineRule="auto"/>
        <w:ind w:left="376" w:right="794"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0"/>
        </w:rPr>
        <w:t>理、投资风险管理部总经理、公司总裁助理、公司董事会秘书、公司财务中心主任。现任易</w:t>
      </w:r>
    </w:p>
    <w:p>
      <w:pPr>
        <w:spacing w:after="0" w:line="364" w:lineRule="auto"/>
        <w:jc w:val="both"/>
        <w:sectPr>
          <w:pgSz w:w="11910" w:h="16840"/>
          <w:pgMar w:header="0" w:footer="1118" w:top="1380" w:bottom="1380" w:left="1420" w:right="1000"/>
        </w:sectPr>
      </w:pPr>
    </w:p>
    <w:p>
      <w:pPr>
        <w:pStyle w:val="BodyText"/>
        <w:spacing w:line="364" w:lineRule="auto" w:before="45"/>
        <w:ind w:left="376" w:right="714"/>
      </w:pPr>
      <w:r>
        <w:rPr/>
        <w:t>方达基金管理有限公司首席运营官；易方达资产管理（香港）有限公司董事；易方达资产管理有限公司监事；易方达海外投资（深圳）有限公司监事。</w:t>
      </w:r>
    </w:p>
    <w:p>
      <w:pPr>
        <w:pStyle w:val="BodyText"/>
        <w:spacing w:line="364" w:lineRule="auto"/>
        <w:ind w:left="376" w:right="585" w:firstLine="420"/>
      </w:pPr>
      <w:r>
        <w:rPr>
          <w:spacing w:val="-8"/>
        </w:rPr>
        <w:t>汪兰英女士，工学学士、法学学士，首席大类资产配置官。曾任中信证券股份有限公司 </w:t>
      </w:r>
      <w:r>
        <w:rPr/>
        <w:t>风险投资部投资经理助理；中国证监会基金监管部副主任科员、主任科员、副处长、处长； 中国人寿资产管理有限公司风险管理部副总经理（主持工作</w:t>
      </w:r>
      <w:r>
        <w:rPr>
          <w:spacing w:val="-105"/>
        </w:rPr>
        <w:t>）</w:t>
      </w:r>
      <w:r>
        <w:rPr/>
        <w:t>、项目评审部副总经理（主持 工作</w:t>
      </w:r>
      <w:r>
        <w:rPr>
          <w:spacing w:val="-105"/>
        </w:rPr>
        <w:t>）</w:t>
      </w:r>
      <w:r>
        <w:rPr>
          <w:spacing w:val="-9"/>
        </w:rPr>
        <w:t>、基金投资部副总经理</w:t>
      </w:r>
      <w:r>
        <w:rPr/>
        <w:t>（主持工作</w:t>
      </w:r>
      <w:r>
        <w:rPr>
          <w:spacing w:val="-105"/>
        </w:rPr>
        <w:t>）</w:t>
      </w:r>
      <w:r>
        <w:rPr>
          <w:spacing w:val="-6"/>
        </w:rPr>
        <w:t>。现任易方达基金管理有限公司首席大类资产配置 官；易方达资产管理有限公司董事。</w:t>
      </w:r>
    </w:p>
    <w:p>
      <w:pPr>
        <w:pStyle w:val="BodyText"/>
        <w:spacing w:line="267" w:lineRule="exact"/>
      </w:pPr>
      <w:r>
        <w:rPr/>
        <w:t>2、基金经理</w:t>
      </w:r>
    </w:p>
    <w:p>
      <w:pPr>
        <w:pStyle w:val="BodyText"/>
        <w:spacing w:line="364" w:lineRule="auto" w:before="138"/>
        <w:ind w:left="376" w:right="794" w:firstLine="420"/>
        <w:jc w:val="both"/>
      </w:pPr>
      <w:r>
        <w:rPr>
          <w:spacing w:val="-10"/>
        </w:rPr>
        <w:t>周宇先生，经济学硕士。曾任古根海姆投资管理公司全球宏观策略师，中国平安人寿保</w:t>
      </w:r>
      <w:r>
        <w:rPr>
          <w:spacing w:val="-8"/>
        </w:rPr>
        <w:t>险总部投资管理中心策略经理，上海国泰君安证券资产管理有限公司研究发展部大类资产配</w:t>
      </w:r>
      <w:r>
        <w:rPr/>
        <w:t>置高级研究员。现任易方达基金管理有限公司易方达黄金主题证券投资基金（LOF）基金经理（</w:t>
      </w:r>
      <w:r>
        <w:rPr>
          <w:spacing w:val="-27"/>
        </w:rPr>
        <w:t>自 </w:t>
      </w:r>
      <w:r>
        <w:rPr/>
        <w:t>2017</w:t>
      </w:r>
      <w:r>
        <w:rPr>
          <w:spacing w:val="-36"/>
        </w:rPr>
        <w:t> 年 </w:t>
      </w:r>
      <w:r>
        <w:rPr/>
        <w:t>4</w:t>
      </w:r>
      <w:r>
        <w:rPr>
          <w:spacing w:val="-36"/>
        </w:rPr>
        <w:t> 月 </w:t>
      </w:r>
      <w:r>
        <w:rPr/>
        <w:t>21</w:t>
      </w:r>
      <w:r>
        <w:rPr>
          <w:spacing w:val="-12"/>
        </w:rPr>
        <w:t> 日起任职</w:t>
      </w:r>
      <w:r>
        <w:rPr>
          <w:spacing w:val="-105"/>
        </w:rPr>
        <w:t>）</w:t>
      </w:r>
      <w:r>
        <w:rPr/>
        <w:t>。</w:t>
      </w:r>
    </w:p>
    <w:p>
      <w:pPr>
        <w:pStyle w:val="BodyText"/>
        <w:spacing w:line="267" w:lineRule="exact"/>
        <w:jc w:val="both"/>
      </w:pPr>
      <w:r>
        <w:rPr>
          <w:spacing w:val="-13"/>
        </w:rPr>
        <w:t>本基金历任基金经理情况：张小刚先生，管理时间为 </w:t>
      </w:r>
      <w:r>
        <w:rPr/>
        <w:t>2011</w:t>
      </w:r>
      <w:r>
        <w:rPr>
          <w:spacing w:val="-36"/>
        </w:rPr>
        <w:t> 年 </w:t>
      </w:r>
      <w:r>
        <w:rPr/>
        <w:t>5</w:t>
      </w:r>
      <w:r>
        <w:rPr>
          <w:spacing w:val="-36"/>
        </w:rPr>
        <w:t> 月 </w:t>
      </w:r>
      <w:r>
        <w:rPr/>
        <w:t>6</w:t>
      </w:r>
      <w:r>
        <w:rPr>
          <w:spacing w:val="-27"/>
        </w:rPr>
        <w:t> 日至 </w:t>
      </w:r>
      <w:r>
        <w:rPr/>
        <w:t>2012</w:t>
      </w:r>
      <w:r>
        <w:rPr>
          <w:spacing w:val="-36"/>
        </w:rPr>
        <w:t> 年 </w:t>
      </w:r>
      <w:r>
        <w:rPr/>
        <w:t>5</w:t>
      </w:r>
      <w:r>
        <w:rPr>
          <w:spacing w:val="-36"/>
        </w:rPr>
        <w:t> 月 </w:t>
      </w:r>
      <w:r>
        <w:rPr/>
        <w:t>17</w:t>
      </w:r>
    </w:p>
    <w:p>
      <w:pPr>
        <w:pStyle w:val="BodyText"/>
        <w:spacing w:before="140"/>
        <w:ind w:left="376"/>
      </w:pPr>
      <w:r>
        <w:rPr/>
        <w:t>日；GuanYu(</w:t>
      </w:r>
      <w:r>
        <w:rPr>
          <w:spacing w:val="-5"/>
        </w:rPr>
        <w:t>管宇)先生，管理时间为 </w:t>
      </w:r>
      <w:r>
        <w:rPr/>
        <w:t>2012</w:t>
      </w:r>
      <w:r>
        <w:rPr>
          <w:spacing w:val="-36"/>
        </w:rPr>
        <w:t> 年 </w:t>
      </w:r>
      <w:r>
        <w:rPr/>
        <w:t>1</w:t>
      </w:r>
      <w:r>
        <w:rPr>
          <w:spacing w:val="-36"/>
        </w:rPr>
        <w:t> 月 </w:t>
      </w:r>
      <w:r>
        <w:rPr/>
        <w:t>14</w:t>
      </w:r>
      <w:r>
        <w:rPr>
          <w:spacing w:val="-27"/>
        </w:rPr>
        <w:t> 日至 </w:t>
      </w:r>
      <w:r>
        <w:rPr/>
        <w:t>2013</w:t>
      </w:r>
      <w:r>
        <w:rPr>
          <w:spacing w:val="-36"/>
        </w:rPr>
        <w:t> 年 </w:t>
      </w:r>
      <w:r>
        <w:rPr/>
        <w:t>12</w:t>
      </w:r>
      <w:r>
        <w:rPr>
          <w:spacing w:val="-36"/>
        </w:rPr>
        <w:t> 月 </w:t>
      </w:r>
      <w:r>
        <w:rPr/>
        <w:t>16</w:t>
      </w:r>
      <w:r>
        <w:rPr>
          <w:spacing w:val="-8"/>
        </w:rPr>
        <w:t> 日；王超先生，</w:t>
      </w:r>
    </w:p>
    <w:p>
      <w:pPr>
        <w:pStyle w:val="BodyText"/>
        <w:spacing w:before="139"/>
        <w:ind w:left="376"/>
      </w:pPr>
      <w:r>
        <w:rPr/>
        <w:t>管理时间为 2013 年 12 月 17 日至 2016 年 8 月 19 日；戴险峰先生，管理时间为 2016 年 8</w:t>
      </w:r>
    </w:p>
    <w:p>
      <w:pPr>
        <w:pStyle w:val="BodyText"/>
        <w:spacing w:before="140"/>
        <w:ind w:left="376"/>
      </w:pPr>
      <w:r>
        <w:rPr/>
        <w:t>月 20 日至 2017 年 6 月 19 日。</w:t>
      </w:r>
    </w:p>
    <w:p>
      <w:pPr>
        <w:pStyle w:val="BodyText"/>
        <w:spacing w:before="139"/>
      </w:pPr>
      <w:r>
        <w:rPr/>
        <w:t>3、境外投资决策委员会成员</w:t>
      </w:r>
    </w:p>
    <w:p>
      <w:pPr>
        <w:pStyle w:val="BodyText"/>
        <w:spacing w:before="140"/>
      </w:pPr>
      <w:r>
        <w:rPr/>
        <w:t>本公司境外投资决策委员会成员包括：陈宏初先生、祁广东先生、周宇先生。</w:t>
      </w:r>
    </w:p>
    <w:p>
      <w:pPr>
        <w:pStyle w:val="BodyText"/>
        <w:spacing w:line="364" w:lineRule="auto" w:before="139"/>
        <w:ind w:left="376" w:right="585" w:firstLine="420"/>
      </w:pPr>
      <w:r>
        <w:rPr>
          <w:spacing w:val="-3"/>
        </w:rPr>
        <w:t>陈宏初先生，高级管理人员工商管理硕士</w:t>
      </w:r>
      <w:r>
        <w:rPr/>
        <w:t>（EMBA</w:t>
      </w:r>
      <w:r>
        <w:rPr>
          <w:spacing w:val="-105"/>
        </w:rPr>
        <w:t>）</w:t>
      </w:r>
      <w:r>
        <w:rPr>
          <w:spacing w:val="-17"/>
        </w:rPr>
        <w:t>。曾任 </w:t>
      </w:r>
      <w:r>
        <w:rPr/>
        <w:t>Patinni Investment Limited </w:t>
      </w:r>
      <w:r>
        <w:rPr>
          <w:spacing w:val="-12"/>
        </w:rPr>
        <w:t>金融分析师，上海实业</w:t>
      </w:r>
      <w:r>
        <w:rPr/>
        <w:t>（集团</w:t>
      </w:r>
      <w:r>
        <w:rPr>
          <w:spacing w:val="-49"/>
        </w:rPr>
        <w:t>）</w:t>
      </w:r>
      <w:r>
        <w:rPr>
          <w:spacing w:val="-1"/>
        </w:rPr>
        <w:t>有限公司投资经理，</w:t>
      </w:r>
      <w:r>
        <w:rPr>
          <w:spacing w:val="-3"/>
        </w:rPr>
        <w:t>Salomon-Shanghai</w:t>
      </w:r>
      <w:r>
        <w:rPr/>
        <w:t> Industrial Greater China</w:t>
      </w:r>
      <w:r>
        <w:rPr>
          <w:spacing w:val="16"/>
        </w:rPr>
        <w:t> </w:t>
      </w:r>
      <w:r>
        <w:rPr/>
        <w:t>Asset</w:t>
      </w:r>
      <w:r>
        <w:rPr>
          <w:spacing w:val="17"/>
        </w:rPr>
        <w:t> </w:t>
      </w:r>
      <w:r>
        <w:rPr/>
        <w:t>Management</w:t>
      </w:r>
      <w:r>
        <w:rPr>
          <w:spacing w:val="17"/>
        </w:rPr>
        <w:t> </w:t>
      </w:r>
      <w:r>
        <w:rPr>
          <w:spacing w:val="5"/>
        </w:rPr>
        <w:t>Co</w:t>
      </w:r>
      <w:r>
        <w:rPr>
          <w:spacing w:val="11"/>
        </w:rPr>
        <w:t>.基金经理，</w:t>
      </w:r>
      <w:r>
        <w:rPr>
          <w:spacing w:val="4"/>
        </w:rPr>
        <w:t>SEB</w:t>
      </w:r>
      <w:r>
        <w:rPr>
          <w:spacing w:val="16"/>
        </w:rPr>
        <w:t> </w:t>
      </w:r>
      <w:r>
        <w:rPr/>
        <w:t>Investment</w:t>
      </w:r>
      <w:r>
        <w:rPr>
          <w:spacing w:val="17"/>
        </w:rPr>
        <w:t> </w:t>
      </w:r>
      <w:r>
        <w:rPr/>
        <w:t>Management</w:t>
      </w:r>
      <w:r>
        <w:rPr>
          <w:spacing w:val="3"/>
        </w:rPr>
        <w:t> 基金经理，</w:t>
      </w:r>
      <w:r>
        <w:rPr>
          <w:spacing w:val="2"/>
        </w:rPr>
        <w:t>Crown </w:t>
      </w:r>
      <w:r>
        <w:rPr/>
        <w:t>Asset</w:t>
      </w:r>
      <w:r>
        <w:rPr>
          <w:spacing w:val="19"/>
        </w:rPr>
        <w:t> </w:t>
      </w:r>
      <w:r>
        <w:rPr/>
        <w:t>Management</w:t>
      </w:r>
      <w:r>
        <w:rPr>
          <w:spacing w:val="19"/>
        </w:rPr>
        <w:t> </w:t>
      </w:r>
      <w:r>
        <w:rPr/>
        <w:t>Limited</w:t>
      </w:r>
      <w:r>
        <w:rPr>
          <w:spacing w:val="-7"/>
        </w:rPr>
        <w:t> 总经理，中金香港资产管理公司香港股票主管，德意志资产管</w:t>
      </w:r>
      <w:r>
        <w:rPr>
          <w:spacing w:val="-23"/>
        </w:rPr>
        <w:t>理</w:t>
      </w:r>
      <w:r>
        <w:rPr/>
        <w:t>（香港</w:t>
      </w:r>
      <w:r>
        <w:rPr>
          <w:spacing w:val="-23"/>
        </w:rPr>
        <w:t>）</w:t>
      </w:r>
      <w:r>
        <w:rPr>
          <w:spacing w:val="-4"/>
        </w:rPr>
        <w:t>有限公司投资部副总裁、基金经理，嘉实国际资产管理有限公司国际投资部基金 </w:t>
      </w:r>
      <w:r>
        <w:rPr>
          <w:spacing w:val="-6"/>
        </w:rPr>
        <w:t>经理，华安资产管理</w:t>
      </w:r>
      <w:r>
        <w:rPr/>
        <w:t>（香港</w:t>
      </w:r>
      <w:r>
        <w:rPr>
          <w:spacing w:val="-13"/>
        </w:rPr>
        <w:t>）</w:t>
      </w:r>
      <w:r>
        <w:rPr>
          <w:spacing w:val="-4"/>
        </w:rPr>
        <w:t>有限公司董事总经理、首席投资官，泰康资产管理</w:t>
      </w:r>
      <w:r>
        <w:rPr/>
        <w:t>（香港</w:t>
      </w:r>
      <w:r>
        <w:rPr>
          <w:spacing w:val="-13"/>
        </w:rPr>
        <w:t>）</w:t>
      </w:r>
      <w:r>
        <w:rPr/>
        <w:t>有 </w:t>
      </w:r>
      <w:r>
        <w:rPr>
          <w:spacing w:val="-7"/>
        </w:rPr>
        <w:t>限公司董事总经理、首席投资官，易方达基金管理有限公司国际投资部投资经理，易方达资 </w:t>
      </w:r>
      <w:r>
        <w:rPr>
          <w:spacing w:val="-15"/>
        </w:rPr>
        <w:t>产管理</w:t>
      </w:r>
      <w:r>
        <w:rPr/>
        <w:t>（香港</w:t>
      </w:r>
      <w:r>
        <w:rPr>
          <w:spacing w:val="-30"/>
        </w:rPr>
        <w:t>）</w:t>
      </w:r>
      <w:r>
        <w:rPr>
          <w:spacing w:val="-3"/>
        </w:rPr>
        <w:t>有限公司国际投资部基金经理。现任易方达基金管理有限公司国际投资部总 </w:t>
      </w:r>
      <w:r>
        <w:rPr/>
        <w:t>经理、易方达港股通红利灵活配置混合型证券投资基金基金经理，易方达资产管理</w:t>
      </w:r>
      <w:r>
        <w:rPr>
          <w:spacing w:val="3"/>
        </w:rPr>
        <w:t>（</w:t>
      </w:r>
      <w:r>
        <w:rPr>
          <w:spacing w:val="1"/>
        </w:rPr>
        <w:t>香港</w:t>
      </w:r>
      <w:r>
        <w:rPr/>
        <w:t>） </w:t>
      </w:r>
      <w:r>
        <w:rPr>
          <w:spacing w:val="-3"/>
        </w:rPr>
        <w:t>有限公司首席投资官、就证券提供意见负责人员</w:t>
      </w:r>
      <w:r>
        <w:rPr/>
        <w:t>（RO</w:t>
      </w:r>
      <w:r>
        <w:rPr>
          <w:spacing w:val="-105"/>
        </w:rPr>
        <w:t>）</w:t>
      </w:r>
      <w:r>
        <w:rPr>
          <w:spacing w:val="-6"/>
        </w:rPr>
        <w:t>、提供资产管理负责人员</w:t>
      </w:r>
      <w:r>
        <w:rPr/>
        <w:t>（RO</w:t>
      </w:r>
      <w:r>
        <w:rPr>
          <w:spacing w:val="-105"/>
        </w:rPr>
        <w:t>）</w:t>
      </w:r>
      <w:r>
        <w:rPr>
          <w:spacing w:val="-6"/>
        </w:rPr>
        <w:t>、证券 交易负责人员（RO</w:t>
      </w:r>
      <w:r>
        <w:rPr>
          <w:spacing w:val="-105"/>
        </w:rPr>
        <w:t>）</w:t>
      </w:r>
      <w:r>
        <w:rPr/>
        <w:t>、权益及资产配置投资决策委员会委员、固定收益投资决策委员会委员。</w:t>
      </w:r>
    </w:p>
    <w:p>
      <w:pPr>
        <w:pStyle w:val="BodyText"/>
        <w:spacing w:line="364" w:lineRule="auto"/>
        <w:ind w:left="376" w:right="794" w:firstLine="420"/>
        <w:jc w:val="both"/>
      </w:pPr>
      <w:r>
        <w:rPr>
          <w:spacing w:val="-9"/>
        </w:rPr>
        <w:t>祁广东先生，经济学硕士。曾任申银万国证券固定收益总部助理分析师、交易员、助理</w:t>
      </w:r>
      <w:r>
        <w:rPr>
          <w:spacing w:val="-7"/>
        </w:rPr>
        <w:t>投资经理，申银万国投资管理</w:t>
      </w:r>
      <w:r>
        <w:rPr/>
        <w:t>（亚洲</w:t>
      </w:r>
      <w:r>
        <w:rPr>
          <w:spacing w:val="-22"/>
        </w:rPr>
        <w:t>）</w:t>
      </w:r>
      <w:r>
        <w:rPr>
          <w:spacing w:val="-4"/>
        </w:rPr>
        <w:t>有限公司基金经理，易方达基金管理有限公司投资经</w:t>
      </w:r>
      <w:r>
        <w:rPr>
          <w:spacing w:val="-7"/>
        </w:rPr>
        <w:t>理，易方达资产管理</w:t>
      </w:r>
      <w:r>
        <w:rPr/>
        <w:t>（香港</w:t>
      </w:r>
      <w:r>
        <w:rPr>
          <w:spacing w:val="-22"/>
        </w:rPr>
        <w:t>）</w:t>
      </w:r>
      <w:r>
        <w:rPr>
          <w:spacing w:val="-4"/>
        </w:rPr>
        <w:t>有限公司投资经理。现任易方达基金管理有限公司易方达中短</w:t>
      </w:r>
      <w:r>
        <w:rPr>
          <w:spacing w:val="-2"/>
        </w:rPr>
        <w:t>期美元债债券型证券投资基金</w:t>
      </w:r>
      <w:r>
        <w:rPr>
          <w:spacing w:val="-3"/>
        </w:rPr>
        <w:t>（QDII）</w:t>
      </w:r>
      <w:r>
        <w:rPr>
          <w:spacing w:val="-6"/>
        </w:rPr>
        <w:t>基金经理，易方达资产管理</w:t>
      </w:r>
      <w:r>
        <w:rPr/>
        <w:t>（香港</w:t>
      </w:r>
      <w:r>
        <w:rPr>
          <w:spacing w:val="-18"/>
        </w:rPr>
        <w:t>）</w:t>
      </w:r>
      <w:r>
        <w:rPr>
          <w:spacing w:val="-2"/>
        </w:rPr>
        <w:t>有限公司就证券</w:t>
      </w:r>
      <w:r>
        <w:rPr>
          <w:spacing w:val="-3"/>
        </w:rPr>
        <w:t>提供意见负责人员</w:t>
      </w:r>
      <w:r>
        <w:rPr/>
        <w:t>（RO</w:t>
      </w:r>
      <w:r>
        <w:rPr>
          <w:spacing w:val="-105"/>
        </w:rPr>
        <w:t>）</w:t>
      </w:r>
      <w:r>
        <w:rPr>
          <w:spacing w:val="-6"/>
        </w:rPr>
        <w:t>、提供资产管理负责人员</w:t>
      </w:r>
      <w:r>
        <w:rPr/>
        <w:t>（RO</w:t>
      </w:r>
      <w:r>
        <w:rPr>
          <w:spacing w:val="-105"/>
        </w:rPr>
        <w:t>）</w:t>
      </w:r>
      <w:r>
        <w:rPr>
          <w:spacing w:val="-6"/>
        </w:rPr>
        <w:t>、固定收益投资决策委员会委员、固</w:t>
      </w:r>
    </w:p>
    <w:p>
      <w:pPr>
        <w:spacing w:after="0" w:line="364" w:lineRule="auto"/>
        <w:jc w:val="both"/>
        <w:sectPr>
          <w:pgSz w:w="11910" w:h="16840"/>
          <w:pgMar w:header="0" w:footer="1118" w:top="1380" w:bottom="1380" w:left="1420" w:right="1000"/>
        </w:sectPr>
      </w:pPr>
    </w:p>
    <w:p>
      <w:pPr>
        <w:pStyle w:val="BodyText"/>
        <w:spacing w:line="364" w:lineRule="auto" w:before="45"/>
        <w:ind w:right="6588" w:hanging="420"/>
      </w:pPr>
      <w:r>
        <w:rPr/>
        <w:t>定收益部主管、基金经理。周宇先生，同上。</w:t>
      </w:r>
    </w:p>
    <w:p>
      <w:pPr>
        <w:pStyle w:val="BodyText"/>
        <w:spacing w:line="268" w:lineRule="exact"/>
      </w:pPr>
      <w:r>
        <w:rPr/>
        <w:t>4、上述人员之间均不存在近亲属关系。</w:t>
      </w:r>
    </w:p>
    <w:p>
      <w:pPr>
        <w:pStyle w:val="Heading2"/>
        <w:tabs>
          <w:tab w:pos="1216" w:val="left" w:leader="none"/>
        </w:tabs>
        <w:spacing w:before="141"/>
      </w:pPr>
      <w:bookmarkStart w:name="_bookmark26" w:id="27"/>
      <w:bookmarkEnd w:id="27"/>
      <w:r>
        <w:rPr/>
      </w:r>
      <w:r>
        <w:rPr/>
        <w:t>三、</w:t>
        <w:tab/>
        <w:t>基金管理人的职责</w:t>
      </w:r>
    </w:p>
    <w:p>
      <w:pPr>
        <w:pStyle w:val="BodyText"/>
        <w:spacing w:before="184"/>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pStyle w:val="BodyText"/>
        <w:spacing w:before="139"/>
      </w:pPr>
      <w:r>
        <w:rPr/>
        <w:t>5、进行基金会计核算并编制基金财务会计报告；</w:t>
      </w:r>
    </w:p>
    <w:p>
      <w:pPr>
        <w:pStyle w:val="BodyText"/>
        <w:spacing w:before="140"/>
      </w:pPr>
      <w:r>
        <w:rPr/>
        <w:t>6、编制季度报告、中期报告和年度报告；</w:t>
      </w:r>
    </w:p>
    <w:p>
      <w:pPr>
        <w:pStyle w:val="BodyText"/>
        <w:spacing w:before="139"/>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line="364" w:lineRule="auto" w:before="140"/>
        <w:ind w:left="376" w:right="918" w:firstLine="420"/>
      </w:pPr>
      <w:r>
        <w:rPr/>
        <w:t>11、以基金管理人名义，代表基金份额持有人利益行使诉讼权利或者实施其他法律行为；</w:t>
      </w:r>
    </w:p>
    <w:p>
      <w:pPr>
        <w:pStyle w:val="BodyText"/>
        <w:spacing w:line="268" w:lineRule="exact"/>
      </w:pPr>
      <w:r>
        <w:rPr/>
        <w:t>12、选择、更换或撤销境外投资顾问；</w:t>
      </w:r>
    </w:p>
    <w:p>
      <w:pPr>
        <w:pStyle w:val="BodyText"/>
        <w:spacing w:before="139"/>
      </w:pPr>
      <w:r>
        <w:rPr/>
        <w:t>13、国务院证券监督管理机构规定的其他职责。</w:t>
      </w:r>
    </w:p>
    <w:p>
      <w:pPr>
        <w:pStyle w:val="Heading2"/>
        <w:tabs>
          <w:tab w:pos="1216" w:val="left" w:leader="none"/>
        </w:tabs>
        <w:spacing w:before="141"/>
      </w:pPr>
      <w:bookmarkStart w:name="_bookmark27" w:id="28"/>
      <w:bookmarkEnd w:id="28"/>
      <w:r>
        <w:rPr/>
      </w:r>
      <w:r>
        <w:rPr/>
        <w:t>四、</w:t>
        <w:tab/>
        <w:t>基金管理人的承诺</w:t>
      </w:r>
    </w:p>
    <w:p>
      <w:pPr>
        <w:pStyle w:val="BodyText"/>
        <w:spacing w:line="364" w:lineRule="auto" w:before="185"/>
        <w:ind w:left="376" w:right="813" w:firstLine="420"/>
      </w:pPr>
      <w:r>
        <w:rPr/>
        <w:t>1、本基金管理人承诺严格遵守现行有效的相关法律、法规、规章、基金合同和中国证监会的有关规定，建立健全内部控制制度，采取有效措施，防止违反现行有效的有关法</w:t>
      </w:r>
    </w:p>
    <w:p>
      <w:pPr>
        <w:pStyle w:val="BodyText"/>
        <w:spacing w:line="268" w:lineRule="exact"/>
        <w:ind w:left="376"/>
      </w:pPr>
      <w:r>
        <w:rPr/>
        <w:t>律、法规、规章、基金合同和中国证监会有关规定的行为发生。</w:t>
      </w:r>
    </w:p>
    <w:p>
      <w:pPr>
        <w:pStyle w:val="BodyText"/>
        <w:spacing w:line="364" w:lineRule="auto" w:before="139"/>
        <w:ind w:left="376" w:right="813" w:firstLine="420"/>
      </w:pPr>
      <w:r>
        <w:rPr/>
        <w:t>2、本基金管理人承诺严格遵守《证券法》、《基金法》及有关法律法规，建立健全内部控制制度，采取有效措施，防止下列行为发生：</w:t>
      </w:r>
    </w:p>
    <w:p>
      <w:pPr>
        <w:pStyle w:val="ListParagraph"/>
        <w:numPr>
          <w:ilvl w:val="0"/>
          <w:numId w:val="17"/>
        </w:numPr>
        <w:tabs>
          <w:tab w:pos="1323" w:val="left" w:leader="none"/>
        </w:tabs>
        <w:spacing w:line="268" w:lineRule="exact" w:before="0" w:after="0"/>
        <w:ind w:left="1323" w:right="0" w:hanging="527"/>
        <w:jc w:val="left"/>
        <w:rPr>
          <w:sz w:val="21"/>
        </w:rPr>
      </w:pPr>
      <w:r>
        <w:rPr>
          <w:sz w:val="21"/>
        </w:rPr>
        <w:t>将其固有财产或者他人财产混同于基金财产从事证券投资；</w:t>
      </w:r>
    </w:p>
    <w:p>
      <w:pPr>
        <w:pStyle w:val="ListParagraph"/>
        <w:numPr>
          <w:ilvl w:val="0"/>
          <w:numId w:val="17"/>
        </w:numPr>
        <w:tabs>
          <w:tab w:pos="1323" w:val="left" w:leader="none"/>
        </w:tabs>
        <w:spacing w:line="240" w:lineRule="auto" w:before="139" w:after="0"/>
        <w:ind w:left="1323" w:right="0" w:hanging="527"/>
        <w:jc w:val="left"/>
        <w:rPr>
          <w:sz w:val="21"/>
        </w:rPr>
      </w:pPr>
      <w:r>
        <w:rPr>
          <w:sz w:val="21"/>
        </w:rPr>
        <w:t>不公平地对待其管理的不同基金财产；</w:t>
      </w:r>
    </w:p>
    <w:p>
      <w:pPr>
        <w:pStyle w:val="ListParagraph"/>
        <w:numPr>
          <w:ilvl w:val="0"/>
          <w:numId w:val="17"/>
        </w:numPr>
        <w:tabs>
          <w:tab w:pos="1323" w:val="left" w:leader="none"/>
        </w:tabs>
        <w:spacing w:line="240" w:lineRule="auto" w:before="140" w:after="0"/>
        <w:ind w:left="1323" w:right="0" w:hanging="527"/>
        <w:jc w:val="left"/>
        <w:rPr>
          <w:sz w:val="21"/>
        </w:rPr>
      </w:pPr>
      <w:r>
        <w:rPr>
          <w:sz w:val="21"/>
        </w:rPr>
        <w:t>利用基金财产或者职务之便为基金份额持有人以外的第三人谋取利益；</w:t>
      </w:r>
    </w:p>
    <w:p>
      <w:pPr>
        <w:pStyle w:val="ListParagraph"/>
        <w:numPr>
          <w:ilvl w:val="0"/>
          <w:numId w:val="17"/>
        </w:numPr>
        <w:tabs>
          <w:tab w:pos="1323" w:val="left" w:leader="none"/>
        </w:tabs>
        <w:spacing w:line="240" w:lineRule="auto" w:before="139" w:after="0"/>
        <w:ind w:left="1323" w:right="0" w:hanging="527"/>
        <w:jc w:val="left"/>
        <w:rPr>
          <w:sz w:val="21"/>
        </w:rPr>
      </w:pPr>
      <w:r>
        <w:rPr>
          <w:sz w:val="21"/>
        </w:rPr>
        <w:t>向基金份额持有人违规承诺收益或者承担损失；</w:t>
      </w:r>
    </w:p>
    <w:p>
      <w:pPr>
        <w:pStyle w:val="ListParagraph"/>
        <w:numPr>
          <w:ilvl w:val="0"/>
          <w:numId w:val="17"/>
        </w:numPr>
        <w:tabs>
          <w:tab w:pos="1323" w:val="left" w:leader="none"/>
        </w:tabs>
        <w:spacing w:line="240" w:lineRule="auto" w:before="140" w:after="0"/>
        <w:ind w:left="1323" w:right="0" w:hanging="527"/>
        <w:jc w:val="left"/>
        <w:rPr>
          <w:sz w:val="21"/>
        </w:rPr>
      </w:pPr>
      <w:r>
        <w:rPr>
          <w:sz w:val="21"/>
        </w:rPr>
        <w:t>侵占、挪用基金财产；</w:t>
      </w:r>
    </w:p>
    <w:p>
      <w:pPr>
        <w:pStyle w:val="ListParagraph"/>
        <w:numPr>
          <w:ilvl w:val="0"/>
          <w:numId w:val="17"/>
        </w:numPr>
        <w:tabs>
          <w:tab w:pos="1324" w:val="left" w:leader="none"/>
        </w:tabs>
        <w:spacing w:line="364" w:lineRule="auto" w:before="139" w:after="0"/>
        <w:ind w:left="376" w:right="795" w:firstLine="420"/>
        <w:jc w:val="left"/>
        <w:rPr>
          <w:sz w:val="21"/>
        </w:rPr>
      </w:pPr>
      <w:r>
        <w:rPr>
          <w:sz w:val="21"/>
        </w:rPr>
        <w:t>泄露因职务便利获取的未公开信息、利用该信息从事或者明示、暗示他人从事相关的交易活动；</w:t>
      </w:r>
    </w:p>
    <w:p>
      <w:pPr>
        <w:pStyle w:val="ListParagraph"/>
        <w:numPr>
          <w:ilvl w:val="0"/>
          <w:numId w:val="17"/>
        </w:numPr>
        <w:tabs>
          <w:tab w:pos="1323" w:val="left" w:leader="none"/>
        </w:tabs>
        <w:spacing w:line="268" w:lineRule="exact" w:before="0" w:after="0"/>
        <w:ind w:left="1323" w:right="0" w:hanging="527"/>
        <w:jc w:val="left"/>
        <w:rPr>
          <w:sz w:val="21"/>
        </w:rPr>
      </w:pPr>
      <w:r>
        <w:rPr>
          <w:sz w:val="21"/>
        </w:rPr>
        <w:t>玩忽职守，不按照规定履行职责；</w:t>
      </w:r>
    </w:p>
    <w:p>
      <w:pPr>
        <w:pStyle w:val="ListParagraph"/>
        <w:numPr>
          <w:ilvl w:val="0"/>
          <w:numId w:val="17"/>
        </w:numPr>
        <w:tabs>
          <w:tab w:pos="1323" w:val="left" w:leader="none"/>
        </w:tabs>
        <w:spacing w:line="240" w:lineRule="auto" w:before="140" w:after="0"/>
        <w:ind w:left="1323" w:right="0" w:hanging="527"/>
        <w:jc w:val="left"/>
        <w:rPr>
          <w:sz w:val="21"/>
        </w:rPr>
      </w:pPr>
      <w:r>
        <w:rPr>
          <w:sz w:val="21"/>
        </w:rPr>
        <w:t>法律、行政法规和中国证监会规定禁止的其他行为。</w:t>
      </w:r>
    </w:p>
    <w:p>
      <w:pPr>
        <w:spacing w:after="0" w:line="240" w:lineRule="auto"/>
        <w:jc w:val="left"/>
        <w:rPr>
          <w:sz w:val="21"/>
        </w:rPr>
        <w:sectPr>
          <w:pgSz w:w="11910" w:h="16840"/>
          <w:pgMar w:header="0" w:footer="1118" w:top="1380" w:bottom="1380" w:left="1420" w:right="1000"/>
        </w:sectPr>
      </w:pPr>
    </w:p>
    <w:p>
      <w:pPr>
        <w:pStyle w:val="BodyText"/>
        <w:spacing w:line="364" w:lineRule="auto" w:before="45"/>
        <w:ind w:left="376" w:right="813" w:firstLine="420"/>
      </w:pPr>
      <w:r>
        <w:rPr/>
        <w:t>3、本基金管理人承诺加强人员管理，强化职业操守，督促和约束员工遵守国家有关法律、法规及行业规范，诚实信用、勤勉尽责，不从事以下活动：</w:t>
      </w:r>
    </w:p>
    <w:p>
      <w:pPr>
        <w:pStyle w:val="ListParagraph"/>
        <w:numPr>
          <w:ilvl w:val="0"/>
          <w:numId w:val="18"/>
        </w:numPr>
        <w:tabs>
          <w:tab w:pos="1323" w:val="left" w:leader="none"/>
        </w:tabs>
        <w:spacing w:line="268" w:lineRule="exact" w:before="0" w:after="0"/>
        <w:ind w:left="1323" w:right="0" w:hanging="527"/>
        <w:jc w:val="left"/>
        <w:rPr>
          <w:sz w:val="21"/>
        </w:rPr>
      </w:pPr>
      <w:r>
        <w:rPr>
          <w:sz w:val="21"/>
        </w:rPr>
        <w:t>越权或违规经营；</w:t>
      </w:r>
    </w:p>
    <w:p>
      <w:pPr>
        <w:pStyle w:val="ListParagraph"/>
        <w:numPr>
          <w:ilvl w:val="0"/>
          <w:numId w:val="18"/>
        </w:numPr>
        <w:tabs>
          <w:tab w:pos="1323" w:val="left" w:leader="none"/>
        </w:tabs>
        <w:spacing w:line="240" w:lineRule="auto" w:before="139" w:after="0"/>
        <w:ind w:left="1323" w:right="0" w:hanging="527"/>
        <w:jc w:val="left"/>
        <w:rPr>
          <w:sz w:val="21"/>
        </w:rPr>
      </w:pPr>
      <w:r>
        <w:rPr>
          <w:sz w:val="21"/>
        </w:rPr>
        <w:t>违反基金合同或托管协议；</w:t>
      </w:r>
    </w:p>
    <w:p>
      <w:pPr>
        <w:pStyle w:val="ListParagraph"/>
        <w:numPr>
          <w:ilvl w:val="0"/>
          <w:numId w:val="18"/>
        </w:numPr>
        <w:tabs>
          <w:tab w:pos="1323" w:val="left" w:leader="none"/>
        </w:tabs>
        <w:spacing w:line="240" w:lineRule="auto" w:before="140" w:after="0"/>
        <w:ind w:left="1323" w:right="0" w:hanging="527"/>
        <w:jc w:val="left"/>
        <w:rPr>
          <w:sz w:val="21"/>
        </w:rPr>
      </w:pPr>
      <w:r>
        <w:rPr>
          <w:sz w:val="21"/>
        </w:rPr>
        <w:t>故意损害基金份额持有人或其他基金相关机构的合法利益；</w:t>
      </w:r>
    </w:p>
    <w:p>
      <w:pPr>
        <w:pStyle w:val="ListParagraph"/>
        <w:numPr>
          <w:ilvl w:val="0"/>
          <w:numId w:val="18"/>
        </w:numPr>
        <w:tabs>
          <w:tab w:pos="1323" w:val="left" w:leader="none"/>
        </w:tabs>
        <w:spacing w:line="240" w:lineRule="auto" w:before="139" w:after="0"/>
        <w:ind w:left="1323" w:right="0" w:hanging="527"/>
        <w:jc w:val="left"/>
        <w:rPr>
          <w:sz w:val="21"/>
        </w:rPr>
      </w:pPr>
      <w:r>
        <w:rPr>
          <w:sz w:val="21"/>
        </w:rPr>
        <w:t>在向中国证监会报送的资料中弄虚作假；</w:t>
      </w:r>
    </w:p>
    <w:p>
      <w:pPr>
        <w:pStyle w:val="ListParagraph"/>
        <w:numPr>
          <w:ilvl w:val="0"/>
          <w:numId w:val="18"/>
        </w:numPr>
        <w:tabs>
          <w:tab w:pos="1323" w:val="left" w:leader="none"/>
        </w:tabs>
        <w:spacing w:line="240" w:lineRule="auto" w:before="140" w:after="0"/>
        <w:ind w:left="1323" w:right="0" w:hanging="527"/>
        <w:jc w:val="left"/>
        <w:rPr>
          <w:sz w:val="21"/>
        </w:rPr>
      </w:pPr>
      <w:r>
        <w:rPr>
          <w:sz w:val="21"/>
        </w:rPr>
        <w:t>拒绝、干扰、阻挠或严重影响中国证监会依法监管；</w:t>
      </w:r>
    </w:p>
    <w:p>
      <w:pPr>
        <w:pStyle w:val="ListParagraph"/>
        <w:numPr>
          <w:ilvl w:val="0"/>
          <w:numId w:val="18"/>
        </w:numPr>
        <w:tabs>
          <w:tab w:pos="1323" w:val="left" w:leader="none"/>
        </w:tabs>
        <w:spacing w:line="240" w:lineRule="auto" w:before="139" w:after="0"/>
        <w:ind w:left="1323" w:right="0" w:hanging="527"/>
        <w:jc w:val="left"/>
        <w:rPr>
          <w:sz w:val="21"/>
        </w:rPr>
      </w:pPr>
      <w:r>
        <w:rPr>
          <w:sz w:val="21"/>
        </w:rPr>
        <w:t>玩忽职守、滥用职权；</w:t>
      </w:r>
    </w:p>
    <w:p>
      <w:pPr>
        <w:pStyle w:val="ListParagraph"/>
        <w:numPr>
          <w:ilvl w:val="0"/>
          <w:numId w:val="18"/>
        </w:numPr>
        <w:tabs>
          <w:tab w:pos="1323" w:val="left" w:leader="none"/>
        </w:tabs>
        <w:spacing w:line="364" w:lineRule="auto" w:before="140" w:after="0"/>
        <w:ind w:left="376" w:right="813" w:firstLine="420"/>
        <w:jc w:val="left"/>
        <w:rPr>
          <w:sz w:val="21"/>
        </w:rPr>
      </w:pPr>
      <w:r>
        <w:rPr>
          <w:spacing w:val="-1"/>
          <w:sz w:val="21"/>
        </w:rPr>
        <w:t>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18"/>
        </w:numPr>
        <w:tabs>
          <w:tab w:pos="1323" w:val="left" w:leader="none"/>
        </w:tabs>
        <w:spacing w:line="364" w:lineRule="auto" w:before="0" w:after="0"/>
        <w:ind w:left="376" w:right="813"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18"/>
        </w:numPr>
        <w:tabs>
          <w:tab w:pos="1323" w:val="left" w:leader="none"/>
        </w:tabs>
        <w:spacing w:line="268" w:lineRule="exact" w:before="0" w:after="0"/>
        <w:ind w:left="1323" w:right="0" w:hanging="527"/>
        <w:jc w:val="left"/>
        <w:rPr>
          <w:sz w:val="21"/>
        </w:rPr>
      </w:pPr>
      <w:r>
        <w:rPr>
          <w:sz w:val="21"/>
        </w:rPr>
        <w:t>贬损同行，以抬高自己；</w:t>
      </w:r>
    </w:p>
    <w:p>
      <w:pPr>
        <w:pStyle w:val="ListParagraph"/>
        <w:numPr>
          <w:ilvl w:val="0"/>
          <w:numId w:val="18"/>
        </w:numPr>
        <w:tabs>
          <w:tab w:pos="1428" w:val="left" w:leader="none"/>
        </w:tabs>
        <w:spacing w:line="240" w:lineRule="auto" w:before="138" w:after="0"/>
        <w:ind w:left="1428" w:right="0" w:hanging="632"/>
        <w:jc w:val="left"/>
        <w:rPr>
          <w:sz w:val="21"/>
        </w:rPr>
      </w:pPr>
      <w:r>
        <w:rPr>
          <w:sz w:val="21"/>
        </w:rPr>
        <w:t>以不正当手段谋求业务发展；</w:t>
      </w:r>
    </w:p>
    <w:p>
      <w:pPr>
        <w:pStyle w:val="ListParagraph"/>
        <w:numPr>
          <w:ilvl w:val="0"/>
          <w:numId w:val="18"/>
        </w:numPr>
        <w:tabs>
          <w:tab w:pos="1428" w:val="left" w:leader="none"/>
        </w:tabs>
        <w:spacing w:line="240" w:lineRule="auto" w:before="139" w:after="0"/>
        <w:ind w:left="1428" w:right="0" w:hanging="632"/>
        <w:jc w:val="left"/>
        <w:rPr>
          <w:sz w:val="21"/>
        </w:rPr>
      </w:pPr>
      <w:r>
        <w:rPr>
          <w:sz w:val="21"/>
        </w:rPr>
        <w:t>有悖社会公德，损害证券投资基金人员形象；</w:t>
      </w:r>
    </w:p>
    <w:p>
      <w:pPr>
        <w:pStyle w:val="ListParagraph"/>
        <w:numPr>
          <w:ilvl w:val="0"/>
          <w:numId w:val="18"/>
        </w:numPr>
        <w:tabs>
          <w:tab w:pos="1428" w:val="left" w:leader="none"/>
        </w:tabs>
        <w:spacing w:line="240" w:lineRule="auto" w:before="139" w:after="0"/>
        <w:ind w:left="1428" w:right="0" w:hanging="632"/>
        <w:jc w:val="left"/>
        <w:rPr>
          <w:sz w:val="21"/>
        </w:rPr>
      </w:pPr>
      <w:r>
        <w:rPr>
          <w:sz w:val="21"/>
        </w:rPr>
        <w:t>在公开信息披露和广告中故意含有虚假、误导、欺诈成分；</w:t>
      </w:r>
    </w:p>
    <w:p>
      <w:pPr>
        <w:pStyle w:val="ListParagraph"/>
        <w:numPr>
          <w:ilvl w:val="0"/>
          <w:numId w:val="18"/>
        </w:numPr>
        <w:tabs>
          <w:tab w:pos="1428" w:val="left" w:leader="none"/>
        </w:tabs>
        <w:spacing w:line="240" w:lineRule="auto" w:before="140" w:after="0"/>
        <w:ind w:left="1428" w:right="0" w:hanging="632"/>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19"/>
        </w:numPr>
        <w:tabs>
          <w:tab w:pos="1323" w:val="left" w:leader="none"/>
        </w:tabs>
        <w:spacing w:line="364" w:lineRule="auto" w:before="140" w:after="0"/>
        <w:ind w:left="376" w:right="813"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19"/>
        </w:numPr>
        <w:tabs>
          <w:tab w:pos="1323" w:val="left" w:leader="none"/>
        </w:tabs>
        <w:spacing w:line="268" w:lineRule="exact" w:before="0" w:after="0"/>
        <w:ind w:left="1323" w:right="0" w:hanging="527"/>
        <w:jc w:val="left"/>
        <w:rPr>
          <w:sz w:val="21"/>
        </w:rPr>
      </w:pPr>
      <w:r>
        <w:rPr>
          <w:sz w:val="21"/>
        </w:rPr>
        <w:t>不利用职务之便为自己及其代理人、受雇人或任何第三人谋取利益；</w:t>
      </w:r>
    </w:p>
    <w:p>
      <w:pPr>
        <w:pStyle w:val="ListParagraph"/>
        <w:numPr>
          <w:ilvl w:val="0"/>
          <w:numId w:val="19"/>
        </w:numPr>
        <w:tabs>
          <w:tab w:pos="1323" w:val="left" w:leader="none"/>
        </w:tabs>
        <w:spacing w:line="364" w:lineRule="auto" w:before="139" w:after="0"/>
        <w:ind w:left="376" w:right="813" w:firstLine="420"/>
        <w:jc w:val="left"/>
        <w:rPr>
          <w:sz w:val="21"/>
        </w:rPr>
      </w:pPr>
      <w:r>
        <w:rPr>
          <w:spacing w:val="-1"/>
          <w:sz w:val="21"/>
        </w:rPr>
        <w:t>不违反现行有效的有关法律、法规、规章、基金合同和中国证监会的有关规定， </w:t>
      </w:r>
      <w:r>
        <w:rPr>
          <w:sz w:val="21"/>
        </w:rPr>
        <w:t>泄漏在任职期间知悉的有关证券、基金的商业秘密、尚未依法公开的基金投资内容、基金投资计划等信息；</w:t>
      </w:r>
    </w:p>
    <w:p>
      <w:pPr>
        <w:pStyle w:val="ListParagraph"/>
        <w:numPr>
          <w:ilvl w:val="0"/>
          <w:numId w:val="19"/>
        </w:numPr>
        <w:tabs>
          <w:tab w:pos="1323" w:val="left" w:leader="none"/>
        </w:tabs>
        <w:spacing w:line="268" w:lineRule="exact" w:before="0" w:after="0"/>
        <w:ind w:left="1323" w:right="0" w:hanging="527"/>
        <w:jc w:val="left"/>
        <w:rPr>
          <w:sz w:val="21"/>
        </w:rPr>
      </w:pPr>
      <w:r>
        <w:rPr>
          <w:sz w:val="21"/>
        </w:rPr>
        <w:t>不从事损害基金财产和基金份额持有人利益的证券交易及其他活动。</w:t>
      </w:r>
    </w:p>
    <w:p>
      <w:pPr>
        <w:pStyle w:val="Heading2"/>
        <w:tabs>
          <w:tab w:pos="1216" w:val="left" w:leader="none"/>
        </w:tabs>
        <w:spacing w:before="141"/>
      </w:pPr>
      <w:bookmarkStart w:name="_bookmark28" w:id="29"/>
      <w:bookmarkEnd w:id="29"/>
      <w:r>
        <w:rPr/>
      </w:r>
      <w:r>
        <w:rPr/>
        <w:t>五、</w:t>
        <w:tab/>
        <w:t>基金管理人的内部控制制度</w:t>
      </w:r>
    </w:p>
    <w:p>
      <w:pPr>
        <w:pStyle w:val="BodyText"/>
        <w:spacing w:line="364" w:lineRule="auto" w:before="185"/>
        <w:ind w:left="376" w:right="918" w:firstLine="420"/>
        <w:jc w:val="both"/>
      </w:pPr>
      <w:r>
        <w:rPr>
          <w:spacing w:val="-1"/>
        </w:rPr>
        <w:t>为保证公司规范化运作，有效地防范和化解经营风险，促进公司诚信、合法、有效经营，保障基金份额持有人利益，维护公司及公司股东的合法权益，本基金管理人建立了科</w:t>
      </w:r>
      <w:r>
        <w:rPr/>
        <w:t>学、严密、高效的内部控制体系。</w:t>
      </w:r>
    </w:p>
    <w:p>
      <w:pPr>
        <w:pStyle w:val="BodyText"/>
        <w:spacing w:line="268" w:lineRule="exact"/>
      </w:pPr>
      <w:r>
        <w:rPr/>
        <w:t>1、公司内部控制的总体目标</w:t>
      </w:r>
    </w:p>
    <w:p>
      <w:pPr>
        <w:pStyle w:val="ListParagraph"/>
        <w:numPr>
          <w:ilvl w:val="0"/>
          <w:numId w:val="20"/>
        </w:numPr>
        <w:tabs>
          <w:tab w:pos="1323" w:val="left" w:leader="none"/>
        </w:tabs>
        <w:spacing w:line="240" w:lineRule="auto" w:before="139" w:after="0"/>
        <w:ind w:left="1323" w:right="0" w:hanging="527"/>
        <w:jc w:val="left"/>
        <w:rPr>
          <w:sz w:val="21"/>
        </w:rPr>
      </w:pPr>
      <w:r>
        <w:rPr>
          <w:sz w:val="21"/>
        </w:rPr>
        <w:t>保证公司经营管理活动的合法合规性；</w:t>
      </w:r>
    </w:p>
    <w:p>
      <w:pPr>
        <w:pStyle w:val="ListParagraph"/>
        <w:numPr>
          <w:ilvl w:val="0"/>
          <w:numId w:val="20"/>
        </w:numPr>
        <w:tabs>
          <w:tab w:pos="1323" w:val="left" w:leader="none"/>
        </w:tabs>
        <w:spacing w:line="240" w:lineRule="auto" w:before="139" w:after="0"/>
        <w:ind w:left="1323" w:right="0" w:hanging="527"/>
        <w:jc w:val="left"/>
        <w:rPr>
          <w:sz w:val="21"/>
        </w:rPr>
      </w:pPr>
      <w:r>
        <w:rPr>
          <w:sz w:val="21"/>
        </w:rPr>
        <w:t>保证基金份额持有人的合法权益不受侵犯；</w:t>
      </w:r>
    </w:p>
    <w:p>
      <w:pPr>
        <w:pStyle w:val="ListParagraph"/>
        <w:numPr>
          <w:ilvl w:val="0"/>
          <w:numId w:val="20"/>
        </w:numPr>
        <w:tabs>
          <w:tab w:pos="1323" w:val="left" w:leader="none"/>
        </w:tabs>
        <w:spacing w:line="240" w:lineRule="auto" w:before="140" w:after="0"/>
        <w:ind w:left="1323" w:right="0" w:hanging="527"/>
        <w:jc w:val="left"/>
        <w:rPr>
          <w:sz w:val="21"/>
        </w:rPr>
      </w:pPr>
      <w:r>
        <w:rPr>
          <w:sz w:val="21"/>
        </w:rPr>
        <w:t>实现公司稳健、持续发展，维护股东权益；</w:t>
      </w:r>
    </w:p>
    <w:p>
      <w:pPr>
        <w:spacing w:after="0" w:line="240" w:lineRule="auto"/>
        <w:jc w:val="left"/>
        <w:rPr>
          <w:sz w:val="21"/>
        </w:rPr>
        <w:sectPr>
          <w:pgSz w:w="11910" w:h="16840"/>
          <w:pgMar w:header="0" w:footer="1118" w:top="1380" w:bottom="1380" w:left="1420" w:right="1000"/>
        </w:sectPr>
      </w:pPr>
    </w:p>
    <w:p>
      <w:pPr>
        <w:pStyle w:val="ListParagraph"/>
        <w:numPr>
          <w:ilvl w:val="0"/>
          <w:numId w:val="20"/>
        </w:numPr>
        <w:tabs>
          <w:tab w:pos="1323" w:val="left" w:leader="none"/>
        </w:tabs>
        <w:spacing w:line="240" w:lineRule="auto" w:before="45" w:after="0"/>
        <w:ind w:left="1323" w:right="0" w:hanging="527"/>
        <w:jc w:val="left"/>
        <w:rPr>
          <w:sz w:val="21"/>
        </w:rPr>
      </w:pPr>
      <w:r>
        <w:rPr>
          <w:sz w:val="21"/>
        </w:rPr>
        <w:t>促进公司全体员工恪守职业操守，正直诚信，廉洁自律，勤勉尽责；</w:t>
      </w:r>
    </w:p>
    <w:p>
      <w:pPr>
        <w:pStyle w:val="ListParagraph"/>
        <w:numPr>
          <w:ilvl w:val="0"/>
          <w:numId w:val="20"/>
        </w:numPr>
        <w:tabs>
          <w:tab w:pos="1323" w:val="left" w:leader="none"/>
        </w:tabs>
        <w:spacing w:line="240" w:lineRule="auto" w:before="139" w:after="0"/>
        <w:ind w:left="1323" w:right="0" w:hanging="527"/>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21"/>
        </w:numPr>
        <w:tabs>
          <w:tab w:pos="1323" w:val="left" w:leader="none"/>
        </w:tabs>
        <w:spacing w:line="364" w:lineRule="auto" w:before="139" w:after="0"/>
        <w:ind w:left="376" w:right="813"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21"/>
        </w:numPr>
        <w:tabs>
          <w:tab w:pos="1323" w:val="left" w:leader="none"/>
        </w:tabs>
        <w:spacing w:line="364" w:lineRule="auto" w:before="0" w:after="0"/>
        <w:ind w:left="376" w:right="813"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21"/>
        </w:numPr>
        <w:tabs>
          <w:tab w:pos="1323" w:val="left" w:leader="none"/>
        </w:tabs>
        <w:spacing w:line="268" w:lineRule="exact" w:before="0" w:after="0"/>
        <w:ind w:left="1323" w:right="0" w:hanging="527"/>
        <w:jc w:val="left"/>
        <w:rPr>
          <w:sz w:val="21"/>
        </w:rPr>
      </w:pPr>
      <w:r>
        <w:rPr>
          <w:sz w:val="21"/>
        </w:rPr>
        <w:t>相互制约原则：公司设置的各部门、各岗位权责分明、相互制衡。</w:t>
      </w:r>
    </w:p>
    <w:p>
      <w:pPr>
        <w:pStyle w:val="ListParagraph"/>
        <w:numPr>
          <w:ilvl w:val="0"/>
          <w:numId w:val="21"/>
        </w:numPr>
        <w:tabs>
          <w:tab w:pos="1323" w:val="left" w:leader="none"/>
        </w:tabs>
        <w:spacing w:line="364" w:lineRule="auto" w:before="139" w:after="0"/>
        <w:ind w:left="376" w:right="813"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21"/>
        </w:numPr>
        <w:tabs>
          <w:tab w:pos="1323" w:val="left" w:leader="none"/>
        </w:tabs>
        <w:spacing w:line="364" w:lineRule="auto" w:before="0" w:after="0"/>
        <w:ind w:left="376" w:right="813" w:firstLine="420"/>
        <w:jc w:val="left"/>
        <w:rPr>
          <w:sz w:val="21"/>
        </w:rPr>
      </w:pPr>
      <w:r>
        <w:rPr>
          <w:spacing w:val="-1"/>
          <w:sz w:val="21"/>
        </w:rPr>
        <w:t>有效性原则：各种内部管理制度具有高度的权威性，应是所有员工严格遵守的行</w:t>
      </w:r>
      <w:r>
        <w:rPr>
          <w:sz w:val="21"/>
        </w:rPr>
        <w:t>动指南；执行内部管理制度不能有任何例外，任何人不得拥有超越制度或违反规章的权</w:t>
      </w:r>
    </w:p>
    <w:p>
      <w:pPr>
        <w:pStyle w:val="BodyText"/>
        <w:spacing w:line="268" w:lineRule="exact"/>
        <w:ind w:left="376"/>
      </w:pPr>
      <w:r>
        <w:rPr/>
        <w:t>力；</w:t>
      </w:r>
    </w:p>
    <w:p>
      <w:pPr>
        <w:pStyle w:val="ListParagraph"/>
        <w:numPr>
          <w:ilvl w:val="0"/>
          <w:numId w:val="21"/>
        </w:numPr>
        <w:tabs>
          <w:tab w:pos="1323" w:val="left" w:leader="none"/>
        </w:tabs>
        <w:spacing w:line="364" w:lineRule="auto" w:before="138" w:after="0"/>
        <w:ind w:left="376" w:right="813" w:firstLine="420"/>
        <w:jc w:val="left"/>
        <w:rPr>
          <w:sz w:val="21"/>
        </w:rPr>
      </w:pPr>
      <w:r>
        <w:rPr>
          <w:spacing w:val="-1"/>
          <w:sz w:val="21"/>
        </w:rPr>
        <w:t>适时性原则：内部控制应具有前瞻性，并且必须随着公司经营战略、经营方针、</w:t>
      </w:r>
      <w:r>
        <w:rPr>
          <w:sz w:val="21"/>
        </w:rPr>
        <w:t>经营理念等内部环境的变化和国家法律、法规、政策制度等外部环境的改变及时进行相应的修改和完善；</w:t>
      </w:r>
    </w:p>
    <w:p>
      <w:pPr>
        <w:pStyle w:val="ListParagraph"/>
        <w:numPr>
          <w:ilvl w:val="0"/>
          <w:numId w:val="21"/>
        </w:numPr>
        <w:tabs>
          <w:tab w:pos="1323" w:val="left" w:leader="none"/>
        </w:tabs>
        <w:spacing w:line="364" w:lineRule="auto" w:before="0" w:after="0"/>
        <w:ind w:left="376" w:right="813"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line="364" w:lineRule="auto" w:before="138"/>
        <w:ind w:left="376" w:right="585" w:firstLine="420"/>
      </w:pPr>
      <w:r>
        <w:rPr>
          <w:spacing w:val="-8"/>
        </w:rPr>
        <w:t>公司制定了合理、完备、有效并易于执行的制度体系。公司制度体系由不同层面的制度 </w:t>
      </w:r>
      <w:r>
        <w:rPr>
          <w:spacing w:val="-12"/>
        </w:rPr>
        <w:t>构成。按照其效力大小分为四个层面：第一个层面是公司章程；第二个层面是公司内部控制 </w:t>
      </w:r>
      <w:r>
        <w:rPr>
          <w:spacing w:val="-16"/>
        </w:rPr>
        <w:t>大纲，它是公司制定各项规章制度的基础和依据；第三个层面是公司基本管理制度；第四个 </w:t>
      </w:r>
      <w:r>
        <w:rPr/>
        <w:t>层面是公司各机构、部门根据业务需要制定的各种制度及实施细则等。它们的制订、修改、</w:t>
      </w:r>
      <w:r>
        <w:rPr>
          <w:spacing w:val="-9"/>
        </w:rPr>
        <w:t>实施、废止应该遵循相应的程序，每一层面的内容不得与其以上层面的内容相违背。公司重 </w:t>
      </w:r>
      <w:r>
        <w:rPr/>
        <w:t>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22"/>
        </w:numPr>
        <w:tabs>
          <w:tab w:pos="1323" w:val="left" w:leader="none"/>
        </w:tabs>
        <w:spacing w:line="240" w:lineRule="auto" w:before="140" w:after="0"/>
        <w:ind w:left="1323" w:right="0" w:hanging="527"/>
        <w:jc w:val="left"/>
        <w:rPr>
          <w:sz w:val="21"/>
        </w:rPr>
      </w:pPr>
      <w:r>
        <w:rPr>
          <w:sz w:val="21"/>
        </w:rPr>
        <w:t>授权制度</w:t>
      </w:r>
    </w:p>
    <w:p>
      <w:pPr>
        <w:pStyle w:val="BodyText"/>
        <w:spacing w:line="364" w:lineRule="auto" w:before="139"/>
        <w:ind w:left="376" w:right="794"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9"/>
        </w:rPr>
        <w:t>围内进行。公司重大业务的授权必须采取书面形式，授权书应当明确授权内容和时效。公司</w:t>
      </w:r>
      <w:r>
        <w:rPr>
          <w:spacing w:val="-10"/>
        </w:rPr>
        <w:t>授权要适当，对已获授权的部门和人员应建立有效的评价和反馈机制，对已不适用的授权应</w:t>
      </w:r>
      <w:r>
        <w:rPr/>
        <w:t>及时修改或取消授权。</w:t>
      </w:r>
    </w:p>
    <w:p>
      <w:pPr>
        <w:spacing w:after="0" w:line="364" w:lineRule="auto"/>
        <w:jc w:val="both"/>
        <w:sectPr>
          <w:pgSz w:w="11910" w:h="16840"/>
          <w:pgMar w:header="0" w:footer="1118" w:top="1380" w:bottom="1380" w:left="1420" w:right="1000"/>
        </w:sectPr>
      </w:pPr>
    </w:p>
    <w:p>
      <w:pPr>
        <w:pStyle w:val="ListParagraph"/>
        <w:numPr>
          <w:ilvl w:val="0"/>
          <w:numId w:val="22"/>
        </w:numPr>
        <w:tabs>
          <w:tab w:pos="1323" w:val="left" w:leader="none"/>
        </w:tabs>
        <w:spacing w:line="240" w:lineRule="auto" w:before="45" w:after="0"/>
        <w:ind w:left="1323" w:right="0" w:hanging="527"/>
        <w:jc w:val="left"/>
        <w:rPr>
          <w:sz w:val="21"/>
        </w:rPr>
      </w:pPr>
      <w:r>
        <w:rPr>
          <w:sz w:val="21"/>
        </w:rPr>
        <w:t>公司研究业务</w:t>
      </w:r>
    </w:p>
    <w:p>
      <w:pPr>
        <w:pStyle w:val="BodyText"/>
        <w:spacing w:line="364" w:lineRule="auto" w:before="139"/>
        <w:ind w:left="376" w:right="794"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22"/>
        </w:numPr>
        <w:tabs>
          <w:tab w:pos="1323" w:val="left" w:leader="none"/>
        </w:tabs>
        <w:spacing w:line="267" w:lineRule="exact" w:before="0" w:after="0"/>
        <w:ind w:left="1323" w:right="0" w:hanging="527"/>
        <w:jc w:val="left"/>
        <w:rPr>
          <w:sz w:val="21"/>
        </w:rPr>
      </w:pPr>
      <w:r>
        <w:rPr>
          <w:sz w:val="21"/>
        </w:rPr>
        <w:t>基金投资业务</w:t>
      </w:r>
    </w:p>
    <w:p>
      <w:pPr>
        <w:pStyle w:val="BodyText"/>
        <w:spacing w:line="364" w:lineRule="auto" w:before="140"/>
        <w:ind w:left="376" w:right="794" w:firstLine="420"/>
        <w:jc w:val="both"/>
      </w:pPr>
      <w:r>
        <w:rPr>
          <w:spacing w:val="-7"/>
        </w:rPr>
        <w:t>基金投资应确立科学的投资理念，根据决策的风险防范原则和效率性原则制定合理的决</w:t>
      </w:r>
      <w:r>
        <w:rPr>
          <w:spacing w:val="-11"/>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22"/>
        </w:numPr>
        <w:tabs>
          <w:tab w:pos="1323" w:val="left" w:leader="none"/>
        </w:tabs>
        <w:spacing w:line="267" w:lineRule="exact" w:before="0" w:after="0"/>
        <w:ind w:left="1323" w:right="0" w:hanging="527"/>
        <w:jc w:val="left"/>
        <w:rPr>
          <w:sz w:val="21"/>
        </w:rPr>
      </w:pPr>
      <w:r>
        <w:rPr>
          <w:sz w:val="21"/>
        </w:rPr>
        <w:t>交易业务</w:t>
      </w:r>
    </w:p>
    <w:p>
      <w:pPr>
        <w:pStyle w:val="BodyText"/>
        <w:spacing w:line="364" w:lineRule="auto" w:before="139"/>
        <w:ind w:left="376" w:right="689" w:firstLine="420"/>
      </w:pPr>
      <w:r>
        <w:rPr>
          <w:spacing w:val="-11"/>
        </w:rPr>
        <w:t>建立集中交易室和集中交易制度，投资指令通过集中交易室完成；应建立交易监测系统、</w:t>
      </w:r>
      <w:r>
        <w:rPr>
          <w:spacing w:val="-5"/>
        </w:rPr>
        <w:t>预警系统和交易反馈系统，完善相关的安全设施；集中交易室应对交易指令进行审核，建立</w:t>
      </w:r>
      <w:r>
        <w:rPr>
          <w:spacing w:val="-9"/>
        </w:rPr>
        <w:t>公平的交易分配制度，确保各基金利益的公平；交易记录应完善，并及时进行反馈、核对和存档保管；同时应建立科学的投资交易绩效评价体系。</w:t>
      </w:r>
    </w:p>
    <w:p>
      <w:pPr>
        <w:pStyle w:val="ListParagraph"/>
        <w:numPr>
          <w:ilvl w:val="0"/>
          <w:numId w:val="22"/>
        </w:numPr>
        <w:tabs>
          <w:tab w:pos="1323" w:val="left" w:leader="none"/>
        </w:tabs>
        <w:spacing w:line="267" w:lineRule="exact" w:before="0" w:after="0"/>
        <w:ind w:left="1323" w:right="0" w:hanging="527"/>
        <w:jc w:val="left"/>
        <w:rPr>
          <w:sz w:val="21"/>
        </w:rPr>
      </w:pPr>
      <w:r>
        <w:rPr>
          <w:sz w:val="21"/>
        </w:rPr>
        <w:t>基金会计核算</w:t>
      </w:r>
    </w:p>
    <w:p>
      <w:pPr>
        <w:pStyle w:val="BodyText"/>
        <w:spacing w:line="364" w:lineRule="auto" w:before="140"/>
        <w:ind w:left="376" w:right="603" w:firstLine="420"/>
      </w:pPr>
      <w:r>
        <w:rPr>
          <w:spacing w:val="-6"/>
        </w:rPr>
        <w:t>公司根据法律法规及业务的要求建立会计制度，并根据风险控制点建立严密的会计系统， </w:t>
      </w:r>
      <w:r>
        <w:rPr>
          <w:spacing w:val="-5"/>
        </w:rPr>
        <w:t>对于不同基金、不同客户独立建账，独立核算；公司通过复核制度、凭证制度、合理的估值</w:t>
      </w:r>
      <w:r>
        <w:rPr>
          <w:spacing w:val="-10"/>
        </w:rPr>
        <w:t>方法和估值程序等会计措施真实、完整、及时地记载每一笔业务并正确进行会计核算和业务核算。同时还建立会计档案保管制度，确保档案真实完整。</w:t>
      </w:r>
    </w:p>
    <w:p>
      <w:pPr>
        <w:pStyle w:val="ListParagraph"/>
        <w:numPr>
          <w:ilvl w:val="0"/>
          <w:numId w:val="22"/>
        </w:numPr>
        <w:tabs>
          <w:tab w:pos="1323" w:val="left" w:leader="none"/>
        </w:tabs>
        <w:spacing w:line="267" w:lineRule="exact" w:before="0" w:after="0"/>
        <w:ind w:left="1323" w:right="0" w:hanging="527"/>
        <w:jc w:val="left"/>
        <w:rPr>
          <w:sz w:val="21"/>
        </w:rPr>
      </w:pPr>
      <w:r>
        <w:rPr>
          <w:sz w:val="21"/>
        </w:rPr>
        <w:t>信息披露</w:t>
      </w:r>
    </w:p>
    <w:p>
      <w:pPr>
        <w:pStyle w:val="BodyText"/>
        <w:spacing w:line="364" w:lineRule="auto" w:before="139"/>
        <w:ind w:left="376" w:right="794"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8"/>
        </w:rPr>
        <w:t>对信息的审查核对，使所公布的信息符合法律法规的规定，同时加强对信息披露的检查和评</w:t>
      </w:r>
      <w:r>
        <w:rPr/>
        <w:t>价，对存在的问题及时提出改进办法。</w:t>
      </w:r>
    </w:p>
    <w:p>
      <w:pPr>
        <w:pStyle w:val="ListParagraph"/>
        <w:numPr>
          <w:ilvl w:val="0"/>
          <w:numId w:val="22"/>
        </w:numPr>
        <w:tabs>
          <w:tab w:pos="1323" w:val="left" w:leader="none"/>
        </w:tabs>
        <w:spacing w:line="267" w:lineRule="exact" w:before="0" w:after="0"/>
        <w:ind w:left="1323" w:right="0" w:hanging="527"/>
        <w:jc w:val="left"/>
        <w:rPr>
          <w:sz w:val="21"/>
        </w:rPr>
      </w:pPr>
      <w:r>
        <w:rPr>
          <w:sz w:val="21"/>
        </w:rPr>
        <w:t>监察与合规管理</w:t>
      </w:r>
    </w:p>
    <w:p>
      <w:pPr>
        <w:pStyle w:val="BodyText"/>
        <w:spacing w:line="364" w:lineRule="auto" w:before="140"/>
        <w:ind w:left="376" w:right="794" w:firstLine="420"/>
        <w:jc w:val="both"/>
      </w:pPr>
      <w:r>
        <w:rPr>
          <w:spacing w:val="-8"/>
        </w:rPr>
        <w:t>公司设立督察长，经董事会聘任，报中国证监会核准。根据公司监察与合规管理工作的需要和董事会授权，督察长可以列席公司相关会议，调阅公司相关档案，就内部控制制度的</w:t>
      </w:r>
      <w:r>
        <w:rPr>
          <w:spacing w:val="-7"/>
        </w:rPr>
        <w:t>执行情况独立地履行检查、评价、报告、建议职能。督察长定期和不定期向董事会报告公司</w:t>
      </w:r>
      <w:r>
        <w:rPr/>
        <w:t>内部控制执行情况，董事会对督察长的报告进行审议。</w:t>
      </w:r>
    </w:p>
    <w:p>
      <w:pPr>
        <w:pStyle w:val="BodyText"/>
        <w:spacing w:line="364" w:lineRule="auto"/>
        <w:ind w:left="376" w:right="794"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spacing w:after="0" w:line="364" w:lineRule="auto"/>
        <w:jc w:val="both"/>
        <w:sectPr>
          <w:pgSz w:w="11910" w:h="16840"/>
          <w:pgMar w:header="0" w:footer="1118" w:top="1380" w:bottom="1380" w:left="1420" w:right="1000"/>
        </w:sectPr>
      </w:pPr>
    </w:p>
    <w:p>
      <w:pPr>
        <w:pStyle w:val="BodyText"/>
        <w:spacing w:line="364" w:lineRule="auto" w:before="45"/>
        <w:ind w:left="376" w:right="480" w:firstLine="420"/>
      </w:pPr>
      <w:r>
        <w:rPr/>
        <w:t>监察合规管理部门强化内部检查制度，通过定期或不定期检查内部控制制度的执行情况， 促使公司各项经营管理活动的规范运行。</w:t>
      </w:r>
    </w:p>
    <w:p>
      <w:pPr>
        <w:pStyle w:val="BodyText"/>
        <w:spacing w:line="364" w:lineRule="auto"/>
        <w:ind w:left="376" w:right="794"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23"/>
        </w:numPr>
        <w:tabs>
          <w:tab w:pos="1323" w:val="left" w:leader="none"/>
        </w:tabs>
        <w:spacing w:line="240" w:lineRule="auto" w:before="138" w:after="0"/>
        <w:ind w:left="1323" w:right="0" w:hanging="527"/>
        <w:jc w:val="left"/>
        <w:rPr>
          <w:sz w:val="21"/>
        </w:rPr>
      </w:pPr>
      <w:r>
        <w:rPr>
          <w:sz w:val="21"/>
        </w:rPr>
        <w:t>本公司承诺以上关于内部控制制度的披露真实、准确；</w:t>
      </w:r>
    </w:p>
    <w:p>
      <w:pPr>
        <w:pStyle w:val="ListParagraph"/>
        <w:numPr>
          <w:ilvl w:val="0"/>
          <w:numId w:val="23"/>
        </w:numPr>
        <w:tabs>
          <w:tab w:pos="1323" w:val="left" w:leader="none"/>
        </w:tabs>
        <w:spacing w:line="240" w:lineRule="auto" w:before="140" w:after="0"/>
        <w:ind w:left="1323"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18" w:top="1380" w:bottom="1380" w:left="1420" w:right="1000"/>
        </w:sectPr>
      </w:pPr>
    </w:p>
    <w:p>
      <w:pPr>
        <w:pStyle w:val="Heading1"/>
        <w:tabs>
          <w:tab w:pos="1260" w:val="left" w:leader="none"/>
        </w:tabs>
      </w:pPr>
      <w:bookmarkStart w:name="_bookmark29" w:id="30"/>
      <w:bookmarkEnd w:id="30"/>
      <w:r>
        <w:rPr>
          <w:b w:val="0"/>
        </w:rPr>
      </w:r>
      <w:r>
        <w:rPr/>
        <w:t>第七节</w:t>
        <w:tab/>
        <w:t>基金的份额类别</w:t>
      </w:r>
    </w:p>
    <w:p>
      <w:pPr>
        <w:pStyle w:val="BodyText"/>
        <w:spacing w:before="14"/>
        <w:ind w:left="0"/>
        <w:rPr>
          <w:rFonts w:ascii="Microsoft JhengHei"/>
          <w:b/>
          <w:sz w:val="29"/>
        </w:rPr>
      </w:pPr>
    </w:p>
    <w:p>
      <w:pPr>
        <w:pStyle w:val="BodyText"/>
        <w:spacing w:line="417" w:lineRule="auto"/>
        <w:ind w:left="376" w:right="794" w:firstLine="420"/>
        <w:jc w:val="both"/>
      </w:pPr>
      <w:r>
        <w:rPr>
          <w:spacing w:val="-6"/>
        </w:rPr>
        <w:t>本基金将基金份额分为不同的类别。在投资人申购基金时收取申购费用，并不再从本类</w:t>
      </w:r>
      <w:r>
        <w:rPr/>
        <w:t>别基金资产中计提销售服务费的基金份额，称为A类基金份额；从本类别基金资产中计提销售服务费，并不收取申购费用的基金份额，称为C类基金份额。在每一份额类别内，根据申购、赎回计价币种的不同，分为人民币份额和美元份额（特指美元现汇基金份额，下同</w:t>
      </w:r>
      <w:r>
        <w:rPr>
          <w:spacing w:val="-105"/>
        </w:rPr>
        <w:t>）</w:t>
      </w:r>
      <w:r>
        <w:rPr/>
        <w:t>。</w:t>
      </w:r>
    </w:p>
    <w:p>
      <w:pPr>
        <w:pStyle w:val="BodyText"/>
        <w:spacing w:line="417" w:lineRule="auto"/>
        <w:ind w:left="376" w:right="585" w:firstLine="420"/>
      </w:pPr>
      <w:r>
        <w:rPr/>
        <w:pict>
          <v:shape style="position:absolute;margin-left:89.849998pt;margin-top:88.544998pt;width:427.85pt;height:228.2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1"/>
                    <w:gridCol w:w="1676"/>
                    <w:gridCol w:w="1701"/>
                    <w:gridCol w:w="1843"/>
                    <w:gridCol w:w="1771"/>
                  </w:tblGrid>
                  <w:tr>
                    <w:trPr>
                      <w:trHeight w:val="408" w:hRule="atLeast"/>
                    </w:trPr>
                    <w:tc>
                      <w:tcPr>
                        <w:tcW w:w="1551" w:type="dxa"/>
                      </w:tcPr>
                      <w:p>
                        <w:pPr>
                          <w:pStyle w:val="TableParagraph"/>
                          <w:spacing w:line="320" w:lineRule="exact"/>
                          <w:ind w:left="353"/>
                          <w:rPr>
                            <w:rFonts w:ascii="Microsoft JhengHei" w:eastAsia="Microsoft JhengHei" w:hint="eastAsia"/>
                            <w:b/>
                            <w:sz w:val="21"/>
                          </w:rPr>
                        </w:pPr>
                        <w:r>
                          <w:rPr>
                            <w:rFonts w:ascii="Microsoft JhengHei" w:eastAsia="Microsoft JhengHei" w:hint="eastAsia"/>
                            <w:b/>
                            <w:sz w:val="21"/>
                          </w:rPr>
                          <w:t>份额类别</w:t>
                        </w:r>
                      </w:p>
                    </w:tc>
                    <w:tc>
                      <w:tcPr>
                        <w:tcW w:w="1676" w:type="dxa"/>
                      </w:tcPr>
                      <w:p>
                        <w:pPr>
                          <w:pStyle w:val="TableParagraph"/>
                          <w:spacing w:line="320" w:lineRule="exact"/>
                          <w:ind w:left="112" w:right="103"/>
                          <w:jc w:val="center"/>
                          <w:rPr>
                            <w:rFonts w:ascii="Microsoft JhengHei" w:eastAsia="Microsoft JhengHei" w:hint="eastAsia"/>
                            <w:b/>
                            <w:sz w:val="21"/>
                          </w:rPr>
                        </w:pPr>
                        <w:r>
                          <w:rPr>
                            <w:rFonts w:ascii="Microsoft JhengHei" w:eastAsia="Microsoft JhengHei" w:hint="eastAsia"/>
                            <w:b/>
                            <w:sz w:val="21"/>
                          </w:rPr>
                          <w:t>A类人民币份额</w:t>
                        </w:r>
                      </w:p>
                    </w:tc>
                    <w:tc>
                      <w:tcPr>
                        <w:tcW w:w="1701" w:type="dxa"/>
                      </w:tcPr>
                      <w:p>
                        <w:pPr>
                          <w:pStyle w:val="TableParagraph"/>
                          <w:spacing w:line="320" w:lineRule="exact"/>
                          <w:ind w:left="129" w:right="120"/>
                          <w:jc w:val="center"/>
                          <w:rPr>
                            <w:rFonts w:ascii="Microsoft JhengHei" w:eastAsia="Microsoft JhengHei" w:hint="eastAsia"/>
                            <w:b/>
                            <w:sz w:val="21"/>
                          </w:rPr>
                        </w:pPr>
                        <w:r>
                          <w:rPr>
                            <w:rFonts w:ascii="Microsoft JhengHei" w:eastAsia="Microsoft JhengHei" w:hint="eastAsia"/>
                            <w:b/>
                            <w:sz w:val="21"/>
                          </w:rPr>
                          <w:t>C类人民币份额</w:t>
                        </w:r>
                      </w:p>
                    </w:tc>
                    <w:tc>
                      <w:tcPr>
                        <w:tcW w:w="1843" w:type="dxa"/>
                      </w:tcPr>
                      <w:p>
                        <w:pPr>
                          <w:pStyle w:val="TableParagraph"/>
                          <w:spacing w:line="320" w:lineRule="exact"/>
                          <w:ind w:left="113" w:right="104"/>
                          <w:jc w:val="center"/>
                          <w:rPr>
                            <w:rFonts w:ascii="Microsoft JhengHei" w:eastAsia="Microsoft JhengHei" w:hint="eastAsia"/>
                            <w:b/>
                            <w:sz w:val="21"/>
                          </w:rPr>
                        </w:pPr>
                        <w:r>
                          <w:rPr>
                            <w:rFonts w:ascii="Microsoft JhengHei" w:eastAsia="Microsoft JhengHei" w:hint="eastAsia"/>
                            <w:b/>
                            <w:sz w:val="21"/>
                          </w:rPr>
                          <w:t>A类美元份额</w:t>
                        </w:r>
                      </w:p>
                    </w:tc>
                    <w:tc>
                      <w:tcPr>
                        <w:tcW w:w="1771" w:type="dxa"/>
                      </w:tcPr>
                      <w:p>
                        <w:pPr>
                          <w:pStyle w:val="TableParagraph"/>
                          <w:spacing w:line="320" w:lineRule="exact"/>
                          <w:ind w:left="269" w:right="260"/>
                          <w:jc w:val="center"/>
                          <w:rPr>
                            <w:rFonts w:ascii="Microsoft JhengHei" w:eastAsia="Microsoft JhengHei" w:hint="eastAsia"/>
                            <w:b/>
                            <w:sz w:val="21"/>
                          </w:rPr>
                        </w:pPr>
                        <w:r>
                          <w:rPr>
                            <w:rFonts w:ascii="Microsoft JhengHei" w:eastAsia="Microsoft JhengHei" w:hint="eastAsia"/>
                            <w:b/>
                            <w:sz w:val="21"/>
                          </w:rPr>
                          <w:t>C类美元份额</w:t>
                        </w:r>
                      </w:p>
                    </w:tc>
                  </w:tr>
                  <w:tr>
                    <w:trPr>
                      <w:trHeight w:val="816" w:hRule="atLeast"/>
                    </w:trPr>
                    <w:tc>
                      <w:tcPr>
                        <w:tcW w:w="1551" w:type="dxa"/>
                      </w:tcPr>
                      <w:p>
                        <w:pPr>
                          <w:pStyle w:val="TableParagraph"/>
                          <w:spacing w:before="3"/>
                          <w:ind w:left="125" w:right="115"/>
                          <w:jc w:val="center"/>
                          <w:rPr>
                            <w:sz w:val="21"/>
                          </w:rPr>
                        </w:pPr>
                        <w:r>
                          <w:rPr>
                            <w:sz w:val="21"/>
                          </w:rPr>
                          <w:t>首次申购最低</w:t>
                        </w:r>
                      </w:p>
                      <w:p>
                        <w:pPr>
                          <w:pStyle w:val="TableParagraph"/>
                          <w:spacing w:before="139"/>
                          <w:ind w:left="125" w:right="115"/>
                          <w:jc w:val="center"/>
                          <w:rPr>
                            <w:sz w:val="21"/>
                          </w:rPr>
                        </w:pPr>
                        <w:r>
                          <w:rPr>
                            <w:sz w:val="21"/>
                          </w:rPr>
                          <w:t>金额</w:t>
                        </w:r>
                      </w:p>
                    </w:tc>
                    <w:tc>
                      <w:tcPr>
                        <w:tcW w:w="1676" w:type="dxa"/>
                      </w:tcPr>
                      <w:p>
                        <w:pPr>
                          <w:pStyle w:val="TableParagraph"/>
                          <w:spacing w:before="3"/>
                          <w:ind w:left="112" w:right="102"/>
                          <w:jc w:val="center"/>
                          <w:rPr>
                            <w:sz w:val="21"/>
                          </w:rPr>
                        </w:pPr>
                        <w:r>
                          <w:rPr>
                            <w:sz w:val="21"/>
                          </w:rPr>
                          <w:t>1元（直销中心</w:t>
                        </w:r>
                      </w:p>
                      <w:p>
                        <w:pPr>
                          <w:pStyle w:val="TableParagraph"/>
                          <w:spacing w:before="139"/>
                          <w:ind w:left="112" w:right="102"/>
                          <w:jc w:val="center"/>
                          <w:rPr>
                            <w:sz w:val="21"/>
                          </w:rPr>
                        </w:pPr>
                        <w:r>
                          <w:rPr>
                            <w:sz w:val="21"/>
                          </w:rPr>
                          <w:t>为5万元）</w:t>
                        </w:r>
                      </w:p>
                    </w:tc>
                    <w:tc>
                      <w:tcPr>
                        <w:tcW w:w="1701" w:type="dxa"/>
                      </w:tcPr>
                      <w:p>
                        <w:pPr>
                          <w:pStyle w:val="TableParagraph"/>
                          <w:spacing w:before="3"/>
                          <w:ind w:left="129" w:right="119"/>
                          <w:jc w:val="center"/>
                          <w:rPr>
                            <w:sz w:val="21"/>
                          </w:rPr>
                        </w:pPr>
                        <w:r>
                          <w:rPr>
                            <w:sz w:val="21"/>
                          </w:rPr>
                          <w:t>1元（直销中心</w:t>
                        </w:r>
                      </w:p>
                      <w:p>
                        <w:pPr>
                          <w:pStyle w:val="TableParagraph"/>
                          <w:spacing w:before="139"/>
                          <w:ind w:left="129" w:right="119"/>
                          <w:jc w:val="center"/>
                          <w:rPr>
                            <w:sz w:val="21"/>
                          </w:rPr>
                        </w:pPr>
                        <w:r>
                          <w:rPr>
                            <w:sz w:val="21"/>
                          </w:rPr>
                          <w:t>为5万元）</w:t>
                        </w:r>
                      </w:p>
                    </w:tc>
                    <w:tc>
                      <w:tcPr>
                        <w:tcW w:w="1843" w:type="dxa"/>
                      </w:tcPr>
                      <w:p>
                        <w:pPr>
                          <w:pStyle w:val="TableParagraph"/>
                          <w:spacing w:before="3"/>
                          <w:ind w:left="113" w:right="104"/>
                          <w:jc w:val="center"/>
                          <w:rPr>
                            <w:sz w:val="21"/>
                          </w:rPr>
                        </w:pPr>
                        <w:r>
                          <w:rPr>
                            <w:sz w:val="21"/>
                          </w:rPr>
                          <w:t>1美元（直销中心</w:t>
                        </w:r>
                      </w:p>
                      <w:p>
                        <w:pPr>
                          <w:pStyle w:val="TableParagraph"/>
                          <w:spacing w:before="139"/>
                          <w:ind w:left="113" w:right="104"/>
                          <w:jc w:val="center"/>
                          <w:rPr>
                            <w:sz w:val="21"/>
                          </w:rPr>
                        </w:pPr>
                        <w:r>
                          <w:rPr>
                            <w:sz w:val="21"/>
                          </w:rPr>
                          <w:t>为100美元）</w:t>
                        </w:r>
                      </w:p>
                    </w:tc>
                    <w:tc>
                      <w:tcPr>
                        <w:tcW w:w="1771" w:type="dxa"/>
                      </w:tcPr>
                      <w:p>
                        <w:pPr>
                          <w:pStyle w:val="TableParagraph"/>
                          <w:spacing w:before="3"/>
                          <w:ind w:left="202"/>
                          <w:rPr>
                            <w:sz w:val="21"/>
                          </w:rPr>
                        </w:pPr>
                        <w:r>
                          <w:rPr>
                            <w:sz w:val="21"/>
                          </w:rPr>
                          <w:t>1美元（直销中</w:t>
                        </w:r>
                      </w:p>
                      <w:p>
                        <w:pPr>
                          <w:pStyle w:val="TableParagraph"/>
                          <w:spacing w:before="139"/>
                          <w:ind w:left="202"/>
                          <w:rPr>
                            <w:sz w:val="21"/>
                          </w:rPr>
                        </w:pPr>
                        <w:r>
                          <w:rPr>
                            <w:sz w:val="21"/>
                          </w:rPr>
                          <w:t>心为100美元）</w:t>
                        </w:r>
                      </w:p>
                    </w:tc>
                  </w:tr>
                  <w:tr>
                    <w:trPr>
                      <w:trHeight w:val="817" w:hRule="atLeast"/>
                    </w:trPr>
                    <w:tc>
                      <w:tcPr>
                        <w:tcW w:w="1551" w:type="dxa"/>
                      </w:tcPr>
                      <w:p>
                        <w:pPr>
                          <w:pStyle w:val="TableParagraph"/>
                          <w:spacing w:before="3"/>
                          <w:ind w:left="125" w:right="115"/>
                          <w:jc w:val="center"/>
                          <w:rPr>
                            <w:sz w:val="21"/>
                          </w:rPr>
                        </w:pPr>
                        <w:r>
                          <w:rPr>
                            <w:sz w:val="21"/>
                          </w:rPr>
                          <w:t>追加申购最低</w:t>
                        </w:r>
                      </w:p>
                      <w:p>
                        <w:pPr>
                          <w:pStyle w:val="TableParagraph"/>
                          <w:spacing w:before="139"/>
                          <w:ind w:left="125" w:right="115"/>
                          <w:jc w:val="center"/>
                          <w:rPr>
                            <w:sz w:val="21"/>
                          </w:rPr>
                        </w:pPr>
                        <w:r>
                          <w:rPr>
                            <w:sz w:val="21"/>
                          </w:rPr>
                          <w:t>金额</w:t>
                        </w:r>
                      </w:p>
                    </w:tc>
                    <w:tc>
                      <w:tcPr>
                        <w:tcW w:w="1676" w:type="dxa"/>
                      </w:tcPr>
                      <w:p>
                        <w:pPr>
                          <w:pStyle w:val="TableParagraph"/>
                          <w:spacing w:before="3"/>
                          <w:ind w:left="112" w:right="102"/>
                          <w:jc w:val="center"/>
                          <w:rPr>
                            <w:sz w:val="21"/>
                          </w:rPr>
                        </w:pPr>
                        <w:r>
                          <w:rPr>
                            <w:sz w:val="21"/>
                          </w:rPr>
                          <w:t>1元（直销中心</w:t>
                        </w:r>
                      </w:p>
                      <w:p>
                        <w:pPr>
                          <w:pStyle w:val="TableParagraph"/>
                          <w:spacing w:before="139"/>
                          <w:ind w:left="112" w:right="102"/>
                          <w:jc w:val="center"/>
                          <w:rPr>
                            <w:sz w:val="21"/>
                          </w:rPr>
                        </w:pPr>
                        <w:r>
                          <w:rPr>
                            <w:sz w:val="21"/>
                          </w:rPr>
                          <w:t>为1000元）</w:t>
                        </w:r>
                      </w:p>
                    </w:tc>
                    <w:tc>
                      <w:tcPr>
                        <w:tcW w:w="1701" w:type="dxa"/>
                      </w:tcPr>
                      <w:p>
                        <w:pPr>
                          <w:pStyle w:val="TableParagraph"/>
                          <w:spacing w:before="3"/>
                          <w:ind w:left="129" w:right="119"/>
                          <w:jc w:val="center"/>
                          <w:rPr>
                            <w:sz w:val="21"/>
                          </w:rPr>
                        </w:pPr>
                        <w:r>
                          <w:rPr>
                            <w:sz w:val="21"/>
                          </w:rPr>
                          <w:t>1元（直销中心</w:t>
                        </w:r>
                      </w:p>
                      <w:p>
                        <w:pPr>
                          <w:pStyle w:val="TableParagraph"/>
                          <w:spacing w:before="139"/>
                          <w:ind w:left="129" w:right="119"/>
                          <w:jc w:val="center"/>
                          <w:rPr>
                            <w:sz w:val="21"/>
                          </w:rPr>
                        </w:pPr>
                        <w:r>
                          <w:rPr>
                            <w:sz w:val="21"/>
                          </w:rPr>
                          <w:t>为1000元）</w:t>
                        </w:r>
                      </w:p>
                    </w:tc>
                    <w:tc>
                      <w:tcPr>
                        <w:tcW w:w="1843" w:type="dxa"/>
                      </w:tcPr>
                      <w:p>
                        <w:pPr>
                          <w:pStyle w:val="TableParagraph"/>
                          <w:spacing w:before="3"/>
                          <w:ind w:left="113" w:right="104"/>
                          <w:jc w:val="center"/>
                          <w:rPr>
                            <w:sz w:val="21"/>
                          </w:rPr>
                        </w:pPr>
                        <w:r>
                          <w:rPr>
                            <w:sz w:val="21"/>
                          </w:rPr>
                          <w:t>1美元（直销中心</w:t>
                        </w:r>
                      </w:p>
                      <w:p>
                        <w:pPr>
                          <w:pStyle w:val="TableParagraph"/>
                          <w:spacing w:before="139"/>
                          <w:ind w:left="113" w:right="104"/>
                          <w:jc w:val="center"/>
                          <w:rPr>
                            <w:sz w:val="21"/>
                          </w:rPr>
                        </w:pPr>
                        <w:r>
                          <w:rPr>
                            <w:sz w:val="21"/>
                          </w:rPr>
                          <w:t>为100美元）</w:t>
                        </w:r>
                      </w:p>
                    </w:tc>
                    <w:tc>
                      <w:tcPr>
                        <w:tcW w:w="1771" w:type="dxa"/>
                      </w:tcPr>
                      <w:p>
                        <w:pPr>
                          <w:pStyle w:val="TableParagraph"/>
                          <w:spacing w:before="3"/>
                          <w:ind w:left="202"/>
                          <w:rPr>
                            <w:sz w:val="21"/>
                          </w:rPr>
                        </w:pPr>
                        <w:r>
                          <w:rPr>
                            <w:sz w:val="21"/>
                          </w:rPr>
                          <w:t>1美元（直销中</w:t>
                        </w:r>
                      </w:p>
                      <w:p>
                        <w:pPr>
                          <w:pStyle w:val="TableParagraph"/>
                          <w:spacing w:before="139"/>
                          <w:ind w:left="202"/>
                          <w:rPr>
                            <w:sz w:val="21"/>
                          </w:rPr>
                        </w:pPr>
                        <w:r>
                          <w:rPr>
                            <w:sz w:val="21"/>
                          </w:rPr>
                          <w:t>心为100美元）</w:t>
                        </w:r>
                      </w:p>
                    </w:tc>
                  </w:tr>
                  <w:tr>
                    <w:trPr>
                      <w:trHeight w:val="817" w:hRule="atLeast"/>
                    </w:trPr>
                    <w:tc>
                      <w:tcPr>
                        <w:tcW w:w="1551" w:type="dxa"/>
                      </w:tcPr>
                      <w:p>
                        <w:pPr>
                          <w:pStyle w:val="TableParagraph"/>
                          <w:spacing w:before="3"/>
                          <w:ind w:left="125" w:right="115"/>
                          <w:jc w:val="center"/>
                          <w:rPr>
                            <w:sz w:val="21"/>
                          </w:rPr>
                        </w:pPr>
                        <w:r>
                          <w:rPr>
                            <w:sz w:val="21"/>
                          </w:rPr>
                          <w:t>单笔赎回最低</w:t>
                        </w:r>
                      </w:p>
                      <w:p>
                        <w:pPr>
                          <w:pStyle w:val="TableParagraph"/>
                          <w:spacing w:before="139"/>
                          <w:ind w:left="125" w:right="115"/>
                          <w:jc w:val="center"/>
                          <w:rPr>
                            <w:sz w:val="21"/>
                          </w:rPr>
                        </w:pPr>
                        <w:r>
                          <w:rPr>
                            <w:sz w:val="21"/>
                          </w:rPr>
                          <w:t>份额</w:t>
                        </w:r>
                      </w:p>
                    </w:tc>
                    <w:tc>
                      <w:tcPr>
                        <w:tcW w:w="1676" w:type="dxa"/>
                      </w:tcPr>
                      <w:p>
                        <w:pPr>
                          <w:pStyle w:val="TableParagraph"/>
                          <w:spacing w:before="2"/>
                          <w:rPr>
                            <w:sz w:val="16"/>
                          </w:rPr>
                        </w:pPr>
                      </w:p>
                      <w:p>
                        <w:pPr>
                          <w:pStyle w:val="TableParagraph"/>
                          <w:ind w:left="112" w:right="102"/>
                          <w:jc w:val="center"/>
                          <w:rPr>
                            <w:sz w:val="21"/>
                          </w:rPr>
                        </w:pPr>
                        <w:r>
                          <w:rPr>
                            <w:sz w:val="21"/>
                          </w:rPr>
                          <w:t>1份</w:t>
                        </w:r>
                      </w:p>
                    </w:tc>
                    <w:tc>
                      <w:tcPr>
                        <w:tcW w:w="1701" w:type="dxa"/>
                      </w:tcPr>
                      <w:p>
                        <w:pPr>
                          <w:pStyle w:val="TableParagraph"/>
                          <w:spacing w:before="2"/>
                          <w:rPr>
                            <w:sz w:val="16"/>
                          </w:rPr>
                        </w:pPr>
                      </w:p>
                      <w:p>
                        <w:pPr>
                          <w:pStyle w:val="TableParagraph"/>
                          <w:ind w:left="129" w:right="119"/>
                          <w:jc w:val="center"/>
                          <w:rPr>
                            <w:sz w:val="21"/>
                          </w:rPr>
                        </w:pPr>
                        <w:r>
                          <w:rPr>
                            <w:sz w:val="21"/>
                          </w:rPr>
                          <w:t>1份</w:t>
                        </w:r>
                      </w:p>
                    </w:tc>
                    <w:tc>
                      <w:tcPr>
                        <w:tcW w:w="1843" w:type="dxa"/>
                      </w:tcPr>
                      <w:p>
                        <w:pPr>
                          <w:pStyle w:val="TableParagraph"/>
                          <w:spacing w:before="2"/>
                          <w:rPr>
                            <w:sz w:val="16"/>
                          </w:rPr>
                        </w:pPr>
                      </w:p>
                      <w:p>
                        <w:pPr>
                          <w:pStyle w:val="TableParagraph"/>
                          <w:ind w:left="113" w:right="104"/>
                          <w:jc w:val="center"/>
                          <w:rPr>
                            <w:sz w:val="21"/>
                          </w:rPr>
                        </w:pPr>
                        <w:r>
                          <w:rPr>
                            <w:sz w:val="21"/>
                          </w:rPr>
                          <w:t>10份</w:t>
                        </w:r>
                      </w:p>
                    </w:tc>
                    <w:tc>
                      <w:tcPr>
                        <w:tcW w:w="1771" w:type="dxa"/>
                      </w:tcPr>
                      <w:p>
                        <w:pPr>
                          <w:pStyle w:val="TableParagraph"/>
                          <w:spacing w:before="2"/>
                          <w:rPr>
                            <w:sz w:val="16"/>
                          </w:rPr>
                        </w:pPr>
                      </w:p>
                      <w:p>
                        <w:pPr>
                          <w:pStyle w:val="TableParagraph"/>
                          <w:ind w:left="269" w:right="260"/>
                          <w:jc w:val="center"/>
                          <w:rPr>
                            <w:sz w:val="21"/>
                          </w:rPr>
                        </w:pPr>
                        <w:r>
                          <w:rPr>
                            <w:sz w:val="21"/>
                          </w:rPr>
                          <w:t>10份</w:t>
                        </w:r>
                      </w:p>
                    </w:tc>
                  </w:tr>
                  <w:tr>
                    <w:trPr>
                      <w:trHeight w:val="817" w:hRule="atLeast"/>
                    </w:trPr>
                    <w:tc>
                      <w:tcPr>
                        <w:tcW w:w="1551" w:type="dxa"/>
                      </w:tcPr>
                      <w:p>
                        <w:pPr>
                          <w:pStyle w:val="TableParagraph"/>
                          <w:spacing w:before="3"/>
                          <w:ind w:left="145"/>
                          <w:rPr>
                            <w:sz w:val="21"/>
                          </w:rPr>
                        </w:pPr>
                        <w:r>
                          <w:rPr>
                            <w:sz w:val="21"/>
                          </w:rPr>
                          <w:t>基金账户最低</w:t>
                        </w:r>
                      </w:p>
                      <w:p>
                        <w:pPr>
                          <w:pStyle w:val="TableParagraph"/>
                          <w:spacing w:before="139"/>
                          <w:ind w:left="145"/>
                          <w:rPr>
                            <w:sz w:val="21"/>
                          </w:rPr>
                        </w:pPr>
                        <w:r>
                          <w:rPr>
                            <w:sz w:val="21"/>
                          </w:rPr>
                          <w:t>基金份额余额</w:t>
                        </w:r>
                      </w:p>
                    </w:tc>
                    <w:tc>
                      <w:tcPr>
                        <w:tcW w:w="1676" w:type="dxa"/>
                      </w:tcPr>
                      <w:p>
                        <w:pPr>
                          <w:pStyle w:val="TableParagraph"/>
                          <w:spacing w:before="2"/>
                          <w:rPr>
                            <w:sz w:val="16"/>
                          </w:rPr>
                        </w:pPr>
                      </w:p>
                      <w:p>
                        <w:pPr>
                          <w:pStyle w:val="TableParagraph"/>
                          <w:ind w:left="112" w:right="102"/>
                          <w:jc w:val="center"/>
                          <w:rPr>
                            <w:sz w:val="21"/>
                          </w:rPr>
                        </w:pPr>
                        <w:r>
                          <w:rPr>
                            <w:sz w:val="21"/>
                          </w:rPr>
                          <w:t>1份</w:t>
                        </w:r>
                      </w:p>
                    </w:tc>
                    <w:tc>
                      <w:tcPr>
                        <w:tcW w:w="1701" w:type="dxa"/>
                      </w:tcPr>
                      <w:p>
                        <w:pPr>
                          <w:pStyle w:val="TableParagraph"/>
                          <w:spacing w:before="2"/>
                          <w:rPr>
                            <w:sz w:val="16"/>
                          </w:rPr>
                        </w:pPr>
                      </w:p>
                      <w:p>
                        <w:pPr>
                          <w:pStyle w:val="TableParagraph"/>
                          <w:ind w:left="129" w:right="119"/>
                          <w:jc w:val="center"/>
                          <w:rPr>
                            <w:sz w:val="21"/>
                          </w:rPr>
                        </w:pPr>
                        <w:r>
                          <w:rPr>
                            <w:sz w:val="21"/>
                          </w:rPr>
                          <w:t>1份</w:t>
                        </w:r>
                      </w:p>
                    </w:tc>
                    <w:tc>
                      <w:tcPr>
                        <w:tcW w:w="1843" w:type="dxa"/>
                      </w:tcPr>
                      <w:p>
                        <w:pPr>
                          <w:pStyle w:val="TableParagraph"/>
                          <w:spacing w:before="2"/>
                          <w:rPr>
                            <w:sz w:val="16"/>
                          </w:rPr>
                        </w:pPr>
                      </w:p>
                      <w:p>
                        <w:pPr>
                          <w:pStyle w:val="TableParagraph"/>
                          <w:ind w:left="113" w:right="104"/>
                          <w:jc w:val="center"/>
                          <w:rPr>
                            <w:sz w:val="21"/>
                          </w:rPr>
                        </w:pPr>
                        <w:r>
                          <w:rPr>
                            <w:sz w:val="21"/>
                          </w:rPr>
                          <w:t>10份</w:t>
                        </w:r>
                      </w:p>
                    </w:tc>
                    <w:tc>
                      <w:tcPr>
                        <w:tcW w:w="1771" w:type="dxa"/>
                      </w:tcPr>
                      <w:p>
                        <w:pPr>
                          <w:pStyle w:val="TableParagraph"/>
                          <w:spacing w:before="2"/>
                          <w:rPr>
                            <w:sz w:val="16"/>
                          </w:rPr>
                        </w:pPr>
                      </w:p>
                      <w:p>
                        <w:pPr>
                          <w:pStyle w:val="TableParagraph"/>
                          <w:ind w:left="269" w:right="260"/>
                          <w:jc w:val="center"/>
                          <w:rPr>
                            <w:sz w:val="21"/>
                          </w:rPr>
                        </w:pPr>
                        <w:r>
                          <w:rPr>
                            <w:sz w:val="21"/>
                          </w:rPr>
                          <w:t>10份</w:t>
                        </w:r>
                      </w:p>
                    </w:tc>
                  </w:tr>
                  <w:tr>
                    <w:trPr>
                      <w:trHeight w:val="817" w:hRule="atLeast"/>
                    </w:trPr>
                    <w:tc>
                      <w:tcPr>
                        <w:tcW w:w="1551" w:type="dxa"/>
                      </w:tcPr>
                      <w:p>
                        <w:pPr>
                          <w:pStyle w:val="TableParagraph"/>
                          <w:spacing w:before="3"/>
                          <w:ind w:left="250"/>
                          <w:rPr>
                            <w:sz w:val="21"/>
                          </w:rPr>
                        </w:pPr>
                        <w:r>
                          <w:rPr>
                            <w:sz w:val="21"/>
                          </w:rPr>
                          <w:t>销售服务费</w:t>
                        </w:r>
                      </w:p>
                      <w:p>
                        <w:pPr>
                          <w:pStyle w:val="TableParagraph"/>
                          <w:spacing w:before="139"/>
                          <w:ind w:left="250"/>
                          <w:rPr>
                            <w:sz w:val="21"/>
                          </w:rPr>
                        </w:pPr>
                        <w:r>
                          <w:rPr>
                            <w:sz w:val="21"/>
                          </w:rPr>
                          <w:t>（年费率）</w:t>
                        </w:r>
                      </w:p>
                    </w:tc>
                    <w:tc>
                      <w:tcPr>
                        <w:tcW w:w="1676" w:type="dxa"/>
                      </w:tcPr>
                      <w:p>
                        <w:pPr>
                          <w:pStyle w:val="TableParagraph"/>
                          <w:spacing w:before="2"/>
                          <w:rPr>
                            <w:sz w:val="16"/>
                          </w:rPr>
                        </w:pPr>
                      </w:p>
                      <w:p>
                        <w:pPr>
                          <w:pStyle w:val="TableParagraph"/>
                          <w:ind w:left="10"/>
                          <w:jc w:val="center"/>
                          <w:rPr>
                            <w:sz w:val="21"/>
                          </w:rPr>
                        </w:pPr>
                        <w:r>
                          <w:rPr>
                            <w:sz w:val="21"/>
                          </w:rPr>
                          <w:t>0</w:t>
                        </w:r>
                      </w:p>
                    </w:tc>
                    <w:tc>
                      <w:tcPr>
                        <w:tcW w:w="1701" w:type="dxa"/>
                      </w:tcPr>
                      <w:p>
                        <w:pPr>
                          <w:pStyle w:val="TableParagraph"/>
                          <w:spacing w:before="2"/>
                          <w:rPr>
                            <w:sz w:val="16"/>
                          </w:rPr>
                        </w:pPr>
                      </w:p>
                      <w:p>
                        <w:pPr>
                          <w:pStyle w:val="TableParagraph"/>
                          <w:ind w:left="129" w:right="119"/>
                          <w:jc w:val="center"/>
                          <w:rPr>
                            <w:sz w:val="21"/>
                          </w:rPr>
                        </w:pPr>
                        <w:r>
                          <w:rPr>
                            <w:sz w:val="21"/>
                          </w:rPr>
                          <w:t>0.1%</w:t>
                        </w:r>
                      </w:p>
                    </w:tc>
                    <w:tc>
                      <w:tcPr>
                        <w:tcW w:w="1843" w:type="dxa"/>
                      </w:tcPr>
                      <w:p>
                        <w:pPr>
                          <w:pStyle w:val="TableParagraph"/>
                          <w:spacing w:before="2"/>
                          <w:rPr>
                            <w:sz w:val="16"/>
                          </w:rPr>
                        </w:pPr>
                      </w:p>
                      <w:p>
                        <w:pPr>
                          <w:pStyle w:val="TableParagraph"/>
                          <w:ind w:left="9"/>
                          <w:jc w:val="center"/>
                          <w:rPr>
                            <w:sz w:val="21"/>
                          </w:rPr>
                        </w:pPr>
                        <w:r>
                          <w:rPr>
                            <w:sz w:val="21"/>
                          </w:rPr>
                          <w:t>0</w:t>
                        </w:r>
                      </w:p>
                    </w:tc>
                    <w:tc>
                      <w:tcPr>
                        <w:tcW w:w="1771" w:type="dxa"/>
                      </w:tcPr>
                      <w:p>
                        <w:pPr>
                          <w:pStyle w:val="TableParagraph"/>
                          <w:spacing w:before="2"/>
                          <w:rPr>
                            <w:sz w:val="16"/>
                          </w:rPr>
                        </w:pPr>
                      </w:p>
                      <w:p>
                        <w:pPr>
                          <w:pStyle w:val="TableParagraph"/>
                          <w:ind w:left="269" w:right="260"/>
                          <w:jc w:val="center"/>
                          <w:rPr>
                            <w:sz w:val="21"/>
                          </w:rPr>
                        </w:pPr>
                        <w:r>
                          <w:rPr>
                            <w:sz w:val="21"/>
                          </w:rPr>
                          <w:t>0.1%</w:t>
                        </w:r>
                      </w:p>
                    </w:tc>
                  </w:tr>
                </w:tbl>
                <w:p>
                  <w:pPr>
                    <w:pStyle w:val="BodyText"/>
                    <w:ind w:left="0"/>
                  </w:pPr>
                </w:p>
              </w:txbxContent>
            </v:textbox>
            <w10:wrap type="none"/>
          </v:shape>
        </w:pict>
      </w:r>
      <w:r>
        <w:rPr>
          <w:spacing w:val="2"/>
        </w:rPr>
        <w:t>本基金对</w:t>
      </w:r>
      <w:r>
        <w:rPr>
          <w:spacing w:val="3"/>
        </w:rPr>
        <w:t>A</w:t>
      </w:r>
      <w:r>
        <w:rPr>
          <w:spacing w:val="2"/>
        </w:rPr>
        <w:t>类人民币份额、</w:t>
      </w:r>
      <w:r>
        <w:rPr>
          <w:spacing w:val="3"/>
        </w:rPr>
        <w:t>A</w:t>
      </w:r>
      <w:r>
        <w:rPr>
          <w:spacing w:val="2"/>
        </w:rPr>
        <w:t>类美元份额、</w:t>
      </w:r>
      <w:r>
        <w:rPr>
          <w:spacing w:val="3"/>
        </w:rPr>
        <w:t>C</w:t>
      </w:r>
      <w:r>
        <w:rPr>
          <w:spacing w:val="2"/>
        </w:rPr>
        <w:t>类人民币份额、</w:t>
      </w:r>
      <w:r>
        <w:rPr>
          <w:spacing w:val="3"/>
        </w:rPr>
        <w:t>C</w:t>
      </w:r>
      <w:r>
        <w:rPr/>
        <w:t>类美元份额分别设置代码， </w:t>
      </w:r>
      <w:r>
        <w:rPr>
          <w:spacing w:val="-4"/>
        </w:rPr>
        <w:t>分别计算并公布基金份额净值和基金份额累计净值。同类别的人民币份额和美元份额合并投 </w:t>
      </w:r>
      <w:r>
        <w:rPr>
          <w:spacing w:val="-10"/>
        </w:rPr>
        <w:t>资运作，共同承担投资换汇产生的费用。投资者在认购、申购基金份额时可自行选择基金份 额类别，并交付相应币种的款项。</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6"/>
        </w:rPr>
      </w:pPr>
    </w:p>
    <w:p>
      <w:pPr>
        <w:pStyle w:val="BodyText"/>
        <w:spacing w:line="417" w:lineRule="auto"/>
        <w:ind w:left="376" w:right="689" w:firstLine="420"/>
      </w:pPr>
      <w:r>
        <w:rPr>
          <w:spacing w:val="-9"/>
        </w:rPr>
        <w:t>根据基金销售情况，基金管理人可在不违反法律法规以及对基金份额持有人利益无实质</w:t>
      </w:r>
      <w:r>
        <w:rPr>
          <w:spacing w:val="-13"/>
        </w:rPr>
        <w:t>性不利影响的情况下，增加新的基金份额类别、或者调整现有基金份额类别的费率水平、或</w:t>
      </w:r>
      <w:r>
        <w:rPr>
          <w:spacing w:val="-21"/>
        </w:rPr>
        <w:t>者停止现有基金份额类别的销售、或者增加新的销售币种、或者调整现有基金销售币种设置、</w:t>
      </w:r>
      <w:r>
        <w:rPr>
          <w:spacing w:val="-6"/>
        </w:rPr>
        <w:t>或者停止现有币种的销售等，调整前基金管理人需及时公告并报中国证监会备案，无须召开基金份额持有人大会审议批准。</w:t>
      </w:r>
    </w:p>
    <w:p>
      <w:pPr>
        <w:pStyle w:val="BodyText"/>
        <w:spacing w:line="417" w:lineRule="auto"/>
        <w:ind w:left="376" w:right="714" w:firstLine="420"/>
      </w:pPr>
      <w:r>
        <w:rPr/>
        <w:t>除非基金管理人在未来条件成熟后另行公告开通相关业务，本基金不同基金份额类别之间不得互相转换。</w:t>
      </w:r>
    </w:p>
    <w:p>
      <w:pPr>
        <w:spacing w:after="0" w:line="417" w:lineRule="auto"/>
        <w:sectPr>
          <w:pgSz w:w="11910" w:h="16840"/>
          <w:pgMar w:header="0" w:footer="1118" w:top="1400" w:bottom="1380" w:left="1420" w:right="1000"/>
        </w:sectPr>
      </w:pPr>
    </w:p>
    <w:p>
      <w:pPr>
        <w:pStyle w:val="Heading1"/>
        <w:tabs>
          <w:tab w:pos="1260" w:val="left" w:leader="none"/>
        </w:tabs>
      </w:pPr>
      <w:bookmarkStart w:name="_bookmark30" w:id="31"/>
      <w:bookmarkEnd w:id="31"/>
      <w:r>
        <w:rPr>
          <w:b w:val="0"/>
        </w:rPr>
      </w:r>
      <w:r>
        <w:rPr/>
        <w:t>第八节</w:t>
        <w:tab/>
        <w:t>基金的募集</w:t>
      </w:r>
    </w:p>
    <w:p>
      <w:pPr>
        <w:pStyle w:val="BodyText"/>
        <w:spacing w:line="364" w:lineRule="auto" w:before="138"/>
        <w:ind w:left="376" w:right="585" w:firstLine="420"/>
        <w:jc w:val="both"/>
      </w:pPr>
      <w:r>
        <w:rPr>
          <w:spacing w:val="-24"/>
        </w:rPr>
        <w:t>本基金由基金管理人依照《基金法》、《运作办法》、《销售办法》、基金合同的相关规定， 并经中国证券监督管理委员会2011年2月9日《关于核准易方达黄金主题证券投资基金（LOF） </w:t>
      </w:r>
      <w:r>
        <w:rPr>
          <w:spacing w:val="-38"/>
        </w:rPr>
        <w:t>募集的批复》</w:t>
      </w:r>
      <w:r>
        <w:rPr/>
        <w:t>（证监许可[2011]181号）核准募集。</w:t>
      </w:r>
    </w:p>
    <w:p>
      <w:pPr>
        <w:pStyle w:val="BodyText"/>
        <w:spacing w:line="364" w:lineRule="auto"/>
        <w:ind w:left="376" w:right="794" w:firstLine="420"/>
      </w:pPr>
      <w:r>
        <w:rPr>
          <w:spacing w:val="-2"/>
        </w:rPr>
        <w:t>本基金为境外投资基金中基金</w:t>
      </w:r>
      <w:r>
        <w:rPr/>
        <w:t>（FOF</w:t>
      </w:r>
      <w:r>
        <w:rPr>
          <w:spacing w:val="-105"/>
        </w:rPr>
        <w:t>）</w:t>
      </w:r>
      <w:r>
        <w:rPr>
          <w:spacing w:val="-7"/>
        </w:rPr>
        <w:t>，基金运作方式为契约型、上市开放式</w:t>
      </w:r>
      <w:r>
        <w:rPr/>
        <w:t>（LOF</w:t>
      </w:r>
      <w:r>
        <w:rPr>
          <w:spacing w:val="-105"/>
        </w:rPr>
        <w:t>）</w:t>
      </w:r>
      <w:r>
        <w:rPr>
          <w:spacing w:val="-16"/>
        </w:rPr>
        <w:t>。基</w:t>
      </w:r>
      <w:r>
        <w:rPr/>
        <w:t>金的存续期间为不定期。</w:t>
      </w:r>
    </w:p>
    <w:p>
      <w:pPr>
        <w:pStyle w:val="BodyText"/>
        <w:spacing w:line="268" w:lineRule="exact"/>
      </w:pPr>
      <w:r>
        <w:rPr/>
        <w:t>本基金募集期间每份基金份额的初始面值为人民币1.00元。</w:t>
      </w:r>
    </w:p>
    <w:p>
      <w:pPr>
        <w:pStyle w:val="BodyText"/>
        <w:spacing w:line="364" w:lineRule="auto" w:before="138"/>
        <w:ind w:left="376" w:right="794" w:firstLine="420"/>
        <w:jc w:val="both"/>
      </w:pPr>
      <w:r>
        <w:rPr/>
        <w:t>本基金募集期自2011年4月1日至2011年4月29日止。募集对象为符合法律法规规定的个</w:t>
      </w:r>
      <w:r>
        <w:rPr>
          <w:spacing w:val="-12"/>
        </w:rPr>
        <w:t>人投资者、机构投资者，以及法律法规或中国证监会允许购买开放式证券投资基金的其他投</w:t>
      </w:r>
      <w:r>
        <w:rPr/>
        <w:t>资者。</w:t>
      </w:r>
    </w:p>
    <w:p>
      <w:pPr>
        <w:spacing w:after="0" w:line="364" w:lineRule="auto"/>
        <w:jc w:val="both"/>
        <w:sectPr>
          <w:pgSz w:w="11910" w:h="16840"/>
          <w:pgMar w:header="0" w:footer="1118" w:top="1400" w:bottom="1380" w:left="1420" w:right="1000"/>
        </w:sectPr>
      </w:pPr>
    </w:p>
    <w:p>
      <w:pPr>
        <w:tabs>
          <w:tab w:pos="1260" w:val="left" w:leader="none"/>
        </w:tabs>
        <w:spacing w:line="510" w:lineRule="exact" w:before="0"/>
        <w:ind w:left="0" w:right="419" w:firstLine="0"/>
        <w:jc w:val="center"/>
        <w:rPr>
          <w:rFonts w:ascii="Microsoft JhengHei" w:eastAsia="Microsoft JhengHei" w:hint="eastAsia"/>
          <w:b/>
          <w:sz w:val="32"/>
        </w:rPr>
      </w:pPr>
      <w:bookmarkStart w:name="_bookmark31" w:id="32"/>
      <w:bookmarkEnd w:id="32"/>
      <w:r>
        <w:rPr/>
      </w:r>
      <w:r>
        <w:rPr>
          <w:rFonts w:ascii="Microsoft JhengHei" w:eastAsia="Microsoft JhengHei" w:hint="eastAsia"/>
          <w:b/>
          <w:sz w:val="32"/>
        </w:rPr>
        <w:t>第九节</w:t>
        <w:tab/>
        <w:t>基金合同的生效</w:t>
      </w:r>
    </w:p>
    <w:p>
      <w:pPr>
        <w:pStyle w:val="Heading2"/>
        <w:tabs>
          <w:tab w:pos="1216" w:val="left" w:leader="none"/>
        </w:tabs>
        <w:spacing w:before="139"/>
      </w:pPr>
      <w:bookmarkStart w:name="_bookmark32" w:id="33"/>
      <w:bookmarkEnd w:id="33"/>
      <w:r>
        <w:rPr/>
      </w:r>
      <w:r>
        <w:rPr/>
        <w:t>一、</w:t>
        <w:tab/>
        <w:t>基金合同的生效</w:t>
      </w:r>
    </w:p>
    <w:p>
      <w:pPr>
        <w:pStyle w:val="BodyText"/>
        <w:spacing w:line="364" w:lineRule="auto" w:before="185"/>
        <w:ind w:left="376" w:right="794" w:firstLine="420"/>
      </w:pPr>
      <w:r>
        <w:rPr/>
        <w:t>本基金基金合同于2011年5月6</w:t>
      </w:r>
      <w:r>
        <w:rPr>
          <w:spacing w:val="-11"/>
        </w:rPr>
        <w:t>日正式生效。自基金合同生效日起，本基金管理人正式开</w:t>
      </w:r>
      <w:r>
        <w:rPr/>
        <w:t>始管理本基金。</w:t>
      </w:r>
    </w:p>
    <w:p>
      <w:pPr>
        <w:pStyle w:val="Heading2"/>
        <w:tabs>
          <w:tab w:pos="1216" w:val="left" w:leader="none"/>
        </w:tabs>
      </w:pPr>
      <w:bookmarkStart w:name="_bookmark33" w:id="34"/>
      <w:bookmarkEnd w:id="34"/>
      <w:r>
        <w:rPr/>
      </w:r>
      <w:r>
        <w:rPr/>
        <w:t>二、</w:t>
        <w:tab/>
        <w:t>基金存续期内的基金份额持有人数量和资产规模</w:t>
      </w:r>
    </w:p>
    <w:p>
      <w:pPr>
        <w:pStyle w:val="BodyText"/>
        <w:spacing w:line="364" w:lineRule="auto" w:before="185"/>
        <w:ind w:left="376" w:right="794" w:firstLine="420"/>
        <w:jc w:val="both"/>
      </w:pPr>
      <w:r>
        <w:rPr>
          <w:spacing w:val="-10"/>
        </w:rPr>
        <w:t>《基金合同》生效后，基金份额持有人数量不满</w:t>
      </w:r>
      <w:r>
        <w:rPr/>
        <w:t>200人或者基金资产净值低于5,000</w:t>
      </w:r>
      <w:r>
        <w:rPr>
          <w:spacing w:val="-8"/>
        </w:rPr>
        <w:t>万元</w:t>
      </w:r>
      <w:r>
        <w:rPr>
          <w:spacing w:val="-6"/>
        </w:rPr>
        <w:t>的，基金管理人应当及时报告中国证监会；连续</w:t>
      </w:r>
      <w:r>
        <w:rPr/>
        <w:t>20</w:t>
      </w:r>
      <w:r>
        <w:rPr>
          <w:spacing w:val="-1"/>
        </w:rPr>
        <w:t>个工作日出现前述情形的，基金管理人应</w:t>
      </w:r>
      <w:r>
        <w:rPr/>
        <w:t>当向中国证监会说明原因并报送解决方案。法律法规或监管部门另有规定时，从其规定。</w:t>
      </w:r>
    </w:p>
    <w:p>
      <w:pPr>
        <w:spacing w:after="0" w:line="364" w:lineRule="auto"/>
        <w:jc w:val="both"/>
        <w:sectPr>
          <w:pgSz w:w="11910" w:h="16840"/>
          <w:pgMar w:header="0" w:footer="1118" w:top="1400" w:bottom="1380" w:left="1420" w:right="1000"/>
        </w:sectPr>
      </w:pPr>
    </w:p>
    <w:p>
      <w:pPr>
        <w:pStyle w:val="Heading1"/>
        <w:tabs>
          <w:tab w:pos="1259" w:val="left" w:leader="none"/>
        </w:tabs>
      </w:pPr>
      <w:bookmarkStart w:name="_bookmark34" w:id="35"/>
      <w:bookmarkEnd w:id="35"/>
      <w:r>
        <w:rPr>
          <w:b w:val="0"/>
        </w:rPr>
      </w:r>
      <w:r>
        <w:rPr/>
        <w:t>第十节</w:t>
        <w:tab/>
        <w:t>基金份额的上市交易</w:t>
      </w:r>
    </w:p>
    <w:p>
      <w:pPr>
        <w:spacing w:before="139"/>
        <w:ind w:left="376" w:right="0" w:firstLine="0"/>
        <w:jc w:val="left"/>
        <w:rPr>
          <w:sz w:val="28"/>
        </w:rPr>
      </w:pPr>
      <w:r>
        <w:rPr>
          <w:sz w:val="28"/>
        </w:rPr>
        <w:t>一、基金的上市</w:t>
      </w:r>
    </w:p>
    <w:p>
      <w:pPr>
        <w:pStyle w:val="BodyText"/>
        <w:spacing w:line="364" w:lineRule="auto" w:before="185"/>
        <w:ind w:left="376" w:right="795" w:firstLine="420"/>
      </w:pPr>
      <w:r>
        <w:rPr>
          <w:spacing w:val="-3"/>
        </w:rPr>
        <w:t>如基金具备下列条件，基金管理人可依据《深圳证券交易所证券投资基金上市规则》， 向深圳证券交易所申请A类人民币份额上市交易。</w:t>
      </w:r>
    </w:p>
    <w:p>
      <w:pPr>
        <w:pStyle w:val="BodyText"/>
        <w:spacing w:line="268" w:lineRule="exact"/>
      </w:pPr>
      <w:r>
        <w:rPr/>
        <w:t>1、经中国证监会核准发售且基金合同生效；</w:t>
      </w:r>
    </w:p>
    <w:p>
      <w:pPr>
        <w:pStyle w:val="BodyText"/>
        <w:spacing w:before="139"/>
      </w:pPr>
      <w:r>
        <w:rPr/>
        <w:t>2、基金合同期限五年以上；</w:t>
      </w:r>
    </w:p>
    <w:p>
      <w:pPr>
        <w:pStyle w:val="BodyText"/>
        <w:spacing w:before="139"/>
      </w:pPr>
      <w:r>
        <w:rPr/>
        <w:t>3、基金份额持有人不少于1000人；</w:t>
      </w:r>
    </w:p>
    <w:p>
      <w:pPr>
        <w:pStyle w:val="BodyText"/>
        <w:spacing w:before="140"/>
      </w:pPr>
      <w:r>
        <w:rPr/>
        <w:t>4、基金管理人和基金托管人的资格经中国证监会核准；</w:t>
      </w:r>
    </w:p>
    <w:p>
      <w:pPr>
        <w:pStyle w:val="BodyText"/>
        <w:spacing w:before="139"/>
      </w:pPr>
      <w:r>
        <w:rPr/>
        <w:t>5、深圳证券交易所要求的其他条件。</w:t>
      </w:r>
    </w:p>
    <w:p>
      <w:pPr>
        <w:spacing w:before="141"/>
        <w:ind w:left="376" w:right="0" w:firstLine="0"/>
        <w:jc w:val="left"/>
        <w:rPr>
          <w:sz w:val="28"/>
        </w:rPr>
      </w:pPr>
      <w:r>
        <w:rPr>
          <w:sz w:val="28"/>
        </w:rPr>
        <w:t>二、上市交易的时间和地点</w:t>
      </w:r>
    </w:p>
    <w:p>
      <w:pPr>
        <w:pStyle w:val="BodyText"/>
        <w:spacing w:before="185"/>
        <w:jc w:val="both"/>
      </w:pPr>
      <w:r>
        <w:rPr/>
        <w:t>本基金 A 类人民币份额已于 2011 年 11 月 8 日开始在深圳证券交易所上市交易。</w:t>
      </w:r>
    </w:p>
    <w:p>
      <w:pPr>
        <w:pStyle w:val="BodyText"/>
        <w:spacing w:line="364" w:lineRule="auto" w:before="139"/>
        <w:ind w:left="376" w:right="794" w:firstLine="420"/>
        <w:jc w:val="both"/>
      </w:pPr>
      <w:r>
        <w:rPr/>
        <w:t>A</w:t>
      </w:r>
      <w:r>
        <w:rPr>
          <w:spacing w:val="-9"/>
        </w:rPr>
        <w:t>类人民币份额上市后，登记在证券登记系统中的</w:t>
      </w:r>
      <w:r>
        <w:rPr/>
        <w:t>A</w:t>
      </w:r>
      <w:r>
        <w:rPr>
          <w:spacing w:val="-1"/>
        </w:rPr>
        <w:t>类人民币份额可直接在深圳证券交易</w:t>
      </w:r>
      <w:r>
        <w:rPr>
          <w:spacing w:val="-10"/>
        </w:rPr>
        <w:t>所上市交易；登记在登记结算系统中的</w:t>
      </w:r>
      <w:r>
        <w:rPr/>
        <w:t>A类人民币份额通过办理跨系统转托管业务将A</w:t>
      </w:r>
      <w:r>
        <w:rPr>
          <w:spacing w:val="-5"/>
        </w:rPr>
        <w:t>类人民</w:t>
      </w:r>
      <w:r>
        <w:rPr/>
        <w:t>币份额转至证券登记系统后，方可上市交易。</w:t>
      </w:r>
    </w:p>
    <w:p>
      <w:pPr>
        <w:spacing w:line="358" w:lineRule="exact" w:before="0"/>
        <w:ind w:left="376" w:right="0" w:firstLine="0"/>
        <w:jc w:val="left"/>
        <w:rPr>
          <w:sz w:val="28"/>
        </w:rPr>
      </w:pPr>
      <w:r>
        <w:rPr>
          <w:sz w:val="28"/>
        </w:rPr>
        <w:t>三、上市交易的规则</w:t>
      </w:r>
    </w:p>
    <w:p>
      <w:pPr>
        <w:pStyle w:val="BodyText"/>
        <w:spacing w:before="185"/>
      </w:pPr>
      <w:r>
        <w:rPr/>
        <w:t>本基金A类人民币份额在深圳证券交易所的上市交易需遵照《深圳证券交易所交易规则》、</w:t>
      </w:r>
    </w:p>
    <w:p>
      <w:pPr>
        <w:pStyle w:val="BodyText"/>
        <w:spacing w:before="139"/>
        <w:ind w:left="376"/>
      </w:pPr>
      <w:r>
        <w:rPr/>
        <w:t>《深圳证券交易所证券投资基金上市规则》等有关规定，包括但不限于：</w:t>
      </w:r>
    </w:p>
    <w:p>
      <w:pPr>
        <w:pStyle w:val="BodyText"/>
        <w:spacing w:before="140"/>
      </w:pPr>
      <w:r>
        <w:rPr/>
        <w:t>1、本基金A类人民币份额上市首日的开盘参考价为上市前最新公布的基金份额净值；</w:t>
      </w:r>
    </w:p>
    <w:p>
      <w:pPr>
        <w:pStyle w:val="BodyText"/>
        <w:spacing w:line="364" w:lineRule="auto" w:before="139"/>
        <w:ind w:left="376" w:right="795" w:firstLine="420"/>
      </w:pPr>
      <w:r>
        <w:rPr/>
        <w:t>2、本基金A类人民币份额实行价格涨跌幅限制，涨跌幅比例限制为10%，自上市首日起实行；</w:t>
      </w:r>
    </w:p>
    <w:p>
      <w:pPr>
        <w:pStyle w:val="BodyText"/>
        <w:spacing w:line="268" w:lineRule="exact"/>
      </w:pPr>
      <w:r>
        <w:rPr/>
        <w:t>3、本基金A类人民币份额买入申报数量为100份或其整数倍；</w:t>
      </w:r>
    </w:p>
    <w:p>
      <w:pPr>
        <w:pStyle w:val="BodyText"/>
        <w:spacing w:before="140"/>
      </w:pPr>
      <w:r>
        <w:rPr/>
        <w:t>4、本基金A类人民币份额申报价格最小变动单位为0.001元人民币；</w:t>
      </w:r>
    </w:p>
    <w:p>
      <w:pPr>
        <w:pStyle w:val="BodyText"/>
        <w:spacing w:before="139"/>
      </w:pPr>
      <w:r>
        <w:rPr/>
        <w:t>5、本基金A类人民币份额适用大宗交易的有关规则。</w:t>
      </w:r>
    </w:p>
    <w:p>
      <w:pPr>
        <w:spacing w:before="141"/>
        <w:ind w:left="376" w:right="0" w:firstLine="0"/>
        <w:jc w:val="left"/>
        <w:rPr>
          <w:sz w:val="28"/>
        </w:rPr>
      </w:pPr>
      <w:r>
        <w:rPr>
          <w:sz w:val="28"/>
        </w:rPr>
        <w:t>四、上市交易的费用</w:t>
      </w:r>
    </w:p>
    <w:p>
      <w:pPr>
        <w:pStyle w:val="BodyText"/>
        <w:spacing w:before="185"/>
      </w:pPr>
      <w:r>
        <w:rPr/>
        <w:t>本基金A类人民币份额上市交易的费用按照深圳证券交易所有关规定办理。</w:t>
      </w:r>
    </w:p>
    <w:p>
      <w:pPr>
        <w:spacing w:before="140"/>
        <w:ind w:left="376" w:right="0" w:firstLine="0"/>
        <w:jc w:val="left"/>
        <w:rPr>
          <w:sz w:val="28"/>
        </w:rPr>
      </w:pPr>
      <w:r>
        <w:rPr>
          <w:sz w:val="28"/>
        </w:rPr>
        <w:t>五、上市交易的行情揭示</w:t>
      </w:r>
    </w:p>
    <w:p>
      <w:pPr>
        <w:pStyle w:val="BodyText"/>
        <w:spacing w:line="364" w:lineRule="auto" w:before="185"/>
        <w:ind w:left="376" w:right="795" w:firstLine="420"/>
      </w:pPr>
      <w:r>
        <w:rPr/>
        <w:t>本基金A类人民币份额在深圳证券交易所挂牌交易，交易行情通过行情发布系统揭示。行情发布系统同时揭示A类人民币份额最新公布的基金份额净值。</w:t>
      </w:r>
    </w:p>
    <w:p>
      <w:pPr>
        <w:spacing w:before="0"/>
        <w:ind w:left="376" w:right="0" w:firstLine="0"/>
        <w:jc w:val="left"/>
        <w:rPr>
          <w:sz w:val="28"/>
        </w:rPr>
      </w:pPr>
      <w:r>
        <w:rPr>
          <w:sz w:val="28"/>
        </w:rPr>
        <w:t>六、上市交易的停复牌</w:t>
      </w:r>
    </w:p>
    <w:p>
      <w:pPr>
        <w:pStyle w:val="BodyText"/>
        <w:spacing w:line="364" w:lineRule="auto" w:before="185"/>
        <w:ind w:left="376" w:right="714" w:firstLine="420"/>
      </w:pPr>
      <w:r>
        <w:rPr/>
        <w:t>本基金A类人民币份额的停复牌按照相关法律法规、中国证监会及深圳证券交易所的有关规定执行。本基金上市后，若出现以下情形，基金管理人向深圳证券交易所申请本基金停</w:t>
      </w:r>
    </w:p>
    <w:p>
      <w:pPr>
        <w:spacing w:after="0" w:line="364" w:lineRule="auto"/>
        <w:sectPr>
          <w:pgSz w:w="11910" w:h="16840"/>
          <w:pgMar w:header="0" w:footer="1118" w:top="1400" w:bottom="1380" w:left="1420" w:right="1000"/>
        </w:sectPr>
      </w:pPr>
    </w:p>
    <w:p>
      <w:pPr>
        <w:pStyle w:val="BodyText"/>
        <w:spacing w:line="364" w:lineRule="auto" w:before="45"/>
        <w:ind w:left="376" w:right="794"/>
      </w:pPr>
      <w:r>
        <w:rPr>
          <w:spacing w:val="-10"/>
        </w:rPr>
        <w:t>牌，并由深圳证券交易所决定是否停牌及停、复牌时间。基金管理人应根据相关规定就相关</w:t>
      </w:r>
      <w:r>
        <w:rPr/>
        <w:t>事宜进行公告。</w:t>
      </w:r>
    </w:p>
    <w:p>
      <w:pPr>
        <w:pStyle w:val="BodyText"/>
        <w:spacing w:line="268" w:lineRule="exact"/>
      </w:pPr>
      <w:r>
        <w:rPr/>
        <w:t>1、当基金管理人预计已使用外汇额度接近国家外汇局批准的境外证券投资额度上限时；</w:t>
      </w:r>
    </w:p>
    <w:p>
      <w:pPr>
        <w:pStyle w:val="BodyText"/>
        <w:spacing w:before="139"/>
      </w:pPr>
      <w:r>
        <w:rPr/>
        <w:t>2、当本基金因外汇额度原因暂停申购时；</w:t>
      </w:r>
    </w:p>
    <w:p>
      <w:pPr>
        <w:pStyle w:val="BodyText"/>
        <w:spacing w:line="364" w:lineRule="auto" w:before="140"/>
        <w:ind w:left="376" w:right="795" w:firstLine="420"/>
      </w:pPr>
      <w:r>
        <w:rPr/>
        <w:t>3、本基金因外汇额度原因暂停申购期间，基金管理人向国家外汇局申请增加外汇额度并获得批准时；</w:t>
      </w:r>
    </w:p>
    <w:p>
      <w:pPr>
        <w:pStyle w:val="BodyText"/>
        <w:spacing w:line="268" w:lineRule="exact"/>
      </w:pPr>
      <w:r>
        <w:rPr/>
        <w:t>4、因暂停申购导致本基金折溢价率出现异常。</w:t>
      </w:r>
    </w:p>
    <w:p>
      <w:pPr>
        <w:pStyle w:val="BodyText"/>
        <w:spacing w:line="364" w:lineRule="auto" w:before="139"/>
        <w:ind w:left="376" w:right="794" w:firstLine="420"/>
      </w:pPr>
      <w:r>
        <w:rPr>
          <w:spacing w:val="-6"/>
        </w:rPr>
        <w:t>若未来对上述情形有更合适的处理措施，本基金管理人可根据法律法规、深圳证券交易</w:t>
      </w:r>
      <w:r>
        <w:rPr/>
        <w:t>所相关规定对上述措施进行调整及修改。</w:t>
      </w:r>
    </w:p>
    <w:p>
      <w:pPr>
        <w:spacing w:before="0"/>
        <w:ind w:left="376" w:right="0" w:firstLine="0"/>
        <w:jc w:val="left"/>
        <w:rPr>
          <w:sz w:val="28"/>
        </w:rPr>
      </w:pPr>
      <w:r>
        <w:rPr>
          <w:sz w:val="28"/>
        </w:rPr>
        <w:t>七、暂停上市的情形和处理方式</w:t>
      </w:r>
    </w:p>
    <w:p>
      <w:pPr>
        <w:pStyle w:val="BodyText"/>
        <w:spacing w:before="185"/>
      </w:pPr>
      <w:r>
        <w:rPr/>
        <w:t>本基金A类人民币份额上市后，发生下列情况之一时，应暂停上市交易：</w:t>
      </w:r>
    </w:p>
    <w:p>
      <w:pPr>
        <w:pStyle w:val="BodyText"/>
        <w:spacing w:before="140"/>
      </w:pPr>
      <w:r>
        <w:rPr/>
        <w:t>1、不再具备本章节“一、基金的上市”中规定的上市条件；</w:t>
      </w:r>
    </w:p>
    <w:p>
      <w:pPr>
        <w:pStyle w:val="BodyText"/>
        <w:spacing w:before="139"/>
      </w:pPr>
      <w:r>
        <w:rPr/>
        <w:t>2、违反国家有关法律、法规，中国证监会决定暂停其上市；</w:t>
      </w:r>
    </w:p>
    <w:p>
      <w:pPr>
        <w:pStyle w:val="BodyText"/>
        <w:spacing w:before="140"/>
      </w:pPr>
      <w:r>
        <w:rPr/>
        <w:t>3、严重违反《深圳证券交易所证券投资基金上市规则》；</w:t>
      </w:r>
    </w:p>
    <w:p>
      <w:pPr>
        <w:pStyle w:val="BodyText"/>
        <w:spacing w:before="139"/>
      </w:pPr>
      <w:r>
        <w:rPr/>
        <w:t>4、深圳证券交易所认为应当暂停上市的其他情形。</w:t>
      </w:r>
    </w:p>
    <w:p>
      <w:pPr>
        <w:pStyle w:val="BodyText"/>
        <w:spacing w:line="364" w:lineRule="auto" w:before="139"/>
        <w:ind w:left="376" w:right="794" w:firstLine="420"/>
      </w:pPr>
      <w:r>
        <w:rPr>
          <w:spacing w:val="-7"/>
        </w:rPr>
        <w:t>发生上述暂停上市情形时，基金管理人在接到深圳证券交易所通知后，应立即在指定媒</w:t>
      </w:r>
      <w:r>
        <w:rPr/>
        <w:t>介上刊登暂停上市公告。</w:t>
      </w:r>
    </w:p>
    <w:p>
      <w:pPr>
        <w:spacing w:before="1"/>
        <w:ind w:left="376" w:right="0" w:firstLine="0"/>
        <w:jc w:val="left"/>
        <w:rPr>
          <w:sz w:val="28"/>
        </w:rPr>
      </w:pPr>
      <w:r>
        <w:rPr>
          <w:sz w:val="28"/>
        </w:rPr>
        <w:t>八、恢复上市的公告</w:t>
      </w:r>
    </w:p>
    <w:p>
      <w:pPr>
        <w:pStyle w:val="BodyText"/>
        <w:spacing w:line="364" w:lineRule="auto" w:before="184"/>
        <w:ind w:left="376" w:right="795" w:firstLine="420"/>
        <w:jc w:val="both"/>
      </w:pPr>
      <w:r>
        <w:rPr/>
        <w:t>A类人民币份额暂停上市情形消除后，基金管理人可向深圳证券交易所提出恢复上市申请，经深圳证券交易所核准后，可恢复本基金A类人民币份额上市，并在指定媒介上刊登恢复上市公告。</w:t>
      </w:r>
    </w:p>
    <w:p>
      <w:pPr>
        <w:spacing w:line="358" w:lineRule="exact" w:before="0"/>
        <w:ind w:left="376" w:right="0" w:firstLine="0"/>
        <w:jc w:val="left"/>
        <w:rPr>
          <w:sz w:val="28"/>
        </w:rPr>
      </w:pPr>
      <w:r>
        <w:rPr>
          <w:sz w:val="28"/>
        </w:rPr>
        <w:t>九、终止上市的情形和处理方式</w:t>
      </w:r>
    </w:p>
    <w:p>
      <w:pPr>
        <w:pStyle w:val="BodyText"/>
        <w:spacing w:before="185"/>
      </w:pPr>
      <w:r>
        <w:rPr/>
        <w:t>发生下列情况之一时，本基金A类人民币份额应终止上市交易：</w:t>
      </w:r>
    </w:p>
    <w:p>
      <w:pPr>
        <w:pStyle w:val="BodyText"/>
        <w:spacing w:before="140"/>
      </w:pPr>
      <w:r>
        <w:rPr/>
        <w:t>1、自暂停上市之日起半年内未能消除暂停上市原因的；</w:t>
      </w:r>
    </w:p>
    <w:p>
      <w:pPr>
        <w:pStyle w:val="BodyText"/>
        <w:spacing w:before="139"/>
      </w:pPr>
      <w:r>
        <w:rPr/>
        <w:t>2、基金份额持有人大会决定提前终止上市；</w:t>
      </w:r>
    </w:p>
    <w:p>
      <w:pPr>
        <w:pStyle w:val="BodyText"/>
        <w:spacing w:before="140"/>
      </w:pPr>
      <w:r>
        <w:rPr/>
        <w:t>3、基金合同约定的终止上市的其他情形；</w:t>
      </w:r>
    </w:p>
    <w:p>
      <w:pPr>
        <w:pStyle w:val="BodyText"/>
        <w:spacing w:before="139"/>
      </w:pPr>
      <w:r>
        <w:rPr/>
        <w:t>4、深圳证券交易所认为应当终止上市的其他情形。</w:t>
      </w:r>
    </w:p>
    <w:p>
      <w:pPr>
        <w:pStyle w:val="BodyText"/>
        <w:spacing w:line="364" w:lineRule="auto" w:before="139"/>
        <w:ind w:left="376" w:right="794" w:firstLine="420"/>
      </w:pPr>
      <w:r>
        <w:rPr>
          <w:spacing w:val="-7"/>
        </w:rPr>
        <w:t>发生上述终止上市情形时，由证券交易所终止其上市交易，基金管理人报经中国证监会</w:t>
      </w:r>
      <w:r>
        <w:rPr/>
        <w:t>备案后终止本基金A类人民币份额的上市，并在指定媒介上刊登终止上市公告。</w:t>
      </w:r>
    </w:p>
    <w:p>
      <w:pPr>
        <w:spacing w:line="364" w:lineRule="auto" w:before="1"/>
        <w:ind w:left="376" w:right="794" w:firstLine="0"/>
        <w:jc w:val="both"/>
        <w:rPr>
          <w:sz w:val="28"/>
        </w:rPr>
      </w:pPr>
      <w:r>
        <w:rPr>
          <w:spacing w:val="-11"/>
          <w:sz w:val="28"/>
        </w:rPr>
        <w:t>十、相关法律法规、中国证监会及深圳证券交易所对基金上市交易的</w:t>
      </w:r>
      <w:r>
        <w:rPr>
          <w:spacing w:val="-7"/>
          <w:sz w:val="28"/>
        </w:rPr>
        <w:t>规则等规定内容进行调整的，本基金的基金合同相应予以修改，且此</w:t>
      </w:r>
      <w:r>
        <w:rPr>
          <w:sz w:val="28"/>
        </w:rPr>
        <w:t>修改无须召开基金份额持有人大会。</w:t>
      </w:r>
    </w:p>
    <w:p>
      <w:pPr>
        <w:spacing w:after="0" w:line="364" w:lineRule="auto"/>
        <w:jc w:val="both"/>
        <w:rPr>
          <w:sz w:val="28"/>
        </w:rPr>
        <w:sectPr>
          <w:pgSz w:w="11910" w:h="16840"/>
          <w:pgMar w:header="0" w:footer="1118" w:top="1380" w:bottom="1380" w:left="1420" w:right="1000"/>
        </w:sectPr>
      </w:pPr>
    </w:p>
    <w:p>
      <w:pPr>
        <w:pStyle w:val="Heading1"/>
        <w:tabs>
          <w:tab w:pos="1679" w:val="left" w:leader="none"/>
        </w:tabs>
      </w:pPr>
      <w:bookmarkStart w:name="_bookmark35" w:id="36"/>
      <w:bookmarkEnd w:id="36"/>
      <w:r>
        <w:rPr>
          <w:b w:val="0"/>
        </w:rPr>
      </w:r>
      <w:r>
        <w:rPr/>
        <w:t>第十一节</w:t>
        <w:tab/>
        <w:t>基金份额的申购、赎回</w:t>
      </w:r>
    </w:p>
    <w:p>
      <w:pPr>
        <w:pStyle w:val="BodyText"/>
        <w:spacing w:line="364" w:lineRule="auto" w:before="138"/>
        <w:ind w:left="376" w:right="795" w:firstLine="420"/>
        <w:jc w:val="both"/>
      </w:pPr>
      <w:r>
        <w:rPr/>
        <w:t>本基金设A类人民币份额、A类美元份额、C类人民币份额、C类美元份额。A类人民币份额及C类人民币份额以人民币计价并进行申购、赎回；A类美元份额及C类美元份额以美元计价并进行申购、赎回。投资者可通过场外、场内两种方式对本基金A类人民币份额进行申购与赎回，投资者仅可通过场外方式对A类美元份额、C类人民币份额、C类美元份额进行申购与赎回。</w:t>
      </w:r>
    </w:p>
    <w:p>
      <w:pPr>
        <w:pStyle w:val="Heading2"/>
        <w:tabs>
          <w:tab w:pos="1216" w:val="left" w:leader="none"/>
        </w:tabs>
        <w:spacing w:line="357" w:lineRule="exact"/>
      </w:pPr>
      <w:bookmarkStart w:name="_bookmark36" w:id="37"/>
      <w:bookmarkEnd w:id="37"/>
      <w:r>
        <w:rPr/>
      </w:r>
      <w:r>
        <w:rPr/>
        <w:t>一、</w:t>
        <w:tab/>
        <w:t>基金投资者范围</w:t>
      </w:r>
    </w:p>
    <w:p>
      <w:pPr>
        <w:pStyle w:val="BodyText"/>
        <w:spacing w:line="364" w:lineRule="auto" w:before="184"/>
        <w:ind w:left="376" w:right="794" w:firstLine="420"/>
      </w:pPr>
      <w:r>
        <w:rPr>
          <w:spacing w:val="-6"/>
        </w:rPr>
        <w:t>符合法律法规规定的个人投资者、机构投资者，以及法律法规或中国证监会允许购买开</w:t>
      </w:r>
      <w:r>
        <w:rPr/>
        <w:t>放式证券投资基金的其他投资者。</w:t>
      </w:r>
    </w:p>
    <w:p>
      <w:pPr>
        <w:pStyle w:val="Heading2"/>
        <w:tabs>
          <w:tab w:pos="1216" w:val="left" w:leader="none"/>
        </w:tabs>
        <w:spacing w:before="1"/>
      </w:pPr>
      <w:bookmarkStart w:name="_bookmark37" w:id="38"/>
      <w:bookmarkEnd w:id="38"/>
      <w:r>
        <w:rPr/>
      </w:r>
      <w:r>
        <w:rPr/>
        <w:t>二、</w:t>
        <w:tab/>
        <w:t>申购与赎回的场所</w:t>
      </w:r>
    </w:p>
    <w:p>
      <w:pPr>
        <w:pStyle w:val="BodyText"/>
        <w:spacing w:line="364" w:lineRule="auto" w:before="184"/>
        <w:ind w:left="376" w:right="795" w:firstLine="420"/>
      </w:pPr>
      <w:r>
        <w:rPr/>
        <w:t>本基金场外申购和赎回场所为基金管理人的直销网点及基金场外非直销销售机构的销售网点，场内申购和赎回场所为深圳证券交易所内具有相应业务资格的会员单位。</w:t>
      </w:r>
    </w:p>
    <w:p>
      <w:pPr>
        <w:pStyle w:val="BodyText"/>
        <w:spacing w:line="364" w:lineRule="auto"/>
        <w:ind w:left="376" w:right="794" w:firstLine="420"/>
        <w:jc w:val="both"/>
      </w:pPr>
      <w:r>
        <w:rPr>
          <w:spacing w:val="2"/>
        </w:rPr>
        <w:t>基金投资者应当在销售机构办理基金销售业务的营业场所或按销售机构提供的其他方</w:t>
      </w:r>
      <w:r>
        <w:rPr>
          <w:spacing w:val="-5"/>
        </w:rPr>
        <w:t>式办理基金份额的申购与赎回。基金管理人可根据情况变更基金场外销售机构，并在基金管</w:t>
      </w:r>
      <w:r>
        <w:rPr/>
        <w:t>理人网站公示。</w:t>
      </w:r>
    </w:p>
    <w:p>
      <w:pPr>
        <w:pStyle w:val="Heading2"/>
        <w:tabs>
          <w:tab w:pos="1216" w:val="left" w:leader="none"/>
        </w:tabs>
        <w:spacing w:line="358" w:lineRule="exact"/>
      </w:pPr>
      <w:bookmarkStart w:name="_bookmark38" w:id="39"/>
      <w:bookmarkEnd w:id="39"/>
      <w:r>
        <w:rPr/>
      </w:r>
      <w:r>
        <w:rPr/>
        <w:t>三、</w:t>
        <w:tab/>
        <w:t>申购和赎回的开放日及时间</w:t>
      </w:r>
    </w:p>
    <w:p>
      <w:pPr>
        <w:pStyle w:val="BodyText"/>
        <w:spacing w:line="364" w:lineRule="auto" w:before="184"/>
        <w:ind w:left="376" w:right="585" w:firstLine="420"/>
      </w:pPr>
      <w:r>
        <w:rPr/>
        <w:t>本基金A类人民币份额已于2011年7月21日开始办理日常申购和赎回业务。本基金C类人 </w:t>
      </w:r>
      <w:r>
        <w:rPr>
          <w:spacing w:val="2"/>
        </w:rPr>
        <w:t>民币份额、</w:t>
      </w:r>
      <w:r>
        <w:rPr>
          <w:spacing w:val="3"/>
        </w:rPr>
        <w:t>A</w:t>
      </w:r>
      <w:r>
        <w:rPr>
          <w:spacing w:val="2"/>
        </w:rPr>
        <w:t>类美元份额、</w:t>
      </w:r>
      <w:r>
        <w:rPr>
          <w:spacing w:val="3"/>
        </w:rPr>
        <w:t>C</w:t>
      </w:r>
      <w:r>
        <w:rPr>
          <w:spacing w:val="2"/>
        </w:rPr>
        <w:t>类美元份额已于</w:t>
      </w:r>
      <w:r>
        <w:rPr/>
        <w:t>2019</w:t>
      </w:r>
      <w:r>
        <w:rPr>
          <w:spacing w:val="3"/>
        </w:rPr>
        <w:t>年</w:t>
      </w:r>
      <w:r>
        <w:rPr/>
        <w:t>10</w:t>
      </w:r>
      <w:r>
        <w:rPr>
          <w:spacing w:val="3"/>
        </w:rPr>
        <w:t>月</w:t>
      </w:r>
      <w:r>
        <w:rPr/>
        <w:t>11日开始办理日常申购和赎回业务。</w:t>
      </w:r>
    </w:p>
    <w:p>
      <w:pPr>
        <w:pStyle w:val="BodyText"/>
        <w:spacing w:line="268" w:lineRule="exact"/>
      </w:pPr>
      <w:r>
        <w:rPr/>
        <w:t>本基金申购和赎回的开放日为上海证券交易所、深圳证券交易所以及境外主要投资市场</w:t>
      </w:r>
    </w:p>
    <w:p>
      <w:pPr>
        <w:pStyle w:val="BodyText"/>
        <w:spacing w:line="364" w:lineRule="auto" w:before="140"/>
        <w:ind w:left="376" w:right="794"/>
        <w:jc w:val="both"/>
      </w:pPr>
      <w:r>
        <w:rPr/>
        <w:t>（</w:t>
      </w:r>
      <w:r>
        <w:rPr>
          <w:spacing w:val="-3"/>
        </w:rPr>
        <w:t>如美国纽约证券交易所、瑞士证券交易所等</w:t>
      </w:r>
      <w:r>
        <w:rPr>
          <w:spacing w:val="-30"/>
        </w:rPr>
        <w:t>）</w:t>
      </w:r>
      <w:r>
        <w:rPr>
          <w:spacing w:val="-4"/>
        </w:rPr>
        <w:t>同时开放交易的每个工作日，但基金管理人</w:t>
      </w:r>
      <w:r>
        <w:rPr>
          <w:spacing w:val="-8"/>
        </w:rPr>
        <w:t>根据法律法规、中国证监会的要求或基金合同的规定公告暂停申购、赎回时除外。具体办理</w:t>
      </w:r>
      <w:r>
        <w:rPr/>
        <w:t>时间为上海证券交易所、深圳证券交易所正常交易日的交易时间。</w:t>
      </w:r>
    </w:p>
    <w:p>
      <w:pPr>
        <w:pStyle w:val="BodyText"/>
        <w:spacing w:line="364" w:lineRule="auto"/>
        <w:ind w:left="376" w:right="794" w:firstLine="420"/>
      </w:pPr>
      <w:r>
        <w:rPr>
          <w:spacing w:val="-6"/>
        </w:rPr>
        <w:t>对于投资者在非开放时间提出的申购、赎回申请，其基金份额申购、赎回价格为下次办</w:t>
      </w:r>
      <w:r>
        <w:rPr/>
        <w:t>理基金份额申购、赎回时间所在开放日的价格。</w:t>
      </w:r>
    </w:p>
    <w:p>
      <w:pPr>
        <w:pStyle w:val="BodyText"/>
        <w:spacing w:line="364" w:lineRule="auto"/>
        <w:ind w:left="376" w:right="794" w:firstLine="420"/>
        <w:jc w:val="both"/>
      </w:pPr>
      <w:r>
        <w:rPr>
          <w:spacing w:val="-9"/>
        </w:rPr>
        <w:t>基金合同生效后，若出现新的证券交易市场或交易所交易时间变更或实际情况需要，基</w:t>
      </w:r>
      <w:r>
        <w:rPr>
          <w:spacing w:val="-8"/>
        </w:rPr>
        <w:t>金管理人可对申购、赎回的开放日及开放时间进行调整，但此项调整应在实施日前依照《信</w:t>
      </w:r>
      <w:r>
        <w:rPr/>
        <w:t>息披露办法》的有关规定在指定媒介上公告。</w:t>
      </w:r>
    </w:p>
    <w:p>
      <w:pPr>
        <w:pStyle w:val="Heading2"/>
        <w:tabs>
          <w:tab w:pos="1216" w:val="left" w:leader="none"/>
        </w:tabs>
        <w:spacing w:line="358" w:lineRule="exact"/>
      </w:pPr>
      <w:bookmarkStart w:name="_bookmark39" w:id="40"/>
      <w:bookmarkEnd w:id="40"/>
      <w:r>
        <w:rPr/>
      </w:r>
      <w:r>
        <w:rPr/>
        <w:t>四、</w:t>
        <w:tab/>
        <w:t>申购与赎回的原则</w:t>
      </w:r>
    </w:p>
    <w:p>
      <w:pPr>
        <w:pStyle w:val="BodyText"/>
        <w:spacing w:line="364" w:lineRule="auto" w:before="182"/>
        <w:ind w:left="376" w:right="794" w:firstLine="420"/>
        <w:jc w:val="both"/>
      </w:pPr>
      <w:r>
        <w:rPr/>
        <w:t>1</w:t>
      </w:r>
      <w:r>
        <w:rPr>
          <w:spacing w:val="-15"/>
        </w:rPr>
        <w:t>、“未知价”原则，即申购、赎回价格以申请当日收市后计算的该类基金份额的基金份</w:t>
      </w:r>
      <w:r>
        <w:rPr>
          <w:spacing w:val="-9"/>
        </w:rPr>
        <w:t>额净值为基准进行计算；其中</w:t>
      </w:r>
      <w:r>
        <w:rPr/>
        <w:t>，C类人民币份额首笔申购当日的申购价格为当日A</w:t>
      </w:r>
      <w:r>
        <w:rPr>
          <w:spacing w:val="-3"/>
        </w:rPr>
        <w:t>类人民币份</w:t>
      </w:r>
      <w:r>
        <w:rPr>
          <w:spacing w:val="-10"/>
        </w:rPr>
        <w:t>额的基金份额净值，</w:t>
      </w:r>
      <w:r>
        <w:rPr/>
        <w:t>A类美元份额首笔申购当日的申购价格为当日A</w:t>
      </w:r>
      <w:r>
        <w:rPr>
          <w:spacing w:val="-2"/>
        </w:rPr>
        <w:t>类人民币份额的基金份额</w:t>
      </w:r>
      <w:r>
        <w:rPr>
          <w:spacing w:val="-5"/>
        </w:rPr>
        <w:t>净值按照估值日汇率折算后的基金份额净值，</w:t>
      </w:r>
      <w:r>
        <w:rPr/>
        <w:t>C类美元份额首笔申购当日的申购价格为当日</w:t>
      </w:r>
      <w:r>
        <w:rPr>
          <w:spacing w:val="-16"/>
        </w:rPr>
        <w:t>C</w:t>
      </w:r>
    </w:p>
    <w:p>
      <w:pPr>
        <w:spacing w:after="0" w:line="364" w:lineRule="auto"/>
        <w:jc w:val="both"/>
        <w:sectPr>
          <w:pgSz w:w="11910" w:h="16840"/>
          <w:pgMar w:header="0" w:footer="1118" w:top="1400" w:bottom="1380" w:left="1420" w:right="1000"/>
        </w:sectPr>
      </w:pPr>
    </w:p>
    <w:p>
      <w:pPr>
        <w:pStyle w:val="BodyText"/>
        <w:spacing w:line="364" w:lineRule="auto" w:before="45"/>
        <w:ind w:left="376" w:right="714"/>
      </w:pPr>
      <w:r>
        <w:rPr/>
        <w:t>类人民币份额的基金份额净值（如当日无C类人民币份额的基金份额净值，则按当日A类人民币份额的基金份额净值）按照估值日汇率折算后的基金份额净值；</w:t>
      </w:r>
    </w:p>
    <w:p>
      <w:pPr>
        <w:pStyle w:val="BodyText"/>
        <w:spacing w:line="268" w:lineRule="exact"/>
      </w:pPr>
      <w:r>
        <w:rPr/>
        <w:t>2、“金额申购、份额赎回”原则，即申购以金额申请，赎回以份额申请；</w:t>
      </w:r>
    </w:p>
    <w:p>
      <w:pPr>
        <w:pStyle w:val="BodyText"/>
        <w:spacing w:before="139"/>
      </w:pPr>
      <w:r>
        <w:rPr/>
        <w:t>3、当日的申购与赎回申请可以在基金管理人规定的时间内撤销；</w:t>
      </w:r>
    </w:p>
    <w:p>
      <w:pPr>
        <w:pStyle w:val="BodyText"/>
        <w:spacing w:line="364" w:lineRule="auto" w:before="140"/>
        <w:ind w:left="376" w:right="794" w:firstLine="420"/>
        <w:jc w:val="both"/>
      </w:pPr>
      <w:r>
        <w:rPr/>
        <w:t>4、场外基金份额持有人在赎回基金份额时，遵循先进先出原则，认购、申购确认日期</w:t>
      </w:r>
      <w:r>
        <w:rPr>
          <w:spacing w:val="-7"/>
        </w:rPr>
        <w:t>在先的基金份额先赎回，认购、申购确认日期在后的基金份额后赎回，以确定所适用的赎回</w:t>
      </w:r>
      <w:r>
        <w:rPr/>
        <w:t>费率；</w:t>
      </w:r>
    </w:p>
    <w:p>
      <w:pPr>
        <w:pStyle w:val="BodyText"/>
        <w:spacing w:line="364" w:lineRule="auto"/>
        <w:ind w:left="376" w:right="794" w:firstLine="420"/>
        <w:jc w:val="both"/>
      </w:pPr>
      <w:r>
        <w:rPr/>
        <w:t>5、基金管理人可根据基金运作的实际情况并在不影响基金份额持有人实质利益的前提</w:t>
      </w:r>
      <w:r>
        <w:rPr>
          <w:spacing w:val="-7"/>
        </w:rPr>
        <w:t>下调整上述原则。基金管理人必须在新规则开始实施前按照《信息披露办法》的有关规定在</w:t>
      </w:r>
      <w:r>
        <w:rPr/>
        <w:t>指定媒介上公告；</w:t>
      </w:r>
    </w:p>
    <w:p>
      <w:pPr>
        <w:pStyle w:val="BodyText"/>
        <w:spacing w:line="364" w:lineRule="auto"/>
        <w:ind w:left="376" w:right="794" w:firstLine="420"/>
        <w:jc w:val="both"/>
      </w:pPr>
      <w:r>
        <w:rPr/>
        <w:t>6、投资人通过深圳证券交易所交易系统办理本基金的场内申购、赎回时，需遵守深圳</w:t>
      </w:r>
      <w:r>
        <w:rPr>
          <w:spacing w:val="-5"/>
        </w:rPr>
        <w:t>证券交易所和基金登记结算机构的相关业务规则。若相关法律法规、中国证监会、深圳证券</w:t>
      </w:r>
      <w:r>
        <w:rPr/>
        <w:t>交易所或基金登记结算机构对申购、赎回业务等规则有新的规定，按新规定执行；</w:t>
      </w:r>
    </w:p>
    <w:p>
      <w:pPr>
        <w:pStyle w:val="BodyText"/>
        <w:spacing w:line="364" w:lineRule="auto"/>
        <w:ind w:left="376" w:right="689" w:firstLine="420"/>
      </w:pPr>
      <w:r>
        <w:rPr/>
        <w:t>7</w:t>
      </w:r>
      <w:r>
        <w:rPr>
          <w:spacing w:val="-15"/>
        </w:rPr>
        <w:t>、“分币种申赎”原则，即以人民币申购获得人民币计价的份额，赎回人民币份额获得</w:t>
      </w:r>
      <w:r>
        <w:rPr>
          <w:spacing w:val="-19"/>
        </w:rPr>
        <w:t>人民币赎回款，以美元申购获得美元计价的份额，赎回美元份额获得美元赎回款，以此类推。</w:t>
      </w:r>
    </w:p>
    <w:p>
      <w:pPr>
        <w:pStyle w:val="Heading2"/>
        <w:tabs>
          <w:tab w:pos="1216" w:val="left" w:leader="none"/>
        </w:tabs>
      </w:pPr>
      <w:bookmarkStart w:name="_bookmark40" w:id="41"/>
      <w:bookmarkEnd w:id="41"/>
      <w:r>
        <w:rPr/>
      </w:r>
      <w:r>
        <w:rPr/>
        <w:t>五、</w:t>
        <w:tab/>
        <w:t>申购和赎回的程序</w:t>
      </w:r>
    </w:p>
    <w:p>
      <w:pPr>
        <w:pStyle w:val="BodyText"/>
        <w:spacing w:before="181"/>
      </w:pPr>
      <w:r>
        <w:rPr/>
        <w:t>1、申请方式</w:t>
      </w:r>
    </w:p>
    <w:p>
      <w:pPr>
        <w:pStyle w:val="BodyText"/>
        <w:spacing w:line="364" w:lineRule="auto" w:before="139"/>
        <w:ind w:left="376" w:right="794" w:firstLine="420"/>
      </w:pPr>
      <w:r>
        <w:rPr>
          <w:spacing w:val="-6"/>
        </w:rPr>
        <w:t>基金投资者必须根据基金销售机构规定的程序，在开放日的开放时间向基金销售机构提</w:t>
      </w:r>
      <w:r>
        <w:rPr/>
        <w:t>出申购或赎回的申请。</w:t>
      </w:r>
    </w:p>
    <w:p>
      <w:pPr>
        <w:pStyle w:val="BodyText"/>
        <w:spacing w:line="364" w:lineRule="auto"/>
        <w:ind w:left="376" w:right="585" w:firstLine="420"/>
      </w:pPr>
      <w:r>
        <w:rPr>
          <w:spacing w:val="-4"/>
        </w:rPr>
        <w:t>投资者在申购本基金时须按销售机构规定的方式备足申购资金，投资者在提交赎回申请 </w:t>
      </w:r>
      <w:r>
        <w:rPr/>
        <w:t>时，必须有足够的基金份额余额，否则所提交的申购、赎回的申请将可能无效而不予成交。</w:t>
      </w:r>
    </w:p>
    <w:p>
      <w:pPr>
        <w:pStyle w:val="BodyText"/>
        <w:spacing w:line="268" w:lineRule="exact"/>
      </w:pPr>
      <w:r>
        <w:rPr/>
        <w:t>2、申购与赎回申请的确认</w:t>
      </w:r>
    </w:p>
    <w:p>
      <w:pPr>
        <w:pStyle w:val="BodyText"/>
        <w:spacing w:line="364" w:lineRule="auto" w:before="138"/>
        <w:ind w:left="376" w:right="794" w:firstLine="420"/>
        <w:jc w:val="both"/>
      </w:pPr>
      <w:r>
        <w:rPr/>
        <w:t>T</w:t>
      </w:r>
      <w:r>
        <w:rPr>
          <w:spacing w:val="-8"/>
        </w:rPr>
        <w:t>日规定时间受理的申请，正常情况下，基金登记结算机构在</w:t>
      </w:r>
      <w:r>
        <w:rPr/>
        <w:t>T+2</w:t>
      </w:r>
      <w:r>
        <w:rPr>
          <w:spacing w:val="-2"/>
        </w:rPr>
        <w:t>日内为投资者对该交易</w:t>
      </w:r>
      <w:r>
        <w:rPr>
          <w:spacing w:val="-4"/>
        </w:rPr>
        <w:t>的有效性进行确认，自</w:t>
      </w:r>
      <w:r>
        <w:rPr/>
        <w:t>T＋3</w:t>
      </w:r>
      <w:r>
        <w:rPr>
          <w:spacing w:val="-15"/>
        </w:rPr>
        <w:t>日起</w:t>
      </w:r>
      <w:r>
        <w:rPr/>
        <w:t>（包括该日</w:t>
      </w:r>
      <w:r>
        <w:rPr>
          <w:spacing w:val="-30"/>
        </w:rPr>
        <w:t>）</w:t>
      </w:r>
      <w:r>
        <w:rPr>
          <w:spacing w:val="-1"/>
        </w:rPr>
        <w:t>投资者应向销售机构或以销售机构规定的其他</w:t>
      </w:r>
      <w:r>
        <w:rPr/>
        <w:t>方式查询申购与赎回的成交情况。</w:t>
      </w:r>
    </w:p>
    <w:p>
      <w:pPr>
        <w:pStyle w:val="BodyText"/>
        <w:spacing w:line="364" w:lineRule="auto"/>
        <w:ind w:left="376" w:right="794" w:firstLine="420"/>
      </w:pPr>
      <w:r>
        <w:rPr>
          <w:spacing w:val="-8"/>
        </w:rPr>
        <w:t>基金销售机构申购、赎回申请的受理并不代表该申请一定成功，而仅代表销售机构确实</w:t>
      </w:r>
      <w:r>
        <w:rPr/>
        <w:t>接收到该申请。申购、赎回的确认以基金登记结算机构或基金管理人的确认结果为准。</w:t>
      </w:r>
    </w:p>
    <w:p>
      <w:pPr>
        <w:pStyle w:val="BodyText"/>
        <w:spacing w:line="268" w:lineRule="exact"/>
      </w:pPr>
      <w:r>
        <w:rPr/>
        <w:t>3、申购和赎回的款项支付</w:t>
      </w:r>
    </w:p>
    <w:p>
      <w:pPr>
        <w:pStyle w:val="BodyText"/>
        <w:spacing w:line="364" w:lineRule="auto" w:before="138"/>
        <w:ind w:left="376" w:right="794" w:firstLine="420"/>
        <w:jc w:val="both"/>
      </w:pPr>
      <w:r>
        <w:rPr>
          <w:spacing w:val="-6"/>
        </w:rPr>
        <w:t>投资者申购人民币基金份额时从人民币账户缴款，赎回人民币基金份额时，赎回款划往</w:t>
      </w:r>
      <w:r>
        <w:rPr>
          <w:spacing w:val="-7"/>
        </w:rPr>
        <w:t>投资者人民币账户。投资者申购美元基金份额时从美元账户缴款，赎回美元基金份额时，赎</w:t>
      </w:r>
      <w:r>
        <w:rPr/>
        <w:t>回款划往投资者美元账户。</w:t>
      </w:r>
    </w:p>
    <w:p>
      <w:pPr>
        <w:pStyle w:val="BodyText"/>
        <w:spacing w:line="364" w:lineRule="auto"/>
        <w:ind w:left="376" w:right="794" w:firstLine="420"/>
      </w:pPr>
      <w:r>
        <w:rPr>
          <w:spacing w:val="-8"/>
        </w:rPr>
        <w:t>申购采用全额缴款方式，若申购资金在规定时间内未全额到账则申购不成功，若申购不</w:t>
      </w:r>
      <w:r>
        <w:rPr/>
        <w:t>成功或无效，投资者已交付的申购款项本金将退回投资者账户。</w:t>
      </w:r>
    </w:p>
    <w:p>
      <w:pPr>
        <w:pStyle w:val="BodyText"/>
        <w:spacing w:line="268" w:lineRule="exact"/>
      </w:pPr>
      <w:r>
        <w:rPr/>
        <w:t>投资者T日赎回申请成功后，基金管理人将通过登记结算机构及其相关基金销售机构在T</w:t>
      </w:r>
    </w:p>
    <w:p>
      <w:pPr>
        <w:spacing w:after="0" w:line="268" w:lineRule="exact"/>
        <w:sectPr>
          <w:pgSz w:w="11910" w:h="16840"/>
          <w:pgMar w:header="0" w:footer="1118" w:top="1380" w:bottom="1380" w:left="1420" w:right="1000"/>
        </w:sectPr>
      </w:pPr>
    </w:p>
    <w:p>
      <w:pPr>
        <w:pStyle w:val="BodyText"/>
        <w:spacing w:line="364" w:lineRule="auto" w:before="45"/>
        <w:ind w:left="376" w:right="794"/>
        <w:jc w:val="both"/>
      </w:pPr>
      <w:r>
        <w:rPr/>
        <w:t>＋10</w:t>
      </w:r>
      <w:r>
        <w:rPr>
          <w:spacing w:val="-30"/>
        </w:rPr>
        <w:t>日</w:t>
      </w:r>
      <w:r>
        <w:rPr/>
        <w:t>（包括该日</w:t>
      </w:r>
      <w:r>
        <w:rPr>
          <w:spacing w:val="-30"/>
        </w:rPr>
        <w:t>）</w:t>
      </w:r>
      <w:r>
        <w:rPr>
          <w:spacing w:val="-3"/>
        </w:rPr>
        <w:t>内将赎回款项划往基金份额持有人账户，国家外汇局相关规定偶变更或</w:t>
      </w:r>
      <w:r>
        <w:rPr>
          <w:spacing w:val="-5"/>
        </w:rPr>
        <w:t>本基金境外投资主要市场的交易清算规则有变更时，赎回款支付时间将相应调整；当基金境</w:t>
      </w:r>
      <w:r>
        <w:rPr>
          <w:spacing w:val="2"/>
        </w:rPr>
        <w:t>外投资主要市场休市或暂停交易时顺延。在发生巨额赎回的情形时，款项的支付办法参照</w:t>
      </w:r>
    </w:p>
    <w:p>
      <w:pPr>
        <w:pStyle w:val="BodyText"/>
        <w:spacing w:line="268" w:lineRule="exact"/>
        <w:ind w:left="376"/>
      </w:pPr>
      <w:r>
        <w:rPr/>
        <w:t>《基金合同》的有关条款处理。</w:t>
      </w:r>
    </w:p>
    <w:p>
      <w:pPr>
        <w:pStyle w:val="Heading2"/>
        <w:tabs>
          <w:tab w:pos="1216" w:val="left" w:leader="none"/>
        </w:tabs>
        <w:spacing w:before="141"/>
      </w:pPr>
      <w:bookmarkStart w:name="_bookmark41" w:id="42"/>
      <w:bookmarkEnd w:id="42"/>
      <w:r>
        <w:rPr/>
      </w:r>
      <w:r>
        <w:rPr/>
        <w:t>六、</w:t>
        <w:tab/>
        <w:t>申购和赎回的数额限制</w:t>
      </w:r>
    </w:p>
    <w:p>
      <w:pPr>
        <w:pStyle w:val="BodyText"/>
        <w:spacing w:before="184"/>
      </w:pPr>
      <w:r>
        <w:rPr/>
        <w:t>1、申购基金的金额限制</w:t>
      </w:r>
    </w:p>
    <w:p>
      <w:pPr>
        <w:pStyle w:val="BodyText"/>
        <w:spacing w:line="364" w:lineRule="auto" w:before="140"/>
        <w:ind w:left="376" w:right="794" w:firstLine="420"/>
        <w:jc w:val="both"/>
      </w:pPr>
      <w:r>
        <w:rPr/>
        <w:t>申购本基金场外A</w:t>
      </w:r>
      <w:r>
        <w:rPr>
          <w:spacing w:val="-7"/>
        </w:rPr>
        <w:t>类人民币份额、</w:t>
      </w:r>
      <w:r>
        <w:rPr/>
        <w:t>C</w:t>
      </w:r>
      <w:r>
        <w:rPr>
          <w:spacing w:val="-7"/>
        </w:rPr>
        <w:t>类人民币份额时，投资者通过直销中心首次申购的单</w:t>
      </w:r>
      <w:r>
        <w:rPr/>
        <w:t>笔最低金额为50,000元人民币，追加申购单笔最低金额为1000</w:t>
      </w:r>
      <w:r>
        <w:rPr>
          <w:spacing w:val="-11"/>
        </w:rPr>
        <w:t>元人民币；通过非直销销售机</w:t>
      </w:r>
      <w:r>
        <w:rPr/>
        <w:t>构销售网点或本公司网上交易系统首次申购的单笔最低金额为</w:t>
      </w:r>
      <w:r>
        <w:rPr>
          <w:spacing w:val="3"/>
        </w:rPr>
        <w:t>1</w:t>
      </w:r>
      <w:r>
        <w:rPr/>
        <w:t>元人民币,追加申购单笔最低金额为1元人民币。</w:t>
      </w:r>
    </w:p>
    <w:p>
      <w:pPr>
        <w:pStyle w:val="BodyText"/>
        <w:spacing w:line="364" w:lineRule="auto"/>
        <w:ind w:left="376" w:right="690" w:firstLine="420"/>
        <w:jc w:val="both"/>
      </w:pPr>
      <w:r>
        <w:rPr/>
        <w:t>申购本基金A</w:t>
      </w:r>
      <w:r>
        <w:rPr>
          <w:spacing w:val="-8"/>
        </w:rPr>
        <w:t>类美元份额、</w:t>
      </w:r>
      <w:r>
        <w:rPr/>
        <w:t>C</w:t>
      </w:r>
      <w:r>
        <w:rPr>
          <w:spacing w:val="-7"/>
        </w:rPr>
        <w:t>类美元份额时，投资者通过非直销销售机构或本公司网上直销系统首次申购的单笔最低限额为1美元，追加申购单笔最低限额为1</w:t>
      </w:r>
      <w:r>
        <w:rPr>
          <w:spacing w:val="-12"/>
        </w:rPr>
        <w:t>美元；机构投资者通过</w:t>
      </w:r>
      <w:r>
        <w:rPr>
          <w:spacing w:val="6"/>
        </w:rPr>
        <w:t>本公司直销中心首次申购的单笔最低限额为</w:t>
      </w:r>
      <w:r>
        <w:rPr/>
        <w:t>100</w:t>
      </w:r>
      <w:r>
        <w:rPr>
          <w:spacing w:val="6"/>
        </w:rPr>
        <w:t>美元，追加申购单笔最低限额为</w:t>
      </w:r>
      <w:r>
        <w:rPr/>
        <w:t>100美元。</w:t>
      </w:r>
    </w:p>
    <w:p>
      <w:pPr>
        <w:pStyle w:val="BodyText"/>
        <w:spacing w:line="268" w:lineRule="exact"/>
        <w:ind w:left="376"/>
      </w:pPr>
      <w:r>
        <w:rPr/>
        <w:t>（直销中心暂不开通个人投资者外币申购业务</w:t>
      </w:r>
      <w:r>
        <w:rPr>
          <w:spacing w:val="-105"/>
        </w:rPr>
        <w:t>）</w:t>
      </w:r>
      <w:r>
        <w:rPr/>
        <w:t>。</w:t>
      </w:r>
    </w:p>
    <w:p>
      <w:pPr>
        <w:pStyle w:val="BodyText"/>
        <w:spacing w:line="364" w:lineRule="auto" w:before="137"/>
        <w:ind w:left="376" w:right="794" w:firstLine="420"/>
      </w:pPr>
      <w:r>
        <w:rPr>
          <w:spacing w:val="-7"/>
        </w:rPr>
        <w:t>在符合法律法规规定的前提下，各销售机构对申购限额及交易级差有其他规定的，需同</w:t>
      </w:r>
      <w:r>
        <w:rPr>
          <w:spacing w:val="-8"/>
        </w:rPr>
        <w:t>时遵循该销售机构的相关规定。</w:t>
      </w:r>
      <w:r>
        <w:rPr/>
        <w:t>（以上金额均含申购费)</w:t>
      </w:r>
    </w:p>
    <w:p>
      <w:pPr>
        <w:pStyle w:val="BodyText"/>
        <w:spacing w:line="364" w:lineRule="auto"/>
        <w:ind w:left="376" w:right="714" w:firstLine="420"/>
      </w:pPr>
      <w:r>
        <w:rPr/>
        <w:t>投资者将当期分配的基金收益转购基金份额或采用定期定额投资计划时，不受最低申购金额的限制。</w:t>
      </w:r>
    </w:p>
    <w:p>
      <w:pPr>
        <w:pStyle w:val="BodyText"/>
        <w:spacing w:line="364" w:lineRule="auto"/>
        <w:ind w:left="376" w:right="603" w:firstLine="420"/>
      </w:pPr>
      <w:r>
        <w:rPr>
          <w:spacing w:val="-7"/>
        </w:rPr>
        <w:t>投资者可多次申购，对单个投资者累计持有份额不设上限限制。但对于可能导致单一投资者持有基金份额的比例达到或者超过</w:t>
      </w:r>
      <w:r>
        <w:rPr>
          <w:spacing w:val="-12"/>
        </w:rPr>
        <w:t>50%</w:t>
      </w:r>
      <w:r>
        <w:rPr>
          <w:spacing w:val="-3"/>
        </w:rPr>
        <w:t>，或者变相规避</w:t>
      </w:r>
      <w:r>
        <w:rPr/>
        <w:t>50%</w:t>
      </w:r>
      <w:r>
        <w:rPr>
          <w:spacing w:val="-7"/>
        </w:rPr>
        <w:t>集中度的情形，基金管理人有</w:t>
      </w:r>
      <w:r>
        <w:rPr>
          <w:spacing w:val="-11"/>
        </w:rPr>
        <w:t>权采取控制措施。当接受申购申请对存量基金份额持有人利益构成潜在重大不利影响时，基</w:t>
      </w:r>
      <w:r>
        <w:rPr>
          <w:spacing w:val="-15"/>
        </w:rPr>
        <w:t>金管理人应当采取设定单一投资者申购金额上限或基金单日净申购比例上限、拒绝大额申购、</w:t>
      </w:r>
      <w:r>
        <w:rPr>
          <w:spacing w:val="-5"/>
        </w:rPr>
        <w:t>暂停基金申购等措施，切实保护存量基金份额持有人的合法权益，具体请参见相关公告。法律法规、中国证监会另有规定的除外。</w:t>
      </w:r>
    </w:p>
    <w:p>
      <w:pPr>
        <w:pStyle w:val="BodyText"/>
        <w:spacing w:line="364" w:lineRule="auto"/>
        <w:ind w:left="376" w:right="714" w:firstLine="420"/>
      </w:pPr>
      <w:r>
        <w:rPr/>
        <w:t>申购本基金场内A类人民币份额时，每笔申购金额最低为1元，同时申购金额必须是整数金额。</w:t>
      </w:r>
    </w:p>
    <w:p>
      <w:pPr>
        <w:pStyle w:val="BodyText"/>
        <w:spacing w:line="268" w:lineRule="exact"/>
      </w:pPr>
      <w:r>
        <w:rPr/>
        <w:t>2、赎回的份额限制</w:t>
      </w:r>
    </w:p>
    <w:p>
      <w:pPr>
        <w:pStyle w:val="BodyText"/>
        <w:spacing w:line="364" w:lineRule="auto" w:before="135"/>
        <w:ind w:left="376" w:right="714" w:firstLine="420"/>
      </w:pPr>
      <w:r>
        <w:rPr/>
        <w:t>基金份额持有人办理场外A类人民币份额、C类人民币份额赎回时，每笔赎回申请的最低份额为1份基金份额；</w:t>
      </w:r>
    </w:p>
    <w:p>
      <w:pPr>
        <w:pStyle w:val="BodyText"/>
        <w:spacing w:line="364" w:lineRule="auto"/>
        <w:ind w:left="376" w:right="794" w:firstLine="420"/>
      </w:pPr>
      <w:r>
        <w:rPr/>
        <w:t>基金份额持有人办理场内A</w:t>
      </w:r>
      <w:r>
        <w:rPr>
          <w:spacing w:val="-9"/>
        </w:rPr>
        <w:t>类人民币份额赎回时，每笔赎回申请的最低份额为</w:t>
      </w:r>
      <w:r>
        <w:rPr/>
        <w:t>1</w:t>
      </w:r>
      <w:r>
        <w:rPr>
          <w:spacing w:val="-4"/>
        </w:rPr>
        <w:t>份基金份</w:t>
      </w:r>
      <w:r>
        <w:rPr/>
        <w:t>额，同时赎回份额必须是整数份额；</w:t>
      </w:r>
    </w:p>
    <w:p>
      <w:pPr>
        <w:pStyle w:val="BodyText"/>
        <w:spacing w:line="364" w:lineRule="auto"/>
        <w:ind w:left="376" w:right="794" w:firstLine="420"/>
        <w:jc w:val="both"/>
      </w:pPr>
      <w:r>
        <w:rPr/>
        <w:t>基金份额持有人办理A</w:t>
      </w:r>
      <w:r>
        <w:rPr>
          <w:spacing w:val="-8"/>
        </w:rPr>
        <w:t>类美元份额、</w:t>
      </w:r>
      <w:r>
        <w:rPr/>
        <w:t>C</w:t>
      </w:r>
      <w:r>
        <w:rPr>
          <w:spacing w:val="-5"/>
        </w:rPr>
        <w:t>类美元份额赎回时，每笔赎回申请的最低份额为</w:t>
      </w:r>
      <w:r>
        <w:rPr>
          <w:spacing w:val="-8"/>
        </w:rPr>
        <w:t>10 </w:t>
      </w:r>
      <w:r>
        <w:rPr/>
        <w:t>份基金份额。如该账户在该销售机构托管的人民币基金份额余额不足1份或美元基金份额余额不足10份，则必须一次性赎回该类别该币种全部份额。</w:t>
      </w:r>
    </w:p>
    <w:p>
      <w:pPr>
        <w:spacing w:after="0" w:line="364" w:lineRule="auto"/>
        <w:jc w:val="both"/>
        <w:sectPr>
          <w:pgSz w:w="11910" w:h="16840"/>
          <w:pgMar w:header="0" w:footer="1118" w:top="1380" w:bottom="1380" w:left="1420" w:right="1000"/>
        </w:sectPr>
      </w:pPr>
    </w:p>
    <w:p>
      <w:pPr>
        <w:pStyle w:val="BodyText"/>
        <w:spacing w:line="364" w:lineRule="auto" w:before="45"/>
        <w:ind w:left="376" w:right="794" w:firstLine="420"/>
        <w:jc w:val="both"/>
      </w:pPr>
      <w:r>
        <w:rPr>
          <w:spacing w:val="-3"/>
        </w:rPr>
        <w:t>基金份额持有人可将其全部或部分基金份额赎回，但某笔交易类业务</w:t>
      </w:r>
      <w:r>
        <w:rPr/>
        <w:t>（</w:t>
      </w:r>
      <w:r>
        <w:rPr>
          <w:spacing w:val="-8"/>
        </w:rPr>
        <w:t>如赎回、基金转</w:t>
      </w:r>
      <w:r>
        <w:rPr>
          <w:spacing w:val="-10"/>
        </w:rPr>
        <w:t>换、转托管等)导致单个交易账户的某类别人民币基金份额余额少于</w:t>
      </w:r>
      <w:r>
        <w:rPr/>
        <w:t>1</w:t>
      </w:r>
      <w:r>
        <w:rPr>
          <w:spacing w:val="-2"/>
        </w:rPr>
        <w:t>份或某类别美元基金份</w:t>
      </w:r>
      <w:r>
        <w:rPr/>
        <w:t>额余额不足10</w:t>
      </w:r>
      <w:r>
        <w:rPr>
          <w:spacing w:val="-11"/>
        </w:rPr>
        <w:t>份时，基金管理人有权将基金份额持有人在该销售机构托管的该类别该币种基</w:t>
      </w:r>
      <w:r>
        <w:rPr>
          <w:spacing w:val="-7"/>
        </w:rPr>
        <w:t>金剩余份额一次性全部赎回。在符合法律法规规定的前提下，各销售机构对赎回份额限制有</w:t>
      </w:r>
      <w:r>
        <w:rPr/>
        <w:t>其他规定的，需同时遵循该销售机构的相关规定。</w:t>
      </w:r>
    </w:p>
    <w:p>
      <w:pPr>
        <w:pStyle w:val="BodyText"/>
        <w:spacing w:line="364" w:lineRule="auto"/>
        <w:ind w:left="376" w:right="794" w:firstLine="420"/>
        <w:jc w:val="both"/>
      </w:pPr>
      <w:r>
        <w:rPr/>
        <w:t>3、基金管理人、深圳证券交易所或基金登记结算机构可根据市场情况，在法律法规允</w:t>
      </w:r>
      <w:r>
        <w:rPr>
          <w:spacing w:val="-10"/>
        </w:rPr>
        <w:t>许的情况下，调整上述对申购金额和赎回份额、最低基金份额余额和累计持有基金份额上限</w:t>
      </w:r>
      <w:r>
        <w:rPr/>
        <w:t>的数量限制，或者新增基金规模控制措施,基金管理人必须在调整生效前依照《信息披露办法》的有关规定在指定媒介公告。</w:t>
      </w:r>
    </w:p>
    <w:p>
      <w:pPr>
        <w:pStyle w:val="Heading2"/>
        <w:tabs>
          <w:tab w:pos="1216" w:val="left" w:leader="none"/>
        </w:tabs>
        <w:spacing w:line="358" w:lineRule="exact"/>
      </w:pPr>
      <w:bookmarkStart w:name="_bookmark42" w:id="43"/>
      <w:bookmarkEnd w:id="43"/>
      <w:r>
        <w:rPr/>
      </w:r>
      <w:r>
        <w:rPr/>
        <w:t>七、</w:t>
        <w:tab/>
        <w:t>申购与赎回的费率</w:t>
      </w:r>
    </w:p>
    <w:p>
      <w:pPr>
        <w:pStyle w:val="BodyText"/>
        <w:spacing w:before="182"/>
      </w:pPr>
      <w:r>
        <w:rPr/>
        <w:t>1、本基金的申购费率</w:t>
      </w:r>
    </w:p>
    <w:p>
      <w:pPr>
        <w:pStyle w:val="BodyText"/>
        <w:spacing w:line="364" w:lineRule="auto" w:before="140"/>
        <w:ind w:left="376" w:right="794" w:firstLine="420"/>
      </w:pPr>
      <w:r>
        <w:rPr>
          <w:spacing w:val="-6"/>
        </w:rPr>
        <w:t>投资者在申购本基金份额时需交纳申购费，本基金的申购费用由基金申购人承担，不列</w:t>
      </w:r>
      <w:r>
        <w:rPr/>
        <w:t>入基金财产，主要用于本基金的市场推广、销售、登记结算等各项费用。具体费率如下：</w:t>
      </w:r>
    </w:p>
    <w:p>
      <w:pPr>
        <w:pStyle w:val="ListParagraph"/>
        <w:numPr>
          <w:ilvl w:val="0"/>
          <w:numId w:val="24"/>
        </w:numPr>
        <w:tabs>
          <w:tab w:pos="1323" w:val="left" w:leader="none"/>
        </w:tabs>
        <w:spacing w:line="240" w:lineRule="auto" w:before="19" w:after="0"/>
        <w:ind w:left="1323" w:right="0" w:hanging="527"/>
        <w:jc w:val="left"/>
        <w:rPr>
          <w:sz w:val="21"/>
        </w:rPr>
      </w:pPr>
      <w:r>
        <w:rPr>
          <w:spacing w:val="-18"/>
          <w:sz w:val="21"/>
        </w:rPr>
        <w:t>场外 </w:t>
      </w:r>
      <w:r>
        <w:rPr>
          <w:sz w:val="21"/>
        </w:rPr>
        <w:t>A</w:t>
      </w:r>
      <w:r>
        <w:rPr>
          <w:spacing w:val="-8"/>
          <w:sz w:val="21"/>
        </w:rPr>
        <w:t> 类人民币份额、</w:t>
      </w:r>
      <w:r>
        <w:rPr>
          <w:sz w:val="21"/>
        </w:rPr>
        <w:t>A</w:t>
      </w:r>
      <w:r>
        <w:rPr>
          <w:spacing w:val="-8"/>
          <w:sz w:val="21"/>
        </w:rPr>
        <w:t> 类美元份额申购费</w:t>
      </w:r>
    </w:p>
    <w:p>
      <w:pPr>
        <w:pStyle w:val="BodyText"/>
        <w:spacing w:line="364" w:lineRule="auto" w:before="23"/>
        <w:ind w:left="376" w:right="795" w:firstLine="420"/>
      </w:pPr>
      <w:r>
        <w:rPr/>
        <w:t>本基金对通过直销中心申购的特定投资群体与除此之外的其他投资者实施差别的申购费率。</w:t>
      </w:r>
    </w:p>
    <w:p>
      <w:pPr>
        <w:pStyle w:val="BodyText"/>
        <w:spacing w:line="364" w:lineRule="auto"/>
        <w:ind w:left="376" w:right="794"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pPr>
      <w:r>
        <w:rPr/>
        <w:t>通过直销中心申购本基金的特定投资群体具体费率如下：</w:t>
      </w:r>
    </w:p>
    <w:p>
      <w:pPr>
        <w:pStyle w:val="BodyText"/>
        <w:spacing w:before="7"/>
        <w:ind w:left="0"/>
        <w:rPr>
          <w:sz w:val="10"/>
        </w:rPr>
      </w:pPr>
    </w:p>
    <w:tbl>
      <w:tblPr>
        <w:tblW w:w="0" w:type="auto"/>
        <w:jc w:val="left"/>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9"/>
        <w:gridCol w:w="2897"/>
        <w:gridCol w:w="2538"/>
      </w:tblGrid>
      <w:tr>
        <w:trPr>
          <w:trHeight w:val="808" w:hRule="atLeast"/>
        </w:trPr>
        <w:tc>
          <w:tcPr>
            <w:tcW w:w="2759" w:type="dxa"/>
          </w:tcPr>
          <w:p>
            <w:pPr>
              <w:pStyle w:val="TableParagraph"/>
              <w:spacing w:line="304" w:lineRule="auto" w:before="67"/>
              <w:ind w:left="434" w:right="422" w:firstLine="52"/>
              <w:rPr>
                <w:sz w:val="21"/>
              </w:rPr>
            </w:pPr>
            <w:r>
              <w:rPr>
                <w:sz w:val="21"/>
              </w:rPr>
              <w:t>场外A类人民币份额申购金额(含申购费)</w:t>
            </w:r>
          </w:p>
        </w:tc>
        <w:tc>
          <w:tcPr>
            <w:tcW w:w="2897" w:type="dxa"/>
          </w:tcPr>
          <w:p>
            <w:pPr>
              <w:pStyle w:val="TableParagraph"/>
              <w:spacing w:before="101"/>
              <w:ind w:left="62" w:right="53"/>
              <w:jc w:val="center"/>
              <w:rPr>
                <w:sz w:val="21"/>
              </w:rPr>
            </w:pPr>
            <w:r>
              <w:rPr>
                <w:sz w:val="21"/>
              </w:rPr>
              <w:t>A 类美元份额</w:t>
            </w:r>
          </w:p>
          <w:p>
            <w:pPr>
              <w:pStyle w:val="TableParagraph"/>
              <w:spacing w:before="101"/>
              <w:ind w:left="62" w:right="53"/>
              <w:jc w:val="center"/>
              <w:rPr>
                <w:sz w:val="21"/>
              </w:rPr>
            </w:pPr>
            <w:r>
              <w:rPr>
                <w:sz w:val="21"/>
              </w:rPr>
              <w:t>申购金额（含申购费）</w:t>
            </w:r>
          </w:p>
        </w:tc>
        <w:tc>
          <w:tcPr>
            <w:tcW w:w="2538" w:type="dxa"/>
          </w:tcPr>
          <w:p>
            <w:pPr>
              <w:pStyle w:val="TableParagraph"/>
              <w:spacing w:before="6"/>
              <w:rPr>
                <w:sz w:val="18"/>
              </w:rPr>
            </w:pPr>
          </w:p>
          <w:p>
            <w:pPr>
              <w:pStyle w:val="TableParagraph"/>
              <w:ind w:left="146" w:right="137"/>
              <w:jc w:val="center"/>
              <w:rPr>
                <w:sz w:val="21"/>
              </w:rPr>
            </w:pPr>
            <w:r>
              <w:rPr>
                <w:sz w:val="21"/>
              </w:rPr>
              <w:t>申购费率</w:t>
            </w:r>
          </w:p>
        </w:tc>
      </w:tr>
      <w:tr>
        <w:trPr>
          <w:trHeight w:val="467" w:hRule="atLeast"/>
        </w:trPr>
        <w:tc>
          <w:tcPr>
            <w:tcW w:w="2759" w:type="dxa"/>
          </w:tcPr>
          <w:p>
            <w:pPr>
              <w:pStyle w:val="TableParagraph"/>
              <w:spacing w:before="67"/>
              <w:ind w:left="309" w:right="299"/>
              <w:jc w:val="center"/>
              <w:rPr>
                <w:sz w:val="21"/>
              </w:rPr>
            </w:pPr>
            <w:r>
              <w:rPr>
                <w:sz w:val="21"/>
              </w:rPr>
              <w:t>100万元以下</w:t>
            </w:r>
          </w:p>
        </w:tc>
        <w:tc>
          <w:tcPr>
            <w:tcW w:w="2897" w:type="dxa"/>
          </w:tcPr>
          <w:p>
            <w:pPr>
              <w:pStyle w:val="TableParagraph"/>
              <w:spacing w:before="101"/>
              <w:ind w:left="62" w:right="53"/>
              <w:jc w:val="center"/>
              <w:rPr>
                <w:sz w:val="21"/>
              </w:rPr>
            </w:pPr>
            <w:r>
              <w:rPr>
                <w:sz w:val="21"/>
              </w:rPr>
              <w:t>20 万美元以下</w:t>
            </w:r>
          </w:p>
        </w:tc>
        <w:tc>
          <w:tcPr>
            <w:tcW w:w="2538" w:type="dxa"/>
          </w:tcPr>
          <w:p>
            <w:pPr>
              <w:pStyle w:val="TableParagraph"/>
              <w:spacing w:before="67"/>
              <w:ind w:left="146" w:right="137"/>
              <w:jc w:val="center"/>
              <w:rPr>
                <w:sz w:val="21"/>
              </w:rPr>
            </w:pPr>
            <w:r>
              <w:rPr>
                <w:sz w:val="21"/>
              </w:rPr>
              <w:t>0.1%</w:t>
            </w:r>
          </w:p>
        </w:tc>
      </w:tr>
      <w:tr>
        <w:trPr>
          <w:trHeight w:val="468" w:hRule="atLeast"/>
        </w:trPr>
        <w:tc>
          <w:tcPr>
            <w:tcW w:w="2759" w:type="dxa"/>
          </w:tcPr>
          <w:p>
            <w:pPr>
              <w:pStyle w:val="TableParagraph"/>
              <w:spacing w:before="67"/>
              <w:ind w:left="309" w:right="299"/>
              <w:jc w:val="center"/>
              <w:rPr>
                <w:sz w:val="21"/>
              </w:rPr>
            </w:pPr>
            <w:r>
              <w:rPr>
                <w:sz w:val="21"/>
              </w:rPr>
              <w:t>100万元(含)-500万元</w:t>
            </w:r>
          </w:p>
        </w:tc>
        <w:tc>
          <w:tcPr>
            <w:tcW w:w="2897" w:type="dxa"/>
          </w:tcPr>
          <w:p>
            <w:pPr>
              <w:pStyle w:val="TableParagraph"/>
              <w:spacing w:before="101"/>
              <w:ind w:left="63" w:right="53"/>
              <w:jc w:val="center"/>
              <w:rPr>
                <w:sz w:val="21"/>
              </w:rPr>
            </w:pPr>
            <w:r>
              <w:rPr>
                <w:sz w:val="21"/>
              </w:rPr>
              <w:t>20 万美元（含）-100 万美元</w:t>
            </w:r>
          </w:p>
        </w:tc>
        <w:tc>
          <w:tcPr>
            <w:tcW w:w="2538" w:type="dxa"/>
          </w:tcPr>
          <w:p>
            <w:pPr>
              <w:pStyle w:val="TableParagraph"/>
              <w:spacing w:before="67"/>
              <w:ind w:left="146" w:right="137"/>
              <w:jc w:val="center"/>
              <w:rPr>
                <w:sz w:val="21"/>
              </w:rPr>
            </w:pPr>
            <w:r>
              <w:rPr>
                <w:sz w:val="21"/>
              </w:rPr>
              <w:t>0.06%</w:t>
            </w:r>
          </w:p>
        </w:tc>
      </w:tr>
      <w:tr>
        <w:trPr>
          <w:trHeight w:val="935" w:hRule="atLeast"/>
        </w:trPr>
        <w:tc>
          <w:tcPr>
            <w:tcW w:w="2759" w:type="dxa"/>
          </w:tcPr>
          <w:p>
            <w:pPr>
              <w:pStyle w:val="TableParagraph"/>
              <w:spacing w:before="6"/>
              <w:rPr>
                <w:sz w:val="23"/>
              </w:rPr>
            </w:pPr>
          </w:p>
          <w:p>
            <w:pPr>
              <w:pStyle w:val="TableParagraph"/>
              <w:ind w:left="309" w:right="299"/>
              <w:jc w:val="center"/>
              <w:rPr>
                <w:sz w:val="21"/>
              </w:rPr>
            </w:pPr>
            <w:r>
              <w:rPr>
                <w:sz w:val="21"/>
              </w:rPr>
              <w:t>500万元(含)-1000万元</w:t>
            </w:r>
          </w:p>
        </w:tc>
        <w:tc>
          <w:tcPr>
            <w:tcW w:w="2897" w:type="dxa"/>
          </w:tcPr>
          <w:p>
            <w:pPr>
              <w:pStyle w:val="TableParagraph"/>
              <w:spacing w:before="101"/>
              <w:ind w:left="63" w:right="53"/>
              <w:jc w:val="center"/>
              <w:rPr>
                <w:sz w:val="21"/>
              </w:rPr>
            </w:pPr>
            <w:r>
              <w:rPr>
                <w:sz w:val="21"/>
              </w:rPr>
              <w:t>100 万美元（含）-200 万美</w:t>
            </w:r>
          </w:p>
          <w:p>
            <w:pPr>
              <w:pStyle w:val="TableParagraph"/>
              <w:spacing w:before="6"/>
              <w:rPr>
                <w:sz w:val="15"/>
              </w:rPr>
            </w:pPr>
          </w:p>
          <w:p>
            <w:pPr>
              <w:pStyle w:val="TableParagraph"/>
              <w:spacing w:before="1"/>
              <w:ind w:left="9"/>
              <w:jc w:val="center"/>
              <w:rPr>
                <w:sz w:val="21"/>
              </w:rPr>
            </w:pPr>
            <w:r>
              <w:rPr>
                <w:sz w:val="21"/>
              </w:rPr>
              <w:t>元</w:t>
            </w:r>
          </w:p>
        </w:tc>
        <w:tc>
          <w:tcPr>
            <w:tcW w:w="2538" w:type="dxa"/>
          </w:tcPr>
          <w:p>
            <w:pPr>
              <w:pStyle w:val="TableParagraph"/>
              <w:spacing w:before="6"/>
              <w:rPr>
                <w:sz w:val="23"/>
              </w:rPr>
            </w:pPr>
          </w:p>
          <w:p>
            <w:pPr>
              <w:pStyle w:val="TableParagraph"/>
              <w:ind w:left="146" w:right="137"/>
              <w:jc w:val="center"/>
              <w:rPr>
                <w:sz w:val="21"/>
              </w:rPr>
            </w:pPr>
            <w:r>
              <w:rPr>
                <w:sz w:val="21"/>
              </w:rPr>
              <w:t>0.02%</w:t>
            </w:r>
          </w:p>
        </w:tc>
      </w:tr>
      <w:tr>
        <w:trPr>
          <w:trHeight w:val="680" w:hRule="atLeast"/>
        </w:trPr>
        <w:tc>
          <w:tcPr>
            <w:tcW w:w="2759" w:type="dxa"/>
          </w:tcPr>
          <w:p>
            <w:pPr>
              <w:pStyle w:val="TableParagraph"/>
              <w:spacing w:before="173"/>
              <w:ind w:left="309" w:right="299"/>
              <w:jc w:val="center"/>
              <w:rPr>
                <w:sz w:val="21"/>
              </w:rPr>
            </w:pPr>
            <w:r>
              <w:rPr>
                <w:sz w:val="21"/>
              </w:rPr>
              <w:t>1000万元（含）以上</w:t>
            </w:r>
          </w:p>
        </w:tc>
        <w:tc>
          <w:tcPr>
            <w:tcW w:w="2897" w:type="dxa"/>
          </w:tcPr>
          <w:p>
            <w:pPr>
              <w:pStyle w:val="TableParagraph"/>
              <w:spacing w:before="2"/>
              <w:rPr>
                <w:sz w:val="16"/>
              </w:rPr>
            </w:pPr>
          </w:p>
          <w:p>
            <w:pPr>
              <w:pStyle w:val="TableParagraph"/>
              <w:ind w:left="62" w:right="53"/>
              <w:jc w:val="center"/>
              <w:rPr>
                <w:sz w:val="21"/>
              </w:rPr>
            </w:pPr>
            <w:r>
              <w:rPr>
                <w:sz w:val="21"/>
              </w:rPr>
              <w:t>200 万美元（含）以上</w:t>
            </w:r>
          </w:p>
        </w:tc>
        <w:tc>
          <w:tcPr>
            <w:tcW w:w="2538" w:type="dxa"/>
          </w:tcPr>
          <w:p>
            <w:pPr>
              <w:pStyle w:val="TableParagraph"/>
              <w:spacing w:before="3"/>
              <w:ind w:left="146" w:right="137"/>
              <w:jc w:val="center"/>
              <w:rPr>
                <w:sz w:val="21"/>
              </w:rPr>
            </w:pPr>
            <w:r>
              <w:rPr>
                <w:sz w:val="21"/>
              </w:rPr>
              <w:t>人民币份额1000元/笔；</w:t>
            </w:r>
          </w:p>
          <w:p>
            <w:pPr>
              <w:pStyle w:val="TableParagraph"/>
              <w:spacing w:before="71"/>
              <w:ind w:left="146" w:right="137"/>
              <w:jc w:val="center"/>
              <w:rPr>
                <w:sz w:val="21"/>
              </w:rPr>
            </w:pPr>
            <w:r>
              <w:rPr>
                <w:sz w:val="21"/>
              </w:rPr>
              <w:t>美元份额200美元/笔</w:t>
            </w:r>
          </w:p>
        </w:tc>
      </w:tr>
    </w:tbl>
    <w:p>
      <w:pPr>
        <w:pStyle w:val="BodyText"/>
        <w:spacing w:before="101"/>
      </w:pPr>
      <w:r>
        <w:rPr/>
        <w:t>其他投资者申购本基金的申购费率见下表：</w:t>
      </w:r>
    </w:p>
    <w:p>
      <w:pPr>
        <w:pStyle w:val="BodyText"/>
        <w:spacing w:before="8"/>
        <w:ind w:left="0"/>
        <w:rPr>
          <w:sz w:val="7"/>
        </w:rPr>
      </w:pPr>
    </w:p>
    <w:tbl>
      <w:tblPr>
        <w:tblW w:w="0" w:type="auto"/>
        <w:jc w:val="left"/>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1"/>
        <w:gridCol w:w="2898"/>
        <w:gridCol w:w="2535"/>
      </w:tblGrid>
      <w:tr>
        <w:trPr>
          <w:trHeight w:val="808" w:hRule="atLeast"/>
        </w:trPr>
        <w:tc>
          <w:tcPr>
            <w:tcW w:w="2761" w:type="dxa"/>
          </w:tcPr>
          <w:p>
            <w:pPr>
              <w:pStyle w:val="TableParagraph"/>
              <w:spacing w:line="304" w:lineRule="auto" w:before="67"/>
              <w:ind w:left="435" w:right="423" w:firstLine="52"/>
              <w:rPr>
                <w:sz w:val="21"/>
              </w:rPr>
            </w:pPr>
            <w:r>
              <w:rPr>
                <w:sz w:val="21"/>
              </w:rPr>
              <w:t>场外A类人民币份额申购金额(含申购费)</w:t>
            </w:r>
          </w:p>
        </w:tc>
        <w:tc>
          <w:tcPr>
            <w:tcW w:w="2898" w:type="dxa"/>
          </w:tcPr>
          <w:p>
            <w:pPr>
              <w:pStyle w:val="TableParagraph"/>
              <w:spacing w:before="101"/>
              <w:ind w:left="63" w:right="54"/>
              <w:jc w:val="center"/>
              <w:rPr>
                <w:sz w:val="21"/>
              </w:rPr>
            </w:pPr>
            <w:r>
              <w:rPr>
                <w:sz w:val="21"/>
              </w:rPr>
              <w:t>A 类美元份额</w:t>
            </w:r>
          </w:p>
          <w:p>
            <w:pPr>
              <w:pStyle w:val="TableParagraph"/>
              <w:spacing w:before="101"/>
              <w:ind w:left="64" w:right="54"/>
              <w:jc w:val="center"/>
              <w:rPr>
                <w:sz w:val="21"/>
              </w:rPr>
            </w:pPr>
            <w:r>
              <w:rPr>
                <w:sz w:val="21"/>
              </w:rPr>
              <w:t>申购金额（含申购费）</w:t>
            </w:r>
          </w:p>
        </w:tc>
        <w:tc>
          <w:tcPr>
            <w:tcW w:w="2535" w:type="dxa"/>
          </w:tcPr>
          <w:p>
            <w:pPr>
              <w:pStyle w:val="TableParagraph"/>
              <w:spacing w:before="6"/>
              <w:rPr>
                <w:sz w:val="18"/>
              </w:rPr>
            </w:pPr>
          </w:p>
          <w:p>
            <w:pPr>
              <w:pStyle w:val="TableParagraph"/>
              <w:ind w:left="847"/>
              <w:rPr>
                <w:sz w:val="21"/>
              </w:rPr>
            </w:pPr>
            <w:r>
              <w:rPr>
                <w:sz w:val="21"/>
              </w:rPr>
              <w:t>申购费率</w:t>
            </w:r>
          </w:p>
        </w:tc>
      </w:tr>
    </w:tbl>
    <w:p>
      <w:pPr>
        <w:spacing w:after="0"/>
        <w:rPr>
          <w:sz w:val="21"/>
        </w:rPr>
        <w:sectPr>
          <w:pgSz w:w="11910" w:h="16840"/>
          <w:pgMar w:header="0" w:footer="1118" w:top="1380" w:bottom="1380" w:left="1420" w:right="1000"/>
        </w:sectPr>
      </w:pPr>
    </w:p>
    <w:tbl>
      <w:tblPr>
        <w:tblW w:w="0" w:type="auto"/>
        <w:jc w:val="left"/>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1"/>
        <w:gridCol w:w="2898"/>
        <w:gridCol w:w="2535"/>
      </w:tblGrid>
      <w:tr>
        <w:trPr>
          <w:trHeight w:val="467" w:hRule="atLeast"/>
        </w:trPr>
        <w:tc>
          <w:tcPr>
            <w:tcW w:w="2761" w:type="dxa"/>
          </w:tcPr>
          <w:p>
            <w:pPr>
              <w:pStyle w:val="TableParagraph"/>
              <w:spacing w:before="67"/>
              <w:ind w:left="310" w:right="300"/>
              <w:jc w:val="center"/>
              <w:rPr>
                <w:sz w:val="21"/>
              </w:rPr>
            </w:pPr>
            <w:r>
              <w:rPr>
                <w:sz w:val="21"/>
              </w:rPr>
              <w:t>100万元以下</w:t>
            </w:r>
          </w:p>
        </w:tc>
        <w:tc>
          <w:tcPr>
            <w:tcW w:w="2898" w:type="dxa"/>
          </w:tcPr>
          <w:p>
            <w:pPr>
              <w:pStyle w:val="TableParagraph"/>
              <w:spacing w:before="101"/>
              <w:ind w:left="63" w:right="54"/>
              <w:jc w:val="center"/>
              <w:rPr>
                <w:sz w:val="21"/>
              </w:rPr>
            </w:pPr>
            <w:r>
              <w:rPr>
                <w:sz w:val="21"/>
              </w:rPr>
              <w:t>20 万美元以下</w:t>
            </w:r>
          </w:p>
        </w:tc>
        <w:tc>
          <w:tcPr>
            <w:tcW w:w="2535" w:type="dxa"/>
          </w:tcPr>
          <w:p>
            <w:pPr>
              <w:pStyle w:val="TableParagraph"/>
              <w:spacing w:before="67"/>
              <w:ind w:left="145" w:right="135"/>
              <w:jc w:val="center"/>
              <w:rPr>
                <w:sz w:val="21"/>
              </w:rPr>
            </w:pPr>
            <w:r>
              <w:rPr>
                <w:sz w:val="21"/>
              </w:rPr>
              <w:t>1.0%</w:t>
            </w:r>
          </w:p>
        </w:tc>
      </w:tr>
      <w:tr>
        <w:trPr>
          <w:trHeight w:val="467" w:hRule="atLeast"/>
        </w:trPr>
        <w:tc>
          <w:tcPr>
            <w:tcW w:w="2761" w:type="dxa"/>
          </w:tcPr>
          <w:p>
            <w:pPr>
              <w:pStyle w:val="TableParagraph"/>
              <w:spacing w:before="67"/>
              <w:ind w:left="310" w:right="300"/>
              <w:jc w:val="center"/>
              <w:rPr>
                <w:sz w:val="21"/>
              </w:rPr>
            </w:pPr>
            <w:r>
              <w:rPr>
                <w:sz w:val="21"/>
              </w:rPr>
              <w:t>100万元(含)-500万元</w:t>
            </w:r>
          </w:p>
        </w:tc>
        <w:tc>
          <w:tcPr>
            <w:tcW w:w="2898" w:type="dxa"/>
          </w:tcPr>
          <w:p>
            <w:pPr>
              <w:pStyle w:val="TableParagraph"/>
              <w:spacing w:before="101"/>
              <w:ind w:left="64" w:right="54"/>
              <w:jc w:val="center"/>
              <w:rPr>
                <w:sz w:val="21"/>
              </w:rPr>
            </w:pPr>
            <w:r>
              <w:rPr>
                <w:sz w:val="21"/>
              </w:rPr>
              <w:t>20 万美元（含）-100 万美元</w:t>
            </w:r>
          </w:p>
        </w:tc>
        <w:tc>
          <w:tcPr>
            <w:tcW w:w="2535" w:type="dxa"/>
          </w:tcPr>
          <w:p>
            <w:pPr>
              <w:pStyle w:val="TableParagraph"/>
              <w:spacing w:before="67"/>
              <w:ind w:left="145" w:right="135"/>
              <w:jc w:val="center"/>
              <w:rPr>
                <w:sz w:val="21"/>
              </w:rPr>
            </w:pPr>
            <w:r>
              <w:rPr>
                <w:sz w:val="21"/>
              </w:rPr>
              <w:t>0.6%</w:t>
            </w:r>
          </w:p>
        </w:tc>
      </w:tr>
      <w:tr>
        <w:trPr>
          <w:trHeight w:val="935" w:hRule="atLeast"/>
        </w:trPr>
        <w:tc>
          <w:tcPr>
            <w:tcW w:w="2761" w:type="dxa"/>
          </w:tcPr>
          <w:p>
            <w:pPr>
              <w:pStyle w:val="TableParagraph"/>
              <w:spacing w:before="6"/>
              <w:rPr>
                <w:sz w:val="23"/>
              </w:rPr>
            </w:pPr>
          </w:p>
          <w:p>
            <w:pPr>
              <w:pStyle w:val="TableParagraph"/>
              <w:ind w:left="310" w:right="300"/>
              <w:jc w:val="center"/>
              <w:rPr>
                <w:sz w:val="21"/>
              </w:rPr>
            </w:pPr>
            <w:r>
              <w:rPr>
                <w:sz w:val="21"/>
              </w:rPr>
              <w:t>500万元(含)-1000万元</w:t>
            </w:r>
          </w:p>
        </w:tc>
        <w:tc>
          <w:tcPr>
            <w:tcW w:w="2898" w:type="dxa"/>
          </w:tcPr>
          <w:p>
            <w:pPr>
              <w:pStyle w:val="TableParagraph"/>
              <w:spacing w:before="101"/>
              <w:ind w:left="64" w:right="54"/>
              <w:jc w:val="center"/>
              <w:rPr>
                <w:sz w:val="21"/>
              </w:rPr>
            </w:pPr>
            <w:r>
              <w:rPr>
                <w:sz w:val="21"/>
              </w:rPr>
              <w:t>100 万美元（含）-200 万美</w:t>
            </w:r>
          </w:p>
          <w:p>
            <w:pPr>
              <w:pStyle w:val="TableParagraph"/>
              <w:spacing w:before="6"/>
              <w:rPr>
                <w:sz w:val="15"/>
              </w:rPr>
            </w:pPr>
          </w:p>
          <w:p>
            <w:pPr>
              <w:pStyle w:val="TableParagraph"/>
              <w:spacing w:before="1"/>
              <w:ind w:left="10"/>
              <w:jc w:val="center"/>
              <w:rPr>
                <w:sz w:val="21"/>
              </w:rPr>
            </w:pPr>
            <w:r>
              <w:rPr>
                <w:sz w:val="21"/>
              </w:rPr>
              <w:t>元</w:t>
            </w:r>
          </w:p>
        </w:tc>
        <w:tc>
          <w:tcPr>
            <w:tcW w:w="2535" w:type="dxa"/>
          </w:tcPr>
          <w:p>
            <w:pPr>
              <w:pStyle w:val="TableParagraph"/>
              <w:spacing w:before="6"/>
              <w:rPr>
                <w:sz w:val="23"/>
              </w:rPr>
            </w:pPr>
          </w:p>
          <w:p>
            <w:pPr>
              <w:pStyle w:val="TableParagraph"/>
              <w:ind w:left="145" w:right="135"/>
              <w:jc w:val="center"/>
              <w:rPr>
                <w:sz w:val="21"/>
              </w:rPr>
            </w:pPr>
            <w:r>
              <w:rPr>
                <w:sz w:val="21"/>
              </w:rPr>
              <w:t>0.2%</w:t>
            </w:r>
          </w:p>
        </w:tc>
      </w:tr>
      <w:tr>
        <w:trPr>
          <w:trHeight w:val="680" w:hRule="atLeast"/>
        </w:trPr>
        <w:tc>
          <w:tcPr>
            <w:tcW w:w="2761" w:type="dxa"/>
          </w:tcPr>
          <w:p>
            <w:pPr>
              <w:pStyle w:val="TableParagraph"/>
              <w:spacing w:before="173"/>
              <w:ind w:left="310" w:right="300"/>
              <w:jc w:val="center"/>
              <w:rPr>
                <w:sz w:val="21"/>
              </w:rPr>
            </w:pPr>
            <w:r>
              <w:rPr>
                <w:sz w:val="21"/>
              </w:rPr>
              <w:t>1000万元（含）以上</w:t>
            </w:r>
          </w:p>
        </w:tc>
        <w:tc>
          <w:tcPr>
            <w:tcW w:w="2898" w:type="dxa"/>
          </w:tcPr>
          <w:p>
            <w:pPr>
              <w:pStyle w:val="TableParagraph"/>
              <w:spacing w:before="2"/>
              <w:rPr>
                <w:sz w:val="16"/>
              </w:rPr>
            </w:pPr>
          </w:p>
          <w:p>
            <w:pPr>
              <w:pStyle w:val="TableParagraph"/>
              <w:ind w:left="63" w:right="54"/>
              <w:jc w:val="center"/>
              <w:rPr>
                <w:sz w:val="21"/>
              </w:rPr>
            </w:pPr>
            <w:r>
              <w:rPr>
                <w:sz w:val="21"/>
              </w:rPr>
              <w:t>200 万美元（含）以上</w:t>
            </w:r>
          </w:p>
        </w:tc>
        <w:tc>
          <w:tcPr>
            <w:tcW w:w="2535" w:type="dxa"/>
          </w:tcPr>
          <w:p>
            <w:pPr>
              <w:pStyle w:val="TableParagraph"/>
              <w:spacing w:before="3"/>
              <w:ind w:left="145" w:right="135"/>
              <w:jc w:val="center"/>
              <w:rPr>
                <w:sz w:val="21"/>
              </w:rPr>
            </w:pPr>
            <w:r>
              <w:rPr>
                <w:sz w:val="21"/>
              </w:rPr>
              <w:t>人民币份额1000元/笔；</w:t>
            </w:r>
          </w:p>
          <w:p>
            <w:pPr>
              <w:pStyle w:val="TableParagraph"/>
              <w:spacing w:before="71"/>
              <w:ind w:left="145" w:right="135"/>
              <w:jc w:val="center"/>
              <w:rPr>
                <w:sz w:val="21"/>
              </w:rPr>
            </w:pPr>
            <w:r>
              <w:rPr>
                <w:sz w:val="21"/>
              </w:rPr>
              <w:t>美元份额200美元/笔</w:t>
            </w:r>
          </w:p>
        </w:tc>
      </w:tr>
    </w:tbl>
    <w:p>
      <w:pPr>
        <w:pStyle w:val="BodyText"/>
        <w:spacing w:line="364" w:lineRule="auto" w:before="3"/>
        <w:ind w:left="376" w:right="794" w:firstLine="420"/>
      </w:pPr>
      <w:r>
        <w:rPr>
          <w:spacing w:val="-7"/>
        </w:rPr>
        <w:t>在申购费按金额分档的情况下，如果投资者多次申购，申购费适用单笔申购金额所对应</w:t>
      </w:r>
      <w:r>
        <w:rPr/>
        <w:t>的费率。</w:t>
      </w:r>
    </w:p>
    <w:p>
      <w:pPr>
        <w:pStyle w:val="ListParagraph"/>
        <w:numPr>
          <w:ilvl w:val="0"/>
          <w:numId w:val="24"/>
        </w:numPr>
        <w:tabs>
          <w:tab w:pos="1323" w:val="left" w:leader="none"/>
        </w:tabs>
        <w:spacing w:line="268" w:lineRule="exact" w:before="0" w:after="0"/>
        <w:ind w:left="1323" w:right="0" w:hanging="527"/>
        <w:jc w:val="left"/>
        <w:rPr>
          <w:sz w:val="21"/>
        </w:rPr>
      </w:pPr>
      <w:r>
        <w:rPr>
          <w:sz w:val="21"/>
        </w:rPr>
        <w:t>场内A类人民币份额申购费</w:t>
      </w:r>
    </w:p>
    <w:p>
      <w:pPr>
        <w:pStyle w:val="BodyText"/>
        <w:spacing w:before="139"/>
      </w:pPr>
      <w:r>
        <w:rPr/>
        <w:t>本基金场内A类人民币份额申购费率自2016年2月26日起调整为0。</w:t>
      </w:r>
    </w:p>
    <w:p>
      <w:pPr>
        <w:pStyle w:val="ListParagraph"/>
        <w:numPr>
          <w:ilvl w:val="0"/>
          <w:numId w:val="24"/>
        </w:numPr>
        <w:tabs>
          <w:tab w:pos="1323" w:val="left" w:leader="none"/>
        </w:tabs>
        <w:spacing w:line="240" w:lineRule="auto" w:before="140" w:after="0"/>
        <w:ind w:left="1323" w:right="0" w:hanging="527"/>
        <w:jc w:val="left"/>
        <w:rPr>
          <w:sz w:val="21"/>
        </w:rPr>
      </w:pPr>
      <w:r>
        <w:rPr>
          <w:sz w:val="21"/>
        </w:rPr>
        <w:t>C类人民币份额、C类美元份额申购费率</w:t>
      </w:r>
    </w:p>
    <w:p>
      <w:pPr>
        <w:pStyle w:val="BodyText"/>
        <w:spacing w:before="139"/>
      </w:pPr>
      <w:r>
        <w:rPr/>
        <w:t>本基金C类人民币份额、C类美元份额申购费率为0。</w:t>
      </w:r>
    </w:p>
    <w:p>
      <w:pPr>
        <w:pStyle w:val="BodyText"/>
        <w:spacing w:before="140"/>
      </w:pPr>
      <w:r>
        <w:rPr/>
        <w:t>2、本基金的赎回费率</w:t>
      </w:r>
    </w:p>
    <w:p>
      <w:pPr>
        <w:pStyle w:val="BodyText"/>
        <w:spacing w:line="364" w:lineRule="auto" w:before="139"/>
        <w:ind w:left="376" w:right="690" w:firstLine="420"/>
      </w:pPr>
      <w:r>
        <w:rPr/>
        <w:t>赎回费用由基金赎回人承担，对持有期少于7天（不含）的基金份额持有人所收取赎回费用全额计入基金财产；对持有期在7天以上（含）的基金份额持有人所收取赎回费用的25% </w:t>
      </w:r>
      <w:r>
        <w:rPr>
          <w:spacing w:val="-9"/>
        </w:rPr>
        <w:t>归基金财产，其余用于支付登记结算费和其他必要的手续费。投资者份额持有时间记录规则以登记结算机构最新业务规则为准，具体持有时间以登记结算机构系统记录为准。</w:t>
      </w:r>
    </w:p>
    <w:p>
      <w:pPr>
        <w:pStyle w:val="ListParagraph"/>
        <w:numPr>
          <w:ilvl w:val="0"/>
          <w:numId w:val="25"/>
        </w:numPr>
        <w:tabs>
          <w:tab w:pos="1323" w:val="left" w:leader="none"/>
        </w:tabs>
        <w:spacing w:line="267" w:lineRule="exact" w:before="0" w:after="0"/>
        <w:ind w:left="1323" w:right="0" w:hanging="527"/>
        <w:jc w:val="left"/>
        <w:rPr>
          <w:sz w:val="21"/>
        </w:rPr>
      </w:pPr>
      <w:r>
        <w:rPr>
          <w:sz w:val="21"/>
        </w:rPr>
        <w:t>场内A类人民币份额赎回费率</w:t>
      </w:r>
    </w:p>
    <w:p>
      <w:pPr>
        <w:pStyle w:val="BodyText"/>
        <w:spacing w:before="140"/>
      </w:pPr>
      <w:r>
        <w:rPr/>
        <w:t>本基金的场内A类人民币份额赎回的赎回费率:</w:t>
      </w:r>
    </w:p>
    <w:p>
      <w:pPr>
        <w:pStyle w:val="BodyText"/>
        <w:spacing w:before="7" w:after="1"/>
        <w:ind w:left="0"/>
        <w:rPr>
          <w:sz w:val="10"/>
        </w:rPr>
      </w:pPr>
    </w:p>
    <w:tbl>
      <w:tblPr>
        <w:tblW w:w="0" w:type="auto"/>
        <w:jc w:val="left"/>
        <w:tblInd w:w="1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6"/>
        <w:gridCol w:w="4291"/>
      </w:tblGrid>
      <w:tr>
        <w:trPr>
          <w:trHeight w:val="340" w:hRule="atLeast"/>
        </w:trPr>
        <w:tc>
          <w:tcPr>
            <w:tcW w:w="2426" w:type="dxa"/>
          </w:tcPr>
          <w:p>
            <w:pPr>
              <w:pStyle w:val="TableParagraph"/>
              <w:spacing w:before="3"/>
              <w:ind w:left="458" w:right="448"/>
              <w:jc w:val="center"/>
              <w:rPr>
                <w:sz w:val="21"/>
              </w:rPr>
            </w:pPr>
            <w:r>
              <w:rPr>
                <w:sz w:val="21"/>
              </w:rPr>
              <w:t>持有时间（天）</w:t>
            </w:r>
          </w:p>
        </w:tc>
        <w:tc>
          <w:tcPr>
            <w:tcW w:w="4291" w:type="dxa"/>
          </w:tcPr>
          <w:p>
            <w:pPr>
              <w:pStyle w:val="TableParagraph"/>
              <w:spacing w:before="3"/>
              <w:ind w:left="130" w:right="120"/>
              <w:jc w:val="center"/>
              <w:rPr>
                <w:sz w:val="21"/>
              </w:rPr>
            </w:pPr>
            <w:r>
              <w:rPr>
                <w:sz w:val="21"/>
              </w:rPr>
              <w:t>场内A类人民币份额赎回费率</w:t>
            </w:r>
          </w:p>
        </w:tc>
      </w:tr>
      <w:tr>
        <w:trPr>
          <w:trHeight w:val="340" w:hRule="atLeast"/>
        </w:trPr>
        <w:tc>
          <w:tcPr>
            <w:tcW w:w="2426" w:type="dxa"/>
          </w:tcPr>
          <w:p>
            <w:pPr>
              <w:pStyle w:val="TableParagraph"/>
              <w:spacing w:before="3"/>
              <w:ind w:left="458" w:right="448"/>
              <w:jc w:val="center"/>
              <w:rPr>
                <w:sz w:val="21"/>
              </w:rPr>
            </w:pPr>
            <w:r>
              <w:rPr>
                <w:sz w:val="21"/>
              </w:rPr>
              <w:t>0-6</w:t>
            </w:r>
          </w:p>
        </w:tc>
        <w:tc>
          <w:tcPr>
            <w:tcW w:w="4291" w:type="dxa"/>
          </w:tcPr>
          <w:p>
            <w:pPr>
              <w:pStyle w:val="TableParagraph"/>
              <w:spacing w:before="3"/>
              <w:ind w:left="130" w:right="120"/>
              <w:jc w:val="center"/>
              <w:rPr>
                <w:sz w:val="21"/>
              </w:rPr>
            </w:pPr>
            <w:r>
              <w:rPr>
                <w:sz w:val="21"/>
              </w:rPr>
              <w:t>1.5%</w:t>
            </w:r>
          </w:p>
        </w:tc>
      </w:tr>
      <w:tr>
        <w:trPr>
          <w:trHeight w:val="340" w:hRule="atLeast"/>
        </w:trPr>
        <w:tc>
          <w:tcPr>
            <w:tcW w:w="2426" w:type="dxa"/>
          </w:tcPr>
          <w:p>
            <w:pPr>
              <w:pStyle w:val="TableParagraph"/>
              <w:spacing w:before="3"/>
              <w:ind w:left="458" w:right="448"/>
              <w:jc w:val="center"/>
              <w:rPr>
                <w:sz w:val="21"/>
              </w:rPr>
            </w:pPr>
            <w:r>
              <w:rPr>
                <w:sz w:val="21"/>
              </w:rPr>
              <w:t>7及以上</w:t>
            </w:r>
          </w:p>
        </w:tc>
        <w:tc>
          <w:tcPr>
            <w:tcW w:w="4291" w:type="dxa"/>
          </w:tcPr>
          <w:p>
            <w:pPr>
              <w:pStyle w:val="TableParagraph"/>
              <w:spacing w:before="3"/>
              <w:ind w:left="130" w:right="120"/>
              <w:jc w:val="center"/>
              <w:rPr>
                <w:sz w:val="21"/>
              </w:rPr>
            </w:pPr>
            <w:r>
              <w:rPr>
                <w:sz w:val="21"/>
              </w:rPr>
              <w:t>0.2%</w:t>
            </w:r>
          </w:p>
        </w:tc>
      </w:tr>
    </w:tbl>
    <w:p>
      <w:pPr>
        <w:pStyle w:val="ListParagraph"/>
        <w:numPr>
          <w:ilvl w:val="0"/>
          <w:numId w:val="25"/>
        </w:numPr>
        <w:tabs>
          <w:tab w:pos="1323" w:val="left" w:leader="none"/>
        </w:tabs>
        <w:spacing w:line="240" w:lineRule="auto" w:before="23" w:after="0"/>
        <w:ind w:left="1323" w:right="0" w:hanging="527"/>
        <w:jc w:val="left"/>
        <w:rPr>
          <w:sz w:val="21"/>
        </w:rPr>
      </w:pPr>
      <w:r>
        <w:rPr>
          <w:spacing w:val="-18"/>
          <w:sz w:val="21"/>
        </w:rPr>
        <w:t>场外 </w:t>
      </w:r>
      <w:r>
        <w:rPr>
          <w:sz w:val="21"/>
        </w:rPr>
        <w:t>A</w:t>
      </w:r>
      <w:r>
        <w:rPr>
          <w:spacing w:val="-8"/>
          <w:sz w:val="21"/>
        </w:rPr>
        <w:t> 类人民币份额、</w:t>
      </w:r>
      <w:r>
        <w:rPr>
          <w:sz w:val="21"/>
        </w:rPr>
        <w:t>A</w:t>
      </w:r>
      <w:r>
        <w:rPr>
          <w:spacing w:val="-8"/>
          <w:sz w:val="21"/>
        </w:rPr>
        <w:t> 类美元份额赎回费率</w:t>
      </w:r>
    </w:p>
    <w:p>
      <w:pPr>
        <w:pStyle w:val="BodyText"/>
        <w:spacing w:before="23"/>
      </w:pPr>
      <w:r>
        <w:rPr/>
        <w:t>本基金的场外A类人民币份额、A类美元份额赎回费率按持有时间递减，具体费率如下：</w:t>
      </w:r>
    </w:p>
    <w:p>
      <w:pPr>
        <w:pStyle w:val="BodyText"/>
        <w:spacing w:before="8"/>
        <w:ind w:left="0"/>
        <w:rPr>
          <w:sz w:val="10"/>
        </w:rPr>
      </w:pPr>
    </w:p>
    <w:tbl>
      <w:tblPr>
        <w:tblW w:w="0" w:type="auto"/>
        <w:jc w:val="left"/>
        <w:tblInd w:w="1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6"/>
        <w:gridCol w:w="4291"/>
      </w:tblGrid>
      <w:tr>
        <w:trPr>
          <w:trHeight w:val="340" w:hRule="atLeast"/>
        </w:trPr>
        <w:tc>
          <w:tcPr>
            <w:tcW w:w="2426" w:type="dxa"/>
          </w:tcPr>
          <w:p>
            <w:pPr>
              <w:pStyle w:val="TableParagraph"/>
              <w:spacing w:before="3"/>
              <w:ind w:left="458" w:right="448"/>
              <w:jc w:val="center"/>
              <w:rPr>
                <w:sz w:val="21"/>
              </w:rPr>
            </w:pPr>
            <w:r>
              <w:rPr>
                <w:sz w:val="21"/>
              </w:rPr>
              <w:t>持有时间（天）</w:t>
            </w:r>
          </w:p>
        </w:tc>
        <w:tc>
          <w:tcPr>
            <w:tcW w:w="4291" w:type="dxa"/>
          </w:tcPr>
          <w:p>
            <w:pPr>
              <w:pStyle w:val="TableParagraph"/>
              <w:spacing w:before="3"/>
              <w:ind w:left="130" w:right="120"/>
              <w:jc w:val="center"/>
              <w:rPr>
                <w:sz w:val="21"/>
              </w:rPr>
            </w:pPr>
            <w:r>
              <w:rPr>
                <w:sz w:val="21"/>
              </w:rPr>
              <w:t>场外A类人民币份额、A类美元份额赎回费率</w:t>
            </w:r>
          </w:p>
        </w:tc>
      </w:tr>
      <w:tr>
        <w:trPr>
          <w:trHeight w:val="340" w:hRule="atLeast"/>
        </w:trPr>
        <w:tc>
          <w:tcPr>
            <w:tcW w:w="2426" w:type="dxa"/>
          </w:tcPr>
          <w:p>
            <w:pPr>
              <w:pStyle w:val="TableParagraph"/>
              <w:spacing w:before="3"/>
              <w:ind w:left="458" w:right="448"/>
              <w:jc w:val="center"/>
              <w:rPr>
                <w:sz w:val="21"/>
              </w:rPr>
            </w:pPr>
            <w:r>
              <w:rPr>
                <w:sz w:val="21"/>
              </w:rPr>
              <w:t>0-6</w:t>
            </w:r>
          </w:p>
        </w:tc>
        <w:tc>
          <w:tcPr>
            <w:tcW w:w="4291" w:type="dxa"/>
          </w:tcPr>
          <w:p>
            <w:pPr>
              <w:pStyle w:val="TableParagraph"/>
              <w:spacing w:before="3"/>
              <w:ind w:left="130" w:right="120"/>
              <w:jc w:val="center"/>
              <w:rPr>
                <w:sz w:val="21"/>
              </w:rPr>
            </w:pPr>
            <w:r>
              <w:rPr>
                <w:sz w:val="21"/>
              </w:rPr>
              <w:t>1.5%</w:t>
            </w:r>
          </w:p>
        </w:tc>
      </w:tr>
      <w:tr>
        <w:trPr>
          <w:trHeight w:val="340" w:hRule="atLeast"/>
        </w:trPr>
        <w:tc>
          <w:tcPr>
            <w:tcW w:w="2426" w:type="dxa"/>
          </w:tcPr>
          <w:p>
            <w:pPr>
              <w:pStyle w:val="TableParagraph"/>
              <w:spacing w:before="3"/>
              <w:ind w:left="458" w:right="448"/>
              <w:jc w:val="center"/>
              <w:rPr>
                <w:sz w:val="21"/>
              </w:rPr>
            </w:pPr>
            <w:r>
              <w:rPr>
                <w:sz w:val="21"/>
              </w:rPr>
              <w:t>7-364</w:t>
            </w:r>
          </w:p>
        </w:tc>
        <w:tc>
          <w:tcPr>
            <w:tcW w:w="4291" w:type="dxa"/>
          </w:tcPr>
          <w:p>
            <w:pPr>
              <w:pStyle w:val="TableParagraph"/>
              <w:spacing w:before="3"/>
              <w:ind w:left="130" w:right="120"/>
              <w:jc w:val="center"/>
              <w:rPr>
                <w:sz w:val="21"/>
              </w:rPr>
            </w:pPr>
            <w:r>
              <w:rPr>
                <w:sz w:val="21"/>
              </w:rPr>
              <w:t>0.2%</w:t>
            </w:r>
          </w:p>
        </w:tc>
      </w:tr>
      <w:tr>
        <w:trPr>
          <w:trHeight w:val="340" w:hRule="atLeast"/>
        </w:trPr>
        <w:tc>
          <w:tcPr>
            <w:tcW w:w="2426" w:type="dxa"/>
          </w:tcPr>
          <w:p>
            <w:pPr>
              <w:pStyle w:val="TableParagraph"/>
              <w:spacing w:before="3"/>
              <w:ind w:left="458" w:right="448"/>
              <w:jc w:val="center"/>
              <w:rPr>
                <w:sz w:val="21"/>
              </w:rPr>
            </w:pPr>
            <w:r>
              <w:rPr>
                <w:sz w:val="21"/>
              </w:rPr>
              <w:t>365-729</w:t>
            </w:r>
          </w:p>
        </w:tc>
        <w:tc>
          <w:tcPr>
            <w:tcW w:w="4291" w:type="dxa"/>
          </w:tcPr>
          <w:p>
            <w:pPr>
              <w:pStyle w:val="TableParagraph"/>
              <w:spacing w:before="3"/>
              <w:ind w:left="130" w:right="120"/>
              <w:jc w:val="center"/>
              <w:rPr>
                <w:sz w:val="21"/>
              </w:rPr>
            </w:pPr>
            <w:r>
              <w:rPr>
                <w:sz w:val="21"/>
              </w:rPr>
              <w:t>0.05%</w:t>
            </w:r>
          </w:p>
        </w:tc>
      </w:tr>
      <w:tr>
        <w:trPr>
          <w:trHeight w:val="340" w:hRule="atLeast"/>
        </w:trPr>
        <w:tc>
          <w:tcPr>
            <w:tcW w:w="2426" w:type="dxa"/>
          </w:tcPr>
          <w:p>
            <w:pPr>
              <w:pStyle w:val="TableParagraph"/>
              <w:spacing w:before="3"/>
              <w:ind w:left="458" w:right="448"/>
              <w:jc w:val="center"/>
              <w:rPr>
                <w:sz w:val="21"/>
              </w:rPr>
            </w:pPr>
            <w:r>
              <w:rPr>
                <w:sz w:val="21"/>
              </w:rPr>
              <w:t>730及以上</w:t>
            </w:r>
          </w:p>
        </w:tc>
        <w:tc>
          <w:tcPr>
            <w:tcW w:w="4291" w:type="dxa"/>
          </w:tcPr>
          <w:p>
            <w:pPr>
              <w:pStyle w:val="TableParagraph"/>
              <w:spacing w:before="3"/>
              <w:ind w:left="130" w:right="120"/>
              <w:jc w:val="center"/>
              <w:rPr>
                <w:sz w:val="21"/>
              </w:rPr>
            </w:pPr>
            <w:r>
              <w:rPr>
                <w:sz w:val="21"/>
              </w:rPr>
              <w:t>0%</w:t>
            </w:r>
          </w:p>
        </w:tc>
      </w:tr>
    </w:tbl>
    <w:p>
      <w:pPr>
        <w:pStyle w:val="BodyText"/>
        <w:spacing w:before="101"/>
      </w:pPr>
      <w:r>
        <w:rPr/>
        <w:t>（3）C 类人民币份额、C 类美元份额赎回费率</w:t>
      </w:r>
    </w:p>
    <w:p>
      <w:pPr>
        <w:pStyle w:val="BodyText"/>
        <w:spacing w:before="6"/>
        <w:ind w:left="0"/>
        <w:rPr>
          <w:sz w:val="15"/>
        </w:rPr>
      </w:pPr>
    </w:p>
    <w:p>
      <w:pPr>
        <w:pStyle w:val="BodyText"/>
        <w:spacing w:before="1"/>
      </w:pPr>
      <w:r>
        <w:rPr/>
        <w:t>本基金 C 类人民币份额、C 类美元份额的赎回费率按持有时间递减，具体费率如下：</w:t>
      </w:r>
    </w:p>
    <w:p>
      <w:pPr>
        <w:pStyle w:val="BodyText"/>
        <w:spacing w:before="8"/>
        <w:ind w:left="0"/>
        <w:rPr>
          <w:sz w:val="7"/>
        </w:rPr>
      </w:pPr>
    </w:p>
    <w:tbl>
      <w:tblPr>
        <w:tblW w:w="0" w:type="auto"/>
        <w:jc w:val="left"/>
        <w:tblInd w:w="1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6"/>
        <w:gridCol w:w="4291"/>
      </w:tblGrid>
      <w:tr>
        <w:trPr>
          <w:trHeight w:val="340" w:hRule="atLeast"/>
        </w:trPr>
        <w:tc>
          <w:tcPr>
            <w:tcW w:w="2426" w:type="dxa"/>
          </w:tcPr>
          <w:p>
            <w:pPr>
              <w:pStyle w:val="TableParagraph"/>
              <w:spacing w:before="3"/>
              <w:ind w:left="458" w:right="448"/>
              <w:jc w:val="center"/>
              <w:rPr>
                <w:sz w:val="21"/>
              </w:rPr>
            </w:pPr>
            <w:r>
              <w:rPr>
                <w:sz w:val="21"/>
              </w:rPr>
              <w:t>持有时间（天）</w:t>
            </w:r>
          </w:p>
        </w:tc>
        <w:tc>
          <w:tcPr>
            <w:tcW w:w="4291" w:type="dxa"/>
          </w:tcPr>
          <w:p>
            <w:pPr>
              <w:pStyle w:val="TableParagraph"/>
              <w:spacing w:before="3"/>
              <w:ind w:left="130" w:right="120"/>
              <w:jc w:val="center"/>
              <w:rPr>
                <w:sz w:val="21"/>
              </w:rPr>
            </w:pPr>
            <w:r>
              <w:rPr>
                <w:sz w:val="21"/>
              </w:rPr>
              <w:t>C类人民币份额、C类美元份额赎回费率</w:t>
            </w:r>
          </w:p>
        </w:tc>
      </w:tr>
      <w:tr>
        <w:trPr>
          <w:trHeight w:val="340" w:hRule="atLeast"/>
        </w:trPr>
        <w:tc>
          <w:tcPr>
            <w:tcW w:w="2426" w:type="dxa"/>
          </w:tcPr>
          <w:p>
            <w:pPr>
              <w:pStyle w:val="TableParagraph"/>
              <w:spacing w:before="3"/>
              <w:ind w:left="458" w:right="448"/>
              <w:jc w:val="center"/>
              <w:rPr>
                <w:sz w:val="21"/>
              </w:rPr>
            </w:pPr>
            <w:r>
              <w:rPr>
                <w:sz w:val="21"/>
              </w:rPr>
              <w:t>0-6</w:t>
            </w:r>
          </w:p>
        </w:tc>
        <w:tc>
          <w:tcPr>
            <w:tcW w:w="4291" w:type="dxa"/>
          </w:tcPr>
          <w:p>
            <w:pPr>
              <w:pStyle w:val="TableParagraph"/>
              <w:spacing w:before="3"/>
              <w:ind w:left="130" w:right="120"/>
              <w:jc w:val="center"/>
              <w:rPr>
                <w:sz w:val="21"/>
              </w:rPr>
            </w:pPr>
            <w:r>
              <w:rPr>
                <w:sz w:val="21"/>
              </w:rPr>
              <w:t>1.50%</w:t>
            </w:r>
          </w:p>
        </w:tc>
      </w:tr>
      <w:tr>
        <w:trPr>
          <w:trHeight w:val="340" w:hRule="atLeast"/>
        </w:trPr>
        <w:tc>
          <w:tcPr>
            <w:tcW w:w="2426" w:type="dxa"/>
          </w:tcPr>
          <w:p>
            <w:pPr>
              <w:pStyle w:val="TableParagraph"/>
              <w:spacing w:before="3"/>
              <w:ind w:left="458" w:right="448"/>
              <w:jc w:val="center"/>
              <w:rPr>
                <w:sz w:val="21"/>
              </w:rPr>
            </w:pPr>
            <w:r>
              <w:rPr>
                <w:sz w:val="21"/>
              </w:rPr>
              <w:t>7及以上</w:t>
            </w:r>
          </w:p>
        </w:tc>
        <w:tc>
          <w:tcPr>
            <w:tcW w:w="4291" w:type="dxa"/>
          </w:tcPr>
          <w:p>
            <w:pPr>
              <w:pStyle w:val="TableParagraph"/>
              <w:spacing w:before="3"/>
              <w:ind w:left="10"/>
              <w:jc w:val="center"/>
              <w:rPr>
                <w:sz w:val="21"/>
              </w:rPr>
            </w:pPr>
            <w:r>
              <w:rPr>
                <w:sz w:val="21"/>
              </w:rPr>
              <w:t>0</w:t>
            </w:r>
          </w:p>
        </w:tc>
      </w:tr>
    </w:tbl>
    <w:p>
      <w:pPr>
        <w:pStyle w:val="BodyText"/>
        <w:spacing w:before="3"/>
      </w:pPr>
      <w:r>
        <w:rPr/>
        <w:t>3、基金管理人可以在基金合同规定的范围内调整申购费率和赎回费率，调整后的申购</w:t>
      </w:r>
    </w:p>
    <w:p>
      <w:pPr>
        <w:spacing w:after="0"/>
        <w:sectPr>
          <w:pgSz w:w="11910" w:h="16840"/>
          <w:pgMar w:header="0" w:footer="1118" w:top="1420" w:bottom="1380" w:left="1420" w:right="1000"/>
        </w:sectPr>
      </w:pPr>
    </w:p>
    <w:p>
      <w:pPr>
        <w:pStyle w:val="BodyText"/>
        <w:spacing w:line="364" w:lineRule="auto" w:before="45"/>
        <w:ind w:left="376" w:right="794"/>
      </w:pPr>
      <w:r>
        <w:rPr>
          <w:spacing w:val="-8"/>
        </w:rPr>
        <w:t>费率和赎回费率在《更新的招募说明书》中列示。上述费率如发生变更，基金管理人还应于</w:t>
      </w:r>
      <w:r>
        <w:rPr/>
        <w:t>新的费率实施日前依照《信息披露办法》的有关规定在指定媒介上公告。</w:t>
      </w:r>
    </w:p>
    <w:p>
      <w:pPr>
        <w:pStyle w:val="BodyText"/>
        <w:spacing w:line="364" w:lineRule="auto"/>
        <w:ind w:left="376" w:right="794" w:firstLine="420"/>
        <w:jc w:val="both"/>
      </w:pPr>
      <w:r>
        <w:rPr/>
        <w:t>4、基金管理人可以在不违反法律法规规定及《基金合同》约定的情形下根据市场情况</w:t>
      </w:r>
      <w:r>
        <w:rPr>
          <w:spacing w:val="-8"/>
        </w:rPr>
        <w:t>制定基金促销计划，针对基金投资者定期或不定期地开展基金促销活动。在基金促销活动期</w:t>
      </w:r>
      <w:r>
        <w:rPr>
          <w:spacing w:val="-10"/>
        </w:rPr>
        <w:t>间，基金管理人可以适当调低基金销售费率，或针对特定渠道、特定投资群体开展有差别的</w:t>
      </w:r>
      <w:r>
        <w:rPr/>
        <w:t>费率优惠活动。</w:t>
      </w:r>
    </w:p>
    <w:p>
      <w:pPr>
        <w:pStyle w:val="Heading2"/>
        <w:tabs>
          <w:tab w:pos="1216" w:val="left" w:leader="none"/>
        </w:tabs>
        <w:spacing w:line="358" w:lineRule="exact"/>
      </w:pPr>
      <w:bookmarkStart w:name="_bookmark43" w:id="44"/>
      <w:bookmarkEnd w:id="44"/>
      <w:r>
        <w:rPr/>
      </w:r>
      <w:r>
        <w:rPr/>
        <w:t>八、</w:t>
        <w:tab/>
        <w:t>申购份额与赎回金额的计算</w:t>
      </w:r>
    </w:p>
    <w:p>
      <w:pPr>
        <w:pStyle w:val="BodyText"/>
        <w:spacing w:before="184"/>
      </w:pPr>
      <w:r>
        <w:rPr/>
        <w:t>1、申购和赎回数额、余额的处理方式</w:t>
      </w:r>
    </w:p>
    <w:p>
      <w:pPr>
        <w:pStyle w:val="ListParagraph"/>
        <w:numPr>
          <w:ilvl w:val="0"/>
          <w:numId w:val="26"/>
        </w:numPr>
        <w:tabs>
          <w:tab w:pos="1324" w:val="left" w:leader="none"/>
        </w:tabs>
        <w:spacing w:line="364" w:lineRule="auto" w:before="139" w:after="0"/>
        <w:ind w:left="376" w:right="689" w:firstLine="420"/>
        <w:jc w:val="left"/>
        <w:rPr>
          <w:sz w:val="21"/>
        </w:rPr>
      </w:pPr>
      <w:r>
        <w:rPr>
          <w:sz w:val="21"/>
        </w:rPr>
        <w:t>申购份额余额的处理方式：申购的有效份额为按实际确认的申购金额在扣除相应</w:t>
      </w:r>
      <w:r>
        <w:rPr>
          <w:spacing w:val="-15"/>
          <w:sz w:val="21"/>
        </w:rPr>
        <w:t>的费用后，以申请当日对应份额类别及币种的基金份额净值为基准计算。场外申购涉及金额、</w:t>
      </w:r>
      <w:r>
        <w:rPr>
          <w:spacing w:val="-5"/>
          <w:sz w:val="21"/>
        </w:rPr>
        <w:t>份额的计算结果均保留到小数点后两位，小数点后两位以后的部分四舍五入，由此产生的误差计入基金财产。场内A类人民币份额申购涉及金额的计算结果保留到小数点后两位，小数点后两位以后的部分四舍五入，由此产生的误差计入基金财产；场内A类人民币份额申购涉</w:t>
      </w:r>
      <w:r>
        <w:rPr>
          <w:spacing w:val="-10"/>
          <w:sz w:val="21"/>
        </w:rPr>
        <w:t>及份额的计算结果采用截位法保留到整数位，整数位后小数部分的份额对应的资金返还至投资者资金账户。</w:t>
      </w:r>
    </w:p>
    <w:p>
      <w:pPr>
        <w:pStyle w:val="ListParagraph"/>
        <w:numPr>
          <w:ilvl w:val="0"/>
          <w:numId w:val="26"/>
        </w:numPr>
        <w:tabs>
          <w:tab w:pos="1324" w:val="left" w:leader="none"/>
        </w:tabs>
        <w:spacing w:line="364" w:lineRule="auto" w:before="0" w:after="0"/>
        <w:ind w:left="376" w:right="603" w:firstLine="420"/>
        <w:jc w:val="left"/>
        <w:rPr>
          <w:sz w:val="21"/>
        </w:rPr>
      </w:pPr>
      <w:r>
        <w:rPr>
          <w:sz w:val="21"/>
        </w:rPr>
        <w:t>赎回金额的处理方式：赎回金额为按实际确认的有效赎回份额乘以申请当日对应 </w:t>
      </w:r>
      <w:r>
        <w:rPr>
          <w:spacing w:val="-5"/>
          <w:sz w:val="21"/>
        </w:rPr>
        <w:t>份额类别及币种的基金份额净值并扣除相应的费用后的余额，计算结果保留到小数点后两位， </w:t>
      </w:r>
      <w:r>
        <w:rPr>
          <w:sz w:val="21"/>
        </w:rPr>
        <w:t>小数点后第三位四舍五入，由此误差产生的收益或损失计入基金财产。</w:t>
      </w:r>
    </w:p>
    <w:p>
      <w:pPr>
        <w:pStyle w:val="BodyText"/>
        <w:spacing w:line="268" w:lineRule="exact"/>
      </w:pPr>
      <w:r>
        <w:rPr/>
        <w:t>2、申购份额的计算</w:t>
      </w:r>
    </w:p>
    <w:p>
      <w:pPr>
        <w:pStyle w:val="BodyText"/>
        <w:spacing w:before="136"/>
      </w:pPr>
      <w:r>
        <w:rPr/>
        <w:t>净申购金额=申购金额/（1+申购费率）</w:t>
      </w:r>
    </w:p>
    <w:p>
      <w:pPr>
        <w:pStyle w:val="BodyText"/>
        <w:spacing w:line="364" w:lineRule="auto" w:before="140"/>
        <w:ind w:left="376" w:right="714" w:firstLine="420"/>
      </w:pPr>
      <w:r>
        <w:rPr/>
        <w:t>（注：对于1000万（含）以上适用固定金额申购费的申购，净申购金额＝申购金额－固定申购费金额）</w:t>
      </w:r>
    </w:p>
    <w:p>
      <w:pPr>
        <w:pStyle w:val="BodyText"/>
        <w:spacing w:line="268" w:lineRule="exact"/>
      </w:pPr>
      <w:r>
        <w:rPr/>
        <w:t>申购费用=申购金额-净申购金额</w:t>
      </w:r>
    </w:p>
    <w:p>
      <w:pPr>
        <w:pStyle w:val="BodyText"/>
        <w:spacing w:line="364" w:lineRule="auto" w:before="139"/>
        <w:ind w:right="5013"/>
      </w:pPr>
      <w:r>
        <w:rPr/>
        <w:t>申购份额=净申购金额/T日基金份额净值举例说明：</w:t>
      </w:r>
    </w:p>
    <w:p>
      <w:pPr>
        <w:pStyle w:val="BodyText"/>
        <w:spacing w:line="364" w:lineRule="auto"/>
        <w:ind w:left="376" w:right="714" w:firstLine="420"/>
      </w:pPr>
      <w:r>
        <w:rPr/>
        <w:t>例：某投资人（非特定投资群体）投资4万元场外申购本基金A类人民币份额，申购费率为1%，假设申购当日A类人民币份额净值为1.040元，则其可得到的申购份额为：</w:t>
      </w:r>
    </w:p>
    <w:p>
      <w:pPr>
        <w:pStyle w:val="BodyText"/>
        <w:spacing w:line="364" w:lineRule="auto"/>
        <w:ind w:right="4698"/>
      </w:pPr>
      <w:r>
        <w:rPr/>
        <w:t>净申购金额=40,000/（1+1%）=39,603.96元申购费用=40,000-39,603.96=396.04元</w:t>
      </w:r>
    </w:p>
    <w:p>
      <w:pPr>
        <w:pStyle w:val="BodyText"/>
        <w:spacing w:line="268" w:lineRule="exact"/>
      </w:pPr>
      <w:r>
        <w:rPr/>
        <w:t>申购份额=39,603.96/1.040=38,080.73份</w:t>
      </w:r>
    </w:p>
    <w:p>
      <w:pPr>
        <w:pStyle w:val="BodyText"/>
        <w:spacing w:line="364" w:lineRule="auto" w:before="138"/>
        <w:ind w:right="1863"/>
      </w:pPr>
      <w:r>
        <w:rPr/>
        <w:t>如果投资人是场内申购，对应的申购费率为0，则其可得到的申购份额为： 申购份额=40,000/1.040=38,461.54份</w:t>
      </w:r>
    </w:p>
    <w:p>
      <w:pPr>
        <w:pStyle w:val="BodyText"/>
        <w:spacing w:line="364" w:lineRule="auto"/>
        <w:ind w:left="376" w:right="628" w:firstLine="420"/>
      </w:pPr>
      <w:r>
        <w:rPr>
          <w:spacing w:val="-6"/>
        </w:rPr>
        <w:t>因场内申购份额计算结果采用截尾法保留至整数份，故投资者申购所得份额为</w:t>
      </w:r>
      <w:r>
        <w:rPr/>
        <w:t>38,461</w:t>
      </w:r>
      <w:r>
        <w:rPr>
          <w:spacing w:val="-8"/>
        </w:rPr>
        <w:t>份， </w:t>
      </w:r>
      <w:r>
        <w:rPr/>
        <w:t>不足1份部分对应的申购资金将返还给投资者。具体计算公式为：</w:t>
      </w:r>
    </w:p>
    <w:p>
      <w:pPr>
        <w:spacing w:after="0" w:line="364" w:lineRule="auto"/>
        <w:sectPr>
          <w:pgSz w:w="11910" w:h="16840"/>
          <w:pgMar w:header="0" w:footer="1118" w:top="1380" w:bottom="1380" w:left="1420" w:right="1000"/>
        </w:sectPr>
      </w:pPr>
    </w:p>
    <w:p>
      <w:pPr>
        <w:pStyle w:val="BodyText"/>
        <w:spacing w:line="364" w:lineRule="auto" w:before="45"/>
        <w:ind w:right="4488"/>
      </w:pPr>
      <w:r>
        <w:rPr/>
        <w:t>实际净申购金额=38,461×1.040=39,999.44元退款金额＝40,000－39,999.44＝0.56元</w:t>
      </w:r>
    </w:p>
    <w:p>
      <w:pPr>
        <w:pStyle w:val="BodyText"/>
        <w:spacing w:line="364" w:lineRule="auto"/>
        <w:ind w:left="376" w:right="714" w:firstLine="420"/>
      </w:pPr>
      <w:r>
        <w:rPr/>
        <w:t>即：该投资者场内申购A类人民币份额40,000元，假设申购当日的A类人民币份额基金份额净值为1.040元，则其可得到38,461份基金份额，退款0.56元。</w:t>
      </w:r>
    </w:p>
    <w:p>
      <w:pPr>
        <w:pStyle w:val="BodyText"/>
        <w:spacing w:line="364" w:lineRule="auto"/>
        <w:ind w:left="376" w:right="794" w:firstLine="420"/>
        <w:jc w:val="both"/>
      </w:pPr>
      <w:r>
        <w:rPr>
          <w:spacing w:val="-16"/>
        </w:rPr>
        <w:t>例：某投资人</w:t>
      </w:r>
      <w:r>
        <w:rPr/>
        <w:t>（特定投资群体）通过基金管理人的直销中心投资5万元场外申购本基金</w:t>
      </w:r>
      <w:r>
        <w:rPr>
          <w:spacing w:val="-15"/>
        </w:rPr>
        <w:t>A </w:t>
      </w:r>
      <w:r>
        <w:rPr>
          <w:spacing w:val="-5"/>
        </w:rPr>
        <w:t>类人民币份额，申购费率为</w:t>
      </w:r>
      <w:r>
        <w:rPr>
          <w:spacing w:val="-6"/>
        </w:rPr>
        <w:t>0.1%</w:t>
      </w:r>
      <w:r>
        <w:rPr>
          <w:spacing w:val="-2"/>
        </w:rPr>
        <w:t>，假设申购当日</w:t>
      </w:r>
      <w:r>
        <w:rPr/>
        <w:t>A类人民币份额净值为1.040</w:t>
      </w:r>
      <w:r>
        <w:rPr>
          <w:spacing w:val="-8"/>
        </w:rPr>
        <w:t>元，则其可得到</w:t>
      </w:r>
      <w:r>
        <w:rPr/>
        <w:t>的申购份额为：</w:t>
      </w:r>
    </w:p>
    <w:p>
      <w:pPr>
        <w:pStyle w:val="BodyText"/>
        <w:spacing w:line="364" w:lineRule="auto"/>
        <w:ind w:right="4488"/>
      </w:pPr>
      <w:r>
        <w:rPr/>
        <w:t>净申购金额=50,000/（1+0.1%）=49,950.05元申购费用=50,000-49,950.05=49.95元</w:t>
      </w:r>
    </w:p>
    <w:p>
      <w:pPr>
        <w:pStyle w:val="BodyText"/>
        <w:spacing w:line="268" w:lineRule="exact"/>
      </w:pPr>
      <w:r>
        <w:rPr/>
        <w:t>申购份额=49,950.05/1.040=48,028.89份</w:t>
      </w:r>
    </w:p>
    <w:p>
      <w:pPr>
        <w:pStyle w:val="BodyText"/>
        <w:spacing w:before="3"/>
        <w:ind w:left="0"/>
        <w:rPr>
          <w:sz w:val="18"/>
        </w:rPr>
      </w:pPr>
    </w:p>
    <w:p>
      <w:pPr>
        <w:pStyle w:val="BodyText"/>
        <w:spacing w:line="417" w:lineRule="auto"/>
        <w:ind w:left="376" w:right="794" w:firstLine="420"/>
      </w:pPr>
      <w:r>
        <w:rPr>
          <w:spacing w:val="-16"/>
        </w:rPr>
        <w:t>例：某投资者</w:t>
      </w:r>
      <w:r>
        <w:rPr/>
        <w:t>（非特定投资群体）</w:t>
      </w:r>
      <w:r>
        <w:rPr>
          <w:spacing w:val="-18"/>
        </w:rPr>
        <w:t>投资 </w:t>
      </w:r>
      <w:r>
        <w:rPr/>
        <w:t>4</w:t>
      </w:r>
      <w:r>
        <w:rPr>
          <w:spacing w:val="-13"/>
        </w:rPr>
        <w:t> 万美元申购本基金 </w:t>
      </w:r>
      <w:r>
        <w:rPr/>
        <w:t>A</w:t>
      </w:r>
      <w:r>
        <w:rPr>
          <w:spacing w:val="-9"/>
        </w:rPr>
        <w:t> 类美元份额，申购费率为</w:t>
      </w:r>
      <w:r>
        <w:rPr/>
        <w:t>1.0%，</w:t>
      </w:r>
      <w:r>
        <w:rPr>
          <w:spacing w:val="-8"/>
        </w:rPr>
        <w:t>假设申购当日 </w:t>
      </w:r>
      <w:r>
        <w:rPr/>
        <w:t>A</w:t>
      </w:r>
      <w:r>
        <w:rPr>
          <w:spacing w:val="-12"/>
        </w:rPr>
        <w:t> 类美元基金份额净值为 </w:t>
      </w:r>
      <w:r>
        <w:rPr/>
        <w:t>0.364</w:t>
      </w:r>
      <w:r>
        <w:rPr>
          <w:spacing w:val="-8"/>
        </w:rPr>
        <w:t> 美元，则其可得到的申购份额为：</w:t>
      </w:r>
    </w:p>
    <w:p>
      <w:pPr>
        <w:pStyle w:val="BodyText"/>
        <w:spacing w:line="417" w:lineRule="auto"/>
        <w:ind w:right="4161"/>
      </w:pPr>
      <w:r>
        <w:rPr/>
        <w:t>净申购金额=40,000/（1+1.0%）=39,603.96 美元申购费用=40,000-39,603.96=396.04 美元</w:t>
      </w:r>
    </w:p>
    <w:p>
      <w:pPr>
        <w:pStyle w:val="BodyText"/>
        <w:spacing w:line="269" w:lineRule="exact"/>
      </w:pPr>
      <w:r>
        <w:rPr/>
        <w:t>申购份额=39,603.96/0.364=108,802.09 份</w:t>
      </w:r>
    </w:p>
    <w:p>
      <w:pPr>
        <w:pStyle w:val="BodyText"/>
        <w:spacing w:before="7"/>
        <w:ind w:left="0"/>
        <w:rPr>
          <w:sz w:val="15"/>
        </w:rPr>
      </w:pPr>
    </w:p>
    <w:p>
      <w:pPr>
        <w:pStyle w:val="BodyText"/>
        <w:spacing w:line="417" w:lineRule="auto"/>
        <w:ind w:left="376" w:right="794" w:firstLine="420"/>
      </w:pPr>
      <w:r>
        <w:rPr>
          <w:spacing w:val="-18"/>
        </w:rPr>
        <w:t>例：某投资人投资 </w:t>
      </w:r>
      <w:r>
        <w:rPr/>
        <w:t>4</w:t>
      </w:r>
      <w:r>
        <w:rPr>
          <w:spacing w:val="-12"/>
        </w:rPr>
        <w:t> 万元人民币申购本基金 </w:t>
      </w:r>
      <w:r>
        <w:rPr/>
        <w:t>C</w:t>
      </w:r>
      <w:r>
        <w:rPr>
          <w:spacing w:val="-11"/>
        </w:rPr>
        <w:t> 类人民币份额，假设申购当日 </w:t>
      </w:r>
      <w:r>
        <w:rPr/>
        <w:t>C</w:t>
      </w:r>
      <w:r>
        <w:rPr>
          <w:spacing w:val="-14"/>
        </w:rPr>
        <w:t> 类人民币</w:t>
      </w:r>
      <w:r>
        <w:rPr>
          <w:spacing w:val="-7"/>
        </w:rPr>
        <w:t>基金份额净值为 </w:t>
      </w:r>
      <w:r>
        <w:rPr/>
        <w:t>1.040</w:t>
      </w:r>
      <w:r>
        <w:rPr>
          <w:spacing w:val="-8"/>
        </w:rPr>
        <w:t> 元，则其可得到的申购份额为：</w:t>
      </w:r>
    </w:p>
    <w:p>
      <w:pPr>
        <w:pStyle w:val="BodyText"/>
        <w:spacing w:line="417" w:lineRule="auto"/>
        <w:ind w:right="6576"/>
      </w:pPr>
      <w:r>
        <w:rPr/>
        <w:t>净申购金额=40,000 元申购费用=0 元</w:t>
      </w:r>
    </w:p>
    <w:p>
      <w:pPr>
        <w:pStyle w:val="BodyText"/>
        <w:spacing w:line="269" w:lineRule="exact"/>
      </w:pPr>
      <w:r>
        <w:rPr/>
        <w:t>申购份额=40,000/1.040=38,461.54 份</w:t>
      </w:r>
    </w:p>
    <w:p>
      <w:pPr>
        <w:pStyle w:val="BodyText"/>
        <w:spacing w:before="6"/>
        <w:ind w:left="0"/>
        <w:rPr>
          <w:sz w:val="15"/>
        </w:rPr>
      </w:pPr>
    </w:p>
    <w:p>
      <w:pPr>
        <w:pStyle w:val="BodyText"/>
        <w:spacing w:line="417" w:lineRule="auto"/>
        <w:ind w:left="376" w:right="794" w:firstLine="420"/>
      </w:pPr>
      <w:r>
        <w:rPr>
          <w:spacing w:val="-18"/>
        </w:rPr>
        <w:t>例：某投资者投资 </w:t>
      </w:r>
      <w:r>
        <w:rPr/>
        <w:t>4</w:t>
      </w:r>
      <w:r>
        <w:rPr>
          <w:spacing w:val="-13"/>
        </w:rPr>
        <w:t> 万美元申购本基金 </w:t>
      </w:r>
      <w:r>
        <w:rPr/>
        <w:t>C</w:t>
      </w:r>
      <w:r>
        <w:rPr>
          <w:spacing w:val="-12"/>
        </w:rPr>
        <w:t> 类美元份额，假设申购当日 </w:t>
      </w:r>
      <w:r>
        <w:rPr/>
        <w:t>C</w:t>
      </w:r>
      <w:r>
        <w:rPr>
          <w:spacing w:val="-10"/>
        </w:rPr>
        <w:t> 类美元基金份额</w:t>
      </w:r>
      <w:r>
        <w:rPr>
          <w:spacing w:val="-14"/>
        </w:rPr>
        <w:t>净值为 </w:t>
      </w:r>
      <w:r>
        <w:rPr/>
        <w:t>0.364</w:t>
      </w:r>
      <w:r>
        <w:rPr>
          <w:spacing w:val="-8"/>
        </w:rPr>
        <w:t> 美元，则其可得到的申购份额为：</w:t>
      </w:r>
    </w:p>
    <w:p>
      <w:pPr>
        <w:pStyle w:val="BodyText"/>
        <w:spacing w:line="417" w:lineRule="auto"/>
        <w:ind w:right="6366"/>
      </w:pPr>
      <w:r>
        <w:rPr/>
        <w:t>净申购金额=40,000 美元申购费用=0 美元</w:t>
      </w:r>
    </w:p>
    <w:p>
      <w:pPr>
        <w:pStyle w:val="BodyText"/>
        <w:spacing w:line="269" w:lineRule="exact"/>
      </w:pPr>
      <w:r>
        <w:rPr/>
        <w:t>申购份额=40,000/0.364=109,890.11 份</w:t>
      </w:r>
    </w:p>
    <w:p>
      <w:pPr>
        <w:pStyle w:val="BodyText"/>
        <w:spacing w:before="101"/>
      </w:pPr>
      <w:r>
        <w:rPr/>
        <w:t>3、赎回金额的计算</w:t>
      </w:r>
    </w:p>
    <w:p>
      <w:pPr>
        <w:pStyle w:val="BodyText"/>
        <w:spacing w:line="364" w:lineRule="auto" w:before="139"/>
        <w:ind w:right="4068"/>
      </w:pPr>
      <w:r>
        <w:rPr/>
        <w:t>赎回费用=赎回份额×T日基金份额净值×赎回费率赎回金额=赎回份额×T日基金份额净值-赎回费用</w:t>
      </w:r>
    </w:p>
    <w:p>
      <w:pPr>
        <w:pStyle w:val="BodyText"/>
        <w:spacing w:line="364" w:lineRule="auto"/>
        <w:ind w:left="376" w:right="795" w:firstLine="420"/>
      </w:pPr>
      <w:r>
        <w:rPr/>
        <w:t>例：某投资者T日赎回1万份场外A类人民币份额，对应的赎回费率为0.2%，T日A类人民币份额净值是1.016元，则其可得到的赎回金额计算如下：</w:t>
      </w:r>
    </w:p>
    <w:p>
      <w:pPr>
        <w:pStyle w:val="BodyText"/>
        <w:spacing w:line="268" w:lineRule="exact"/>
      </w:pPr>
      <w:r>
        <w:rPr/>
        <w:t>赎回费用=10,000×1.016×0.2%=20.32元</w:t>
      </w:r>
    </w:p>
    <w:p>
      <w:pPr>
        <w:pStyle w:val="BodyText"/>
        <w:spacing w:before="139"/>
      </w:pPr>
      <w:r>
        <w:rPr/>
        <w:t>赎回金额=10,000×1.016-20.32=10,139.68元</w:t>
      </w:r>
    </w:p>
    <w:p>
      <w:pPr>
        <w:spacing w:after="0"/>
        <w:sectPr>
          <w:pgSz w:w="11910" w:h="16840"/>
          <w:pgMar w:header="0" w:footer="1118" w:top="1380" w:bottom="1380" w:left="1420" w:right="1000"/>
        </w:sectPr>
      </w:pPr>
    </w:p>
    <w:p>
      <w:pPr>
        <w:pStyle w:val="BodyText"/>
        <w:spacing w:before="45"/>
      </w:pPr>
      <w:r>
        <w:rPr/>
        <w:t>即：投资人赎回本基金1万份场外A类人民币份额，假设赎回当日A类人民币份额净值是</w:t>
      </w:r>
    </w:p>
    <w:p>
      <w:pPr>
        <w:pStyle w:val="ListParagraph"/>
        <w:numPr>
          <w:ilvl w:val="1"/>
          <w:numId w:val="27"/>
        </w:numPr>
        <w:tabs>
          <w:tab w:pos="903" w:val="left" w:leader="none"/>
        </w:tabs>
        <w:spacing w:line="240" w:lineRule="auto" w:before="139" w:after="0"/>
        <w:ind w:left="903" w:right="0" w:hanging="527"/>
        <w:jc w:val="left"/>
        <w:rPr>
          <w:sz w:val="21"/>
        </w:rPr>
      </w:pPr>
      <w:r>
        <w:rPr>
          <w:sz w:val="21"/>
        </w:rPr>
        <w:t>元，则其可得到的赎回金额为10,139.68元。</w:t>
      </w:r>
    </w:p>
    <w:p>
      <w:pPr>
        <w:pStyle w:val="BodyText"/>
        <w:spacing w:before="140"/>
      </w:pPr>
      <w:r>
        <w:rPr/>
        <w:t>4、基金份额净值的计算公式</w:t>
      </w:r>
    </w:p>
    <w:p>
      <w:pPr>
        <w:pStyle w:val="BodyText"/>
        <w:spacing w:line="364" w:lineRule="auto" w:before="139"/>
        <w:ind w:left="376" w:right="795" w:firstLine="420"/>
      </w:pPr>
      <w:r>
        <w:rPr/>
        <w:t>基金份额净值应当在每个估值日后2个工作日内披露。遇特殊情况，经履行适当程序， 可以适当延迟计算或公告。其计算公式为：</w:t>
      </w:r>
    </w:p>
    <w:p>
      <w:pPr>
        <w:pStyle w:val="BodyText"/>
        <w:spacing w:line="268" w:lineRule="exact"/>
      </w:pPr>
      <w:r>
        <w:rPr/>
        <w:t>基金份额净值=计算日基金资产净值÷计算日基金总份额</w:t>
      </w:r>
    </w:p>
    <w:p>
      <w:pPr>
        <w:pStyle w:val="BodyText"/>
        <w:spacing w:before="140"/>
      </w:pPr>
      <w:r>
        <w:rPr/>
        <w:t>本基金基金份额净值的计算，保留到小数点后3位，小数点后第4位四舍五入。</w:t>
      </w:r>
    </w:p>
    <w:p>
      <w:pPr>
        <w:pStyle w:val="Heading2"/>
        <w:tabs>
          <w:tab w:pos="1216" w:val="left" w:leader="none"/>
        </w:tabs>
        <w:spacing w:before="140"/>
      </w:pPr>
      <w:bookmarkStart w:name="_bookmark44" w:id="45"/>
      <w:bookmarkEnd w:id="45"/>
      <w:r>
        <w:rPr/>
      </w:r>
      <w:r>
        <w:rPr/>
        <w:t>九、</w:t>
        <w:tab/>
        <w:t>申购和赎回的登记结算</w:t>
      </w:r>
    </w:p>
    <w:p>
      <w:pPr>
        <w:pStyle w:val="BodyText"/>
        <w:spacing w:line="364" w:lineRule="auto" w:before="185"/>
        <w:ind w:left="376" w:right="585" w:firstLine="420"/>
        <w:jc w:val="both"/>
      </w:pPr>
      <w:r>
        <w:rPr>
          <w:spacing w:val="-4"/>
        </w:rPr>
        <w:t>本基金申购与赎回的登记结算业务按照基金登记结算机构的有关规定办理。正常情况下， 投资者申购基金成功后，基金登记结算机构在T+2日为投资者登记权益并办理登记结算手续， 投资者自T+3日起（含该日）有权赎回该部分基金份额。</w:t>
      </w:r>
    </w:p>
    <w:p>
      <w:pPr>
        <w:pStyle w:val="BodyText"/>
        <w:spacing w:line="364" w:lineRule="auto"/>
        <w:ind w:left="376" w:right="795" w:firstLine="420"/>
      </w:pPr>
      <w:r>
        <w:rPr/>
        <w:t>投资者赎回基金成功后，正常情况下，基金登记结算机构在T+2日为投资者办理扣除权益的登记结算手续。</w:t>
      </w:r>
    </w:p>
    <w:p>
      <w:pPr>
        <w:pStyle w:val="BodyText"/>
        <w:spacing w:line="364" w:lineRule="auto"/>
        <w:ind w:left="376" w:right="794" w:firstLine="420"/>
      </w:pPr>
      <w:r>
        <w:rPr>
          <w:spacing w:val="-6"/>
        </w:rPr>
        <w:t>登记结算机构可以在法律法规允许的范围内，对上述登记结算办理时间进行调整，但不</w:t>
      </w:r>
      <w:r>
        <w:rPr/>
        <w:t>得实质影响投资者的合法权益，基金管理人最迟于开始实施前2个工作日在指定媒介公告。</w:t>
      </w:r>
    </w:p>
    <w:p>
      <w:pPr>
        <w:pStyle w:val="Heading2"/>
        <w:tabs>
          <w:tab w:pos="1216" w:val="left" w:leader="none"/>
        </w:tabs>
      </w:pPr>
      <w:bookmarkStart w:name="_bookmark45" w:id="46"/>
      <w:bookmarkEnd w:id="46"/>
      <w:r>
        <w:rPr/>
      </w:r>
      <w:r>
        <w:rPr/>
        <w:t>十、</w:t>
        <w:tab/>
        <w:t>基金份额的登记</w:t>
      </w:r>
    </w:p>
    <w:p>
      <w:pPr>
        <w:pStyle w:val="BodyText"/>
        <w:spacing w:before="183"/>
      </w:pPr>
      <w:r>
        <w:rPr/>
        <w:t>本基金的份额采用分系统登记的原则。</w:t>
      </w:r>
    </w:p>
    <w:p>
      <w:pPr>
        <w:pStyle w:val="BodyText"/>
        <w:spacing w:line="364" w:lineRule="auto" w:before="139"/>
        <w:ind w:left="376" w:right="795" w:firstLine="420"/>
      </w:pPr>
      <w:r>
        <w:rPr/>
        <w:t>场外A类人民币份额记录在中国证券登记结算有限责任公司开立的基金账户并登记在登记结算系统，场内A类人民币份额记录在持有人深圳证券账户并登记在证券登记系统。</w:t>
      </w:r>
    </w:p>
    <w:p>
      <w:pPr>
        <w:pStyle w:val="BodyText"/>
        <w:spacing w:line="364" w:lineRule="auto"/>
        <w:ind w:left="376" w:right="795" w:firstLine="420"/>
      </w:pPr>
      <w:r>
        <w:rPr/>
        <w:t>A类美元份额、C类美元份额、C类人民币份额记录在易方达基金管理有限公司开立的基金账户并登记在易方达基金管理有限公司的注册登记系统。</w:t>
      </w:r>
    </w:p>
    <w:p>
      <w:pPr>
        <w:pStyle w:val="BodyText"/>
        <w:spacing w:line="364" w:lineRule="auto"/>
        <w:ind w:left="376" w:right="714" w:firstLine="420"/>
      </w:pPr>
      <w:r>
        <w:rPr/>
        <w:t>A类美元份额、C类美元份额、C类人民币份额及登记在登记结算系统中的A类人民币份额可申请场外赎回，但不可卖出。</w:t>
      </w:r>
    </w:p>
    <w:p>
      <w:pPr>
        <w:pStyle w:val="BodyText"/>
        <w:spacing w:line="268" w:lineRule="exact"/>
      </w:pPr>
      <w:r>
        <w:rPr/>
        <w:t>登记在证券登记系统中的A类人民币份额既可上市交易，也可直接申请场内赎回。</w:t>
      </w:r>
    </w:p>
    <w:p>
      <w:pPr>
        <w:pStyle w:val="Heading2"/>
        <w:tabs>
          <w:tab w:pos="1636" w:val="left" w:leader="none"/>
        </w:tabs>
        <w:spacing w:before="139"/>
      </w:pPr>
      <w:bookmarkStart w:name="_bookmark46" w:id="47"/>
      <w:bookmarkEnd w:id="47"/>
      <w:r>
        <w:rPr/>
      </w:r>
      <w:r>
        <w:rPr/>
        <w:t>十一、</w:t>
        <w:tab/>
        <w:t>拒绝或暂停申购的情形及处理方式</w:t>
      </w:r>
    </w:p>
    <w:p>
      <w:pPr>
        <w:pStyle w:val="BodyText"/>
        <w:spacing w:before="185"/>
      </w:pPr>
      <w:r>
        <w:rPr/>
        <w:t>除非出现如下情形，基金管理人不得拒绝或暂停接受基金投资者的申购申请：</w:t>
      </w:r>
    </w:p>
    <w:p>
      <w:pPr>
        <w:pStyle w:val="BodyText"/>
        <w:spacing w:before="139"/>
      </w:pPr>
      <w:r>
        <w:rPr/>
        <w:t>1、不可抗力的原因导致基金无法正常运作；</w:t>
      </w:r>
    </w:p>
    <w:p>
      <w:pPr>
        <w:pStyle w:val="BodyText"/>
        <w:spacing w:before="139"/>
      </w:pPr>
      <w:r>
        <w:rPr/>
        <w:t>2、本基金境外投资主要市场或外汇市场休市，并可能影响本基金正常估值与投资时；</w:t>
      </w:r>
    </w:p>
    <w:p>
      <w:pPr>
        <w:pStyle w:val="BodyText"/>
        <w:spacing w:line="364" w:lineRule="auto" w:before="140"/>
        <w:ind w:left="376" w:right="795" w:firstLine="420"/>
      </w:pPr>
      <w:r>
        <w:rPr/>
        <w:t>3、本基金的资产组合中的重要部分发生暂停交易或其他重大事件，继续接受申购可能会影响或损害其他基金份额持有人利益时；</w:t>
      </w:r>
    </w:p>
    <w:p>
      <w:pPr>
        <w:pStyle w:val="BodyText"/>
        <w:spacing w:line="364" w:lineRule="auto"/>
        <w:ind w:left="376" w:right="795" w:firstLine="420"/>
      </w:pPr>
      <w:r>
        <w:rPr/>
        <w:t>4、基金资产规模过大，使基金管理人无法找到合适的投资品种，或可能对基金业绩产生负面影响，从而损害现有基金份额持有人的利益；</w:t>
      </w:r>
    </w:p>
    <w:p>
      <w:pPr>
        <w:pStyle w:val="BodyText"/>
        <w:spacing w:line="268" w:lineRule="exact"/>
      </w:pPr>
      <w:r>
        <w:rPr/>
        <w:t>5、继续接受申购可能导致突破国家外汇局批准的外汇额度；</w:t>
      </w:r>
    </w:p>
    <w:p>
      <w:pPr>
        <w:spacing w:after="0" w:line="268" w:lineRule="exact"/>
        <w:sectPr>
          <w:pgSz w:w="11910" w:h="16840"/>
          <w:pgMar w:header="0" w:footer="1118" w:top="1380" w:bottom="1380" w:left="1420" w:right="1000"/>
        </w:sectPr>
      </w:pPr>
    </w:p>
    <w:p>
      <w:pPr>
        <w:pStyle w:val="BodyText"/>
        <w:spacing w:line="364" w:lineRule="auto" w:before="45"/>
        <w:ind w:left="376" w:right="795" w:firstLine="420"/>
      </w:pPr>
      <w:r>
        <w:rPr/>
        <w:t>6、基金管理人、基金托管人、基金销售机构或登记结算机构因技术故障导致基金销售系统或基金登记结算系统或证券登记系统、基金会计系统无法正常运行；</w:t>
      </w:r>
    </w:p>
    <w:p>
      <w:pPr>
        <w:pStyle w:val="BodyText"/>
        <w:spacing w:line="268" w:lineRule="exact"/>
      </w:pPr>
      <w:r>
        <w:rPr/>
        <w:t>7、基金管理人认为会有损于现有基金份额持有人利益的某笔申购；</w:t>
      </w:r>
    </w:p>
    <w:p>
      <w:pPr>
        <w:pStyle w:val="BodyText"/>
        <w:spacing w:before="139"/>
      </w:pPr>
      <w:r>
        <w:rPr/>
        <w:t>8、发生《基金合同》规定的暂停基金资产估值情况；</w:t>
      </w:r>
    </w:p>
    <w:p>
      <w:pPr>
        <w:pStyle w:val="BodyText"/>
        <w:spacing w:line="364" w:lineRule="auto" w:before="140"/>
        <w:ind w:left="376" w:right="795" w:firstLine="420"/>
      </w:pPr>
      <w:r>
        <w:rPr/>
        <w:t>9、基金管理人接受某笔或者某些申购申请有可能导致单一投资者持有基金份额的比例达到或者超过50%，或者变相规避50%集中度的情形时；</w:t>
      </w:r>
    </w:p>
    <w:p>
      <w:pPr>
        <w:pStyle w:val="BodyText"/>
        <w:spacing w:line="364" w:lineRule="auto"/>
        <w:ind w:left="376" w:right="794" w:firstLine="420"/>
        <w:jc w:val="both"/>
      </w:pPr>
      <w:r>
        <w:rPr/>
        <w:t>10</w:t>
      </w:r>
      <w:r>
        <w:rPr>
          <w:spacing w:val="-11"/>
        </w:rPr>
        <w:t>、当一笔新的申购申请被确认成功，使本基金总规模超过基金管理人规定的本基金总规模上限时；或使本基金单日申购金额或净申购比例超过基金管理人规定的当日申购金额或</w:t>
      </w:r>
      <w:r>
        <w:rPr>
          <w:spacing w:val="-9"/>
        </w:rPr>
        <w:t>净申购比例上限时；或该投资人累计持有的份额超过单个投资人累计持有的份额上限时；或</w:t>
      </w:r>
      <w:r>
        <w:rPr/>
        <w:t>该投资人当日申购金额超过单个投资人单日或单笔申购金额上限时；</w:t>
      </w:r>
    </w:p>
    <w:p>
      <w:pPr>
        <w:pStyle w:val="BodyText"/>
        <w:spacing w:line="364" w:lineRule="auto"/>
        <w:ind w:left="376" w:right="794" w:firstLine="420"/>
        <w:jc w:val="both"/>
      </w:pPr>
      <w:r>
        <w:rPr/>
        <w:t>11、当前一估值日基金资产净值50%以上的资产出现无可参考的活跃市场价格且采用估</w:t>
      </w:r>
      <w:r>
        <w:rPr>
          <w:spacing w:val="-6"/>
        </w:rPr>
        <w:t>值技术仍导致公允价值存在重大不确定性时，经与基金托管人协商确认后，基金管理人应当</w:t>
      </w:r>
      <w:r>
        <w:rPr/>
        <w:t>采取暂停接受基金申购申请的措施；</w:t>
      </w:r>
    </w:p>
    <w:p>
      <w:pPr>
        <w:pStyle w:val="BodyText"/>
        <w:spacing w:line="268" w:lineRule="exact"/>
      </w:pPr>
      <w:r>
        <w:rPr/>
        <w:t>12、法律法规规定或中国证监会认定的其他可暂停申购的情形。</w:t>
      </w:r>
    </w:p>
    <w:p>
      <w:pPr>
        <w:pStyle w:val="BodyText"/>
        <w:spacing w:before="136"/>
      </w:pPr>
      <w:r>
        <w:rPr/>
        <w:t>发生上述情形之一的，申购款项将全额退还投资者。发生上述1、2、3、4、5、6、8、</w:t>
      </w:r>
    </w:p>
    <w:p>
      <w:pPr>
        <w:pStyle w:val="BodyText"/>
        <w:spacing w:before="140"/>
        <w:ind w:left="376"/>
      </w:pPr>
      <w:r>
        <w:rPr/>
        <w:t>10、11、12暂停申购情形时，基金管理人应当在指定媒介刊登暂停申购公告。</w:t>
      </w:r>
    </w:p>
    <w:p>
      <w:pPr>
        <w:pStyle w:val="BodyText"/>
        <w:spacing w:line="364" w:lineRule="auto" w:before="139"/>
        <w:ind w:left="376" w:right="794" w:firstLine="420"/>
      </w:pPr>
      <w:r>
        <w:rPr>
          <w:spacing w:val="-7"/>
        </w:rPr>
        <w:t>在暂停申购的情况消除时，基金管理人应及时恢复申购业务的办理，并依照有关规定在</w:t>
      </w:r>
      <w:r>
        <w:rPr/>
        <w:t>指定媒介公告。</w:t>
      </w:r>
    </w:p>
    <w:p>
      <w:pPr>
        <w:pStyle w:val="BodyText"/>
        <w:spacing w:line="268" w:lineRule="exact"/>
      </w:pPr>
      <w:r>
        <w:rPr/>
        <w:t>基金管理人拒绝或暂停接受申购的方式包括：</w:t>
      </w:r>
    </w:p>
    <w:p>
      <w:pPr>
        <w:pStyle w:val="BodyText"/>
        <w:spacing w:before="140"/>
      </w:pPr>
      <w:r>
        <w:rPr/>
        <w:t>1、拒绝接受、暂停接受某笔或某数笔申购申请；</w:t>
      </w:r>
    </w:p>
    <w:p>
      <w:pPr>
        <w:pStyle w:val="BodyText"/>
        <w:spacing w:before="139"/>
      </w:pPr>
      <w:r>
        <w:rPr/>
        <w:t>2、拒绝接受、暂停接受某个或某数个工作日的全部申购申请；</w:t>
      </w:r>
    </w:p>
    <w:p>
      <w:pPr>
        <w:pStyle w:val="BodyText"/>
        <w:spacing w:before="140"/>
      </w:pPr>
      <w:r>
        <w:rPr/>
        <w:t>3、按比例拒绝接受、暂停接受某个或某数个工作日的申购申请。</w:t>
      </w:r>
    </w:p>
    <w:p>
      <w:pPr>
        <w:pStyle w:val="Heading2"/>
        <w:tabs>
          <w:tab w:pos="1636" w:val="left" w:leader="none"/>
        </w:tabs>
        <w:spacing w:before="140"/>
      </w:pPr>
      <w:bookmarkStart w:name="_bookmark47" w:id="48"/>
      <w:bookmarkEnd w:id="48"/>
      <w:r>
        <w:rPr/>
      </w:r>
      <w:r>
        <w:rPr/>
        <w:t>十二、</w:t>
        <w:tab/>
        <w:t>暂停赎回或者延缓支付赎回款项的情形及处理方式</w:t>
      </w:r>
    </w:p>
    <w:p>
      <w:pPr>
        <w:pStyle w:val="BodyText"/>
        <w:spacing w:line="364" w:lineRule="auto" w:before="185"/>
        <w:ind w:left="376" w:right="794" w:firstLine="420"/>
      </w:pPr>
      <w:r>
        <w:rPr>
          <w:spacing w:val="-11"/>
        </w:rPr>
        <w:t>出现如下情形，基金管理人可拒绝接受或暂停基金份额持有人的赎回申请或者延缓支付</w:t>
      </w:r>
      <w:r>
        <w:rPr/>
        <w:t>赎回款项：</w:t>
      </w:r>
    </w:p>
    <w:p>
      <w:pPr>
        <w:pStyle w:val="BodyText"/>
        <w:spacing w:line="268" w:lineRule="exact"/>
      </w:pPr>
      <w:r>
        <w:rPr/>
        <w:t>1、不可抗力的原因导致基金管理人不能支付赎回款项；</w:t>
      </w:r>
    </w:p>
    <w:p>
      <w:pPr>
        <w:pStyle w:val="BodyText"/>
        <w:spacing w:line="364" w:lineRule="auto" w:before="139"/>
        <w:ind w:left="376" w:right="795" w:firstLine="420"/>
      </w:pPr>
      <w:r>
        <w:rPr/>
        <w:t>2、本基金境外投资主要市场或外汇市场交易时间非正常停市或遇公众节假日，可能影响本基金投资，或导致基金管理人无法计算基金资产净值；</w:t>
      </w:r>
    </w:p>
    <w:p>
      <w:pPr>
        <w:pStyle w:val="BodyText"/>
        <w:spacing w:line="364" w:lineRule="auto"/>
        <w:ind w:left="376" w:right="795" w:firstLine="420"/>
      </w:pPr>
      <w:r>
        <w:rPr/>
        <w:t>3、因市场剧烈波动或其他原因而出现连续2个或2个以上开放日巨额赎回，导致本基金的现金支付出现困难；</w:t>
      </w:r>
    </w:p>
    <w:p>
      <w:pPr>
        <w:pStyle w:val="BodyText"/>
        <w:spacing w:line="364" w:lineRule="auto"/>
        <w:ind w:left="376" w:right="795" w:firstLine="420"/>
      </w:pPr>
      <w:r>
        <w:rPr/>
        <w:t>4、本基金的资产组合中的重要部分发生暂停交易或其他重大事件，继续接受赎回可能会影响或损害其他基金份额持有人利益时；</w:t>
      </w:r>
    </w:p>
    <w:p>
      <w:pPr>
        <w:pStyle w:val="BodyText"/>
        <w:spacing w:line="364" w:lineRule="auto"/>
        <w:ind w:left="376" w:right="795" w:firstLine="420"/>
      </w:pPr>
      <w:r>
        <w:rPr/>
        <w:t>5、基金管理人、基金托管人、基金销售机构或登记结算机构因技术故障或人员伤亡导致基金销售系统或基金登记结算系统或证券登记系统或基金会计系统无法正常运行时；</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jc w:val="both"/>
      </w:pPr>
      <w:r>
        <w:rPr/>
        <w:t>6</w:t>
      </w:r>
      <w:r>
        <w:rPr>
          <w:spacing w:val="-10"/>
        </w:rPr>
        <w:t>、当前一估值日基金资产净值</w:t>
      </w:r>
      <w:r>
        <w:rPr/>
        <w:t>50%</w:t>
      </w:r>
      <w:r>
        <w:rPr>
          <w:spacing w:val="-1"/>
        </w:rPr>
        <w:t>以上的资产出现无可参考的活跃市场价格且采用估值</w:t>
      </w:r>
      <w:r>
        <w:rPr>
          <w:spacing w:val="-6"/>
        </w:rPr>
        <w:t>技术仍导致公允价值存在重大不确定性时，经与基金托管人协商确认后，基金管理人应当采</w:t>
      </w:r>
      <w:r>
        <w:rPr/>
        <w:t>取延缓支付赎回款项或暂停接受基金赎回申请的措施；</w:t>
      </w:r>
    </w:p>
    <w:p>
      <w:pPr>
        <w:pStyle w:val="BodyText"/>
        <w:spacing w:line="268" w:lineRule="exact"/>
      </w:pPr>
      <w:r>
        <w:rPr/>
        <w:t>7、法律法规规定或中国证监会认定的其他情形。</w:t>
      </w:r>
    </w:p>
    <w:p>
      <w:pPr>
        <w:pStyle w:val="BodyText"/>
        <w:spacing w:line="364" w:lineRule="auto" w:before="139"/>
        <w:ind w:left="376" w:right="794" w:firstLine="420"/>
        <w:jc w:val="both"/>
      </w:pPr>
      <w:r>
        <w:rPr>
          <w:spacing w:val="2"/>
        </w:rPr>
        <w:t>发生上述情形之一且基金管理人决定拒绝或暂停基金份额持有人的赎回申请或者延缓</w:t>
      </w:r>
      <w:r>
        <w:rPr>
          <w:spacing w:val="-5"/>
        </w:rPr>
        <w:t>支付赎回款项的，基金管理人应在当日立即向中国证监会备案。已接受的赎回申请，基金管</w:t>
      </w:r>
      <w:r>
        <w:rPr>
          <w:spacing w:val="-11"/>
        </w:rPr>
        <w:t>理人将足额支付；如暂时不能足额支付的，可延期支付部分赎回款项，按每个赎回申请人已</w:t>
      </w:r>
      <w:r>
        <w:rPr>
          <w:spacing w:val="-4"/>
        </w:rPr>
        <w:t>被接受的赎回申请量占已接受赎回申请总量的比例分配给赎回申请人，未支付部分由基金管</w:t>
      </w:r>
      <w:r>
        <w:rPr/>
        <w:t>理人按照发生的情况制定相应的处理办法在20个工作日内予以支付。</w:t>
      </w:r>
    </w:p>
    <w:p>
      <w:pPr>
        <w:pStyle w:val="BodyText"/>
        <w:spacing w:line="364" w:lineRule="auto"/>
        <w:ind w:left="376" w:right="794" w:firstLine="420"/>
        <w:jc w:val="both"/>
      </w:pPr>
      <w:r>
        <w:rPr/>
        <w:t>同时，在出现上述第3款的情形时，对已接受的赎回申请可延期支付赎回款项，最长不超过20</w:t>
      </w:r>
      <w:r>
        <w:rPr>
          <w:spacing w:val="-11"/>
        </w:rPr>
        <w:t>个工作日，并在指定媒介公告。投资者在申请赎回时可事先选择将当日可能未获受理</w:t>
      </w:r>
      <w:r>
        <w:rPr/>
        <w:t>部分予以撤销。</w:t>
      </w:r>
    </w:p>
    <w:p>
      <w:pPr>
        <w:pStyle w:val="BodyText"/>
        <w:spacing w:line="268" w:lineRule="exact"/>
      </w:pPr>
      <w:r>
        <w:rPr/>
        <w:t>暂停基金的赎回，基金管理人应及时在指定媒介刊登暂停赎回公告。</w:t>
      </w:r>
    </w:p>
    <w:p>
      <w:pPr>
        <w:pStyle w:val="Heading2"/>
        <w:tabs>
          <w:tab w:pos="1636" w:val="left" w:leader="none"/>
        </w:tabs>
        <w:spacing w:before="139"/>
      </w:pPr>
      <w:bookmarkStart w:name="_bookmark48" w:id="49"/>
      <w:bookmarkEnd w:id="49"/>
      <w:r>
        <w:rPr/>
      </w:r>
      <w:r>
        <w:rPr/>
        <w:t>十三、</w:t>
        <w:tab/>
        <w:t>巨额赎回的认定及处理方式</w:t>
      </w:r>
    </w:p>
    <w:p>
      <w:pPr>
        <w:pStyle w:val="BodyText"/>
        <w:spacing w:before="184"/>
      </w:pPr>
      <w:r>
        <w:rPr/>
        <w:t>1、巨额赎回的认定</w:t>
      </w:r>
    </w:p>
    <w:p>
      <w:pPr>
        <w:pStyle w:val="BodyText"/>
        <w:spacing w:line="364" w:lineRule="auto" w:before="140"/>
        <w:ind w:left="376" w:right="794" w:firstLine="420"/>
        <w:jc w:val="both"/>
      </w:pPr>
      <w:r>
        <w:rPr>
          <w:spacing w:val="-8"/>
        </w:rPr>
        <w:t>本基金单个开放日，基金净赎回申请</w:t>
      </w:r>
      <w:r>
        <w:rPr/>
        <w:t>（</w:t>
      </w:r>
      <w:r>
        <w:rPr>
          <w:spacing w:val="-1"/>
        </w:rPr>
        <w:t>赎回申请份额总数加上基金转换中转出申请份额</w:t>
      </w:r>
      <w:r>
        <w:rPr/>
        <w:t>总数后扣除申购申请份额总数及基金转换中转入申请份额总数后的余额</w:t>
      </w:r>
      <w:r>
        <w:rPr>
          <w:spacing w:val="-88"/>
        </w:rPr>
        <w:t>）</w:t>
      </w:r>
      <w:r>
        <w:rPr>
          <w:spacing w:val="-2"/>
        </w:rPr>
        <w:t>超过上一日基金总</w:t>
      </w:r>
      <w:r>
        <w:rPr/>
        <w:t>份额的10%时，即认为发生了巨额赎回。</w:t>
      </w:r>
    </w:p>
    <w:p>
      <w:pPr>
        <w:pStyle w:val="BodyText"/>
        <w:spacing w:line="268" w:lineRule="exact"/>
      </w:pPr>
      <w:r>
        <w:rPr/>
        <w:t>2、巨额赎回的处理方式</w:t>
      </w:r>
    </w:p>
    <w:p>
      <w:pPr>
        <w:pStyle w:val="BodyText"/>
        <w:spacing w:line="364" w:lineRule="auto" w:before="139"/>
        <w:ind w:left="376" w:right="794" w:firstLine="420"/>
      </w:pPr>
      <w:r>
        <w:rPr>
          <w:spacing w:val="-10"/>
        </w:rPr>
        <w:t>当出现巨额赎回时，基金管理人可以根据本基金当时的资产组合状况决定全额赎回或部</w:t>
      </w:r>
      <w:r>
        <w:rPr/>
        <w:t>分顺延赎回。</w:t>
      </w:r>
    </w:p>
    <w:p>
      <w:pPr>
        <w:pStyle w:val="ListParagraph"/>
        <w:numPr>
          <w:ilvl w:val="2"/>
          <w:numId w:val="27"/>
        </w:numPr>
        <w:tabs>
          <w:tab w:pos="1324" w:val="left" w:leader="none"/>
        </w:tabs>
        <w:spacing w:line="364" w:lineRule="auto" w:before="0" w:after="0"/>
        <w:ind w:left="376" w:right="795" w:firstLine="420"/>
        <w:jc w:val="left"/>
        <w:rPr>
          <w:sz w:val="21"/>
        </w:rPr>
      </w:pPr>
      <w:r>
        <w:rPr>
          <w:sz w:val="21"/>
        </w:rPr>
        <w:t>全额赎回：当基金管理人认为有能力支付投资者的全部赎回申请时，按正常赎回程序执行。</w:t>
      </w:r>
    </w:p>
    <w:p>
      <w:pPr>
        <w:pStyle w:val="ListParagraph"/>
        <w:numPr>
          <w:ilvl w:val="2"/>
          <w:numId w:val="27"/>
        </w:numPr>
        <w:tabs>
          <w:tab w:pos="1324" w:val="left" w:leader="none"/>
        </w:tabs>
        <w:spacing w:line="364" w:lineRule="auto" w:before="0" w:after="0"/>
        <w:ind w:left="376" w:right="585" w:firstLine="420"/>
        <w:jc w:val="left"/>
        <w:rPr>
          <w:sz w:val="21"/>
        </w:rPr>
      </w:pPr>
      <w:r>
        <w:rPr>
          <w:sz w:val="21"/>
        </w:rPr>
        <w:t>部分顺延赎回：当基金管理人认为支付投资者的赎回申请有困难或认为支付投资 </w:t>
      </w:r>
      <w:r>
        <w:rPr>
          <w:spacing w:val="-4"/>
          <w:sz w:val="21"/>
        </w:rPr>
        <w:t>者的赎回申请可能会对基金的资产净值造成较大波动时，基金管理人在当日接受赎回比例不 低于上一日基金总份额的10%的前提下，对其余赎回申请延期予以办理。对于单个基金份额 </w:t>
      </w:r>
      <w:r>
        <w:rPr>
          <w:spacing w:val="-11"/>
          <w:sz w:val="21"/>
        </w:rPr>
        <w:t>持有人的赎回申请，应当按照其申请赎回份额占当日申请赎回总份额的比例，确定该单个基 </w:t>
      </w:r>
      <w:r>
        <w:rPr>
          <w:spacing w:val="-16"/>
          <w:sz w:val="21"/>
        </w:rPr>
        <w:t>金份额持有人当日办理的赎回份额；投资者未能赎回部分，除投资者在提交赎回申请时选择 </w:t>
      </w:r>
      <w:r>
        <w:rPr>
          <w:spacing w:val="-18"/>
          <w:sz w:val="21"/>
        </w:rPr>
        <w:t>将当日未获办理部分予以撤销外，延迟至下一个开放日办理，赎回价格为下一个开放日该类 </w:t>
      </w:r>
      <w:r>
        <w:rPr>
          <w:sz w:val="21"/>
        </w:rPr>
        <w:t>基金份额的价格。依照上述规定转入下一个开放日的赎回不享有赎回优先权，并以此类推， 直到全部赎回为止。部分顺延赎回不受单笔赎回最低份额的限制。</w:t>
      </w:r>
    </w:p>
    <w:p>
      <w:pPr>
        <w:pStyle w:val="BodyText"/>
        <w:spacing w:line="265" w:lineRule="exact"/>
      </w:pPr>
      <w:r>
        <w:rPr/>
        <w:t>深圳证券交易所、基金登记结算机构另有规定的，从其规定。</w:t>
      </w:r>
    </w:p>
    <w:p>
      <w:pPr>
        <w:pStyle w:val="BodyText"/>
        <w:spacing w:before="138"/>
      </w:pPr>
      <w:r>
        <w:rPr>
          <w:spacing w:val="2"/>
        </w:rPr>
        <w:t>若本基金发生巨额赎回且单个基金份额持有人的赎回申请超过上一开放日基金总份额</w:t>
      </w:r>
    </w:p>
    <w:p>
      <w:pPr>
        <w:pStyle w:val="BodyText"/>
        <w:spacing w:before="139"/>
        <w:ind w:left="376"/>
      </w:pPr>
      <w:r>
        <w:rPr/>
        <w:t>10%的，基金管理人有权对该单个基金份额持有人超出该比例的赎回申请实施延期办理，对</w:t>
      </w:r>
    </w:p>
    <w:p>
      <w:pPr>
        <w:spacing w:after="0"/>
        <w:sectPr>
          <w:pgSz w:w="11910" w:h="16840"/>
          <w:pgMar w:header="0" w:footer="1118" w:top="1380" w:bottom="1380" w:left="1420" w:right="1000"/>
        </w:sectPr>
      </w:pPr>
    </w:p>
    <w:p>
      <w:pPr>
        <w:pStyle w:val="BodyText"/>
        <w:spacing w:before="45"/>
        <w:ind w:left="376"/>
      </w:pPr>
      <w:r>
        <w:rPr/>
        <w:t>该单个基金份额持有人剩余赎回申请与其他账户赎回申请按前述条款处理。</w:t>
      </w:r>
    </w:p>
    <w:p>
      <w:pPr>
        <w:pStyle w:val="ListParagraph"/>
        <w:numPr>
          <w:ilvl w:val="2"/>
          <w:numId w:val="27"/>
        </w:numPr>
        <w:tabs>
          <w:tab w:pos="1323" w:val="left" w:leader="none"/>
        </w:tabs>
        <w:spacing w:line="364" w:lineRule="auto" w:before="139" w:after="0"/>
        <w:ind w:left="376" w:right="585" w:firstLine="420"/>
        <w:jc w:val="left"/>
        <w:rPr>
          <w:sz w:val="21"/>
        </w:rPr>
      </w:pPr>
      <w:r>
        <w:rPr>
          <w:spacing w:val="-10"/>
          <w:sz w:val="21"/>
        </w:rPr>
        <w:t>巨额赎回的公告：当发生巨额赎回并顺延赎回时，基金管理人应在</w:t>
      </w:r>
      <w:r>
        <w:rPr>
          <w:sz w:val="21"/>
        </w:rPr>
        <w:t>2日内通过指定 媒介刊登公告，并通过邮寄、传真或《招募说明书》规定的其他方式通知基金份额持有人， 并说明有关处理方法。</w:t>
      </w:r>
    </w:p>
    <w:p>
      <w:pPr>
        <w:pStyle w:val="BodyText"/>
        <w:spacing w:line="364" w:lineRule="auto"/>
        <w:ind w:left="376" w:right="794" w:firstLine="420"/>
        <w:jc w:val="both"/>
      </w:pPr>
      <w:r>
        <w:rPr/>
        <w:t>本基金连续2个开放日以上发生巨额赎回，如基金管理人认为有必要，可暂停接受赎回</w:t>
      </w:r>
      <w:r>
        <w:rPr>
          <w:spacing w:val="-10"/>
        </w:rPr>
        <w:t>申请；已经接受的赎回申请可以延缓支付赎回款项，但支付时间不得超过</w:t>
      </w:r>
      <w:r>
        <w:rPr/>
        <w:t>20</w:t>
      </w:r>
      <w:r>
        <w:rPr>
          <w:spacing w:val="-3"/>
        </w:rPr>
        <w:t>个工作日，并应</w:t>
      </w:r>
      <w:r>
        <w:rPr/>
        <w:t>当在指定媒介上公告。</w:t>
      </w:r>
    </w:p>
    <w:p>
      <w:pPr>
        <w:pStyle w:val="Heading2"/>
        <w:tabs>
          <w:tab w:pos="1636" w:val="left" w:leader="none"/>
        </w:tabs>
        <w:spacing w:line="358" w:lineRule="exact"/>
      </w:pPr>
      <w:bookmarkStart w:name="_bookmark49" w:id="50"/>
      <w:bookmarkEnd w:id="50"/>
      <w:r>
        <w:rPr/>
      </w:r>
      <w:r>
        <w:rPr/>
        <w:t>十四、</w:t>
        <w:tab/>
        <w:t>其他暂停申购和赎回的情形及处理方式</w:t>
      </w:r>
    </w:p>
    <w:p>
      <w:pPr>
        <w:pStyle w:val="BodyText"/>
        <w:spacing w:line="364" w:lineRule="auto" w:before="184"/>
        <w:ind w:left="376" w:right="794" w:firstLine="420"/>
        <w:jc w:val="both"/>
      </w:pPr>
      <w:r>
        <w:rPr>
          <w:spacing w:val="-12"/>
        </w:rPr>
        <w:t>发生《基金合同》或《招募说明书》中未予载明的事项，但基金管理人有正当理由认为</w:t>
      </w:r>
      <w:r>
        <w:rPr>
          <w:spacing w:val="-8"/>
        </w:rPr>
        <w:t>需要暂停基金申购、赎回的，可以经届时有效的合法程序宣布暂停接受投资者的申购、赎回</w:t>
      </w:r>
      <w:r>
        <w:rPr/>
        <w:t>申请。</w:t>
      </w:r>
    </w:p>
    <w:p>
      <w:pPr>
        <w:pStyle w:val="Heading2"/>
        <w:tabs>
          <w:tab w:pos="1636" w:val="left" w:leader="none"/>
        </w:tabs>
        <w:spacing w:line="358" w:lineRule="exact"/>
      </w:pPr>
      <w:bookmarkStart w:name="_bookmark50" w:id="51"/>
      <w:bookmarkEnd w:id="51"/>
      <w:r>
        <w:rPr/>
      </w:r>
      <w:r>
        <w:rPr/>
        <w:t>十五、</w:t>
        <w:tab/>
        <w:t>重新开放申购或赎回的公告</w:t>
      </w:r>
    </w:p>
    <w:p>
      <w:pPr>
        <w:pStyle w:val="BodyText"/>
        <w:spacing w:line="364" w:lineRule="auto" w:before="185"/>
        <w:ind w:left="376" w:right="794" w:firstLine="420"/>
      </w:pPr>
      <w:r>
        <w:rPr>
          <w:spacing w:val="-9"/>
        </w:rPr>
        <w:t>如发生暂停的时间为一天，基金管理人应于重新开放日在指定媒介刊登基金重新开放申</w:t>
      </w:r>
      <w:r>
        <w:rPr/>
        <w:t>购或赎回的公告并公布最近一个开放日的基金份额净值。</w:t>
      </w:r>
    </w:p>
    <w:p>
      <w:pPr>
        <w:pStyle w:val="BodyText"/>
        <w:spacing w:line="364" w:lineRule="auto"/>
        <w:ind w:left="376" w:right="794" w:firstLine="420"/>
        <w:jc w:val="both"/>
      </w:pPr>
      <w:r>
        <w:rPr>
          <w:spacing w:val="-6"/>
        </w:rPr>
        <w:t>如发生暂停的时间超过一天但少于两周，暂停结束，基金重新开放申购或赎回时，基金</w:t>
      </w:r>
      <w:r>
        <w:rPr>
          <w:spacing w:val="-5"/>
        </w:rPr>
        <w:t>管理人应提前在指定媒介上刊登基金重新开放申购或赎回的公告，并在重新开始办理申购或</w:t>
      </w:r>
      <w:r>
        <w:rPr/>
        <w:t>赎回的开放日公告最近一个开放日的基金份额净值。</w:t>
      </w:r>
    </w:p>
    <w:p>
      <w:pPr>
        <w:pStyle w:val="BodyText"/>
        <w:spacing w:line="364" w:lineRule="auto"/>
        <w:ind w:left="376" w:right="794" w:firstLine="420"/>
        <w:jc w:val="both"/>
      </w:pPr>
      <w:r>
        <w:rPr/>
        <w:t>如发生暂停的时间超过两周（含两周</w:t>
      </w:r>
      <w:r>
        <w:rPr>
          <w:spacing w:val="-105"/>
        </w:rPr>
        <w:t>）</w:t>
      </w:r>
      <w:r>
        <w:rPr/>
        <w:t>，暂停期间，基金管理人应每两周至少重复刊登</w:t>
      </w:r>
      <w:r>
        <w:rPr>
          <w:spacing w:val="-10"/>
        </w:rPr>
        <w:t>暂停公告一次；当连续暂停时间超过四周</w:t>
      </w:r>
      <w:r>
        <w:rPr/>
        <w:t>（含四周）</w:t>
      </w:r>
      <w:r>
        <w:rPr>
          <w:spacing w:val="-1"/>
        </w:rPr>
        <w:t>时，可对重复刊登暂停公告的频率进行</w:t>
      </w:r>
      <w:r>
        <w:rPr>
          <w:spacing w:val="-10"/>
        </w:rPr>
        <w:t>调整。暂停结束基金重新开放申购或赎回时，基金管理人应提在指定媒介刊登基金重新开放</w:t>
      </w:r>
      <w:r>
        <w:rPr/>
        <w:t>申购或赎回的公告，并在重新开放申购或赎回日公告最近一个开放日的基金份额净值。</w:t>
      </w:r>
    </w:p>
    <w:p>
      <w:pPr>
        <w:pStyle w:val="Heading2"/>
        <w:tabs>
          <w:tab w:pos="1636" w:val="left" w:leader="none"/>
        </w:tabs>
        <w:spacing w:line="358" w:lineRule="exact"/>
      </w:pPr>
      <w:bookmarkStart w:name="_bookmark51" w:id="52"/>
      <w:bookmarkEnd w:id="52"/>
      <w:r>
        <w:rPr/>
      </w:r>
      <w:r>
        <w:rPr/>
        <w:t>十六、</w:t>
        <w:tab/>
        <w:t>基金的转换</w:t>
      </w:r>
    </w:p>
    <w:p>
      <w:pPr>
        <w:pStyle w:val="BodyText"/>
        <w:spacing w:line="364" w:lineRule="auto" w:before="182"/>
        <w:ind w:left="376" w:right="794" w:firstLine="420"/>
        <w:jc w:val="both"/>
      </w:pPr>
      <w:r>
        <w:rPr>
          <w:spacing w:val="-8"/>
        </w:rPr>
        <w:t>为方便基金份额持有人，未来在各项技术条件和准备完备的情况下，投资者可以依照基</w:t>
      </w:r>
      <w:r>
        <w:rPr>
          <w:spacing w:val="-4"/>
        </w:rPr>
        <w:t>金管理人的有关规定选择在本基金和基金管理人管理的其他基金之间进行基金转换。基金转</w:t>
      </w:r>
      <w:r>
        <w:rPr/>
        <w:t>换的条件、数额限制、转换费率等具体规定可以由基金管理人届时另行规定并公告。</w:t>
      </w:r>
    </w:p>
    <w:p>
      <w:pPr>
        <w:pStyle w:val="Heading2"/>
        <w:tabs>
          <w:tab w:pos="1636" w:val="left" w:leader="none"/>
        </w:tabs>
        <w:spacing w:line="358" w:lineRule="exact"/>
      </w:pPr>
      <w:bookmarkStart w:name="_bookmark52" w:id="53"/>
      <w:bookmarkEnd w:id="53"/>
      <w:r>
        <w:rPr/>
      </w:r>
      <w:r>
        <w:rPr/>
        <w:t>十七、</w:t>
        <w:tab/>
        <w:t>转托管</w:t>
      </w:r>
    </w:p>
    <w:p>
      <w:pPr>
        <w:pStyle w:val="BodyText"/>
        <w:spacing w:before="1"/>
        <w:ind w:left="0"/>
        <w:rPr>
          <w:sz w:val="22"/>
        </w:rPr>
      </w:pPr>
    </w:p>
    <w:p>
      <w:pPr>
        <w:pStyle w:val="BodyText"/>
      </w:pPr>
      <w:r>
        <w:rPr/>
        <w:t>1、A 类美元份额、C 类美元份额、C 类人民币份额</w:t>
      </w:r>
    </w:p>
    <w:p>
      <w:pPr>
        <w:pStyle w:val="BodyText"/>
        <w:spacing w:line="364" w:lineRule="auto" w:before="101"/>
        <w:ind w:left="376" w:right="795" w:firstLine="420"/>
      </w:pPr>
      <w:r>
        <w:rPr/>
        <w:t>基金份额持有人可以办理A类美元份额、C类美元份额、C类人民币份额在该类份额的不同销售机构的转托管手续。基金销售机构可以按照其业务规则规定的标准收取转托管费。</w:t>
      </w:r>
    </w:p>
    <w:p>
      <w:pPr>
        <w:pStyle w:val="BodyText"/>
        <w:spacing w:line="268" w:lineRule="exact"/>
      </w:pPr>
      <w:r>
        <w:rPr/>
        <w:t>2、A类人民币份额</w:t>
      </w:r>
    </w:p>
    <w:p>
      <w:pPr>
        <w:pStyle w:val="ListParagraph"/>
        <w:numPr>
          <w:ilvl w:val="0"/>
          <w:numId w:val="28"/>
        </w:numPr>
        <w:tabs>
          <w:tab w:pos="1323" w:val="left" w:leader="none"/>
        </w:tabs>
        <w:spacing w:line="240" w:lineRule="auto" w:before="139" w:after="0"/>
        <w:ind w:left="1323" w:right="0" w:hanging="527"/>
        <w:jc w:val="left"/>
        <w:rPr>
          <w:sz w:val="21"/>
        </w:rPr>
      </w:pPr>
      <w:r>
        <w:rPr>
          <w:sz w:val="21"/>
        </w:rPr>
        <w:t>系统内转托管</w:t>
      </w:r>
    </w:p>
    <w:p>
      <w:pPr>
        <w:pStyle w:val="ListParagraph"/>
        <w:numPr>
          <w:ilvl w:val="0"/>
          <w:numId w:val="29"/>
        </w:numPr>
        <w:tabs>
          <w:tab w:pos="1113" w:val="left" w:leader="none"/>
        </w:tabs>
        <w:spacing w:line="240" w:lineRule="auto" w:before="140" w:after="0"/>
        <w:ind w:left="1113" w:right="0" w:hanging="317"/>
        <w:jc w:val="left"/>
        <w:rPr>
          <w:sz w:val="21"/>
        </w:rPr>
      </w:pPr>
      <w:r>
        <w:rPr>
          <w:sz w:val="21"/>
        </w:rPr>
        <w:t>系统内转托管是指持有人将其持有的A类人民币份额在登记结算系统内不同销售机构</w:t>
      </w:r>
    </w:p>
    <w:p>
      <w:pPr>
        <w:pStyle w:val="BodyText"/>
        <w:spacing w:before="139"/>
        <w:ind w:left="376"/>
      </w:pPr>
      <w:r>
        <w:rPr/>
        <w:t>（网点）之间或证券登记系统内不同会员单位（席位）之间进行转托管的行为。</w:t>
      </w:r>
    </w:p>
    <w:p>
      <w:pPr>
        <w:spacing w:after="0"/>
        <w:sectPr>
          <w:pgSz w:w="11910" w:h="16840"/>
          <w:pgMar w:header="0" w:footer="1118" w:top="1380" w:bottom="1380" w:left="1420" w:right="1000"/>
        </w:sectPr>
      </w:pPr>
    </w:p>
    <w:p>
      <w:pPr>
        <w:pStyle w:val="ListParagraph"/>
        <w:numPr>
          <w:ilvl w:val="0"/>
          <w:numId w:val="29"/>
        </w:numPr>
        <w:tabs>
          <w:tab w:pos="1117" w:val="left" w:leader="none"/>
        </w:tabs>
        <w:spacing w:line="364" w:lineRule="auto" w:before="45" w:after="0"/>
        <w:ind w:left="376" w:right="479" w:firstLine="420"/>
        <w:jc w:val="left"/>
        <w:rPr>
          <w:sz w:val="21"/>
        </w:rPr>
      </w:pPr>
      <w:r>
        <w:rPr>
          <w:sz w:val="21"/>
        </w:rPr>
        <w:t>份额登记在证券登记系统的</w:t>
      </w:r>
      <w:r>
        <w:rPr>
          <w:spacing w:val="3"/>
          <w:sz w:val="21"/>
        </w:rPr>
        <w:t>A类人民币份额持有人在变更办理上市交易的会员单位时</w:t>
      </w:r>
      <w:r>
        <w:rPr>
          <w:sz w:val="21"/>
        </w:rPr>
        <w:t>，可办理已持有基金份额的系统内转托管。</w:t>
      </w:r>
    </w:p>
    <w:p>
      <w:pPr>
        <w:pStyle w:val="ListParagraph"/>
        <w:numPr>
          <w:ilvl w:val="0"/>
          <w:numId w:val="28"/>
        </w:numPr>
        <w:tabs>
          <w:tab w:pos="1323" w:val="left" w:leader="none"/>
        </w:tabs>
        <w:spacing w:line="268" w:lineRule="exact" w:before="0" w:after="0"/>
        <w:ind w:left="1323" w:right="0" w:hanging="527"/>
        <w:jc w:val="left"/>
        <w:rPr>
          <w:sz w:val="21"/>
        </w:rPr>
      </w:pPr>
      <w:r>
        <w:rPr>
          <w:sz w:val="21"/>
        </w:rPr>
        <w:t>跨系统转托管</w:t>
      </w:r>
    </w:p>
    <w:p>
      <w:pPr>
        <w:pStyle w:val="BodyText"/>
        <w:spacing w:line="364" w:lineRule="auto" w:before="139"/>
        <w:ind w:left="376" w:right="795" w:firstLine="420"/>
      </w:pPr>
      <w:r>
        <w:rPr/>
        <w:t>跨系统转托管是指持有人将其持有的A类人民币份额在登记结算系统和证券登记系统之间进行转托管的行为。</w:t>
      </w:r>
    </w:p>
    <w:p>
      <w:pPr>
        <w:pStyle w:val="BodyText"/>
        <w:spacing w:line="451" w:lineRule="auto"/>
        <w:ind w:right="585"/>
      </w:pPr>
      <w:r>
        <w:rPr/>
        <w:t>本基金A类人民币份额跨系统转托管的具体业务按照基金登记结算机构的相关规定办理。</w:t>
      </w:r>
      <w:r>
        <w:rPr>
          <w:spacing w:val="-8"/>
        </w:rPr>
        <w:t>除非基金管理人另行公告，本基金不支持基金份额持有人将持有的基金份额在中国证券</w:t>
      </w:r>
    </w:p>
    <w:p>
      <w:pPr>
        <w:pStyle w:val="BodyText"/>
        <w:spacing w:line="232" w:lineRule="exact"/>
        <w:ind w:left="376"/>
      </w:pPr>
      <w:r>
        <w:rPr>
          <w:spacing w:val="2"/>
        </w:rPr>
        <w:t>登记结算有限责任公司的登记结算系统或证券登记系统与易方达基金管理有限公司注册登</w:t>
      </w:r>
    </w:p>
    <w:p>
      <w:pPr>
        <w:pStyle w:val="BodyText"/>
        <w:spacing w:before="6"/>
        <w:ind w:left="0"/>
        <w:rPr>
          <w:sz w:val="15"/>
        </w:rPr>
      </w:pPr>
    </w:p>
    <w:p>
      <w:pPr>
        <w:pStyle w:val="BodyText"/>
        <w:ind w:left="376"/>
      </w:pPr>
      <w:r>
        <w:rPr/>
        <w:t>记系统之间进行转托管。</w:t>
      </w:r>
    </w:p>
    <w:p>
      <w:pPr>
        <w:pStyle w:val="BodyText"/>
        <w:spacing w:before="101"/>
      </w:pPr>
      <w:r>
        <w:rPr/>
        <w:t>3、基金销售机构或基金登记结算机构有权对办理转托管业务收取相关费用。</w:t>
      </w:r>
    </w:p>
    <w:p>
      <w:pPr>
        <w:pStyle w:val="Heading2"/>
        <w:tabs>
          <w:tab w:pos="1636" w:val="left" w:leader="none"/>
        </w:tabs>
        <w:spacing w:before="141"/>
      </w:pPr>
      <w:bookmarkStart w:name="_bookmark53" w:id="54"/>
      <w:bookmarkEnd w:id="54"/>
      <w:r>
        <w:rPr/>
      </w:r>
      <w:r>
        <w:rPr/>
        <w:t>十八、</w:t>
        <w:tab/>
        <w:t>定期定额投资计划</w:t>
      </w:r>
    </w:p>
    <w:p>
      <w:pPr>
        <w:pStyle w:val="BodyText"/>
        <w:spacing w:line="364" w:lineRule="auto" w:before="185"/>
        <w:ind w:left="376" w:right="689" w:firstLine="420"/>
        <w:jc w:val="both"/>
      </w:pPr>
      <w:r>
        <w:rPr>
          <w:spacing w:val="-3"/>
        </w:rPr>
        <w:t>基金管理人可利用非直销销售机构的销售网点和本公司网上交易系统</w:t>
      </w:r>
      <w:r>
        <w:rPr/>
        <w:t>（目前仅对个人投资者开通</w:t>
      </w:r>
      <w:r>
        <w:rPr>
          <w:spacing w:val="-45"/>
        </w:rPr>
        <w:t>）</w:t>
      </w:r>
      <w:r>
        <w:rPr>
          <w:spacing w:val="-3"/>
        </w:rPr>
        <w:t>为投资者提供定期定额投资的服务。本基金</w:t>
      </w:r>
      <w:r>
        <w:rPr/>
        <w:t>A类人民币份额已于2011年7月21日开</w:t>
      </w:r>
      <w:r>
        <w:rPr>
          <w:spacing w:val="-7"/>
        </w:rPr>
        <w:t>通定期定额投资业务，本基金</w:t>
      </w:r>
      <w:r>
        <w:rPr/>
        <w:t>C</w:t>
      </w:r>
      <w:r>
        <w:rPr>
          <w:spacing w:val="-10"/>
        </w:rPr>
        <w:t>类人民币份额、</w:t>
      </w:r>
      <w:r>
        <w:rPr/>
        <w:t>A</w:t>
      </w:r>
      <w:r>
        <w:rPr>
          <w:spacing w:val="-11"/>
        </w:rPr>
        <w:t>类美元份额、</w:t>
      </w:r>
      <w:r>
        <w:rPr/>
        <w:t>C类美元份额已于2019年10月11 </w:t>
      </w:r>
      <w:r>
        <w:rPr>
          <w:spacing w:val="-6"/>
        </w:rPr>
        <w:t>日开通定期定额投资业务，通过定期定额投资计划，投资者可以通过固定的渠道，定期定额申购基金份额，详见《易方达基金管理有限公司关于易方达黄金主题证券投资基金（LOF） </w:t>
      </w:r>
      <w:r>
        <w:rPr>
          <w:spacing w:val="-16"/>
        </w:rPr>
        <w:t>开放日常申购、赎回和定期定额投资业务的公告》及其他有关基金定期定额投资业务的公告。</w:t>
      </w:r>
    </w:p>
    <w:p>
      <w:pPr>
        <w:pStyle w:val="Heading2"/>
        <w:tabs>
          <w:tab w:pos="1636" w:val="left" w:leader="none"/>
        </w:tabs>
        <w:spacing w:line="357" w:lineRule="exact"/>
      </w:pPr>
      <w:bookmarkStart w:name="_bookmark54" w:id="55"/>
      <w:bookmarkEnd w:id="55"/>
      <w:r>
        <w:rPr/>
      </w:r>
      <w:r>
        <w:rPr/>
        <w:t>十九、</w:t>
        <w:tab/>
        <w:t>基金的非交易过户</w:t>
      </w:r>
    </w:p>
    <w:p>
      <w:pPr>
        <w:pStyle w:val="BodyText"/>
        <w:spacing w:line="364" w:lineRule="auto" w:before="185"/>
        <w:ind w:left="376" w:right="585" w:firstLine="420"/>
      </w:pPr>
      <w:r>
        <w:rPr>
          <w:spacing w:val="-4"/>
        </w:rPr>
        <w:t>基金的非交易过户是指基金登记结算机构受理继承、捐赠和司法强制执行而产生的非交 </w:t>
      </w:r>
      <w:r>
        <w:rPr/>
        <w:t>易过户以及登记结算机构认可、符合法律法规的其他非交易过户。无论在上述何种情况下， 接受划转的主体必须是依法可以持有本基金基金份额的投资人。</w:t>
      </w:r>
    </w:p>
    <w:p>
      <w:pPr>
        <w:pStyle w:val="BodyText"/>
        <w:spacing w:line="364" w:lineRule="auto"/>
        <w:ind w:left="376" w:right="585" w:firstLine="420"/>
      </w:pPr>
      <w:r>
        <w:rPr>
          <w:spacing w:val="2"/>
        </w:rPr>
        <w:t>“继承”指基金份额持有人死亡，其持有的基金份额由其合法的继承人继承；“捐赠” 指基金份额持有人将其合法持有的基金份额捐赠给福利性质的基金会或社会团体的情形； </w:t>
      </w:r>
      <w:r>
        <w:rPr>
          <w:spacing w:val="-9"/>
        </w:rPr>
        <w:t>“司法强制执行”是指司法机构依据生效司法文书将基金份额持有人持有的基金份额强制划 </w:t>
      </w:r>
      <w:r>
        <w:rPr>
          <w:spacing w:val="-14"/>
        </w:rPr>
        <w:t>转给其他自然人、法人或其他组织。办理非交易过户必须提供登记结算机构要求提供的相关 </w:t>
      </w:r>
      <w:r>
        <w:rPr>
          <w:spacing w:val="-11"/>
        </w:rPr>
        <w:t>资料，对于符合条件的非交易过户申请按登记结算机构的规定办理，并按登记结算机构规定 的标准收费。</w:t>
      </w:r>
    </w:p>
    <w:p>
      <w:pPr>
        <w:pStyle w:val="Heading2"/>
        <w:tabs>
          <w:tab w:pos="1636" w:val="left" w:leader="none"/>
        </w:tabs>
        <w:spacing w:line="357" w:lineRule="exact"/>
      </w:pPr>
      <w:bookmarkStart w:name="_bookmark55" w:id="56"/>
      <w:bookmarkEnd w:id="56"/>
      <w:r>
        <w:rPr/>
      </w:r>
      <w:r>
        <w:rPr/>
        <w:t>二十、</w:t>
        <w:tab/>
        <w:t>基金的冻结与解冻</w:t>
      </w:r>
    </w:p>
    <w:p>
      <w:pPr>
        <w:pStyle w:val="BodyText"/>
        <w:spacing w:line="364" w:lineRule="auto" w:before="183"/>
        <w:ind w:left="376" w:right="794" w:firstLine="420"/>
        <w:jc w:val="both"/>
      </w:pPr>
      <w:r>
        <w:rPr>
          <w:spacing w:val="2"/>
        </w:rPr>
        <w:t>基金登记结算机构只受理国家有权机关依法要求的基金份额的冻结与解冻以及登记结</w:t>
      </w:r>
      <w:r>
        <w:rPr>
          <w:spacing w:val="-8"/>
        </w:rPr>
        <w:t>算机构认可、符合法律法规的其他情况下的冻结与解冻。基金份额被冻结的，被冻结部分产</w:t>
      </w:r>
      <w:r>
        <w:rPr>
          <w:spacing w:val="-7"/>
        </w:rPr>
        <w:t>生的权益按照我国法律法规、监管规章及国家有权机关的要求，以及登记结算机构业务规定</w:t>
      </w:r>
      <w:r>
        <w:rPr/>
        <w:t>来决定是否冻结。</w:t>
      </w:r>
    </w:p>
    <w:p>
      <w:pPr>
        <w:spacing w:after="0" w:line="364" w:lineRule="auto"/>
        <w:jc w:val="both"/>
        <w:sectPr>
          <w:pgSz w:w="11910" w:h="16840"/>
          <w:pgMar w:header="0" w:footer="1118" w:top="1380" w:bottom="1380" w:left="1420" w:right="1000"/>
        </w:sectPr>
      </w:pPr>
    </w:p>
    <w:p>
      <w:pPr>
        <w:pStyle w:val="Heading2"/>
        <w:spacing w:before="46"/>
      </w:pPr>
      <w:bookmarkStart w:name="_bookmark56" w:id="57"/>
      <w:bookmarkEnd w:id="57"/>
      <w:r>
        <w:rPr/>
      </w:r>
      <w:r>
        <w:rPr/>
        <w:t>二十一、 其他特殊业务</w:t>
      </w:r>
    </w:p>
    <w:p>
      <w:pPr>
        <w:pStyle w:val="BodyText"/>
        <w:spacing w:line="364" w:lineRule="auto" w:before="185"/>
        <w:ind w:left="376" w:right="794" w:firstLine="420"/>
      </w:pPr>
      <w:r>
        <w:rPr>
          <w:spacing w:val="-7"/>
        </w:rPr>
        <w:t>在相关法律法规允许的条件下，基金登记结算机构可依据其业务规则，受理基金份额质</w:t>
      </w:r>
      <w:r>
        <w:rPr/>
        <w:t>押等业务，并收取一定的手续费用。</w:t>
      </w:r>
    </w:p>
    <w:p>
      <w:pPr>
        <w:spacing w:after="0" w:line="364" w:lineRule="auto"/>
        <w:sectPr>
          <w:pgSz w:w="11910" w:h="16840"/>
          <w:pgMar w:header="0" w:footer="1118" w:top="1380" w:bottom="1380" w:left="1420" w:right="1000"/>
        </w:sectPr>
      </w:pPr>
    </w:p>
    <w:p>
      <w:pPr>
        <w:pStyle w:val="Heading1"/>
        <w:tabs>
          <w:tab w:pos="1679" w:val="left" w:leader="none"/>
        </w:tabs>
      </w:pPr>
      <w:bookmarkStart w:name="_bookmark57" w:id="58"/>
      <w:bookmarkEnd w:id="58"/>
      <w:r>
        <w:rPr>
          <w:b w:val="0"/>
        </w:rPr>
      </w:r>
      <w:r>
        <w:rPr/>
        <w:t>第十二节</w:t>
        <w:tab/>
        <w:t>基金的费用与税收</w:t>
      </w:r>
    </w:p>
    <w:p>
      <w:pPr>
        <w:pStyle w:val="Heading2"/>
        <w:tabs>
          <w:tab w:pos="1216" w:val="left" w:leader="none"/>
        </w:tabs>
        <w:spacing w:before="139"/>
      </w:pPr>
      <w:bookmarkStart w:name="_bookmark58" w:id="59"/>
      <w:bookmarkEnd w:id="59"/>
      <w:r>
        <w:rPr/>
      </w:r>
      <w:r>
        <w:rPr/>
        <w:t>一、</w:t>
        <w:tab/>
        <w:t>与基金运作相关的费用</w:t>
      </w:r>
    </w:p>
    <w:p>
      <w:pPr>
        <w:pStyle w:val="BodyText"/>
        <w:spacing w:before="185"/>
      </w:pPr>
      <w:r>
        <w:rPr/>
        <w:t>（一）基金费用的种类</w:t>
      </w:r>
    </w:p>
    <w:p>
      <w:pPr>
        <w:pStyle w:val="BodyText"/>
        <w:spacing w:before="139"/>
      </w:pPr>
      <w:r>
        <w:rPr/>
        <w:t>1、基金的管理费；</w:t>
      </w:r>
    </w:p>
    <w:p>
      <w:pPr>
        <w:pStyle w:val="BodyText"/>
        <w:spacing w:before="139"/>
      </w:pPr>
      <w:r>
        <w:rPr/>
        <w:t>2、基金的托管费；</w:t>
      </w:r>
    </w:p>
    <w:p>
      <w:pPr>
        <w:pStyle w:val="BodyText"/>
        <w:spacing w:before="140"/>
      </w:pPr>
      <w:r>
        <w:rPr/>
        <w:t>3、销售服务费</w:t>
      </w:r>
    </w:p>
    <w:p>
      <w:pPr>
        <w:pStyle w:val="BodyText"/>
        <w:spacing w:before="139"/>
      </w:pPr>
      <w:r>
        <w:rPr/>
        <w:t>4、《基金合同》生效以后与基金相关的信息披露费用；</w:t>
      </w:r>
    </w:p>
    <w:p>
      <w:pPr>
        <w:pStyle w:val="BodyText"/>
        <w:spacing w:before="140"/>
      </w:pPr>
      <w:r>
        <w:rPr/>
        <w:t>5、《基金合同》生效以后与基金相关的会计师费、律师费等；</w:t>
      </w:r>
    </w:p>
    <w:p>
      <w:pPr>
        <w:pStyle w:val="BodyText"/>
        <w:spacing w:line="364" w:lineRule="auto" w:before="139"/>
        <w:ind w:left="376" w:right="795" w:firstLine="420"/>
      </w:pPr>
      <w:r>
        <w:rPr/>
        <w:t>6、基金依照有关法律法规应当缴纳或预提的任何税收、征费及相关的利息、费用和罚金，以及直接为处理基金税务事项产生的税务代理费；</w:t>
      </w:r>
    </w:p>
    <w:p>
      <w:pPr>
        <w:pStyle w:val="BodyText"/>
        <w:spacing w:line="268" w:lineRule="exact"/>
      </w:pPr>
      <w:r>
        <w:rPr/>
        <w:t>7、基金份额持有人大会费用；</w:t>
      </w:r>
    </w:p>
    <w:p>
      <w:pPr>
        <w:pStyle w:val="BodyText"/>
        <w:spacing w:line="364" w:lineRule="auto" w:before="140"/>
        <w:ind w:left="376" w:right="795" w:firstLine="420"/>
      </w:pPr>
      <w:r>
        <w:rPr/>
        <w:t>8、基金的证券交易或结算所产生的费用，以及在境外市场的开户、交易、结算、登记等各项费用；</w:t>
      </w:r>
    </w:p>
    <w:p>
      <w:pPr>
        <w:pStyle w:val="BodyText"/>
        <w:spacing w:line="268" w:lineRule="exact"/>
      </w:pPr>
      <w:r>
        <w:rPr/>
        <w:t>9、基金的银行汇划费用；</w:t>
      </w:r>
    </w:p>
    <w:p>
      <w:pPr>
        <w:pStyle w:val="BodyText"/>
        <w:spacing w:line="364" w:lineRule="auto" w:before="139"/>
        <w:ind w:left="376" w:right="794" w:firstLine="420"/>
      </w:pPr>
      <w:r>
        <w:rPr/>
        <w:t>10</w:t>
      </w:r>
      <w:r>
        <w:rPr>
          <w:spacing w:val="-10"/>
        </w:rPr>
        <w:t>、为了基金利益，除去基金管理人与基金托管人因自身原因而导致的、与基金有关的</w:t>
      </w:r>
      <w:r>
        <w:rPr/>
        <w:t>诉讼、追索费用；</w:t>
      </w:r>
    </w:p>
    <w:p>
      <w:pPr>
        <w:pStyle w:val="BodyText"/>
        <w:spacing w:line="268" w:lineRule="exact"/>
      </w:pPr>
      <w:r>
        <w:rPr/>
        <w:t>11、外汇兑换交易的相关费用；</w:t>
      </w:r>
    </w:p>
    <w:p>
      <w:pPr>
        <w:pStyle w:val="BodyText"/>
        <w:spacing w:before="140"/>
      </w:pPr>
      <w:r>
        <w:rPr/>
        <w:t>12、基金上市费及年费；</w:t>
      </w:r>
    </w:p>
    <w:p>
      <w:pPr>
        <w:pStyle w:val="BodyText"/>
        <w:spacing w:line="364" w:lineRule="auto" w:before="139"/>
        <w:ind w:left="376" w:right="795" w:firstLine="420"/>
      </w:pPr>
      <w:r>
        <w:rPr/>
        <w:t>13</w:t>
      </w:r>
      <w:r>
        <w:rPr>
          <w:spacing w:val="-10"/>
        </w:rPr>
        <w:t>、按照国家有关规定、《基金合同》约定或行业惯例，可以在基金财产中列支的其他费用。</w:t>
      </w:r>
    </w:p>
    <w:p>
      <w:pPr>
        <w:pStyle w:val="BodyText"/>
        <w:spacing w:line="268" w:lineRule="exact"/>
      </w:pPr>
      <w:r>
        <w:rPr/>
        <w:t>本基金终止清算时所发生费用，按实际支出额从基金财产总值中扣除。</w:t>
      </w:r>
    </w:p>
    <w:p>
      <w:pPr>
        <w:pStyle w:val="BodyText"/>
        <w:spacing w:before="139"/>
      </w:pPr>
      <w:r>
        <w:rPr/>
        <w:t>注：本基金投资境外基金的相关费用按照所投资基金的规定及市场惯例执行。</w:t>
      </w:r>
    </w:p>
    <w:p>
      <w:pPr>
        <w:pStyle w:val="BodyText"/>
        <w:spacing w:before="140"/>
      </w:pPr>
      <w:r>
        <w:rPr/>
        <w:t>（二）基金费用计提方法、计提标准和支付方式</w:t>
      </w:r>
    </w:p>
    <w:p>
      <w:pPr>
        <w:pStyle w:val="BodyText"/>
        <w:spacing w:before="139"/>
      </w:pPr>
      <w:r>
        <w:rPr/>
        <w:t>1、基金的管理费</w:t>
      </w:r>
    </w:p>
    <w:p>
      <w:pPr>
        <w:pStyle w:val="BodyText"/>
        <w:spacing w:line="364" w:lineRule="auto" w:before="140"/>
        <w:ind w:left="376" w:right="714" w:firstLine="420"/>
      </w:pPr>
      <w:r>
        <w:rPr/>
        <w:t>本基金的管理费（如基金管理人委托投资顾问，包括投资顾问费）按前一日基金资产净值的1.2%年费率计提。计算方法如下：</w:t>
      </w:r>
    </w:p>
    <w:p>
      <w:pPr>
        <w:pStyle w:val="BodyText"/>
        <w:spacing w:line="268" w:lineRule="exact"/>
      </w:pPr>
      <w:r>
        <w:rPr/>
        <w:t>H＝E×1.2%÷当年天数</w:t>
      </w:r>
    </w:p>
    <w:p>
      <w:pPr>
        <w:pStyle w:val="BodyText"/>
        <w:spacing w:line="364" w:lineRule="auto" w:before="139"/>
        <w:ind w:right="5853"/>
      </w:pPr>
      <w:r>
        <w:rPr/>
        <w:t>H为每日应计提的基金的管理费E为前一日的基金资产净值</w:t>
      </w:r>
    </w:p>
    <w:p>
      <w:pPr>
        <w:pStyle w:val="BodyText"/>
        <w:spacing w:line="364" w:lineRule="auto"/>
        <w:ind w:left="376" w:right="794" w:firstLine="420"/>
      </w:pPr>
      <w:r>
        <w:rPr>
          <w:spacing w:val="-7"/>
        </w:rPr>
        <w:t>基金的管理费每日计算，逐日累计至每月月末，按月支付。经基金管理人和基金托管人</w:t>
      </w:r>
      <w:r>
        <w:rPr/>
        <w:t>核对一致后，基金托管人于次月前3个工作日内从基金财产中一次性支付给基金管理人。</w:t>
      </w:r>
    </w:p>
    <w:p>
      <w:pPr>
        <w:pStyle w:val="BodyText"/>
        <w:spacing w:line="268" w:lineRule="exact"/>
      </w:pPr>
      <w:r>
        <w:rPr/>
        <w:t>2、基金的托管费</w:t>
      </w:r>
    </w:p>
    <w:p>
      <w:pPr>
        <w:pStyle w:val="BodyText"/>
        <w:spacing w:before="139"/>
      </w:pPr>
      <w:r>
        <w:rPr/>
        <w:t>本基金的托管费（如基金托管人委托境外托管人，包括境外托管费）按前一日基金资产</w:t>
      </w:r>
    </w:p>
    <w:p>
      <w:pPr>
        <w:spacing w:after="0"/>
        <w:sectPr>
          <w:pgSz w:w="11910" w:h="16840"/>
          <w:pgMar w:header="0" w:footer="1118" w:top="1400" w:bottom="1380" w:left="1420" w:right="1000"/>
        </w:sectPr>
      </w:pPr>
    </w:p>
    <w:p>
      <w:pPr>
        <w:pStyle w:val="BodyText"/>
        <w:spacing w:before="45"/>
        <w:ind w:left="376"/>
      </w:pPr>
      <w:r>
        <w:rPr/>
        <w:t>净值的0.2%的年费率计提。托管费的计算方法如下：</w:t>
      </w:r>
    </w:p>
    <w:p>
      <w:pPr>
        <w:pStyle w:val="BodyText"/>
        <w:spacing w:before="139"/>
      </w:pPr>
      <w:r>
        <w:rPr/>
        <w:t>H＝E×0.2%÷当年天数</w:t>
      </w:r>
    </w:p>
    <w:p>
      <w:pPr>
        <w:pStyle w:val="BodyText"/>
        <w:spacing w:line="364" w:lineRule="auto" w:before="140"/>
        <w:ind w:right="6063"/>
      </w:pPr>
      <w:r>
        <w:rPr/>
        <w:t>H为每日应计提的基金托管费E为前一日的基金资产净值</w:t>
      </w:r>
    </w:p>
    <w:p>
      <w:pPr>
        <w:pStyle w:val="BodyText"/>
        <w:spacing w:line="364" w:lineRule="auto"/>
        <w:ind w:left="376" w:right="585" w:firstLine="420"/>
      </w:pPr>
      <w:r>
        <w:rPr>
          <w:spacing w:val="-6"/>
        </w:rPr>
        <w:t>基金托管费每日计提，逐日累计至每月月末，按月支付。经基金管理人和基金托管人核 对一致后，基金托管人于次月前3个工作日内从基金财产中一次性支付托管费给基金托管人。</w:t>
      </w:r>
    </w:p>
    <w:p>
      <w:pPr>
        <w:pStyle w:val="BodyText"/>
        <w:spacing w:line="268" w:lineRule="exact"/>
      </w:pPr>
      <w:r>
        <w:rPr/>
        <w:t>3、基金的销售服务费</w:t>
      </w:r>
    </w:p>
    <w:p>
      <w:pPr>
        <w:pStyle w:val="BodyText"/>
        <w:spacing w:line="364" w:lineRule="auto" w:before="138"/>
        <w:ind w:left="376" w:right="794" w:firstLine="420"/>
        <w:jc w:val="both"/>
      </w:pPr>
      <w:r>
        <w:rPr>
          <w:spacing w:val="-6"/>
        </w:rPr>
        <w:t>销售服务费可用于本基金市场推广、销售以及基金份额持有人服务等各项费用。本基金</w:t>
      </w:r>
      <w:r>
        <w:rPr>
          <w:spacing w:val="-5"/>
        </w:rPr>
        <w:t>份额分为不同的类别，适用不同的销售服务费率。其中，</w:t>
      </w:r>
      <w:r>
        <w:rPr>
          <w:spacing w:val="-11"/>
        </w:rPr>
        <w:t>A</w:t>
      </w:r>
      <w:r>
        <w:rPr>
          <w:spacing w:val="-4"/>
        </w:rPr>
        <w:t>类人民币份额、</w:t>
      </w:r>
      <w:r>
        <w:rPr/>
        <w:t>A</w:t>
      </w:r>
      <w:r>
        <w:rPr>
          <w:spacing w:val="-2"/>
        </w:rPr>
        <w:t>类美元份额均不</w:t>
      </w:r>
      <w:r>
        <w:rPr/>
        <w:t>收取销售服务费，C类人民币份额、C类美元份额的销售服务费年费率为0.1%。</w:t>
      </w:r>
    </w:p>
    <w:p>
      <w:pPr>
        <w:pStyle w:val="BodyText"/>
        <w:spacing w:line="268" w:lineRule="exact"/>
      </w:pPr>
      <w:r>
        <w:rPr/>
        <w:t>销售服务费计算方法如下：</w:t>
      </w:r>
    </w:p>
    <w:p>
      <w:pPr>
        <w:pStyle w:val="BodyText"/>
        <w:spacing w:before="140"/>
      </w:pPr>
      <w:r>
        <w:rPr/>
        <w:t>H＝E×0.1%÷当年天数</w:t>
      </w:r>
    </w:p>
    <w:p>
      <w:pPr>
        <w:pStyle w:val="BodyText"/>
        <w:spacing w:before="139"/>
      </w:pPr>
      <w:r>
        <w:rPr/>
        <w:t>H为C类基金份额每日应计提的销售服务费</w:t>
      </w:r>
    </w:p>
    <w:p>
      <w:pPr>
        <w:pStyle w:val="BodyText"/>
        <w:spacing w:before="140"/>
      </w:pPr>
      <w:r>
        <w:rPr/>
        <w:t>E为本基金C类基金份额前一日基金资产净值</w:t>
      </w:r>
    </w:p>
    <w:p>
      <w:pPr>
        <w:pStyle w:val="BodyText"/>
        <w:spacing w:line="364" w:lineRule="auto" w:before="139"/>
        <w:ind w:left="376" w:right="794" w:firstLine="420"/>
        <w:jc w:val="both"/>
      </w:pPr>
      <w:r>
        <w:rPr>
          <w:spacing w:val="-7"/>
        </w:rPr>
        <w:t>基金销售服务费每日计提，逐日累计至每月月末，按月支付。经基金管理人与基金托管</w:t>
      </w:r>
      <w:r>
        <w:rPr/>
        <w:t>人核对一致后，基金托管人按照与基金管理人协商一致的方式于次月前3个工作日内从基金</w:t>
      </w:r>
      <w:r>
        <w:rPr>
          <w:spacing w:val="-5"/>
        </w:rPr>
        <w:t>财产中一次性支付至登记结算机构，由登记结算机构代付给销售机构。若遇法定节假日、公</w:t>
      </w:r>
      <w:r>
        <w:rPr/>
        <w:t>休假等，支付日期顺延。</w:t>
      </w:r>
    </w:p>
    <w:p>
      <w:pPr>
        <w:pStyle w:val="BodyText"/>
        <w:spacing w:line="364" w:lineRule="auto"/>
        <w:ind w:left="376" w:right="795" w:firstLine="420"/>
      </w:pPr>
      <w:r>
        <w:rPr/>
        <w:t>上述“（一）基金费用的种类”中第4－13项费用，根据有关法规及相应协议的规定， 按费用实际支出金额列入当期费用，由基金托管人从基金财产中支付。</w:t>
      </w:r>
    </w:p>
    <w:p>
      <w:pPr>
        <w:pStyle w:val="BodyText"/>
        <w:spacing w:line="364" w:lineRule="auto"/>
        <w:ind w:right="5958"/>
      </w:pPr>
      <w:r>
        <w:rPr/>
        <w:t>（三）不列入基金费用的项目下列费用不列入基金费用：</w:t>
      </w:r>
    </w:p>
    <w:p>
      <w:pPr>
        <w:pStyle w:val="BodyText"/>
        <w:spacing w:line="364" w:lineRule="auto"/>
        <w:ind w:left="376" w:right="795"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line="364" w:lineRule="auto" w:before="136"/>
        <w:ind w:left="376" w:right="794" w:firstLine="420"/>
      </w:pPr>
      <w:r>
        <w:rPr/>
        <w:t>3</w:t>
      </w:r>
      <w:r>
        <w:rPr>
          <w:spacing w:val="-15"/>
        </w:rPr>
        <w:t>、《基金合同》生效前的相关费用，包括但不限于验资费、会计师和律师费、信息披露</w:t>
      </w:r>
      <w:r>
        <w:rPr/>
        <w:t>费用等费用；</w:t>
      </w:r>
    </w:p>
    <w:p>
      <w:pPr>
        <w:pStyle w:val="BodyText"/>
        <w:spacing w:line="268" w:lineRule="exact"/>
      </w:pPr>
      <w:r>
        <w:rPr/>
        <w:t>4、其他根据相关法律法规及中国证监会的有关规定不得列入基金费用的项目。</w:t>
      </w:r>
    </w:p>
    <w:p>
      <w:pPr>
        <w:pStyle w:val="BodyText"/>
        <w:spacing w:before="139"/>
      </w:pPr>
      <w:r>
        <w:rPr/>
        <w:t>（四）费用调整</w:t>
      </w:r>
    </w:p>
    <w:p>
      <w:pPr>
        <w:pStyle w:val="BodyText"/>
        <w:spacing w:line="364" w:lineRule="auto" w:before="140"/>
        <w:ind w:left="376" w:right="794" w:firstLine="420"/>
      </w:pPr>
      <w:r>
        <w:rPr>
          <w:spacing w:val="-6"/>
        </w:rPr>
        <w:t>基金管理人和基金托管人协商一致后，可根据基金发展情况调整基金管理费率、基金托</w:t>
      </w:r>
      <w:r>
        <w:rPr/>
        <w:t>管费率、销售服务费率等相关费率。</w:t>
      </w:r>
    </w:p>
    <w:p>
      <w:pPr>
        <w:pStyle w:val="BodyText"/>
        <w:spacing w:line="364" w:lineRule="auto"/>
        <w:ind w:left="376" w:right="585" w:firstLine="420"/>
      </w:pPr>
      <w:r>
        <w:rPr>
          <w:spacing w:val="2"/>
        </w:rPr>
        <w:t>调高基金管理费率、基金托管费率、销售服务费率，须召开基金份额持有人大会审议， </w:t>
      </w:r>
      <w:r>
        <w:rPr>
          <w:spacing w:val="-3"/>
        </w:rPr>
        <w:t>除非基金合同、相关法律法规或监管机构另有规定；调低基金管理费率、基金托管费率、销 售服务费率，无须召开基金份额持有人大会。</w:t>
      </w:r>
    </w:p>
    <w:p>
      <w:pPr>
        <w:spacing w:after="0" w:line="364" w:lineRule="auto"/>
        <w:sectPr>
          <w:pgSz w:w="11910" w:h="16840"/>
          <w:pgMar w:header="0" w:footer="1118" w:top="1380" w:bottom="1380" w:left="1420" w:right="1000"/>
        </w:sectPr>
      </w:pPr>
    </w:p>
    <w:p>
      <w:pPr>
        <w:pStyle w:val="BodyText"/>
        <w:spacing w:before="45"/>
      </w:pPr>
      <w:r>
        <w:rPr/>
        <w:t>基金管理人必须最迟于新的费率实施日前在指定媒介上公告。</w:t>
      </w:r>
    </w:p>
    <w:p>
      <w:pPr>
        <w:pStyle w:val="Heading2"/>
        <w:tabs>
          <w:tab w:pos="1216" w:val="left" w:leader="none"/>
        </w:tabs>
        <w:spacing w:before="141"/>
      </w:pPr>
      <w:bookmarkStart w:name="_bookmark59" w:id="60"/>
      <w:bookmarkEnd w:id="60"/>
      <w:r>
        <w:rPr/>
      </w:r>
      <w:r>
        <w:rPr/>
        <w:t>二、</w:t>
        <w:tab/>
        <w:t>与基金销售有关的费用</w:t>
      </w:r>
    </w:p>
    <w:p>
      <w:pPr>
        <w:pStyle w:val="BodyText"/>
        <w:spacing w:line="364" w:lineRule="auto" w:before="184"/>
        <w:ind w:left="376" w:right="689" w:firstLine="420"/>
      </w:pPr>
      <w:r>
        <w:rPr/>
        <w:t>1、申购费、赎回费的费率水平、收取方式和计算公式详见本招募说明书“第十节、基</w:t>
      </w:r>
      <w:r>
        <w:rPr>
          <w:spacing w:val="-14"/>
        </w:rPr>
        <w:t>金份额的申购、赎回”中的“七、申购与赎回的费率”和“八、申购份额与赎回金额的计算” </w:t>
      </w:r>
      <w:r>
        <w:rPr/>
        <w:t>的相关规定。</w:t>
      </w:r>
    </w:p>
    <w:p>
      <w:pPr>
        <w:pStyle w:val="BodyText"/>
        <w:spacing w:line="364" w:lineRule="auto"/>
        <w:ind w:left="376" w:right="689" w:firstLine="420"/>
      </w:pPr>
      <w:r>
        <w:rPr/>
        <w:t>2</w:t>
      </w:r>
      <w:r>
        <w:rPr>
          <w:spacing w:val="-11"/>
        </w:rPr>
        <w:t>、投资者通过本公司网上交易系统</w:t>
      </w:r>
      <w:hyperlink r:id="rId7">
        <w:r>
          <w:rPr>
            <w:spacing w:val="-3"/>
          </w:rPr>
          <w:t>（www.efunds.com.cn</w:t>
        </w:r>
      </w:hyperlink>
      <w:r>
        <w:rPr>
          <w:spacing w:val="-3"/>
        </w:rPr>
        <w:t>）</w:t>
      </w:r>
      <w:r>
        <w:rPr>
          <w:spacing w:val="-8"/>
        </w:rPr>
        <w:t>进行申购、赎回的交易费率， </w:t>
      </w:r>
      <w:r>
        <w:rPr/>
        <w:t>请具体参照我公司网站上的相关说明。</w:t>
      </w:r>
    </w:p>
    <w:p>
      <w:pPr>
        <w:pStyle w:val="BodyText"/>
        <w:spacing w:line="364" w:lineRule="auto"/>
        <w:ind w:left="376" w:right="795" w:firstLine="420"/>
      </w:pPr>
      <w:r>
        <w:rPr/>
        <w:t>3、基金管理人可以在基金合同规定的范围内调整上述费率。上述费率如发生变更，基金管理人应按照《信息披露办法》或其他相关规定于新的费率实施前在指定媒介公告。</w:t>
      </w:r>
    </w:p>
    <w:p>
      <w:pPr>
        <w:pStyle w:val="BodyText"/>
        <w:spacing w:line="364" w:lineRule="auto"/>
        <w:ind w:left="376" w:right="794" w:firstLine="420"/>
        <w:jc w:val="both"/>
      </w:pPr>
      <w:r>
        <w:rPr/>
        <w:t>4、基金管理人可以在不违反法律法规规定及《基金合同》约定的情形下根据市场情况</w:t>
      </w:r>
      <w:r>
        <w:rPr>
          <w:spacing w:val="-8"/>
        </w:rPr>
        <w:t>制定基金促销计划，针对基金投资者定期或不定期地开展基金促销活动。在基金促销活动期</w:t>
      </w:r>
      <w:r>
        <w:rPr>
          <w:spacing w:val="-10"/>
        </w:rPr>
        <w:t>间，基金管理人可以适当调低基金销售费率，或针对特定渠道、特定投资群体开展有差别的</w:t>
      </w:r>
      <w:r>
        <w:rPr/>
        <w:t>费率优惠活动。</w:t>
      </w:r>
    </w:p>
    <w:p>
      <w:pPr>
        <w:pStyle w:val="Heading2"/>
        <w:tabs>
          <w:tab w:pos="1216" w:val="left" w:leader="none"/>
        </w:tabs>
        <w:spacing w:line="358" w:lineRule="exact"/>
      </w:pPr>
      <w:bookmarkStart w:name="_bookmark60" w:id="61"/>
      <w:bookmarkEnd w:id="61"/>
      <w:r>
        <w:rPr/>
      </w:r>
      <w:r>
        <w:rPr/>
        <w:t>三、</w:t>
        <w:tab/>
        <w:t>基金税收</w:t>
      </w:r>
    </w:p>
    <w:p>
      <w:pPr>
        <w:pStyle w:val="BodyText"/>
        <w:spacing w:line="364" w:lineRule="auto" w:before="182"/>
        <w:ind w:right="794"/>
      </w:pPr>
      <w:r>
        <w:rPr/>
        <w:t>本基金运作过程中涉及的各纳税主体，其纳税义务按各个国家税收法律、法规执行。</w:t>
      </w:r>
      <w:r>
        <w:rPr>
          <w:spacing w:val="-6"/>
        </w:rPr>
        <w:t>除因基金管理人或基金托管人疏忽、故意行为导致的基金在税收方面造成的损失外，基</w:t>
      </w:r>
    </w:p>
    <w:p>
      <w:pPr>
        <w:pStyle w:val="BodyText"/>
        <w:spacing w:line="268" w:lineRule="exact"/>
        <w:ind w:left="376"/>
      </w:pPr>
      <w:r>
        <w:rPr/>
        <w:t>金管理人和基金托管人不承担责任。</w:t>
      </w:r>
    </w:p>
    <w:p>
      <w:pPr>
        <w:spacing w:after="0" w:line="268" w:lineRule="exact"/>
        <w:sectPr>
          <w:pgSz w:w="11910" w:h="16840"/>
          <w:pgMar w:header="0" w:footer="1118" w:top="1380" w:bottom="1380" w:left="1420" w:right="1000"/>
        </w:sectPr>
      </w:pPr>
    </w:p>
    <w:p>
      <w:pPr>
        <w:pStyle w:val="Heading1"/>
        <w:tabs>
          <w:tab w:pos="1679" w:val="left" w:leader="none"/>
        </w:tabs>
      </w:pPr>
      <w:bookmarkStart w:name="_bookmark61" w:id="62"/>
      <w:bookmarkEnd w:id="62"/>
      <w:r>
        <w:rPr>
          <w:b w:val="0"/>
        </w:rPr>
      </w:r>
      <w:r>
        <w:rPr/>
        <w:t>第十三节</w:t>
        <w:tab/>
        <w:t>基金的财产</w:t>
      </w:r>
    </w:p>
    <w:p>
      <w:pPr>
        <w:pStyle w:val="Heading2"/>
        <w:tabs>
          <w:tab w:pos="1216" w:val="left" w:leader="none"/>
        </w:tabs>
        <w:spacing w:before="139"/>
      </w:pPr>
      <w:bookmarkStart w:name="_bookmark62" w:id="63"/>
      <w:bookmarkEnd w:id="63"/>
      <w:r>
        <w:rPr/>
      </w:r>
      <w:r>
        <w:rPr/>
        <w:t>一、</w:t>
        <w:tab/>
        <w:t>基金资产总值</w:t>
      </w:r>
    </w:p>
    <w:p>
      <w:pPr>
        <w:pStyle w:val="BodyText"/>
        <w:spacing w:line="364" w:lineRule="auto" w:before="185"/>
        <w:ind w:left="376" w:right="794"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其构成主要有：</w:t>
      </w:r>
    </w:p>
    <w:p>
      <w:pPr>
        <w:pStyle w:val="BodyText"/>
        <w:spacing w:before="139"/>
      </w:pPr>
      <w:r>
        <w:rPr/>
        <w:t>1、银行存款及其应计利息；</w:t>
      </w:r>
    </w:p>
    <w:p>
      <w:pPr>
        <w:pStyle w:val="BodyText"/>
        <w:spacing w:before="139"/>
      </w:pPr>
      <w:r>
        <w:rPr/>
        <w:t>2、清算备付金及其应计利息；</w:t>
      </w:r>
    </w:p>
    <w:p>
      <w:pPr>
        <w:pStyle w:val="BodyText"/>
        <w:spacing w:before="140"/>
      </w:pPr>
      <w:r>
        <w:rPr/>
        <w:t>3、根据有关规定缴纳的保证金及其应收利息；</w:t>
      </w:r>
    </w:p>
    <w:p>
      <w:pPr>
        <w:pStyle w:val="BodyText"/>
        <w:spacing w:before="139"/>
      </w:pPr>
      <w:r>
        <w:rPr/>
        <w:t>4、应收证券交易清算款；</w:t>
      </w:r>
    </w:p>
    <w:p>
      <w:pPr>
        <w:pStyle w:val="BodyText"/>
        <w:spacing w:before="140"/>
      </w:pPr>
      <w:r>
        <w:rPr/>
        <w:t>5、应收申购款；</w:t>
      </w:r>
    </w:p>
    <w:p>
      <w:pPr>
        <w:pStyle w:val="BodyText"/>
        <w:spacing w:before="139"/>
      </w:pPr>
      <w:r>
        <w:rPr/>
        <w:t>6、基金投资及其估值调整；</w:t>
      </w:r>
    </w:p>
    <w:p>
      <w:pPr>
        <w:pStyle w:val="BodyText"/>
        <w:spacing w:before="140"/>
      </w:pPr>
      <w:r>
        <w:rPr/>
        <w:t>7、股票投资及其估值调整；</w:t>
      </w:r>
    </w:p>
    <w:p>
      <w:pPr>
        <w:pStyle w:val="BodyText"/>
        <w:spacing w:before="139"/>
      </w:pPr>
      <w:r>
        <w:rPr/>
        <w:t>8、债券投资及其估值调整和应计利息；</w:t>
      </w:r>
    </w:p>
    <w:p>
      <w:pPr>
        <w:pStyle w:val="BodyText"/>
        <w:spacing w:before="140"/>
      </w:pPr>
      <w:r>
        <w:rPr/>
        <w:t>9、其他投资及其估值调整；</w:t>
      </w:r>
    </w:p>
    <w:p>
      <w:pPr>
        <w:pStyle w:val="BodyText"/>
        <w:spacing w:before="139"/>
      </w:pPr>
      <w:r>
        <w:rPr/>
        <w:t>10、其他资产等。</w:t>
      </w:r>
    </w:p>
    <w:p>
      <w:pPr>
        <w:pStyle w:val="Heading2"/>
        <w:tabs>
          <w:tab w:pos="1216" w:val="left" w:leader="none"/>
        </w:tabs>
        <w:spacing w:before="141"/>
      </w:pPr>
      <w:bookmarkStart w:name="_bookmark63" w:id="64"/>
      <w:bookmarkEnd w:id="64"/>
      <w:r>
        <w:rPr/>
      </w:r>
      <w:r>
        <w:rPr/>
        <w:t>二、</w:t>
        <w:tab/>
        <w:t>基金资产净值</w:t>
      </w:r>
    </w:p>
    <w:p>
      <w:pPr>
        <w:pStyle w:val="BodyText"/>
        <w:spacing w:before="184"/>
      </w:pPr>
      <w:r>
        <w:rPr/>
        <w:t>基金资产净值是指基金资产总值减去基金负债后的价值。</w:t>
      </w:r>
    </w:p>
    <w:p>
      <w:pPr>
        <w:pStyle w:val="Heading2"/>
        <w:tabs>
          <w:tab w:pos="1216" w:val="left" w:leader="none"/>
        </w:tabs>
        <w:spacing w:before="141"/>
      </w:pPr>
      <w:bookmarkStart w:name="_bookmark64" w:id="65"/>
      <w:bookmarkEnd w:id="65"/>
      <w:r>
        <w:rPr/>
      </w:r>
      <w:r>
        <w:rPr/>
        <w:t>三、</w:t>
        <w:tab/>
        <w:t>基金财产的账户</w:t>
      </w:r>
    </w:p>
    <w:p>
      <w:pPr>
        <w:pStyle w:val="BodyText"/>
        <w:spacing w:line="364" w:lineRule="auto" w:before="185"/>
        <w:ind w:left="376" w:right="794" w:firstLine="420"/>
        <w:jc w:val="both"/>
      </w:pPr>
      <w:r>
        <w:rPr>
          <w:spacing w:val="-5"/>
        </w:rPr>
        <w:t>本基金根据相关法律法规开立基金资金账户及证券账户。基金托管人或境外资产托管人</w:t>
      </w:r>
      <w:r>
        <w:rPr>
          <w:spacing w:val="-4"/>
        </w:rPr>
        <w:t>按照规定或境外市场惯例开设基金财产的所有资金账户和证券账户。有关境外证券的登记结</w:t>
      </w:r>
      <w:r>
        <w:rPr/>
        <w:t>算方式应符合投资当地市场的有关法律、法规和市场惯例。</w:t>
      </w:r>
    </w:p>
    <w:p>
      <w:pPr>
        <w:pStyle w:val="BodyText"/>
        <w:spacing w:line="364" w:lineRule="auto"/>
        <w:ind w:left="376" w:right="794" w:firstLine="420"/>
      </w:pPr>
      <w:r>
        <w:rPr>
          <w:spacing w:val="-6"/>
        </w:rPr>
        <w:t>开立的基金专用账户与基金管理人、基金托管人、境外托管人、境外投资顾问、基金销</w:t>
      </w:r>
      <w:r>
        <w:rPr/>
        <w:t>售机构和基金登记结算机构自有的财产账户以及其他基金财产账户相独立。</w:t>
      </w:r>
    </w:p>
    <w:p>
      <w:pPr>
        <w:pStyle w:val="Heading2"/>
        <w:tabs>
          <w:tab w:pos="1216" w:val="left" w:leader="none"/>
        </w:tabs>
      </w:pPr>
      <w:bookmarkStart w:name="_bookmark65" w:id="66"/>
      <w:bookmarkEnd w:id="66"/>
      <w:r>
        <w:rPr/>
      </w:r>
      <w:r>
        <w:rPr/>
        <w:t>四、</w:t>
        <w:tab/>
        <w:t>基金财产的保管和处分</w:t>
      </w:r>
    </w:p>
    <w:p>
      <w:pPr>
        <w:pStyle w:val="BodyText"/>
        <w:spacing w:before="183"/>
      </w:pPr>
      <w:r>
        <w:rPr/>
        <w:t>本基金财产独立于基金管理人和基金托管人的财产，并由基金托管人保管。</w:t>
      </w:r>
    </w:p>
    <w:p>
      <w:pPr>
        <w:pStyle w:val="BodyText"/>
        <w:spacing w:line="364" w:lineRule="auto" w:before="140"/>
        <w:ind w:left="376" w:right="585" w:firstLine="420"/>
      </w:pPr>
      <w:r>
        <w:rPr>
          <w:spacing w:val="2"/>
        </w:rPr>
        <w:t>基金管理人、基金托管人、境外托管人不得将基金财产归入其固有财产；基金管理人、</w:t>
      </w:r>
      <w:r>
        <w:rPr>
          <w:spacing w:val="-7"/>
        </w:rPr>
        <w:t>基金托管人、境外托管人因基金财产的管理、运用或者其他情形而取得的财产和收益，归入 </w:t>
      </w:r>
      <w:r>
        <w:rPr>
          <w:spacing w:val="-12"/>
        </w:rPr>
        <w:t>基金财产。基金管理人、基金托管人、境外托管人、基金登记结算机构和基金销售机构以其 </w:t>
      </w:r>
      <w:r>
        <w:rPr>
          <w:spacing w:val="-16"/>
        </w:rPr>
        <w:t>自有的财产承担其自身的法律责任，其债权人不得对本基金财产行使请求冻结、扣押或其他 权利。</w:t>
      </w:r>
    </w:p>
    <w:p>
      <w:pPr>
        <w:pStyle w:val="BodyText"/>
        <w:spacing w:line="364" w:lineRule="auto"/>
        <w:ind w:left="376" w:right="794" w:firstLine="420"/>
      </w:pPr>
      <w:r>
        <w:rPr>
          <w:spacing w:val="-10"/>
        </w:rPr>
        <w:t>基金管理人、基金托管人、境外托管人因依法解散、被依法撤销或者被依法宣告破产等</w:t>
      </w:r>
      <w:r>
        <w:rPr/>
        <w:t>原因进行清算的，基金财产不属于其清算财产。</w:t>
      </w:r>
    </w:p>
    <w:p>
      <w:pPr>
        <w:spacing w:after="0" w:line="364" w:lineRule="auto"/>
        <w:sectPr>
          <w:pgSz w:w="11910" w:h="16840"/>
          <w:pgMar w:header="0" w:footer="1118" w:top="1400" w:bottom="1380" w:left="1420" w:right="1000"/>
        </w:sectPr>
      </w:pPr>
    </w:p>
    <w:p>
      <w:pPr>
        <w:pStyle w:val="BodyText"/>
        <w:spacing w:line="364" w:lineRule="auto" w:before="45"/>
        <w:ind w:left="376" w:right="794" w:firstLine="420"/>
      </w:pPr>
      <w:r>
        <w:rPr>
          <w:spacing w:val="-8"/>
        </w:rPr>
        <w:t>除依据法律法规和《基金合同》的规定处分外，基金财产不得被处分。非因基金财产本</w:t>
      </w:r>
      <w:r>
        <w:rPr/>
        <w:t>身承担的债务，不得对基金财产强制执行。</w:t>
      </w:r>
    </w:p>
    <w:p>
      <w:pPr>
        <w:pStyle w:val="BodyText"/>
        <w:spacing w:line="364" w:lineRule="auto"/>
        <w:ind w:left="376" w:right="585" w:firstLine="420"/>
      </w:pPr>
      <w:r>
        <w:rPr/>
        <w:t>基金管理人管理运作基金财产所产生的债权，不得与其固有资产产生的债务相互抵消； 基金管理人管理运作不同基金的基金财产所产生的债权债务不得相互抵消。</w:t>
      </w:r>
    </w:p>
    <w:p>
      <w:pPr>
        <w:pStyle w:val="BodyText"/>
        <w:spacing w:line="364" w:lineRule="auto"/>
        <w:ind w:left="376" w:right="603" w:firstLine="420"/>
      </w:pPr>
      <w:r>
        <w:rPr>
          <w:spacing w:val="-6"/>
        </w:rPr>
        <w:t>在符合基金合同和托管协议有关资产保管的要求下，对境外托管人的破产而产生的损失， </w:t>
      </w:r>
      <w:r>
        <w:rPr>
          <w:spacing w:val="-5"/>
        </w:rPr>
        <w:t>基金托管人应采取措施进行追偿，基金管理人配合基金托管人进行追偿，基金托管人存在故意或过失行为的，应承担相应责任。</w:t>
      </w:r>
    </w:p>
    <w:p>
      <w:pPr>
        <w:pStyle w:val="BodyText"/>
        <w:spacing w:line="364" w:lineRule="auto"/>
        <w:ind w:left="376" w:right="714" w:firstLine="420"/>
      </w:pPr>
      <w:r>
        <w:rPr/>
        <w:t>基金管理人和基金托管人可将其义务委托第三方，并对第三方处理有关本基金事务的行为承担责任。</w:t>
      </w:r>
    </w:p>
    <w:p>
      <w:pPr>
        <w:pStyle w:val="BodyText"/>
        <w:spacing w:line="364" w:lineRule="auto"/>
        <w:ind w:left="376" w:right="794" w:firstLine="420"/>
        <w:jc w:val="both"/>
      </w:pPr>
      <w:r>
        <w:rPr>
          <w:spacing w:val="-6"/>
        </w:rPr>
        <w:t>由于全球投资涉及不同投资市场和结算规则，对于非因基金管理人、基金托管人及其委</w:t>
      </w:r>
      <w:r>
        <w:rPr>
          <w:spacing w:val="-5"/>
        </w:rPr>
        <w:t>托代理人的原因造成的延迟交收等情况导致基金财产损失的，基金管理人、基金托管人不承</w:t>
      </w:r>
      <w:r>
        <w:rPr/>
        <w:t>担赔偿责任，但应当积极采取必要措施降低由此造成的影响。</w:t>
      </w:r>
    </w:p>
    <w:p>
      <w:pPr>
        <w:pStyle w:val="BodyText"/>
        <w:spacing w:line="364" w:lineRule="auto"/>
        <w:ind w:left="376" w:right="585" w:firstLine="420"/>
        <w:jc w:val="both"/>
      </w:pPr>
      <w:r>
        <w:rPr>
          <w:spacing w:val="2"/>
        </w:rPr>
        <w:t>除非基金管理人、基金托管人及其境外托管人存在过失、疏忽、欺诈或故意不当行为， </w:t>
      </w:r>
      <w:r>
        <w:rPr/>
        <w:t>基金管理人、基金托管人将不保证托管人或境外托管人所接收基金财产中的证券的所有权、合法性或真实性（包括是否以良好形式转让</w:t>
      </w:r>
      <w:r>
        <w:rPr>
          <w:spacing w:val="-105"/>
        </w:rPr>
        <w:t>）</w:t>
      </w:r>
      <w:r>
        <w:rPr/>
        <w:t>。</w:t>
      </w:r>
    </w:p>
    <w:p>
      <w:pPr>
        <w:pStyle w:val="BodyText"/>
        <w:spacing w:line="364" w:lineRule="auto"/>
        <w:ind w:left="376" w:right="794" w:firstLine="420"/>
        <w:jc w:val="both"/>
      </w:pPr>
      <w:r>
        <w:rPr>
          <w:spacing w:val="-5"/>
        </w:rPr>
        <w:t>基金托管人和境外托管人应妥善保存基金管理人基金财产汇入、汇出、兑换、收汇、现</w:t>
      </w:r>
      <w:r>
        <w:rPr>
          <w:spacing w:val="-7"/>
        </w:rPr>
        <w:t>金往来及证券交易的记录、凭证等相关资料，并按规定的期限保管，但境外托管人持有的与</w:t>
      </w:r>
      <w:r>
        <w:rPr/>
        <w:t>境外托管人账户相关的资料应按照境外托管人的业务惯例保管。</w:t>
      </w:r>
    </w:p>
    <w:p>
      <w:pPr>
        <w:spacing w:after="0" w:line="364" w:lineRule="auto"/>
        <w:jc w:val="both"/>
        <w:sectPr>
          <w:pgSz w:w="11910" w:h="16840"/>
          <w:pgMar w:header="0" w:footer="1118" w:top="1380" w:bottom="1380" w:left="1420" w:right="1000"/>
        </w:sectPr>
      </w:pPr>
    </w:p>
    <w:p>
      <w:pPr>
        <w:pStyle w:val="Heading1"/>
        <w:tabs>
          <w:tab w:pos="1679" w:val="left" w:leader="none"/>
        </w:tabs>
      </w:pPr>
      <w:bookmarkStart w:name="_bookmark66" w:id="67"/>
      <w:bookmarkEnd w:id="67"/>
      <w:r>
        <w:rPr>
          <w:b w:val="0"/>
        </w:rPr>
      </w:r>
      <w:r>
        <w:rPr/>
        <w:t>第十四节</w:t>
        <w:tab/>
        <w:t>基金资产估值</w:t>
      </w:r>
    </w:p>
    <w:p>
      <w:pPr>
        <w:pStyle w:val="Heading2"/>
        <w:tabs>
          <w:tab w:pos="1216" w:val="left" w:leader="none"/>
        </w:tabs>
        <w:spacing w:before="139"/>
      </w:pPr>
      <w:bookmarkStart w:name="_bookmark67" w:id="68"/>
      <w:bookmarkEnd w:id="68"/>
      <w:r>
        <w:rPr/>
      </w:r>
      <w:r>
        <w:rPr/>
        <w:t>一、</w:t>
        <w:tab/>
        <w:t>估值目的</w:t>
      </w:r>
    </w:p>
    <w:p>
      <w:pPr>
        <w:pStyle w:val="BodyText"/>
        <w:spacing w:line="364" w:lineRule="auto" w:before="185"/>
        <w:ind w:left="376" w:right="794" w:firstLine="420"/>
      </w:pPr>
      <w:r>
        <w:rPr>
          <w:spacing w:val="-6"/>
        </w:rPr>
        <w:t>基金资产估值的目的是客观、准确地反映基金资产是否保值、增值，依据经基金资产估</w:t>
      </w:r>
      <w:r>
        <w:rPr/>
        <w:t>值后确定的基金资产净值而计算出的基金份额净值，是计算基金申购与赎回价格的基础。</w:t>
      </w:r>
    </w:p>
    <w:p>
      <w:pPr>
        <w:pStyle w:val="Heading2"/>
        <w:tabs>
          <w:tab w:pos="1216" w:val="left" w:leader="none"/>
        </w:tabs>
      </w:pPr>
      <w:bookmarkStart w:name="_bookmark68" w:id="69"/>
      <w:bookmarkEnd w:id="69"/>
      <w:r>
        <w:rPr/>
      </w:r>
      <w:r>
        <w:rPr/>
        <w:t>二、</w:t>
        <w:tab/>
        <w:t>估值日</w:t>
      </w:r>
    </w:p>
    <w:p>
      <w:pPr>
        <w:pStyle w:val="BodyText"/>
        <w:spacing w:line="364" w:lineRule="auto" w:before="185"/>
        <w:ind w:left="376" w:right="795" w:firstLine="420"/>
      </w:pPr>
      <w:r>
        <w:rPr/>
        <w:t>本基金的估值日为本基金的开放日以及国家法律法规规定需要对外披露基金净值的非开放日。</w:t>
      </w:r>
    </w:p>
    <w:p>
      <w:pPr>
        <w:pStyle w:val="Heading2"/>
        <w:tabs>
          <w:tab w:pos="1216" w:val="left" w:leader="none"/>
        </w:tabs>
      </w:pPr>
      <w:bookmarkStart w:name="_bookmark69" w:id="70"/>
      <w:bookmarkEnd w:id="70"/>
      <w:r>
        <w:rPr/>
      </w:r>
      <w:r>
        <w:rPr/>
        <w:t>三、</w:t>
        <w:tab/>
        <w:t>估值对象</w:t>
      </w:r>
    </w:p>
    <w:p>
      <w:pPr>
        <w:pStyle w:val="BodyText"/>
        <w:spacing w:before="185"/>
      </w:pPr>
      <w:r>
        <w:rPr/>
        <w:t>本基金所拥有的各类有价证券及本基金依据相关法律法规持有的其它资产。</w:t>
      </w:r>
    </w:p>
    <w:p>
      <w:pPr>
        <w:pStyle w:val="Heading2"/>
        <w:tabs>
          <w:tab w:pos="1216" w:val="left" w:leader="none"/>
        </w:tabs>
        <w:spacing w:before="140"/>
      </w:pPr>
      <w:bookmarkStart w:name="_bookmark70" w:id="71"/>
      <w:bookmarkEnd w:id="71"/>
      <w:r>
        <w:rPr/>
      </w:r>
      <w:r>
        <w:rPr/>
        <w:t>四、</w:t>
        <w:tab/>
        <w:t>估值方法</w:t>
      </w:r>
    </w:p>
    <w:p>
      <w:pPr>
        <w:pStyle w:val="BodyText"/>
        <w:spacing w:before="185"/>
      </w:pPr>
      <w:r>
        <w:rPr/>
        <w:t>本基金按以下方式进行估值：</w:t>
      </w:r>
    </w:p>
    <w:p>
      <w:pPr>
        <w:pStyle w:val="BodyText"/>
        <w:spacing w:before="139"/>
      </w:pPr>
      <w:r>
        <w:rPr/>
        <w:t>1、基金估值方法</w:t>
      </w:r>
    </w:p>
    <w:p>
      <w:pPr>
        <w:pStyle w:val="ListParagraph"/>
        <w:numPr>
          <w:ilvl w:val="0"/>
          <w:numId w:val="30"/>
        </w:numPr>
        <w:tabs>
          <w:tab w:pos="1324" w:val="left" w:leader="none"/>
        </w:tabs>
        <w:spacing w:line="364" w:lineRule="auto" w:before="140" w:after="0"/>
        <w:ind w:left="376" w:right="795" w:firstLine="420"/>
        <w:jc w:val="left"/>
        <w:rPr>
          <w:sz w:val="21"/>
        </w:rPr>
      </w:pPr>
      <w:r>
        <w:rPr>
          <w:sz w:val="21"/>
        </w:rPr>
        <w:t>上市流通的基金按估值日在证券交易所的收盘价估值；估值日无交易的，以最近交易日的收盘价估值；</w:t>
      </w:r>
    </w:p>
    <w:p>
      <w:pPr>
        <w:pStyle w:val="ListParagraph"/>
        <w:numPr>
          <w:ilvl w:val="0"/>
          <w:numId w:val="30"/>
        </w:numPr>
        <w:tabs>
          <w:tab w:pos="1323" w:val="left" w:leader="none"/>
        </w:tabs>
        <w:spacing w:line="268" w:lineRule="exact" w:before="0" w:after="0"/>
        <w:ind w:left="1323" w:right="0" w:hanging="527"/>
        <w:jc w:val="left"/>
        <w:rPr>
          <w:sz w:val="21"/>
        </w:rPr>
      </w:pPr>
      <w:r>
        <w:rPr>
          <w:sz w:val="21"/>
        </w:rPr>
        <w:t>非上市流通基金以估值截止时点能够取得的最新基金份额净值进行估值。</w:t>
      </w:r>
    </w:p>
    <w:p>
      <w:pPr>
        <w:pStyle w:val="BodyText"/>
        <w:spacing w:before="139"/>
      </w:pPr>
      <w:r>
        <w:rPr/>
        <w:t>2、股票估值方法</w:t>
      </w:r>
    </w:p>
    <w:p>
      <w:pPr>
        <w:pStyle w:val="ListParagraph"/>
        <w:numPr>
          <w:ilvl w:val="0"/>
          <w:numId w:val="31"/>
        </w:numPr>
        <w:tabs>
          <w:tab w:pos="1324" w:val="left" w:leader="none"/>
        </w:tabs>
        <w:spacing w:line="364" w:lineRule="auto" w:before="140" w:after="0"/>
        <w:ind w:left="376" w:right="795" w:firstLine="420"/>
        <w:jc w:val="left"/>
        <w:rPr>
          <w:sz w:val="21"/>
        </w:rPr>
      </w:pPr>
      <w:r>
        <w:rPr>
          <w:sz w:val="21"/>
        </w:rPr>
        <w:t>上市流通的股票按估值日在证券交易所的收盘价估值；估值日无交易的，以最近交易日的收盘价估值。</w:t>
      </w:r>
    </w:p>
    <w:p>
      <w:pPr>
        <w:pStyle w:val="ListParagraph"/>
        <w:numPr>
          <w:ilvl w:val="0"/>
          <w:numId w:val="31"/>
        </w:numPr>
        <w:tabs>
          <w:tab w:pos="1323" w:val="left" w:leader="none"/>
        </w:tabs>
        <w:spacing w:line="268" w:lineRule="exact" w:before="0" w:after="0"/>
        <w:ind w:left="1323" w:right="0" w:hanging="527"/>
        <w:jc w:val="left"/>
        <w:rPr>
          <w:sz w:val="21"/>
        </w:rPr>
      </w:pPr>
      <w:r>
        <w:rPr>
          <w:sz w:val="21"/>
        </w:rPr>
        <w:t>处于未上市期间的股票应区分如下情况处理：</w:t>
      </w:r>
    </w:p>
    <w:p>
      <w:pPr>
        <w:pStyle w:val="ListParagraph"/>
        <w:numPr>
          <w:ilvl w:val="0"/>
          <w:numId w:val="32"/>
        </w:numPr>
        <w:tabs>
          <w:tab w:pos="1114" w:val="left" w:leader="none"/>
        </w:tabs>
        <w:spacing w:line="364" w:lineRule="auto" w:before="139" w:after="0"/>
        <w:ind w:left="376" w:right="795" w:firstLine="420"/>
        <w:jc w:val="left"/>
        <w:rPr>
          <w:sz w:val="21"/>
        </w:rPr>
      </w:pPr>
      <w:r>
        <w:rPr>
          <w:sz w:val="21"/>
        </w:rPr>
        <w:t>首次发行未上市的股票，采用估值技术确定公允价值，在估值技术难以可靠计量公允价值的情况下，按成本价估值；</w:t>
      </w:r>
    </w:p>
    <w:p>
      <w:pPr>
        <w:pStyle w:val="ListParagraph"/>
        <w:numPr>
          <w:ilvl w:val="0"/>
          <w:numId w:val="32"/>
        </w:numPr>
        <w:tabs>
          <w:tab w:pos="1114" w:val="left" w:leader="none"/>
        </w:tabs>
        <w:spacing w:line="364" w:lineRule="auto" w:before="0" w:after="0"/>
        <w:ind w:left="376" w:right="795" w:firstLine="420"/>
        <w:jc w:val="left"/>
        <w:rPr>
          <w:sz w:val="21"/>
        </w:rPr>
      </w:pPr>
      <w:r>
        <w:rPr>
          <w:sz w:val="21"/>
        </w:rPr>
        <w:t>送股、转增股、配股和增发新股，按估值日在证券交易所上市的同一股票的收盘价进行估值；该日无交易的，以最近一日的收盘价估值；</w:t>
      </w:r>
    </w:p>
    <w:p>
      <w:pPr>
        <w:pStyle w:val="ListParagraph"/>
        <w:numPr>
          <w:ilvl w:val="0"/>
          <w:numId w:val="32"/>
        </w:numPr>
        <w:tabs>
          <w:tab w:pos="1114" w:val="left" w:leader="none"/>
        </w:tabs>
        <w:spacing w:line="364" w:lineRule="auto" w:before="0" w:after="0"/>
        <w:ind w:left="376" w:right="795" w:firstLine="420"/>
        <w:jc w:val="left"/>
        <w:rPr>
          <w:sz w:val="21"/>
        </w:rPr>
      </w:pPr>
      <w:r>
        <w:rPr>
          <w:sz w:val="21"/>
        </w:rPr>
        <w:t>首次公开发行有明确锁定期的股票，同一股票在交易所上市后，按估值日在证券交易所上市的同一股票的收盘价进行估值。</w:t>
      </w:r>
    </w:p>
    <w:p>
      <w:pPr>
        <w:pStyle w:val="BodyText"/>
        <w:spacing w:line="268" w:lineRule="exact"/>
      </w:pPr>
      <w:r>
        <w:rPr/>
        <w:t>3、存托凭证估值方法</w:t>
      </w:r>
    </w:p>
    <w:p>
      <w:pPr>
        <w:pStyle w:val="BodyText"/>
        <w:spacing w:line="364" w:lineRule="auto" w:before="138"/>
        <w:ind w:left="376" w:right="794" w:firstLine="420"/>
      </w:pPr>
      <w:r>
        <w:rPr>
          <w:spacing w:val="-5"/>
        </w:rPr>
        <w:t>公开挂牌的存托凭证按估值日在证券交易所的收盘价估值；估值日无交易的，以最近交</w:t>
      </w:r>
      <w:r>
        <w:rPr/>
        <w:t>易日的收盘价估值。</w:t>
      </w:r>
    </w:p>
    <w:p>
      <w:pPr>
        <w:pStyle w:val="BodyText"/>
        <w:spacing w:line="268" w:lineRule="exact"/>
      </w:pPr>
      <w:r>
        <w:rPr/>
        <w:t>4、债券估值方法</w:t>
      </w:r>
    </w:p>
    <w:p>
      <w:pPr>
        <w:pStyle w:val="ListParagraph"/>
        <w:numPr>
          <w:ilvl w:val="0"/>
          <w:numId w:val="33"/>
        </w:numPr>
        <w:tabs>
          <w:tab w:pos="1324" w:val="left" w:leader="none"/>
        </w:tabs>
        <w:spacing w:line="364" w:lineRule="auto" w:before="139" w:after="0"/>
        <w:ind w:left="376" w:right="585" w:firstLine="420"/>
        <w:jc w:val="left"/>
        <w:rPr>
          <w:sz w:val="21"/>
        </w:rPr>
      </w:pPr>
      <w:r>
        <w:rPr>
          <w:sz w:val="21"/>
        </w:rPr>
        <w:t>对于上市流通的债券，证券交易所市场实行净价交易的债券按估值日在证券交易 </w:t>
      </w:r>
      <w:r>
        <w:rPr>
          <w:spacing w:val="-10"/>
          <w:sz w:val="21"/>
        </w:rPr>
        <w:t>所的收盘价估值；估值日无交易的，以最近交易日的收盘价估值。证券交易所市场未实行净 </w:t>
      </w:r>
      <w:r>
        <w:rPr>
          <w:sz w:val="21"/>
        </w:rPr>
        <w:t>价交易的债券按估值日收盘价减去债券收盘价中所含的债券应收利息得到的净价进行估值，</w:t>
      </w:r>
    </w:p>
    <w:p>
      <w:pPr>
        <w:spacing w:after="0" w:line="364" w:lineRule="auto"/>
        <w:jc w:val="left"/>
        <w:rPr>
          <w:sz w:val="21"/>
        </w:rPr>
        <w:sectPr>
          <w:pgSz w:w="11910" w:h="16840"/>
          <w:pgMar w:header="0" w:footer="1118" w:top="1400" w:bottom="1380" w:left="1420" w:right="1000"/>
        </w:sectPr>
      </w:pPr>
    </w:p>
    <w:p>
      <w:pPr>
        <w:pStyle w:val="BodyText"/>
        <w:spacing w:line="364" w:lineRule="auto" w:before="45"/>
        <w:ind w:left="376" w:right="794"/>
      </w:pPr>
      <w:r>
        <w:rPr>
          <w:spacing w:val="-10"/>
        </w:rPr>
        <w:t>估值日没有交易的，按最近交易日债券收盘价减去所含的最近交易日债券应收利息后得到的</w:t>
      </w:r>
      <w:r>
        <w:rPr/>
        <w:t>净价估值。</w:t>
      </w:r>
    </w:p>
    <w:p>
      <w:pPr>
        <w:pStyle w:val="ListParagraph"/>
        <w:numPr>
          <w:ilvl w:val="0"/>
          <w:numId w:val="33"/>
        </w:numPr>
        <w:tabs>
          <w:tab w:pos="1323" w:val="left" w:leader="none"/>
        </w:tabs>
        <w:spacing w:line="268" w:lineRule="exact" w:before="0" w:after="0"/>
        <w:ind w:left="1323" w:right="0" w:hanging="527"/>
        <w:jc w:val="left"/>
        <w:rPr>
          <w:sz w:val="21"/>
        </w:rPr>
      </w:pPr>
      <w:r>
        <w:rPr>
          <w:sz w:val="21"/>
        </w:rPr>
        <w:t>对于非上市债券，参照主要做市商或其他权威价格提供机构的报价进行估值。</w:t>
      </w:r>
    </w:p>
    <w:p>
      <w:pPr>
        <w:pStyle w:val="BodyText"/>
        <w:spacing w:before="139"/>
      </w:pPr>
      <w:r>
        <w:rPr/>
        <w:t>5、衍生品估值方法</w:t>
      </w:r>
    </w:p>
    <w:p>
      <w:pPr>
        <w:pStyle w:val="ListParagraph"/>
        <w:numPr>
          <w:ilvl w:val="0"/>
          <w:numId w:val="34"/>
        </w:numPr>
        <w:tabs>
          <w:tab w:pos="1324" w:val="left" w:leader="none"/>
        </w:tabs>
        <w:spacing w:line="364" w:lineRule="auto" w:before="140" w:after="0"/>
        <w:ind w:left="376" w:right="795" w:firstLine="420"/>
        <w:jc w:val="left"/>
        <w:rPr>
          <w:sz w:val="21"/>
        </w:rPr>
      </w:pPr>
      <w:r>
        <w:rPr>
          <w:sz w:val="21"/>
        </w:rPr>
        <w:t>上市流通衍生品按估值日在证券交易所的收盘价估值；估值日无交易的，以最近交易日的收盘价估值。</w:t>
      </w:r>
    </w:p>
    <w:p>
      <w:pPr>
        <w:pStyle w:val="ListParagraph"/>
        <w:numPr>
          <w:ilvl w:val="0"/>
          <w:numId w:val="34"/>
        </w:numPr>
        <w:tabs>
          <w:tab w:pos="1324" w:val="left" w:leader="none"/>
        </w:tabs>
        <w:spacing w:line="364" w:lineRule="auto" w:before="0" w:after="0"/>
        <w:ind w:left="376" w:right="795" w:firstLine="420"/>
        <w:jc w:val="left"/>
        <w:rPr>
          <w:sz w:val="21"/>
        </w:rPr>
      </w:pPr>
      <w:r>
        <w:rPr>
          <w:sz w:val="21"/>
        </w:rPr>
        <w:t>非上市衍生品采用估值技术确定公允价值，在估值技术难以可靠计量公允价值的情况下，按成本估值。</w:t>
      </w:r>
    </w:p>
    <w:p>
      <w:pPr>
        <w:pStyle w:val="BodyText"/>
        <w:spacing w:line="268" w:lineRule="exact"/>
      </w:pPr>
      <w:r>
        <w:rPr/>
        <w:t>6、汇率</w:t>
      </w:r>
    </w:p>
    <w:p>
      <w:pPr>
        <w:pStyle w:val="ListParagraph"/>
        <w:numPr>
          <w:ilvl w:val="0"/>
          <w:numId w:val="35"/>
        </w:numPr>
        <w:tabs>
          <w:tab w:pos="1324" w:val="left" w:leader="none"/>
        </w:tabs>
        <w:spacing w:line="364" w:lineRule="auto" w:before="138" w:after="0"/>
        <w:ind w:left="376" w:right="794" w:firstLine="420"/>
        <w:jc w:val="both"/>
        <w:rPr>
          <w:sz w:val="21"/>
        </w:rPr>
      </w:pPr>
      <w:r>
        <w:rPr>
          <w:sz w:val="21"/>
        </w:rPr>
        <w:t>估值计算中涉及美元、港币、日元、欧元、英镑等主要货币对人民币汇率的，将</w:t>
      </w:r>
      <w:r>
        <w:rPr>
          <w:spacing w:val="-7"/>
          <w:sz w:val="21"/>
        </w:rPr>
        <w:t>依据下列信息提供机构所提供的汇率为基准：当日中国人民银行公布的人民币与主要货币的</w:t>
      </w:r>
      <w:r>
        <w:rPr>
          <w:sz w:val="21"/>
        </w:rPr>
        <w:t>中间价。主要外汇种类以中国人民银行或其授权机构最新公布为准。</w:t>
      </w:r>
    </w:p>
    <w:p>
      <w:pPr>
        <w:pStyle w:val="ListParagraph"/>
        <w:numPr>
          <w:ilvl w:val="0"/>
          <w:numId w:val="35"/>
        </w:numPr>
        <w:tabs>
          <w:tab w:pos="1324" w:val="left" w:leader="none"/>
        </w:tabs>
        <w:spacing w:line="364" w:lineRule="auto" w:before="0" w:after="0"/>
        <w:ind w:left="376" w:right="795" w:firstLine="420"/>
        <w:jc w:val="left"/>
        <w:rPr>
          <w:sz w:val="21"/>
        </w:rPr>
      </w:pPr>
      <w:r>
        <w:rPr>
          <w:sz w:val="21"/>
        </w:rPr>
        <w:t>其他货币采用美元作为中间货币进行换算，采用彭博伦敦下午四点的汇率套算。基金管理人和托管人经协商可对所采用的汇率来源进行调整。</w:t>
      </w:r>
    </w:p>
    <w:p>
      <w:pPr>
        <w:pStyle w:val="BodyText"/>
        <w:spacing w:line="364" w:lineRule="auto"/>
        <w:ind w:left="376" w:right="794" w:firstLine="420"/>
      </w:pPr>
      <w:r>
        <w:rPr>
          <w:spacing w:val="-7"/>
        </w:rPr>
        <w:t>若无法取得上述汇率价格信息时，以托管银行中国农业银行或境外托管人所提供的合理</w:t>
      </w:r>
      <w:r>
        <w:rPr/>
        <w:t>公开外汇市场交易价格为准。</w:t>
      </w:r>
    </w:p>
    <w:p>
      <w:pPr>
        <w:pStyle w:val="BodyText"/>
        <w:spacing w:line="268" w:lineRule="exact"/>
      </w:pPr>
      <w:r>
        <w:rPr/>
        <w:t>7、税收</w:t>
      </w:r>
    </w:p>
    <w:p>
      <w:pPr>
        <w:pStyle w:val="BodyText"/>
        <w:spacing w:line="364" w:lineRule="auto" w:before="137"/>
        <w:ind w:left="376" w:right="794" w:firstLine="420"/>
        <w:jc w:val="both"/>
      </w:pPr>
      <w:r>
        <w:rPr>
          <w:spacing w:val="-4"/>
        </w:rPr>
        <w:t>对于按照中国法律法规和基金投资所在地的法律法规规定应交纳的各项税金，本基金将</w:t>
      </w:r>
      <w:r>
        <w:rPr>
          <w:spacing w:val="-9"/>
        </w:rPr>
        <w:t>按权责发生制原则进行估值；对于因税收规定调整或其他原因导致基金实际交纳税金与估算</w:t>
      </w:r>
      <w:r>
        <w:rPr/>
        <w:t>的应交税金有差异的，基金将在相关税金调整日或实际支付日进行相应的估值调整。</w:t>
      </w:r>
    </w:p>
    <w:p>
      <w:pPr>
        <w:pStyle w:val="BodyText"/>
        <w:spacing w:line="364" w:lineRule="auto"/>
        <w:ind w:left="376" w:right="714" w:firstLine="420"/>
      </w:pPr>
      <w:r>
        <w:rPr/>
        <w:t>8、在任何情况下，基金管理人如采用上述第1-7项规定的方法对基金资产进行估值，均应被认为采用了适当的估值方法。</w:t>
      </w:r>
    </w:p>
    <w:p>
      <w:pPr>
        <w:pStyle w:val="BodyText"/>
        <w:spacing w:line="364" w:lineRule="auto"/>
        <w:ind w:left="376" w:right="795" w:firstLine="420"/>
      </w:pPr>
      <w:r>
        <w:rPr/>
        <w:t>9、如有确凿证据表明按上述方法进行估值不能客观反映其公允价值的，基金管理人可根据具体情况与基金托管人商定后，按最能反映公允价值的价格估值。</w:t>
      </w:r>
    </w:p>
    <w:p>
      <w:pPr>
        <w:pStyle w:val="BodyText"/>
        <w:spacing w:line="364" w:lineRule="auto"/>
        <w:ind w:left="376" w:right="794" w:firstLine="420"/>
      </w:pPr>
      <w:r>
        <w:rPr/>
        <w:t>10</w:t>
      </w:r>
      <w:r>
        <w:rPr>
          <w:spacing w:val="-9"/>
        </w:rPr>
        <w:t>、相关法律法规以及监管部门有强制规定的，从其规定。如有新增事项，按国家最新</w:t>
      </w:r>
      <w:r>
        <w:rPr/>
        <w:t>规定估值。</w:t>
      </w:r>
    </w:p>
    <w:p>
      <w:pPr>
        <w:pStyle w:val="BodyText"/>
        <w:spacing w:line="364" w:lineRule="auto"/>
        <w:ind w:left="376" w:right="794" w:firstLine="420"/>
        <w:jc w:val="both"/>
      </w:pPr>
      <w:r>
        <w:rPr>
          <w:spacing w:val="-11"/>
        </w:rPr>
        <w:t>根据《基金法》，基金管理人计算并公告基金资产净值，基金托管人复核、审查基金管</w:t>
      </w:r>
      <w:r>
        <w:rPr>
          <w:spacing w:val="-15"/>
        </w:rPr>
        <w:t>理人计算的基金资产净值。因此，就与本基金有关的会计问题，如经相关各方在平等基础上</w:t>
      </w:r>
      <w:r>
        <w:rPr>
          <w:spacing w:val="-11"/>
        </w:rPr>
        <w:t>充分讨论后，仍无法达成一致的意见，按照基金管理人对基金资产净值的计算结果对外予以</w:t>
      </w:r>
      <w:r>
        <w:rPr/>
        <w:t>公布。</w:t>
      </w:r>
    </w:p>
    <w:p>
      <w:pPr>
        <w:pStyle w:val="Heading2"/>
        <w:tabs>
          <w:tab w:pos="1216" w:val="left" w:leader="none"/>
        </w:tabs>
        <w:spacing w:line="358" w:lineRule="exact"/>
      </w:pPr>
      <w:bookmarkStart w:name="_bookmark71" w:id="72"/>
      <w:bookmarkEnd w:id="72"/>
      <w:r>
        <w:rPr/>
      </w:r>
      <w:r>
        <w:rPr/>
        <w:t>五、</w:t>
        <w:tab/>
        <w:t>估值程序</w:t>
      </w:r>
    </w:p>
    <w:p>
      <w:pPr>
        <w:pStyle w:val="BodyText"/>
        <w:spacing w:line="364" w:lineRule="auto" w:before="181"/>
        <w:ind w:left="376" w:right="794" w:firstLine="420"/>
        <w:jc w:val="both"/>
      </w:pPr>
      <w:r>
        <w:rPr/>
        <w:t>1</w:t>
      </w:r>
      <w:r>
        <w:rPr>
          <w:spacing w:val="-9"/>
        </w:rPr>
        <w:t>、本基金分别计算并披露不同币种各类基金份额对应的基金份额净值。</w:t>
      </w:r>
      <w:r>
        <w:rPr/>
        <w:t>A</w:t>
      </w:r>
      <w:r>
        <w:rPr>
          <w:spacing w:val="-3"/>
        </w:rPr>
        <w:t>类人民币基金</w:t>
      </w:r>
      <w:r>
        <w:rPr>
          <w:spacing w:val="1"/>
        </w:rPr>
        <w:t>份额的基金份额净值指以估值日</w:t>
      </w:r>
      <w:r>
        <w:rPr>
          <w:spacing w:val="3"/>
        </w:rPr>
        <w:t>A</w:t>
      </w:r>
      <w:r>
        <w:rPr>
          <w:spacing w:val="1"/>
        </w:rPr>
        <w:t>类基金资产净值除以估值日</w:t>
      </w:r>
      <w:r>
        <w:rPr>
          <w:spacing w:val="3"/>
        </w:rPr>
        <w:t>A</w:t>
      </w:r>
      <w:r>
        <w:rPr/>
        <w:t>类基金份额余额后得出的单位基金份额的价值，估值日A类基金份额余额为估值日A类各币种基金份额余额的合计数；A</w:t>
      </w:r>
    </w:p>
    <w:p>
      <w:pPr>
        <w:spacing w:after="0" w:line="364" w:lineRule="auto"/>
        <w:jc w:val="both"/>
        <w:sectPr>
          <w:pgSz w:w="11910" w:h="16840"/>
          <w:pgMar w:header="0" w:footer="1118" w:top="1380" w:bottom="1380" w:left="1420" w:right="1000"/>
        </w:sectPr>
      </w:pPr>
    </w:p>
    <w:p>
      <w:pPr>
        <w:pStyle w:val="BodyText"/>
        <w:spacing w:line="364" w:lineRule="auto" w:before="45"/>
        <w:ind w:left="376" w:right="794"/>
        <w:jc w:val="both"/>
      </w:pPr>
      <w:r>
        <w:rPr/>
        <w:t>类美元现汇基金份额的基金份额净值以A类人民币基金份额的基金份额净值为基础，按照估</w:t>
      </w:r>
      <w:r>
        <w:rPr>
          <w:spacing w:val="-7"/>
        </w:rPr>
        <w:t>值日的估值汇率进行折算；</w:t>
      </w:r>
      <w:r>
        <w:rPr>
          <w:spacing w:val="-22"/>
        </w:rPr>
        <w:t>C</w:t>
      </w:r>
      <w:r>
        <w:rPr/>
        <w:t>类人民币基金份额的基金份额净值指以估值日C</w:t>
      </w:r>
      <w:r>
        <w:rPr>
          <w:spacing w:val="-3"/>
        </w:rPr>
        <w:t>类基金份额的基</w:t>
      </w:r>
      <w:r>
        <w:rPr/>
        <w:t>金资产净值除以估值日C</w:t>
      </w:r>
      <w:r>
        <w:rPr>
          <w:spacing w:val="-5"/>
        </w:rPr>
        <w:t>类基金份额余额后得出的单位基金份额的价值；估值日</w:t>
      </w:r>
      <w:r>
        <w:rPr/>
        <w:t>C</w:t>
      </w:r>
      <w:r>
        <w:rPr>
          <w:spacing w:val="-3"/>
        </w:rPr>
        <w:t>类基金份额</w:t>
      </w:r>
      <w:r>
        <w:rPr/>
        <w:t>余额为估值日C类各币种基金份额余额的合计数；C类美元现汇基金份额的基金份额净值以C 类人民币基金份额的基金份额净值为基础，按照估值日的估值汇率进行折算。</w:t>
      </w:r>
    </w:p>
    <w:p>
      <w:pPr>
        <w:pStyle w:val="BodyText"/>
        <w:spacing w:line="364" w:lineRule="auto"/>
        <w:ind w:left="376" w:right="794" w:firstLine="420"/>
        <w:jc w:val="both"/>
      </w:pPr>
      <w:r>
        <w:rPr/>
        <w:t>人民币基金份额的基金份额净值精确到0.001元，美元现汇基金份额的基金份额净值精确到0.001</w:t>
      </w:r>
      <w:r>
        <w:rPr>
          <w:spacing w:val="-6"/>
        </w:rPr>
        <w:t>美元，小数点后第</w:t>
      </w:r>
      <w:r>
        <w:rPr/>
        <w:t>4</w:t>
      </w:r>
      <w:r>
        <w:rPr>
          <w:spacing w:val="-8"/>
        </w:rPr>
        <w:t>位四舍五入，由此产生的收益或损失由基金财产承担。基金管</w:t>
      </w:r>
      <w:r>
        <w:rPr/>
        <w:t>理人可以设立大额赎回情形下的净值精度应急调整机制。国家另有规定的，从其规定。</w:t>
      </w:r>
    </w:p>
    <w:p>
      <w:pPr>
        <w:pStyle w:val="BodyText"/>
        <w:spacing w:line="364" w:lineRule="auto"/>
        <w:ind w:left="376" w:right="794" w:firstLine="420"/>
        <w:jc w:val="both"/>
      </w:pPr>
      <w:r>
        <w:rPr/>
        <w:t>2、基金日常估值由基金管理人进行。基金管理人于估值日的下一工作日完成估值后， </w:t>
      </w:r>
      <w:r>
        <w:rPr>
          <w:spacing w:val="-5"/>
        </w:rPr>
        <w:t>将估值结果发送至基金托管人，基金托管人按法律法规、《基金合同》规定的估值方法、时</w:t>
      </w:r>
      <w:r>
        <w:rPr>
          <w:spacing w:val="-11"/>
        </w:rPr>
        <w:t>间、程序进行复核无误后返回给基金管理人；月末、年中和年末估值复核与基金会计账目的</w:t>
      </w:r>
      <w:r>
        <w:rPr/>
        <w:t>核对同时进行。</w:t>
      </w:r>
    </w:p>
    <w:p>
      <w:pPr>
        <w:pStyle w:val="BodyText"/>
        <w:spacing w:line="364" w:lineRule="auto"/>
        <w:ind w:left="376" w:right="603" w:firstLine="420"/>
      </w:pPr>
      <w:r>
        <w:rPr>
          <w:spacing w:val="-5"/>
        </w:rPr>
        <w:t>在法律法规和中国证监会允许的情况下，基金管理人与基金托管人可以各自委托第三方</w:t>
      </w:r>
      <w:r>
        <w:rPr>
          <w:spacing w:val="-14"/>
        </w:rPr>
        <w:t>机构进行基金资产估值，但不改变基金管理人与基金托管人对基金资产估值各自承担的责任。</w:t>
      </w:r>
    </w:p>
    <w:p>
      <w:pPr>
        <w:pStyle w:val="Heading2"/>
        <w:jc w:val="both"/>
      </w:pPr>
      <w:bookmarkStart w:name="_bookmark72" w:id="73"/>
      <w:bookmarkEnd w:id="73"/>
      <w:r>
        <w:rPr/>
      </w:r>
      <w:r>
        <w:rPr/>
        <w:t>六、 基金份额净值的确认和估值错误的处理</w:t>
      </w:r>
    </w:p>
    <w:p>
      <w:pPr>
        <w:pStyle w:val="BodyText"/>
        <w:spacing w:line="364" w:lineRule="auto" w:before="179"/>
        <w:ind w:left="376" w:right="794" w:firstLine="420"/>
        <w:jc w:val="both"/>
      </w:pPr>
      <w:r>
        <w:rPr/>
        <w:t>基金份额净值的计算保留到小数点后3位。基金资产净值和基金份额净值由基金管理人</w:t>
      </w:r>
      <w:r>
        <w:rPr>
          <w:spacing w:val="-11"/>
        </w:rPr>
        <w:t>负责计算，基金托管人负责进行复核。基金管理人应于每个估值日计算基金份额净值并发送</w:t>
      </w:r>
      <w:r>
        <w:rPr>
          <w:spacing w:val="-10"/>
        </w:rPr>
        <w:t>给基金托管人。基金托管人对净值计算结果复核确认后发送给基金管理人，由基金管理人对</w:t>
      </w:r>
      <w:r>
        <w:rPr/>
        <w:t>基金份额净值予以公布。</w:t>
      </w:r>
    </w:p>
    <w:p>
      <w:pPr>
        <w:pStyle w:val="BodyText"/>
        <w:spacing w:line="364" w:lineRule="auto"/>
        <w:ind w:left="376" w:right="585" w:firstLine="420"/>
      </w:pPr>
      <w:r>
        <w:rPr>
          <w:spacing w:val="2"/>
        </w:rPr>
        <w:t>基金管理人和基金托管人将采取必要、适当、合理的措施确保基金资产估值的准确性、</w:t>
      </w:r>
      <w:r>
        <w:rPr>
          <w:spacing w:val="-5"/>
        </w:rPr>
        <w:t>及时性。当基金份额净值偏差达到基金份额净值的</w:t>
      </w:r>
      <w:r>
        <w:rPr/>
        <w:t>0.5%</w:t>
      </w:r>
      <w:r>
        <w:rPr>
          <w:spacing w:val="-8"/>
        </w:rPr>
        <w:t>时，基金管理人应当立即纠正，并采 </w:t>
      </w:r>
      <w:r>
        <w:rPr>
          <w:spacing w:val="-11"/>
        </w:rPr>
        <w:t>取合理的措施防止损失进一步扩大。当基金份额净值计算差错小于基金份额净值</w:t>
      </w:r>
      <w:r>
        <w:rPr/>
        <w:t>0.5%</w:t>
      </w:r>
      <w:r>
        <w:rPr>
          <w:spacing w:val="-15"/>
        </w:rPr>
        <w:t>时，基 </w:t>
      </w:r>
      <w:r>
        <w:rPr>
          <w:spacing w:val="-18"/>
        </w:rPr>
        <w:t>金管理人与基金托管人应在发现日对账务进行更正调整，不做追溯处理。当基金管理人将其 义务委托第三方处理时，应当对第三方处理有关基金事务的行为承担责任。</w:t>
      </w:r>
    </w:p>
    <w:p>
      <w:pPr>
        <w:pStyle w:val="BodyText"/>
        <w:spacing w:line="267" w:lineRule="exact"/>
      </w:pPr>
      <w:r>
        <w:rPr/>
        <w:t>关于差错处理，本合同的当事人按照以下约定处理：</w:t>
      </w:r>
    </w:p>
    <w:p>
      <w:pPr>
        <w:pStyle w:val="BodyText"/>
        <w:spacing w:before="138"/>
      </w:pPr>
      <w:r>
        <w:rPr/>
        <w:t>1、差错类型</w:t>
      </w:r>
    </w:p>
    <w:p>
      <w:pPr>
        <w:pStyle w:val="BodyText"/>
        <w:spacing w:line="364" w:lineRule="auto" w:before="139"/>
        <w:ind w:left="376" w:right="689" w:firstLine="420"/>
      </w:pPr>
      <w:r>
        <w:rPr>
          <w:spacing w:val="-14"/>
        </w:rPr>
        <w:t>本基金运作过程中，如果由于基金管理人或基金托管人、或登记结算机构、或销售机构、</w:t>
      </w:r>
      <w:r>
        <w:rPr>
          <w:spacing w:val="-6"/>
        </w:rPr>
        <w:t>或投资者自身的过错造成差错，导致其他当事人遭受损失的，过错的责任人应当对由于该差错遭受损失的当事人（“</w:t>
      </w:r>
      <w:r>
        <w:rPr>
          <w:spacing w:val="-31"/>
        </w:rPr>
        <w:t>受损方”</w:t>
      </w:r>
      <w:r>
        <w:rPr/>
        <w:t>）按下述“差错处理原则”给予赔偿承担赔偿责任。</w:t>
      </w:r>
    </w:p>
    <w:p>
      <w:pPr>
        <w:pStyle w:val="BodyText"/>
        <w:spacing w:line="364" w:lineRule="auto"/>
        <w:ind w:left="376" w:right="794" w:firstLine="420"/>
        <w:jc w:val="both"/>
      </w:pPr>
      <w:r>
        <w:rPr>
          <w:spacing w:val="-7"/>
        </w:rPr>
        <w:t>上述差错的主要类型包括但不限于：资料申报差错、数据传输差错、数据计算差错、系</w:t>
      </w:r>
      <w:r>
        <w:rPr>
          <w:spacing w:val="-8"/>
        </w:rPr>
        <w:t>统故障差错、下达指令差错等；对于因技术原因引起的差错，若系同行业现有技术水平不能</w:t>
      </w:r>
      <w:r>
        <w:rPr/>
        <w:t>预见、不能避免、并不能克服的客观情况，按下列有关不可抗力的约定处理。</w:t>
      </w:r>
    </w:p>
    <w:p>
      <w:pPr>
        <w:pStyle w:val="BodyText"/>
        <w:spacing w:line="364" w:lineRule="auto"/>
        <w:ind w:left="376" w:right="714" w:firstLine="420"/>
      </w:pPr>
      <w:r>
        <w:rPr/>
        <w:t>由于不可抗力原因造成投资者的交易资料灭失或被错误处理或造成其他差错，因不可抗力原因出现差错的当事人不对其他当事人承担赔偿责任，但因该差错取得不当得利的当事人</w:t>
      </w:r>
    </w:p>
    <w:p>
      <w:pPr>
        <w:spacing w:after="0" w:line="364" w:lineRule="auto"/>
        <w:sectPr>
          <w:pgSz w:w="11910" w:h="16840"/>
          <w:pgMar w:header="0" w:footer="1118" w:top="1380" w:bottom="1380" w:left="1420" w:right="1000"/>
        </w:sectPr>
      </w:pPr>
    </w:p>
    <w:p>
      <w:pPr>
        <w:pStyle w:val="BodyText"/>
        <w:spacing w:before="45"/>
        <w:ind w:left="376"/>
      </w:pPr>
      <w:r>
        <w:rPr/>
        <w:t>仍应负有返还不当得利的义务。</w:t>
      </w:r>
    </w:p>
    <w:p>
      <w:pPr>
        <w:pStyle w:val="BodyText"/>
        <w:spacing w:before="139"/>
      </w:pPr>
      <w:r>
        <w:rPr/>
        <w:t>2、差错处理原则</w:t>
      </w:r>
    </w:p>
    <w:p>
      <w:pPr>
        <w:pStyle w:val="BodyText"/>
        <w:spacing w:line="364" w:lineRule="auto" w:before="140"/>
        <w:ind w:left="376" w:right="794" w:firstLine="420"/>
        <w:jc w:val="both"/>
      </w:pPr>
      <w:r>
        <w:rPr>
          <w:spacing w:val="-7"/>
        </w:rPr>
        <w:t>因基金估值错误给投资者造成损失，在基金管理人可承担的范围内应先由基金管理人承</w:t>
      </w:r>
      <w:r>
        <w:rPr>
          <w:spacing w:val="-9"/>
        </w:rPr>
        <w:t>担，基金管理人对不应由其承担的责任，有权根据过错原则，向过错人追偿，本协议的当事</w:t>
      </w:r>
      <w:r>
        <w:rPr/>
        <w:t>人应将按照以下约定处理。</w:t>
      </w:r>
    </w:p>
    <w:p>
      <w:pPr>
        <w:pStyle w:val="ListParagraph"/>
        <w:numPr>
          <w:ilvl w:val="0"/>
          <w:numId w:val="36"/>
        </w:numPr>
        <w:tabs>
          <w:tab w:pos="1324" w:val="left" w:leader="none"/>
        </w:tabs>
        <w:spacing w:line="364" w:lineRule="auto" w:before="0" w:after="0"/>
        <w:ind w:left="376" w:right="689" w:firstLine="420"/>
        <w:jc w:val="left"/>
        <w:rPr>
          <w:sz w:val="21"/>
        </w:rPr>
      </w:pPr>
      <w:r>
        <w:rPr>
          <w:sz w:val="21"/>
        </w:rPr>
        <w:t>当基金管理人计算的基金资产净值、基金份额净值已由基金托管人复核确认后公</w:t>
      </w:r>
      <w:r>
        <w:rPr>
          <w:spacing w:val="-16"/>
          <w:sz w:val="21"/>
        </w:rPr>
        <w:t>告的，由此造成的投资者或基金的损失，应根据法律法规的规定对投资者或基金支付赔偿金， </w:t>
      </w:r>
      <w:r>
        <w:rPr>
          <w:spacing w:val="-5"/>
          <w:sz w:val="21"/>
        </w:rPr>
        <w:t>就实际向投资者或基金支付的赔偿金额，由基金管理人与基金托管人按照管理费率和托管费率的比例各自承担相应的责任。</w:t>
      </w:r>
    </w:p>
    <w:p>
      <w:pPr>
        <w:pStyle w:val="ListParagraph"/>
        <w:numPr>
          <w:ilvl w:val="0"/>
          <w:numId w:val="36"/>
        </w:numPr>
        <w:tabs>
          <w:tab w:pos="1324" w:val="left" w:leader="none"/>
        </w:tabs>
        <w:spacing w:line="364" w:lineRule="auto" w:before="0" w:after="0"/>
        <w:ind w:left="376" w:right="585" w:firstLine="420"/>
        <w:jc w:val="left"/>
        <w:rPr>
          <w:sz w:val="21"/>
        </w:rPr>
      </w:pPr>
      <w:r>
        <w:rPr>
          <w:sz w:val="21"/>
        </w:rPr>
        <w:t>由于一方当事人提供的信息错误，另一方当事人在采取了必要合理的措施后仍不 能发现该错误，进而导致基金资产净值、基金份额净值计算错误造成投资者或基金的损失， </w:t>
      </w:r>
      <w:r>
        <w:rPr>
          <w:spacing w:val="-5"/>
          <w:sz w:val="21"/>
        </w:rPr>
        <w:t>以及由此造成以后交易日基金资产净值、基金份额净值计算顺延错误而引起的投资者或基金 的损失，由提供错误信息的当事人一方负责赔偿。</w:t>
      </w:r>
    </w:p>
    <w:p>
      <w:pPr>
        <w:pStyle w:val="ListParagraph"/>
        <w:numPr>
          <w:ilvl w:val="0"/>
          <w:numId w:val="36"/>
        </w:numPr>
        <w:tabs>
          <w:tab w:pos="1324" w:val="left" w:leader="none"/>
        </w:tabs>
        <w:spacing w:line="364" w:lineRule="auto" w:before="0" w:after="0"/>
        <w:ind w:left="376" w:right="794" w:firstLine="420"/>
        <w:jc w:val="both"/>
        <w:rPr>
          <w:sz w:val="21"/>
        </w:rPr>
      </w:pPr>
      <w:r>
        <w:rPr>
          <w:sz w:val="21"/>
        </w:rPr>
        <w:t>由于证券交易所，交易市场及登记结算公司及数据供应商发送的数据错误，券商</w:t>
      </w:r>
      <w:r>
        <w:rPr>
          <w:spacing w:val="-6"/>
          <w:sz w:val="21"/>
        </w:rPr>
        <w:t>或交易对家的成交回报错误或延误，或由于其他不可抗力原因，基金管理人和基金托管人虽</w:t>
      </w:r>
      <w:r>
        <w:rPr>
          <w:spacing w:val="-8"/>
          <w:sz w:val="21"/>
        </w:rPr>
        <w:t>然已经采取必要、适当、合理的措施进行检查，但是未能发现该错误的，由此造成的基金资</w:t>
      </w:r>
      <w:r>
        <w:rPr>
          <w:spacing w:val="-10"/>
          <w:sz w:val="21"/>
        </w:rPr>
        <w:t>产估值错误，基金管理人和基金托管人可以免除赔偿责任。但基金管理人和基金托管人应当</w:t>
      </w:r>
      <w:r>
        <w:rPr>
          <w:sz w:val="21"/>
        </w:rPr>
        <w:t>积极采取必要的措施消除由此造成的影响。</w:t>
      </w:r>
    </w:p>
    <w:p>
      <w:pPr>
        <w:pStyle w:val="ListParagraph"/>
        <w:numPr>
          <w:ilvl w:val="0"/>
          <w:numId w:val="36"/>
        </w:numPr>
        <w:tabs>
          <w:tab w:pos="1324" w:val="left" w:leader="none"/>
        </w:tabs>
        <w:spacing w:line="364" w:lineRule="auto" w:before="0" w:after="0"/>
        <w:ind w:left="376" w:right="794" w:firstLine="420"/>
        <w:jc w:val="both"/>
        <w:rPr>
          <w:sz w:val="21"/>
        </w:rPr>
      </w:pPr>
      <w:r>
        <w:rPr>
          <w:sz w:val="21"/>
        </w:rPr>
        <w:t>当基金管理人计算的基金资产净值与基金托管人的计算结果不一致时，相关各方</w:t>
      </w:r>
      <w:r>
        <w:rPr>
          <w:spacing w:val="-6"/>
          <w:sz w:val="21"/>
        </w:rPr>
        <w:t>应本着勤勉尽责的态度重新计算核对，如果最后仍无法达成一致，应以基金管理人的计算结</w:t>
      </w:r>
      <w:r>
        <w:rPr>
          <w:spacing w:val="-10"/>
          <w:sz w:val="21"/>
        </w:rPr>
        <w:t>果为准对外公布，由此造成的损失以及因该交易日基金资产净值计算顺延错误而引起的损失</w:t>
      </w:r>
      <w:r>
        <w:rPr>
          <w:sz w:val="21"/>
        </w:rPr>
        <w:t>由基金管理人承担赔偿责任，基金托管人不负赔偿责任。</w:t>
      </w:r>
    </w:p>
    <w:p>
      <w:pPr>
        <w:pStyle w:val="ListParagraph"/>
        <w:numPr>
          <w:ilvl w:val="0"/>
          <w:numId w:val="36"/>
        </w:numPr>
        <w:tabs>
          <w:tab w:pos="1324" w:val="left" w:leader="none"/>
        </w:tabs>
        <w:spacing w:line="364" w:lineRule="auto" w:before="0" w:after="0"/>
        <w:ind w:left="376" w:right="795" w:firstLine="420"/>
        <w:jc w:val="left"/>
        <w:rPr>
          <w:sz w:val="21"/>
        </w:rPr>
      </w:pPr>
      <w:r>
        <w:rPr>
          <w:sz w:val="21"/>
        </w:rPr>
        <w:t>法律法规或者监管部门另有规定的，从其规定。如果行业有通行做法，基金管理人和基金托管人双方应本着平等和保护基金份额持有人利益的原则进行协商。</w:t>
      </w:r>
    </w:p>
    <w:p>
      <w:pPr>
        <w:pStyle w:val="ListParagraph"/>
        <w:numPr>
          <w:ilvl w:val="0"/>
          <w:numId w:val="36"/>
        </w:numPr>
        <w:tabs>
          <w:tab w:pos="1324" w:val="left" w:leader="none"/>
        </w:tabs>
        <w:spacing w:line="364" w:lineRule="auto" w:before="0" w:after="0"/>
        <w:ind w:left="376" w:right="794" w:firstLine="420"/>
        <w:jc w:val="both"/>
        <w:rPr>
          <w:sz w:val="21"/>
        </w:rPr>
      </w:pPr>
      <w:r>
        <w:rPr>
          <w:sz w:val="21"/>
        </w:rPr>
        <w:t>差错已发生，但尚未给当事人造成损失时，差错责任方应及时协调各方，及时进</w:t>
      </w:r>
      <w:r>
        <w:rPr>
          <w:spacing w:val="-6"/>
          <w:sz w:val="21"/>
        </w:rPr>
        <w:t>行更正，因更正差错发生的费用由差错责任方承担；由于差错责任方未及时更正已产生的差</w:t>
      </w:r>
      <w:r>
        <w:rPr>
          <w:spacing w:val="-7"/>
          <w:sz w:val="21"/>
        </w:rPr>
        <w:t>错，给当事人造成损失的由差错责任方承担；若差错责任方已经积极协调，并且有协助义务</w:t>
      </w:r>
      <w:r>
        <w:rPr>
          <w:spacing w:val="-6"/>
          <w:sz w:val="21"/>
        </w:rPr>
        <w:t>的当事人有足够的时间进行更正而未更正，则其应当承担相应赔偿责任。差错责任方应对更</w:t>
      </w:r>
      <w:r>
        <w:rPr>
          <w:sz w:val="21"/>
        </w:rPr>
        <w:t>正的情况向有关当事人进行确认，确保差错已得到更正。</w:t>
      </w:r>
    </w:p>
    <w:p>
      <w:pPr>
        <w:pStyle w:val="ListParagraph"/>
        <w:numPr>
          <w:ilvl w:val="0"/>
          <w:numId w:val="36"/>
        </w:numPr>
        <w:tabs>
          <w:tab w:pos="1324" w:val="left" w:leader="none"/>
        </w:tabs>
        <w:spacing w:line="364" w:lineRule="auto" w:before="0" w:after="0"/>
        <w:ind w:left="376" w:right="795" w:firstLine="420"/>
        <w:jc w:val="left"/>
        <w:rPr>
          <w:sz w:val="21"/>
        </w:rPr>
      </w:pPr>
      <w:r>
        <w:rPr>
          <w:sz w:val="21"/>
        </w:rPr>
        <w:t>差错的责任方对可能导致有关当事人的直接损失负责，不对间接损失负责，并且仅对差错的有关直接当事人负责，不对第三方负责。</w:t>
      </w:r>
    </w:p>
    <w:p>
      <w:pPr>
        <w:pStyle w:val="ListParagraph"/>
        <w:numPr>
          <w:ilvl w:val="0"/>
          <w:numId w:val="36"/>
        </w:numPr>
        <w:tabs>
          <w:tab w:pos="1324" w:val="left" w:leader="none"/>
        </w:tabs>
        <w:spacing w:line="364" w:lineRule="auto" w:before="0" w:after="0"/>
        <w:ind w:left="376" w:right="794" w:firstLine="420"/>
        <w:jc w:val="both"/>
        <w:rPr>
          <w:sz w:val="21"/>
        </w:rPr>
      </w:pPr>
      <w:r>
        <w:rPr>
          <w:sz w:val="21"/>
        </w:rPr>
        <w:t>因差错而获得不当得利的当事人负有及时返还不当得利的义务。但差错责任方仍</w:t>
      </w:r>
      <w:r>
        <w:rPr>
          <w:spacing w:val="-11"/>
          <w:sz w:val="21"/>
        </w:rPr>
        <w:t>应对差错负责，如果由于获得不当得利的当事人不返还或不全部返还不当得利造成其他当事</w:t>
      </w:r>
      <w:r>
        <w:rPr>
          <w:spacing w:val="-5"/>
          <w:sz w:val="21"/>
        </w:rPr>
        <w:t>人的利益损失</w:t>
      </w:r>
      <w:r>
        <w:rPr>
          <w:sz w:val="21"/>
        </w:rPr>
        <w:t>（“受损方</w:t>
      </w:r>
      <w:r>
        <w:rPr>
          <w:spacing w:val="-80"/>
          <w:sz w:val="21"/>
        </w:rPr>
        <w:t>”）</w:t>
      </w:r>
      <w:r>
        <w:rPr>
          <w:spacing w:val="-13"/>
          <w:sz w:val="21"/>
        </w:rPr>
        <w:t>，则差错责任方应赔偿受损方的损失，并在其支付的赔偿金额的</w:t>
      </w:r>
    </w:p>
    <w:p>
      <w:pPr>
        <w:spacing w:after="0" w:line="364" w:lineRule="auto"/>
        <w:jc w:val="both"/>
        <w:rPr>
          <w:sz w:val="21"/>
        </w:rPr>
        <w:sectPr>
          <w:pgSz w:w="11910" w:h="16840"/>
          <w:pgMar w:header="0" w:footer="1118" w:top="1380" w:bottom="1380" w:left="1420" w:right="1000"/>
        </w:sectPr>
      </w:pPr>
    </w:p>
    <w:p>
      <w:pPr>
        <w:pStyle w:val="BodyText"/>
        <w:spacing w:line="364" w:lineRule="auto" w:before="45"/>
        <w:ind w:left="376" w:right="794"/>
        <w:jc w:val="both"/>
      </w:pPr>
      <w:r>
        <w:rPr>
          <w:spacing w:val="-5"/>
        </w:rPr>
        <w:t>范围内对获得不当得利的当事人享有要求交付不当得利的权利；如果获得不当得利的当事人</w:t>
      </w:r>
      <w:r>
        <w:rPr>
          <w:spacing w:val="-7"/>
        </w:rPr>
        <w:t>已经将此部分不当得利返还给受损方，则受损方应当将其已经获得的赔偿额加上已经获得的</w:t>
      </w:r>
      <w:r>
        <w:rPr/>
        <w:t>不当得利返还的总和超过其实际损失的差额部分支付给差错责任方。</w:t>
      </w:r>
    </w:p>
    <w:p>
      <w:pPr>
        <w:pStyle w:val="ListParagraph"/>
        <w:numPr>
          <w:ilvl w:val="0"/>
          <w:numId w:val="36"/>
        </w:numPr>
        <w:tabs>
          <w:tab w:pos="1323" w:val="left" w:leader="none"/>
        </w:tabs>
        <w:spacing w:line="268" w:lineRule="exact" w:before="0" w:after="0"/>
        <w:ind w:left="1323" w:right="0" w:hanging="527"/>
        <w:jc w:val="left"/>
        <w:rPr>
          <w:sz w:val="21"/>
        </w:rPr>
      </w:pPr>
      <w:r>
        <w:rPr>
          <w:sz w:val="21"/>
        </w:rPr>
        <w:t>差错调整采用尽量恢复至假设未发生差错的正确情形的方式。</w:t>
      </w:r>
    </w:p>
    <w:p>
      <w:pPr>
        <w:pStyle w:val="ListParagraph"/>
        <w:numPr>
          <w:ilvl w:val="0"/>
          <w:numId w:val="36"/>
        </w:numPr>
        <w:tabs>
          <w:tab w:pos="1428" w:val="left" w:leader="none"/>
        </w:tabs>
        <w:spacing w:line="364" w:lineRule="auto" w:before="139" w:after="0"/>
        <w:ind w:left="376" w:right="794" w:firstLine="420"/>
        <w:jc w:val="both"/>
        <w:rPr>
          <w:sz w:val="21"/>
        </w:rPr>
      </w:pPr>
      <w:r>
        <w:rPr>
          <w:spacing w:val="-4"/>
          <w:sz w:val="21"/>
        </w:rPr>
        <w:t>差错责任方拒绝进行赔偿时，如果因基金管理人过错造成基金资产损失时，基</w:t>
      </w:r>
      <w:r>
        <w:rPr>
          <w:spacing w:val="-8"/>
          <w:sz w:val="21"/>
        </w:rPr>
        <w:t>金托管人应为基金的利益向基金管理人追偿，如果因基金托管人过错造成基金资产损失时， 基金管理人应为基金的利益向基金托管人追偿。除基金管理人和基金托管人之外的第三方造</w:t>
      </w:r>
      <w:r>
        <w:rPr>
          <w:spacing w:val="-10"/>
          <w:sz w:val="21"/>
        </w:rPr>
        <w:t>成基金资产的损失，并拒绝进行赔偿时，由基金管理人负责向差错方追偿，但该第三方是由</w:t>
      </w:r>
      <w:r>
        <w:rPr>
          <w:spacing w:val="-4"/>
          <w:sz w:val="21"/>
        </w:rPr>
        <w:t>基金托管人委托的情况下，应由基金托管人负责赔偿并向差错方追偿。</w:t>
      </w:r>
    </w:p>
    <w:p>
      <w:pPr>
        <w:pStyle w:val="ListParagraph"/>
        <w:numPr>
          <w:ilvl w:val="0"/>
          <w:numId w:val="36"/>
        </w:numPr>
        <w:tabs>
          <w:tab w:pos="1429" w:val="left" w:leader="none"/>
        </w:tabs>
        <w:spacing w:line="267" w:lineRule="exact" w:before="0" w:after="0"/>
        <w:ind w:left="1428" w:right="0" w:hanging="633"/>
        <w:jc w:val="left"/>
        <w:rPr>
          <w:sz w:val="21"/>
        </w:rPr>
      </w:pPr>
      <w:r>
        <w:rPr>
          <w:sz w:val="21"/>
        </w:rPr>
        <w:t>如果出现差错的当事人未按规定对受损方进行赔偿，并且依据法律、行政法规、</w:t>
      </w:r>
    </w:p>
    <w:p>
      <w:pPr>
        <w:pStyle w:val="BodyText"/>
        <w:spacing w:line="364" w:lineRule="auto" w:before="140"/>
        <w:ind w:left="376" w:right="794"/>
        <w:jc w:val="both"/>
      </w:pPr>
      <w:r>
        <w:rPr>
          <w:spacing w:val="-10"/>
        </w:rPr>
        <w:t>《基金合同》或其他规定，基金管理人自行或依据法院判决、仲裁裁决对受损方承担了赔偿责任，则基金管理人有权向出现过错的当事人进行追索，并有权要求其赔偿或补偿由此发生</w:t>
      </w:r>
      <w:r>
        <w:rPr/>
        <w:t>的费用和遭受的损失。</w:t>
      </w:r>
    </w:p>
    <w:p>
      <w:pPr>
        <w:pStyle w:val="ListParagraph"/>
        <w:numPr>
          <w:ilvl w:val="0"/>
          <w:numId w:val="36"/>
        </w:numPr>
        <w:tabs>
          <w:tab w:pos="1428" w:val="left" w:leader="none"/>
        </w:tabs>
        <w:spacing w:line="268" w:lineRule="exact" w:before="0" w:after="0"/>
        <w:ind w:left="1428" w:right="0" w:hanging="632"/>
        <w:jc w:val="left"/>
        <w:rPr>
          <w:sz w:val="21"/>
        </w:rPr>
      </w:pPr>
      <w:r>
        <w:rPr>
          <w:sz w:val="21"/>
        </w:rPr>
        <w:t>按法律法规规定的其他原则处理差错。</w:t>
      </w:r>
    </w:p>
    <w:p>
      <w:pPr>
        <w:pStyle w:val="BodyText"/>
        <w:spacing w:before="139"/>
      </w:pPr>
      <w:r>
        <w:rPr/>
        <w:t>3、差错处理程序</w:t>
      </w:r>
    </w:p>
    <w:p>
      <w:pPr>
        <w:pStyle w:val="BodyText"/>
        <w:spacing w:before="140"/>
      </w:pPr>
      <w:r>
        <w:rPr/>
        <w:t>差错被发现后，有关的当事人应当及时进行处理，处理的程序如下：</w:t>
      </w:r>
    </w:p>
    <w:p>
      <w:pPr>
        <w:pStyle w:val="ListParagraph"/>
        <w:numPr>
          <w:ilvl w:val="0"/>
          <w:numId w:val="37"/>
        </w:numPr>
        <w:tabs>
          <w:tab w:pos="1324" w:val="left" w:leader="none"/>
        </w:tabs>
        <w:spacing w:line="364" w:lineRule="auto" w:before="139" w:after="0"/>
        <w:ind w:left="376" w:right="795" w:firstLine="420"/>
        <w:jc w:val="left"/>
        <w:rPr>
          <w:sz w:val="21"/>
        </w:rPr>
      </w:pPr>
      <w:r>
        <w:rPr>
          <w:sz w:val="21"/>
        </w:rPr>
        <w:t>查明差错发生的原因，列明所有的当事人，并根据差错发生的原因确定差错的责任方；</w:t>
      </w:r>
    </w:p>
    <w:p>
      <w:pPr>
        <w:pStyle w:val="ListParagraph"/>
        <w:numPr>
          <w:ilvl w:val="0"/>
          <w:numId w:val="37"/>
        </w:numPr>
        <w:tabs>
          <w:tab w:pos="1323" w:val="left" w:leader="none"/>
        </w:tabs>
        <w:spacing w:line="268" w:lineRule="exact" w:before="0" w:after="0"/>
        <w:ind w:left="1323" w:right="0" w:hanging="527"/>
        <w:jc w:val="left"/>
        <w:rPr>
          <w:sz w:val="21"/>
        </w:rPr>
      </w:pPr>
      <w:r>
        <w:rPr>
          <w:sz w:val="21"/>
        </w:rPr>
        <w:t>根据差错处理原则或当事人协商的方法对因差错造成的损失进行评估；</w:t>
      </w:r>
    </w:p>
    <w:p>
      <w:pPr>
        <w:pStyle w:val="ListParagraph"/>
        <w:numPr>
          <w:ilvl w:val="0"/>
          <w:numId w:val="37"/>
        </w:numPr>
        <w:tabs>
          <w:tab w:pos="1323" w:val="left" w:leader="none"/>
        </w:tabs>
        <w:spacing w:line="240" w:lineRule="auto" w:before="140" w:after="0"/>
        <w:ind w:left="1323" w:right="0" w:hanging="527"/>
        <w:jc w:val="left"/>
        <w:rPr>
          <w:sz w:val="21"/>
        </w:rPr>
      </w:pPr>
      <w:r>
        <w:rPr>
          <w:sz w:val="21"/>
        </w:rPr>
        <w:t>根据差错处理原则或当事人协商的方法由差错的责任方进行更正和赔偿损失；</w:t>
      </w:r>
    </w:p>
    <w:p>
      <w:pPr>
        <w:pStyle w:val="ListParagraph"/>
        <w:numPr>
          <w:ilvl w:val="0"/>
          <w:numId w:val="37"/>
        </w:numPr>
        <w:tabs>
          <w:tab w:pos="1324" w:val="left" w:leader="none"/>
        </w:tabs>
        <w:spacing w:line="364" w:lineRule="auto" w:before="139" w:after="0"/>
        <w:ind w:left="376" w:right="795" w:firstLine="420"/>
        <w:jc w:val="left"/>
        <w:rPr>
          <w:sz w:val="21"/>
        </w:rPr>
      </w:pPr>
      <w:r>
        <w:rPr>
          <w:sz w:val="21"/>
        </w:rPr>
        <w:t>根据差错处理的方法，需要修改基金登记结算机构的交易数据的，由基金登记结算机构进行更正，并就差错的更正向有关当事人进行确认；</w:t>
      </w:r>
    </w:p>
    <w:p>
      <w:pPr>
        <w:pStyle w:val="ListParagraph"/>
        <w:numPr>
          <w:ilvl w:val="0"/>
          <w:numId w:val="37"/>
        </w:numPr>
        <w:tabs>
          <w:tab w:pos="1324" w:val="left" w:leader="none"/>
        </w:tabs>
        <w:spacing w:line="364" w:lineRule="auto" w:before="0" w:after="0"/>
        <w:ind w:left="376" w:right="585" w:firstLine="420"/>
        <w:jc w:val="left"/>
        <w:rPr>
          <w:sz w:val="21"/>
        </w:rPr>
      </w:pPr>
      <w:r>
        <w:rPr>
          <w:sz w:val="21"/>
        </w:rPr>
        <w:t>基金管理人及基金托管人基金份额净值计算错误偏差达到基金份额净值的0.5%时， 基金管理人应当公告并报中国证监会备案。</w:t>
      </w:r>
    </w:p>
    <w:p>
      <w:pPr>
        <w:pStyle w:val="Heading2"/>
        <w:jc w:val="both"/>
      </w:pPr>
      <w:bookmarkStart w:name="_bookmark73" w:id="74"/>
      <w:bookmarkEnd w:id="74"/>
      <w:r>
        <w:rPr/>
      </w:r>
      <w:r>
        <w:rPr/>
        <w:t>七、 暂停估值的情形</w:t>
      </w:r>
    </w:p>
    <w:p>
      <w:pPr>
        <w:pStyle w:val="BodyText"/>
        <w:spacing w:line="364" w:lineRule="auto" w:before="184"/>
        <w:ind w:left="376" w:right="795" w:firstLine="420"/>
      </w:pPr>
      <w:r>
        <w:rPr/>
        <w:t>1、基金投资所涉及的境外投资主要市场或外汇市场遇法定节假日或因其他原因停市或休市时；</w:t>
      </w:r>
    </w:p>
    <w:p>
      <w:pPr>
        <w:pStyle w:val="BodyText"/>
        <w:spacing w:line="268" w:lineRule="exact"/>
      </w:pPr>
      <w:r>
        <w:rPr/>
        <w:t>2、因不可抗力或其他情形致使基金管理人无法准确评估基金资产价值时；</w:t>
      </w:r>
    </w:p>
    <w:p>
      <w:pPr>
        <w:pStyle w:val="BodyText"/>
        <w:spacing w:line="364" w:lineRule="auto" w:before="140"/>
        <w:ind w:left="376" w:right="795" w:firstLine="420"/>
      </w:pPr>
      <w:r>
        <w:rPr/>
        <w:t>3、占基金相当比例的投资品种的估值出现重大转变，而基金管理人为保障基金份额持有人的利益，已决定延迟估值；</w:t>
      </w:r>
    </w:p>
    <w:p>
      <w:pPr>
        <w:pStyle w:val="BodyText"/>
        <w:spacing w:line="364" w:lineRule="auto"/>
        <w:ind w:left="376" w:right="795" w:firstLine="420"/>
      </w:pPr>
      <w:r>
        <w:rPr/>
        <w:t>4、出现基金管理人认为属于紧急事故的任何情况，导致基金管理人不能出售或评估基金资产时；</w:t>
      </w:r>
    </w:p>
    <w:p>
      <w:pPr>
        <w:pStyle w:val="BodyText"/>
        <w:spacing w:line="364" w:lineRule="auto"/>
        <w:ind w:left="376" w:right="714" w:firstLine="420"/>
      </w:pPr>
      <w:r>
        <w:rPr/>
        <w:t>5、前一估值日基金资产净值50%以上的资产出现无可参考的活跃市场价格且采用估值技术仍导致公允价值存在重大不确定性时，经与基金托管人协商一致的；</w:t>
      </w:r>
    </w:p>
    <w:p>
      <w:pPr>
        <w:spacing w:after="0" w:line="364" w:lineRule="auto"/>
        <w:sectPr>
          <w:pgSz w:w="11910" w:h="16840"/>
          <w:pgMar w:header="0" w:footer="1118" w:top="1380" w:bottom="1380" w:left="1420" w:right="1000"/>
        </w:sectPr>
      </w:pPr>
    </w:p>
    <w:p>
      <w:pPr>
        <w:pStyle w:val="BodyText"/>
        <w:spacing w:before="45"/>
      </w:pPr>
      <w:r>
        <w:rPr/>
        <w:t>6、中国证监会认定的其他情形。</w:t>
      </w:r>
    </w:p>
    <w:p>
      <w:pPr>
        <w:pStyle w:val="Heading2"/>
        <w:tabs>
          <w:tab w:pos="1216" w:val="left" w:leader="none"/>
        </w:tabs>
        <w:spacing w:before="141"/>
      </w:pPr>
      <w:bookmarkStart w:name="_bookmark74" w:id="75"/>
      <w:bookmarkEnd w:id="75"/>
      <w:r>
        <w:rPr/>
      </w:r>
      <w:r>
        <w:rPr/>
        <w:t>八、</w:t>
        <w:tab/>
        <w:t>特殊情形的处理</w:t>
      </w:r>
    </w:p>
    <w:p>
      <w:pPr>
        <w:pStyle w:val="BodyText"/>
        <w:spacing w:line="364" w:lineRule="auto" w:before="184"/>
        <w:ind w:left="376" w:right="794" w:firstLine="420"/>
      </w:pPr>
      <w:r>
        <w:rPr/>
        <w:t>1</w:t>
      </w:r>
      <w:r>
        <w:rPr>
          <w:spacing w:val="-7"/>
        </w:rPr>
        <w:t>、基金管理人按估值方法的第</w:t>
      </w:r>
      <w:r>
        <w:rPr/>
        <w:t>9</w:t>
      </w:r>
      <w:r>
        <w:rPr>
          <w:spacing w:val="-8"/>
        </w:rPr>
        <w:t>项进行估值时，所造成的误差不作为基金资产估值错误</w:t>
      </w:r>
      <w:r>
        <w:rPr/>
        <w:t>处理；</w:t>
      </w:r>
    </w:p>
    <w:p>
      <w:pPr>
        <w:pStyle w:val="BodyText"/>
        <w:spacing w:line="364" w:lineRule="auto"/>
        <w:ind w:left="376" w:right="795" w:firstLine="420"/>
      </w:pPr>
      <w:r>
        <w:rPr/>
        <w:t>2、对于因税收规定调整或其他原因导致基金实际交纳税金与基金按照权责发生制进行估值的应交税金有差异的，相关估值调整不作为基金资产估值错误处理。</w:t>
      </w:r>
    </w:p>
    <w:p>
      <w:pPr>
        <w:pStyle w:val="BodyText"/>
        <w:spacing w:line="364" w:lineRule="auto"/>
        <w:ind w:left="376" w:right="794" w:firstLine="420"/>
        <w:jc w:val="both"/>
      </w:pPr>
      <w:r>
        <w:rPr/>
        <w:t>3、由于不可抗力原因，或由于各家数据服务机构发送的数据错误，本基金管理人和本</w:t>
      </w:r>
      <w:r>
        <w:rPr>
          <w:spacing w:val="-7"/>
        </w:rPr>
        <w:t>基金托管人虽然已经采取必要、适当、合理的措施进行检查，但未能发现错误的，由此造成</w:t>
      </w:r>
      <w:r>
        <w:rPr>
          <w:spacing w:val="-8"/>
        </w:rPr>
        <w:t>的基金资产估值错误，本基金管理人和本基金托管人可以免除赔偿责任。但基金托管人应当</w:t>
      </w:r>
      <w:r>
        <w:rPr/>
        <w:t>积极采取必要的措施消除由此造成的影响。</w:t>
      </w:r>
    </w:p>
    <w:p>
      <w:pPr>
        <w:spacing w:after="0" w:line="364" w:lineRule="auto"/>
        <w:jc w:val="both"/>
        <w:sectPr>
          <w:pgSz w:w="11910" w:h="16840"/>
          <w:pgMar w:header="0" w:footer="1118" w:top="1380" w:bottom="1380" w:left="1420" w:right="1000"/>
        </w:sectPr>
      </w:pPr>
    </w:p>
    <w:p>
      <w:pPr>
        <w:pStyle w:val="Heading1"/>
        <w:tabs>
          <w:tab w:pos="1679" w:val="left" w:leader="none"/>
        </w:tabs>
      </w:pPr>
      <w:bookmarkStart w:name="_bookmark75" w:id="76"/>
      <w:bookmarkEnd w:id="76"/>
      <w:r>
        <w:rPr>
          <w:b w:val="0"/>
        </w:rPr>
      </w:r>
      <w:r>
        <w:rPr/>
        <w:t>第十五节</w:t>
        <w:tab/>
        <w:t>基金的收益与分配</w:t>
      </w:r>
    </w:p>
    <w:p>
      <w:pPr>
        <w:pStyle w:val="Heading2"/>
        <w:tabs>
          <w:tab w:pos="1216" w:val="left" w:leader="none"/>
        </w:tabs>
        <w:spacing w:before="139"/>
      </w:pPr>
      <w:bookmarkStart w:name="_bookmark76" w:id="77"/>
      <w:bookmarkEnd w:id="77"/>
      <w:r>
        <w:rPr/>
      </w:r>
      <w:r>
        <w:rPr/>
        <w:t>一、</w:t>
        <w:tab/>
        <w:t>基金利润的构成</w:t>
      </w:r>
    </w:p>
    <w:p>
      <w:pPr>
        <w:pStyle w:val="BodyText"/>
        <w:spacing w:line="364" w:lineRule="auto" w:before="185"/>
        <w:ind w:left="376" w:right="794"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Heading2"/>
        <w:tabs>
          <w:tab w:pos="1216" w:val="left" w:leader="none"/>
        </w:tabs>
      </w:pPr>
      <w:bookmarkStart w:name="_bookmark77" w:id="78"/>
      <w:bookmarkEnd w:id="78"/>
      <w:r>
        <w:rPr/>
      </w:r>
      <w:r>
        <w:rPr/>
        <w:t>二、</w:t>
        <w:tab/>
        <w:t>基金可供分配利润</w:t>
      </w:r>
    </w:p>
    <w:p>
      <w:pPr>
        <w:pStyle w:val="BodyText"/>
        <w:spacing w:line="364" w:lineRule="auto" w:before="185"/>
        <w:ind w:left="376" w:right="795" w:firstLine="420"/>
      </w:pPr>
      <w:r>
        <w:rPr/>
        <w:t>基金可供分配利润指截至收益分配基准日基金未分配利润与未分配利润中已实现收益的孰低数。</w:t>
      </w:r>
    </w:p>
    <w:p>
      <w:pPr>
        <w:pStyle w:val="Heading2"/>
        <w:tabs>
          <w:tab w:pos="1216" w:val="left" w:leader="none"/>
        </w:tabs>
      </w:pPr>
      <w:bookmarkStart w:name="_bookmark78" w:id="79"/>
      <w:bookmarkEnd w:id="79"/>
      <w:r>
        <w:rPr/>
      </w:r>
      <w:r>
        <w:rPr/>
        <w:t>三、</w:t>
        <w:tab/>
        <w:t>基金收益分配原则</w:t>
      </w:r>
    </w:p>
    <w:p>
      <w:pPr>
        <w:pStyle w:val="BodyText"/>
        <w:spacing w:before="185"/>
      </w:pPr>
      <w:r>
        <w:rPr/>
        <w:t>本基金收益分配应遵循下列原则：</w:t>
      </w:r>
    </w:p>
    <w:p>
      <w:pPr>
        <w:pStyle w:val="BodyText"/>
        <w:spacing w:line="364" w:lineRule="auto" w:before="139"/>
        <w:ind w:left="376" w:right="795" w:firstLine="420"/>
      </w:pPr>
      <w:r>
        <w:rPr/>
        <w:t>1、本基金A类基金份额和C类基金份额在费用收取上不同，其分别对应的可分配收益可能有所不同。同一类别的每一基金份额享有同等分配权；</w:t>
      </w:r>
    </w:p>
    <w:p>
      <w:pPr>
        <w:pStyle w:val="BodyText"/>
        <w:spacing w:line="364" w:lineRule="auto"/>
        <w:ind w:left="376" w:right="794" w:firstLine="420"/>
        <w:jc w:val="both"/>
      </w:pPr>
      <w:r>
        <w:rPr/>
        <w:t>2、基金收益分配基准日的基金份额净值减去每单位基金份额收益分配金额后不能低于</w:t>
      </w:r>
      <w:r>
        <w:rPr>
          <w:spacing w:val="-11"/>
        </w:rPr>
        <w:t>面值；即基金收益分配基准日人民币基金份额的基金份额净值减去每单位基金份额收益分配</w:t>
      </w:r>
      <w:r>
        <w:rPr>
          <w:spacing w:val="-10"/>
        </w:rPr>
        <w:t>金额后不能低于面值；对于美元现汇基金份额，由于汇率因素影响，收益分配后美元现汇基</w:t>
      </w:r>
      <w:r>
        <w:rPr/>
        <w:t>金份额的基金份额净值可能低于对应的基金份额面值；</w:t>
      </w:r>
    </w:p>
    <w:p>
      <w:pPr>
        <w:pStyle w:val="BodyText"/>
        <w:spacing w:line="364" w:lineRule="auto"/>
        <w:ind w:left="376" w:right="795" w:firstLine="420"/>
        <w:jc w:val="both"/>
      </w:pPr>
      <w:r>
        <w:rPr/>
        <w:t>3、在符合有关基金分红条件的前提下，本基金每年收益分配次数最多为12次，每份基金份额每次收益分配比例不低于收益分配基准日每份基金份额可供分配利润的10%；若《基金合同》生效不满3个月可不进行收益分配；</w:t>
      </w:r>
    </w:p>
    <w:p>
      <w:pPr>
        <w:pStyle w:val="BodyText"/>
        <w:spacing w:line="364" w:lineRule="auto"/>
        <w:ind w:left="376" w:right="794" w:firstLine="420"/>
        <w:jc w:val="both"/>
      </w:pPr>
      <w:r>
        <w:rPr/>
        <w:t>4、本基金场外份额收益分配方式分为现金分红与红利再投资，基金份额持有人可选择</w:t>
      </w:r>
      <w:r>
        <w:rPr>
          <w:spacing w:val="-4"/>
        </w:rPr>
        <w:t>获取现金红利或将现金红利自动转为对应类别的基金份额进行再投资，红利再投资的计算方</w:t>
      </w:r>
      <w:r>
        <w:rPr>
          <w:spacing w:val="-7"/>
        </w:rPr>
        <w:t>法等有关事项遵循登记结算机构的相关规定；若基金份额持有人不选择，本基金场外份额默认的收益分配方式是现金分红。本基金场内份额只能采取现金分红方式，基金份额持有人不</w:t>
      </w:r>
      <w:r>
        <w:rPr/>
        <w:t>能选择红利再投资；</w:t>
      </w:r>
    </w:p>
    <w:p>
      <w:pPr>
        <w:pStyle w:val="BodyText"/>
        <w:spacing w:line="364" w:lineRule="auto"/>
        <w:ind w:left="376" w:right="585" w:firstLine="420"/>
      </w:pPr>
      <w:r>
        <w:rPr/>
        <w:t>5、人民币基金份额的现金分红分配币种为人民币，美元基金份额现金分红币种为美元； </w:t>
      </w:r>
      <w:r>
        <w:rPr>
          <w:spacing w:val="-4"/>
        </w:rPr>
        <w:t>不同币种份额红利再投资适用的净值为该币种份额的净值；不同类别美元份额的每份额分配 </w:t>
      </w:r>
      <w:r>
        <w:rPr>
          <w:spacing w:val="2"/>
        </w:rPr>
        <w:t>金额为对应类别人民币份额的每份额分配数额按照按照权益登记日前一工作日美元估值汇 </w:t>
      </w:r>
      <w:r>
        <w:rPr>
          <w:spacing w:val="-5"/>
        </w:rPr>
        <w:t>率折算后的美元金额，计算结果以美元为单位，四舍五入，保留到小数点后四位，由此误差 产生的损失由基金财产承担，产生的收益归基金财产所有；</w:t>
      </w:r>
    </w:p>
    <w:p>
      <w:pPr>
        <w:pStyle w:val="BodyText"/>
        <w:spacing w:line="267" w:lineRule="exact"/>
      </w:pPr>
      <w:r>
        <w:rPr/>
        <w:t>6、法律法规或监管机构另有规定的，从其规定。</w:t>
      </w:r>
    </w:p>
    <w:p>
      <w:pPr>
        <w:pStyle w:val="Heading2"/>
        <w:tabs>
          <w:tab w:pos="1216" w:val="left" w:leader="none"/>
        </w:tabs>
        <w:spacing w:before="134"/>
      </w:pPr>
      <w:bookmarkStart w:name="_bookmark79" w:id="80"/>
      <w:bookmarkEnd w:id="80"/>
      <w:r>
        <w:rPr/>
      </w:r>
      <w:r>
        <w:rPr/>
        <w:t>四、</w:t>
        <w:tab/>
        <w:t>收益分配方案</w:t>
      </w:r>
    </w:p>
    <w:p>
      <w:pPr>
        <w:pStyle w:val="BodyText"/>
        <w:spacing w:line="364" w:lineRule="auto" w:before="185"/>
        <w:ind w:left="376" w:right="714" w:firstLine="420"/>
      </w:pPr>
      <w:r>
        <w:rPr/>
        <w:t>基金收益分配方案中应载明基金截至收益分配基准日的可供分配利润、基金收益分配对象、分配时间、分配数额及比例、分配方式等内容。</w:t>
      </w:r>
    </w:p>
    <w:p>
      <w:pPr>
        <w:spacing w:after="0" w:line="364" w:lineRule="auto"/>
        <w:sectPr>
          <w:pgSz w:w="11910" w:h="16840"/>
          <w:pgMar w:header="0" w:footer="1118" w:top="1400" w:bottom="1380" w:left="1420" w:right="1000"/>
        </w:sectPr>
      </w:pPr>
    </w:p>
    <w:p>
      <w:pPr>
        <w:pStyle w:val="Heading2"/>
        <w:tabs>
          <w:tab w:pos="1216" w:val="left" w:leader="none"/>
        </w:tabs>
        <w:spacing w:before="46"/>
      </w:pPr>
      <w:bookmarkStart w:name="_bookmark80" w:id="81"/>
      <w:bookmarkEnd w:id="81"/>
      <w:r>
        <w:rPr/>
      </w:r>
      <w:r>
        <w:rPr/>
        <w:t>五、</w:t>
        <w:tab/>
        <w:t>收益分配方案的确定、公告与实施</w:t>
      </w:r>
    </w:p>
    <w:p>
      <w:pPr>
        <w:pStyle w:val="Heading4"/>
        <w:spacing w:line="364" w:lineRule="auto" w:before="185"/>
      </w:pPr>
      <w:r>
        <w:rPr>
          <w:spacing w:val="-6"/>
        </w:rPr>
        <w:t>本基金收益分配方案由基金管理人拟定，并由基金托管人复核，在指定媒介</w:t>
      </w:r>
      <w:r>
        <w:rPr/>
        <w:t>上公告。</w:t>
      </w:r>
    </w:p>
    <w:p>
      <w:pPr>
        <w:pStyle w:val="BodyText"/>
        <w:spacing w:line="364" w:lineRule="auto"/>
        <w:ind w:right="1968"/>
      </w:pPr>
      <w:r>
        <w:rPr/>
        <w:t>本基金收益分配的发放日距离收益分配基准日的时间不超过15个工作日。法律法规或监管机关另有规定的，从其规定。</w:t>
      </w:r>
    </w:p>
    <w:p>
      <w:pPr>
        <w:pStyle w:val="Heading2"/>
        <w:tabs>
          <w:tab w:pos="1216" w:val="left" w:leader="none"/>
        </w:tabs>
      </w:pPr>
      <w:bookmarkStart w:name="_bookmark81" w:id="82"/>
      <w:bookmarkEnd w:id="82"/>
      <w:r>
        <w:rPr/>
      </w:r>
      <w:r>
        <w:rPr/>
        <w:t>六、</w:t>
        <w:tab/>
        <w:t>基金收益分配中发生的费用</w:t>
      </w:r>
    </w:p>
    <w:p>
      <w:pPr>
        <w:pStyle w:val="BodyText"/>
        <w:spacing w:line="364" w:lineRule="auto" w:before="184"/>
        <w:ind w:left="376" w:right="794" w:firstLine="420"/>
        <w:jc w:val="both"/>
      </w:pPr>
      <w:r>
        <w:rPr>
          <w:spacing w:val="-5"/>
        </w:rPr>
        <w:t>收益分配时所发生的银行汇划费用由投资者自行承担。当投资者的现金红利小于一定金</w:t>
      </w:r>
      <w:r>
        <w:rPr>
          <w:spacing w:val="-10"/>
        </w:rPr>
        <w:t>额，不足于支付银行转账或其他手续费用时，登记结算机构可将基金份额持有人的现金红利</w:t>
      </w:r>
      <w:r>
        <w:rPr/>
        <w:t>自动转为对应类别的基金份额。红利再投资的计算方法，依照《业务规则》执行。</w:t>
      </w:r>
    </w:p>
    <w:p>
      <w:pPr>
        <w:spacing w:after="0" w:line="364" w:lineRule="auto"/>
        <w:jc w:val="both"/>
        <w:sectPr>
          <w:pgSz w:w="11910" w:h="16840"/>
          <w:pgMar w:header="0" w:footer="1118" w:top="1380" w:bottom="1380" w:left="1420" w:right="1000"/>
        </w:sectPr>
      </w:pPr>
    </w:p>
    <w:p>
      <w:pPr>
        <w:pStyle w:val="Heading1"/>
        <w:tabs>
          <w:tab w:pos="1679" w:val="left" w:leader="none"/>
        </w:tabs>
      </w:pPr>
      <w:bookmarkStart w:name="_bookmark82" w:id="83"/>
      <w:bookmarkEnd w:id="83"/>
      <w:r>
        <w:rPr>
          <w:b w:val="0"/>
        </w:rPr>
      </w:r>
      <w:r>
        <w:rPr/>
        <w:t>第十六节</w:t>
        <w:tab/>
        <w:t>基金的会计与审计</w:t>
      </w:r>
    </w:p>
    <w:p>
      <w:pPr>
        <w:pStyle w:val="Heading2"/>
        <w:spacing w:before="139"/>
        <w:jc w:val="both"/>
      </w:pPr>
      <w:bookmarkStart w:name="_bookmark83" w:id="84"/>
      <w:bookmarkEnd w:id="84"/>
      <w:r>
        <w:rPr/>
      </w:r>
      <w:r>
        <w:rPr/>
        <w:t>一、 基金会计政策</w:t>
      </w:r>
    </w:p>
    <w:p>
      <w:pPr>
        <w:pStyle w:val="BodyText"/>
        <w:spacing w:before="185"/>
      </w:pPr>
      <w:r>
        <w:rPr/>
        <w:t>1、基金管理人为本基金的基金会计责任方；</w:t>
      </w:r>
    </w:p>
    <w:p>
      <w:pPr>
        <w:pStyle w:val="BodyText"/>
        <w:spacing w:before="139"/>
      </w:pPr>
      <w:r>
        <w:rPr/>
        <w:t>2、基金的会计年度为公历年度的1月1日至12月31日；</w:t>
      </w:r>
    </w:p>
    <w:p>
      <w:pPr>
        <w:pStyle w:val="BodyText"/>
        <w:spacing w:before="139"/>
      </w:pPr>
      <w:r>
        <w:rPr/>
        <w:t>3、基金核算以人民币为记账本位币，以人民币元为记账单位；</w:t>
      </w:r>
    </w:p>
    <w:p>
      <w:pPr>
        <w:pStyle w:val="BodyText"/>
        <w:spacing w:before="140"/>
      </w:pPr>
      <w:r>
        <w:rPr/>
        <w:t>4、会计制度执行国家有关会计制度；</w:t>
      </w:r>
    </w:p>
    <w:p>
      <w:pPr>
        <w:pStyle w:val="BodyText"/>
        <w:spacing w:before="139"/>
      </w:pPr>
      <w:r>
        <w:rPr/>
        <w:t>5、本基金独立建账、独立核算；</w:t>
      </w:r>
    </w:p>
    <w:p>
      <w:pPr>
        <w:pStyle w:val="BodyText"/>
        <w:spacing w:line="364" w:lineRule="auto" w:before="140"/>
        <w:ind w:left="376" w:right="795" w:firstLine="420"/>
      </w:pPr>
      <w:r>
        <w:rPr/>
        <w:t>6、基金管理人及基金托管人各自保留完整的会计账目、凭证并进行日常的会计核算， 按照有关规定编制基金会计报表；</w:t>
      </w:r>
    </w:p>
    <w:p>
      <w:pPr>
        <w:pStyle w:val="BodyText"/>
        <w:spacing w:line="364" w:lineRule="auto"/>
        <w:ind w:left="376" w:right="795" w:firstLine="420"/>
      </w:pPr>
      <w:r>
        <w:rPr/>
        <w:t>7、基金托管人定期与基金管理人就基金的会计核算、报表编制等进行核对并以书面方式确认。</w:t>
      </w:r>
    </w:p>
    <w:p>
      <w:pPr>
        <w:pStyle w:val="BodyText"/>
        <w:spacing w:line="364" w:lineRule="auto"/>
        <w:ind w:left="376" w:right="795" w:firstLine="420"/>
      </w:pPr>
      <w:r>
        <w:rPr/>
        <w:t>8、基金管理人在会计年度结束后60个工作日内向证监会提交包括衍生品头寸及风险分析年度报告。</w:t>
      </w:r>
    </w:p>
    <w:p>
      <w:pPr>
        <w:pStyle w:val="Heading2"/>
        <w:jc w:val="both"/>
      </w:pPr>
      <w:bookmarkStart w:name="_bookmark84" w:id="85"/>
      <w:bookmarkEnd w:id="85"/>
      <w:r>
        <w:rPr/>
      </w:r>
      <w:r>
        <w:rPr/>
        <w:t>二、 基金年度审计</w:t>
      </w:r>
    </w:p>
    <w:p>
      <w:pPr>
        <w:pStyle w:val="Heading4"/>
        <w:spacing w:line="364" w:lineRule="auto" w:before="183"/>
        <w:jc w:val="both"/>
      </w:pPr>
      <w:r>
        <w:rPr/>
        <w:t>1、基金管理人聘请与基金管理人、基金托管人相互独立的具有证券、期货相关业务资格的会计师事务所及其注册会计师对本基金的年度财务报表进行审计；</w:t>
      </w:r>
    </w:p>
    <w:p>
      <w:pPr>
        <w:pStyle w:val="Heading4"/>
        <w:spacing w:line="306" w:lineRule="exact"/>
        <w:ind w:left="856" w:right="0" w:firstLine="0"/>
      </w:pPr>
      <w:r>
        <w:rPr/>
        <w:t>2、会计师事务所更换经办注册会计师，应事先征得基金管理人同意；</w:t>
      </w:r>
    </w:p>
    <w:p>
      <w:pPr>
        <w:pStyle w:val="Heading4"/>
        <w:spacing w:line="364" w:lineRule="auto" w:before="160"/>
      </w:pPr>
      <w:r>
        <w:rPr/>
        <w:t>3、基金管理人认为有充足理由更换会计师事务所，须通知基金托管人。更换会计师事务所需在2日内在指定媒介上公告。</w:t>
      </w:r>
    </w:p>
    <w:p>
      <w:pPr>
        <w:spacing w:after="0" w:line="364" w:lineRule="auto"/>
        <w:sectPr>
          <w:pgSz w:w="11910" w:h="16840"/>
          <w:pgMar w:header="0" w:footer="1118" w:top="1400" w:bottom="1380" w:left="1420" w:right="1000"/>
        </w:sectPr>
      </w:pPr>
    </w:p>
    <w:p>
      <w:pPr>
        <w:pStyle w:val="Heading1"/>
        <w:tabs>
          <w:tab w:pos="1679" w:val="left" w:leader="none"/>
        </w:tabs>
      </w:pPr>
      <w:bookmarkStart w:name="_bookmark85" w:id="86"/>
      <w:bookmarkEnd w:id="86"/>
      <w:r>
        <w:rPr>
          <w:b w:val="0"/>
        </w:rPr>
      </w:r>
      <w:r>
        <w:rPr/>
        <w:t>第十七节</w:t>
        <w:tab/>
        <w:t>基金的信息披露</w:t>
      </w:r>
    </w:p>
    <w:p>
      <w:pPr>
        <w:spacing w:line="364" w:lineRule="auto" w:before="139"/>
        <w:ind w:left="376" w:right="794" w:firstLine="0"/>
        <w:jc w:val="left"/>
        <w:rPr>
          <w:sz w:val="28"/>
        </w:rPr>
      </w:pPr>
      <w:r>
        <w:rPr>
          <w:spacing w:val="-29"/>
          <w:sz w:val="28"/>
        </w:rPr>
        <w:t>一、本基金的信息披露应符合《基金法》、《运作办法》、《信息披露办</w:t>
      </w:r>
      <w:r>
        <w:rPr>
          <w:spacing w:val="-20"/>
          <w:sz w:val="28"/>
        </w:rPr>
        <w:t>法》、《基金合同》及其他有关规定。</w:t>
      </w:r>
    </w:p>
    <w:p>
      <w:pPr>
        <w:spacing w:line="358" w:lineRule="exact" w:before="0"/>
        <w:ind w:left="376" w:right="0" w:firstLine="0"/>
        <w:jc w:val="left"/>
        <w:rPr>
          <w:sz w:val="28"/>
        </w:rPr>
      </w:pPr>
      <w:r>
        <w:rPr>
          <w:sz w:val="28"/>
        </w:rPr>
        <w:t>二、信息披露义务人</w:t>
      </w:r>
    </w:p>
    <w:p>
      <w:pPr>
        <w:pStyle w:val="BodyText"/>
        <w:spacing w:line="364" w:lineRule="auto" w:before="185"/>
        <w:ind w:left="376" w:right="794"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376" w:right="794"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376" w:right="794" w:firstLine="420"/>
        <w:jc w:val="both"/>
      </w:pPr>
      <w:r>
        <w:rPr>
          <w:spacing w:val="-5"/>
        </w:rPr>
        <w:t>本基金信息披露义务人应当在中国证监会规定时间内，将应予披露的基金信息通过中国</w:t>
      </w:r>
      <w:r>
        <w:rPr>
          <w:spacing w:val="-7"/>
        </w:rPr>
        <w:t>证监会指定的媒介披露，并保证投资者能够按照《基金合同》约定的时间和方式查阅或者复</w:t>
      </w:r>
      <w:r>
        <w:rPr/>
        <w:t>制公开披露的信息资料。</w:t>
      </w:r>
    </w:p>
    <w:p>
      <w:pPr>
        <w:spacing w:line="364" w:lineRule="auto" w:before="0"/>
        <w:ind w:left="376" w:right="794" w:firstLine="0"/>
        <w:jc w:val="left"/>
        <w:rPr>
          <w:sz w:val="28"/>
        </w:rPr>
      </w:pPr>
      <w:r>
        <w:rPr>
          <w:spacing w:val="-10"/>
          <w:sz w:val="28"/>
        </w:rPr>
        <w:t>三、本基金信息披露义务人承诺公开披露的基金信息，不得有下列行</w:t>
      </w:r>
      <w:r>
        <w:rPr>
          <w:sz w:val="28"/>
        </w:rPr>
        <w:t>为：</w:t>
      </w:r>
    </w:p>
    <w:p>
      <w:pPr>
        <w:pStyle w:val="BodyText"/>
        <w:spacing w:line="267" w:lineRule="exact"/>
      </w:pPr>
      <w:r>
        <w:rPr/>
        <w:t>1、虚假记载、误导性陈述或者重大遗漏；</w:t>
      </w:r>
    </w:p>
    <w:p>
      <w:pPr>
        <w:pStyle w:val="BodyText"/>
        <w:spacing w:before="136"/>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spacing w:line="620" w:lineRule="atLeast" w:before="10"/>
        <w:ind w:left="376" w:right="794" w:firstLine="560"/>
        <w:jc w:val="both"/>
        <w:rPr>
          <w:sz w:val="28"/>
        </w:rPr>
      </w:pPr>
      <w:r>
        <w:rPr>
          <w:spacing w:val="-10"/>
          <w:sz w:val="28"/>
        </w:rPr>
        <w:t>四、本基金公开披露的信息应采用中文文本。如同时采用外文文本的，基金信息披露义务人应保证不同文本的内容一致。不同文本之</w:t>
      </w:r>
      <w:r>
        <w:rPr>
          <w:sz w:val="28"/>
        </w:rPr>
        <w:t>间发生歧义的，以中文文本为准。</w:t>
      </w:r>
    </w:p>
    <w:p>
      <w:pPr>
        <w:spacing w:line="364" w:lineRule="auto" w:before="143"/>
        <w:ind w:left="376" w:right="794" w:firstLine="0"/>
        <w:jc w:val="both"/>
        <w:rPr>
          <w:sz w:val="28"/>
        </w:rPr>
      </w:pPr>
      <w:r>
        <w:rPr>
          <w:spacing w:val="-7"/>
          <w:sz w:val="28"/>
        </w:rPr>
        <w:t>五、本基金公开披露的信息采用阿拉伯数字；本基金的人民币份额以人民币计算并披露净值及相关信息；美元份额以美元计算并披露净值</w:t>
      </w:r>
      <w:r>
        <w:rPr>
          <w:spacing w:val="-10"/>
          <w:sz w:val="28"/>
        </w:rPr>
        <w:t>及相关信息；其他外币份额</w:t>
      </w:r>
      <w:r>
        <w:rPr>
          <w:sz w:val="28"/>
        </w:rPr>
        <w:t>（如有）</w:t>
      </w:r>
      <w:r>
        <w:rPr>
          <w:spacing w:val="-2"/>
          <w:sz w:val="28"/>
        </w:rPr>
        <w:t>以此类推。除特别说明外，人民</w:t>
      </w:r>
      <w:r>
        <w:rPr>
          <w:sz w:val="28"/>
        </w:rPr>
        <w:t>币份额的货币单位为人民币元，美元份额的货币单位为美元。</w:t>
      </w:r>
    </w:p>
    <w:p>
      <w:pPr>
        <w:spacing w:line="356" w:lineRule="exact" w:before="0"/>
        <w:ind w:left="376" w:right="0" w:firstLine="0"/>
        <w:jc w:val="left"/>
        <w:rPr>
          <w:sz w:val="28"/>
        </w:rPr>
      </w:pPr>
      <w:r>
        <w:rPr>
          <w:sz w:val="28"/>
        </w:rPr>
        <w:t>六、公开披露的基金信息</w:t>
      </w:r>
    </w:p>
    <w:p>
      <w:pPr>
        <w:pStyle w:val="BodyText"/>
        <w:spacing w:before="184"/>
      </w:pPr>
      <w:r>
        <w:rPr/>
        <w:t>公开披露的基金信息包括：</w:t>
      </w:r>
    </w:p>
    <w:p>
      <w:pPr>
        <w:spacing w:after="0"/>
        <w:sectPr>
          <w:pgSz w:w="11910" w:h="16840"/>
          <w:pgMar w:header="0" w:footer="1118" w:top="1400" w:bottom="1380" w:left="1420" w:right="1000"/>
        </w:sectPr>
      </w:pPr>
    </w:p>
    <w:p>
      <w:pPr>
        <w:pStyle w:val="BodyText"/>
        <w:spacing w:before="45"/>
      </w:pPr>
      <w:r>
        <w:rPr/>
        <w:t>（一</w:t>
      </w:r>
      <w:r>
        <w:rPr>
          <w:spacing w:val="-105"/>
        </w:rPr>
        <w:t>）</w:t>
      </w:r>
      <w:r>
        <w:rPr>
          <w:spacing w:val="-25"/>
        </w:rPr>
        <w:t>《招募说明书》、《基金合同》、《托管协议》、基金产品资料概要</w:t>
      </w:r>
    </w:p>
    <w:p>
      <w:pPr>
        <w:pStyle w:val="BodyText"/>
        <w:spacing w:line="364" w:lineRule="auto" w:before="139"/>
        <w:ind w:left="376" w:right="690" w:firstLine="420"/>
      </w:pPr>
      <w:r>
        <w:rPr/>
        <w:t>基金募集申请经中国证监会核准后，基金管理人在基金份额发售的3日前，将《招募说</w:t>
      </w:r>
      <w:r>
        <w:rPr>
          <w:spacing w:val="-17"/>
        </w:rPr>
        <w:t>明书》、《基金合同》摘要登载在指定媒介；基金管理人、基金托管人应当将《基金合同》、</w:t>
      </w:r>
    </w:p>
    <w:p>
      <w:pPr>
        <w:pStyle w:val="BodyText"/>
        <w:spacing w:line="268" w:lineRule="exact"/>
        <w:ind w:left="376"/>
      </w:pPr>
      <w:r>
        <w:rPr/>
        <w:t>《托管协议》登载在网站上。</w:t>
      </w:r>
    </w:p>
    <w:p>
      <w:pPr>
        <w:pStyle w:val="BodyText"/>
        <w:spacing w:line="460" w:lineRule="atLeast" w:before="47"/>
        <w:ind w:left="376" w:right="585" w:firstLine="420"/>
      </w:pPr>
      <w:r>
        <w:rPr/>
        <w:t>1</w:t>
      </w:r>
      <w:r>
        <w:rPr>
          <w:spacing w:val="-18"/>
        </w:rPr>
        <w:t>、《招募说明书》应当最大限度地披露影响基金投资者决策的全部事项，说明基金认购、</w:t>
      </w:r>
      <w:r>
        <w:rPr>
          <w:spacing w:val="-16"/>
        </w:rPr>
        <w:t>申购和赎回安排、基金投资、基金产品特性、风险揭示、信息披露及基金份额持有人服务等 </w:t>
      </w:r>
      <w:r>
        <w:rPr>
          <w:spacing w:val="-11"/>
        </w:rPr>
        <w:t>内容。基金合同生效后，基金招募说明书的信息发生重大变更的，基金管理人应当在三个工 </w:t>
      </w:r>
      <w:r>
        <w:rPr/>
        <w:t>作日内，更新基金招募说明书并登载在指定网站上；基金招募说明书其他信息发生变更的， 基金管理人至少每年更新一次。基金终止运作的，基金管理人不再更新基金招募说明书。</w:t>
      </w:r>
    </w:p>
    <w:p>
      <w:pPr>
        <w:pStyle w:val="BodyText"/>
        <w:spacing w:line="364" w:lineRule="auto" w:before="133"/>
        <w:ind w:left="376" w:right="794" w:firstLine="420"/>
        <w:jc w:val="both"/>
      </w:pPr>
      <w:r>
        <w:rPr/>
        <w:t>2</w:t>
      </w:r>
      <w:r>
        <w:rPr>
          <w:spacing w:val="-16"/>
        </w:rPr>
        <w:t>、《基金合同》是界定《基金合同》当事人的各项权利、义务关系，明确基金份额持有</w:t>
      </w:r>
      <w:r>
        <w:rPr>
          <w:spacing w:val="-8"/>
        </w:rPr>
        <w:t>人大会召开的规则及具体程序，说明基金产品的特性等涉及投资者重大利益的事项的法律文</w:t>
      </w:r>
      <w:r>
        <w:rPr/>
        <w:t>件。</w:t>
      </w:r>
    </w:p>
    <w:p>
      <w:pPr>
        <w:pStyle w:val="BodyText"/>
        <w:spacing w:line="364" w:lineRule="auto"/>
        <w:ind w:left="376" w:right="794" w:firstLine="420"/>
      </w:pPr>
      <w:r>
        <w:rPr/>
        <w:t>3</w:t>
      </w:r>
      <w:r>
        <w:rPr>
          <w:spacing w:val="-16"/>
        </w:rPr>
        <w:t>、《托管协议》是界定基金托管人和基金管理人在基金财产保管及基金运作监督等活动</w:t>
      </w:r>
      <w:r>
        <w:rPr/>
        <w:t>中的权利、义务关系的法律文件。</w:t>
      </w:r>
    </w:p>
    <w:p>
      <w:pPr>
        <w:pStyle w:val="BodyText"/>
        <w:spacing w:line="364" w:lineRule="auto"/>
        <w:ind w:left="376" w:right="794"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1"/>
        </w:rPr>
        <w:t>点；基金产品资料概要其他信息发生变更的，基金管理人至少每年更新一次。基金终止运作</w:t>
      </w:r>
      <w:r>
        <w:rPr/>
        <w:t>的，基金管理人不再更新基金产品资料概要。</w:t>
      </w:r>
    </w:p>
    <w:p>
      <w:pPr>
        <w:pStyle w:val="BodyText"/>
        <w:spacing w:line="267" w:lineRule="exact"/>
      </w:pPr>
      <w:r>
        <w:rPr/>
        <w:t>（二</w:t>
      </w:r>
      <w:r>
        <w:rPr>
          <w:spacing w:val="-105"/>
        </w:rPr>
        <w:t>）</w:t>
      </w:r>
      <w:r>
        <w:rPr/>
        <w:t>《发售公告》</w:t>
      </w:r>
    </w:p>
    <w:p>
      <w:pPr>
        <w:pStyle w:val="BodyText"/>
        <w:spacing w:line="364" w:lineRule="auto" w:before="137"/>
        <w:ind w:left="376" w:right="585" w:firstLine="420"/>
      </w:pPr>
      <w:r>
        <w:rPr>
          <w:spacing w:val="-4"/>
        </w:rPr>
        <w:t>基金管理人应当就基金份额发售的具体事宜编制《发售公告》，并在披露《招募说明书》的当日登载于指定媒介。</w:t>
      </w:r>
    </w:p>
    <w:p>
      <w:pPr>
        <w:pStyle w:val="BodyText"/>
        <w:spacing w:line="268" w:lineRule="exact"/>
      </w:pPr>
      <w:r>
        <w:rPr/>
        <w:t>（三</w:t>
      </w:r>
      <w:r>
        <w:rPr>
          <w:spacing w:val="-105"/>
        </w:rPr>
        <w:t>）</w:t>
      </w:r>
      <w:r>
        <w:rPr/>
        <w:t>《基金合同》生效公告</w:t>
      </w:r>
    </w:p>
    <w:p>
      <w:pPr>
        <w:pStyle w:val="BodyText"/>
        <w:spacing w:before="139"/>
      </w:pPr>
      <w:r>
        <w:rPr/>
        <w:t>基金管理人应当在《基金合同》生效的次日在指定媒介登载《基金合同》生效公告。</w:t>
      </w:r>
    </w:p>
    <w:p>
      <w:pPr>
        <w:pStyle w:val="BodyText"/>
        <w:spacing w:before="140"/>
      </w:pPr>
      <w:r>
        <w:rPr/>
        <w:t>（四）基金净值信息</w:t>
      </w:r>
    </w:p>
    <w:p>
      <w:pPr>
        <w:pStyle w:val="BodyText"/>
        <w:spacing w:line="364" w:lineRule="auto" w:before="139"/>
        <w:ind w:left="376" w:right="794" w:firstLine="420"/>
        <w:jc w:val="both"/>
      </w:pPr>
      <w:r>
        <w:rPr>
          <w:spacing w:val="-10"/>
        </w:rPr>
        <w:t>《基金合同》生效后，在开始办理基金份额申购或者赎回前，基金管理人应当至少每周</w:t>
      </w:r>
      <w:r>
        <w:rPr>
          <w:spacing w:val="-4"/>
        </w:rPr>
        <w:t>在指定网站披露一次人民币基金份额的基金份额净值和基金份额累计净值，至少每周通过基</w:t>
      </w:r>
      <w:r>
        <w:rPr/>
        <w:t>金管理人网站披露一次美元现汇基金份额的基金份额净值和基金份额累计净值。</w:t>
      </w:r>
    </w:p>
    <w:p>
      <w:pPr>
        <w:pStyle w:val="BodyText"/>
        <w:spacing w:line="364" w:lineRule="auto"/>
        <w:ind w:left="376" w:right="794" w:firstLine="420"/>
        <w:jc w:val="both"/>
      </w:pPr>
      <w:r>
        <w:rPr>
          <w:spacing w:val="-7"/>
        </w:rPr>
        <w:t>在开始办理基金份额申购或者赎回后，基金管理人应当在不晚于每个开放日后的第二个</w:t>
      </w:r>
      <w:r>
        <w:rPr>
          <w:spacing w:val="-11"/>
        </w:rPr>
        <w:t>工作日，通过指定网站、基金销售机构网站或者营业网点，披露开放日人民币基金份额的基</w:t>
      </w:r>
      <w:r>
        <w:rPr>
          <w:spacing w:val="-7"/>
        </w:rPr>
        <w:t>金份额净值和基金份额累计净值，通过基金管理人网站披露开放日美元现汇基金份额的基金</w:t>
      </w:r>
      <w:r>
        <w:rPr/>
        <w:t>份额净值和基金份额累计净值。</w:t>
      </w:r>
    </w:p>
    <w:p>
      <w:pPr>
        <w:pStyle w:val="BodyText"/>
        <w:spacing w:line="267" w:lineRule="exact"/>
      </w:pPr>
      <w:r>
        <w:rPr/>
        <w:t>基金管理人应当在不晚于半年度和年度最后一日后的第二个工作日，在指定网站披露半</w:t>
      </w:r>
    </w:p>
    <w:p>
      <w:pPr>
        <w:spacing w:after="0" w:line="267" w:lineRule="exact"/>
        <w:sectPr>
          <w:pgSz w:w="11910" w:h="16840"/>
          <w:pgMar w:header="0" w:footer="1118" w:top="1380" w:bottom="1380" w:left="1420" w:right="1000"/>
        </w:sectPr>
      </w:pPr>
    </w:p>
    <w:p>
      <w:pPr>
        <w:pStyle w:val="BodyText"/>
        <w:spacing w:line="364" w:lineRule="auto" w:before="45"/>
        <w:ind w:left="376" w:right="714"/>
      </w:pPr>
      <w:r>
        <w:rPr/>
        <w:t>年度和年度最后一日人民币基金份额的基金份额净值和基金份额累计净值，在基金管理人网站披露半年度和年度最后一日美元现汇基金份额的基金份额净值和基金份额累计净值。</w:t>
      </w:r>
    </w:p>
    <w:p>
      <w:pPr>
        <w:pStyle w:val="BodyText"/>
        <w:spacing w:line="268" w:lineRule="exact"/>
      </w:pPr>
      <w:r>
        <w:rPr/>
        <w:t>（五）基金份额申购、赎回价格</w:t>
      </w:r>
    </w:p>
    <w:p>
      <w:pPr>
        <w:pStyle w:val="BodyText"/>
        <w:spacing w:line="364" w:lineRule="auto" w:before="139"/>
        <w:ind w:left="376" w:right="585" w:firstLine="420"/>
      </w:pPr>
      <w:r>
        <w:rPr>
          <w:spacing w:val="-12"/>
        </w:rPr>
        <w:t>基金管理人应当在《基金合同》、《招募说明书》等信息披露文件上载明基金份额申购、</w:t>
      </w:r>
      <w:r>
        <w:rPr>
          <w:spacing w:val="-17"/>
        </w:rPr>
        <w:t>赎回价格的计算方式及有关申购、赎回费率，并保证投资者能够在基金销售机构网站或营业 网点查阅或者复制前述信息资料。</w:t>
      </w:r>
    </w:p>
    <w:p>
      <w:pPr>
        <w:pStyle w:val="BodyText"/>
        <w:spacing w:line="268" w:lineRule="exact"/>
      </w:pPr>
      <w:r>
        <w:rPr/>
        <w:t>（六）基金定期报告，包括基金年度报告、基金中期报告和基金季度报告</w:t>
      </w:r>
    </w:p>
    <w:p>
      <w:pPr>
        <w:pStyle w:val="BodyText"/>
        <w:spacing w:line="364" w:lineRule="auto" w:before="140"/>
        <w:ind w:left="376" w:right="794"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376" w:right="794"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376" w:right="794" w:firstLine="420"/>
      </w:pPr>
      <w:r>
        <w:rPr/>
        <w:t>基金管理人应当在季度结束之日起15</w:t>
      </w:r>
      <w:r>
        <w:rPr>
          <w:spacing w:val="-11"/>
        </w:rPr>
        <w:t>个工作日内，编制完成基金季度报告，将季度报告</w:t>
      </w:r>
      <w:r>
        <w:rPr/>
        <w:t>登载在指定网站上，并将季度报告提示性公告登载在指定报刊上。</w:t>
      </w:r>
    </w:p>
    <w:p>
      <w:pPr>
        <w:pStyle w:val="BodyText"/>
        <w:spacing w:line="364" w:lineRule="auto"/>
        <w:ind w:left="376" w:right="795" w:firstLine="420"/>
      </w:pPr>
      <w:r>
        <w:rPr/>
        <w:t>《基金合同》生效不足2个月的，基金管理人可以不编制当期季度报告、中期报告或者年度报告。</w:t>
      </w:r>
    </w:p>
    <w:p>
      <w:pPr>
        <w:pStyle w:val="BodyText"/>
        <w:spacing w:line="364" w:lineRule="auto"/>
        <w:ind w:left="376" w:right="585" w:firstLine="420"/>
      </w:pPr>
      <w:r>
        <w:rPr/>
        <w:t>报告期内出现单一投资者持有基金份额比例达到或超过20%的情形，基金管理人应当在 </w:t>
      </w:r>
      <w:r>
        <w:rPr>
          <w:spacing w:val="-9"/>
        </w:rPr>
        <w:t>季度报告、中期报告、年度报告等定期报告文件中披露该投资者的类别、报告期末持有份额 </w:t>
      </w:r>
      <w:r>
        <w:rPr/>
        <w:t>及占比、报告期内持有份额变化情况及产品的特有风险，中国证监会认定的特殊情形除外。</w:t>
      </w:r>
    </w:p>
    <w:p>
      <w:pPr>
        <w:pStyle w:val="BodyText"/>
        <w:spacing w:line="364" w:lineRule="auto"/>
        <w:ind w:left="376" w:right="794" w:firstLine="420"/>
      </w:pPr>
      <w:r>
        <w:rPr>
          <w:spacing w:val="-10"/>
        </w:rPr>
        <w:t>基金持续运作过程中，基金管理人应当在基金年度报告和中期报告中披露基金组合资产</w:t>
      </w:r>
      <w:r>
        <w:rPr/>
        <w:t>情况及其流动性风险分析等。</w:t>
      </w:r>
    </w:p>
    <w:p>
      <w:pPr>
        <w:pStyle w:val="BodyText"/>
        <w:spacing w:line="268" w:lineRule="exact"/>
      </w:pPr>
      <w:r>
        <w:rPr/>
        <w:t>（七）临时报告</w:t>
      </w:r>
    </w:p>
    <w:p>
      <w:pPr>
        <w:pStyle w:val="BodyText"/>
        <w:spacing w:line="364" w:lineRule="auto" w:before="134"/>
        <w:ind w:left="376" w:right="795" w:firstLine="420"/>
      </w:pPr>
      <w:r>
        <w:rPr/>
        <w:t>本基金发生重大事件，有关信息披露义务人应当在2日内编制临时报告书，并登载在指定报刊和指定网站上。</w:t>
      </w:r>
    </w:p>
    <w:p>
      <w:pPr>
        <w:pStyle w:val="BodyText"/>
        <w:spacing w:line="364" w:lineRule="auto"/>
        <w:ind w:left="376" w:right="794" w:firstLine="420"/>
      </w:pPr>
      <w:r>
        <w:rPr>
          <w:spacing w:val="-10"/>
        </w:rPr>
        <w:t>前款所称重大事件，是指可能对基金份额持有人权益或者基金份额的价格产生重大影响</w:t>
      </w:r>
      <w:r>
        <w:rPr/>
        <w:t>的下列事件：</w:t>
      </w:r>
    </w:p>
    <w:p>
      <w:pPr>
        <w:pStyle w:val="ListParagraph"/>
        <w:numPr>
          <w:ilvl w:val="0"/>
          <w:numId w:val="38"/>
        </w:numPr>
        <w:tabs>
          <w:tab w:pos="1323" w:val="left" w:leader="none"/>
        </w:tabs>
        <w:spacing w:line="268" w:lineRule="exact" w:before="0" w:after="0"/>
        <w:ind w:left="1323" w:right="0" w:hanging="527"/>
        <w:jc w:val="left"/>
        <w:rPr>
          <w:sz w:val="21"/>
        </w:rPr>
      </w:pPr>
      <w:r>
        <w:rPr>
          <w:sz w:val="21"/>
        </w:rPr>
        <w:t>基金份额持有人大会的召开及决定的事项；</w:t>
      </w:r>
    </w:p>
    <w:p>
      <w:pPr>
        <w:pStyle w:val="ListParagraph"/>
        <w:numPr>
          <w:ilvl w:val="0"/>
          <w:numId w:val="38"/>
        </w:numPr>
        <w:tabs>
          <w:tab w:pos="1323" w:val="left" w:leader="none"/>
        </w:tabs>
        <w:spacing w:line="240" w:lineRule="auto" w:before="138" w:after="0"/>
        <w:ind w:left="1323" w:right="0" w:hanging="527"/>
        <w:jc w:val="left"/>
        <w:rPr>
          <w:sz w:val="21"/>
        </w:rPr>
      </w:pPr>
      <w:r>
        <w:rPr>
          <w:sz w:val="21"/>
        </w:rPr>
        <w:t>基金终止上市交易、基金合同终止、基金清算；</w:t>
      </w:r>
    </w:p>
    <w:p>
      <w:pPr>
        <w:pStyle w:val="ListParagraph"/>
        <w:numPr>
          <w:ilvl w:val="0"/>
          <w:numId w:val="38"/>
        </w:numPr>
        <w:tabs>
          <w:tab w:pos="1323" w:val="left" w:leader="none"/>
        </w:tabs>
        <w:spacing w:line="240" w:lineRule="auto" w:before="140" w:after="0"/>
        <w:ind w:left="1323" w:right="0" w:hanging="527"/>
        <w:jc w:val="left"/>
        <w:rPr>
          <w:sz w:val="21"/>
        </w:rPr>
      </w:pPr>
      <w:r>
        <w:rPr>
          <w:sz w:val="21"/>
        </w:rPr>
        <w:t>转换基金运作方式、基金合并；</w:t>
      </w:r>
    </w:p>
    <w:p>
      <w:pPr>
        <w:pStyle w:val="ListParagraph"/>
        <w:numPr>
          <w:ilvl w:val="0"/>
          <w:numId w:val="38"/>
        </w:numPr>
        <w:tabs>
          <w:tab w:pos="1323" w:val="left" w:leader="none"/>
        </w:tabs>
        <w:spacing w:line="240" w:lineRule="auto" w:before="139" w:after="0"/>
        <w:ind w:left="1323" w:right="0" w:hanging="527"/>
        <w:jc w:val="left"/>
        <w:rPr>
          <w:sz w:val="21"/>
        </w:rPr>
      </w:pPr>
      <w:r>
        <w:rPr>
          <w:sz w:val="21"/>
        </w:rPr>
        <w:t>更换基金管理人、基金托管人、基金份额登记机构，基金改聘会计师事务所；</w:t>
      </w:r>
    </w:p>
    <w:p>
      <w:pPr>
        <w:pStyle w:val="ListParagraph"/>
        <w:numPr>
          <w:ilvl w:val="0"/>
          <w:numId w:val="38"/>
        </w:numPr>
        <w:tabs>
          <w:tab w:pos="1324" w:val="left" w:leader="none"/>
        </w:tabs>
        <w:spacing w:line="364" w:lineRule="auto" w:before="139" w:after="0"/>
        <w:ind w:left="376" w:right="795"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8"/>
        </w:numPr>
        <w:tabs>
          <w:tab w:pos="1323" w:val="left" w:leader="none"/>
        </w:tabs>
        <w:spacing w:line="268" w:lineRule="exact" w:before="0" w:after="0"/>
        <w:ind w:left="1323" w:right="0" w:hanging="527"/>
        <w:jc w:val="left"/>
        <w:rPr>
          <w:sz w:val="21"/>
        </w:rPr>
      </w:pPr>
      <w:r>
        <w:rPr>
          <w:sz w:val="21"/>
        </w:rPr>
        <w:t>基金管理人、基金托管人的法定名称、住所发生变更；</w:t>
      </w:r>
    </w:p>
    <w:p>
      <w:pPr>
        <w:pStyle w:val="ListParagraph"/>
        <w:numPr>
          <w:ilvl w:val="0"/>
          <w:numId w:val="38"/>
        </w:numPr>
        <w:tabs>
          <w:tab w:pos="1324" w:val="left" w:leader="none"/>
        </w:tabs>
        <w:spacing w:line="240" w:lineRule="auto" w:before="140" w:after="0"/>
        <w:ind w:left="1323" w:right="0" w:hanging="528"/>
        <w:jc w:val="left"/>
        <w:rPr>
          <w:sz w:val="21"/>
        </w:rPr>
      </w:pPr>
      <w:r>
        <w:rPr>
          <w:sz w:val="21"/>
        </w:rPr>
        <w:t>基金管理公司变更持有百分之五以上股权的股东、基金管理人的实际控制人变更；</w:t>
      </w:r>
    </w:p>
    <w:p>
      <w:pPr>
        <w:spacing w:after="0" w:line="240" w:lineRule="auto"/>
        <w:jc w:val="left"/>
        <w:rPr>
          <w:sz w:val="21"/>
        </w:rPr>
        <w:sectPr>
          <w:pgSz w:w="11910" w:h="16840"/>
          <w:pgMar w:header="0" w:footer="1118" w:top="1380" w:bottom="1380" w:left="1420" w:right="1000"/>
        </w:sectPr>
      </w:pPr>
    </w:p>
    <w:p>
      <w:pPr>
        <w:pStyle w:val="ListParagraph"/>
        <w:numPr>
          <w:ilvl w:val="0"/>
          <w:numId w:val="38"/>
        </w:numPr>
        <w:tabs>
          <w:tab w:pos="1323" w:val="left" w:leader="none"/>
        </w:tabs>
        <w:spacing w:line="240" w:lineRule="auto" w:before="45" w:after="0"/>
        <w:ind w:left="1323" w:right="0" w:hanging="527"/>
        <w:jc w:val="left"/>
        <w:rPr>
          <w:sz w:val="21"/>
        </w:rPr>
      </w:pPr>
      <w:r>
        <w:rPr>
          <w:sz w:val="21"/>
        </w:rPr>
        <w:t>基金募集期延长或提前结束募集；</w:t>
      </w:r>
    </w:p>
    <w:p>
      <w:pPr>
        <w:pStyle w:val="ListParagraph"/>
        <w:numPr>
          <w:ilvl w:val="0"/>
          <w:numId w:val="38"/>
        </w:numPr>
        <w:tabs>
          <w:tab w:pos="1324" w:val="left" w:leader="none"/>
        </w:tabs>
        <w:spacing w:line="364" w:lineRule="auto" w:before="139" w:after="0"/>
        <w:ind w:left="376" w:right="795" w:firstLine="420"/>
        <w:jc w:val="left"/>
        <w:rPr>
          <w:sz w:val="21"/>
        </w:rPr>
      </w:pPr>
      <w:r>
        <w:rPr>
          <w:sz w:val="21"/>
        </w:rPr>
        <w:t>基金管理人的高级管理人员、基金经理和基金托管人专门基金托管部门负责人发生变动；</w:t>
      </w:r>
    </w:p>
    <w:p>
      <w:pPr>
        <w:pStyle w:val="ListParagraph"/>
        <w:numPr>
          <w:ilvl w:val="0"/>
          <w:numId w:val="38"/>
        </w:numPr>
        <w:tabs>
          <w:tab w:pos="1428" w:val="left" w:leader="none"/>
        </w:tabs>
        <w:spacing w:line="364" w:lineRule="auto" w:before="0" w:after="0"/>
        <w:ind w:left="376" w:right="794" w:firstLine="420"/>
        <w:jc w:val="left"/>
        <w:rPr>
          <w:sz w:val="21"/>
        </w:rPr>
      </w:pPr>
      <w:r>
        <w:rPr>
          <w:sz w:val="21"/>
        </w:rPr>
        <w:t>基金管理人的董事在最近12</w:t>
      </w:r>
      <w:r>
        <w:rPr>
          <w:spacing w:val="-5"/>
          <w:sz w:val="21"/>
        </w:rPr>
        <w:t>个月内变更超过百分之五十，基金管理人、基金托</w:t>
      </w:r>
      <w:r>
        <w:rPr>
          <w:spacing w:val="-4"/>
          <w:sz w:val="21"/>
        </w:rPr>
        <w:t>管人专门基金托管部门的主要业务人员在最近</w:t>
      </w:r>
      <w:r>
        <w:rPr>
          <w:sz w:val="21"/>
        </w:rPr>
        <w:t>12个月内变动超过百分之三十；</w:t>
      </w:r>
    </w:p>
    <w:p>
      <w:pPr>
        <w:pStyle w:val="ListParagraph"/>
        <w:numPr>
          <w:ilvl w:val="0"/>
          <w:numId w:val="38"/>
        </w:numPr>
        <w:tabs>
          <w:tab w:pos="1428" w:val="left" w:leader="none"/>
        </w:tabs>
        <w:spacing w:line="268" w:lineRule="exact" w:before="0" w:after="0"/>
        <w:ind w:left="1428" w:right="0" w:hanging="632"/>
        <w:jc w:val="left"/>
        <w:rPr>
          <w:sz w:val="21"/>
        </w:rPr>
      </w:pPr>
      <w:r>
        <w:rPr>
          <w:sz w:val="21"/>
        </w:rPr>
        <w:t>涉及基金财产、基金管理业务、基金托管业务的诉讼或仲裁；</w:t>
      </w:r>
    </w:p>
    <w:p>
      <w:pPr>
        <w:pStyle w:val="ListParagraph"/>
        <w:numPr>
          <w:ilvl w:val="0"/>
          <w:numId w:val="38"/>
        </w:numPr>
        <w:tabs>
          <w:tab w:pos="1428" w:val="left" w:leader="none"/>
        </w:tabs>
        <w:spacing w:line="364" w:lineRule="auto" w:before="139" w:after="0"/>
        <w:ind w:left="376" w:right="794" w:firstLine="420"/>
        <w:jc w:val="both"/>
        <w:rPr>
          <w:sz w:val="21"/>
        </w:rPr>
      </w:pPr>
      <w:r>
        <w:rPr>
          <w:spacing w:val="-4"/>
          <w:sz w:val="21"/>
        </w:rPr>
        <w:t>基金管理人或其高级管理人员、基金经理因基金管理业务相关行为受到重大行</w:t>
      </w:r>
      <w:r>
        <w:rPr>
          <w:spacing w:val="-11"/>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38"/>
        </w:numPr>
        <w:tabs>
          <w:tab w:pos="1428" w:val="left" w:leader="none"/>
        </w:tabs>
        <w:spacing w:line="364" w:lineRule="auto" w:before="0" w:after="0"/>
        <w:ind w:left="376" w:right="794"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8"/>
        </w:numPr>
        <w:tabs>
          <w:tab w:pos="1428" w:val="left" w:leader="none"/>
        </w:tabs>
        <w:spacing w:line="268" w:lineRule="exact" w:before="0" w:after="0"/>
        <w:ind w:left="1428" w:right="0" w:hanging="632"/>
        <w:jc w:val="left"/>
        <w:rPr>
          <w:sz w:val="21"/>
        </w:rPr>
      </w:pPr>
      <w:r>
        <w:rPr>
          <w:sz w:val="21"/>
        </w:rPr>
        <w:t>基金收益分配事项；</w:t>
      </w:r>
    </w:p>
    <w:p>
      <w:pPr>
        <w:pStyle w:val="ListParagraph"/>
        <w:numPr>
          <w:ilvl w:val="0"/>
          <w:numId w:val="38"/>
        </w:numPr>
        <w:tabs>
          <w:tab w:pos="1428" w:val="left" w:leader="none"/>
        </w:tabs>
        <w:spacing w:line="364" w:lineRule="auto" w:before="138" w:after="0"/>
        <w:ind w:left="376" w:right="794" w:firstLine="420"/>
        <w:jc w:val="left"/>
        <w:rPr>
          <w:sz w:val="21"/>
        </w:rPr>
      </w:pPr>
      <w:r>
        <w:rPr>
          <w:spacing w:val="-10"/>
          <w:sz w:val="21"/>
        </w:rPr>
        <w:t>管理费、托管费、销售服务费、申购费、赎回费等费用计提标准、计提方式和费</w:t>
      </w:r>
      <w:r>
        <w:rPr>
          <w:sz w:val="21"/>
        </w:rPr>
        <w:t>率发生变更；</w:t>
      </w:r>
    </w:p>
    <w:p>
      <w:pPr>
        <w:pStyle w:val="ListParagraph"/>
        <w:numPr>
          <w:ilvl w:val="0"/>
          <w:numId w:val="38"/>
        </w:numPr>
        <w:tabs>
          <w:tab w:pos="1428" w:val="left" w:leader="none"/>
        </w:tabs>
        <w:spacing w:line="268" w:lineRule="exact" w:before="0" w:after="0"/>
        <w:ind w:left="1428" w:right="0" w:hanging="632"/>
        <w:jc w:val="left"/>
        <w:rPr>
          <w:sz w:val="21"/>
        </w:rPr>
      </w:pPr>
      <w:r>
        <w:rPr>
          <w:sz w:val="21"/>
        </w:rPr>
        <w:t>基金份额净值计价错误达基金份额净值百分之零点五；</w:t>
      </w:r>
    </w:p>
    <w:p>
      <w:pPr>
        <w:pStyle w:val="ListParagraph"/>
        <w:numPr>
          <w:ilvl w:val="0"/>
          <w:numId w:val="38"/>
        </w:numPr>
        <w:tabs>
          <w:tab w:pos="1428" w:val="left" w:leader="none"/>
        </w:tabs>
        <w:spacing w:line="240" w:lineRule="auto" w:before="139" w:after="0"/>
        <w:ind w:left="1428" w:right="0" w:hanging="632"/>
        <w:jc w:val="left"/>
        <w:rPr>
          <w:sz w:val="21"/>
        </w:rPr>
      </w:pPr>
      <w:r>
        <w:rPr>
          <w:sz w:val="21"/>
        </w:rPr>
        <w:t>本基金开始办理申购、赎回；</w:t>
      </w:r>
    </w:p>
    <w:p>
      <w:pPr>
        <w:pStyle w:val="ListParagraph"/>
        <w:numPr>
          <w:ilvl w:val="0"/>
          <w:numId w:val="38"/>
        </w:numPr>
        <w:tabs>
          <w:tab w:pos="1428" w:val="left" w:leader="none"/>
        </w:tabs>
        <w:spacing w:line="240" w:lineRule="auto" w:before="140" w:after="0"/>
        <w:ind w:left="1428" w:right="0" w:hanging="632"/>
        <w:jc w:val="left"/>
        <w:rPr>
          <w:sz w:val="21"/>
        </w:rPr>
      </w:pPr>
      <w:r>
        <w:rPr>
          <w:sz w:val="21"/>
        </w:rPr>
        <w:t>本基金暂停接受申购、赎回申请或重新接受申购、赎回申请；</w:t>
      </w:r>
    </w:p>
    <w:p>
      <w:pPr>
        <w:pStyle w:val="ListParagraph"/>
        <w:numPr>
          <w:ilvl w:val="0"/>
          <w:numId w:val="38"/>
        </w:numPr>
        <w:tabs>
          <w:tab w:pos="1428" w:val="left" w:leader="none"/>
        </w:tabs>
        <w:spacing w:line="240" w:lineRule="auto" w:before="139" w:after="0"/>
        <w:ind w:left="1428" w:right="0" w:hanging="632"/>
        <w:jc w:val="left"/>
        <w:rPr>
          <w:sz w:val="21"/>
        </w:rPr>
      </w:pPr>
      <w:r>
        <w:rPr>
          <w:sz w:val="21"/>
        </w:rPr>
        <w:t>基金份额停牌、复牌、暂停上市、恢复上市或终止上市交易；</w:t>
      </w:r>
    </w:p>
    <w:p>
      <w:pPr>
        <w:pStyle w:val="ListParagraph"/>
        <w:numPr>
          <w:ilvl w:val="0"/>
          <w:numId w:val="38"/>
        </w:numPr>
        <w:tabs>
          <w:tab w:pos="1428" w:val="left" w:leader="none"/>
        </w:tabs>
        <w:spacing w:line="240" w:lineRule="auto" w:before="140" w:after="0"/>
        <w:ind w:left="1428" w:right="0" w:hanging="632"/>
        <w:jc w:val="left"/>
        <w:rPr>
          <w:sz w:val="21"/>
        </w:rPr>
      </w:pPr>
      <w:r>
        <w:rPr>
          <w:sz w:val="21"/>
        </w:rPr>
        <w:t>调整基金份额类别的设置；</w:t>
      </w:r>
    </w:p>
    <w:p>
      <w:pPr>
        <w:pStyle w:val="ListParagraph"/>
        <w:numPr>
          <w:ilvl w:val="0"/>
          <w:numId w:val="38"/>
        </w:numPr>
        <w:tabs>
          <w:tab w:pos="1428" w:val="left" w:leader="none"/>
        </w:tabs>
        <w:spacing w:line="240" w:lineRule="auto" w:before="139" w:after="0"/>
        <w:ind w:left="1428" w:right="0" w:hanging="632"/>
        <w:jc w:val="left"/>
        <w:rPr>
          <w:sz w:val="21"/>
        </w:rPr>
      </w:pPr>
      <w:r>
        <w:rPr>
          <w:sz w:val="21"/>
        </w:rPr>
        <w:t>基金推出新业务或服务；</w:t>
      </w:r>
    </w:p>
    <w:p>
      <w:pPr>
        <w:pStyle w:val="ListParagraph"/>
        <w:numPr>
          <w:ilvl w:val="0"/>
          <w:numId w:val="38"/>
        </w:numPr>
        <w:tabs>
          <w:tab w:pos="1428" w:val="left" w:leader="none"/>
        </w:tabs>
        <w:spacing w:line="364" w:lineRule="auto" w:before="140" w:after="0"/>
        <w:ind w:left="376" w:right="794"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pPr>
      <w:r>
        <w:rPr/>
        <w:t>（八）澄清公告</w:t>
      </w:r>
    </w:p>
    <w:p>
      <w:pPr>
        <w:pStyle w:val="BodyText"/>
        <w:spacing w:line="364" w:lineRule="auto" w:before="139"/>
        <w:ind w:left="376" w:right="794" w:firstLine="420"/>
        <w:jc w:val="both"/>
      </w:pPr>
      <w:r>
        <w:rPr>
          <w:spacing w:val="-10"/>
        </w:rPr>
        <w:t>在基金合同期限内，任何公共媒体中出现的或者在市场上流传的消息可能对基金份额价</w:t>
      </w:r>
      <w:r>
        <w:rPr>
          <w:spacing w:val="-6"/>
        </w:rPr>
        <w:t>格产生误导性影响或者引起较大波动，以及可能损害基金份额持有人权益的，相关信息披露义务人知悉后应当立即对该消息进行公开澄清，并将有关情况立即报告中国证监会、基金上</w:t>
      </w:r>
      <w:r>
        <w:rPr/>
        <w:t>市交易的证券交易所。</w:t>
      </w:r>
    </w:p>
    <w:p>
      <w:pPr>
        <w:pStyle w:val="BodyText"/>
        <w:spacing w:line="267" w:lineRule="exact"/>
      </w:pPr>
      <w:r>
        <w:rPr/>
        <w:t>（九）清算报告</w:t>
      </w:r>
    </w:p>
    <w:p>
      <w:pPr>
        <w:pStyle w:val="BodyText"/>
        <w:spacing w:line="364" w:lineRule="auto" w:before="139"/>
        <w:ind w:left="376" w:right="794" w:firstLine="420"/>
        <w:jc w:val="both"/>
      </w:pPr>
      <w:r>
        <w:rPr>
          <w:spacing w:val="-10"/>
        </w:rPr>
        <w:t>基金合同终止的，基金管理人应当依法组织基金财产清算小组对基金财产进行清算并作出清算报告。基金财产清算小组应当将清算报告登载在指定网站上，并将清算报告提示性公</w:t>
      </w:r>
      <w:r>
        <w:rPr/>
        <w:t>告登载在指定报刊上。</w:t>
      </w:r>
    </w:p>
    <w:p>
      <w:pPr>
        <w:pStyle w:val="BodyText"/>
        <w:spacing w:line="268" w:lineRule="exact"/>
      </w:pPr>
      <w:r>
        <w:rPr/>
        <w:t>（十）基金份额持有人大会决议</w:t>
      </w:r>
    </w:p>
    <w:p>
      <w:pPr>
        <w:pStyle w:val="BodyText"/>
        <w:spacing w:before="140"/>
      </w:pPr>
      <w:r>
        <w:rPr/>
        <w:t>基金份额持有人大会决定的事项，应当依法报中国证监会核准或者备案，并予以公告。</w:t>
      </w:r>
    </w:p>
    <w:p>
      <w:pPr>
        <w:spacing w:after="0"/>
        <w:sectPr>
          <w:pgSz w:w="11910" w:h="16840"/>
          <w:pgMar w:header="0" w:footer="1118" w:top="1380" w:bottom="1380" w:left="1420" w:right="1000"/>
        </w:sectPr>
      </w:pPr>
    </w:p>
    <w:p>
      <w:pPr>
        <w:pStyle w:val="BodyText"/>
        <w:spacing w:line="364" w:lineRule="auto" w:before="45"/>
        <w:ind w:left="376" w:right="480"/>
      </w:pPr>
      <w:r>
        <w:rPr/>
        <w:t>召开基金份额持有人大会的，召集人应当至少提前40日公告基金份额持有人大会的召开时间、会议形式、审议事项、议事程序和表决方式等事项。</w:t>
      </w:r>
    </w:p>
    <w:p>
      <w:pPr>
        <w:pStyle w:val="BodyText"/>
        <w:spacing w:line="364" w:lineRule="auto"/>
        <w:ind w:left="376" w:right="585" w:firstLine="420"/>
      </w:pPr>
      <w:r>
        <w:rPr>
          <w:spacing w:val="-4"/>
        </w:rPr>
        <w:t>基金份额持有人依法自行召集基金份额持有人大会，基金管理人、基金托管人对基金份 </w:t>
      </w:r>
      <w:r>
        <w:rPr/>
        <w:t>额持有人大会决定的事项不依法履行信息披露义务的，召集人应当履行相关信息披露义务。</w:t>
      </w:r>
    </w:p>
    <w:p>
      <w:pPr>
        <w:pStyle w:val="BodyText"/>
        <w:spacing w:line="268" w:lineRule="exact"/>
      </w:pPr>
      <w:r>
        <w:rPr/>
        <w:t>（十一）中国证监会规定的其他信息。</w:t>
      </w:r>
    </w:p>
    <w:p>
      <w:pPr>
        <w:spacing w:before="140"/>
        <w:ind w:left="376" w:right="0" w:firstLine="0"/>
        <w:jc w:val="left"/>
        <w:rPr>
          <w:sz w:val="28"/>
        </w:rPr>
      </w:pPr>
      <w:r>
        <w:rPr>
          <w:sz w:val="28"/>
        </w:rPr>
        <w:t>七、信息披露事务管理</w:t>
      </w:r>
    </w:p>
    <w:p>
      <w:pPr>
        <w:pStyle w:val="BodyText"/>
        <w:spacing w:line="364" w:lineRule="auto" w:before="184"/>
        <w:ind w:left="376" w:right="794"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376" w:right="794" w:firstLine="420"/>
      </w:pPr>
      <w:r>
        <w:rPr>
          <w:spacing w:val="-6"/>
        </w:rPr>
        <w:t>基金信息披露义务人公开披露基金信息，应当符合中国证监会相关基金信息披露内容与</w:t>
      </w:r>
      <w:r>
        <w:rPr/>
        <w:t>格式准则等法规的规定。</w:t>
      </w:r>
    </w:p>
    <w:p>
      <w:pPr>
        <w:pStyle w:val="BodyText"/>
        <w:spacing w:line="364" w:lineRule="auto"/>
        <w:ind w:left="376" w:right="794" w:firstLine="420"/>
        <w:jc w:val="both"/>
      </w:pPr>
      <w:r>
        <w:rPr>
          <w:spacing w:val="-6"/>
        </w:rPr>
        <w:t>基金托管人应当按照相关法律法规、中国证监会的规定和《基金合同》的约定，对基金管理人编制的基金资产净值、各类基金份额的基金份额净值、基金份额申购赎回价格、基金</w:t>
      </w:r>
      <w:r>
        <w:rPr>
          <w:spacing w:val="-9"/>
        </w:rPr>
        <w:t>定期报告、更新的招募说明书、基金产品资料概要、基金清算报告等公开披露的相关基金信</w:t>
      </w:r>
      <w:r>
        <w:rPr/>
        <w:t>息进行复核、审查，并向基金管理人进行书面或电子确认。</w:t>
      </w:r>
    </w:p>
    <w:p>
      <w:pPr>
        <w:pStyle w:val="BodyText"/>
        <w:spacing w:line="364" w:lineRule="auto"/>
        <w:ind w:left="376" w:right="689"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376" w:right="794" w:firstLine="420"/>
        <w:jc w:val="both"/>
      </w:pPr>
      <w:r>
        <w:rPr>
          <w:spacing w:val="-10"/>
        </w:rPr>
        <w:t>基金管理人、基金托管人除依法在指定媒介披露信息外，还可以根据需要在其他公共媒介披露信息，但是其他公共媒介不得早于指定媒介披露信息，并且在不同媒介上披露同一信</w:t>
      </w:r>
      <w:r>
        <w:rPr/>
        <w:t>息的内容应当一致。</w:t>
      </w:r>
    </w:p>
    <w:p>
      <w:pPr>
        <w:pStyle w:val="BodyText"/>
        <w:spacing w:line="364" w:lineRule="auto"/>
        <w:ind w:left="376" w:right="585"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t>下，自主提升信息披露服务的质量。具体要求应当符合中国证监会及自律规则的相关规定。前述自主披露如产生信息披露费用，该费用不得从基金财产中列支。</w:t>
      </w:r>
    </w:p>
    <w:p>
      <w:pPr>
        <w:spacing w:line="358" w:lineRule="exact" w:before="0"/>
        <w:ind w:left="376" w:right="0" w:firstLine="0"/>
        <w:jc w:val="left"/>
        <w:rPr>
          <w:sz w:val="28"/>
        </w:rPr>
      </w:pPr>
      <w:r>
        <w:rPr>
          <w:sz w:val="28"/>
        </w:rPr>
        <w:t>八、信息披露文件的存放与查阅</w:t>
      </w:r>
    </w:p>
    <w:p>
      <w:pPr>
        <w:pStyle w:val="BodyText"/>
        <w:spacing w:line="364" w:lineRule="auto" w:before="179"/>
        <w:ind w:left="376" w:right="794" w:firstLine="420"/>
      </w:pPr>
      <w:r>
        <w:rPr>
          <w:spacing w:val="-8"/>
        </w:rPr>
        <w:t>依法必须披露的信息发布后，基金管理人、基金托管人应当按照相关法律法规规定将信</w:t>
      </w:r>
      <w:r>
        <w:rPr/>
        <w:t>息置备于公司办公场所、基金上市交易的证券交易所，供社会公众查阅、复制。</w:t>
      </w:r>
    </w:p>
    <w:p>
      <w:pPr>
        <w:spacing w:after="0" w:line="364" w:lineRule="auto"/>
        <w:sectPr>
          <w:pgSz w:w="11910" w:h="16840"/>
          <w:pgMar w:header="0" w:footer="1118" w:top="1380" w:bottom="1380" w:left="1420" w:right="1000"/>
        </w:sectPr>
      </w:pPr>
    </w:p>
    <w:p>
      <w:pPr>
        <w:pStyle w:val="Heading1"/>
        <w:tabs>
          <w:tab w:pos="2481" w:val="left" w:leader="none"/>
        </w:tabs>
        <w:ind w:left="801" w:right="0"/>
        <w:jc w:val="left"/>
      </w:pPr>
      <w:bookmarkStart w:name="_bookmark86" w:id="87"/>
      <w:bookmarkEnd w:id="87"/>
      <w:r>
        <w:rPr>
          <w:b w:val="0"/>
        </w:rPr>
      </w:r>
      <w:r>
        <w:rPr/>
        <w:t>第十八节</w:t>
        <w:tab/>
        <w:t>基金合同的变更、终止与基金财产的清算</w:t>
      </w:r>
    </w:p>
    <w:p>
      <w:pPr>
        <w:pStyle w:val="Heading2"/>
        <w:tabs>
          <w:tab w:pos="1216" w:val="left" w:leader="none"/>
        </w:tabs>
        <w:spacing w:before="139"/>
      </w:pPr>
      <w:bookmarkStart w:name="_bookmark87" w:id="88"/>
      <w:bookmarkEnd w:id="88"/>
      <w:r>
        <w:rPr/>
      </w:r>
      <w:r>
        <w:rPr/>
        <w:t>一、</w:t>
        <w:tab/>
        <w:t>《基金合同》的变更</w:t>
      </w:r>
    </w:p>
    <w:p>
      <w:pPr>
        <w:pStyle w:val="BodyText"/>
        <w:spacing w:before="185"/>
      </w:pPr>
      <w:r>
        <w:rPr/>
        <w:t>1、以下变更《基金合同》的事项应经基金份额持有人大会决议通过：</w:t>
      </w:r>
    </w:p>
    <w:p>
      <w:pPr>
        <w:pStyle w:val="ListParagraph"/>
        <w:numPr>
          <w:ilvl w:val="0"/>
          <w:numId w:val="39"/>
        </w:numPr>
        <w:tabs>
          <w:tab w:pos="1323" w:val="left" w:leader="none"/>
        </w:tabs>
        <w:spacing w:line="240" w:lineRule="auto" w:before="139" w:after="0"/>
        <w:ind w:left="1323" w:right="0" w:hanging="527"/>
        <w:jc w:val="left"/>
        <w:rPr>
          <w:sz w:val="21"/>
        </w:rPr>
      </w:pPr>
      <w:r>
        <w:rPr>
          <w:spacing w:val="-10"/>
          <w:sz w:val="21"/>
        </w:rPr>
        <w:t>提前终止《基金合同》；</w:t>
      </w:r>
    </w:p>
    <w:p>
      <w:pPr>
        <w:pStyle w:val="ListParagraph"/>
        <w:numPr>
          <w:ilvl w:val="0"/>
          <w:numId w:val="39"/>
        </w:numPr>
        <w:tabs>
          <w:tab w:pos="1323" w:val="left" w:leader="none"/>
        </w:tabs>
        <w:spacing w:line="240" w:lineRule="auto" w:before="139" w:after="0"/>
        <w:ind w:left="1323" w:right="0" w:hanging="527"/>
        <w:jc w:val="left"/>
        <w:rPr>
          <w:sz w:val="21"/>
        </w:rPr>
      </w:pPr>
      <w:r>
        <w:rPr>
          <w:sz w:val="21"/>
        </w:rPr>
        <w:t>更换基金管理人；</w:t>
      </w:r>
    </w:p>
    <w:p>
      <w:pPr>
        <w:pStyle w:val="ListParagraph"/>
        <w:numPr>
          <w:ilvl w:val="0"/>
          <w:numId w:val="39"/>
        </w:numPr>
        <w:tabs>
          <w:tab w:pos="1323" w:val="left" w:leader="none"/>
        </w:tabs>
        <w:spacing w:line="240" w:lineRule="auto" w:before="140" w:after="0"/>
        <w:ind w:left="1323" w:right="0" w:hanging="527"/>
        <w:jc w:val="left"/>
        <w:rPr>
          <w:sz w:val="21"/>
        </w:rPr>
      </w:pPr>
      <w:r>
        <w:rPr>
          <w:sz w:val="21"/>
        </w:rPr>
        <w:t>更换基金托管人；</w:t>
      </w:r>
    </w:p>
    <w:p>
      <w:pPr>
        <w:pStyle w:val="ListParagraph"/>
        <w:numPr>
          <w:ilvl w:val="0"/>
          <w:numId w:val="39"/>
        </w:numPr>
        <w:tabs>
          <w:tab w:pos="1323" w:val="left" w:leader="none"/>
        </w:tabs>
        <w:spacing w:line="240" w:lineRule="auto" w:before="139" w:after="0"/>
        <w:ind w:left="1323" w:right="0" w:hanging="527"/>
        <w:jc w:val="left"/>
        <w:rPr>
          <w:sz w:val="21"/>
        </w:rPr>
      </w:pPr>
      <w:r>
        <w:rPr>
          <w:sz w:val="21"/>
        </w:rPr>
        <w:t>转换基金运作方式；</w:t>
      </w:r>
    </w:p>
    <w:p>
      <w:pPr>
        <w:pStyle w:val="ListParagraph"/>
        <w:numPr>
          <w:ilvl w:val="0"/>
          <w:numId w:val="39"/>
        </w:numPr>
        <w:tabs>
          <w:tab w:pos="1324" w:val="left" w:leader="none"/>
        </w:tabs>
        <w:spacing w:line="364" w:lineRule="auto" w:before="140" w:after="0"/>
        <w:ind w:left="376" w:right="795" w:firstLine="420"/>
        <w:jc w:val="left"/>
        <w:rPr>
          <w:sz w:val="21"/>
        </w:rPr>
      </w:pPr>
      <w:r>
        <w:rPr>
          <w:sz w:val="21"/>
        </w:rPr>
        <w:t>提高基金管理人、基金托管人的报酬标准或销售服务费。但根据法律法规的要求提高该等报酬标准或销售服务费的除外；</w:t>
      </w:r>
    </w:p>
    <w:p>
      <w:pPr>
        <w:pStyle w:val="ListParagraph"/>
        <w:numPr>
          <w:ilvl w:val="0"/>
          <w:numId w:val="39"/>
        </w:numPr>
        <w:tabs>
          <w:tab w:pos="1323" w:val="left" w:leader="none"/>
        </w:tabs>
        <w:spacing w:line="268" w:lineRule="exact" w:before="0" w:after="0"/>
        <w:ind w:left="1323" w:right="0" w:hanging="527"/>
        <w:jc w:val="left"/>
        <w:rPr>
          <w:sz w:val="21"/>
        </w:rPr>
      </w:pPr>
      <w:r>
        <w:rPr>
          <w:sz w:val="21"/>
        </w:rPr>
        <w:t>变更基金类别；</w:t>
      </w:r>
    </w:p>
    <w:p>
      <w:pPr>
        <w:pStyle w:val="ListParagraph"/>
        <w:numPr>
          <w:ilvl w:val="0"/>
          <w:numId w:val="39"/>
        </w:numPr>
        <w:tabs>
          <w:tab w:pos="1323" w:val="left" w:leader="none"/>
        </w:tabs>
        <w:spacing w:line="240" w:lineRule="auto" w:before="139" w:after="0"/>
        <w:ind w:left="1323" w:right="0" w:hanging="527"/>
        <w:jc w:val="left"/>
        <w:rPr>
          <w:sz w:val="21"/>
        </w:rPr>
      </w:pPr>
      <w:r>
        <w:rPr>
          <w:sz w:val="21"/>
        </w:rPr>
        <w:t>本基金与其他基金的合并；</w:t>
      </w:r>
    </w:p>
    <w:p>
      <w:pPr>
        <w:pStyle w:val="ListParagraph"/>
        <w:numPr>
          <w:ilvl w:val="0"/>
          <w:numId w:val="39"/>
        </w:numPr>
        <w:tabs>
          <w:tab w:pos="1323" w:val="left" w:leader="none"/>
        </w:tabs>
        <w:spacing w:line="240" w:lineRule="auto" w:before="140" w:after="0"/>
        <w:ind w:left="1323" w:right="0" w:hanging="527"/>
        <w:jc w:val="left"/>
        <w:rPr>
          <w:sz w:val="21"/>
        </w:rPr>
      </w:pPr>
      <w:r>
        <w:rPr>
          <w:sz w:val="21"/>
        </w:rPr>
        <w:t>变更基金投资目标、范围或策略；</w:t>
      </w:r>
    </w:p>
    <w:p>
      <w:pPr>
        <w:pStyle w:val="ListParagraph"/>
        <w:numPr>
          <w:ilvl w:val="0"/>
          <w:numId w:val="39"/>
        </w:numPr>
        <w:tabs>
          <w:tab w:pos="1323" w:val="left" w:leader="none"/>
        </w:tabs>
        <w:spacing w:line="240" w:lineRule="auto" w:before="139" w:after="0"/>
        <w:ind w:left="1323" w:right="0" w:hanging="527"/>
        <w:jc w:val="left"/>
        <w:rPr>
          <w:sz w:val="21"/>
        </w:rPr>
      </w:pPr>
      <w:r>
        <w:rPr>
          <w:sz w:val="21"/>
        </w:rPr>
        <w:t>变更基金份额持有人大会程序；</w:t>
      </w:r>
    </w:p>
    <w:p>
      <w:pPr>
        <w:pStyle w:val="ListParagraph"/>
        <w:numPr>
          <w:ilvl w:val="0"/>
          <w:numId w:val="39"/>
        </w:numPr>
        <w:tabs>
          <w:tab w:pos="1428" w:val="left" w:leader="none"/>
        </w:tabs>
        <w:spacing w:line="240" w:lineRule="auto" w:before="140" w:after="0"/>
        <w:ind w:left="1428" w:right="0" w:hanging="632"/>
        <w:jc w:val="left"/>
        <w:rPr>
          <w:sz w:val="21"/>
        </w:rPr>
      </w:pPr>
      <w:r>
        <w:rPr>
          <w:sz w:val="21"/>
        </w:rPr>
        <w:t>对基金当事人权利和义务产生重大影响的其他事项；</w:t>
      </w:r>
    </w:p>
    <w:p>
      <w:pPr>
        <w:pStyle w:val="ListParagraph"/>
        <w:numPr>
          <w:ilvl w:val="0"/>
          <w:numId w:val="39"/>
        </w:numPr>
        <w:tabs>
          <w:tab w:pos="1429" w:val="left" w:leader="none"/>
        </w:tabs>
        <w:spacing w:line="240" w:lineRule="auto" w:before="139" w:after="0"/>
        <w:ind w:left="1428" w:right="0" w:hanging="633"/>
        <w:jc w:val="left"/>
        <w:rPr>
          <w:sz w:val="21"/>
        </w:rPr>
      </w:pPr>
      <w:r>
        <w:rPr>
          <w:spacing w:val="-4"/>
          <w:sz w:val="21"/>
        </w:rPr>
        <w:t>单独或合计持有本基金总份额 </w:t>
      </w:r>
      <w:r>
        <w:rPr>
          <w:sz w:val="21"/>
        </w:rPr>
        <w:t>10％以上（</w:t>
      </w:r>
      <w:r>
        <w:rPr>
          <w:spacing w:val="-27"/>
          <w:sz w:val="21"/>
        </w:rPr>
        <w:t>含 </w:t>
      </w:r>
      <w:r>
        <w:rPr>
          <w:sz w:val="21"/>
        </w:rPr>
        <w:t>10％）基金份额的基金份额持有人</w:t>
      </w:r>
    </w:p>
    <w:p>
      <w:pPr>
        <w:pStyle w:val="BodyText"/>
        <w:spacing w:line="364" w:lineRule="auto" w:before="139"/>
        <w:ind w:left="376" w:right="714"/>
      </w:pPr>
      <w:r>
        <w:rPr/>
        <w:t>（以基金管理人收到提议当日的基金份额计算，下同）就同一事项书面要求召开基金份额持有人大会；</w:t>
      </w:r>
    </w:p>
    <w:p>
      <w:pPr>
        <w:pStyle w:val="ListParagraph"/>
        <w:numPr>
          <w:ilvl w:val="0"/>
          <w:numId w:val="39"/>
        </w:numPr>
        <w:tabs>
          <w:tab w:pos="1429" w:val="left" w:leader="none"/>
        </w:tabs>
        <w:spacing w:line="364" w:lineRule="auto" w:before="0" w:after="0"/>
        <w:ind w:left="376" w:right="795"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2、以下情况可由基金管理人和基金托管人协商后修改，不需召开基金份额持有人大会：</w:t>
      </w:r>
    </w:p>
    <w:p>
      <w:pPr>
        <w:pStyle w:val="ListParagraph"/>
        <w:numPr>
          <w:ilvl w:val="0"/>
          <w:numId w:val="40"/>
        </w:numPr>
        <w:tabs>
          <w:tab w:pos="1323" w:val="left" w:leader="none"/>
        </w:tabs>
        <w:spacing w:line="240" w:lineRule="auto" w:before="139" w:after="0"/>
        <w:ind w:left="1323" w:right="0" w:hanging="527"/>
        <w:jc w:val="left"/>
        <w:rPr>
          <w:sz w:val="21"/>
        </w:rPr>
      </w:pPr>
      <w:r>
        <w:rPr>
          <w:sz w:val="21"/>
        </w:rPr>
        <w:t>调低基金管理费、基金托管费、销售服务费；</w:t>
      </w:r>
    </w:p>
    <w:p>
      <w:pPr>
        <w:pStyle w:val="ListParagraph"/>
        <w:numPr>
          <w:ilvl w:val="0"/>
          <w:numId w:val="40"/>
        </w:numPr>
        <w:tabs>
          <w:tab w:pos="1323" w:val="left" w:leader="none"/>
        </w:tabs>
        <w:spacing w:line="240" w:lineRule="auto" w:before="139" w:after="0"/>
        <w:ind w:left="1323" w:right="0" w:hanging="527"/>
        <w:jc w:val="left"/>
        <w:rPr>
          <w:sz w:val="21"/>
        </w:rPr>
      </w:pPr>
      <w:r>
        <w:rPr>
          <w:sz w:val="21"/>
        </w:rPr>
        <w:t>法律法规要求增加的基金费用的收取；</w:t>
      </w:r>
    </w:p>
    <w:p>
      <w:pPr>
        <w:pStyle w:val="ListParagraph"/>
        <w:numPr>
          <w:ilvl w:val="0"/>
          <w:numId w:val="40"/>
        </w:numPr>
        <w:tabs>
          <w:tab w:pos="1323" w:val="left" w:leader="none"/>
        </w:tabs>
        <w:spacing w:line="240" w:lineRule="auto" w:before="140" w:after="0"/>
        <w:ind w:left="1323" w:right="0" w:hanging="527"/>
        <w:jc w:val="left"/>
        <w:rPr>
          <w:sz w:val="21"/>
        </w:rPr>
      </w:pPr>
      <w:r>
        <w:rPr>
          <w:sz w:val="21"/>
        </w:rPr>
        <w:t>在《基金合同》规定的范围内变更本基金的申购费率、降低赎回费率；</w:t>
      </w:r>
    </w:p>
    <w:p>
      <w:pPr>
        <w:pStyle w:val="ListParagraph"/>
        <w:numPr>
          <w:ilvl w:val="0"/>
          <w:numId w:val="40"/>
        </w:numPr>
        <w:tabs>
          <w:tab w:pos="1323" w:val="left" w:leader="none"/>
        </w:tabs>
        <w:spacing w:line="240" w:lineRule="auto" w:before="139" w:after="0"/>
        <w:ind w:left="1323" w:right="0" w:hanging="527"/>
        <w:jc w:val="left"/>
        <w:rPr>
          <w:sz w:val="21"/>
        </w:rPr>
      </w:pPr>
      <w:r>
        <w:rPr>
          <w:sz w:val="21"/>
        </w:rPr>
        <w:t>因相应的法律法规发生变动而应当对《基金合同》进行修改；</w:t>
      </w:r>
    </w:p>
    <w:p>
      <w:pPr>
        <w:pStyle w:val="ListParagraph"/>
        <w:numPr>
          <w:ilvl w:val="0"/>
          <w:numId w:val="40"/>
        </w:numPr>
        <w:tabs>
          <w:tab w:pos="1323" w:val="left" w:leader="none"/>
        </w:tabs>
        <w:spacing w:line="364" w:lineRule="auto" w:before="140" w:after="0"/>
        <w:ind w:left="376" w:right="794" w:firstLine="420"/>
        <w:jc w:val="left"/>
        <w:rPr>
          <w:sz w:val="21"/>
        </w:rPr>
      </w:pPr>
      <w:r>
        <w:rPr>
          <w:spacing w:val="-10"/>
          <w:sz w:val="21"/>
        </w:rPr>
        <w:t>《基金合同》的修改对基金份额持有人利益无实质性不利影响或修改不涉及基金</w:t>
      </w:r>
      <w:r>
        <w:rPr>
          <w:spacing w:val="-4"/>
          <w:sz w:val="21"/>
        </w:rPr>
        <w:t>合同当事人权利义务关系发生变化；</w:t>
      </w:r>
    </w:p>
    <w:p>
      <w:pPr>
        <w:pStyle w:val="ListParagraph"/>
        <w:numPr>
          <w:ilvl w:val="0"/>
          <w:numId w:val="40"/>
        </w:numPr>
        <w:tabs>
          <w:tab w:pos="1324" w:val="left" w:leader="none"/>
        </w:tabs>
        <w:spacing w:line="364" w:lineRule="auto" w:before="0" w:after="0"/>
        <w:ind w:left="376" w:right="795" w:firstLine="420"/>
        <w:jc w:val="left"/>
        <w:rPr>
          <w:sz w:val="21"/>
        </w:rPr>
      </w:pPr>
      <w:r>
        <w:rPr>
          <w:sz w:val="21"/>
        </w:rPr>
        <w:t>除按照法律法规和《基金合同》规定应当召开基金份额持有人大会的以外的其他情形。</w:t>
      </w:r>
    </w:p>
    <w:p>
      <w:pPr>
        <w:pStyle w:val="BodyText"/>
        <w:spacing w:line="364" w:lineRule="auto"/>
        <w:ind w:left="376" w:right="794" w:firstLine="420"/>
        <w:jc w:val="both"/>
      </w:pPr>
      <w:r>
        <w:rPr/>
        <w:t>3</w:t>
      </w:r>
      <w:r>
        <w:rPr>
          <w:spacing w:val="-16"/>
        </w:rPr>
        <w:t>、《基金合同》生效后的存续期内，出现以下情形之一的，基金管理人应召集基金份额</w:t>
      </w:r>
      <w:r>
        <w:rPr>
          <w:spacing w:val="-10"/>
        </w:rPr>
        <w:t>持有人大会，并由基金份额持有人大会就是否变更、终止基金合同或将本基金与其他基金合</w:t>
      </w:r>
      <w:r>
        <w:rPr/>
        <w:t>并进行表决：</w:t>
      </w:r>
    </w:p>
    <w:p>
      <w:pPr>
        <w:pStyle w:val="ListParagraph"/>
        <w:numPr>
          <w:ilvl w:val="0"/>
          <w:numId w:val="41"/>
        </w:numPr>
        <w:tabs>
          <w:tab w:pos="1323" w:val="left" w:leader="none"/>
        </w:tabs>
        <w:spacing w:line="268" w:lineRule="exact" w:before="0" w:after="0"/>
        <w:ind w:left="1323" w:right="0" w:hanging="527"/>
        <w:jc w:val="both"/>
        <w:rPr>
          <w:sz w:val="21"/>
        </w:rPr>
      </w:pPr>
      <w:r>
        <w:rPr>
          <w:spacing w:val="-5"/>
          <w:sz w:val="21"/>
        </w:rPr>
        <w:t>基金份额持有人数量连续 </w:t>
      </w:r>
      <w:r>
        <w:rPr>
          <w:sz w:val="21"/>
        </w:rPr>
        <w:t>60</w:t>
      </w:r>
      <w:r>
        <w:rPr>
          <w:spacing w:val="-13"/>
          <w:sz w:val="21"/>
        </w:rPr>
        <w:t> 个工作日达不到 </w:t>
      </w:r>
      <w:r>
        <w:rPr>
          <w:sz w:val="21"/>
        </w:rPr>
        <w:t>200</w:t>
      </w:r>
      <w:r>
        <w:rPr>
          <w:spacing w:val="-18"/>
          <w:sz w:val="21"/>
        </w:rPr>
        <w:t> 人；</w:t>
      </w:r>
    </w:p>
    <w:p>
      <w:pPr>
        <w:pStyle w:val="ListParagraph"/>
        <w:numPr>
          <w:ilvl w:val="0"/>
          <w:numId w:val="41"/>
        </w:numPr>
        <w:tabs>
          <w:tab w:pos="1323" w:val="left" w:leader="none"/>
        </w:tabs>
        <w:spacing w:line="240" w:lineRule="auto" w:before="137" w:after="0"/>
        <w:ind w:left="1323" w:right="0" w:hanging="527"/>
        <w:jc w:val="left"/>
        <w:rPr>
          <w:sz w:val="21"/>
        </w:rPr>
      </w:pPr>
      <w:r>
        <w:rPr>
          <w:spacing w:val="-6"/>
          <w:sz w:val="21"/>
        </w:rPr>
        <w:t>基金资产净值连续 </w:t>
      </w:r>
      <w:r>
        <w:rPr>
          <w:sz w:val="21"/>
        </w:rPr>
        <w:t>60</w:t>
      </w:r>
      <w:r>
        <w:rPr>
          <w:spacing w:val="-15"/>
          <w:sz w:val="21"/>
        </w:rPr>
        <w:t> 个工作日低于 </w:t>
      </w:r>
      <w:r>
        <w:rPr>
          <w:sz w:val="21"/>
        </w:rPr>
        <w:t>3000</w:t>
      </w:r>
      <w:r>
        <w:rPr>
          <w:spacing w:val="-9"/>
          <w:sz w:val="21"/>
        </w:rPr>
        <w:t> 万元人民币。</w:t>
      </w:r>
    </w:p>
    <w:p>
      <w:pPr>
        <w:spacing w:after="0" w:line="240" w:lineRule="auto"/>
        <w:jc w:val="left"/>
        <w:rPr>
          <w:sz w:val="21"/>
        </w:rPr>
        <w:sectPr>
          <w:pgSz w:w="11910" w:h="16840"/>
          <w:pgMar w:header="0" w:footer="1118" w:top="1400" w:bottom="1380" w:left="1420" w:right="1000"/>
        </w:sectPr>
      </w:pPr>
    </w:p>
    <w:p>
      <w:pPr>
        <w:pStyle w:val="BodyText"/>
        <w:spacing w:line="364" w:lineRule="auto" w:before="45"/>
        <w:ind w:left="376" w:right="795" w:firstLine="420"/>
      </w:pPr>
      <w:r>
        <w:rPr/>
        <w:t>4、关于《基金合同》变更的基金份额持有人大会决议经中国证监会核准生效后方可执行，自《基金合同》变更生效之日起在指定媒介上公告。</w:t>
      </w:r>
    </w:p>
    <w:p>
      <w:pPr>
        <w:pStyle w:val="Heading2"/>
        <w:tabs>
          <w:tab w:pos="1216" w:val="left" w:leader="none"/>
        </w:tabs>
      </w:pPr>
      <w:bookmarkStart w:name="_bookmark88" w:id="89"/>
      <w:bookmarkEnd w:id="89"/>
      <w:r>
        <w:rPr/>
      </w:r>
      <w:r>
        <w:rPr/>
        <w:t>二、</w:t>
        <w:tab/>
        <w:t>《基金合同》的终止</w:t>
      </w:r>
    </w:p>
    <w:p>
      <w:pPr>
        <w:pStyle w:val="BodyText"/>
        <w:spacing w:before="185"/>
      </w:pPr>
      <w:r>
        <w:rPr/>
        <w:t>有下列情形之一的，《基金合同》应当终止：</w:t>
      </w:r>
    </w:p>
    <w:p>
      <w:pPr>
        <w:pStyle w:val="BodyText"/>
        <w:spacing w:before="139"/>
      </w:pPr>
      <w:r>
        <w:rPr/>
        <w:t>1、基金份额持有人大会决定终止的；</w:t>
      </w:r>
    </w:p>
    <w:p>
      <w:pPr>
        <w:pStyle w:val="BodyText"/>
        <w:spacing w:line="364" w:lineRule="auto" w:before="140"/>
        <w:ind w:left="376" w:right="795"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Heading2"/>
        <w:tabs>
          <w:tab w:pos="1216" w:val="left" w:leader="none"/>
        </w:tabs>
        <w:spacing w:before="141"/>
      </w:pPr>
      <w:bookmarkStart w:name="_bookmark89" w:id="90"/>
      <w:bookmarkEnd w:id="90"/>
      <w:r>
        <w:rPr/>
      </w:r>
      <w:r>
        <w:rPr/>
        <w:t>三、</w:t>
        <w:tab/>
        <w:t>基金财产的清算</w:t>
      </w:r>
    </w:p>
    <w:p>
      <w:pPr>
        <w:pStyle w:val="BodyText"/>
        <w:spacing w:line="364" w:lineRule="auto" w:before="185"/>
        <w:ind w:left="376" w:right="794" w:firstLine="420"/>
        <w:jc w:val="both"/>
      </w:pPr>
      <w:r>
        <w:rPr/>
        <w:t>1</w:t>
      </w:r>
      <w:r>
        <w:rPr>
          <w:spacing w:val="-11"/>
        </w:rPr>
        <w:t>、基金财产清算小组：自出现《基金合同》终止事由之日起 </w:t>
      </w:r>
      <w:r>
        <w:rPr/>
        <w:t>30</w:t>
      </w:r>
      <w:r>
        <w:rPr>
          <w:spacing w:val="-9"/>
        </w:rPr>
        <w:t> 个工作日内成立基金财</w:t>
      </w:r>
      <w:r>
        <w:rPr/>
        <w:t>产清算小组，基金管理人组织基金财产清算小组并在中国证监会的监督下进行基金清算。</w:t>
      </w:r>
    </w:p>
    <w:p>
      <w:pPr>
        <w:pStyle w:val="BodyText"/>
        <w:spacing w:line="364" w:lineRule="auto"/>
        <w:ind w:left="376" w:right="794"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376" w:right="795"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2"/>
        </w:numPr>
        <w:tabs>
          <w:tab w:pos="1323" w:val="left" w:leader="none"/>
        </w:tabs>
        <w:spacing w:line="240" w:lineRule="auto" w:before="137" w:after="0"/>
        <w:ind w:left="1323" w:right="0" w:hanging="527"/>
        <w:jc w:val="left"/>
        <w:rPr>
          <w:sz w:val="21"/>
        </w:rPr>
      </w:pPr>
      <w:r>
        <w:rPr>
          <w:sz w:val="21"/>
        </w:rPr>
        <w:t>《基金合同》终止后，由基金财产清算小组统一接管基金财产；</w:t>
      </w:r>
    </w:p>
    <w:p>
      <w:pPr>
        <w:pStyle w:val="ListParagraph"/>
        <w:numPr>
          <w:ilvl w:val="0"/>
          <w:numId w:val="42"/>
        </w:numPr>
        <w:tabs>
          <w:tab w:pos="1323" w:val="left" w:leader="none"/>
        </w:tabs>
        <w:spacing w:line="240" w:lineRule="auto" w:before="139" w:after="0"/>
        <w:ind w:left="1323" w:right="0" w:hanging="527"/>
        <w:jc w:val="left"/>
        <w:rPr>
          <w:sz w:val="21"/>
        </w:rPr>
      </w:pPr>
      <w:r>
        <w:rPr>
          <w:sz w:val="21"/>
        </w:rPr>
        <w:t>对基金财产和债权债务进行清理和确认；</w:t>
      </w:r>
    </w:p>
    <w:p>
      <w:pPr>
        <w:pStyle w:val="ListParagraph"/>
        <w:numPr>
          <w:ilvl w:val="0"/>
          <w:numId w:val="42"/>
        </w:numPr>
        <w:tabs>
          <w:tab w:pos="1323" w:val="left" w:leader="none"/>
        </w:tabs>
        <w:spacing w:line="240" w:lineRule="auto" w:before="140" w:after="0"/>
        <w:ind w:left="1323" w:right="0" w:hanging="527"/>
        <w:jc w:val="left"/>
        <w:rPr>
          <w:sz w:val="21"/>
        </w:rPr>
      </w:pPr>
      <w:r>
        <w:rPr>
          <w:sz w:val="21"/>
        </w:rPr>
        <w:t>对基金财产进行估值和变现；</w:t>
      </w:r>
    </w:p>
    <w:p>
      <w:pPr>
        <w:pStyle w:val="ListParagraph"/>
        <w:numPr>
          <w:ilvl w:val="0"/>
          <w:numId w:val="42"/>
        </w:numPr>
        <w:tabs>
          <w:tab w:pos="1323" w:val="left" w:leader="none"/>
        </w:tabs>
        <w:spacing w:line="240" w:lineRule="auto" w:before="139" w:after="0"/>
        <w:ind w:left="1323" w:right="0" w:hanging="527"/>
        <w:jc w:val="left"/>
        <w:rPr>
          <w:sz w:val="21"/>
        </w:rPr>
      </w:pPr>
      <w:r>
        <w:rPr>
          <w:sz w:val="21"/>
        </w:rPr>
        <w:t>制作清算报告；</w:t>
      </w:r>
    </w:p>
    <w:p>
      <w:pPr>
        <w:pStyle w:val="ListParagraph"/>
        <w:numPr>
          <w:ilvl w:val="0"/>
          <w:numId w:val="42"/>
        </w:numPr>
        <w:tabs>
          <w:tab w:pos="1324" w:val="left" w:leader="none"/>
        </w:tabs>
        <w:spacing w:line="364" w:lineRule="auto" w:before="139" w:after="0"/>
        <w:ind w:left="376" w:right="795" w:firstLine="420"/>
        <w:jc w:val="left"/>
        <w:rPr>
          <w:sz w:val="21"/>
        </w:rPr>
      </w:pPr>
      <w:r>
        <w:rPr>
          <w:sz w:val="21"/>
        </w:rPr>
        <w:t>聘请会计师事务所对清算报告进行外部审计，聘请律师事务所对清算报告出具法律意见书；</w:t>
      </w:r>
    </w:p>
    <w:p>
      <w:pPr>
        <w:pStyle w:val="ListParagraph"/>
        <w:numPr>
          <w:ilvl w:val="0"/>
          <w:numId w:val="42"/>
        </w:numPr>
        <w:tabs>
          <w:tab w:pos="1323" w:val="left" w:leader="none"/>
        </w:tabs>
        <w:spacing w:line="268" w:lineRule="exact" w:before="0" w:after="0"/>
        <w:ind w:left="1323" w:right="0" w:hanging="527"/>
        <w:jc w:val="left"/>
        <w:rPr>
          <w:sz w:val="21"/>
        </w:rPr>
      </w:pPr>
      <w:r>
        <w:rPr>
          <w:sz w:val="21"/>
        </w:rPr>
        <w:t>将清算报告报中国证监会备案并公告。</w:t>
      </w:r>
    </w:p>
    <w:p>
      <w:pPr>
        <w:pStyle w:val="ListParagraph"/>
        <w:numPr>
          <w:ilvl w:val="0"/>
          <w:numId w:val="42"/>
        </w:numPr>
        <w:tabs>
          <w:tab w:pos="1323" w:val="left" w:leader="none"/>
        </w:tabs>
        <w:spacing w:line="240" w:lineRule="auto" w:before="140" w:after="0"/>
        <w:ind w:left="1323" w:right="0" w:hanging="527"/>
        <w:jc w:val="left"/>
        <w:rPr>
          <w:sz w:val="21"/>
        </w:rPr>
      </w:pPr>
      <w:r>
        <w:rPr>
          <w:sz w:val="21"/>
        </w:rPr>
        <w:t>对基金剩余财产进行分配。</w:t>
      </w:r>
    </w:p>
    <w:p>
      <w:pPr>
        <w:pStyle w:val="Heading2"/>
        <w:tabs>
          <w:tab w:pos="1216" w:val="left" w:leader="none"/>
        </w:tabs>
        <w:spacing w:before="140"/>
      </w:pPr>
      <w:bookmarkStart w:name="_bookmark90" w:id="91"/>
      <w:bookmarkEnd w:id="91"/>
      <w:r>
        <w:rPr/>
      </w:r>
      <w:r>
        <w:rPr/>
        <w:t>四、</w:t>
        <w:tab/>
        <w:t>清算费用</w:t>
      </w:r>
    </w:p>
    <w:p>
      <w:pPr>
        <w:pStyle w:val="BodyText"/>
        <w:spacing w:line="364" w:lineRule="auto" w:before="185"/>
        <w:ind w:left="376" w:right="714" w:firstLine="420"/>
      </w:pPr>
      <w:r>
        <w:rPr/>
        <w:t>清算费用是指基金财产清算小组在进行基金财产清算过程中发生的所有合理费用，清算费用由基金财产清算小组优先从基金财产中支付。</w:t>
      </w:r>
    </w:p>
    <w:p>
      <w:pPr>
        <w:pStyle w:val="Heading2"/>
        <w:tabs>
          <w:tab w:pos="1216" w:val="left" w:leader="none"/>
        </w:tabs>
      </w:pPr>
      <w:bookmarkStart w:name="_bookmark91" w:id="92"/>
      <w:bookmarkEnd w:id="92"/>
      <w:r>
        <w:rPr/>
      </w:r>
      <w:r>
        <w:rPr/>
        <w:t>五、</w:t>
        <w:tab/>
        <w:t>基金财产清算剩余资产的分配</w:t>
      </w:r>
    </w:p>
    <w:p>
      <w:pPr>
        <w:pStyle w:val="BodyText"/>
        <w:spacing w:before="185"/>
      </w:pPr>
      <w:r>
        <w:rPr/>
        <w:t>基金财产按下列顺序清偿：</w:t>
      </w:r>
    </w:p>
    <w:p>
      <w:pPr>
        <w:pStyle w:val="ListParagraph"/>
        <w:numPr>
          <w:ilvl w:val="0"/>
          <w:numId w:val="43"/>
        </w:numPr>
        <w:tabs>
          <w:tab w:pos="1323" w:val="left" w:leader="none"/>
        </w:tabs>
        <w:spacing w:line="240" w:lineRule="auto" w:before="140" w:after="0"/>
        <w:ind w:left="1323" w:right="0" w:hanging="527"/>
        <w:jc w:val="left"/>
        <w:rPr>
          <w:sz w:val="21"/>
        </w:rPr>
      </w:pPr>
      <w:r>
        <w:rPr>
          <w:sz w:val="21"/>
        </w:rPr>
        <w:t>支付清算费用；</w:t>
      </w:r>
    </w:p>
    <w:p>
      <w:pPr>
        <w:pStyle w:val="ListParagraph"/>
        <w:numPr>
          <w:ilvl w:val="0"/>
          <w:numId w:val="43"/>
        </w:numPr>
        <w:tabs>
          <w:tab w:pos="1323" w:val="left" w:leader="none"/>
        </w:tabs>
        <w:spacing w:line="240" w:lineRule="auto" w:before="139" w:after="0"/>
        <w:ind w:left="1323" w:right="0" w:hanging="527"/>
        <w:jc w:val="left"/>
        <w:rPr>
          <w:sz w:val="21"/>
        </w:rPr>
      </w:pPr>
      <w:r>
        <w:rPr>
          <w:sz w:val="21"/>
        </w:rPr>
        <w:t>交纳所欠税款；</w:t>
      </w:r>
    </w:p>
    <w:p>
      <w:pPr>
        <w:spacing w:after="0" w:line="240" w:lineRule="auto"/>
        <w:jc w:val="left"/>
        <w:rPr>
          <w:sz w:val="21"/>
        </w:rPr>
        <w:sectPr>
          <w:pgSz w:w="11910" w:h="16840"/>
          <w:pgMar w:header="0" w:footer="1118" w:top="1380" w:bottom="1380" w:left="1420" w:right="1000"/>
        </w:sectPr>
      </w:pPr>
    </w:p>
    <w:p>
      <w:pPr>
        <w:pStyle w:val="ListParagraph"/>
        <w:numPr>
          <w:ilvl w:val="0"/>
          <w:numId w:val="43"/>
        </w:numPr>
        <w:tabs>
          <w:tab w:pos="1323" w:val="left" w:leader="none"/>
        </w:tabs>
        <w:spacing w:line="240" w:lineRule="auto" w:before="45" w:after="0"/>
        <w:ind w:left="1323" w:right="0" w:hanging="527"/>
        <w:jc w:val="left"/>
        <w:rPr>
          <w:sz w:val="21"/>
        </w:rPr>
      </w:pPr>
      <w:r>
        <w:rPr>
          <w:sz w:val="21"/>
        </w:rPr>
        <w:t>清偿基金债务；</w:t>
      </w:r>
    </w:p>
    <w:p>
      <w:pPr>
        <w:pStyle w:val="ListParagraph"/>
        <w:numPr>
          <w:ilvl w:val="0"/>
          <w:numId w:val="43"/>
        </w:numPr>
        <w:tabs>
          <w:tab w:pos="1323" w:val="left" w:leader="none"/>
        </w:tabs>
        <w:spacing w:line="240" w:lineRule="auto" w:before="139" w:after="0"/>
        <w:ind w:left="1323" w:right="0" w:hanging="527"/>
        <w:jc w:val="left"/>
        <w:rPr>
          <w:sz w:val="21"/>
        </w:rPr>
      </w:pPr>
      <w:r>
        <w:rPr>
          <w:sz w:val="21"/>
        </w:rPr>
        <w:t>按基金份额持有人持有的基金份额比例进行分配。</w:t>
      </w:r>
    </w:p>
    <w:p>
      <w:pPr>
        <w:pStyle w:val="BodyText"/>
        <w:spacing w:before="140"/>
      </w:pPr>
      <w:r>
        <w:rPr/>
        <w:t>基金财产未按前款（1</w:t>
      </w:r>
      <w:r>
        <w:rPr>
          <w:spacing w:val="-105"/>
        </w:rPr>
        <w:t>）、</w:t>
      </w:r>
      <w:r>
        <w:rPr/>
        <w:t>（2</w:t>
      </w:r>
      <w:r>
        <w:rPr>
          <w:spacing w:val="-105"/>
        </w:rPr>
        <w:t>）、</w:t>
      </w:r>
      <w:r>
        <w:rPr/>
        <w:t>（3）小项规定清偿前，不分配给基金份额持有人。</w:t>
      </w:r>
    </w:p>
    <w:p>
      <w:pPr>
        <w:pStyle w:val="Heading2"/>
        <w:tabs>
          <w:tab w:pos="1216" w:val="left" w:leader="none"/>
        </w:tabs>
        <w:spacing w:before="140"/>
      </w:pPr>
      <w:bookmarkStart w:name="_bookmark92" w:id="93"/>
      <w:bookmarkEnd w:id="93"/>
      <w:r>
        <w:rPr/>
      </w:r>
      <w:r>
        <w:rPr/>
        <w:t>六、</w:t>
        <w:tab/>
        <w:t>基金财产清算的公告</w:t>
      </w:r>
    </w:p>
    <w:p>
      <w:pPr>
        <w:pStyle w:val="BodyText"/>
        <w:spacing w:line="364" w:lineRule="auto" w:before="185"/>
        <w:ind w:left="376" w:right="794"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师事务所出具法律意见书后报中国证监会备案并公告。基金财产清算公告于《基金合同》终止并报中国证监会备案后 </w:t>
      </w:r>
      <w:r>
        <w:rPr/>
        <w:t>5</w:t>
      </w:r>
      <w:r>
        <w:rPr>
          <w:spacing w:val="-8"/>
        </w:rPr>
        <w:t> 个工作日内由基金财产清算小组进行公告。</w:t>
      </w:r>
    </w:p>
    <w:p>
      <w:pPr>
        <w:pStyle w:val="Heading2"/>
        <w:tabs>
          <w:tab w:pos="1216" w:val="left" w:leader="none"/>
        </w:tabs>
        <w:spacing w:line="358" w:lineRule="exact"/>
      </w:pPr>
      <w:bookmarkStart w:name="_bookmark93" w:id="94"/>
      <w:bookmarkEnd w:id="94"/>
      <w:r>
        <w:rPr/>
      </w:r>
      <w:r>
        <w:rPr/>
        <w:t>七、</w:t>
        <w:tab/>
        <w:t>基金财产清算账册及文件的保存</w:t>
      </w:r>
    </w:p>
    <w:p>
      <w:pPr>
        <w:pStyle w:val="BodyText"/>
        <w:spacing w:before="185"/>
      </w:pPr>
      <w:r>
        <w:rPr/>
        <w:t>基金财产清算账册及有关文件由基金托管人保存 15 年以上。</w:t>
      </w:r>
    </w:p>
    <w:p>
      <w:pPr>
        <w:spacing w:after="0"/>
        <w:sectPr>
          <w:pgSz w:w="11910" w:h="16840"/>
          <w:pgMar w:header="0" w:footer="1118" w:top="1380" w:bottom="1380" w:left="1420" w:right="1000"/>
        </w:sectPr>
      </w:pPr>
    </w:p>
    <w:p>
      <w:pPr>
        <w:pStyle w:val="Heading1"/>
        <w:tabs>
          <w:tab w:pos="1679" w:val="left" w:leader="none"/>
        </w:tabs>
      </w:pPr>
      <w:bookmarkStart w:name="_bookmark94" w:id="95"/>
      <w:bookmarkEnd w:id="95"/>
      <w:r>
        <w:rPr>
          <w:b w:val="0"/>
        </w:rPr>
      </w:r>
      <w:r>
        <w:rPr/>
        <w:t>第十九节</w:t>
        <w:tab/>
        <w:t>基金托管人</w:t>
      </w:r>
    </w:p>
    <w:p>
      <w:pPr>
        <w:pStyle w:val="BodyText"/>
        <w:spacing w:before="235"/>
      </w:pPr>
      <w:r>
        <w:rPr/>
        <w:t>（一）基金托管人情况</w:t>
      </w:r>
    </w:p>
    <w:p>
      <w:pPr>
        <w:pStyle w:val="BodyText"/>
        <w:spacing w:before="7"/>
        <w:ind w:left="0"/>
        <w:rPr>
          <w:sz w:val="15"/>
        </w:rPr>
      </w:pPr>
    </w:p>
    <w:p>
      <w:pPr>
        <w:pStyle w:val="BodyText"/>
      </w:pPr>
      <w:r>
        <w:rPr/>
        <w:t>1、基本情况</w:t>
      </w:r>
    </w:p>
    <w:p>
      <w:pPr>
        <w:pStyle w:val="BodyText"/>
        <w:spacing w:before="7"/>
        <w:ind w:left="0"/>
        <w:rPr>
          <w:sz w:val="15"/>
        </w:rPr>
      </w:pPr>
    </w:p>
    <w:p>
      <w:pPr>
        <w:pStyle w:val="BodyText"/>
        <w:spacing w:line="417" w:lineRule="auto"/>
        <w:ind w:right="3438"/>
      </w:pPr>
      <w:r>
        <w:rPr/>
        <w:t>名称：中国农业银行股份有限公司（简称中国农业银行） 住所：北京市东城区建国门内大街69号</w:t>
      </w:r>
    </w:p>
    <w:p>
      <w:pPr>
        <w:pStyle w:val="BodyText"/>
        <w:spacing w:line="417" w:lineRule="auto"/>
        <w:ind w:right="3018"/>
      </w:pPr>
      <w:r>
        <w:rPr/>
        <w:t>办公地址：北京市西城区复兴门内大街28号凯晨世贸中心东座法定代表人：周慕冰</w:t>
      </w:r>
    </w:p>
    <w:p>
      <w:pPr>
        <w:pStyle w:val="BodyText"/>
        <w:spacing w:line="269" w:lineRule="exact"/>
      </w:pPr>
      <w:r>
        <w:rPr/>
        <w:t>成立日期：2009年1月15日</w:t>
      </w:r>
    </w:p>
    <w:p>
      <w:pPr>
        <w:pStyle w:val="BodyText"/>
        <w:spacing w:before="6"/>
        <w:ind w:left="0"/>
        <w:rPr>
          <w:sz w:val="15"/>
        </w:rPr>
      </w:pPr>
    </w:p>
    <w:p>
      <w:pPr>
        <w:pStyle w:val="BodyText"/>
        <w:spacing w:line="417" w:lineRule="auto"/>
        <w:ind w:right="3018"/>
      </w:pPr>
      <w:r>
        <w:rPr/>
        <w:t>批准设立机关和批准设立文号：中国银监会银监复[2009]13</w:t>
      </w:r>
      <w:r>
        <w:rPr>
          <w:spacing w:val="-18"/>
        </w:rPr>
        <w:t>号</w:t>
      </w:r>
      <w:r>
        <w:rPr/>
        <w:t>基金托管资格批文及文号：中国证监会证监基字[1998]23号 注册资本：34,998,303.4万元人民币</w:t>
      </w:r>
    </w:p>
    <w:p>
      <w:pPr>
        <w:pStyle w:val="BodyText"/>
        <w:spacing w:line="269" w:lineRule="exact"/>
      </w:pPr>
      <w:r>
        <w:rPr/>
        <w:t>存续期间：持续经营</w:t>
      </w:r>
    </w:p>
    <w:p>
      <w:pPr>
        <w:pStyle w:val="BodyText"/>
        <w:spacing w:before="7"/>
        <w:ind w:left="0"/>
        <w:rPr>
          <w:sz w:val="15"/>
        </w:rPr>
      </w:pPr>
    </w:p>
    <w:p>
      <w:pPr>
        <w:pStyle w:val="BodyText"/>
        <w:spacing w:line="417" w:lineRule="auto"/>
        <w:ind w:right="6378"/>
      </w:pPr>
      <w:r>
        <w:rPr/>
        <w:t>联系电话</w:t>
      </w:r>
      <w:r>
        <w:rPr>
          <w:spacing w:val="-2"/>
        </w:rPr>
        <w:t>：010-66060069 </w:t>
      </w:r>
      <w:r>
        <w:rPr/>
        <w:t>传真：010-68121816</w:t>
      </w:r>
    </w:p>
    <w:p>
      <w:pPr>
        <w:pStyle w:val="BodyText"/>
        <w:spacing w:line="269" w:lineRule="exact"/>
      </w:pPr>
      <w:r>
        <w:rPr/>
        <w:t>联系人：贺倩</w:t>
      </w:r>
    </w:p>
    <w:p>
      <w:pPr>
        <w:pStyle w:val="BodyText"/>
        <w:spacing w:before="7"/>
        <w:ind w:left="0"/>
        <w:rPr>
          <w:sz w:val="15"/>
        </w:rPr>
      </w:pPr>
    </w:p>
    <w:p>
      <w:pPr>
        <w:pStyle w:val="BodyText"/>
        <w:spacing w:line="417" w:lineRule="auto"/>
        <w:ind w:left="376" w:right="585" w:firstLine="420"/>
      </w:pPr>
      <w:r>
        <w:rPr/>
        <w:t>中国农业银行股份有限公司是中国金融体系的重要组成部分,总行设在北京。经国务院 批准，中国农业银行整体改制为中国农业银行股份有限公司并于2009年1月15日依法成立。 中国农业银行股份有限公司承继原中国农业银行全部资产、负债、业务、机构网点和员工。中国农业银行网点遍布中国城乡，成为国内网点最多、业务辐射范围最广，服务领域最广， </w:t>
      </w:r>
      <w:r>
        <w:rPr>
          <w:spacing w:val="-7"/>
        </w:rPr>
        <w:t>服务对象最多，业务功能齐全的大型国有商业银行之一。在海外，中国农业银行同样通过自 己的努力赢得了良好的信誉，每年位居《财富》世界500强企业之列。作为一家城乡并举、 </w:t>
      </w:r>
      <w:r>
        <w:rPr>
          <w:spacing w:val="-17"/>
        </w:rPr>
        <w:t>联通国际、功能齐备的大型国有商业银行，中国农业银行一贯秉承以客户为中心的经营理念， </w:t>
      </w:r>
      <w:r>
        <w:rPr>
          <w:spacing w:val="-16"/>
        </w:rPr>
        <w:t>坚持审慎稳健经营、可持续发展，立足县域和城市两大市场，实施差异化竞争策略，着力打 </w:t>
      </w:r>
      <w:r>
        <w:rPr>
          <w:spacing w:val="-10"/>
        </w:rPr>
        <w:t>造“伴你成长”服务品牌，依托覆盖全国的分支机构、庞大的电子化网络和多元化的金融产 品，致力为广大客户提供优质的金融服务，与广大客户共创价值、共同成长。</w:t>
      </w:r>
    </w:p>
    <w:p>
      <w:pPr>
        <w:pStyle w:val="BodyText"/>
        <w:spacing w:line="417" w:lineRule="auto"/>
        <w:ind w:left="376" w:right="794" w:firstLine="420"/>
        <w:jc w:val="both"/>
      </w:pPr>
      <w:r>
        <w:rPr>
          <w:spacing w:val="-5"/>
        </w:rPr>
        <w:t>中国农业银行是中国第一批开展托管业务的国内商业银行，经验丰富，服务优质，业绩</w:t>
      </w:r>
      <w:r>
        <w:rPr>
          <w:spacing w:val="-2"/>
        </w:rPr>
        <w:t>突出，</w:t>
      </w:r>
      <w:r>
        <w:rPr>
          <w:spacing w:val="-4"/>
        </w:rPr>
        <w:t>2004</w:t>
      </w:r>
      <w:r>
        <w:rPr>
          <w:spacing w:val="-8"/>
        </w:rPr>
        <w:t>年被英国《全球托管人》评为中国“最佳托管银行”。</w:t>
      </w:r>
      <w:r>
        <w:rPr/>
        <w:t>2007</w:t>
      </w:r>
      <w:r>
        <w:rPr>
          <w:spacing w:val="-2"/>
        </w:rPr>
        <w:t>年中国农业银行通过</w:t>
      </w:r>
      <w:r>
        <w:rPr/>
        <w:t>了美国SAS70</w:t>
      </w:r>
      <w:r>
        <w:rPr>
          <w:spacing w:val="-7"/>
        </w:rPr>
        <w:t>内部控制审计，并获得无保留意见的</w:t>
      </w:r>
      <w:r>
        <w:rPr/>
        <w:t>SAS70</w:t>
      </w:r>
      <w:r>
        <w:rPr>
          <w:spacing w:val="-8"/>
        </w:rPr>
        <w:t>审计报告。自</w:t>
      </w:r>
      <w:r>
        <w:rPr/>
        <w:t>2010</w:t>
      </w:r>
      <w:r>
        <w:rPr>
          <w:spacing w:val="-2"/>
        </w:rPr>
        <w:t>年起中国农业银行</w:t>
      </w:r>
      <w:r>
        <w:rPr>
          <w:spacing w:val="-3"/>
        </w:rPr>
        <w:t>连续通过托管业务国际内控标准（ISAE3402）</w:t>
      </w:r>
      <w:r>
        <w:rPr>
          <w:spacing w:val="-7"/>
        </w:rPr>
        <w:t>认证，表明了独立公正第三方对中国农业银行</w:t>
      </w:r>
    </w:p>
    <w:p>
      <w:pPr>
        <w:spacing w:after="0" w:line="417" w:lineRule="auto"/>
        <w:jc w:val="both"/>
        <w:sectPr>
          <w:pgSz w:w="11910" w:h="16840"/>
          <w:pgMar w:header="0" w:footer="1118" w:top="1400" w:bottom="1380" w:left="1420" w:right="1000"/>
        </w:sectPr>
      </w:pPr>
    </w:p>
    <w:p>
      <w:pPr>
        <w:pStyle w:val="BodyText"/>
        <w:spacing w:line="417" w:lineRule="auto" w:before="43"/>
        <w:ind w:left="376" w:right="585"/>
      </w:pPr>
      <w:r>
        <w:rPr>
          <w:spacing w:val="-6"/>
        </w:rPr>
        <w:t>托管服务运作流程的风险管理、内部控制的健全有效性的全面认可。中国农业银行着力加强 能力建设，品牌声誉进一步提升，在2010年首届“‘金牌理财’TOP10颁奖盛典”中成绩突 </w:t>
      </w:r>
      <w:r>
        <w:rPr>
          <w:spacing w:val="3"/>
        </w:rPr>
        <w:t>出，获“最佳托管银行”奖。</w:t>
      </w:r>
      <w:r>
        <w:rPr/>
        <w:t>2010</w:t>
      </w:r>
      <w:r>
        <w:rPr>
          <w:spacing w:val="2"/>
        </w:rPr>
        <w:t>年再次荣获《首席财务官》杂志颁发的“最佳资产托管 奖”。2012</w:t>
      </w:r>
      <w:r>
        <w:rPr>
          <w:spacing w:val="-1"/>
        </w:rPr>
        <w:t>年荣获第十届中国财经风云榜“最佳资产托管银行”称号；</w:t>
      </w:r>
      <w:r>
        <w:rPr>
          <w:spacing w:val="-9"/>
        </w:rPr>
        <w:t>2013</w:t>
      </w:r>
      <w:r>
        <w:rPr/>
        <w:t>年至2017年连续 </w:t>
      </w:r>
      <w:r>
        <w:rPr>
          <w:spacing w:val="-6"/>
        </w:rPr>
        <w:t>荣获上海清算所授予的“托管银行优秀奖”和中央国债登记结算有限责任公司授予的“优秀 </w:t>
      </w:r>
      <w:r>
        <w:rPr>
          <w:spacing w:val="2"/>
        </w:rPr>
        <w:t>托管机构奖”称号；</w:t>
      </w:r>
      <w:r>
        <w:rPr/>
        <w:t>2015</w:t>
      </w:r>
      <w:r>
        <w:rPr>
          <w:spacing w:val="3"/>
        </w:rPr>
        <w:t>年、</w:t>
      </w:r>
      <w:r>
        <w:rPr/>
        <w:t>2016</w:t>
      </w:r>
      <w:r>
        <w:rPr>
          <w:spacing w:val="2"/>
        </w:rPr>
        <w:t>年荣获中国银行业协会授予的“养老金业务最佳发展奖” </w:t>
      </w:r>
      <w:r>
        <w:rPr>
          <w:spacing w:val="-9"/>
        </w:rPr>
        <w:t>称号；</w:t>
      </w:r>
      <w:r>
        <w:rPr>
          <w:spacing w:val="-5"/>
        </w:rPr>
        <w:t>2018</w:t>
      </w:r>
      <w:r>
        <w:rPr/>
        <w:t>年荣获中国基金报授予的公募基金20</w:t>
      </w:r>
      <w:r>
        <w:rPr>
          <w:spacing w:val="-3"/>
        </w:rPr>
        <w:t>年“最佳基金托管银行”奖；</w:t>
      </w:r>
      <w:r>
        <w:rPr>
          <w:spacing w:val="-5"/>
        </w:rPr>
        <w:t>2019</w:t>
      </w:r>
      <w:r>
        <w:rPr/>
        <w:t>年荣获证 券时报授予的“2019年度资产托管银行天玑奖”称号。</w:t>
      </w:r>
    </w:p>
    <w:p>
      <w:pPr>
        <w:pStyle w:val="BodyText"/>
        <w:spacing w:line="417" w:lineRule="auto"/>
        <w:ind w:left="376" w:right="585" w:firstLine="420"/>
      </w:pPr>
      <w:r>
        <w:rPr/>
        <w:t>中国农业银行证券投资基金托管部于1998年5月经中国证监会和中国人民银行批准成立， </w:t>
      </w:r>
      <w:r>
        <w:rPr>
          <w:spacing w:val="-7"/>
        </w:rPr>
        <w:t>目前内设综合管理部、业务管理部、客户一部、客户二部、客户三部、客户四部、风险合规 </w:t>
      </w:r>
      <w:r>
        <w:rPr>
          <w:spacing w:val="-14"/>
        </w:rPr>
        <w:t>部、产品研发与信息技术部、营运一部、营运二部、市场营销部、内控监管部、账户管理部， 拥有先进的安全防范设施和基金托管业务系统。</w:t>
      </w:r>
    </w:p>
    <w:p>
      <w:pPr>
        <w:pStyle w:val="BodyText"/>
        <w:spacing w:line="268" w:lineRule="exact"/>
      </w:pPr>
      <w:r>
        <w:rPr/>
        <w:t>2、主要人员情况</w:t>
      </w:r>
    </w:p>
    <w:p>
      <w:pPr>
        <w:pStyle w:val="BodyText"/>
        <w:spacing w:before="5"/>
        <w:ind w:left="0"/>
        <w:rPr>
          <w:sz w:val="15"/>
        </w:rPr>
      </w:pPr>
    </w:p>
    <w:p>
      <w:pPr>
        <w:pStyle w:val="BodyText"/>
        <w:spacing w:line="417" w:lineRule="auto"/>
        <w:ind w:left="376" w:right="794" w:firstLine="420"/>
        <w:jc w:val="both"/>
      </w:pPr>
      <w:r>
        <w:rPr/>
        <w:t>中国农业银行托管业务部现有员工近310名，其中具有高级职称的专家60名，服务团队</w:t>
      </w:r>
      <w:r>
        <w:rPr>
          <w:spacing w:val="-8"/>
        </w:rPr>
        <w:t>成员专业水平高、业务素质好、服务能力强，高级管理层均有</w:t>
      </w:r>
      <w:r>
        <w:rPr/>
        <w:t>20</w:t>
      </w:r>
      <w:r>
        <w:rPr>
          <w:spacing w:val="-2"/>
        </w:rPr>
        <w:t>年以上金融从业经验和高级</w:t>
      </w:r>
      <w:r>
        <w:rPr/>
        <w:t>技术职称，精通国内外证券市场的运作。</w:t>
      </w:r>
    </w:p>
    <w:p>
      <w:pPr>
        <w:pStyle w:val="BodyText"/>
        <w:spacing w:line="269" w:lineRule="exact"/>
      </w:pPr>
      <w:r>
        <w:rPr/>
        <w:t>3、基金托管业务经营情况</w:t>
      </w:r>
    </w:p>
    <w:p>
      <w:pPr>
        <w:pStyle w:val="BodyText"/>
        <w:spacing w:before="7"/>
        <w:ind w:left="0"/>
        <w:rPr>
          <w:sz w:val="15"/>
        </w:rPr>
      </w:pPr>
    </w:p>
    <w:p>
      <w:pPr>
        <w:pStyle w:val="BodyText"/>
        <w:spacing w:line="417" w:lineRule="auto"/>
        <w:ind w:left="376" w:right="795" w:firstLine="420"/>
      </w:pPr>
      <w:r>
        <w:rPr/>
        <w:t>截止到2020年3月31日，中国农业银行托管的封闭式证券投资基金和开放式证券投资基金共523只。</w:t>
      </w:r>
    </w:p>
    <w:p>
      <w:pPr>
        <w:pStyle w:val="BodyText"/>
        <w:spacing w:line="269" w:lineRule="exact"/>
      </w:pPr>
      <w:r>
        <w:rPr/>
        <w:t>（二）基金托管人的内部风险控制制度说明</w:t>
      </w:r>
    </w:p>
    <w:p>
      <w:pPr>
        <w:pStyle w:val="BodyText"/>
        <w:spacing w:before="7"/>
        <w:ind w:left="0"/>
        <w:rPr>
          <w:sz w:val="15"/>
        </w:rPr>
      </w:pPr>
    </w:p>
    <w:p>
      <w:pPr>
        <w:pStyle w:val="BodyText"/>
      </w:pPr>
      <w:r>
        <w:rPr/>
        <w:t>1、内部控制目标</w:t>
      </w:r>
    </w:p>
    <w:p>
      <w:pPr>
        <w:pStyle w:val="BodyText"/>
        <w:spacing w:before="6"/>
        <w:ind w:left="0"/>
        <w:rPr>
          <w:sz w:val="15"/>
        </w:rPr>
      </w:pPr>
    </w:p>
    <w:p>
      <w:pPr>
        <w:pStyle w:val="BodyText"/>
        <w:spacing w:line="417" w:lineRule="auto"/>
        <w:ind w:left="376" w:right="585" w:firstLine="420"/>
        <w:jc w:val="both"/>
      </w:pPr>
      <w:r>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pStyle w:val="BodyText"/>
        <w:spacing w:line="269" w:lineRule="exact"/>
      </w:pPr>
      <w:r>
        <w:rPr/>
        <w:t>2、内部控制组织结构</w:t>
      </w:r>
    </w:p>
    <w:p>
      <w:pPr>
        <w:pStyle w:val="BodyText"/>
        <w:spacing w:before="7"/>
        <w:ind w:left="0"/>
        <w:rPr>
          <w:sz w:val="15"/>
        </w:rPr>
      </w:pPr>
    </w:p>
    <w:p>
      <w:pPr>
        <w:pStyle w:val="BodyText"/>
        <w:spacing w:line="417" w:lineRule="auto"/>
        <w:ind w:left="376" w:right="795" w:firstLine="420"/>
        <w:jc w:val="both"/>
      </w:pPr>
      <w:r>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pStyle w:val="BodyText"/>
        <w:spacing w:line="269" w:lineRule="exact"/>
      </w:pPr>
      <w:r>
        <w:rPr/>
        <w:t>3、内部控制制度及措施</w:t>
      </w:r>
    </w:p>
    <w:p>
      <w:pPr>
        <w:pStyle w:val="BodyText"/>
        <w:spacing w:before="7"/>
        <w:ind w:left="0"/>
        <w:rPr>
          <w:sz w:val="15"/>
        </w:rPr>
      </w:pPr>
    </w:p>
    <w:p>
      <w:pPr>
        <w:pStyle w:val="BodyText"/>
      </w:pPr>
      <w:r>
        <w:rPr/>
        <w:t>具备系统、完善的制度控制体系，建立了管理制度、控制制度、岗位职责、业务操作流</w:t>
      </w:r>
    </w:p>
    <w:p>
      <w:pPr>
        <w:spacing w:after="0"/>
        <w:sectPr>
          <w:pgSz w:w="11910" w:h="16840"/>
          <w:pgMar w:header="0" w:footer="1118" w:top="1480" w:bottom="1380" w:left="1420" w:right="1000"/>
        </w:sectPr>
      </w:pPr>
    </w:p>
    <w:p>
      <w:pPr>
        <w:pStyle w:val="BodyText"/>
        <w:spacing w:line="417" w:lineRule="auto" w:before="43"/>
        <w:ind w:left="376" w:right="794"/>
        <w:jc w:val="both"/>
      </w:pPr>
      <w:r>
        <w:rPr>
          <w:spacing w:val="-6"/>
        </w:rPr>
        <w:t>程，可以保证托管业务的规范操作和顺利进行；业务人员具备从业资格；业务管理实行严格</w:t>
      </w:r>
      <w:r>
        <w:rPr>
          <w:spacing w:val="-12"/>
        </w:rPr>
        <w:t>的复核、审核、检查制度，授权工作实行集中控制，业务印章按规程保管、存放、使用，账</w:t>
      </w:r>
      <w:r>
        <w:rPr/>
        <w:t>户资料严格保管，制约机制严格有效；业务操作区专门设置，封闭管理,实施音像监控；业务信息由专职信息披露人负责,防止泄密；业务实现自动化操作，防止人为事故的发生，技术系统完整、独立。</w:t>
      </w:r>
    </w:p>
    <w:p>
      <w:pPr>
        <w:pStyle w:val="BodyText"/>
        <w:spacing w:line="268" w:lineRule="exact"/>
      </w:pPr>
      <w:r>
        <w:rPr/>
        <w:t>（三）基金托管人对基金管理人运作基金进行监督的方法和程序</w:t>
      </w:r>
    </w:p>
    <w:p>
      <w:pPr>
        <w:pStyle w:val="BodyText"/>
        <w:spacing w:before="6"/>
        <w:ind w:left="0"/>
        <w:rPr>
          <w:sz w:val="15"/>
        </w:rPr>
      </w:pPr>
    </w:p>
    <w:p>
      <w:pPr>
        <w:pStyle w:val="BodyText"/>
        <w:spacing w:line="417" w:lineRule="auto" w:before="1"/>
        <w:ind w:left="376" w:right="794" w:firstLine="420"/>
        <w:jc w:val="both"/>
      </w:pPr>
      <w:r>
        <w:rPr>
          <w:spacing w:val="-6"/>
        </w:rPr>
        <w:t>基金托管人通过参数设置将《基金法》、《运作办法》、基金合同、托管协议规定的投资比例和禁止投资品种输入监控系统，每日登录监控系统监督基金管理人的投资运作，并通</w:t>
      </w:r>
      <w:r>
        <w:rPr/>
        <w:t>过基金资金账户、基金管理人的投资指令等监督基金管理人的其他行为。</w:t>
      </w:r>
    </w:p>
    <w:p>
      <w:pPr>
        <w:pStyle w:val="BodyText"/>
        <w:spacing w:line="269" w:lineRule="exact"/>
      </w:pPr>
      <w:r>
        <w:rPr/>
        <w:t>当基金出现异常交易行为时，基金托管人应当针对不同情况进行以下方式的处理：</w:t>
      </w:r>
    </w:p>
    <w:p>
      <w:pPr>
        <w:pStyle w:val="BodyText"/>
        <w:spacing w:before="6"/>
        <w:ind w:left="0"/>
        <w:rPr>
          <w:sz w:val="15"/>
        </w:rPr>
      </w:pPr>
    </w:p>
    <w:p>
      <w:pPr>
        <w:pStyle w:val="BodyText"/>
      </w:pPr>
      <w:r>
        <w:rPr/>
        <w:t>1、电话提示。对媒体和舆论反映集中的问题，电话提示基金管理人；</w:t>
      </w:r>
    </w:p>
    <w:p>
      <w:pPr>
        <w:pStyle w:val="BodyText"/>
        <w:spacing w:before="7"/>
        <w:ind w:left="0"/>
        <w:rPr>
          <w:sz w:val="15"/>
        </w:rPr>
      </w:pPr>
    </w:p>
    <w:p>
      <w:pPr>
        <w:pStyle w:val="BodyText"/>
        <w:spacing w:line="417" w:lineRule="auto"/>
        <w:ind w:left="376" w:right="795" w:firstLine="420"/>
      </w:pPr>
      <w:r>
        <w:rPr/>
        <w:t>2、书面警示。对本基金投资比例接近超标、资金头寸不足等问题，以书面方式对基金管理人进行提示；</w:t>
      </w:r>
    </w:p>
    <w:p>
      <w:pPr>
        <w:pStyle w:val="BodyText"/>
        <w:spacing w:line="417" w:lineRule="auto"/>
        <w:ind w:left="376" w:right="795" w:firstLine="420"/>
      </w:pPr>
      <w:r>
        <w:rPr/>
        <w:t>3、书面报告。对投资比例超标、清算资金透支以及其他涉嫌违规交易等行为，书面提示有关基金管理人并报中国证监会。</w:t>
      </w:r>
    </w:p>
    <w:p>
      <w:pPr>
        <w:spacing w:after="0" w:line="417" w:lineRule="auto"/>
        <w:sectPr>
          <w:pgSz w:w="11910" w:h="16840"/>
          <w:pgMar w:header="0" w:footer="1118" w:top="1480" w:bottom="1380" w:left="1420" w:right="1000"/>
        </w:sectPr>
      </w:pPr>
    </w:p>
    <w:p>
      <w:pPr>
        <w:pStyle w:val="Heading1"/>
        <w:tabs>
          <w:tab w:pos="1679" w:val="left" w:leader="none"/>
        </w:tabs>
      </w:pPr>
      <w:bookmarkStart w:name="_bookmark95" w:id="96"/>
      <w:bookmarkEnd w:id="96"/>
      <w:r>
        <w:rPr>
          <w:b w:val="0"/>
        </w:rPr>
      </w:r>
      <w:r>
        <w:rPr/>
        <w:t>第二十节</w:t>
        <w:tab/>
        <w:t>境外资产托管人</w:t>
      </w:r>
    </w:p>
    <w:p>
      <w:pPr>
        <w:pStyle w:val="Heading2"/>
        <w:tabs>
          <w:tab w:pos="1216" w:val="left" w:leader="none"/>
        </w:tabs>
        <w:spacing w:before="139"/>
      </w:pPr>
      <w:bookmarkStart w:name="_bookmark96" w:id="97"/>
      <w:bookmarkEnd w:id="97"/>
      <w:r>
        <w:rPr/>
      </w:r>
      <w:r>
        <w:rPr/>
        <w:t>一、</w:t>
        <w:tab/>
        <w:t>基本情况</w:t>
      </w:r>
    </w:p>
    <w:p>
      <w:pPr>
        <w:pStyle w:val="BodyText"/>
        <w:ind w:left="0"/>
        <w:rPr>
          <w:sz w:val="22"/>
        </w:rPr>
      </w:pPr>
    </w:p>
    <w:p>
      <w:pPr>
        <w:pStyle w:val="BodyText"/>
        <w:spacing w:before="1"/>
      </w:pPr>
      <w:r>
        <w:rPr/>
        <w:t>名称:香港上海汇丰银行有限公司</w:t>
      </w:r>
    </w:p>
    <w:p>
      <w:pPr>
        <w:pStyle w:val="BodyText"/>
        <w:spacing w:before="6"/>
        <w:ind w:left="0"/>
        <w:rPr>
          <w:sz w:val="15"/>
        </w:rPr>
      </w:pPr>
    </w:p>
    <w:p>
      <w:pPr>
        <w:pStyle w:val="BodyText"/>
        <w:spacing w:line="417" w:lineRule="auto"/>
        <w:ind w:right="4068"/>
      </w:pPr>
      <w:r>
        <w:rPr/>
        <w:t>注册地址:香港中环皇后大道中一号汇丰总行大厦办公地址:香港九龙深旺道一号,汇丰中心一座六楼成立日期：1865年</w:t>
      </w:r>
    </w:p>
    <w:p>
      <w:pPr>
        <w:pStyle w:val="BodyText"/>
        <w:spacing w:line="269" w:lineRule="exact"/>
      </w:pPr>
      <w:r>
        <w:rPr/>
        <w:t>管理层:</w:t>
      </w:r>
    </w:p>
    <w:p>
      <w:pPr>
        <w:pStyle w:val="BodyText"/>
        <w:spacing w:before="7"/>
        <w:ind w:left="0"/>
        <w:rPr>
          <w:sz w:val="15"/>
        </w:rPr>
      </w:pPr>
    </w:p>
    <w:p>
      <w:pPr>
        <w:pStyle w:val="BodyText"/>
        <w:tabs>
          <w:tab w:pos="2056" w:val="left" w:leader="none"/>
        </w:tabs>
        <w:spacing w:line="417" w:lineRule="auto"/>
        <w:ind w:right="6798"/>
      </w:pPr>
      <w:r>
        <w:rPr/>
        <w:t>行政总裁:</w:t>
        <w:tab/>
        <w:t>王冬</w:t>
      </w:r>
      <w:r>
        <w:rPr>
          <w:spacing w:val="-18"/>
        </w:rPr>
        <w:t>胜</w:t>
      </w:r>
      <w:r>
        <w:rPr/>
        <w:t>联系人: 钟咏苓</w:t>
      </w:r>
    </w:p>
    <w:p>
      <w:pPr>
        <w:pStyle w:val="BodyText"/>
        <w:spacing w:line="269" w:lineRule="exact"/>
      </w:pPr>
      <w:r>
        <w:rPr/>
        <w:t>电话:+862138882381</w:t>
      </w:r>
    </w:p>
    <w:p>
      <w:pPr>
        <w:pStyle w:val="BodyText"/>
        <w:spacing w:before="7"/>
        <w:ind w:left="0"/>
        <w:rPr>
          <w:sz w:val="15"/>
        </w:rPr>
      </w:pPr>
    </w:p>
    <w:p>
      <w:pPr>
        <w:pStyle w:val="BodyText"/>
      </w:pPr>
      <w:hyperlink r:id="rId8">
        <w:r>
          <w:rPr/>
          <w:t>Email:sophiachung@hsbc.com.cn</w:t>
        </w:r>
      </w:hyperlink>
    </w:p>
    <w:p>
      <w:pPr>
        <w:pStyle w:val="BodyText"/>
        <w:spacing w:before="6"/>
        <w:ind w:left="0"/>
        <w:rPr>
          <w:sz w:val="15"/>
        </w:rPr>
      </w:pPr>
    </w:p>
    <w:p>
      <w:pPr>
        <w:pStyle w:val="BodyText"/>
        <w:spacing w:before="1"/>
      </w:pPr>
      <w:hyperlink r:id="rId9">
        <w:r>
          <w:rPr/>
          <w:t>公司网址:www.hsbc.com</w:t>
        </w:r>
      </w:hyperlink>
    </w:p>
    <w:p>
      <w:pPr>
        <w:pStyle w:val="BodyText"/>
        <w:spacing w:before="6"/>
        <w:ind w:left="0"/>
        <w:rPr>
          <w:sz w:val="15"/>
        </w:rPr>
      </w:pPr>
    </w:p>
    <w:p>
      <w:pPr>
        <w:pStyle w:val="BodyText"/>
      </w:pPr>
      <w:r>
        <w:rPr/>
        <w:t>2019年12月31日公司股本：1,723.35亿港元</w:t>
      </w:r>
    </w:p>
    <w:p>
      <w:pPr>
        <w:pStyle w:val="BodyText"/>
        <w:spacing w:before="7"/>
        <w:ind w:left="0"/>
        <w:rPr>
          <w:sz w:val="15"/>
        </w:rPr>
      </w:pPr>
    </w:p>
    <w:p>
      <w:pPr>
        <w:pStyle w:val="BodyText"/>
        <w:spacing w:line="417" w:lineRule="auto"/>
        <w:ind w:right="4593"/>
      </w:pPr>
      <w:r>
        <w:rPr/>
        <w:t>2019年12月31日托管资产规模：8.5万亿美元信用等级：标准普尔AA-</w:t>
      </w:r>
    </w:p>
    <w:p>
      <w:pPr>
        <w:pStyle w:val="BodyText"/>
        <w:spacing w:line="417" w:lineRule="auto"/>
        <w:ind w:left="376" w:right="794" w:firstLine="420"/>
        <w:jc w:val="both"/>
      </w:pPr>
      <w:r>
        <w:rPr>
          <w:spacing w:val="-5"/>
        </w:rPr>
        <w:t>汇丰是全球最大的银行及金融服务机构之一。我们通过四大环球业务：零售银行及财富</w:t>
      </w:r>
      <w:r>
        <w:rPr/>
        <w:t>管理、工商金融、环球银行及资本市场以及环球私人银行，为约4,000万名客户提供服务。我们的业务网络遍及欧洲、亚洲、中东及非洲、北美和拉美，覆盖全球64个国家和地区。</w:t>
      </w:r>
    </w:p>
    <w:p>
      <w:pPr>
        <w:pStyle w:val="BodyText"/>
        <w:spacing w:line="417" w:lineRule="auto"/>
        <w:ind w:left="376" w:right="794" w:firstLine="420"/>
      </w:pPr>
      <w:r>
        <w:rPr>
          <w:spacing w:val="-7"/>
        </w:rPr>
        <w:t>汇丰旨在把握市场增长机会，致力建立联系以协助客户开拓商机，推动企业茁壮成长及</w:t>
      </w:r>
      <w:r>
        <w:rPr/>
        <w:t>各地经济繁荣发展，而最终目标是让客户实现理想。</w:t>
      </w:r>
    </w:p>
    <w:p>
      <w:pPr>
        <w:pStyle w:val="BodyText"/>
        <w:spacing w:line="269" w:lineRule="exact"/>
      </w:pPr>
      <w:r>
        <w:rPr/>
        <w:t>汇丰控股有限公司在伦敦、香港、纽约、巴黎和百慕大证券交易所上市，股东 197,000</w:t>
      </w:r>
    </w:p>
    <w:p>
      <w:pPr>
        <w:pStyle w:val="BodyText"/>
        <w:spacing w:before="6"/>
        <w:ind w:left="0"/>
        <w:rPr>
          <w:sz w:val="15"/>
        </w:rPr>
      </w:pPr>
    </w:p>
    <w:p>
      <w:pPr>
        <w:pStyle w:val="BodyText"/>
        <w:ind w:left="376"/>
      </w:pPr>
      <w:r>
        <w:rPr/>
        <w:t>名，遍布全球 130 个国家和地区。</w:t>
      </w:r>
    </w:p>
    <w:p>
      <w:pPr>
        <w:pStyle w:val="Heading2"/>
        <w:tabs>
          <w:tab w:pos="1216" w:val="left" w:leader="none"/>
        </w:tabs>
        <w:spacing w:before="102"/>
      </w:pPr>
      <w:bookmarkStart w:name="_bookmark97" w:id="98"/>
      <w:bookmarkEnd w:id="98"/>
      <w:r>
        <w:rPr/>
      </w:r>
      <w:r>
        <w:rPr/>
        <w:t>二、</w:t>
        <w:tab/>
        <w:t>境外托管人的职责</w:t>
      </w:r>
    </w:p>
    <w:p>
      <w:pPr>
        <w:pStyle w:val="BodyText"/>
        <w:spacing w:before="1"/>
        <w:ind w:left="0"/>
        <w:rPr>
          <w:sz w:val="22"/>
        </w:rPr>
      </w:pPr>
    </w:p>
    <w:p>
      <w:pPr>
        <w:pStyle w:val="BodyText"/>
        <w:spacing w:line="417" w:lineRule="auto"/>
        <w:ind w:left="376" w:right="794" w:firstLine="420"/>
      </w:pPr>
      <w:r>
        <w:rPr>
          <w:spacing w:val="-10"/>
        </w:rPr>
        <w:t>对基金的境外财产，基金托管人可以授权境外资产托管人代为履行其对基金的受托人职</w:t>
      </w:r>
      <w:r>
        <w:rPr/>
        <w:t>责，包括但不限于：</w:t>
      </w:r>
    </w:p>
    <w:p>
      <w:pPr>
        <w:pStyle w:val="BodyText"/>
        <w:spacing w:line="417" w:lineRule="auto"/>
        <w:ind w:left="376" w:right="795" w:firstLine="420"/>
      </w:pPr>
      <w:r>
        <w:rPr/>
        <w:t>1、仅在依基金托管人指示之情形下，依规定之形式及方式转移、交换或交付其于境外资产托管协议下为基金托管之QDII客持有之投资；</w:t>
      </w:r>
    </w:p>
    <w:p>
      <w:pPr>
        <w:pStyle w:val="BodyText"/>
        <w:spacing w:line="417" w:lineRule="auto"/>
        <w:ind w:left="376" w:right="794" w:firstLine="420"/>
      </w:pPr>
      <w:r>
        <w:rPr/>
        <w:t>2</w:t>
      </w:r>
      <w:r>
        <w:rPr>
          <w:spacing w:val="-10"/>
        </w:rPr>
        <w:t>、按照相关合同的约定,计算境外受托资产的资产净值，提供与受托资产业务活动有关</w:t>
      </w:r>
      <w:r>
        <w:rPr/>
        <w:t>的会计、交易记录、并保存受托资产托管业务活动的记录、账册以及其他相关资料。</w:t>
      </w:r>
    </w:p>
    <w:p>
      <w:pPr>
        <w:spacing w:after="0" w:line="417" w:lineRule="auto"/>
        <w:sectPr>
          <w:pgSz w:w="11910" w:h="16840"/>
          <w:pgMar w:header="0" w:footer="1118" w:top="1400" w:bottom="1380" w:left="1420" w:right="1000"/>
        </w:sectPr>
      </w:pPr>
    </w:p>
    <w:p>
      <w:pPr>
        <w:pStyle w:val="BodyText"/>
        <w:spacing w:line="417" w:lineRule="auto" w:before="43"/>
        <w:ind w:left="376" w:right="794" w:firstLine="420"/>
        <w:jc w:val="both"/>
      </w:pPr>
      <w:r>
        <w:rPr>
          <w:spacing w:val="2"/>
        </w:rPr>
        <w:t>境外托管人须及促使其次托管人或代表人尽其合理努力及判断力履行有关协议所规定</w:t>
      </w:r>
      <w:r>
        <w:rPr>
          <w:spacing w:val="-6"/>
        </w:rPr>
        <w:t>之责任与义务，但境外托管人或其代表人或次托管人并无欺诈、疏忽、故意失责或违约之情</w:t>
      </w:r>
      <w:r>
        <w:rPr>
          <w:spacing w:val="-10"/>
        </w:rPr>
        <w:t>况下，境外托管代理人或其代表人或次托管人及其董事、人员及其代理人就其等因善意及恰</w:t>
      </w:r>
      <w:r>
        <w:rPr>
          <w:spacing w:val="-8"/>
        </w:rPr>
        <w:t>當地履行境外资产托管协议，或依照基金托管人(或其获授权人)之指示或所为之行为而导致</w:t>
      </w:r>
      <w:r>
        <w:rPr/>
        <w:t>托管资产遭受之任何损失、费用或任何后果均不用负上法律责任。</w:t>
      </w:r>
    </w:p>
    <w:p>
      <w:pPr>
        <w:pStyle w:val="BodyText"/>
        <w:spacing w:line="417" w:lineRule="auto"/>
        <w:ind w:left="376" w:right="794" w:firstLine="420"/>
        <w:jc w:val="both"/>
      </w:pPr>
      <w:r>
        <w:rPr>
          <w:spacing w:val="-8"/>
        </w:rPr>
        <w:t>境外托管人在履行职责过程中，因本身欺诈、疏忽、故意失责或违约而导致托管资产遭受之损失(但任何附带、间接、特别、从属损害或惩戒性损害赔偿除外)的，基金托管人应当</w:t>
      </w:r>
      <w:r>
        <w:rPr>
          <w:spacing w:val="-9"/>
        </w:rPr>
        <w:t>承担相应责任。在决定境外托管人是否有过错、疏忽等不当行为，应根据基金托管人与境外</w:t>
      </w:r>
      <w:r>
        <w:rPr/>
        <w:t>托管人之间的协议的适用法律及当地的证券市场惯例决定。</w:t>
      </w:r>
    </w:p>
    <w:p>
      <w:pPr>
        <w:spacing w:after="0" w:line="417" w:lineRule="auto"/>
        <w:jc w:val="both"/>
        <w:sectPr>
          <w:pgSz w:w="11910" w:h="16840"/>
          <w:pgMar w:header="0" w:footer="1118" w:top="1480" w:bottom="1380" w:left="1420" w:right="1000"/>
        </w:sectPr>
      </w:pPr>
    </w:p>
    <w:p>
      <w:pPr>
        <w:pStyle w:val="Heading1"/>
      </w:pPr>
      <w:bookmarkStart w:name="_bookmark98" w:id="99"/>
      <w:bookmarkEnd w:id="99"/>
      <w:r>
        <w:rPr>
          <w:b w:val="0"/>
        </w:rPr>
      </w:r>
      <w:r>
        <w:rPr/>
        <w:t>第二十一节相关服务机构</w:t>
      </w:r>
    </w:p>
    <w:p>
      <w:pPr>
        <w:pStyle w:val="Heading2"/>
        <w:tabs>
          <w:tab w:pos="1216" w:val="left" w:leader="none"/>
        </w:tabs>
        <w:spacing w:before="139"/>
      </w:pPr>
      <w:bookmarkStart w:name="_bookmark99" w:id="100"/>
      <w:bookmarkEnd w:id="100"/>
      <w:r>
        <w:rPr/>
      </w:r>
      <w:r>
        <w:rPr/>
        <w:t>一、</w:t>
        <w:tab/>
        <w:t>基金份额销售机构</w:t>
      </w:r>
    </w:p>
    <w:p>
      <w:pPr>
        <w:pStyle w:val="BodyText"/>
        <w:spacing w:before="185"/>
      </w:pPr>
      <w:r>
        <w:rPr/>
        <w:t>1、场外直销销售机构</w:t>
      </w:r>
    </w:p>
    <w:p>
      <w:pPr>
        <w:pStyle w:val="BodyText"/>
        <w:spacing w:before="139"/>
      </w:pPr>
      <w:r>
        <w:rPr/>
        <w:t>直销机构：易方达基金管理有限公司</w:t>
      </w:r>
    </w:p>
    <w:p>
      <w:pPr>
        <w:pStyle w:val="BodyText"/>
        <w:spacing w:line="364" w:lineRule="auto" w:before="139"/>
        <w:ind w:right="165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40-43F</w:t>
      </w:r>
    </w:p>
    <w:p>
      <w:pPr>
        <w:pStyle w:val="BodyText"/>
        <w:spacing w:line="364" w:lineRule="auto"/>
        <w:ind w:right="6798"/>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273"/>
      </w:pPr>
      <w:hyperlink r:id="rId7">
        <w:r>
          <w:rPr/>
          <w:t>网址：www.efunds.com.cn </w:t>
        </w:r>
      </w:hyperlink>
      <w:r>
        <w:rPr/>
        <w:t>直销机构网点信息：</w:t>
      </w:r>
    </w:p>
    <w:p>
      <w:pPr>
        <w:pStyle w:val="ListParagraph"/>
        <w:numPr>
          <w:ilvl w:val="0"/>
          <w:numId w:val="44"/>
        </w:numPr>
        <w:tabs>
          <w:tab w:pos="1364" w:val="left" w:leader="none"/>
        </w:tabs>
        <w:spacing w:line="268" w:lineRule="exact" w:before="0" w:after="0"/>
        <w:ind w:left="1364" w:right="0" w:hanging="568"/>
        <w:jc w:val="left"/>
        <w:rPr>
          <w:sz w:val="21"/>
        </w:rPr>
      </w:pPr>
      <w:r>
        <w:rPr>
          <w:sz w:val="21"/>
        </w:rPr>
        <w:t>易方达基金管理有限公司广州直销中心</w:t>
      </w:r>
    </w:p>
    <w:p>
      <w:pPr>
        <w:pStyle w:val="BodyText"/>
        <w:spacing w:before="139"/>
      </w:pPr>
      <w:r>
        <w:rPr/>
        <w:t>办公地址：广州市天河区珠江新城珠江东路 30 号广州银行大厦 40F</w:t>
      </w:r>
    </w:p>
    <w:p>
      <w:pPr>
        <w:pStyle w:val="BodyText"/>
        <w:spacing w:line="364" w:lineRule="auto" w:before="140"/>
        <w:ind w:right="6798"/>
      </w:pPr>
      <w:r>
        <w:rPr/>
        <w:t>电话：020-85102506 传真：4008818099</w:t>
      </w:r>
    </w:p>
    <w:p>
      <w:pPr>
        <w:pStyle w:val="BodyText"/>
        <w:spacing w:line="268" w:lineRule="exact"/>
      </w:pPr>
      <w:r>
        <w:rPr/>
        <w:t>联系人：王峰</w:t>
      </w:r>
    </w:p>
    <w:p>
      <w:pPr>
        <w:pStyle w:val="ListParagraph"/>
        <w:numPr>
          <w:ilvl w:val="0"/>
          <w:numId w:val="44"/>
        </w:numPr>
        <w:tabs>
          <w:tab w:pos="1364" w:val="left" w:leader="none"/>
        </w:tabs>
        <w:spacing w:line="240" w:lineRule="auto" w:before="139" w:after="0"/>
        <w:ind w:left="1364" w:right="0" w:hanging="568"/>
        <w:jc w:val="left"/>
        <w:rPr>
          <w:sz w:val="21"/>
        </w:rPr>
      </w:pPr>
      <w:r>
        <w:rPr>
          <w:sz w:val="21"/>
        </w:rPr>
        <w:t>易方达基金管理有限公司北京直销中心</w:t>
      </w:r>
    </w:p>
    <w:p>
      <w:pPr>
        <w:pStyle w:val="BodyText"/>
        <w:spacing w:line="364" w:lineRule="auto" w:before="140"/>
        <w:ind w:right="3333"/>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44"/>
        </w:numPr>
        <w:tabs>
          <w:tab w:pos="1364" w:val="left" w:leader="none"/>
        </w:tabs>
        <w:spacing w:line="240" w:lineRule="auto" w:before="140" w:after="0"/>
        <w:ind w:left="1364" w:right="0" w:hanging="568"/>
        <w:jc w:val="left"/>
        <w:rPr>
          <w:sz w:val="21"/>
        </w:rPr>
      </w:pPr>
      <w:r>
        <w:rPr>
          <w:sz w:val="21"/>
        </w:rPr>
        <w:t>易方达基金管理有限公司上海直销中心</w:t>
      </w:r>
    </w:p>
    <w:p>
      <w:pPr>
        <w:pStyle w:val="BodyText"/>
        <w:spacing w:line="364" w:lineRule="auto" w:before="139"/>
        <w:ind w:right="3438"/>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联系人：于楠</w:t>
      </w:r>
    </w:p>
    <w:p>
      <w:pPr>
        <w:pStyle w:val="ListParagraph"/>
        <w:numPr>
          <w:ilvl w:val="0"/>
          <w:numId w:val="44"/>
        </w:numPr>
        <w:tabs>
          <w:tab w:pos="1364" w:val="left" w:leader="none"/>
        </w:tabs>
        <w:spacing w:line="364" w:lineRule="auto" w:before="140" w:after="0"/>
        <w:ind w:left="796" w:right="4551"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2、场内销售机构</w:t>
      </w:r>
    </w:p>
    <w:p>
      <w:pPr>
        <w:pStyle w:val="BodyText"/>
        <w:spacing w:before="139"/>
      </w:pPr>
      <w:r>
        <w:rPr/>
        <w:t>具有基金销售资格的深圳证券交易所会员单位，具体名单详见深圳证券交易所网站。</w:t>
      </w:r>
    </w:p>
    <w:p>
      <w:pPr>
        <w:pStyle w:val="BodyText"/>
        <w:spacing w:before="140"/>
      </w:pPr>
      <w:r>
        <w:rPr/>
        <w:t>3、场外非直销销售机构（以下排序不分先后）</w:t>
      </w:r>
    </w:p>
    <w:p>
      <w:pPr>
        <w:pStyle w:val="BodyText"/>
        <w:spacing w:before="139"/>
      </w:pPr>
      <w:r>
        <w:rPr/>
        <w:t>（1）A 类人民币基金份额</w:t>
      </w:r>
    </w:p>
    <w:p>
      <w:pPr>
        <w:spacing w:after="0"/>
        <w:sectPr>
          <w:pgSz w:w="11910" w:h="16840"/>
          <w:pgMar w:header="0" w:footer="1118" w:top="1400" w:bottom="1380" w:left="1420" w:right="1000"/>
        </w:sectPr>
      </w:pPr>
    </w:p>
    <w:p>
      <w:pPr>
        <w:pStyle w:val="ListParagraph"/>
        <w:numPr>
          <w:ilvl w:val="0"/>
          <w:numId w:val="45"/>
        </w:numPr>
        <w:tabs>
          <w:tab w:pos="1112" w:val="left" w:leader="none"/>
        </w:tabs>
        <w:spacing w:line="240" w:lineRule="auto" w:before="45" w:after="0"/>
        <w:ind w:left="1112" w:right="0" w:hanging="316"/>
        <w:jc w:val="both"/>
        <w:rPr>
          <w:sz w:val="21"/>
        </w:rPr>
      </w:pPr>
      <w:r>
        <w:rPr>
          <w:sz w:val="21"/>
        </w:rPr>
        <w:t>中国农业银行</w:t>
      </w:r>
    </w:p>
    <w:p>
      <w:pPr>
        <w:pStyle w:val="BodyText"/>
        <w:spacing w:line="364" w:lineRule="auto" w:before="139"/>
        <w:ind w:right="4593"/>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40"/>
        <w:ind w:right="6693"/>
      </w:pPr>
      <w:r>
        <w:rPr/>
        <w:t>客户服务电话：95599 传真：010-85109219</w:t>
      </w:r>
    </w:p>
    <w:p>
      <w:pPr>
        <w:pStyle w:val="BodyText"/>
        <w:spacing w:line="268" w:lineRule="exact"/>
      </w:pPr>
      <w:hyperlink r:id="rId10">
        <w:r>
          <w:rPr/>
          <w:t>网址：www.abchina.com</w:t>
        </w:r>
      </w:hyperlink>
    </w:p>
    <w:p>
      <w:pPr>
        <w:pStyle w:val="ListParagraph"/>
        <w:numPr>
          <w:ilvl w:val="0"/>
          <w:numId w:val="45"/>
        </w:numPr>
        <w:tabs>
          <w:tab w:pos="1112" w:val="left" w:leader="none"/>
        </w:tabs>
        <w:spacing w:line="240" w:lineRule="auto" w:before="139" w:after="0"/>
        <w:ind w:left="1112" w:right="0" w:hanging="316"/>
        <w:jc w:val="both"/>
        <w:rPr>
          <w:sz w:val="21"/>
        </w:rPr>
      </w:pPr>
      <w:r>
        <w:rPr>
          <w:sz w:val="21"/>
        </w:rPr>
        <w:t>广发银行</w:t>
      </w:r>
    </w:p>
    <w:p>
      <w:pPr>
        <w:pStyle w:val="BodyText"/>
        <w:spacing w:line="364" w:lineRule="auto" w:before="140"/>
        <w:ind w:right="4278"/>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法定代表人：王滨</w:t>
      </w:r>
    </w:p>
    <w:p>
      <w:pPr>
        <w:pStyle w:val="BodyText"/>
        <w:spacing w:line="364" w:lineRule="auto"/>
        <w:ind w:right="5958"/>
      </w:pPr>
      <w:r>
        <w:rPr/>
        <w:t>客户服务电话：400-830-8003 </w:t>
      </w:r>
      <w:hyperlink r:id="rId11">
        <w:r>
          <w:rPr/>
          <w:t>网址：www.cgbchina.com.cn</w:t>
        </w:r>
      </w:hyperlink>
    </w:p>
    <w:p>
      <w:pPr>
        <w:pStyle w:val="ListParagraph"/>
        <w:numPr>
          <w:ilvl w:val="0"/>
          <w:numId w:val="45"/>
        </w:numPr>
        <w:tabs>
          <w:tab w:pos="1112" w:val="left" w:leader="none"/>
        </w:tabs>
        <w:spacing w:line="268" w:lineRule="exact" w:before="0" w:after="0"/>
        <w:ind w:left="1112" w:right="0" w:hanging="316"/>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333"/>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联系人：王者凡</w:t>
      </w:r>
    </w:p>
    <w:p>
      <w:pPr>
        <w:pStyle w:val="BodyText"/>
        <w:spacing w:line="364" w:lineRule="auto" w:before="140"/>
        <w:ind w:right="6693"/>
      </w:pPr>
      <w:r>
        <w:rPr/>
        <w:t>客户服务电话：95577 传真：010-85238680</w:t>
      </w:r>
    </w:p>
    <w:p>
      <w:pPr>
        <w:pStyle w:val="BodyText"/>
        <w:spacing w:line="268" w:lineRule="exact"/>
      </w:pPr>
      <w:hyperlink r:id="rId12">
        <w:r>
          <w:rPr/>
          <w:t>网址：www.hxb.com.cn</w:t>
        </w:r>
      </w:hyperlink>
    </w:p>
    <w:p>
      <w:pPr>
        <w:pStyle w:val="ListParagraph"/>
        <w:numPr>
          <w:ilvl w:val="0"/>
          <w:numId w:val="45"/>
        </w:numPr>
        <w:tabs>
          <w:tab w:pos="1112" w:val="left" w:leader="none"/>
        </w:tabs>
        <w:spacing w:line="240" w:lineRule="auto" w:before="139" w:after="0"/>
        <w:ind w:left="1112" w:right="0" w:hanging="316"/>
        <w:jc w:val="both"/>
        <w:rPr>
          <w:sz w:val="21"/>
        </w:rPr>
      </w:pPr>
      <w:r>
        <w:rPr>
          <w:sz w:val="21"/>
        </w:rPr>
        <w:t>交通银行</w:t>
      </w:r>
    </w:p>
    <w:p>
      <w:pPr>
        <w:pStyle w:val="BodyText"/>
        <w:spacing w:line="364" w:lineRule="auto" w:before="139"/>
        <w:ind w:right="3438"/>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3">
        <w:r>
          <w:rPr/>
          <w:t>网址：www.bankcomm.com</w:t>
        </w:r>
      </w:hyperlink>
    </w:p>
    <w:p>
      <w:pPr>
        <w:pStyle w:val="ListParagraph"/>
        <w:numPr>
          <w:ilvl w:val="0"/>
          <w:numId w:val="45"/>
        </w:numPr>
        <w:tabs>
          <w:tab w:pos="1112" w:val="left" w:leader="none"/>
        </w:tabs>
        <w:spacing w:line="240" w:lineRule="auto" w:before="139" w:after="0"/>
        <w:ind w:left="1112" w:right="0" w:hanging="316"/>
        <w:jc w:val="both"/>
        <w:rPr>
          <w:sz w:val="21"/>
        </w:rPr>
      </w:pPr>
      <w:r>
        <w:rPr>
          <w:sz w:val="21"/>
        </w:rPr>
        <w:t>平安银行</w:t>
      </w:r>
    </w:p>
    <w:p>
      <w:pPr>
        <w:pStyle w:val="BodyText"/>
        <w:spacing w:line="364" w:lineRule="auto" w:before="140"/>
        <w:ind w:right="4173"/>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spacing w:after="0" w:line="364" w:lineRule="auto"/>
        <w:jc w:val="both"/>
        <w:sectPr>
          <w:pgSz w:w="11910" w:h="16840"/>
          <w:pgMar w:header="0" w:footer="1118" w:top="1380" w:bottom="1380" w:left="1420" w:right="1000"/>
        </w:sectPr>
      </w:pPr>
    </w:p>
    <w:p>
      <w:pPr>
        <w:pStyle w:val="BodyText"/>
        <w:spacing w:before="45"/>
      </w:pPr>
      <w:r>
        <w:rPr/>
        <w:t>联系人：赵杨</w:t>
      </w:r>
    </w:p>
    <w:p>
      <w:pPr>
        <w:pStyle w:val="BodyText"/>
        <w:spacing w:before="139"/>
      </w:pPr>
      <w:r>
        <w:rPr/>
        <w:t>联系电话：0755-22166574</w:t>
      </w:r>
    </w:p>
    <w:p>
      <w:pPr>
        <w:pStyle w:val="BodyText"/>
        <w:spacing w:line="364" w:lineRule="auto" w:before="140"/>
        <w:ind w:right="6483"/>
      </w:pPr>
      <w:r>
        <w:rPr/>
        <w:t>客户服务电话：95511-3 传真：021-50979507</w:t>
      </w:r>
    </w:p>
    <w:p>
      <w:pPr>
        <w:pStyle w:val="BodyText"/>
        <w:spacing w:line="268" w:lineRule="exact"/>
      </w:pPr>
      <w:r>
        <w:rPr/>
        <w:t>网址：bank.pingan.com</w:t>
      </w:r>
    </w:p>
    <w:p>
      <w:pPr>
        <w:pStyle w:val="ListParagraph"/>
        <w:numPr>
          <w:ilvl w:val="0"/>
          <w:numId w:val="45"/>
        </w:numPr>
        <w:tabs>
          <w:tab w:pos="1112" w:val="left" w:leader="none"/>
        </w:tabs>
        <w:spacing w:line="240" w:lineRule="auto" w:before="139" w:after="0"/>
        <w:ind w:left="1112" w:right="0" w:hanging="316"/>
        <w:jc w:val="both"/>
        <w:rPr>
          <w:sz w:val="21"/>
        </w:rPr>
      </w:pPr>
      <w:r>
        <w:rPr>
          <w:sz w:val="21"/>
        </w:rPr>
        <w:t>浦发银行</w:t>
      </w:r>
    </w:p>
    <w:p>
      <w:pPr>
        <w:pStyle w:val="BodyText"/>
        <w:spacing w:line="364" w:lineRule="auto" w:before="140"/>
        <w:ind w:right="5433"/>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693"/>
      </w:pPr>
      <w:r>
        <w:rPr/>
        <w:t>客户服务电话：95528 传真：021-63604196</w:t>
      </w:r>
    </w:p>
    <w:p>
      <w:pPr>
        <w:pStyle w:val="BodyText"/>
        <w:spacing w:line="268" w:lineRule="exact"/>
      </w:pPr>
      <w:hyperlink r:id="rId14">
        <w:r>
          <w:rPr/>
          <w:t>网址：www.spdb.com.cn</w:t>
        </w:r>
      </w:hyperlink>
    </w:p>
    <w:p>
      <w:pPr>
        <w:pStyle w:val="ListParagraph"/>
        <w:numPr>
          <w:ilvl w:val="0"/>
          <w:numId w:val="45"/>
        </w:numPr>
        <w:tabs>
          <w:tab w:pos="1112" w:val="left" w:leader="none"/>
        </w:tabs>
        <w:spacing w:line="240" w:lineRule="auto" w:before="139" w:after="0"/>
        <w:ind w:left="1112" w:right="0" w:hanging="316"/>
        <w:jc w:val="both"/>
        <w:rPr>
          <w:sz w:val="21"/>
        </w:rPr>
      </w:pPr>
      <w:r>
        <w:rPr>
          <w:sz w:val="21"/>
        </w:rPr>
        <w:t>兴业银行</w:t>
      </w:r>
    </w:p>
    <w:p>
      <w:pPr>
        <w:pStyle w:val="BodyText"/>
        <w:spacing w:before="139"/>
      </w:pPr>
      <w:r>
        <w:rPr/>
        <w:t>注册地址：福州市湖东路 154 号中山大厦</w:t>
      </w:r>
    </w:p>
    <w:p>
      <w:pPr>
        <w:pStyle w:val="BodyText"/>
        <w:spacing w:before="140"/>
      </w:pPr>
      <w:r>
        <w:rPr/>
        <w:t>办公地址：上海市银城路 167 号兴业银行大厦</w:t>
      </w:r>
    </w:p>
    <w:p>
      <w:pPr>
        <w:pStyle w:val="BodyText"/>
        <w:spacing w:line="364" w:lineRule="auto" w:before="139"/>
        <w:ind w:right="4068"/>
      </w:pPr>
      <w:r>
        <w:rPr/>
        <w:t>法定代表人：陶以平（代为履行法定代表人职权） 联系人：孙琪虹</w:t>
      </w:r>
    </w:p>
    <w:p>
      <w:pPr>
        <w:pStyle w:val="BodyText"/>
        <w:spacing w:line="364" w:lineRule="auto"/>
        <w:ind w:right="6588"/>
      </w:pPr>
      <w:r>
        <w:rPr/>
        <w:t>客户服务电话：95561 </w:t>
      </w:r>
      <w:hyperlink r:id="rId15">
        <w:r>
          <w:rPr/>
          <w:t>网址：www.cib.com.cn</w:t>
        </w:r>
      </w:hyperlink>
    </w:p>
    <w:p>
      <w:pPr>
        <w:pStyle w:val="ListParagraph"/>
        <w:numPr>
          <w:ilvl w:val="0"/>
          <w:numId w:val="45"/>
        </w:numPr>
        <w:tabs>
          <w:tab w:pos="1112" w:val="left" w:leader="none"/>
        </w:tabs>
        <w:spacing w:line="268" w:lineRule="exact" w:before="0" w:after="0"/>
        <w:ind w:left="1112" w:right="0" w:hanging="316"/>
        <w:jc w:val="left"/>
        <w:rPr>
          <w:sz w:val="21"/>
        </w:rPr>
      </w:pPr>
      <w:r>
        <w:rPr>
          <w:sz w:val="21"/>
        </w:rPr>
        <w:t>招商银行</w:t>
      </w:r>
    </w:p>
    <w:p>
      <w:pPr>
        <w:pStyle w:val="BodyText"/>
        <w:spacing w:line="364" w:lineRule="auto" w:before="139"/>
        <w:ind w:right="3543"/>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6">
        <w:r>
          <w:rPr/>
          <w:t>网址：www.cmbchina.com</w:t>
        </w:r>
      </w:hyperlink>
    </w:p>
    <w:p>
      <w:pPr>
        <w:pStyle w:val="ListParagraph"/>
        <w:numPr>
          <w:ilvl w:val="0"/>
          <w:numId w:val="45"/>
        </w:numPr>
        <w:tabs>
          <w:tab w:pos="1112" w:val="left" w:leader="none"/>
        </w:tabs>
        <w:spacing w:line="240" w:lineRule="auto" w:before="139" w:after="0"/>
        <w:ind w:left="1112" w:right="0" w:hanging="316"/>
        <w:jc w:val="left"/>
        <w:rPr>
          <w:sz w:val="21"/>
        </w:rPr>
      </w:pPr>
      <w:r>
        <w:rPr>
          <w:sz w:val="21"/>
        </w:rPr>
        <w:t>浙商银行</w:t>
      </w:r>
    </w:p>
    <w:p>
      <w:pPr>
        <w:pStyle w:val="BodyText"/>
        <w:spacing w:line="364" w:lineRule="auto" w:before="140"/>
        <w:ind w:right="4383"/>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pStyle w:val="BodyText"/>
        <w:spacing w:line="364" w:lineRule="auto"/>
        <w:ind w:right="6798"/>
      </w:pPr>
      <w:r>
        <w:rPr/>
        <w:t>法定代表人：沈仁康联系人：沈崟杰</w:t>
      </w:r>
    </w:p>
    <w:p>
      <w:pPr>
        <w:pStyle w:val="BodyText"/>
        <w:spacing w:line="268" w:lineRule="exact"/>
      </w:pPr>
      <w:r>
        <w:rPr/>
        <w:t>联系电话：0571- 88261822</w:t>
      </w:r>
    </w:p>
    <w:p>
      <w:pPr>
        <w:spacing w:after="0" w:line="268" w:lineRule="exact"/>
        <w:sectPr>
          <w:pgSz w:w="11910" w:h="16840"/>
          <w:pgMar w:header="0" w:footer="1118" w:top="1380" w:bottom="1380" w:left="1420" w:right="1000"/>
        </w:sectPr>
      </w:pPr>
    </w:p>
    <w:p>
      <w:pPr>
        <w:pStyle w:val="BodyText"/>
        <w:spacing w:line="364" w:lineRule="auto" w:before="45"/>
        <w:ind w:right="6693"/>
      </w:pPr>
      <w:r>
        <w:rPr/>
        <w:t>客户服务电话：95527 传真：0571-87659954</w:t>
      </w:r>
    </w:p>
    <w:p>
      <w:pPr>
        <w:pStyle w:val="BodyText"/>
        <w:spacing w:line="268" w:lineRule="exact"/>
      </w:pPr>
      <w:hyperlink r:id="rId17">
        <w:r>
          <w:rPr/>
          <w:t>网址：www.czbank.com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中国工商银行</w:t>
      </w:r>
    </w:p>
    <w:p>
      <w:pPr>
        <w:pStyle w:val="BodyText"/>
        <w:spacing w:line="364" w:lineRule="auto" w:before="140"/>
        <w:ind w:right="4803"/>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39"/>
        <w:ind w:right="6483"/>
      </w:pPr>
      <w:r>
        <w:rPr/>
        <w:t>客户服务电话：95588 </w:t>
      </w:r>
      <w:hyperlink r:id="rId18">
        <w:r>
          <w:rPr>
            <w:spacing w:val="-1"/>
          </w:rPr>
          <w:t>网址</w:t>
        </w:r>
        <w:r>
          <w:rPr/>
          <w:t>：www.icbc.com.cn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758"/>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法定代表人：刘秋明</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693"/>
      </w:pPr>
      <w:r>
        <w:rPr/>
        <w:t>客户服务电话：95595 传真：010-63639709</w:t>
      </w:r>
    </w:p>
    <w:p>
      <w:pPr>
        <w:pStyle w:val="BodyText"/>
        <w:spacing w:line="268" w:lineRule="exact"/>
      </w:pPr>
      <w:hyperlink r:id="rId19">
        <w:r>
          <w:rPr/>
          <w:t>网址：www.cebbank.com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中国建设银行</w:t>
      </w:r>
    </w:p>
    <w:p>
      <w:pPr>
        <w:pStyle w:val="BodyText"/>
        <w:spacing w:before="140"/>
      </w:pPr>
      <w:r>
        <w:rPr/>
        <w:t>注册地址：北京市西城区金融大街 25 号</w:t>
      </w:r>
    </w:p>
    <w:p>
      <w:pPr>
        <w:pStyle w:val="BodyText"/>
        <w:spacing w:line="364" w:lineRule="auto" w:before="139"/>
        <w:ind w:right="4068"/>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693"/>
      </w:pPr>
      <w:r>
        <w:rPr/>
        <w:t>客户服务电话：95533 </w:t>
      </w:r>
      <w:hyperlink r:id="rId20">
        <w:r>
          <w:rPr/>
          <w:t>网址：www.ccb.com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中国民生银行</w:t>
      </w:r>
    </w:p>
    <w:p>
      <w:pPr>
        <w:pStyle w:val="BodyText"/>
        <w:spacing w:line="364" w:lineRule="auto" w:before="139"/>
        <w:ind w:right="4698"/>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40"/>
        <w:ind w:right="6483"/>
      </w:pPr>
      <w:r>
        <w:rPr/>
        <w:t>客户服务电话：95568 </w:t>
      </w:r>
      <w:hyperlink r:id="rId21">
        <w:r>
          <w:rPr>
            <w:spacing w:val="-1"/>
          </w:rPr>
          <w:t>网址</w:t>
        </w:r>
        <w:r>
          <w:rPr/>
          <w:t>：www.cmbc.com.cn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中国银行</w:t>
      </w:r>
    </w:p>
    <w:p>
      <w:pPr>
        <w:spacing w:after="0" w:line="268" w:lineRule="exact"/>
        <w:jc w:val="left"/>
        <w:rPr>
          <w:sz w:val="21"/>
        </w:rPr>
        <w:sectPr>
          <w:pgSz w:w="11910" w:h="16840"/>
          <w:pgMar w:header="0" w:footer="1118" w:top="1380" w:bottom="1380" w:left="1420" w:right="1000"/>
        </w:sectPr>
      </w:pPr>
    </w:p>
    <w:p>
      <w:pPr>
        <w:pStyle w:val="BodyText"/>
        <w:spacing w:line="364" w:lineRule="auto" w:before="45"/>
        <w:ind w:right="4698"/>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6693"/>
      </w:pPr>
      <w:r>
        <w:rPr/>
        <w:t>客户服务电话：95566 </w:t>
      </w:r>
      <w:hyperlink r:id="rId22">
        <w:r>
          <w:rPr/>
          <w:t>网址：www.boc.cn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中国邮政储蓄银行</w:t>
      </w:r>
    </w:p>
    <w:p>
      <w:pPr>
        <w:pStyle w:val="BodyText"/>
        <w:spacing w:line="364" w:lineRule="auto" w:before="138"/>
        <w:ind w:right="5118"/>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6693"/>
      </w:pPr>
      <w:r>
        <w:rPr/>
        <w:t>客户服务电话</w:t>
      </w:r>
      <w:r>
        <w:rPr>
          <w:spacing w:val="-3"/>
        </w:rPr>
        <w:t>：95580 </w:t>
      </w:r>
      <w:r>
        <w:rPr/>
        <w:t>传真：010-68858057</w:t>
      </w:r>
    </w:p>
    <w:p>
      <w:pPr>
        <w:pStyle w:val="BodyText"/>
        <w:spacing w:line="268" w:lineRule="exact"/>
      </w:pPr>
      <w:hyperlink r:id="rId23">
        <w:r>
          <w:rPr/>
          <w:t>网址：www.psbc.com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中信银行</w:t>
      </w:r>
    </w:p>
    <w:p>
      <w:pPr>
        <w:pStyle w:val="BodyText"/>
        <w:spacing w:line="364" w:lineRule="auto" w:before="139"/>
        <w:ind w:right="4698"/>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40"/>
        <w:ind w:right="6693"/>
      </w:pPr>
      <w:r>
        <w:rPr/>
        <w:t>客户服务电话：95558 传真：010-85230049</w:t>
      </w:r>
    </w:p>
    <w:p>
      <w:pPr>
        <w:pStyle w:val="BodyText"/>
        <w:spacing w:line="268" w:lineRule="exact"/>
      </w:pPr>
      <w:r>
        <w:rPr/>
        <w:t>网址：bank.ecitic.com</w:t>
      </w:r>
    </w:p>
    <w:p>
      <w:pPr>
        <w:pStyle w:val="ListParagraph"/>
        <w:numPr>
          <w:ilvl w:val="0"/>
          <w:numId w:val="45"/>
        </w:numPr>
        <w:tabs>
          <w:tab w:pos="1217" w:val="left" w:leader="none"/>
        </w:tabs>
        <w:spacing w:line="240" w:lineRule="auto" w:before="139" w:after="0"/>
        <w:ind w:left="1217" w:right="0" w:hanging="421"/>
        <w:jc w:val="left"/>
        <w:rPr>
          <w:sz w:val="21"/>
        </w:rPr>
      </w:pPr>
      <w:r>
        <w:rPr>
          <w:sz w:val="21"/>
        </w:rPr>
        <w:t>北京银行</w:t>
      </w:r>
    </w:p>
    <w:p>
      <w:pPr>
        <w:pStyle w:val="BodyText"/>
        <w:spacing w:line="364" w:lineRule="auto" w:before="140"/>
        <w:ind w:right="4383"/>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798"/>
      </w:pPr>
      <w:r>
        <w:rPr/>
        <w:t>法定代表人：张东宁联系人：周黎</w:t>
      </w:r>
    </w:p>
    <w:p>
      <w:pPr>
        <w:pStyle w:val="BodyText"/>
        <w:spacing w:line="268" w:lineRule="exact"/>
      </w:pPr>
      <w:r>
        <w:rPr/>
        <w:t>客户服务电话：95526</w:t>
      </w:r>
    </w:p>
    <w:p>
      <w:pPr>
        <w:pStyle w:val="BodyText"/>
        <w:spacing w:before="138"/>
      </w:pPr>
      <w:hyperlink r:id="rId24">
        <w:r>
          <w:rPr/>
          <w:t>网址：www.bankofbeijing.com.cn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东莞银行</w:t>
      </w:r>
    </w:p>
    <w:p>
      <w:pPr>
        <w:pStyle w:val="BodyText"/>
        <w:spacing w:before="139"/>
      </w:pPr>
      <w:r>
        <w:rPr/>
        <w:t>注册地址：东莞市莞城区体育路 21 号</w:t>
      </w:r>
    </w:p>
    <w:p>
      <w:pPr>
        <w:pStyle w:val="BodyText"/>
        <w:spacing w:line="364" w:lineRule="auto" w:before="139"/>
        <w:ind w:right="3963"/>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spacing w:after="0"/>
        <w:sectPr>
          <w:pgSz w:w="11910" w:h="16840"/>
          <w:pgMar w:header="0" w:footer="1118" w:top="1380" w:bottom="1380" w:left="1420" w:right="1000"/>
        </w:sectPr>
      </w:pPr>
    </w:p>
    <w:p>
      <w:pPr>
        <w:pStyle w:val="BodyText"/>
        <w:spacing w:before="45"/>
      </w:pPr>
      <w:r>
        <w:rPr/>
        <w:t>客户服务电话：956033</w:t>
      </w:r>
    </w:p>
    <w:p>
      <w:pPr>
        <w:pStyle w:val="BodyText"/>
        <w:spacing w:before="139"/>
      </w:pPr>
      <w:hyperlink r:id="rId25">
        <w:r>
          <w:rPr/>
          <w:t>网址：www.dongguanbank.cn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963"/>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39"/>
      </w:pPr>
      <w:r>
        <w:rPr/>
        <w:t>联系电话：0571-85872972</w:t>
      </w:r>
    </w:p>
    <w:p>
      <w:pPr>
        <w:pStyle w:val="BodyText"/>
        <w:spacing w:line="364" w:lineRule="auto" w:before="140"/>
        <w:ind w:right="6693"/>
      </w:pPr>
      <w:r>
        <w:rPr/>
        <w:t>客户服务电话：95398 传真：0571-85106576</w:t>
      </w:r>
    </w:p>
    <w:p>
      <w:pPr>
        <w:pStyle w:val="BodyText"/>
        <w:spacing w:line="268" w:lineRule="exact"/>
      </w:pPr>
      <w:hyperlink r:id="rId26">
        <w:r>
          <w:rPr/>
          <w:t>网址：www.hzbank.com.cn</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河北银行</w:t>
      </w:r>
    </w:p>
    <w:p>
      <w:pPr>
        <w:pStyle w:val="BodyText"/>
        <w:spacing w:line="364" w:lineRule="auto" w:before="139"/>
        <w:ind w:right="5223"/>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958"/>
      </w:pPr>
      <w:r>
        <w:rPr/>
        <w:t>客户服务电话：400-612-9999 传真：0311-67806407</w:t>
      </w:r>
    </w:p>
    <w:p>
      <w:pPr>
        <w:pStyle w:val="BodyText"/>
        <w:spacing w:line="268" w:lineRule="exact"/>
      </w:pPr>
      <w:hyperlink r:id="rId27">
        <w:r>
          <w:rPr/>
          <w:t>网址：www.hebbank.com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江南农村商业银行</w:t>
      </w:r>
    </w:p>
    <w:p>
      <w:pPr>
        <w:pStyle w:val="BodyText"/>
        <w:spacing w:line="364" w:lineRule="auto" w:before="139"/>
        <w:ind w:right="5538"/>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6168"/>
      </w:pPr>
      <w:r>
        <w:rPr>
          <w:spacing w:val="-1"/>
        </w:rPr>
        <w:t>客户服务电话</w:t>
      </w:r>
      <w:r>
        <w:rPr/>
        <w:t>：0519-96005 传真：0519-89995170</w:t>
      </w:r>
    </w:p>
    <w:p>
      <w:pPr>
        <w:pStyle w:val="BodyText"/>
        <w:spacing w:line="268" w:lineRule="exact"/>
      </w:pPr>
      <w:hyperlink r:id="rId28">
        <w:r>
          <w:rPr/>
          <w:t>网址：http://www.jnbank.com.cn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江苏银行</w:t>
      </w:r>
    </w:p>
    <w:p>
      <w:pPr>
        <w:pStyle w:val="BodyText"/>
        <w:spacing w:line="364" w:lineRule="auto" w:before="139"/>
        <w:ind w:right="5853"/>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pStyle w:val="BodyText"/>
        <w:spacing w:line="268" w:lineRule="exact"/>
      </w:pPr>
      <w:r>
        <w:rPr/>
        <w:t>联系人：展海军</w:t>
      </w:r>
    </w:p>
    <w:p>
      <w:pPr>
        <w:spacing w:after="0" w:line="268" w:lineRule="exact"/>
        <w:sectPr>
          <w:pgSz w:w="11910" w:h="16840"/>
          <w:pgMar w:header="0" w:footer="1118" w:top="1380" w:bottom="1380" w:left="1420" w:right="1000"/>
        </w:sectPr>
      </w:pPr>
    </w:p>
    <w:p>
      <w:pPr>
        <w:pStyle w:val="BodyText"/>
        <w:spacing w:before="45"/>
      </w:pPr>
      <w:r>
        <w:rPr/>
        <w:t>联系电话：025-58587039</w:t>
      </w:r>
    </w:p>
    <w:p>
      <w:pPr>
        <w:pStyle w:val="BodyText"/>
        <w:spacing w:line="364" w:lineRule="auto" w:before="139"/>
        <w:ind w:right="6693"/>
      </w:pPr>
      <w:r>
        <w:rPr/>
        <w:t>客户服务电话：95319 传真：025-58587820</w:t>
      </w:r>
    </w:p>
    <w:p>
      <w:pPr>
        <w:pStyle w:val="BodyText"/>
        <w:spacing w:line="268" w:lineRule="exact"/>
      </w:pPr>
      <w:hyperlink r:id="rId29">
        <w:r>
          <w:rPr/>
          <w:t>网址：www.jsbchina.cn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宁波银行</w:t>
      </w:r>
    </w:p>
    <w:p>
      <w:pPr>
        <w:pStyle w:val="BodyText"/>
        <w:spacing w:line="364" w:lineRule="auto" w:before="139"/>
        <w:ind w:right="4488"/>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40"/>
        <w:ind w:right="6483"/>
      </w:pPr>
      <w:r>
        <w:rPr/>
        <w:t>客户服务电话：95574 </w:t>
      </w:r>
      <w:hyperlink r:id="rId30">
        <w:r>
          <w:rPr>
            <w:spacing w:val="-1"/>
          </w:rPr>
          <w:t>网址</w:t>
        </w:r>
        <w:r>
          <w:rPr/>
          <w:t>：www.nbcb.com.cn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青岛银行</w:t>
      </w:r>
    </w:p>
    <w:p>
      <w:pPr>
        <w:pStyle w:val="BodyText"/>
        <w:spacing w:line="364" w:lineRule="auto" w:before="139"/>
        <w:ind w:right="4068"/>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联系电话：0532-68629925</w:t>
      </w:r>
    </w:p>
    <w:p>
      <w:pPr>
        <w:pStyle w:val="BodyText"/>
        <w:spacing w:line="364" w:lineRule="auto" w:before="139"/>
        <w:ind w:right="3753"/>
      </w:pPr>
      <w:r>
        <w:rPr/>
        <w:t>客户服务电话：96588（青岛）400-66-96588（全国） </w:t>
      </w:r>
      <w:hyperlink r:id="rId31">
        <w:r>
          <w:rPr/>
          <w:t>网址：http://www.qdccb.com/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泉州银行</w:t>
      </w:r>
    </w:p>
    <w:p>
      <w:pPr>
        <w:pStyle w:val="BodyText"/>
        <w:spacing w:line="364" w:lineRule="auto" w:before="139"/>
        <w:ind w:right="5328"/>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5958"/>
      </w:pPr>
      <w:r>
        <w:rPr/>
        <w:t>客户服务电话：400-88-96312 传真：0595-22578871</w:t>
      </w:r>
    </w:p>
    <w:p>
      <w:pPr>
        <w:pStyle w:val="BodyText"/>
        <w:spacing w:line="268" w:lineRule="exact"/>
      </w:pPr>
      <w:hyperlink r:id="rId32">
        <w:r>
          <w:rPr/>
          <w:t>网址：http://www.qzccbank.com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123"/>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spacing w:after="0"/>
        <w:sectPr>
          <w:pgSz w:w="11910" w:h="16840"/>
          <w:pgMar w:header="0" w:footer="1118" w:top="1380" w:bottom="1380" w:left="1420" w:right="1000"/>
        </w:sectPr>
      </w:pPr>
    </w:p>
    <w:p>
      <w:pPr>
        <w:pStyle w:val="BodyText"/>
        <w:spacing w:before="45"/>
      </w:pPr>
      <w:r>
        <w:rPr/>
        <w:t>客户服务电话：021-962999、4006962999</w:t>
      </w:r>
    </w:p>
    <w:p>
      <w:pPr>
        <w:pStyle w:val="BodyText"/>
        <w:spacing w:line="364" w:lineRule="auto" w:before="139"/>
        <w:ind w:right="5328"/>
      </w:pPr>
      <w:r>
        <w:rPr/>
        <w:t>开放式基金业务传真：021-50105124 </w:t>
      </w:r>
      <w:hyperlink r:id="rId33">
        <w:r>
          <w:rPr/>
          <w:t>网址：www.srcb.com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上海银行</w:t>
      </w:r>
    </w:p>
    <w:p>
      <w:pPr>
        <w:pStyle w:val="BodyText"/>
        <w:spacing w:line="364" w:lineRule="auto" w:before="140"/>
        <w:ind w:right="3438"/>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7008"/>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34">
        <w:r>
          <w:rPr/>
          <w:t>网址：http://www.bosc.cn/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微众银行</w:t>
      </w:r>
    </w:p>
    <w:p>
      <w:pPr>
        <w:pStyle w:val="BodyText"/>
        <w:spacing w:line="364" w:lineRule="auto" w:before="140"/>
        <w:ind w:left="376" w:right="79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653"/>
      </w:pPr>
      <w:r>
        <w:rPr>
          <w:spacing w:val="-3"/>
        </w:rPr>
        <w:t>办公地址：广东省深圳市南山区沙河西路 </w:t>
      </w:r>
      <w:r>
        <w:rPr/>
        <w:t>1819</w:t>
      </w:r>
      <w:r>
        <w:rPr>
          <w:spacing w:val="-13"/>
        </w:rPr>
        <w:t> 号深圳湾科技生态园 </w:t>
      </w:r>
      <w:r>
        <w:rPr/>
        <w:t>7</w:t>
      </w:r>
      <w:r>
        <w:rPr>
          <w:spacing w:val="-36"/>
        </w:rPr>
        <w:t> 栋 </w:t>
      </w:r>
      <w:r>
        <w:rPr/>
        <w:t>A</w:t>
      </w:r>
      <w:r>
        <w:rPr>
          <w:spacing w:val="-34"/>
        </w:rPr>
        <w:t> 座</w:t>
      </w:r>
      <w:r>
        <w:rPr/>
        <w:t>法定代表人：顾敏</w:t>
      </w:r>
    </w:p>
    <w:p>
      <w:pPr>
        <w:pStyle w:val="BodyText"/>
        <w:spacing w:line="268" w:lineRule="exact"/>
      </w:pPr>
      <w:r>
        <w:rPr/>
        <w:t>客户服务电话：95384</w:t>
      </w:r>
    </w:p>
    <w:p>
      <w:pPr>
        <w:pStyle w:val="BodyText"/>
        <w:spacing w:before="138"/>
      </w:pPr>
      <w:hyperlink r:id="rId35">
        <w:r>
          <w:rPr/>
          <w:t>网址：http://www.webank.com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安信证券</w:t>
      </w:r>
    </w:p>
    <w:p>
      <w:pPr>
        <w:pStyle w:val="BodyText"/>
        <w:spacing w:line="364" w:lineRule="auto" w:before="139"/>
        <w:ind w:right="2124"/>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03"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693"/>
      </w:pPr>
      <w:r>
        <w:rPr/>
        <w:t>客户服务电话：95517 传真：0755-82558355</w:t>
      </w:r>
    </w:p>
    <w:p>
      <w:pPr>
        <w:pStyle w:val="BodyText"/>
        <w:spacing w:line="268" w:lineRule="exact"/>
      </w:pPr>
      <w:hyperlink r:id="rId36">
        <w:r>
          <w:rPr/>
          <w:t>网址：www.essence.com.cn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渤海证券</w:t>
      </w:r>
    </w:p>
    <w:p>
      <w:pPr>
        <w:pStyle w:val="BodyText"/>
        <w:spacing w:line="364" w:lineRule="auto" w:before="140"/>
        <w:ind w:right="2913"/>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798"/>
      </w:pPr>
      <w:r>
        <w:rPr/>
        <w:t>法定代表人：安志勇联系人：王星</w:t>
      </w:r>
    </w:p>
    <w:p>
      <w:pPr>
        <w:pStyle w:val="BodyText"/>
        <w:spacing w:line="268" w:lineRule="exact"/>
      </w:pPr>
      <w:r>
        <w:rPr/>
        <w:t>联系电话：022-28451922</w:t>
      </w:r>
    </w:p>
    <w:p>
      <w:pPr>
        <w:spacing w:after="0" w:line="268" w:lineRule="exact"/>
        <w:sectPr>
          <w:pgSz w:w="11910" w:h="16840"/>
          <w:pgMar w:header="0" w:footer="1118" w:top="1380" w:bottom="1380" w:left="1420" w:right="1000"/>
        </w:sectPr>
      </w:pPr>
    </w:p>
    <w:p>
      <w:pPr>
        <w:pStyle w:val="BodyText"/>
        <w:spacing w:line="364" w:lineRule="auto" w:before="45"/>
        <w:ind w:right="5958"/>
      </w:pPr>
      <w:r>
        <w:rPr/>
        <w:t>客户服务电话：400-651-5988 传真：022-28451892</w:t>
      </w:r>
    </w:p>
    <w:p>
      <w:pPr>
        <w:pStyle w:val="BodyText"/>
        <w:spacing w:line="268" w:lineRule="exact"/>
      </w:pPr>
      <w:hyperlink r:id="rId37">
        <w:r>
          <w:rPr/>
          <w:t>网址：www.ewww.com.cn</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财达证券</w:t>
      </w:r>
    </w:p>
    <w:p>
      <w:pPr>
        <w:pStyle w:val="BodyText"/>
        <w:spacing w:before="140"/>
      </w:pPr>
      <w:r>
        <w:rPr/>
        <w:t>注册地址：河北省石家庄市桥西区自强路 35 号</w:t>
      </w:r>
    </w:p>
    <w:p>
      <w:pPr>
        <w:pStyle w:val="BodyText"/>
        <w:spacing w:line="364" w:lineRule="auto" w:before="139"/>
        <w:ind w:right="2283"/>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3018"/>
      </w:pPr>
      <w:r>
        <w:rPr/>
        <w:t>客户服务电话：95363（河北省内</w:t>
      </w:r>
      <w:r>
        <w:rPr>
          <w:spacing w:val="-105"/>
        </w:rPr>
        <w:t>）</w:t>
      </w:r>
      <w:r>
        <w:rPr/>
        <w:t>；0311-95363（河北省外</w:t>
      </w:r>
      <w:r>
        <w:rPr>
          <w:spacing w:val="-18"/>
        </w:rPr>
        <w:t>）</w:t>
      </w:r>
      <w:r>
        <w:rPr/>
        <w:t>传真：0311-66006414</w:t>
      </w:r>
    </w:p>
    <w:p>
      <w:pPr>
        <w:pStyle w:val="BodyText"/>
        <w:spacing w:line="268" w:lineRule="exact"/>
      </w:pPr>
      <w:hyperlink r:id="rId38">
        <w:r>
          <w:rPr/>
          <w:t>网址：www.s10000.com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39"/>
        <w:ind w:right="3438"/>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5958"/>
      </w:pPr>
      <w:r>
        <w:rPr/>
        <w:t>客户服务电话</w:t>
      </w:r>
      <w:r>
        <w:rPr>
          <w:spacing w:val="-2"/>
        </w:rPr>
        <w:t>：400-0099-886 </w:t>
      </w:r>
      <w:r>
        <w:rPr/>
        <w:t>传真：0592-2079602</w:t>
      </w:r>
    </w:p>
    <w:p>
      <w:pPr>
        <w:pStyle w:val="BodyText"/>
        <w:spacing w:line="268" w:lineRule="exact"/>
      </w:pPr>
      <w:hyperlink r:id="rId39">
        <w:r>
          <w:rPr/>
          <w:t>网址：www.gwgsc.com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长江证券</w:t>
      </w:r>
    </w:p>
    <w:p>
      <w:pPr>
        <w:pStyle w:val="BodyText"/>
        <w:spacing w:line="364" w:lineRule="auto" w:before="139"/>
        <w:ind w:right="5118"/>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40">
        <w:r>
          <w:rPr/>
          <w:t>网址：www.95579.com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376"/>
      </w:pPr>
      <w:r>
        <w:rPr/>
        <w:t>座 17 楼</w:t>
      </w:r>
    </w:p>
    <w:p>
      <w:pPr>
        <w:pStyle w:val="BodyText"/>
        <w:spacing w:before="140"/>
      </w:pPr>
      <w:r>
        <w:rPr/>
        <w:t>办公地址：四川省成都高新区交子大道 177 号中海国际中心 B 座 17 楼</w:t>
      </w:r>
    </w:p>
    <w:p>
      <w:pPr>
        <w:spacing w:after="0"/>
        <w:sectPr>
          <w:pgSz w:w="11910" w:h="16840"/>
          <w:pgMar w:header="0" w:footer="1118" w:top="1380" w:bottom="1380" w:left="1420" w:right="1000"/>
        </w:sectPr>
      </w:pPr>
    </w:p>
    <w:p>
      <w:pPr>
        <w:pStyle w:val="BodyText"/>
        <w:spacing w:line="364" w:lineRule="auto" w:before="45"/>
        <w:ind w:right="6798"/>
      </w:pPr>
      <w:r>
        <w:rPr/>
        <w:t>法定代表人：孟建军联系人：匡婷</w:t>
      </w:r>
    </w:p>
    <w:p>
      <w:pPr>
        <w:pStyle w:val="BodyText"/>
        <w:spacing w:line="268" w:lineRule="exact"/>
      </w:pPr>
      <w:r>
        <w:rPr/>
        <w:t>联系电话：028-86583053</w:t>
      </w:r>
    </w:p>
    <w:p>
      <w:pPr>
        <w:pStyle w:val="BodyText"/>
        <w:spacing w:line="364" w:lineRule="auto" w:before="139"/>
        <w:ind w:right="6168"/>
      </w:pPr>
      <w:r>
        <w:rPr/>
        <w:t>客户服务电话：028-962708 </w:t>
      </w:r>
      <w:hyperlink r:id="rId41">
        <w:r>
          <w:rPr/>
          <w:t>网址：www.cczq.com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376"/>
      </w:pPr>
      <w:r>
        <w:rPr/>
        <w:t>39 层</w:t>
      </w:r>
    </w:p>
    <w:p>
      <w:pPr>
        <w:pStyle w:val="BodyText"/>
        <w:spacing w:before="140"/>
      </w:pPr>
      <w:r>
        <w:rPr/>
        <w:t>办公地址：辽宁省大连市沙河口区会展路129 号大连国际金融中心A 座-大连期货大厦38、</w:t>
      </w:r>
    </w:p>
    <w:p>
      <w:pPr>
        <w:pStyle w:val="BodyText"/>
        <w:spacing w:before="139"/>
        <w:ind w:left="376"/>
      </w:pPr>
      <w:r>
        <w:rPr/>
        <w:t>39 层</w:t>
      </w:r>
    </w:p>
    <w:p>
      <w:pPr>
        <w:pStyle w:val="BodyText"/>
        <w:spacing w:line="364" w:lineRule="auto" w:before="140"/>
        <w:ind w:right="7008"/>
      </w:pPr>
      <w:r>
        <w:rPr/>
        <w:t>法定代表人：赵玺联系人：谢立军</w:t>
      </w:r>
    </w:p>
    <w:p>
      <w:pPr>
        <w:pStyle w:val="BodyText"/>
        <w:spacing w:line="268" w:lineRule="exact"/>
      </w:pPr>
      <w:r>
        <w:rPr/>
        <w:t>联系电话：0411-39991807</w:t>
      </w:r>
    </w:p>
    <w:p>
      <w:pPr>
        <w:pStyle w:val="BodyText"/>
        <w:spacing w:line="364" w:lineRule="auto" w:before="139"/>
        <w:ind w:right="5958"/>
      </w:pPr>
      <w:r>
        <w:rPr/>
        <w:t>客户服务电话：4008-169-169 传真：0411-39673214</w:t>
      </w:r>
    </w:p>
    <w:p>
      <w:pPr>
        <w:pStyle w:val="BodyText"/>
        <w:spacing w:line="268" w:lineRule="exact"/>
      </w:pPr>
      <w:hyperlink r:id="rId42">
        <w:r>
          <w:rPr/>
          <w:t>网址：www.daton.com.cn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008"/>
      </w:pPr>
      <w:r>
        <w:rPr/>
        <w:t>法定代表人：董祥联系人：薛津</w:t>
      </w:r>
    </w:p>
    <w:p>
      <w:pPr>
        <w:pStyle w:val="BodyText"/>
        <w:spacing w:line="268" w:lineRule="exact"/>
      </w:pPr>
      <w:r>
        <w:rPr/>
        <w:t>联系电话：0351-4130322</w:t>
      </w:r>
    </w:p>
    <w:p>
      <w:pPr>
        <w:pStyle w:val="BodyText"/>
        <w:spacing w:line="364" w:lineRule="auto" w:before="139"/>
        <w:ind w:right="6168"/>
      </w:pPr>
      <w:r>
        <w:rPr/>
        <w:t>客户服务电话：4007121212 传真：0351-7219891</w:t>
      </w:r>
    </w:p>
    <w:p>
      <w:pPr>
        <w:pStyle w:val="BodyText"/>
        <w:spacing w:line="268" w:lineRule="exact"/>
      </w:pPr>
      <w:hyperlink r:id="rId43">
        <w:r>
          <w:rPr/>
          <w:t>网址：www.dtsbc.com.cn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德邦证券</w:t>
      </w:r>
    </w:p>
    <w:p>
      <w:pPr>
        <w:pStyle w:val="BodyText"/>
        <w:spacing w:line="364" w:lineRule="auto" w:before="139"/>
        <w:ind w:right="3963"/>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958"/>
      </w:pPr>
      <w:r>
        <w:rPr/>
        <w:t>客户服务电话：400-8888-128 传真：021-68767880</w:t>
      </w:r>
    </w:p>
    <w:p>
      <w:pPr>
        <w:pStyle w:val="BodyText"/>
        <w:spacing w:line="268" w:lineRule="exact"/>
      </w:pPr>
      <w:hyperlink r:id="rId44">
        <w:r>
          <w:rPr/>
          <w:t>网址：http://www.tebon.com.cn</w:t>
        </w:r>
      </w:hyperlink>
    </w:p>
    <w:p>
      <w:pPr>
        <w:spacing w:after="0" w:line="268" w:lineRule="exact"/>
        <w:sectPr>
          <w:pgSz w:w="11910" w:h="16840"/>
          <w:pgMar w:header="0" w:footer="1118" w:top="1380" w:bottom="1380" w:left="1420" w:right="1000"/>
        </w:sectPr>
      </w:pPr>
    </w:p>
    <w:p>
      <w:pPr>
        <w:pStyle w:val="ListParagraph"/>
        <w:numPr>
          <w:ilvl w:val="0"/>
          <w:numId w:val="45"/>
        </w:numPr>
        <w:tabs>
          <w:tab w:pos="1217" w:val="left" w:leader="none"/>
        </w:tabs>
        <w:spacing w:line="240" w:lineRule="auto" w:before="45" w:after="0"/>
        <w:ind w:left="1217" w:right="0" w:hanging="421"/>
        <w:jc w:val="both"/>
        <w:rPr>
          <w:sz w:val="21"/>
        </w:rPr>
      </w:pPr>
      <w:r>
        <w:rPr>
          <w:sz w:val="21"/>
        </w:rPr>
        <w:t>第一创业证券</w:t>
      </w:r>
    </w:p>
    <w:p>
      <w:pPr>
        <w:pStyle w:val="BodyText"/>
        <w:spacing w:line="364" w:lineRule="auto" w:before="139"/>
        <w:ind w:right="3543"/>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45">
        <w:r>
          <w:rPr/>
          <w:t>网址：www.firstcapital.com.cn</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东方证券</w:t>
      </w:r>
    </w:p>
    <w:p>
      <w:pPr>
        <w:pStyle w:val="BodyText"/>
        <w:spacing w:before="140"/>
      </w:pPr>
      <w:r>
        <w:rPr/>
        <w:t>注册地址：上海市中山南路 318 号 2 号楼 22 层、23 层、25 层-29 层</w:t>
      </w:r>
    </w:p>
    <w:p>
      <w:pPr>
        <w:pStyle w:val="BodyText"/>
        <w:spacing w:line="364" w:lineRule="auto" w:before="139"/>
        <w:ind w:left="376" w:right="795" w:firstLine="420"/>
      </w:pPr>
      <w:r>
        <w:rPr/>
        <w:t>办公地址：上海市中山南路 318</w:t>
      </w:r>
      <w:r>
        <w:rPr>
          <w:spacing w:val="-32"/>
        </w:rPr>
        <w:t> 号 </w:t>
      </w:r>
      <w:r>
        <w:rPr/>
        <w:t>2</w:t>
      </w:r>
      <w:r>
        <w:rPr>
          <w:spacing w:val="-23"/>
        </w:rPr>
        <w:t> 号楼 </w:t>
      </w:r>
      <w:r>
        <w:rPr/>
        <w:t>13</w:t>
      </w:r>
      <w:r>
        <w:rPr>
          <w:spacing w:val="-13"/>
        </w:rPr>
        <w:t> 层、</w:t>
      </w:r>
      <w:r>
        <w:rPr/>
        <w:t>21</w:t>
      </w:r>
      <w:r>
        <w:rPr>
          <w:spacing w:val="-21"/>
        </w:rPr>
        <w:t> 层</w:t>
      </w:r>
      <w:r>
        <w:rPr/>
        <w:t>-23</w:t>
      </w:r>
      <w:r>
        <w:rPr>
          <w:spacing w:val="-13"/>
        </w:rPr>
        <w:t> 层、</w:t>
      </w:r>
      <w:r>
        <w:rPr/>
        <w:t>25-29</w:t>
      </w:r>
      <w:r>
        <w:rPr>
          <w:spacing w:val="-13"/>
        </w:rPr>
        <w:t> 层、</w:t>
      </w:r>
      <w:r>
        <w:rPr/>
        <w:t>32</w:t>
      </w:r>
      <w:r>
        <w:rPr>
          <w:spacing w:val="5"/>
        </w:rPr>
        <w:t> 层、</w:t>
      </w:r>
      <w:r>
        <w:rPr/>
        <w:t>36 层、39 层、40 层</w:t>
      </w:r>
    </w:p>
    <w:p>
      <w:pPr>
        <w:pStyle w:val="BodyText"/>
        <w:spacing w:line="364" w:lineRule="auto"/>
        <w:ind w:right="6798"/>
      </w:pPr>
      <w:r>
        <w:rPr/>
        <w:t>法定代表人：潘鑫军联系人：朱琼玉</w:t>
      </w:r>
    </w:p>
    <w:p>
      <w:pPr>
        <w:pStyle w:val="BodyText"/>
        <w:spacing w:line="268" w:lineRule="exact"/>
      </w:pPr>
      <w:r>
        <w:rPr/>
        <w:t>联系电话：021-63325888</w:t>
      </w:r>
    </w:p>
    <w:p>
      <w:pPr>
        <w:pStyle w:val="BodyText"/>
        <w:spacing w:line="364" w:lineRule="auto" w:before="139"/>
        <w:ind w:right="6693"/>
      </w:pPr>
      <w:r>
        <w:rPr/>
        <w:t>客户服务电话：95503 传真：021-63326729</w:t>
      </w:r>
    </w:p>
    <w:p>
      <w:pPr>
        <w:pStyle w:val="BodyText"/>
        <w:spacing w:line="268" w:lineRule="exact"/>
      </w:pPr>
      <w:hyperlink r:id="rId46">
        <w:r>
          <w:rPr/>
          <w:t>网址：http://www.dfzq.com.cn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东海证券</w:t>
      </w:r>
    </w:p>
    <w:p>
      <w:pPr>
        <w:pStyle w:val="BodyText"/>
        <w:spacing w:line="364" w:lineRule="auto" w:before="139"/>
        <w:ind w:right="3543"/>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223"/>
      </w:pPr>
      <w:r>
        <w:rPr/>
        <w:t>客户服务电话：95531、400-8888-588 传真：021-50498825</w:t>
      </w:r>
    </w:p>
    <w:p>
      <w:pPr>
        <w:pStyle w:val="BodyText"/>
        <w:spacing w:line="268" w:lineRule="exact"/>
      </w:pPr>
      <w:hyperlink r:id="rId47">
        <w:r>
          <w:rPr/>
          <w:t>网址：www.longone.com.cn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东吴证券</w:t>
      </w:r>
    </w:p>
    <w:p>
      <w:pPr>
        <w:pStyle w:val="BodyText"/>
        <w:spacing w:line="364" w:lineRule="auto" w:before="139"/>
        <w:ind w:right="5328"/>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before="139"/>
      </w:pPr>
      <w:r>
        <w:rPr/>
        <w:t>客户服务电话：95330</w:t>
      </w:r>
    </w:p>
    <w:p>
      <w:pPr>
        <w:spacing w:after="0"/>
        <w:sectPr>
          <w:pgSz w:w="11910" w:h="16840"/>
          <w:pgMar w:header="0" w:footer="1118" w:top="1380" w:bottom="1380" w:left="1420" w:right="1000"/>
        </w:sectPr>
      </w:pPr>
    </w:p>
    <w:p>
      <w:pPr>
        <w:pStyle w:val="BodyText"/>
        <w:spacing w:before="45"/>
      </w:pPr>
      <w:r>
        <w:rPr/>
        <w:t>传真：0512-65588021</w:t>
      </w:r>
    </w:p>
    <w:p>
      <w:pPr>
        <w:pStyle w:val="BodyText"/>
        <w:spacing w:before="139"/>
      </w:pPr>
      <w:hyperlink r:id="rId48">
        <w:r>
          <w:rPr/>
          <w:t>网址：www.dwzq.com.cn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光大证券</w:t>
      </w:r>
    </w:p>
    <w:p>
      <w:pPr>
        <w:pStyle w:val="BodyText"/>
        <w:spacing w:line="364" w:lineRule="auto" w:before="139"/>
        <w:ind w:right="5013"/>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联系人：龚俊涛</w:t>
      </w:r>
    </w:p>
    <w:p>
      <w:pPr>
        <w:pStyle w:val="BodyText"/>
        <w:spacing w:before="140"/>
      </w:pPr>
      <w:r>
        <w:rPr/>
        <w:t>联系电话：021-22169999</w:t>
      </w:r>
    </w:p>
    <w:p>
      <w:pPr>
        <w:pStyle w:val="BodyText"/>
        <w:spacing w:line="364" w:lineRule="auto" w:before="139"/>
        <w:ind w:right="6693"/>
      </w:pPr>
      <w:r>
        <w:rPr/>
        <w:t>客户服务电话</w:t>
      </w:r>
      <w:r>
        <w:rPr>
          <w:spacing w:val="-3"/>
        </w:rPr>
        <w:t>：95525 </w:t>
      </w:r>
      <w:r>
        <w:rPr/>
        <w:t>传真：021-22169134</w:t>
      </w:r>
    </w:p>
    <w:p>
      <w:pPr>
        <w:pStyle w:val="BodyText"/>
        <w:spacing w:line="268" w:lineRule="exact"/>
      </w:pPr>
      <w:hyperlink r:id="rId49">
        <w:r>
          <w:rPr/>
          <w:t>网址：www.ebscn.com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广发证券</w:t>
      </w:r>
    </w:p>
    <w:p>
      <w:pPr>
        <w:pStyle w:val="BodyText"/>
        <w:spacing w:line="364" w:lineRule="auto" w:before="139"/>
        <w:ind w:right="2388"/>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798"/>
      </w:pPr>
      <w:r>
        <w:rPr/>
        <w:t>法定代表人：孙树明联系人：黄岚</w:t>
      </w:r>
    </w:p>
    <w:p>
      <w:pPr>
        <w:pStyle w:val="BodyText"/>
        <w:spacing w:line="268" w:lineRule="exact"/>
      </w:pPr>
      <w:r>
        <w:rPr/>
        <w:t>客户服务电话：95575 或 02095575</w:t>
      </w:r>
    </w:p>
    <w:p>
      <w:pPr>
        <w:pStyle w:val="BodyText"/>
        <w:spacing w:before="139"/>
      </w:pPr>
      <w:hyperlink r:id="rId50">
        <w:r>
          <w:rPr/>
          <w:t>网址：www.gf.com.cn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3963"/>
      </w:pPr>
      <w:r>
        <w:rPr>
          <w:spacing w:val="-4"/>
        </w:rPr>
        <w:t>办公地址：成都市青羊区东城根上街 </w:t>
      </w:r>
      <w:r>
        <w:rPr/>
        <w:t>95</w:t>
      </w:r>
      <w:r>
        <w:rPr>
          <w:spacing w:val="-13"/>
        </w:rPr>
        <w:t> 号成证大厦</w:t>
      </w:r>
      <w:r>
        <w:rPr/>
        <w:t>法定代表人：冉云</w:t>
      </w:r>
    </w:p>
    <w:p>
      <w:pPr>
        <w:pStyle w:val="BodyText"/>
        <w:spacing w:line="364" w:lineRule="auto"/>
        <w:ind w:right="6378"/>
      </w:pPr>
      <w:r>
        <w:rPr/>
        <w:t>联系人：杜晶、黎建平 联系电话</w:t>
      </w:r>
      <w:r>
        <w:rPr>
          <w:spacing w:val="-2"/>
        </w:rPr>
        <w:t>：028-86690057</w:t>
      </w:r>
    </w:p>
    <w:p>
      <w:pPr>
        <w:pStyle w:val="BodyText"/>
        <w:spacing w:line="364" w:lineRule="auto"/>
        <w:ind w:right="6693"/>
      </w:pPr>
      <w:r>
        <w:rPr/>
        <w:t>客户服务电话：95310 传真：028-86690126</w:t>
      </w:r>
    </w:p>
    <w:p>
      <w:pPr>
        <w:pStyle w:val="BodyText"/>
        <w:spacing w:line="268" w:lineRule="exact"/>
      </w:pPr>
      <w:hyperlink r:id="rId51">
        <w:r>
          <w:rPr/>
          <w:t>网址：www.gjzq.com.cn</w:t>
        </w:r>
      </w:hyperlink>
    </w:p>
    <w:p>
      <w:pPr>
        <w:pStyle w:val="ListParagraph"/>
        <w:numPr>
          <w:ilvl w:val="0"/>
          <w:numId w:val="45"/>
        </w:numPr>
        <w:tabs>
          <w:tab w:pos="1217" w:val="left" w:leader="none"/>
        </w:tabs>
        <w:spacing w:line="240" w:lineRule="auto" w:before="137" w:after="0"/>
        <w:ind w:left="1217" w:right="0" w:hanging="421"/>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018"/>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before="139"/>
      </w:pPr>
      <w:r>
        <w:rPr/>
        <w:t>客户服务电话：95570</w:t>
      </w:r>
    </w:p>
    <w:p>
      <w:pPr>
        <w:spacing w:after="0"/>
        <w:sectPr>
          <w:pgSz w:w="11910" w:h="16840"/>
          <w:pgMar w:header="0" w:footer="1118" w:top="1380" w:bottom="1380" w:left="1420" w:right="1000"/>
        </w:sectPr>
      </w:pPr>
    </w:p>
    <w:p>
      <w:pPr>
        <w:pStyle w:val="BodyText"/>
        <w:spacing w:before="45"/>
      </w:pPr>
      <w:r>
        <w:rPr/>
        <w:t>传真：0510-82830162</w:t>
      </w:r>
    </w:p>
    <w:p>
      <w:pPr>
        <w:pStyle w:val="BodyText"/>
        <w:spacing w:before="139"/>
      </w:pPr>
      <w:hyperlink r:id="rId52">
        <w:r>
          <w:rPr/>
          <w:t>网址：www.glsc.com.cn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283"/>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588"/>
      </w:pPr>
      <w:r>
        <w:rPr/>
        <w:t>客户服务电话</w:t>
      </w:r>
      <w:r>
        <w:rPr>
          <w:spacing w:val="-3"/>
        </w:rPr>
        <w:t>：956080 </w:t>
      </w:r>
      <w:r>
        <w:rPr/>
        <w:t>传真：0791-86281305</w:t>
      </w:r>
    </w:p>
    <w:p>
      <w:pPr>
        <w:pStyle w:val="BodyText"/>
        <w:spacing w:line="268" w:lineRule="exact"/>
      </w:pPr>
      <w:hyperlink r:id="rId53">
        <w:r>
          <w:rPr/>
          <w:t>网址：www.gszq.com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国泰君安证券</w:t>
      </w:r>
    </w:p>
    <w:p>
      <w:pPr>
        <w:pStyle w:val="BodyText"/>
        <w:spacing w:line="364" w:lineRule="auto" w:before="139"/>
        <w:ind w:right="3648"/>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40"/>
        <w:ind w:right="6693"/>
      </w:pPr>
      <w:r>
        <w:rPr/>
        <w:t>客户服务电话</w:t>
      </w:r>
      <w:r>
        <w:rPr>
          <w:spacing w:val="-3"/>
        </w:rPr>
        <w:t>：95521 </w:t>
      </w:r>
      <w:r>
        <w:rPr/>
        <w:t>传真：021-38670666</w:t>
      </w:r>
    </w:p>
    <w:p>
      <w:pPr>
        <w:pStyle w:val="BodyText"/>
        <w:spacing w:line="268" w:lineRule="exact"/>
      </w:pPr>
      <w:hyperlink r:id="rId54">
        <w:r>
          <w:rPr/>
          <w:t>网址：www.gtja.com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国信证券</w:t>
      </w:r>
    </w:p>
    <w:p>
      <w:pPr>
        <w:pStyle w:val="BodyText"/>
        <w:spacing w:line="364" w:lineRule="auto" w:before="140"/>
        <w:ind w:right="1863"/>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693"/>
      </w:pPr>
      <w:r>
        <w:rPr/>
        <w:t>客户服务电话：95536 传真：0755-82133952</w:t>
      </w:r>
    </w:p>
    <w:p>
      <w:pPr>
        <w:pStyle w:val="BodyText"/>
        <w:spacing w:line="268" w:lineRule="exact"/>
      </w:pPr>
      <w:hyperlink r:id="rId55">
        <w:r>
          <w:rPr/>
          <w:t>网址：www.guosen.com.cn</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283"/>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before="139"/>
      </w:pPr>
      <w:r>
        <w:rPr/>
        <w:t>客户服务电话：95578</w:t>
      </w:r>
    </w:p>
    <w:p>
      <w:pPr>
        <w:spacing w:after="0"/>
        <w:sectPr>
          <w:pgSz w:w="11910" w:h="16840"/>
          <w:pgMar w:header="0" w:footer="1118" w:top="1380" w:bottom="1380" w:left="1420" w:right="1000"/>
        </w:sectPr>
      </w:pPr>
    </w:p>
    <w:p>
      <w:pPr>
        <w:pStyle w:val="BodyText"/>
        <w:spacing w:before="45"/>
      </w:pPr>
      <w:r>
        <w:rPr/>
        <w:t>传真：0551-2272100</w:t>
      </w:r>
    </w:p>
    <w:p>
      <w:pPr>
        <w:pStyle w:val="BodyText"/>
        <w:spacing w:before="139"/>
      </w:pPr>
      <w:hyperlink r:id="rId56">
        <w:r>
          <w:rPr/>
          <w:t>网址：www.gyzq.com.cn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海通证券</w:t>
      </w:r>
    </w:p>
    <w:p>
      <w:pPr>
        <w:pStyle w:val="BodyText"/>
        <w:spacing w:line="364" w:lineRule="auto" w:before="139"/>
        <w:ind w:right="5748"/>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6378"/>
      </w:pPr>
      <w:r>
        <w:rPr/>
        <w:t>联系人：金芸、李笑鸣 联系电话</w:t>
      </w:r>
      <w:r>
        <w:rPr>
          <w:spacing w:val="-2"/>
        </w:rPr>
        <w:t>：021-23219000</w:t>
      </w:r>
    </w:p>
    <w:p>
      <w:pPr>
        <w:pStyle w:val="BodyText"/>
        <w:spacing w:line="364" w:lineRule="auto"/>
        <w:ind w:right="6693"/>
      </w:pPr>
      <w:r>
        <w:rPr/>
        <w:t>客户服务电话</w:t>
      </w:r>
      <w:r>
        <w:rPr>
          <w:spacing w:val="-3"/>
        </w:rPr>
        <w:t>：95553 </w:t>
      </w:r>
      <w:r>
        <w:rPr/>
        <w:t>传真：021-23219100</w:t>
      </w:r>
    </w:p>
    <w:p>
      <w:pPr>
        <w:pStyle w:val="BodyText"/>
        <w:spacing w:line="268" w:lineRule="exact"/>
      </w:pPr>
      <w:hyperlink r:id="rId57">
        <w:r>
          <w:rPr/>
          <w:t>网址：www.htsec.com</w:t>
        </w:r>
      </w:hyperlink>
    </w:p>
    <w:p>
      <w:pPr>
        <w:pStyle w:val="ListParagraph"/>
        <w:numPr>
          <w:ilvl w:val="0"/>
          <w:numId w:val="45"/>
        </w:numPr>
        <w:tabs>
          <w:tab w:pos="1217" w:val="left" w:leader="none"/>
        </w:tabs>
        <w:spacing w:line="240" w:lineRule="auto" w:before="137" w:after="0"/>
        <w:ind w:left="1217" w:right="0" w:hanging="421"/>
        <w:jc w:val="both"/>
        <w:rPr>
          <w:sz w:val="21"/>
        </w:rPr>
      </w:pPr>
      <w:r>
        <w:rPr>
          <w:sz w:val="21"/>
        </w:rPr>
        <w:t>华安证券</w:t>
      </w:r>
    </w:p>
    <w:p>
      <w:pPr>
        <w:pStyle w:val="BodyText"/>
        <w:spacing w:line="364" w:lineRule="auto" w:before="140"/>
        <w:ind w:right="3648"/>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693"/>
      </w:pPr>
      <w:r>
        <w:rPr/>
        <w:t>客户服务电话</w:t>
      </w:r>
      <w:r>
        <w:rPr>
          <w:spacing w:val="-3"/>
        </w:rPr>
        <w:t>：95318 </w:t>
      </w:r>
      <w:r>
        <w:rPr>
          <w:spacing w:val="-2"/>
        </w:rPr>
        <w:t>传真</w:t>
      </w:r>
      <w:r>
        <w:rPr>
          <w:spacing w:val="-1"/>
        </w:rPr>
        <w:t>：0551-65161825</w:t>
      </w:r>
    </w:p>
    <w:p>
      <w:pPr>
        <w:pStyle w:val="BodyText"/>
        <w:spacing w:line="268" w:lineRule="exact"/>
      </w:pPr>
      <w:hyperlink r:id="rId58">
        <w:r>
          <w:rPr/>
          <w:t>网址：www.hazq.com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华宝证券</w:t>
      </w:r>
    </w:p>
    <w:p>
      <w:pPr>
        <w:pStyle w:val="BodyText"/>
        <w:spacing w:line="364" w:lineRule="auto" w:before="140"/>
        <w:ind w:right="2913"/>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958"/>
      </w:pPr>
      <w:r>
        <w:rPr/>
        <w:t>客户服务电话：400-820-9898 传真：021-20515593</w:t>
      </w:r>
    </w:p>
    <w:p>
      <w:pPr>
        <w:pStyle w:val="BodyText"/>
        <w:spacing w:line="268" w:lineRule="exact"/>
      </w:pPr>
      <w:hyperlink r:id="rId59">
        <w:r>
          <w:rPr/>
          <w:t>网址：www.cnhbstock.com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华龙证券</w:t>
      </w:r>
    </w:p>
    <w:p>
      <w:pPr>
        <w:pStyle w:val="BodyText"/>
        <w:spacing w:line="364" w:lineRule="auto" w:before="139"/>
        <w:ind w:right="3123"/>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798"/>
      </w:pPr>
      <w:r>
        <w:rPr/>
        <w:t>法定代表人：陈牧原联系人：范坤</w:t>
      </w:r>
    </w:p>
    <w:p>
      <w:pPr>
        <w:spacing w:after="0" w:line="364" w:lineRule="auto"/>
        <w:sectPr>
          <w:pgSz w:w="11910" w:h="16840"/>
          <w:pgMar w:header="0" w:footer="1118" w:top="1380" w:bottom="1380" w:left="1420" w:right="1000"/>
        </w:sectPr>
      </w:pPr>
    </w:p>
    <w:p>
      <w:pPr>
        <w:pStyle w:val="BodyText"/>
        <w:spacing w:before="45"/>
      </w:pPr>
      <w:r>
        <w:rPr/>
        <w:t>联系电话：0931-4890208</w:t>
      </w:r>
    </w:p>
    <w:p>
      <w:pPr>
        <w:pStyle w:val="BodyText"/>
        <w:spacing w:line="364" w:lineRule="auto" w:before="139"/>
        <w:ind w:right="5223"/>
      </w:pPr>
      <w:r>
        <w:rPr/>
        <w:t>客户服务电话：95368、</w:t>
      </w:r>
      <w:r>
        <w:rPr>
          <w:spacing w:val="-2"/>
        </w:rPr>
        <w:t>400-689-8888 </w:t>
      </w:r>
      <w:r>
        <w:rPr/>
        <w:t>传真：0931-4890628</w:t>
      </w:r>
    </w:p>
    <w:p>
      <w:pPr>
        <w:pStyle w:val="BodyText"/>
        <w:spacing w:line="268" w:lineRule="exact"/>
      </w:pPr>
      <w:hyperlink r:id="rId60">
        <w:r>
          <w:rPr/>
          <w:t>网址：www.hlzq.com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863"/>
      </w:pPr>
      <w:r>
        <w:rPr>
          <w:spacing w:val="-3"/>
        </w:rPr>
        <w:t>办公地址：北京市朝阳区朝阳门北大街 </w:t>
      </w:r>
      <w:r>
        <w:rPr/>
        <w:t>18</w:t>
      </w:r>
      <w:r>
        <w:rPr>
          <w:spacing w:val="-13"/>
        </w:rPr>
        <w:t> 号中国人保寿险大厦 </w:t>
      </w:r>
      <w:r>
        <w:rPr/>
        <w:t>11</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6693"/>
      </w:pPr>
      <w:r>
        <w:rPr/>
        <w:t>客户服务电话：95390 传真：010-85556088</w:t>
      </w:r>
    </w:p>
    <w:p>
      <w:pPr>
        <w:pStyle w:val="BodyText"/>
        <w:spacing w:line="268" w:lineRule="exact"/>
      </w:pPr>
      <w:hyperlink r:id="rId61">
        <w:r>
          <w:rPr/>
          <w:t>网址：www.hrsec.com.cn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648"/>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693"/>
      </w:pPr>
      <w:r>
        <w:rPr/>
        <w:t>客户服务电话：95597 传真：025-83387523</w:t>
      </w:r>
    </w:p>
    <w:p>
      <w:pPr>
        <w:pStyle w:val="BodyText"/>
        <w:spacing w:line="268" w:lineRule="exact"/>
      </w:pPr>
      <w:hyperlink r:id="rId62">
        <w:r>
          <w:rPr/>
          <w:t>网址：www.htsc.com.cn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华西证券</w:t>
      </w:r>
    </w:p>
    <w:p>
      <w:pPr>
        <w:pStyle w:val="BodyText"/>
        <w:spacing w:before="140"/>
      </w:pPr>
      <w:r>
        <w:rPr/>
        <w:t>注册地址：四川省成都市高新区天府二街 198 号</w:t>
      </w:r>
    </w:p>
    <w:p>
      <w:pPr>
        <w:pStyle w:val="BodyText"/>
        <w:spacing w:line="364" w:lineRule="auto" w:before="139"/>
        <w:ind w:right="3018"/>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6693"/>
      </w:pPr>
      <w:r>
        <w:rPr/>
        <w:t>客户服务电话：95584 传真：028-86150040</w:t>
      </w:r>
    </w:p>
    <w:p>
      <w:pPr>
        <w:pStyle w:val="BodyText"/>
        <w:spacing w:line="268" w:lineRule="exact"/>
      </w:pPr>
      <w:hyperlink r:id="rId63">
        <w:r>
          <w:rPr/>
          <w:t>网址：www.hx168.com.cn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before="139"/>
      </w:pPr>
      <w:r>
        <w:rPr/>
        <w:t>办公地址：上海市徐汇区宛平南路 8 号</w:t>
      </w:r>
    </w:p>
    <w:p>
      <w:pPr>
        <w:spacing w:after="0"/>
        <w:sectPr>
          <w:pgSz w:w="11910" w:h="16840"/>
          <w:pgMar w:header="0" w:footer="1118" w:top="1380" w:bottom="1380" w:left="1420" w:right="1000"/>
        </w:sectPr>
      </w:pPr>
    </w:p>
    <w:p>
      <w:pPr>
        <w:pStyle w:val="BodyText"/>
        <w:spacing w:line="364" w:lineRule="auto" w:before="45"/>
        <w:ind w:right="7008"/>
      </w:pPr>
      <w:r>
        <w:rPr/>
        <w:t>法定代表人：俞洋联系人：杨莉娟</w:t>
      </w:r>
    </w:p>
    <w:p>
      <w:pPr>
        <w:pStyle w:val="BodyText"/>
        <w:spacing w:line="268" w:lineRule="exact"/>
      </w:pPr>
      <w:r>
        <w:rPr/>
        <w:t>联系电话：021-54967552</w:t>
      </w:r>
    </w:p>
    <w:p>
      <w:pPr>
        <w:pStyle w:val="BodyText"/>
        <w:spacing w:line="364" w:lineRule="auto" w:before="139"/>
        <w:ind w:right="1443"/>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8" w:lineRule="exact"/>
      </w:pPr>
      <w:hyperlink r:id="rId64">
        <w:r>
          <w:rPr/>
          <w:t>网址：www.cfsc.com.cn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华信证券</w:t>
      </w:r>
    </w:p>
    <w:p>
      <w:pPr>
        <w:pStyle w:val="BodyText"/>
        <w:spacing w:line="364" w:lineRule="auto" w:before="139"/>
        <w:ind w:right="3228"/>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798"/>
      </w:pPr>
      <w:r>
        <w:rPr/>
        <w:t>法定代表人：陈灿辉联系人：徐璐</w:t>
      </w:r>
    </w:p>
    <w:p>
      <w:pPr>
        <w:pStyle w:val="BodyText"/>
        <w:spacing w:line="268" w:lineRule="exact"/>
      </w:pPr>
      <w:r>
        <w:rPr/>
        <w:t>联系电话：021-63898952</w:t>
      </w:r>
    </w:p>
    <w:p>
      <w:pPr>
        <w:pStyle w:val="BodyText"/>
        <w:spacing w:line="364" w:lineRule="auto" w:before="139"/>
        <w:ind w:right="5958"/>
      </w:pPr>
      <w:r>
        <w:rPr/>
        <w:t>客户服务电话：400-820-5999 传真：021-68776977 转 8952</w:t>
      </w:r>
    </w:p>
    <w:p>
      <w:pPr>
        <w:pStyle w:val="BodyText"/>
        <w:spacing w:line="268" w:lineRule="exact"/>
      </w:pPr>
      <w:hyperlink r:id="rId65">
        <w:r>
          <w:rPr/>
          <w:t>网址：www.shhxzq.com</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3858"/>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588"/>
      </w:pPr>
      <w:r>
        <w:rPr/>
        <w:t>客户服务电话：956007 传真：0451-82337279</w:t>
      </w:r>
    </w:p>
    <w:p>
      <w:pPr>
        <w:pStyle w:val="BodyText"/>
        <w:spacing w:line="268" w:lineRule="exact"/>
      </w:pPr>
      <w:hyperlink r:id="rId66">
        <w:r>
          <w:rPr/>
          <w:t>网址：www.jhzq.com.cn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金元证券</w:t>
      </w:r>
    </w:p>
    <w:p>
      <w:pPr>
        <w:pStyle w:val="BodyText"/>
        <w:spacing w:before="140"/>
      </w:pPr>
      <w:r>
        <w:rPr/>
        <w:t>注册地址：海口市南宝路 36 号证券大厦 4 楼</w:t>
      </w:r>
    </w:p>
    <w:p>
      <w:pPr>
        <w:pStyle w:val="BodyText"/>
        <w:spacing w:line="364" w:lineRule="auto" w:before="139"/>
        <w:ind w:right="3228"/>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6693"/>
      </w:pPr>
      <w:r>
        <w:rPr/>
        <w:t>客户服务电话：95372 传真：0755-83025625</w:t>
      </w:r>
    </w:p>
    <w:p>
      <w:pPr>
        <w:pStyle w:val="BodyText"/>
        <w:spacing w:line="268" w:lineRule="exact"/>
      </w:pPr>
      <w:hyperlink r:id="rId67">
        <w:r>
          <w:rPr/>
          <w:t>网址：www.jyzq.cn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开源证券</w:t>
      </w:r>
    </w:p>
    <w:p>
      <w:pPr>
        <w:spacing w:after="0" w:line="240" w:lineRule="auto"/>
        <w:jc w:val="left"/>
        <w:rPr>
          <w:sz w:val="21"/>
        </w:rPr>
        <w:sectPr>
          <w:pgSz w:w="11910" w:h="16840"/>
          <w:pgMar w:header="0" w:footer="1118" w:top="1380" w:bottom="1380" w:left="1420" w:right="1000"/>
        </w:sectPr>
      </w:pPr>
    </w:p>
    <w:p>
      <w:pPr>
        <w:pStyle w:val="BodyText"/>
        <w:spacing w:line="364" w:lineRule="auto" w:before="45"/>
        <w:ind w:right="3018"/>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693"/>
      </w:pPr>
      <w:r>
        <w:rPr/>
        <w:t>客户服务电话：95325 </w:t>
      </w:r>
      <w:hyperlink r:id="rId68">
        <w:r>
          <w:rPr/>
          <w:t>网址：www.kysec.cn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联储证券</w:t>
      </w:r>
    </w:p>
    <w:p>
      <w:pPr>
        <w:pStyle w:val="BodyText"/>
        <w:spacing w:line="364" w:lineRule="auto" w:before="139"/>
        <w:ind w:right="1128"/>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798"/>
      </w:pPr>
      <w:r>
        <w:rPr/>
        <w:t>法定代表人：吕春卫联系人：张婉婷</w:t>
      </w:r>
    </w:p>
    <w:p>
      <w:pPr>
        <w:pStyle w:val="BodyText"/>
        <w:spacing w:line="268" w:lineRule="exact"/>
      </w:pPr>
      <w:r>
        <w:rPr/>
        <w:t>联系电话：010-86499765</w:t>
      </w:r>
    </w:p>
    <w:p>
      <w:pPr>
        <w:pStyle w:val="BodyText"/>
        <w:spacing w:line="364" w:lineRule="auto" w:before="139"/>
        <w:ind w:right="5958"/>
      </w:pPr>
      <w:r>
        <w:rPr/>
        <w:t>客户服务电话：400-620-6868 </w:t>
      </w:r>
      <w:hyperlink r:id="rId69">
        <w:r>
          <w:rPr/>
          <w:t>网址：www.lczq.com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民生证券</w:t>
      </w:r>
    </w:p>
    <w:p>
      <w:pPr>
        <w:pStyle w:val="BodyText"/>
        <w:spacing w:line="364" w:lineRule="auto" w:before="139"/>
        <w:ind w:right="1809"/>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3"/>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21"/>
        </w:rPr>
        <w:t> 层 法定代表人：冯鹤年</w:t>
      </w:r>
    </w:p>
    <w:p>
      <w:pPr>
        <w:pStyle w:val="BodyText"/>
        <w:spacing w:line="268" w:lineRule="exact"/>
      </w:pPr>
      <w:r>
        <w:rPr/>
        <w:t>联系人：韩秀萍</w:t>
      </w:r>
    </w:p>
    <w:p>
      <w:pPr>
        <w:pStyle w:val="BodyText"/>
        <w:spacing w:before="140"/>
      </w:pPr>
      <w:r>
        <w:rPr/>
        <w:t>联系电话：010-85127609</w:t>
      </w:r>
    </w:p>
    <w:p>
      <w:pPr>
        <w:pStyle w:val="BodyText"/>
        <w:spacing w:line="364" w:lineRule="auto" w:before="139"/>
        <w:ind w:right="6693"/>
      </w:pPr>
      <w:r>
        <w:rPr/>
        <w:t>客户服务电话：95376 </w:t>
      </w:r>
      <w:hyperlink r:id="rId70">
        <w:r>
          <w:rPr/>
          <w:t>网址：www.mszq.com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南京证券</w:t>
      </w:r>
    </w:p>
    <w:p>
      <w:pPr>
        <w:pStyle w:val="BodyText"/>
        <w:spacing w:line="364" w:lineRule="auto" w:before="140"/>
        <w:ind w:right="5538"/>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39"/>
        <w:ind w:right="6693"/>
      </w:pPr>
      <w:r>
        <w:rPr/>
        <w:t>客户服务电话：95386 传真：025-83369725</w:t>
      </w:r>
    </w:p>
    <w:p>
      <w:pPr>
        <w:pStyle w:val="BodyText"/>
        <w:spacing w:line="268" w:lineRule="exact"/>
      </w:pPr>
      <w:hyperlink r:id="rId71">
        <w:r>
          <w:rPr/>
          <w:t>网址：www.njzq.com.cn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平安证券</w:t>
      </w:r>
    </w:p>
    <w:p>
      <w:pPr>
        <w:pStyle w:val="BodyText"/>
        <w:spacing w:before="139"/>
      </w:pPr>
      <w:r>
        <w:rPr/>
        <w:t>注册地址：深圳市福田区福田街道益田路 5023 号平安金融中心 B 座第 22-25 层</w:t>
      </w:r>
    </w:p>
    <w:p>
      <w:pPr>
        <w:spacing w:after="0"/>
        <w:sectPr>
          <w:pgSz w:w="11910" w:h="16840"/>
          <w:pgMar w:header="0" w:footer="1118" w:top="1380" w:bottom="1380" w:left="1420" w:right="1000"/>
        </w:sectPr>
      </w:pPr>
    </w:p>
    <w:p>
      <w:pPr>
        <w:pStyle w:val="BodyText"/>
        <w:spacing w:line="364" w:lineRule="auto" w:before="45"/>
        <w:ind w:right="3333"/>
      </w:pPr>
      <w:r>
        <w:rPr>
          <w:spacing w:val="-4"/>
        </w:rPr>
        <w:t>办公地址：深圳市福田区金田路 </w:t>
      </w:r>
      <w:r>
        <w:rPr/>
        <w:t>4036</w:t>
      </w:r>
      <w:r>
        <w:rPr>
          <w:spacing w:val="-17"/>
        </w:rPr>
        <w:t> 号荣超大厦 </w:t>
      </w:r>
      <w:r>
        <w:rPr/>
        <w:t>16-20</w:t>
      </w:r>
      <w:r>
        <w:rPr>
          <w:spacing w:val="-35"/>
        </w:rPr>
        <w:t> 层</w:t>
      </w:r>
      <w:r>
        <w:rPr/>
        <w:t>法定代表人：何之江</w:t>
      </w:r>
    </w:p>
    <w:p>
      <w:pPr>
        <w:pStyle w:val="BodyText"/>
        <w:spacing w:line="268" w:lineRule="exact"/>
      </w:pPr>
      <w:r>
        <w:rPr/>
        <w:t>联系人：周驰</w:t>
      </w:r>
    </w:p>
    <w:p>
      <w:pPr>
        <w:pStyle w:val="BodyText"/>
        <w:spacing w:before="139"/>
      </w:pPr>
      <w:r>
        <w:rPr/>
        <w:t>联系电话：021-38643230</w:t>
      </w:r>
    </w:p>
    <w:p>
      <w:pPr>
        <w:pStyle w:val="BodyText"/>
        <w:spacing w:line="364" w:lineRule="auto" w:before="140"/>
        <w:ind w:right="6483"/>
      </w:pPr>
      <w:r>
        <w:rPr/>
        <w:t>客户服务电话：95511-8 传真：021-58991896</w:t>
      </w:r>
    </w:p>
    <w:p>
      <w:pPr>
        <w:pStyle w:val="BodyText"/>
        <w:spacing w:line="268" w:lineRule="exact"/>
      </w:pPr>
      <w:r>
        <w:rPr/>
        <w:t>网址：stock.pingan.com</w:t>
      </w:r>
    </w:p>
    <w:p>
      <w:pPr>
        <w:pStyle w:val="ListParagraph"/>
        <w:numPr>
          <w:ilvl w:val="0"/>
          <w:numId w:val="45"/>
        </w:numPr>
        <w:tabs>
          <w:tab w:pos="1217" w:val="left" w:leader="none"/>
        </w:tabs>
        <w:spacing w:line="240" w:lineRule="auto" w:before="139" w:after="0"/>
        <w:ind w:left="1217" w:right="0" w:hanging="421"/>
        <w:jc w:val="both"/>
        <w:rPr>
          <w:sz w:val="21"/>
        </w:rPr>
      </w:pPr>
      <w:r>
        <w:rPr>
          <w:sz w:val="21"/>
        </w:rPr>
        <w:t>瑞银证券</w:t>
      </w:r>
    </w:p>
    <w:p>
      <w:pPr>
        <w:pStyle w:val="BodyText"/>
        <w:spacing w:line="364" w:lineRule="auto" w:before="140"/>
        <w:ind w:right="2229"/>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40"/>
        <w:ind w:right="5958"/>
      </w:pPr>
      <w:r>
        <w:rPr/>
        <w:t>客户服务电话：400-887-8827 传真：010-58328170</w:t>
      </w:r>
    </w:p>
    <w:p>
      <w:pPr>
        <w:pStyle w:val="BodyText"/>
        <w:spacing w:line="268" w:lineRule="exact"/>
      </w:pPr>
      <w:hyperlink r:id="rId72">
        <w:r>
          <w:rPr/>
          <w:t>网址：https://www.ubs.com/ubssecurities</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858"/>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73">
        <w:r>
          <w:rPr/>
          <w:t>网址：https://www.shzq.com/</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申万宏源西部证券</w:t>
      </w:r>
    </w:p>
    <w:p>
      <w:pPr>
        <w:pStyle w:val="BodyText"/>
        <w:spacing w:before="140"/>
      </w:pPr>
      <w:r>
        <w:rPr>
          <w:spacing w:val="-6"/>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376"/>
      </w:pPr>
      <w:r>
        <w:rPr/>
        <w:t>室</w:t>
      </w:r>
    </w:p>
    <w:p>
      <w:pPr>
        <w:pStyle w:val="BodyText"/>
        <w:spacing w:before="139"/>
      </w:pPr>
      <w:r>
        <w:rPr>
          <w:spacing w:val="-6"/>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376"/>
      </w:pPr>
      <w:r>
        <w:rPr/>
        <w:t>室</w:t>
      </w:r>
    </w:p>
    <w:p>
      <w:pPr>
        <w:pStyle w:val="BodyText"/>
        <w:spacing w:line="364" w:lineRule="auto" w:before="139"/>
        <w:ind w:right="7008"/>
      </w:pPr>
      <w:r>
        <w:rPr/>
        <w:t>法定代表人：李琦联系人：王怀春</w:t>
      </w:r>
    </w:p>
    <w:p>
      <w:pPr>
        <w:pStyle w:val="BodyText"/>
        <w:spacing w:line="268" w:lineRule="exact"/>
      </w:pPr>
      <w:r>
        <w:rPr/>
        <w:t>联系电话：0991-2307105</w:t>
      </w:r>
    </w:p>
    <w:p>
      <w:pPr>
        <w:pStyle w:val="BodyText"/>
        <w:spacing w:before="140"/>
      </w:pPr>
      <w:r>
        <w:rPr/>
        <w:t>客户服务电话：4008-000-562</w:t>
      </w:r>
    </w:p>
    <w:p>
      <w:pPr>
        <w:spacing w:after="0"/>
        <w:sectPr>
          <w:pgSz w:w="11910" w:h="16840"/>
          <w:pgMar w:header="0" w:footer="1118" w:top="1380" w:bottom="1380" w:left="1420" w:right="1000"/>
        </w:sectPr>
      </w:pPr>
    </w:p>
    <w:p>
      <w:pPr>
        <w:pStyle w:val="BodyText"/>
        <w:spacing w:before="45"/>
      </w:pPr>
      <w:r>
        <w:rPr/>
        <w:t>传真：010-88085195</w:t>
      </w:r>
    </w:p>
    <w:p>
      <w:pPr>
        <w:pStyle w:val="BodyText"/>
        <w:spacing w:before="139"/>
      </w:pPr>
      <w:hyperlink r:id="rId74">
        <w:r>
          <w:rPr/>
          <w:t>网址：www.hysec.com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333"/>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40"/>
        <w:ind w:right="5433"/>
      </w:pPr>
      <w:r>
        <w:rPr/>
        <w:t>客户服务电话：95523、4008895523 传真：021-33388224</w:t>
      </w:r>
    </w:p>
    <w:p>
      <w:pPr>
        <w:pStyle w:val="BodyText"/>
        <w:spacing w:line="268" w:lineRule="exact"/>
      </w:pPr>
      <w:hyperlink r:id="rId75">
        <w:r>
          <w:rPr/>
          <w:t>网址：www.swhysc.com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首创证券</w:t>
      </w:r>
    </w:p>
    <w:p>
      <w:pPr>
        <w:pStyle w:val="BodyText"/>
        <w:spacing w:line="364" w:lineRule="auto" w:before="139"/>
        <w:ind w:right="3228"/>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5958"/>
      </w:pPr>
      <w:r>
        <w:rPr/>
        <w:t>客户服务电话：400-620-0620 传真：010-59366055</w:t>
      </w:r>
    </w:p>
    <w:p>
      <w:pPr>
        <w:pStyle w:val="BodyText"/>
        <w:spacing w:line="268" w:lineRule="exact"/>
      </w:pPr>
      <w:hyperlink r:id="rId76">
        <w:r>
          <w:rPr/>
          <w:t>网址：http://www.sczq.com.cn/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天风证券</w:t>
      </w:r>
    </w:p>
    <w:p>
      <w:pPr>
        <w:pStyle w:val="BodyText"/>
        <w:spacing w:line="364" w:lineRule="auto" w:before="139"/>
        <w:ind w:right="2178"/>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08"/>
      </w:pPr>
      <w:r>
        <w:rPr/>
        <w:t>法定代表人：余磊联系人：王雅薇</w:t>
      </w:r>
    </w:p>
    <w:p>
      <w:pPr>
        <w:pStyle w:val="BodyText"/>
        <w:spacing w:line="268" w:lineRule="exact"/>
      </w:pPr>
      <w:r>
        <w:rPr/>
        <w:t>联系电话：027-87617017</w:t>
      </w:r>
    </w:p>
    <w:p>
      <w:pPr>
        <w:pStyle w:val="BodyText"/>
        <w:spacing w:line="364" w:lineRule="auto" w:before="139"/>
        <w:ind w:right="5433"/>
      </w:pPr>
      <w:r>
        <w:rPr/>
        <w:t>客户服务电话：4008005000、95391 传真：027-87618863</w:t>
      </w:r>
    </w:p>
    <w:p>
      <w:pPr>
        <w:pStyle w:val="BodyText"/>
        <w:spacing w:line="268" w:lineRule="exact"/>
      </w:pPr>
      <w:hyperlink r:id="rId77">
        <w:r>
          <w:rPr/>
          <w:t>网址：http://www.tfzq.com/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西部证券</w:t>
      </w:r>
    </w:p>
    <w:p>
      <w:pPr>
        <w:pStyle w:val="BodyText"/>
        <w:spacing w:line="364" w:lineRule="auto" w:before="140"/>
        <w:ind w:right="3228"/>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spacing w:after="0" w:line="268" w:lineRule="exact"/>
        <w:sectPr>
          <w:pgSz w:w="11910" w:h="16840"/>
          <w:pgMar w:header="0" w:footer="1118" w:top="1380" w:bottom="1380" w:left="1420" w:right="1000"/>
        </w:sectPr>
      </w:pPr>
    </w:p>
    <w:p>
      <w:pPr>
        <w:pStyle w:val="BodyText"/>
        <w:spacing w:before="45"/>
      </w:pPr>
      <w:r>
        <w:rPr/>
        <w:t>联系电话：029-87211526</w:t>
      </w:r>
    </w:p>
    <w:p>
      <w:pPr>
        <w:pStyle w:val="BodyText"/>
        <w:spacing w:line="364" w:lineRule="auto" w:before="139"/>
        <w:ind w:right="6693"/>
      </w:pPr>
      <w:r>
        <w:rPr/>
        <w:t>客户服务电话：95582 传真：029-87211478</w:t>
      </w:r>
    </w:p>
    <w:p>
      <w:pPr>
        <w:pStyle w:val="BodyText"/>
        <w:spacing w:line="268" w:lineRule="exact"/>
      </w:pPr>
      <w:hyperlink r:id="rId78">
        <w:r>
          <w:rPr/>
          <w:t>网址：www.westsecu.com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湘财证券</w:t>
      </w:r>
    </w:p>
    <w:p>
      <w:pPr>
        <w:pStyle w:val="BodyText"/>
        <w:spacing w:line="364" w:lineRule="auto" w:before="139"/>
        <w:ind w:right="1863"/>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693"/>
      </w:pPr>
      <w:r>
        <w:rPr/>
        <w:t>客户服务电话</w:t>
      </w:r>
      <w:r>
        <w:rPr>
          <w:spacing w:val="-3"/>
        </w:rPr>
        <w:t>：95351 </w:t>
      </w:r>
      <w:r>
        <w:rPr/>
        <w:t>传真：021-68865680</w:t>
      </w:r>
    </w:p>
    <w:p>
      <w:pPr>
        <w:pStyle w:val="BodyText"/>
        <w:spacing w:line="268" w:lineRule="exact"/>
      </w:pPr>
      <w:hyperlink r:id="rId79">
        <w:r>
          <w:rPr/>
          <w:t>网址：www.xcsc.com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新时代证券</w:t>
      </w:r>
    </w:p>
    <w:p>
      <w:pPr>
        <w:pStyle w:val="BodyText"/>
        <w:spacing w:line="364" w:lineRule="auto" w:before="139"/>
        <w:ind w:right="2964"/>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40"/>
        <w:ind w:right="6693"/>
      </w:pPr>
      <w:r>
        <w:rPr/>
        <w:t>客户服务电话：95399 </w:t>
      </w:r>
      <w:hyperlink r:id="rId80">
        <w:r>
          <w:rPr/>
          <w:t>网址：www.xsdzq.cn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信达证券</w:t>
      </w:r>
    </w:p>
    <w:p>
      <w:pPr>
        <w:pStyle w:val="BodyText"/>
        <w:spacing w:line="364" w:lineRule="auto" w:before="139"/>
        <w:ind w:right="4068"/>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40"/>
      </w:pPr>
      <w:r>
        <w:rPr/>
        <w:t>联系电话：010-63081000</w:t>
      </w:r>
    </w:p>
    <w:p>
      <w:pPr>
        <w:pStyle w:val="BodyText"/>
        <w:spacing w:line="364" w:lineRule="auto" w:before="139"/>
        <w:ind w:right="6693"/>
      </w:pPr>
      <w:r>
        <w:rPr/>
        <w:t>客户服务电话：95321 传真：010-63080978</w:t>
      </w:r>
    </w:p>
    <w:p>
      <w:pPr>
        <w:pStyle w:val="BodyText"/>
        <w:spacing w:line="268" w:lineRule="exact"/>
      </w:pPr>
      <w:hyperlink r:id="rId81">
        <w:r>
          <w:rPr/>
          <w:t>网址：www.cindasc.com</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兴业证券</w:t>
      </w:r>
    </w:p>
    <w:p>
      <w:pPr>
        <w:pStyle w:val="BodyText"/>
        <w:spacing w:before="139"/>
      </w:pPr>
      <w:r>
        <w:rPr/>
        <w:t>注册地址：福州市湖东路 268 号</w:t>
      </w:r>
    </w:p>
    <w:p>
      <w:pPr>
        <w:pStyle w:val="BodyText"/>
        <w:spacing w:line="364" w:lineRule="auto" w:before="140"/>
        <w:ind w:right="3438"/>
      </w:pPr>
      <w:r>
        <w:rPr>
          <w:spacing w:val="-4"/>
        </w:rPr>
        <w:t>办公地址：上海浦东新区长柳路 </w:t>
      </w:r>
      <w:r>
        <w:rPr/>
        <w:t>36</w:t>
      </w:r>
      <w:r>
        <w:rPr>
          <w:spacing w:val="-13"/>
        </w:rPr>
        <w:t> 号兴业证券大厦 </w:t>
      </w:r>
      <w:r>
        <w:rPr/>
        <w:t>20</w:t>
      </w:r>
      <w:r>
        <w:rPr>
          <w:spacing w:val="-35"/>
        </w:rPr>
        <w:t> 楼</w:t>
      </w:r>
      <w:r>
        <w:rPr/>
        <w:t>法定代表人：杨华辉</w:t>
      </w:r>
    </w:p>
    <w:p>
      <w:pPr>
        <w:spacing w:after="0" w:line="364" w:lineRule="auto"/>
        <w:sectPr>
          <w:pgSz w:w="11910" w:h="16840"/>
          <w:pgMar w:header="0" w:footer="1118" w:top="1380" w:bottom="1380" w:left="1420" w:right="1000"/>
        </w:sectPr>
      </w:pPr>
    </w:p>
    <w:p>
      <w:pPr>
        <w:pStyle w:val="BodyText"/>
        <w:spacing w:before="45"/>
      </w:pPr>
      <w:r>
        <w:rPr/>
        <w:t>联系人：乔琳雪</w:t>
      </w:r>
    </w:p>
    <w:p>
      <w:pPr>
        <w:pStyle w:val="BodyText"/>
        <w:spacing w:before="139"/>
      </w:pPr>
      <w:r>
        <w:rPr/>
        <w:t>联系电话：021-38565547</w:t>
      </w:r>
    </w:p>
    <w:p>
      <w:pPr>
        <w:pStyle w:val="BodyText"/>
        <w:spacing w:line="364" w:lineRule="auto" w:before="140"/>
        <w:ind w:right="6483"/>
      </w:pPr>
      <w:r>
        <w:rPr/>
        <w:t>客户服务电话：95562 </w:t>
      </w:r>
      <w:hyperlink r:id="rId82">
        <w:r>
          <w:rPr>
            <w:spacing w:val="-1"/>
          </w:rPr>
          <w:t>网址</w:t>
        </w:r>
        <w:r>
          <w:rPr/>
          <w:t>：www.xyzq.com.cn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333"/>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83">
        <w:r>
          <w:rPr/>
          <w:t>网址：www.chinastock.com.cn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粤开证券</w:t>
      </w:r>
    </w:p>
    <w:p>
      <w:pPr>
        <w:pStyle w:val="BodyText"/>
        <w:spacing w:line="364" w:lineRule="auto" w:before="140"/>
        <w:ind w:right="1233"/>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798"/>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84">
        <w:r>
          <w:rPr/>
          <w:t>公司网址：http://www.ykzq.com</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2808"/>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693"/>
      </w:pPr>
      <w:r>
        <w:rPr/>
        <w:t>客户服务电话：95345 传真：0571-87901913</w:t>
      </w:r>
    </w:p>
    <w:p>
      <w:pPr>
        <w:pStyle w:val="BodyText"/>
        <w:spacing w:line="268" w:lineRule="exact"/>
      </w:pPr>
      <w:hyperlink r:id="rId85">
        <w:r>
          <w:rPr/>
          <w:t>网址：www.stocke.com.cn</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376"/>
      </w:pPr>
      <w:r>
        <w:rPr/>
        <w:t>层 01.02.03.05.11.12.13.15.16.18.19.20.21.22.23 单元</w:t>
      </w:r>
    </w:p>
    <w:p>
      <w:pPr>
        <w:pStyle w:val="BodyText"/>
        <w:spacing w:line="364" w:lineRule="auto" w:before="140"/>
        <w:ind w:right="2124"/>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spacing w:after="0" w:line="364" w:lineRule="auto"/>
        <w:sectPr>
          <w:pgSz w:w="11910" w:h="16840"/>
          <w:pgMar w:header="0" w:footer="1118" w:top="1380" w:bottom="1380" w:left="1420" w:right="1000"/>
        </w:sectPr>
      </w:pPr>
    </w:p>
    <w:p>
      <w:pPr>
        <w:pStyle w:val="BodyText"/>
        <w:spacing w:before="45"/>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86">
        <w:r>
          <w:rPr/>
          <w:t>网址：https://www.ciccwm.com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中金公司</w:t>
      </w:r>
    </w:p>
    <w:p>
      <w:pPr>
        <w:pStyle w:val="BodyText"/>
        <w:spacing w:line="364" w:lineRule="auto" w:before="139"/>
        <w:ind w:right="2178"/>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798"/>
      </w:pPr>
      <w:r>
        <w:rPr/>
        <w:t>法定代表人：沈如军联系人：杨涵宇</w:t>
      </w:r>
    </w:p>
    <w:p>
      <w:pPr>
        <w:pStyle w:val="BodyText"/>
        <w:spacing w:line="268" w:lineRule="exact"/>
      </w:pPr>
      <w:r>
        <w:rPr/>
        <w:t>联系电话：010-65051166</w:t>
      </w:r>
    </w:p>
    <w:p>
      <w:pPr>
        <w:pStyle w:val="BodyText"/>
        <w:spacing w:line="364" w:lineRule="auto" w:before="139"/>
        <w:ind w:right="6168"/>
      </w:pPr>
      <w:r>
        <w:rPr>
          <w:spacing w:val="-1"/>
        </w:rPr>
        <w:t>客户服务电话</w:t>
      </w:r>
      <w:r>
        <w:rPr/>
        <w:t>：4009101166 </w:t>
      </w:r>
      <w:hyperlink r:id="rId87">
        <w:r>
          <w:rPr/>
          <w:t>网址：www.cicc.com.cn</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中泰证券</w:t>
      </w:r>
    </w:p>
    <w:p>
      <w:pPr>
        <w:pStyle w:val="BodyText"/>
        <w:spacing w:line="364" w:lineRule="auto" w:before="139"/>
        <w:ind w:right="5223"/>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693"/>
      </w:pPr>
      <w:r>
        <w:rPr/>
        <w:t>客户服务电话：95538 传真：0531-68889095</w:t>
      </w:r>
    </w:p>
    <w:p>
      <w:pPr>
        <w:pStyle w:val="BodyText"/>
        <w:spacing w:line="268" w:lineRule="exact"/>
      </w:pPr>
      <w:hyperlink r:id="rId88">
        <w:r>
          <w:rPr/>
          <w:t>网址：www.zts.com.cn</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中天证券</w:t>
      </w:r>
    </w:p>
    <w:p>
      <w:pPr>
        <w:pStyle w:val="BodyText"/>
        <w:spacing w:line="364" w:lineRule="auto" w:before="140"/>
        <w:ind w:right="4593"/>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273"/>
      </w:pPr>
      <w:r>
        <w:rPr>
          <w:spacing w:val="-1"/>
        </w:rPr>
        <w:t>客户服务电话</w:t>
      </w:r>
      <w:r>
        <w:rPr/>
        <w:t>：024-95346 传真：024-23255606</w:t>
      </w:r>
    </w:p>
    <w:p>
      <w:pPr>
        <w:pStyle w:val="BodyText"/>
        <w:spacing w:line="268" w:lineRule="exact"/>
      </w:pPr>
      <w:hyperlink r:id="rId89">
        <w:r>
          <w:rPr/>
          <w:t>网址：www.iztzq.com</w:t>
        </w:r>
      </w:hyperlink>
    </w:p>
    <w:p>
      <w:pPr>
        <w:pStyle w:val="ListParagraph"/>
        <w:numPr>
          <w:ilvl w:val="0"/>
          <w:numId w:val="45"/>
        </w:numPr>
        <w:tabs>
          <w:tab w:pos="1217" w:val="left" w:leader="none"/>
        </w:tabs>
        <w:spacing w:line="240" w:lineRule="auto" w:before="139" w:after="0"/>
        <w:ind w:left="1217" w:right="0" w:hanging="421"/>
        <w:jc w:val="left"/>
        <w:rPr>
          <w:sz w:val="21"/>
        </w:rPr>
      </w:pPr>
      <w:r>
        <w:rPr>
          <w:sz w:val="21"/>
        </w:rPr>
        <w:t>中信建投证券</w:t>
      </w:r>
    </w:p>
    <w:p>
      <w:pPr>
        <w:pStyle w:val="BodyText"/>
        <w:spacing w:line="364" w:lineRule="auto" w:before="140"/>
        <w:ind w:right="4593"/>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268" w:lineRule="exact"/>
      </w:pPr>
      <w:r>
        <w:rPr/>
        <w:t>法定代表人：王常青</w:t>
      </w:r>
    </w:p>
    <w:p>
      <w:pPr>
        <w:spacing w:after="0" w:line="268" w:lineRule="exact"/>
        <w:sectPr>
          <w:pgSz w:w="11910" w:h="16840"/>
          <w:pgMar w:header="0" w:footer="1118" w:top="1380" w:bottom="1380" w:left="1420" w:right="1000"/>
        </w:sectPr>
      </w:pPr>
    </w:p>
    <w:p>
      <w:pPr>
        <w:pStyle w:val="BodyText"/>
        <w:spacing w:before="45"/>
      </w:pPr>
      <w:r>
        <w:rPr/>
        <w:t>联系人：刘芸</w:t>
      </w:r>
    </w:p>
    <w:p>
      <w:pPr>
        <w:pStyle w:val="BodyText"/>
        <w:spacing w:before="139"/>
      </w:pPr>
      <w:r>
        <w:rPr/>
        <w:t>联系电话：010－85130554</w:t>
      </w:r>
    </w:p>
    <w:p>
      <w:pPr>
        <w:pStyle w:val="BodyText"/>
        <w:spacing w:before="140"/>
      </w:pPr>
      <w:r>
        <w:rPr/>
        <w:t>客户服务电话：95587 或 4008-888-108</w:t>
      </w:r>
    </w:p>
    <w:p>
      <w:pPr>
        <w:pStyle w:val="BodyText"/>
        <w:spacing w:before="139"/>
      </w:pPr>
      <w:hyperlink r:id="rId90">
        <w:r>
          <w:rPr/>
          <w:t>网址：http://www.csc108.com/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中信证券</w:t>
      </w:r>
    </w:p>
    <w:p>
      <w:pPr>
        <w:pStyle w:val="BodyText"/>
        <w:spacing w:line="364" w:lineRule="auto" w:before="139"/>
        <w:ind w:right="1968"/>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798"/>
      </w:pPr>
      <w:r>
        <w:rPr/>
        <w:t>法定代表人：张佑君联系人：王一通</w:t>
      </w:r>
    </w:p>
    <w:p>
      <w:pPr>
        <w:pStyle w:val="BodyText"/>
        <w:spacing w:line="268" w:lineRule="exact"/>
      </w:pPr>
      <w:r>
        <w:rPr/>
        <w:t>联系电话：010-60838888</w:t>
      </w:r>
    </w:p>
    <w:p>
      <w:pPr>
        <w:pStyle w:val="BodyText"/>
        <w:spacing w:line="364" w:lineRule="auto" w:before="139"/>
        <w:ind w:right="6693"/>
      </w:pPr>
      <w:r>
        <w:rPr/>
        <w:t>客户服务电话：95548 传真：010-60836029</w:t>
      </w:r>
    </w:p>
    <w:p>
      <w:pPr>
        <w:pStyle w:val="BodyText"/>
        <w:spacing w:line="268" w:lineRule="exact"/>
      </w:pPr>
      <w:hyperlink r:id="rId91">
        <w:r>
          <w:rPr/>
          <w:t>网址：www.cs.ecitic.com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中信证券（华南）</w:t>
      </w:r>
    </w:p>
    <w:p>
      <w:pPr>
        <w:pStyle w:val="BodyText"/>
        <w:spacing w:line="364" w:lineRule="auto" w:before="140"/>
        <w:ind w:right="1809"/>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39"/>
        <w:ind w:right="6693"/>
      </w:pPr>
      <w:r>
        <w:rPr/>
        <w:t>客户服务电话：95396 传真：020-88836984</w:t>
      </w:r>
    </w:p>
    <w:p>
      <w:pPr>
        <w:pStyle w:val="BodyText"/>
        <w:spacing w:line="268" w:lineRule="exact"/>
      </w:pPr>
      <w:hyperlink r:id="rId92">
        <w:r>
          <w:rPr/>
          <w:t>网址：www.gzs.com.cn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333"/>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693"/>
      </w:pPr>
      <w:r>
        <w:rPr/>
        <w:t>客户服务电话：95548 传真：0532-85022605</w:t>
      </w:r>
    </w:p>
    <w:p>
      <w:pPr>
        <w:pStyle w:val="BodyText"/>
        <w:spacing w:line="268" w:lineRule="exact"/>
      </w:pPr>
      <w:hyperlink r:id="rId93">
        <w:r>
          <w:rPr/>
          <w:t>网址：http://sd.citics.com/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中银证券</w:t>
      </w:r>
    </w:p>
    <w:p>
      <w:pPr>
        <w:pStyle w:val="BodyText"/>
        <w:spacing w:before="139"/>
      </w:pPr>
      <w:r>
        <w:rPr/>
        <w:t>注册地址：上海市浦东新区银城中路 200 号中银大厦 39 层</w:t>
      </w:r>
    </w:p>
    <w:p>
      <w:pPr>
        <w:pStyle w:val="BodyText"/>
        <w:spacing w:before="140"/>
      </w:pPr>
      <w:r>
        <w:rPr/>
        <w:t>办公地址：上海市浦东新区银城中路 200 号中银大厦 39-40 层</w:t>
      </w:r>
    </w:p>
    <w:p>
      <w:pPr>
        <w:spacing w:after="0"/>
        <w:sectPr>
          <w:pgSz w:w="11910" w:h="16840"/>
          <w:pgMar w:header="0" w:footer="1118" w:top="1380" w:bottom="1380" w:left="1420" w:right="1000"/>
        </w:sectPr>
      </w:pPr>
    </w:p>
    <w:p>
      <w:pPr>
        <w:pStyle w:val="BodyText"/>
        <w:spacing w:line="364" w:lineRule="auto" w:before="45"/>
        <w:ind w:right="7008"/>
      </w:pPr>
      <w:r>
        <w:rPr/>
        <w:t>法定代表人：宁敏联系人：王炜哲</w:t>
      </w:r>
    </w:p>
    <w:p>
      <w:pPr>
        <w:pStyle w:val="BodyText"/>
        <w:spacing w:line="364" w:lineRule="auto"/>
        <w:ind w:right="5958"/>
      </w:pPr>
      <w:r>
        <w:rPr/>
        <w:t>客户服务电话：400-620-8888 传真：021-50372474</w:t>
      </w:r>
    </w:p>
    <w:p>
      <w:pPr>
        <w:pStyle w:val="BodyText"/>
        <w:spacing w:line="268" w:lineRule="exact"/>
      </w:pPr>
      <w:hyperlink r:id="rId94">
        <w:r>
          <w:rPr/>
          <w:t>网址：www.bocichina.com</w:t>
        </w:r>
      </w:hyperlink>
    </w:p>
    <w:p>
      <w:pPr>
        <w:pStyle w:val="ListParagraph"/>
        <w:numPr>
          <w:ilvl w:val="0"/>
          <w:numId w:val="45"/>
        </w:numPr>
        <w:tabs>
          <w:tab w:pos="1217" w:val="left" w:leader="none"/>
        </w:tabs>
        <w:spacing w:line="240" w:lineRule="auto" w:before="138" w:after="0"/>
        <w:ind w:left="1217" w:right="0" w:hanging="421"/>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758"/>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476" w:val="left" w:leader="none"/>
        </w:tabs>
        <w:spacing w:line="364" w:lineRule="auto"/>
        <w:ind w:right="5853"/>
      </w:pPr>
      <w:r>
        <w:rPr/>
        <w:t>联系人：程月艳</w:t>
        <w:tab/>
        <w:t>李盼盼 党</w:t>
      </w:r>
      <w:r>
        <w:rPr>
          <w:spacing w:val="-18"/>
        </w:rPr>
        <w:t>静</w:t>
      </w:r>
      <w:r>
        <w:rPr/>
        <w:t>联系电话：0371-69099882</w:t>
      </w:r>
    </w:p>
    <w:p>
      <w:pPr>
        <w:pStyle w:val="BodyText"/>
        <w:spacing w:line="364" w:lineRule="auto"/>
        <w:ind w:right="6693"/>
      </w:pPr>
      <w:r>
        <w:rPr/>
        <w:t>客户服务电话</w:t>
      </w:r>
      <w:r>
        <w:rPr>
          <w:spacing w:val="-3"/>
        </w:rPr>
        <w:t>：95377 </w:t>
      </w:r>
      <w:r>
        <w:rPr>
          <w:spacing w:val="-2"/>
        </w:rPr>
        <w:t>传真</w:t>
      </w:r>
      <w:r>
        <w:rPr>
          <w:spacing w:val="-1"/>
        </w:rPr>
        <w:t>：0371-65585899</w:t>
      </w:r>
    </w:p>
    <w:p>
      <w:pPr>
        <w:pStyle w:val="BodyText"/>
        <w:spacing w:line="268" w:lineRule="exact"/>
      </w:pPr>
      <w:hyperlink r:id="rId95">
        <w:r>
          <w:rPr/>
          <w:t>网址：www.ccnew.com</w:t>
        </w:r>
      </w:hyperlink>
    </w:p>
    <w:p>
      <w:pPr>
        <w:pStyle w:val="ListParagraph"/>
        <w:numPr>
          <w:ilvl w:val="0"/>
          <w:numId w:val="45"/>
        </w:numPr>
        <w:tabs>
          <w:tab w:pos="1217" w:val="left" w:leader="none"/>
        </w:tabs>
        <w:spacing w:line="240" w:lineRule="auto" w:before="138" w:after="0"/>
        <w:ind w:left="1217" w:right="0" w:hanging="421"/>
        <w:jc w:val="left"/>
        <w:rPr>
          <w:sz w:val="21"/>
        </w:rPr>
      </w:pPr>
      <w:r>
        <w:rPr>
          <w:sz w:val="21"/>
        </w:rPr>
        <w:t>百度百盈</w:t>
      </w:r>
    </w:p>
    <w:p>
      <w:pPr>
        <w:pStyle w:val="BodyText"/>
        <w:spacing w:line="364" w:lineRule="auto" w:before="139"/>
        <w:ind w:right="2493"/>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08"/>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96">
        <w:r>
          <w:rPr/>
          <w:t>网址：www.baiyingfund.com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1968"/>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39"/>
        <w:ind w:right="5958"/>
      </w:pPr>
      <w:r>
        <w:rPr/>
        <w:t>客户服务电话：400-820-2899 传真：021-20691861</w:t>
      </w:r>
    </w:p>
    <w:p>
      <w:pPr>
        <w:pStyle w:val="BodyText"/>
        <w:spacing w:line="268" w:lineRule="exact"/>
      </w:pPr>
      <w:hyperlink r:id="rId97">
        <w:r>
          <w:rPr/>
          <w:t>网址：www.erichfund.com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朝阳永续</w:t>
      </w:r>
    </w:p>
    <w:p>
      <w:pPr>
        <w:pStyle w:val="BodyText"/>
        <w:spacing w:line="364" w:lineRule="auto" w:before="139"/>
        <w:ind w:right="3858"/>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p>
    <w:p>
      <w:pPr>
        <w:spacing w:after="0" w:line="364" w:lineRule="auto"/>
        <w:sectPr>
          <w:pgSz w:w="11910" w:h="16840"/>
          <w:pgMar w:header="0" w:footer="1118" w:top="1380" w:bottom="1380" w:left="1420" w:right="1000"/>
        </w:sectPr>
      </w:pPr>
    </w:p>
    <w:p>
      <w:pPr>
        <w:pStyle w:val="BodyText"/>
        <w:spacing w:line="364" w:lineRule="auto" w:before="45"/>
        <w:ind w:right="7218"/>
      </w:pPr>
      <w:r>
        <w:rPr/>
        <w:t>法人代表：廖冰联系人：陆纪青</w:t>
      </w:r>
    </w:p>
    <w:p>
      <w:pPr>
        <w:pStyle w:val="BodyText"/>
        <w:spacing w:line="268" w:lineRule="exact"/>
      </w:pPr>
      <w:r>
        <w:rPr/>
        <w:t>联系电话：021-80234888-6813</w:t>
      </w:r>
    </w:p>
    <w:p>
      <w:pPr>
        <w:pStyle w:val="BodyText"/>
        <w:spacing w:line="364" w:lineRule="auto" w:before="139"/>
        <w:ind w:right="5958"/>
      </w:pPr>
      <w:r>
        <w:rPr/>
        <w:t>客户服务电话：400-699-1888 </w:t>
      </w:r>
      <w:hyperlink r:id="rId98">
        <w:r>
          <w:rPr/>
          <w:t>网址：www.998fund.com</w:t>
        </w:r>
      </w:hyperlink>
    </w:p>
    <w:p>
      <w:pPr>
        <w:pStyle w:val="ListParagraph"/>
        <w:numPr>
          <w:ilvl w:val="0"/>
          <w:numId w:val="45"/>
        </w:numPr>
        <w:tabs>
          <w:tab w:pos="1217" w:val="left" w:leader="none"/>
        </w:tabs>
        <w:spacing w:line="268" w:lineRule="exact" w:before="0" w:after="0"/>
        <w:ind w:left="1217" w:right="0" w:hanging="421"/>
        <w:jc w:val="left"/>
        <w:rPr>
          <w:sz w:val="21"/>
        </w:rPr>
      </w:pPr>
      <w:r>
        <w:rPr>
          <w:sz w:val="21"/>
        </w:rPr>
        <w:t>创金启富</w:t>
      </w:r>
    </w:p>
    <w:p>
      <w:pPr>
        <w:pStyle w:val="BodyText"/>
        <w:spacing w:line="364" w:lineRule="auto" w:before="140"/>
        <w:ind w:right="3438"/>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5958"/>
      </w:pPr>
      <w:r>
        <w:rPr/>
        <w:t>客户服务电话：400-6262-818 传真：010-63583991</w:t>
      </w:r>
    </w:p>
    <w:p>
      <w:pPr>
        <w:pStyle w:val="BodyText"/>
        <w:spacing w:line="268" w:lineRule="exact"/>
      </w:pPr>
      <w:hyperlink r:id="rId99">
        <w:r>
          <w:rPr/>
          <w:t>网址：www.5irich.com</w:t>
        </w:r>
      </w:hyperlink>
    </w:p>
    <w:p>
      <w:pPr>
        <w:pStyle w:val="ListParagraph"/>
        <w:numPr>
          <w:ilvl w:val="0"/>
          <w:numId w:val="45"/>
        </w:numPr>
        <w:tabs>
          <w:tab w:pos="1217" w:val="left" w:leader="none"/>
        </w:tabs>
        <w:spacing w:line="240" w:lineRule="auto" w:before="139" w:after="0"/>
        <w:ind w:left="1217" w:right="0" w:hanging="421"/>
        <w:jc w:val="both"/>
        <w:rPr>
          <w:sz w:val="21"/>
        </w:rPr>
      </w:pPr>
      <w:r>
        <w:rPr>
          <w:sz w:val="21"/>
        </w:rPr>
        <w:t>大智慧基金</w:t>
      </w:r>
    </w:p>
    <w:p>
      <w:pPr>
        <w:pStyle w:val="BodyText"/>
        <w:spacing w:line="364" w:lineRule="auto" w:before="140"/>
        <w:ind w:right="1863"/>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39"/>
        <w:ind w:right="5958"/>
      </w:pPr>
      <w:r>
        <w:rPr/>
        <w:t>客户服务电话：021-20292031 传真：021-20219923</w:t>
      </w:r>
    </w:p>
    <w:p>
      <w:pPr>
        <w:pStyle w:val="BodyText"/>
        <w:spacing w:line="268" w:lineRule="exact"/>
      </w:pPr>
      <w:hyperlink r:id="rId100">
        <w:r>
          <w:rPr/>
          <w:t>网址：https://www.wg.com.cn/</w:t>
        </w:r>
      </w:hyperlink>
    </w:p>
    <w:p>
      <w:pPr>
        <w:pStyle w:val="ListParagraph"/>
        <w:numPr>
          <w:ilvl w:val="0"/>
          <w:numId w:val="45"/>
        </w:numPr>
        <w:tabs>
          <w:tab w:pos="1217" w:val="left" w:leader="none"/>
        </w:tabs>
        <w:spacing w:line="240" w:lineRule="auto" w:before="140" w:after="0"/>
        <w:ind w:left="1217" w:right="0" w:hanging="421"/>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493"/>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before="140"/>
      </w:pPr>
      <w:r>
        <w:rPr/>
        <w:t>客户服务电话：4001599288</w:t>
      </w:r>
    </w:p>
    <w:p>
      <w:pPr>
        <w:pStyle w:val="BodyText"/>
        <w:spacing w:before="139"/>
      </w:pPr>
      <w:r>
        <w:rPr/>
        <w:t>网址：https://danjuanapp.com</w:t>
      </w:r>
    </w:p>
    <w:p>
      <w:pPr>
        <w:pStyle w:val="ListParagraph"/>
        <w:numPr>
          <w:ilvl w:val="0"/>
          <w:numId w:val="45"/>
        </w:numPr>
        <w:tabs>
          <w:tab w:pos="1217" w:val="left" w:leader="none"/>
        </w:tabs>
        <w:spacing w:line="240" w:lineRule="auto" w:before="140" w:after="0"/>
        <w:ind w:left="1217" w:right="0" w:hanging="421"/>
        <w:jc w:val="both"/>
        <w:rPr>
          <w:sz w:val="21"/>
        </w:rPr>
      </w:pPr>
      <w:r>
        <w:rPr>
          <w:sz w:val="21"/>
        </w:rPr>
        <w:t>富济基金</w:t>
      </w:r>
    </w:p>
    <w:p>
      <w:pPr>
        <w:pStyle w:val="BodyText"/>
        <w:spacing w:line="364" w:lineRule="auto" w:before="139"/>
        <w:ind w:right="1443"/>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1118" w:top="1380" w:bottom="1380" w:left="1420" w:right="1000"/>
        </w:sectPr>
      </w:pPr>
    </w:p>
    <w:p>
      <w:pPr>
        <w:pStyle w:val="BodyText"/>
        <w:spacing w:line="364" w:lineRule="auto" w:before="45"/>
        <w:ind w:right="6798"/>
      </w:pPr>
      <w:r>
        <w:rPr/>
        <w:t>法定代表人：祝中村联系人：曾瑶敏</w:t>
      </w:r>
    </w:p>
    <w:p>
      <w:pPr>
        <w:pStyle w:val="BodyText"/>
        <w:spacing w:line="268" w:lineRule="exact"/>
      </w:pPr>
      <w:r>
        <w:rPr/>
        <w:t>联系电话：0755-83999907</w:t>
      </w:r>
    </w:p>
    <w:p>
      <w:pPr>
        <w:pStyle w:val="BodyText"/>
        <w:spacing w:line="364" w:lineRule="auto" w:before="139"/>
        <w:ind w:right="5853"/>
      </w:pPr>
      <w:r>
        <w:rPr/>
        <w:t>客户服务电话：0755-83999907 传真：0755-83999926</w:t>
      </w:r>
    </w:p>
    <w:p>
      <w:pPr>
        <w:pStyle w:val="BodyText"/>
        <w:spacing w:line="268" w:lineRule="exact"/>
      </w:pPr>
      <w:hyperlink r:id="rId101">
        <w:r>
          <w:rPr/>
          <w:t>网址：www.fujifund.cn</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海银基金</w:t>
      </w:r>
    </w:p>
    <w:p>
      <w:pPr>
        <w:pStyle w:val="BodyText"/>
        <w:spacing w:line="364" w:lineRule="auto" w:before="139"/>
        <w:ind w:right="3018"/>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958"/>
      </w:pPr>
      <w:r>
        <w:rPr/>
        <w:t>客户服务电话：400-808-1016 传真：021-80133413</w:t>
      </w:r>
    </w:p>
    <w:p>
      <w:pPr>
        <w:pStyle w:val="BodyText"/>
        <w:spacing w:line="268" w:lineRule="exact"/>
      </w:pPr>
      <w:hyperlink r:id="rId102">
        <w:r>
          <w:rPr/>
          <w:t>网址：www.fundhaiyin.com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598"/>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958"/>
      </w:pPr>
      <w:r>
        <w:rPr/>
        <w:t>客户服务电话：400-700-9665 传真：021-68596919</w:t>
      </w:r>
    </w:p>
    <w:p>
      <w:pPr>
        <w:pStyle w:val="BodyText"/>
        <w:spacing w:line="268" w:lineRule="exact"/>
      </w:pPr>
      <w:hyperlink r:id="rId103">
        <w:r>
          <w:rPr/>
          <w:t>网址：www.ehowbuy.com</w:t>
        </w:r>
      </w:hyperlink>
    </w:p>
    <w:p>
      <w:pPr>
        <w:pStyle w:val="ListParagraph"/>
        <w:numPr>
          <w:ilvl w:val="0"/>
          <w:numId w:val="45"/>
        </w:numPr>
        <w:tabs>
          <w:tab w:pos="1217" w:val="left" w:leader="none"/>
        </w:tabs>
        <w:spacing w:line="240" w:lineRule="auto" w:before="140" w:after="0"/>
        <w:ind w:left="1217" w:right="0" w:hanging="421"/>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3648"/>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5958"/>
      </w:pPr>
      <w:r>
        <w:rPr/>
        <w:t>客户服务电话：400-920-0022 传真：010-65884788</w:t>
      </w:r>
    </w:p>
    <w:p>
      <w:pPr>
        <w:pStyle w:val="BodyText"/>
        <w:spacing w:line="268" w:lineRule="exact"/>
      </w:pPr>
      <w:hyperlink r:id="rId104">
        <w:r>
          <w:rPr/>
          <w:t>网址：http://licaike.hexun.com/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恒天明泽</w:t>
      </w:r>
    </w:p>
    <w:p>
      <w:pPr>
        <w:spacing w:after="0" w:line="240" w:lineRule="auto"/>
        <w:jc w:val="left"/>
        <w:rPr>
          <w:sz w:val="21"/>
        </w:rPr>
        <w:sectPr>
          <w:pgSz w:w="11910" w:h="16840"/>
          <w:pgMar w:header="0" w:footer="1118" w:top="1380" w:bottom="1380" w:left="1420" w:right="1000"/>
        </w:sectPr>
      </w:pPr>
    </w:p>
    <w:p>
      <w:pPr>
        <w:pStyle w:val="BodyText"/>
        <w:spacing w:before="45"/>
      </w:pPr>
      <w:r>
        <w:rPr/>
        <w:t>注册地址：北京市经济技术开发区宏达北路 10 号五层 5122 室</w:t>
      </w:r>
    </w:p>
    <w:p>
      <w:pPr>
        <w:pStyle w:val="BodyText"/>
        <w:spacing w:line="364" w:lineRule="auto" w:before="139"/>
        <w:ind w:right="1968"/>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168"/>
      </w:pPr>
      <w:r>
        <w:rPr>
          <w:spacing w:val="-1"/>
        </w:rPr>
        <w:t>客户服务电话</w:t>
      </w:r>
      <w:r>
        <w:rPr/>
        <w:t>：4008980618 传真：010-59313586</w:t>
      </w:r>
    </w:p>
    <w:p>
      <w:pPr>
        <w:pStyle w:val="BodyText"/>
        <w:spacing w:line="268" w:lineRule="exact"/>
      </w:pPr>
      <w:hyperlink r:id="rId105">
        <w:r>
          <w:rPr/>
          <w:t>网址：www.chtwm.com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333"/>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39"/>
        <w:ind w:right="5958"/>
      </w:pPr>
      <w:r>
        <w:rPr/>
        <w:t>客户服务电话</w:t>
      </w:r>
      <w:r>
        <w:rPr>
          <w:spacing w:val="-2"/>
        </w:rPr>
        <w:t>：400-828-1288 </w:t>
      </w:r>
      <w:hyperlink r:id="rId106">
        <w:r>
          <w:rPr/>
          <w:t>网址：www.ftol.com.cn</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7008"/>
      </w:pPr>
      <w:r>
        <w:rPr/>
        <w:t>法定代表人：何静联系人：牛亚楠</w:t>
      </w:r>
    </w:p>
    <w:p>
      <w:pPr>
        <w:pStyle w:val="BodyText"/>
        <w:spacing w:line="268" w:lineRule="exact"/>
      </w:pPr>
      <w:r>
        <w:rPr/>
        <w:t>联系电话：010-65951887</w:t>
      </w:r>
    </w:p>
    <w:p>
      <w:pPr>
        <w:pStyle w:val="BodyText"/>
        <w:spacing w:line="364" w:lineRule="auto" w:before="139"/>
        <w:ind w:right="5958"/>
      </w:pPr>
      <w:r>
        <w:rPr/>
        <w:t>客户服务电话</w:t>
      </w:r>
      <w:r>
        <w:rPr>
          <w:spacing w:val="-2"/>
        </w:rPr>
        <w:t>：400-618-0707 </w:t>
      </w:r>
      <w:hyperlink r:id="rId107">
        <w:r>
          <w:rPr>
            <w:spacing w:val="-1"/>
          </w:rPr>
          <w:t>网址：www.hongdianfund.com</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华夏财富</w:t>
      </w:r>
    </w:p>
    <w:p>
      <w:pPr>
        <w:pStyle w:val="BodyText"/>
        <w:spacing w:line="364" w:lineRule="auto" w:before="140"/>
        <w:ind w:right="3333"/>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40"/>
        <w:ind w:right="5958"/>
      </w:pPr>
      <w:r>
        <w:rPr/>
        <w:t>客户服务电话：400-817-5666 传真：010-63136184</w:t>
      </w:r>
    </w:p>
    <w:p>
      <w:pPr>
        <w:pStyle w:val="BodyText"/>
        <w:spacing w:line="268" w:lineRule="exact"/>
      </w:pPr>
      <w:hyperlink r:id="rId108">
        <w:r>
          <w:rPr/>
          <w:t>网址：www.amcfortune.com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汇成基金</w:t>
      </w:r>
    </w:p>
    <w:p>
      <w:pPr>
        <w:spacing w:after="0" w:line="240" w:lineRule="auto"/>
        <w:jc w:val="left"/>
        <w:rPr>
          <w:sz w:val="21"/>
        </w:rPr>
        <w:sectPr>
          <w:pgSz w:w="11910" w:h="16840"/>
          <w:pgMar w:header="0" w:footer="1118" w:top="1380" w:bottom="1380" w:left="1420" w:right="1000"/>
        </w:sectPr>
      </w:pPr>
    </w:p>
    <w:p>
      <w:pPr>
        <w:pStyle w:val="BodyText"/>
        <w:spacing w:before="45"/>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798"/>
      </w:pPr>
      <w:r>
        <w:rPr/>
        <w:t>法定代表人：王伟刚联系人：王骁骁</w:t>
      </w:r>
    </w:p>
    <w:p>
      <w:pPr>
        <w:pStyle w:val="BodyText"/>
        <w:spacing w:line="268" w:lineRule="exact"/>
      </w:pPr>
      <w:r>
        <w:rPr/>
        <w:t>联系电话：010-56251471</w:t>
      </w:r>
    </w:p>
    <w:p>
      <w:pPr>
        <w:pStyle w:val="BodyText"/>
        <w:spacing w:line="364" w:lineRule="auto" w:before="139"/>
        <w:ind w:right="5958"/>
      </w:pPr>
      <w:r>
        <w:rPr/>
        <w:t>客户服务电话</w:t>
      </w:r>
      <w:r>
        <w:rPr>
          <w:spacing w:val="-2"/>
        </w:rPr>
        <w:t>：400-619-9059 </w:t>
      </w:r>
      <w:hyperlink r:id="rId109">
        <w:r>
          <w:rPr/>
          <w:t>网址：www.hcjijin.com</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918"/>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958"/>
      </w:pPr>
      <w:r>
        <w:rPr/>
        <w:t>客户服务电话：021-34013999 传真：021-33323837</w:t>
      </w:r>
    </w:p>
    <w:p>
      <w:pPr>
        <w:pStyle w:val="BodyText"/>
        <w:spacing w:line="268" w:lineRule="exact"/>
      </w:pPr>
      <w:hyperlink r:id="rId110">
        <w:r>
          <w:rPr/>
          <w:t>网址：www.hotjijin.com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嘉实财富</w:t>
      </w:r>
    </w:p>
    <w:p>
      <w:pPr>
        <w:pStyle w:val="BodyText"/>
        <w:spacing w:line="364" w:lineRule="auto" w:before="140"/>
        <w:ind w:left="376" w:right="847" w:firstLine="420"/>
      </w:pPr>
      <w:r>
        <w:rPr>
          <w:spacing w:val="-6"/>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543"/>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5958"/>
      </w:pPr>
      <w:r>
        <w:rPr/>
        <w:t>客户服务电话：400-021-8850 传真：010-85712195</w:t>
      </w:r>
    </w:p>
    <w:p>
      <w:pPr>
        <w:pStyle w:val="BodyText"/>
        <w:spacing w:line="268" w:lineRule="exact"/>
      </w:pPr>
      <w:hyperlink r:id="rId111">
        <w:r>
          <w:rPr/>
          <w:t>网址：www.harvestwm.cn</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808"/>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958"/>
      </w:pPr>
      <w:r>
        <w:rPr/>
        <w:t>客户服务电话：400-102-1813 传真：021-68682297</w:t>
      </w:r>
    </w:p>
    <w:p>
      <w:pPr>
        <w:spacing w:after="0" w:line="364" w:lineRule="auto"/>
        <w:sectPr>
          <w:pgSz w:w="11910" w:h="16840"/>
          <w:pgMar w:header="0" w:footer="1118" w:top="1380" w:bottom="1380" w:left="1420" w:right="1000"/>
        </w:sectPr>
      </w:pPr>
    </w:p>
    <w:p>
      <w:pPr>
        <w:pStyle w:val="BodyText"/>
        <w:spacing w:before="45"/>
      </w:pPr>
      <w:hyperlink r:id="rId112">
        <w:r>
          <w:rPr/>
          <w:t>网址：www.jfcta.com</w:t>
        </w:r>
      </w:hyperlink>
    </w:p>
    <w:p>
      <w:pPr>
        <w:pStyle w:val="ListParagraph"/>
        <w:numPr>
          <w:ilvl w:val="0"/>
          <w:numId w:val="45"/>
        </w:numPr>
        <w:tabs>
          <w:tab w:pos="1322" w:val="left" w:leader="none"/>
        </w:tabs>
        <w:spacing w:line="240" w:lineRule="auto" w:before="139" w:after="0"/>
        <w:ind w:left="1322" w:right="0" w:hanging="526"/>
        <w:jc w:val="both"/>
        <w:rPr>
          <w:sz w:val="21"/>
        </w:rPr>
      </w:pPr>
      <w:r>
        <w:rPr>
          <w:sz w:val="21"/>
        </w:rPr>
        <w:t>凯石财富</w:t>
      </w:r>
    </w:p>
    <w:p>
      <w:pPr>
        <w:pStyle w:val="BodyText"/>
        <w:spacing w:line="364" w:lineRule="auto" w:before="140"/>
        <w:ind w:right="3858"/>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958"/>
      </w:pPr>
      <w:r>
        <w:rPr/>
        <w:t>客户服务电话：4006-433-389 传真：021-63333390</w:t>
      </w:r>
    </w:p>
    <w:p>
      <w:pPr>
        <w:pStyle w:val="BodyText"/>
        <w:spacing w:line="268" w:lineRule="exact"/>
      </w:pPr>
      <w:hyperlink r:id="rId113">
        <w:r>
          <w:rPr/>
          <w:t>网址：www.vstonewealth.com</w:t>
        </w:r>
      </w:hyperlink>
    </w:p>
    <w:p>
      <w:pPr>
        <w:pStyle w:val="ListParagraph"/>
        <w:numPr>
          <w:ilvl w:val="0"/>
          <w:numId w:val="45"/>
        </w:numPr>
        <w:tabs>
          <w:tab w:pos="1322" w:val="left" w:leader="none"/>
        </w:tabs>
        <w:spacing w:line="240" w:lineRule="auto" w:before="139" w:after="0"/>
        <w:ind w:left="1322" w:right="0" w:hanging="526"/>
        <w:jc w:val="both"/>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338"/>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114">
        <w:r>
          <w:rPr/>
          <w:t>网址：http://fund.jd.com/</w:t>
        </w:r>
      </w:hyperlink>
    </w:p>
    <w:p>
      <w:pPr>
        <w:pStyle w:val="ListParagraph"/>
        <w:numPr>
          <w:ilvl w:val="0"/>
          <w:numId w:val="45"/>
        </w:numPr>
        <w:tabs>
          <w:tab w:pos="1322" w:val="left" w:leader="none"/>
        </w:tabs>
        <w:spacing w:line="240" w:lineRule="auto" w:before="140" w:after="0"/>
        <w:ind w:left="1322" w:right="0" w:hanging="526"/>
        <w:jc w:val="both"/>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598"/>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588"/>
      </w:pPr>
      <w:r>
        <w:rPr/>
        <w:t>客户服务电话：95733 传真：86-21-61101630</w:t>
      </w:r>
    </w:p>
    <w:p>
      <w:pPr>
        <w:pStyle w:val="BodyText"/>
        <w:spacing w:line="268" w:lineRule="exact"/>
      </w:pPr>
      <w:hyperlink r:id="rId115">
        <w:r>
          <w:rPr/>
          <w:t>网址：www.leadfund.com.cn</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联泰基金</w:t>
      </w:r>
    </w:p>
    <w:p>
      <w:pPr>
        <w:pStyle w:val="BodyText"/>
        <w:spacing w:line="364" w:lineRule="auto" w:before="139"/>
        <w:ind w:right="2388"/>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798"/>
      </w:pPr>
      <w:r>
        <w:rPr/>
        <w:t>法定代表人：尹彬彬联系人：陈东</w:t>
      </w:r>
    </w:p>
    <w:p>
      <w:pPr>
        <w:pStyle w:val="BodyText"/>
        <w:spacing w:line="268" w:lineRule="exact"/>
      </w:pPr>
      <w:r>
        <w:rPr/>
        <w:t>联系电话：021-52822063</w:t>
      </w:r>
    </w:p>
    <w:p>
      <w:pPr>
        <w:pStyle w:val="BodyText"/>
        <w:spacing w:before="139"/>
      </w:pPr>
      <w:r>
        <w:rPr/>
        <w:t>客户服务电话：400-118-1188</w:t>
      </w:r>
    </w:p>
    <w:p>
      <w:pPr>
        <w:spacing w:after="0"/>
        <w:sectPr>
          <w:pgSz w:w="11910" w:h="16840"/>
          <w:pgMar w:header="0" w:footer="1118" w:top="1380" w:bottom="1380" w:left="1420" w:right="1000"/>
        </w:sectPr>
      </w:pPr>
    </w:p>
    <w:p>
      <w:pPr>
        <w:pStyle w:val="BodyText"/>
        <w:spacing w:before="45"/>
      </w:pPr>
      <w:r>
        <w:rPr/>
        <w:t>传真：021-52975270</w:t>
      </w:r>
    </w:p>
    <w:p>
      <w:pPr>
        <w:pStyle w:val="BodyText"/>
        <w:spacing w:before="139"/>
      </w:pPr>
      <w:hyperlink r:id="rId116">
        <w:r>
          <w:rPr/>
          <w:t>网址：www.66zichan.com</w:t>
        </w:r>
      </w:hyperlink>
    </w:p>
    <w:p>
      <w:pPr>
        <w:pStyle w:val="ListParagraph"/>
        <w:numPr>
          <w:ilvl w:val="0"/>
          <w:numId w:val="45"/>
        </w:numPr>
        <w:tabs>
          <w:tab w:pos="1322" w:val="left" w:leader="none"/>
        </w:tabs>
        <w:spacing w:line="240" w:lineRule="auto" w:before="140" w:after="0"/>
        <w:ind w:left="1322" w:right="0" w:hanging="526"/>
        <w:jc w:val="both"/>
        <w:rPr>
          <w:sz w:val="21"/>
        </w:rPr>
      </w:pPr>
      <w:r>
        <w:rPr>
          <w:sz w:val="21"/>
        </w:rPr>
        <w:t>陆基金</w:t>
      </w:r>
    </w:p>
    <w:p>
      <w:pPr>
        <w:pStyle w:val="BodyText"/>
        <w:spacing w:line="364" w:lineRule="auto" w:before="139"/>
        <w:ind w:right="1863"/>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168"/>
      </w:pPr>
      <w:r>
        <w:rPr/>
        <w:t>客户服务电话：4008219031 传真：021-22066653</w:t>
      </w:r>
    </w:p>
    <w:p>
      <w:pPr>
        <w:pStyle w:val="BodyText"/>
        <w:spacing w:line="268" w:lineRule="exact"/>
      </w:pPr>
      <w:hyperlink r:id="rId117">
        <w:r>
          <w:rPr/>
          <w:t>网址：www.lufunds.com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蚂蚁基金</w:t>
      </w:r>
    </w:p>
    <w:p>
      <w:pPr>
        <w:pStyle w:val="BodyText"/>
        <w:spacing w:line="364" w:lineRule="auto" w:before="139"/>
        <w:ind w:right="1968"/>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798"/>
      </w:pPr>
      <w:r>
        <w:rPr/>
        <w:t>法定代表人：祖国明联系人：韩爱彬</w:t>
      </w:r>
    </w:p>
    <w:p>
      <w:pPr>
        <w:pStyle w:val="BodyText"/>
        <w:spacing w:line="268" w:lineRule="exact"/>
      </w:pPr>
      <w:r>
        <w:rPr/>
        <w:t>联系电话：0571-26888888</w:t>
      </w:r>
    </w:p>
    <w:p>
      <w:pPr>
        <w:pStyle w:val="BodyText"/>
        <w:spacing w:line="364" w:lineRule="auto" w:before="139"/>
        <w:ind w:right="5748"/>
      </w:pPr>
      <w:r>
        <w:rPr/>
        <w:t>客户服务电话：4000-766-123 </w:t>
      </w:r>
      <w:hyperlink r:id="rId118">
        <w:r>
          <w:rPr>
            <w:spacing w:val="-1"/>
          </w:rPr>
          <w:t>网址</w:t>
        </w:r>
        <w:r>
          <w:rPr/>
          <w:t>：http://www.fund123.cn/</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民商基金</w:t>
      </w:r>
    </w:p>
    <w:p>
      <w:pPr>
        <w:pStyle w:val="BodyText"/>
        <w:spacing w:line="364" w:lineRule="auto" w:before="139"/>
        <w:ind w:right="2859"/>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5958"/>
      </w:pPr>
      <w:r>
        <w:rPr/>
        <w:t>客户服务电话：021-50206003 传真：021-50206001</w:t>
      </w:r>
    </w:p>
    <w:p>
      <w:pPr>
        <w:pStyle w:val="BodyText"/>
        <w:spacing w:line="268" w:lineRule="exact"/>
      </w:pPr>
      <w:hyperlink r:id="rId119">
        <w:r>
          <w:rPr/>
          <w:t>网址：http://www.msftec.com/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诺亚正行</w:t>
      </w:r>
    </w:p>
    <w:p>
      <w:pPr>
        <w:pStyle w:val="BodyText"/>
        <w:spacing w:line="364" w:lineRule="auto" w:before="140"/>
        <w:ind w:right="3753"/>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pPr>
      <w:r>
        <w:rPr/>
        <w:t>联系人：李娟</w:t>
      </w:r>
    </w:p>
    <w:p>
      <w:pPr>
        <w:pStyle w:val="BodyText"/>
        <w:spacing w:before="139"/>
      </w:pPr>
      <w:r>
        <w:rPr/>
        <w:t>联系电话：021-80358523</w:t>
      </w:r>
    </w:p>
    <w:p>
      <w:pPr>
        <w:spacing w:after="0"/>
        <w:sectPr>
          <w:pgSz w:w="11910" w:h="16840"/>
          <w:pgMar w:header="0" w:footer="1118" w:top="1380" w:bottom="1380" w:left="1420" w:right="1000"/>
        </w:sectPr>
      </w:pPr>
    </w:p>
    <w:p>
      <w:pPr>
        <w:pStyle w:val="BodyText"/>
        <w:spacing w:line="364" w:lineRule="auto" w:before="45"/>
        <w:ind w:right="5958"/>
      </w:pPr>
      <w:r>
        <w:rPr/>
        <w:t>客户服务电话：400-821-5399 传真：021-38509777</w:t>
      </w:r>
    </w:p>
    <w:p>
      <w:pPr>
        <w:pStyle w:val="BodyText"/>
        <w:spacing w:line="268" w:lineRule="exact"/>
      </w:pPr>
      <w:hyperlink r:id="rId120">
        <w:r>
          <w:rPr/>
          <w:t>网址：www.noah-fund.com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浦领基金</w:t>
      </w:r>
    </w:p>
    <w:p>
      <w:pPr>
        <w:pStyle w:val="BodyText"/>
        <w:spacing w:line="364" w:lineRule="auto" w:before="140"/>
        <w:ind w:right="2913"/>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798"/>
      </w:pPr>
      <w:r>
        <w:rPr/>
        <w:t>法定代表人：聂婉君联系人：李艳</w:t>
      </w:r>
    </w:p>
    <w:p>
      <w:pPr>
        <w:pStyle w:val="BodyText"/>
        <w:spacing w:line="268" w:lineRule="exact"/>
      </w:pPr>
      <w:r>
        <w:rPr/>
        <w:t>联系电话：010-59497361</w:t>
      </w:r>
    </w:p>
    <w:p>
      <w:pPr>
        <w:pStyle w:val="BodyText"/>
        <w:spacing w:line="364" w:lineRule="auto" w:before="138"/>
        <w:ind w:right="5958"/>
      </w:pPr>
      <w:r>
        <w:rPr/>
        <w:t>客户服务电话：400-012-5899 传真：010-64788016</w:t>
      </w:r>
    </w:p>
    <w:p>
      <w:pPr>
        <w:pStyle w:val="BodyText"/>
        <w:spacing w:line="268" w:lineRule="exact"/>
      </w:pPr>
      <w:hyperlink r:id="rId121">
        <w:r>
          <w:rPr/>
          <w:t>网址：www.zscffund.com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钱景基金</w:t>
      </w:r>
    </w:p>
    <w:p>
      <w:pPr>
        <w:pStyle w:val="BodyText"/>
        <w:spacing w:line="364" w:lineRule="auto" w:before="139"/>
        <w:ind w:right="2859"/>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联系电话：010-62565181</w:t>
      </w:r>
    </w:p>
    <w:p>
      <w:pPr>
        <w:pStyle w:val="BodyText"/>
        <w:spacing w:line="364" w:lineRule="auto" w:before="139"/>
        <w:ind w:right="5958"/>
      </w:pPr>
      <w:r>
        <w:rPr/>
        <w:t>客户服务电话：400-893-6885 传真：010-57569671</w:t>
      </w:r>
    </w:p>
    <w:p>
      <w:pPr>
        <w:pStyle w:val="BodyText"/>
        <w:spacing w:line="268" w:lineRule="exact"/>
      </w:pPr>
      <w:hyperlink r:id="rId122">
        <w:r>
          <w:rPr/>
          <w:t>网址：www.qianjing.com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39"/>
        <w:ind w:right="2913"/>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5958"/>
      </w:pPr>
      <w:r>
        <w:rPr/>
        <w:t>客户服务电话：400-166-1188 传真：010-83363010</w:t>
      </w:r>
    </w:p>
    <w:p>
      <w:pPr>
        <w:pStyle w:val="BodyText"/>
        <w:spacing w:line="268" w:lineRule="exact"/>
      </w:pPr>
      <w:hyperlink r:id="rId123">
        <w:r>
          <w:rPr/>
          <w:t>网址：http://8.jrj.com.cn</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753"/>
      </w:pPr>
      <w:r>
        <w:rPr>
          <w:spacing w:val="-4"/>
        </w:rPr>
        <w:t>办公地址：上海市徐汇区宛平南路 </w:t>
      </w:r>
      <w:r>
        <w:rPr/>
        <w:t>88</w:t>
      </w:r>
      <w:r>
        <w:rPr>
          <w:spacing w:val="-10"/>
        </w:rPr>
        <w:t> 号东方财富大厦</w:t>
      </w:r>
      <w:r>
        <w:rPr/>
        <w:t>法定代表人：其实</w:t>
      </w:r>
    </w:p>
    <w:p>
      <w:pPr>
        <w:spacing w:after="0" w:line="364" w:lineRule="auto"/>
        <w:sectPr>
          <w:pgSz w:w="11910" w:h="16840"/>
          <w:pgMar w:header="0" w:footer="1118" w:top="1380" w:bottom="1380" w:left="1420" w:right="1000"/>
        </w:sectPr>
      </w:pPr>
    </w:p>
    <w:p>
      <w:pPr>
        <w:pStyle w:val="BodyText"/>
        <w:spacing w:before="45"/>
      </w:pPr>
      <w:r>
        <w:rPr/>
        <w:t>联系人：屠彦洋</w:t>
      </w:r>
    </w:p>
    <w:p>
      <w:pPr>
        <w:pStyle w:val="BodyText"/>
        <w:spacing w:before="139"/>
      </w:pPr>
      <w:r>
        <w:rPr/>
        <w:t>联系电话：021-54509977</w:t>
      </w:r>
    </w:p>
    <w:p>
      <w:pPr>
        <w:pStyle w:val="BodyText"/>
        <w:spacing w:line="364" w:lineRule="auto" w:before="140"/>
        <w:ind w:right="6693"/>
      </w:pPr>
      <w:r>
        <w:rPr/>
        <w:t>客户服务电话：95021 传真：021-64385308</w:t>
      </w:r>
    </w:p>
    <w:p>
      <w:pPr>
        <w:pStyle w:val="BodyText"/>
        <w:spacing w:line="268" w:lineRule="exact"/>
      </w:pPr>
      <w:hyperlink r:id="rId124">
        <w:r>
          <w:rPr/>
          <w:t>网址：www.1234567.com.cn</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333"/>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378"/>
      </w:pPr>
      <w:r>
        <w:rPr/>
        <w:t>联系人：杨涛、庄洁茹 联系电话</w:t>
      </w:r>
      <w:r>
        <w:rPr>
          <w:spacing w:val="-2"/>
        </w:rPr>
        <w:t>：021-60810586</w:t>
      </w:r>
    </w:p>
    <w:p>
      <w:pPr>
        <w:pStyle w:val="BodyText"/>
        <w:spacing w:line="364" w:lineRule="auto"/>
        <w:ind w:right="5958"/>
      </w:pPr>
      <w:r>
        <w:rPr/>
        <w:t>客户服务电话：400-101-9301 传真：021-60810695</w:t>
      </w:r>
    </w:p>
    <w:p>
      <w:pPr>
        <w:pStyle w:val="BodyText"/>
        <w:spacing w:line="268" w:lineRule="exact"/>
      </w:pPr>
      <w:hyperlink r:id="rId125">
        <w:r>
          <w:rPr/>
          <w:t>网址：www.tonghuafund.com</w:t>
        </w:r>
      </w:hyperlink>
    </w:p>
    <w:p>
      <w:pPr>
        <w:pStyle w:val="ListParagraph"/>
        <w:numPr>
          <w:ilvl w:val="0"/>
          <w:numId w:val="45"/>
        </w:numPr>
        <w:tabs>
          <w:tab w:pos="1322" w:val="left" w:leader="none"/>
        </w:tabs>
        <w:spacing w:line="240" w:lineRule="auto" w:before="138" w:after="0"/>
        <w:ind w:left="1322" w:right="0" w:hanging="526"/>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913"/>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39"/>
        <w:ind w:right="6588"/>
      </w:pPr>
      <w:r>
        <w:rPr/>
        <w:t>客户服务电话</w:t>
      </w:r>
      <w:r>
        <w:rPr>
          <w:spacing w:val="-3"/>
        </w:rPr>
        <w:t>：952555 </w:t>
      </w:r>
      <w:r>
        <w:rPr/>
        <w:t>传真：0571-86800423</w:t>
      </w:r>
    </w:p>
    <w:p>
      <w:pPr>
        <w:pStyle w:val="BodyText"/>
        <w:spacing w:line="268" w:lineRule="exact"/>
      </w:pPr>
      <w:hyperlink r:id="rId126">
        <w:r>
          <w:rPr/>
          <w:t>网址：www.5ifund.com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万得基金</w:t>
      </w:r>
    </w:p>
    <w:p>
      <w:pPr>
        <w:pStyle w:val="BodyText"/>
        <w:spacing w:line="364" w:lineRule="auto" w:before="139"/>
        <w:ind w:right="2808"/>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08"/>
      </w:pPr>
      <w:r>
        <w:rPr/>
        <w:t>法定代表人：黄祎联系人：徐亚丹</w:t>
      </w:r>
    </w:p>
    <w:p>
      <w:pPr>
        <w:pStyle w:val="BodyText"/>
        <w:spacing w:line="268" w:lineRule="exact"/>
      </w:pPr>
      <w:r>
        <w:rPr/>
        <w:t>联系电话：021-50712782</w:t>
      </w:r>
    </w:p>
    <w:p>
      <w:pPr>
        <w:pStyle w:val="BodyText"/>
        <w:spacing w:line="364" w:lineRule="auto" w:before="139"/>
        <w:ind w:right="5958"/>
      </w:pPr>
      <w:r>
        <w:rPr/>
        <w:t>客户服务电话：400-799-1888 </w:t>
      </w:r>
      <w:hyperlink r:id="rId127">
        <w:r>
          <w:rPr/>
          <w:t>网址：www.520fund.com.cn</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万家财富</w:t>
      </w:r>
    </w:p>
    <w:p>
      <w:pPr>
        <w:pStyle w:val="BodyText"/>
        <w:spacing w:line="364" w:lineRule="auto" w:before="139"/>
        <w:ind w:right="918"/>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spacing w:after="0" w:line="364" w:lineRule="auto"/>
        <w:sectPr>
          <w:pgSz w:w="11910" w:h="16840"/>
          <w:pgMar w:header="0" w:footer="1118" w:top="1380" w:bottom="1380" w:left="1420" w:right="1000"/>
        </w:sectPr>
      </w:pPr>
    </w:p>
    <w:p>
      <w:pPr>
        <w:pStyle w:val="BodyText"/>
        <w:spacing w:line="364" w:lineRule="auto" w:before="45"/>
        <w:ind w:right="7008"/>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40"/>
      </w:pPr>
      <w:hyperlink r:id="rId128">
        <w:r>
          <w:rPr/>
          <w:t>网址：http://www.wanjiawealth.com/</w:t>
        </w:r>
      </w:hyperlink>
    </w:p>
    <w:p>
      <w:pPr>
        <w:pStyle w:val="ListParagraph"/>
        <w:numPr>
          <w:ilvl w:val="0"/>
          <w:numId w:val="45"/>
        </w:numPr>
        <w:tabs>
          <w:tab w:pos="1322" w:val="left" w:leader="none"/>
        </w:tabs>
        <w:spacing w:line="240" w:lineRule="auto" w:before="139" w:after="0"/>
        <w:ind w:left="1322" w:right="0" w:hanging="526"/>
        <w:jc w:val="both"/>
        <w:rPr>
          <w:sz w:val="21"/>
        </w:rPr>
      </w:pPr>
      <w:r>
        <w:rPr>
          <w:sz w:val="21"/>
        </w:rPr>
        <w:t>鑫鼎盛</w:t>
      </w:r>
    </w:p>
    <w:p>
      <w:pPr>
        <w:pStyle w:val="BodyText"/>
        <w:spacing w:line="364" w:lineRule="auto" w:before="140"/>
        <w:ind w:right="2388"/>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958"/>
      </w:pPr>
      <w:r>
        <w:rPr/>
        <w:t>客户服务电话：400-6533-789 </w:t>
      </w:r>
      <w:hyperlink r:id="rId129">
        <w:r>
          <w:rPr/>
          <w:t>网址：www.xds.com.cn</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39"/>
        <w:ind w:right="2493"/>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5958"/>
      </w:pPr>
      <w:r>
        <w:rPr/>
        <w:t>客户服务电话：400-001-1566 传真：010-88312099</w:t>
      </w:r>
    </w:p>
    <w:p>
      <w:pPr>
        <w:pStyle w:val="BodyText"/>
        <w:spacing w:line="268" w:lineRule="exact"/>
      </w:pPr>
      <w:hyperlink r:id="rId130">
        <w:r>
          <w:rPr/>
          <w:t>网址：www.yilucaifu.com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宜投基金销售</w:t>
      </w:r>
    </w:p>
    <w:p>
      <w:pPr>
        <w:pStyle w:val="BodyText"/>
        <w:spacing w:line="364" w:lineRule="auto" w:before="139"/>
        <w:ind w:left="376" w:right="79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173"/>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5958"/>
      </w:pPr>
      <w:r>
        <w:rPr/>
        <w:t>客户服务电话：4008-955-811 </w:t>
      </w:r>
      <w:hyperlink r:id="rId131">
        <w:r>
          <w:rPr/>
          <w:t>网址：www.yitfund.com</w:t>
        </w:r>
      </w:hyperlink>
    </w:p>
    <w:p>
      <w:pPr>
        <w:pStyle w:val="ListParagraph"/>
        <w:numPr>
          <w:ilvl w:val="0"/>
          <w:numId w:val="45"/>
        </w:numPr>
        <w:tabs>
          <w:tab w:pos="1322" w:val="left" w:leader="none"/>
        </w:tabs>
        <w:spacing w:line="268" w:lineRule="exact" w:before="0" w:after="0"/>
        <w:ind w:left="1322" w:right="0" w:hanging="526"/>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spacing w:after="0"/>
        <w:sectPr>
          <w:pgSz w:w="11910" w:h="16840"/>
          <w:pgMar w:header="0" w:footer="1118" w:top="1380" w:bottom="1380" w:left="1420" w:right="1000"/>
        </w:sectPr>
      </w:pPr>
    </w:p>
    <w:p>
      <w:pPr>
        <w:pStyle w:val="BodyText"/>
        <w:spacing w:line="364" w:lineRule="auto" w:before="45"/>
        <w:ind w:right="7008"/>
      </w:pPr>
      <w:r>
        <w:rPr/>
        <w:t>法定代表人：戎兵联系人：魏晨</w:t>
      </w:r>
    </w:p>
    <w:p>
      <w:pPr>
        <w:pStyle w:val="BodyText"/>
        <w:spacing w:line="268" w:lineRule="exact"/>
      </w:pPr>
      <w:r>
        <w:rPr/>
        <w:t>联系电话：010-52413385</w:t>
      </w:r>
    </w:p>
    <w:p>
      <w:pPr>
        <w:pStyle w:val="BodyText"/>
        <w:spacing w:line="364" w:lineRule="auto" w:before="139"/>
        <w:ind w:right="5958"/>
      </w:pPr>
      <w:r>
        <w:rPr/>
        <w:t>客户服务电话：400-6099-200 传真：010-85800047</w:t>
      </w:r>
    </w:p>
    <w:p>
      <w:pPr>
        <w:pStyle w:val="BodyText"/>
        <w:spacing w:line="268" w:lineRule="exact"/>
      </w:pPr>
      <w:hyperlink r:id="rId132">
        <w:r>
          <w:rPr/>
          <w:t>网址：www.yixinfund.com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奕丰金融</w:t>
      </w:r>
    </w:p>
    <w:p>
      <w:pPr>
        <w:pStyle w:val="BodyText"/>
        <w:spacing w:line="364" w:lineRule="auto" w:before="139"/>
        <w:ind w:left="376" w:right="79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598"/>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958"/>
      </w:pPr>
      <w:r>
        <w:rPr/>
        <w:t>客户服务电话：400-684-0500 传真：0755-21674453</w:t>
      </w:r>
    </w:p>
    <w:p>
      <w:pPr>
        <w:pStyle w:val="BodyText"/>
        <w:spacing w:line="268" w:lineRule="exact"/>
      </w:pPr>
      <w:hyperlink r:id="rId133">
        <w:r>
          <w:rPr/>
          <w:t>网址：www.ifastps.com.cn</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1758"/>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5958"/>
      </w:pPr>
      <w:r>
        <w:rPr/>
        <w:t>客户服务电话</w:t>
      </w:r>
      <w:r>
        <w:rPr>
          <w:spacing w:val="-2"/>
        </w:rPr>
        <w:t>：020-89629066 </w:t>
      </w:r>
      <w:r>
        <w:rPr/>
        <w:t>传真：020-89629011</w:t>
      </w:r>
    </w:p>
    <w:p>
      <w:pPr>
        <w:pStyle w:val="BodyText"/>
        <w:spacing w:line="268" w:lineRule="exact"/>
      </w:pPr>
      <w:hyperlink r:id="rId134">
        <w:r>
          <w:rPr/>
          <w:t>网址：www.yingmi.cn</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云湾基金</w:t>
      </w:r>
    </w:p>
    <w:p>
      <w:pPr>
        <w:pStyle w:val="BodyText"/>
        <w:spacing w:line="364" w:lineRule="auto" w:before="139"/>
        <w:ind w:left="376" w:right="794" w:firstLine="420"/>
      </w:pPr>
      <w:r>
        <w:rPr>
          <w:spacing w:val="-18"/>
        </w:rPr>
        <w:t>注册地址：中国</w:t>
      </w:r>
      <w:r>
        <w:rPr/>
        <w:t>（上海</w:t>
      </w:r>
      <w:r>
        <w:rPr>
          <w:spacing w:val="-12"/>
        </w:rPr>
        <w:t>）</w:t>
      </w:r>
      <w:r>
        <w:rPr>
          <w:spacing w:val="-5"/>
        </w:rPr>
        <w:t>自由贸易试验区新金桥路 </w:t>
      </w:r>
      <w:r>
        <w:rPr/>
        <w:t>27</w:t>
      </w:r>
      <w:r>
        <w:rPr>
          <w:spacing w:val="-18"/>
        </w:rPr>
        <w:t> 号、明月路 </w:t>
      </w:r>
      <w:r>
        <w:rPr/>
        <w:t>1257</w:t>
      </w:r>
      <w:r>
        <w:rPr>
          <w:spacing w:val="-36"/>
        </w:rPr>
        <w:t> 号 </w:t>
      </w:r>
      <w:r>
        <w:rPr/>
        <w:t>1</w:t>
      </w:r>
      <w:r>
        <w:rPr>
          <w:spacing w:val="-36"/>
        </w:rPr>
        <w:t> 幢 </w:t>
      </w:r>
      <w:r>
        <w:rPr/>
        <w:t>1</w:t>
      </w:r>
      <w:r>
        <w:rPr>
          <w:spacing w:val="-36"/>
        </w:rPr>
        <w:t> 层 </w:t>
      </w:r>
      <w:r>
        <w:rPr>
          <w:spacing w:val="-3"/>
        </w:rPr>
        <w:t>103- </w:t>
      </w:r>
      <w:r>
        <w:rPr/>
        <w:t>1、103-2</w:t>
      </w:r>
      <w:r>
        <w:rPr>
          <w:spacing w:val="-14"/>
        </w:rPr>
        <w:t> 办公区</w:t>
      </w:r>
    </w:p>
    <w:p>
      <w:pPr>
        <w:pStyle w:val="BodyText"/>
        <w:spacing w:line="364" w:lineRule="auto"/>
        <w:ind w:right="4173"/>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5958"/>
      </w:pPr>
      <w:r>
        <w:rPr/>
        <w:t>客户服务电话：400-820-1515 传真：021-20539999</w:t>
      </w:r>
    </w:p>
    <w:p>
      <w:pPr>
        <w:spacing w:after="0" w:line="364" w:lineRule="auto"/>
        <w:sectPr>
          <w:pgSz w:w="11910" w:h="16840"/>
          <w:pgMar w:header="0" w:footer="1118" w:top="1380" w:bottom="1380" w:left="1420" w:right="1000"/>
        </w:sectPr>
      </w:pPr>
    </w:p>
    <w:p>
      <w:pPr>
        <w:pStyle w:val="BodyText"/>
        <w:spacing w:before="45"/>
      </w:pPr>
      <w:hyperlink r:id="rId135">
        <w:r>
          <w:rPr/>
          <w:t>网址：http://www.zhengtongfunds.com/</w:t>
        </w:r>
      </w:hyperlink>
    </w:p>
    <w:p>
      <w:pPr>
        <w:pStyle w:val="ListParagraph"/>
        <w:numPr>
          <w:ilvl w:val="0"/>
          <w:numId w:val="45"/>
        </w:numPr>
        <w:tabs>
          <w:tab w:pos="1322" w:val="left" w:leader="none"/>
        </w:tabs>
        <w:spacing w:line="240" w:lineRule="auto" w:before="139" w:after="0"/>
        <w:ind w:left="1322" w:right="0" w:hanging="526"/>
        <w:jc w:val="both"/>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913"/>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5958"/>
      </w:pPr>
      <w:r>
        <w:rPr/>
        <w:t>客户服务电话</w:t>
      </w:r>
      <w:r>
        <w:rPr>
          <w:spacing w:val="-2"/>
        </w:rPr>
        <w:t>：400-001-8811 </w:t>
      </w:r>
      <w:r>
        <w:rPr/>
        <w:t>传真：010-67000988-6000</w:t>
      </w:r>
    </w:p>
    <w:p>
      <w:pPr>
        <w:pStyle w:val="BodyText"/>
        <w:spacing w:line="268" w:lineRule="exact"/>
      </w:pPr>
      <w:hyperlink r:id="rId136">
        <w:r>
          <w:rPr/>
          <w:t>网址：www.zcvc.com.cn</w:t>
        </w:r>
      </w:hyperlink>
    </w:p>
    <w:p>
      <w:pPr>
        <w:pStyle w:val="ListParagraph"/>
        <w:numPr>
          <w:ilvl w:val="0"/>
          <w:numId w:val="45"/>
        </w:numPr>
        <w:tabs>
          <w:tab w:pos="1322" w:val="left" w:leader="none"/>
        </w:tabs>
        <w:spacing w:line="240" w:lineRule="auto" w:before="140" w:after="0"/>
        <w:ind w:left="1322" w:right="0" w:hanging="526"/>
        <w:jc w:val="both"/>
        <w:rPr>
          <w:sz w:val="21"/>
        </w:rPr>
      </w:pPr>
      <w:r>
        <w:rPr>
          <w:sz w:val="21"/>
        </w:rPr>
        <w:t>展恒基金</w:t>
      </w:r>
    </w:p>
    <w:p>
      <w:pPr>
        <w:pStyle w:val="BodyText"/>
        <w:spacing w:line="364" w:lineRule="auto" w:before="139"/>
        <w:ind w:right="3489"/>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联系人：李晓芳</w:t>
      </w:r>
    </w:p>
    <w:p>
      <w:pPr>
        <w:pStyle w:val="BodyText"/>
        <w:spacing w:before="139"/>
      </w:pPr>
      <w:r>
        <w:rPr/>
        <w:t>联系电话：010-59601366-7167</w:t>
      </w:r>
    </w:p>
    <w:p>
      <w:pPr>
        <w:pStyle w:val="BodyText"/>
        <w:spacing w:line="364" w:lineRule="auto" w:before="140"/>
        <w:ind w:right="5958"/>
      </w:pPr>
      <w:r>
        <w:rPr/>
        <w:t>客户服务电话：400-818-8000 传真：0351-4110714</w:t>
      </w:r>
    </w:p>
    <w:p>
      <w:pPr>
        <w:pStyle w:val="BodyText"/>
        <w:spacing w:line="268" w:lineRule="exact"/>
      </w:pPr>
      <w:hyperlink r:id="rId137">
        <w:r>
          <w:rPr/>
          <w:t>网址：www.myfund.com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中信建投期货</w:t>
      </w:r>
    </w:p>
    <w:p>
      <w:pPr>
        <w:pStyle w:val="BodyText"/>
        <w:spacing w:before="140"/>
      </w:pPr>
      <w:r>
        <w:rPr/>
        <w:t>注册地址：重庆市渝中区中山三路 107 号上站大楼平街 11-B，名义层 11-A，8-B4，9-</w:t>
      </w:r>
    </w:p>
    <w:p>
      <w:pPr>
        <w:pStyle w:val="BodyText"/>
        <w:spacing w:before="139"/>
        <w:ind w:left="376"/>
      </w:pPr>
      <w:r>
        <w:rPr/>
        <w:t>B、C</w:t>
      </w:r>
    </w:p>
    <w:p>
      <w:pPr>
        <w:pStyle w:val="BodyText"/>
        <w:spacing w:line="364" w:lineRule="auto" w:before="140"/>
        <w:ind w:right="3543"/>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40"/>
        <w:ind w:right="5958"/>
      </w:pPr>
      <w:r>
        <w:rPr/>
        <w:t>客户服务电话：400-8877-780 传真：023-86769629</w:t>
      </w:r>
    </w:p>
    <w:p>
      <w:pPr>
        <w:pStyle w:val="BodyText"/>
        <w:spacing w:line="268" w:lineRule="exact"/>
      </w:pPr>
      <w:hyperlink r:id="rId138">
        <w:r>
          <w:rPr/>
          <w:t>网址：www.cfc108.com</w:t>
        </w:r>
      </w:hyperlink>
    </w:p>
    <w:p>
      <w:pPr>
        <w:pStyle w:val="ListParagraph"/>
        <w:numPr>
          <w:ilvl w:val="0"/>
          <w:numId w:val="45"/>
        </w:numPr>
        <w:tabs>
          <w:tab w:pos="1322" w:val="left" w:leader="none"/>
        </w:tabs>
        <w:spacing w:line="240" w:lineRule="auto" w:before="139" w:after="0"/>
        <w:ind w:left="1322" w:right="0" w:hanging="526"/>
        <w:jc w:val="left"/>
        <w:rPr>
          <w:sz w:val="21"/>
        </w:rPr>
      </w:pPr>
      <w:r>
        <w:rPr>
          <w:sz w:val="21"/>
        </w:rPr>
        <w:t>中信期货</w:t>
      </w:r>
    </w:p>
    <w:p>
      <w:pPr>
        <w:pStyle w:val="BodyText"/>
        <w:spacing w:before="139"/>
      </w:pPr>
      <w:r>
        <w:rPr>
          <w:spacing w:val="-14"/>
        </w:rPr>
        <w:t>注册地址：广东省深圳市福田区中心三路 </w:t>
      </w:r>
      <w:r>
        <w:rPr/>
        <w:t>8</w:t>
      </w:r>
      <w:r>
        <w:rPr>
          <w:spacing w:val="-21"/>
        </w:rPr>
        <w:t> 号卓越时代广场</w:t>
      </w:r>
      <w:r>
        <w:rPr/>
        <w:t>（二期</w:t>
      </w:r>
      <w:r>
        <w:rPr>
          <w:spacing w:val="-105"/>
        </w:rPr>
        <w:t>）</w:t>
      </w:r>
      <w:r>
        <w:rPr>
          <w:spacing w:val="-20"/>
        </w:rPr>
        <w:t>北座 </w:t>
      </w:r>
      <w:r>
        <w:rPr/>
        <w:t>13</w:t>
      </w:r>
      <w:r>
        <w:rPr>
          <w:spacing w:val="-40"/>
        </w:rPr>
        <w:t> 层 </w:t>
      </w:r>
      <w:r>
        <w:rPr/>
        <w:t>1301-1305</w:t>
      </w:r>
    </w:p>
    <w:p>
      <w:pPr>
        <w:pStyle w:val="BodyText"/>
        <w:spacing w:before="140"/>
        <w:ind w:left="376"/>
      </w:pPr>
      <w:r>
        <w:rPr/>
        <w:t>室、14 层</w:t>
      </w:r>
    </w:p>
    <w:p>
      <w:pPr>
        <w:pStyle w:val="BodyText"/>
        <w:spacing w:before="139"/>
      </w:pPr>
      <w:r>
        <w:rPr/>
        <w:t>办公地址：深圳市福田区中心三路 8 号卓越时代广场（二期）北座 13 层 1301-1305 室、</w:t>
      </w:r>
    </w:p>
    <w:p>
      <w:pPr>
        <w:pStyle w:val="BodyText"/>
        <w:spacing w:before="140"/>
        <w:ind w:left="376"/>
      </w:pPr>
      <w:r>
        <w:rPr/>
        <w:t>14 层</w:t>
      </w:r>
    </w:p>
    <w:p>
      <w:pPr>
        <w:spacing w:after="0"/>
        <w:sectPr>
          <w:pgSz w:w="11910" w:h="16840"/>
          <w:pgMar w:header="0" w:footer="1118" w:top="1380" w:bottom="1380" w:left="1420" w:right="1000"/>
        </w:sectPr>
      </w:pPr>
    </w:p>
    <w:p>
      <w:pPr>
        <w:pStyle w:val="BodyText"/>
        <w:spacing w:line="364" w:lineRule="auto" w:before="45"/>
        <w:ind w:right="7008"/>
      </w:pPr>
      <w:r>
        <w:rPr/>
        <w:t>法定代表人：张皓联系人：刘宏莹</w:t>
      </w:r>
    </w:p>
    <w:p>
      <w:pPr>
        <w:pStyle w:val="BodyText"/>
        <w:spacing w:line="268" w:lineRule="exact"/>
      </w:pPr>
      <w:r>
        <w:rPr/>
        <w:t>联系电话：010-6083 3754</w:t>
      </w:r>
    </w:p>
    <w:p>
      <w:pPr>
        <w:pStyle w:val="BodyText"/>
        <w:spacing w:line="364" w:lineRule="auto" w:before="139"/>
        <w:ind w:right="5958"/>
      </w:pPr>
      <w:r>
        <w:rPr/>
        <w:t>客户服务电话：400-990-8826 传真：021-60819988</w:t>
      </w:r>
    </w:p>
    <w:p>
      <w:pPr>
        <w:pStyle w:val="BodyText"/>
        <w:spacing w:line="268" w:lineRule="exact"/>
      </w:pPr>
      <w:hyperlink r:id="rId139">
        <w:r>
          <w:rPr/>
          <w:t>网址：www.citicsf.com</w:t>
        </w:r>
      </w:hyperlink>
    </w:p>
    <w:p>
      <w:pPr>
        <w:pStyle w:val="ListParagraph"/>
        <w:numPr>
          <w:ilvl w:val="0"/>
          <w:numId w:val="45"/>
        </w:numPr>
        <w:tabs>
          <w:tab w:pos="1322" w:val="left" w:leader="none"/>
        </w:tabs>
        <w:spacing w:line="240" w:lineRule="auto" w:before="140" w:after="0"/>
        <w:ind w:left="1322" w:right="0" w:hanging="526"/>
        <w:jc w:val="left"/>
        <w:rPr>
          <w:sz w:val="21"/>
        </w:rPr>
      </w:pPr>
      <w:r>
        <w:rPr>
          <w:sz w:val="21"/>
        </w:rPr>
        <w:t>众禄基金</w:t>
      </w:r>
    </w:p>
    <w:p>
      <w:pPr>
        <w:pStyle w:val="BodyText"/>
        <w:spacing w:line="364" w:lineRule="auto" w:before="139"/>
        <w:ind w:right="1023"/>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008"/>
      </w:pPr>
      <w:r>
        <w:rPr/>
        <w:t>法定代表人：薛峰联系人：龚江江</w:t>
      </w:r>
    </w:p>
    <w:p>
      <w:pPr>
        <w:pStyle w:val="BodyText"/>
        <w:spacing w:line="268" w:lineRule="exact"/>
      </w:pPr>
      <w:r>
        <w:rPr/>
        <w:t>联系电话：0755-33227950</w:t>
      </w:r>
    </w:p>
    <w:p>
      <w:pPr>
        <w:pStyle w:val="BodyText"/>
        <w:spacing w:line="364" w:lineRule="auto" w:before="139"/>
        <w:ind w:right="5958"/>
      </w:pPr>
      <w:r>
        <w:rPr/>
        <w:t>客户服务电话：4006-788-887 传真：0755-33227951</w:t>
      </w:r>
    </w:p>
    <w:p>
      <w:pPr>
        <w:pStyle w:val="BodyText"/>
        <w:tabs>
          <w:tab w:pos="3211" w:val="left" w:leader="none"/>
        </w:tabs>
        <w:spacing w:line="268" w:lineRule="exact"/>
      </w:pPr>
      <w:hyperlink r:id="rId140">
        <w:r>
          <w:rPr/>
          <w:t>网址：www.zlfund.cn</w:t>
        </w:r>
      </w:hyperlink>
      <w:r>
        <w:rPr/>
        <w:tab/>
      </w:r>
      <w:hyperlink r:id="rId141">
        <w:r>
          <w:rPr/>
          <w:t>www.jjmmw.com</w:t>
        </w:r>
      </w:hyperlink>
    </w:p>
    <w:p>
      <w:pPr>
        <w:pStyle w:val="BodyText"/>
        <w:spacing w:before="139"/>
      </w:pPr>
      <w:r>
        <w:rPr/>
        <w:t>（2）C 类人民币基金份额</w:t>
      </w:r>
    </w:p>
    <w:p>
      <w:pPr>
        <w:pStyle w:val="ListParagraph"/>
        <w:numPr>
          <w:ilvl w:val="0"/>
          <w:numId w:val="46"/>
        </w:numPr>
        <w:tabs>
          <w:tab w:pos="1112" w:val="left" w:leader="none"/>
        </w:tabs>
        <w:spacing w:line="240" w:lineRule="auto" w:before="140" w:after="0"/>
        <w:ind w:left="1112" w:right="0" w:hanging="316"/>
        <w:jc w:val="both"/>
        <w:rPr>
          <w:sz w:val="21"/>
        </w:rPr>
      </w:pPr>
      <w:r>
        <w:rPr>
          <w:sz w:val="21"/>
        </w:rPr>
        <w:t>平安银行</w:t>
      </w:r>
    </w:p>
    <w:p>
      <w:pPr>
        <w:pStyle w:val="BodyText"/>
        <w:spacing w:line="364" w:lineRule="auto" w:before="139"/>
        <w:ind w:right="4173"/>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483"/>
      </w:pPr>
      <w:r>
        <w:rPr/>
        <w:t>客户服务电话：95511-3 传真：021-50979507</w:t>
      </w:r>
    </w:p>
    <w:p>
      <w:pPr>
        <w:pStyle w:val="BodyText"/>
        <w:spacing w:line="268" w:lineRule="exact"/>
      </w:pPr>
      <w:r>
        <w:rPr/>
        <w:t>网址：bank.pingan.com</w:t>
      </w:r>
    </w:p>
    <w:p>
      <w:pPr>
        <w:pStyle w:val="ListParagraph"/>
        <w:numPr>
          <w:ilvl w:val="0"/>
          <w:numId w:val="46"/>
        </w:numPr>
        <w:tabs>
          <w:tab w:pos="1112" w:val="left" w:leader="none"/>
        </w:tabs>
        <w:spacing w:line="240" w:lineRule="auto" w:before="139" w:after="0"/>
        <w:ind w:left="1112" w:right="0" w:hanging="316"/>
        <w:jc w:val="left"/>
        <w:rPr>
          <w:sz w:val="21"/>
        </w:rPr>
      </w:pPr>
      <w:r>
        <w:rPr>
          <w:sz w:val="21"/>
        </w:rPr>
        <w:t>百度百盈</w:t>
      </w:r>
    </w:p>
    <w:p>
      <w:pPr>
        <w:pStyle w:val="BodyText"/>
        <w:spacing w:line="364" w:lineRule="auto" w:before="140"/>
        <w:ind w:right="2493"/>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08"/>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96">
        <w:r>
          <w:rPr/>
          <w:t>网址：www.baiyingfund.com</w:t>
        </w:r>
      </w:hyperlink>
    </w:p>
    <w:p>
      <w:pPr>
        <w:pStyle w:val="ListParagraph"/>
        <w:numPr>
          <w:ilvl w:val="0"/>
          <w:numId w:val="46"/>
        </w:numPr>
        <w:tabs>
          <w:tab w:pos="1112" w:val="left" w:leader="none"/>
        </w:tabs>
        <w:spacing w:line="240" w:lineRule="auto" w:before="139" w:after="0"/>
        <w:ind w:left="1112" w:right="0" w:hanging="316"/>
        <w:jc w:val="both"/>
        <w:rPr>
          <w:sz w:val="21"/>
        </w:rPr>
      </w:pPr>
      <w:r>
        <w:rPr>
          <w:sz w:val="21"/>
        </w:rPr>
        <w:t>好买基金</w:t>
      </w:r>
    </w:p>
    <w:p>
      <w:pPr>
        <w:spacing w:after="0" w:line="240" w:lineRule="auto"/>
        <w:jc w:val="both"/>
        <w:rPr>
          <w:sz w:val="21"/>
        </w:rPr>
        <w:sectPr>
          <w:pgSz w:w="11910" w:h="16840"/>
          <w:pgMar w:header="0" w:footer="1118" w:top="1380" w:bottom="1380" w:left="1420" w:right="1000"/>
        </w:sectPr>
      </w:pPr>
    </w:p>
    <w:p>
      <w:pPr>
        <w:pStyle w:val="BodyText"/>
        <w:spacing w:before="45"/>
      </w:pPr>
      <w:r>
        <w:rPr/>
        <w:t>注册地址：上海市虹口区欧阳路 196 号 26 号楼 2 楼 41 号</w:t>
      </w:r>
    </w:p>
    <w:p>
      <w:pPr>
        <w:pStyle w:val="BodyText"/>
        <w:spacing w:line="364" w:lineRule="auto" w:before="139"/>
        <w:ind w:right="2598"/>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958"/>
      </w:pPr>
      <w:r>
        <w:rPr/>
        <w:t>客户服务电话：400-700-9665 传真：021-68596919</w:t>
      </w:r>
    </w:p>
    <w:p>
      <w:pPr>
        <w:pStyle w:val="BodyText"/>
        <w:spacing w:line="268" w:lineRule="exact"/>
      </w:pPr>
      <w:hyperlink r:id="rId103">
        <w:r>
          <w:rPr/>
          <w:t>网址：www.ehowbuy.com</w:t>
        </w:r>
      </w:hyperlink>
    </w:p>
    <w:p>
      <w:pPr>
        <w:pStyle w:val="BodyText"/>
        <w:spacing w:before="140"/>
      </w:pPr>
      <w:r>
        <w:rPr/>
        <w:t>（3）A 类美元基金份额、C 类美元基金份额</w:t>
      </w:r>
    </w:p>
    <w:p>
      <w:pPr>
        <w:pStyle w:val="BodyText"/>
        <w:spacing w:before="139"/>
        <w:jc w:val="both"/>
      </w:pPr>
      <w:r>
        <w:rPr/>
        <w:t>1) 平安银行</w:t>
      </w:r>
    </w:p>
    <w:p>
      <w:pPr>
        <w:pStyle w:val="BodyText"/>
        <w:spacing w:line="364" w:lineRule="auto" w:before="140"/>
        <w:ind w:right="4173"/>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39"/>
        <w:ind w:right="6483"/>
      </w:pPr>
      <w:r>
        <w:rPr/>
        <w:t>客户服务电话：95511-3 传真：021-50979507</w:t>
      </w:r>
    </w:p>
    <w:p>
      <w:pPr>
        <w:pStyle w:val="BodyText"/>
        <w:spacing w:line="268" w:lineRule="exact"/>
      </w:pPr>
      <w:r>
        <w:rPr/>
        <w:t>网址：bank.pingan.com</w:t>
      </w:r>
    </w:p>
    <w:p>
      <w:pPr>
        <w:pStyle w:val="Heading2"/>
        <w:tabs>
          <w:tab w:pos="1216" w:val="left" w:leader="none"/>
        </w:tabs>
        <w:spacing w:before="141"/>
      </w:pPr>
      <w:bookmarkStart w:name="_bookmark100" w:id="101"/>
      <w:bookmarkEnd w:id="101"/>
      <w:r>
        <w:rPr/>
      </w:r>
      <w:r>
        <w:rPr/>
        <w:t>二、</w:t>
        <w:tab/>
        <w:t>基金登记结算机构</w:t>
      </w:r>
    </w:p>
    <w:p>
      <w:pPr>
        <w:pStyle w:val="BodyText"/>
        <w:spacing w:before="185"/>
        <w:ind w:left="858"/>
      </w:pPr>
      <w:r>
        <w:rPr/>
        <w:t>1、A 类人民币份额</w:t>
      </w:r>
    </w:p>
    <w:p>
      <w:pPr>
        <w:pStyle w:val="BodyText"/>
        <w:spacing w:line="364" w:lineRule="auto" w:before="139"/>
        <w:ind w:left="858" w:right="5056"/>
      </w:pPr>
      <w:r>
        <w:rPr/>
        <w:t>名称：中国证券登记结算有限责任公司住所：北京西城区太平桥大街 17 号</w:t>
      </w:r>
    </w:p>
    <w:p>
      <w:pPr>
        <w:pStyle w:val="BodyText"/>
        <w:spacing w:line="364" w:lineRule="auto"/>
        <w:ind w:left="858" w:right="4951"/>
      </w:pPr>
      <w:r>
        <w:rPr>
          <w:spacing w:val="-4"/>
        </w:rPr>
        <w:t>办公地址：北京西城区太平桥大街 </w:t>
      </w:r>
      <w:r>
        <w:rPr/>
        <w:t>17</w:t>
      </w:r>
      <w:r>
        <w:rPr>
          <w:spacing w:val="-35"/>
        </w:rPr>
        <w:t> 号</w:t>
      </w:r>
      <w:r>
        <w:rPr/>
        <w:t>法定代表人：周明</w:t>
      </w:r>
    </w:p>
    <w:p>
      <w:pPr>
        <w:pStyle w:val="BodyText"/>
        <w:spacing w:line="268" w:lineRule="exact"/>
        <w:ind w:left="858"/>
      </w:pPr>
      <w:r>
        <w:rPr/>
        <w:t>电话：4008058058</w:t>
      </w:r>
    </w:p>
    <w:p>
      <w:pPr>
        <w:pStyle w:val="BodyText"/>
        <w:spacing w:line="364" w:lineRule="auto" w:before="139"/>
        <w:ind w:left="858" w:right="6421"/>
      </w:pPr>
      <w:r>
        <w:rPr/>
        <w:t>传真：（010）59378907 联系人：赵亦清</w:t>
      </w:r>
    </w:p>
    <w:p>
      <w:pPr>
        <w:pStyle w:val="BodyText"/>
        <w:spacing w:line="364" w:lineRule="auto"/>
        <w:ind w:left="858" w:right="4057"/>
      </w:pPr>
      <w:r>
        <w:rPr/>
        <w:t>2、C</w:t>
      </w:r>
      <w:r>
        <w:rPr>
          <w:spacing w:val="-8"/>
        </w:rPr>
        <w:t> 类人民币份额、</w:t>
      </w:r>
      <w:r>
        <w:rPr/>
        <w:t>A</w:t>
      </w:r>
      <w:r>
        <w:rPr>
          <w:spacing w:val="-9"/>
        </w:rPr>
        <w:t> 类美元份额、</w:t>
      </w:r>
      <w:r>
        <w:rPr/>
        <w:t>C</w:t>
      </w:r>
      <w:r>
        <w:rPr>
          <w:spacing w:val="-13"/>
        </w:rPr>
        <w:t> 类美元份额</w:t>
      </w:r>
      <w:r>
        <w:rPr/>
        <w:t>名称：易方达基金管理有限公司</w:t>
      </w:r>
    </w:p>
    <w:p>
      <w:pPr>
        <w:pStyle w:val="BodyText"/>
        <w:spacing w:line="364" w:lineRule="auto"/>
        <w:ind w:left="858" w:right="1591"/>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858" w:right="6736"/>
      </w:pPr>
      <w:r>
        <w:rPr/>
        <w:t>法定代表人：刘晓艳电 话 ：4008818088 传真：020-38799249</w:t>
      </w:r>
    </w:p>
    <w:p>
      <w:pPr>
        <w:spacing w:after="0" w:line="364" w:lineRule="auto"/>
        <w:sectPr>
          <w:pgSz w:w="11910" w:h="16840"/>
          <w:pgMar w:header="0" w:footer="1118" w:top="1380" w:bottom="1380" w:left="1420" w:right="1000"/>
        </w:sectPr>
      </w:pPr>
    </w:p>
    <w:p>
      <w:pPr>
        <w:pStyle w:val="BodyText"/>
        <w:spacing w:before="45"/>
        <w:ind w:left="858"/>
      </w:pPr>
      <w:r>
        <w:rPr/>
        <w:t>联系人：余贤高</w:t>
      </w:r>
    </w:p>
    <w:p>
      <w:pPr>
        <w:pStyle w:val="Heading2"/>
        <w:tabs>
          <w:tab w:pos="1216" w:val="left" w:leader="none"/>
        </w:tabs>
        <w:spacing w:before="141"/>
      </w:pPr>
      <w:bookmarkStart w:name="_bookmark101" w:id="102"/>
      <w:bookmarkEnd w:id="102"/>
      <w:r>
        <w:rPr/>
      </w:r>
      <w:r>
        <w:rPr/>
        <w:t>三、</w:t>
        <w:tab/>
        <w:t>律师事务所和经办律师</w:t>
      </w:r>
    </w:p>
    <w:p>
      <w:pPr>
        <w:pStyle w:val="BodyText"/>
        <w:spacing w:before="184"/>
        <w:ind w:left="858"/>
      </w:pPr>
      <w:r>
        <w:rPr/>
        <w:t>律师事务所：上海市通力律师事务所</w:t>
      </w:r>
    </w:p>
    <w:p>
      <w:pPr>
        <w:pStyle w:val="BodyText"/>
        <w:spacing w:line="364" w:lineRule="auto" w:before="140"/>
        <w:ind w:left="858" w:right="3376"/>
      </w:pPr>
      <w:r>
        <w:rPr>
          <w:spacing w:val="-4"/>
        </w:rPr>
        <w:t>地址：上海市浦东新区银城中路 </w:t>
      </w:r>
      <w:r>
        <w:rPr/>
        <w:t>68</w:t>
      </w:r>
      <w:r>
        <w:rPr>
          <w:spacing w:val="-13"/>
        </w:rPr>
        <w:t> 号时代金融中心 </w:t>
      </w:r>
      <w:r>
        <w:rPr/>
        <w:t>19</w:t>
      </w:r>
      <w:r>
        <w:rPr>
          <w:spacing w:val="-35"/>
        </w:rPr>
        <w:t> 楼</w:t>
      </w:r>
      <w:r>
        <w:rPr/>
        <w:t>负责人：韩炯</w:t>
      </w:r>
    </w:p>
    <w:p>
      <w:pPr>
        <w:pStyle w:val="BodyText"/>
        <w:spacing w:line="364" w:lineRule="auto"/>
        <w:ind w:left="858" w:right="6421"/>
      </w:pPr>
      <w:r>
        <w:rPr>
          <w:spacing w:val="-1"/>
        </w:rPr>
        <w:t>电话</w:t>
      </w:r>
      <w:r>
        <w:rPr/>
        <w:t>：（021）31358666 </w:t>
      </w:r>
      <w:r>
        <w:rPr>
          <w:spacing w:val="-1"/>
        </w:rPr>
        <w:t>传真</w:t>
      </w:r>
      <w:r>
        <w:rPr/>
        <w:t>：（021）31358600 经办律师：吕红、安冬联系人：安冬</w:t>
      </w:r>
    </w:p>
    <w:p>
      <w:pPr>
        <w:pStyle w:val="Heading2"/>
        <w:tabs>
          <w:tab w:pos="1216" w:val="left" w:leader="none"/>
        </w:tabs>
        <w:spacing w:line="358" w:lineRule="exact"/>
      </w:pPr>
      <w:bookmarkStart w:name="_bookmark102" w:id="103"/>
      <w:bookmarkEnd w:id="103"/>
      <w:r>
        <w:rPr/>
      </w:r>
      <w:r>
        <w:rPr/>
        <w:t>四、</w:t>
        <w:tab/>
        <w:t>会计师事务所和经办注册会计师</w:t>
      </w:r>
    </w:p>
    <w:p>
      <w:pPr>
        <w:pStyle w:val="BodyText"/>
        <w:spacing w:line="364" w:lineRule="auto" w:before="184"/>
        <w:ind w:left="858" w:right="2956"/>
      </w:pPr>
      <w:r>
        <w:rPr/>
        <w:t>会计师事务所：普华永道中天会计师事务所（特殊普通合伙</w:t>
      </w:r>
      <w:r>
        <w:rPr>
          <w:spacing w:val="-18"/>
        </w:rPr>
        <w:t>） </w:t>
      </w:r>
      <w:r>
        <w:rPr>
          <w:spacing w:val="-6"/>
        </w:rPr>
        <w:t>住所：上海市湖滨路 </w:t>
      </w:r>
      <w:r>
        <w:rPr/>
        <w:t>202</w:t>
      </w:r>
      <w:r>
        <w:rPr>
          <w:spacing w:val="-13"/>
        </w:rPr>
        <w:t> 号普华永道中心 </w:t>
      </w:r>
      <w:r>
        <w:rPr/>
        <w:t>11</w:t>
      </w:r>
      <w:r>
        <w:rPr>
          <w:spacing w:val="-27"/>
        </w:rPr>
        <w:t> 楼</w:t>
      </w:r>
    </w:p>
    <w:p>
      <w:pPr>
        <w:pStyle w:val="BodyText"/>
        <w:spacing w:line="364" w:lineRule="auto"/>
        <w:ind w:left="858" w:right="3901"/>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left="858" w:right="6421"/>
      </w:pPr>
      <w:r>
        <w:rPr/>
        <w:t>电话：（021）23238888 传真：（021）23238800</w:t>
      </w:r>
    </w:p>
    <w:p>
      <w:pPr>
        <w:pStyle w:val="BodyText"/>
        <w:spacing w:line="364" w:lineRule="auto"/>
        <w:ind w:left="858" w:right="5896"/>
      </w:pPr>
      <w:r>
        <w:rPr/>
        <w:t>经办注册会计师：陈熹、周祎联系人：周祎</w:t>
      </w:r>
    </w:p>
    <w:p>
      <w:pPr>
        <w:spacing w:after="0" w:line="364" w:lineRule="auto"/>
        <w:sectPr>
          <w:pgSz w:w="11910" w:h="16840"/>
          <w:pgMar w:header="0" w:footer="1118" w:top="1380" w:bottom="1380" w:left="1420" w:right="1000"/>
        </w:sectPr>
      </w:pPr>
    </w:p>
    <w:p>
      <w:pPr>
        <w:pStyle w:val="Heading1"/>
      </w:pPr>
      <w:bookmarkStart w:name="_bookmark103" w:id="104"/>
      <w:bookmarkEnd w:id="104"/>
      <w:r>
        <w:rPr>
          <w:b w:val="0"/>
        </w:rPr>
      </w:r>
      <w:r>
        <w:rPr/>
        <w:t>第二十二节基金合同内容摘要</w:t>
      </w:r>
    </w:p>
    <w:p>
      <w:pPr>
        <w:pStyle w:val="Heading2"/>
        <w:tabs>
          <w:tab w:pos="1216" w:val="left" w:leader="none"/>
        </w:tabs>
        <w:spacing w:before="139"/>
      </w:pPr>
      <w:bookmarkStart w:name="_bookmark104" w:id="105"/>
      <w:bookmarkEnd w:id="105"/>
      <w:r>
        <w:rPr/>
      </w:r>
      <w:r>
        <w:rPr/>
        <w:t>一、</w:t>
        <w:tab/>
        <w:t>基金份额持有人、基金管理人和基金托管人的权利、义务</w:t>
      </w:r>
    </w:p>
    <w:p>
      <w:pPr>
        <w:pStyle w:val="BodyText"/>
        <w:spacing w:before="185"/>
      </w:pPr>
      <w:r>
        <w:rPr/>
        <w:t>（一）基金份额持有人的权利与义务</w:t>
      </w:r>
    </w:p>
    <w:p>
      <w:pPr>
        <w:pStyle w:val="BodyText"/>
        <w:spacing w:line="364" w:lineRule="auto" w:before="139"/>
        <w:ind w:left="376" w:right="794" w:firstLine="420"/>
        <w:jc w:val="both"/>
      </w:pPr>
      <w:r>
        <w:rPr>
          <w:spacing w:val="-6"/>
        </w:rPr>
        <w:t>基金投资者购买本基金基金份额的行为即视为对《基金合同》的承认和接受，基金投资</w:t>
      </w:r>
      <w:r>
        <w:rPr>
          <w:spacing w:val="-10"/>
        </w:rPr>
        <w:t>者自取得依据《基金合同》募集的基金份额，即成为本基金份额持有人和《基金合同》的当</w:t>
      </w:r>
      <w:r>
        <w:rPr>
          <w:spacing w:val="-9"/>
        </w:rPr>
        <w:t>事人，直至其不再持有本基金的基金份额。基金份额持有人作为《基金合同》当事人并不以</w:t>
      </w:r>
      <w:r>
        <w:rPr/>
        <w:t>在《基金合同》上书面签章或签字为必要条件。</w:t>
      </w:r>
    </w:p>
    <w:p>
      <w:pPr>
        <w:pStyle w:val="BodyText"/>
        <w:spacing w:line="267" w:lineRule="exact"/>
      </w:pPr>
      <w:r>
        <w:rPr/>
        <w:t>同一类别每份基金份额具有同等的合法权益。</w:t>
      </w:r>
    </w:p>
    <w:p>
      <w:pPr>
        <w:pStyle w:val="BodyText"/>
        <w:spacing w:line="364" w:lineRule="auto" w:before="139"/>
        <w:ind w:left="376" w:right="795" w:firstLine="420"/>
      </w:pPr>
      <w:r>
        <w:rPr/>
        <w:t>1</w:t>
      </w:r>
      <w:r>
        <w:rPr>
          <w:spacing w:val="-16"/>
        </w:rPr>
        <w:t>、根据《基金法》、《运作办法》及其他有关规定，基金份额持有人的权利包括但不限于：</w:t>
      </w:r>
    </w:p>
    <w:p>
      <w:pPr>
        <w:pStyle w:val="ListParagraph"/>
        <w:numPr>
          <w:ilvl w:val="0"/>
          <w:numId w:val="47"/>
        </w:numPr>
        <w:tabs>
          <w:tab w:pos="1323" w:val="left" w:leader="none"/>
        </w:tabs>
        <w:spacing w:line="268" w:lineRule="exact" w:before="0" w:after="0"/>
        <w:ind w:left="1323" w:right="0" w:hanging="527"/>
        <w:jc w:val="left"/>
        <w:rPr>
          <w:sz w:val="21"/>
        </w:rPr>
      </w:pPr>
      <w:r>
        <w:rPr>
          <w:sz w:val="21"/>
        </w:rPr>
        <w:t>分享基金财产收益；</w:t>
      </w:r>
    </w:p>
    <w:p>
      <w:pPr>
        <w:pStyle w:val="ListParagraph"/>
        <w:numPr>
          <w:ilvl w:val="0"/>
          <w:numId w:val="47"/>
        </w:numPr>
        <w:tabs>
          <w:tab w:pos="1323" w:val="left" w:leader="none"/>
        </w:tabs>
        <w:spacing w:line="240" w:lineRule="auto" w:before="140" w:after="0"/>
        <w:ind w:left="1323" w:right="0" w:hanging="527"/>
        <w:jc w:val="left"/>
        <w:rPr>
          <w:sz w:val="21"/>
        </w:rPr>
      </w:pPr>
      <w:r>
        <w:rPr>
          <w:sz w:val="21"/>
        </w:rPr>
        <w:t>参与分配清算后的剩余基金财产；</w:t>
      </w:r>
    </w:p>
    <w:p>
      <w:pPr>
        <w:pStyle w:val="ListParagraph"/>
        <w:numPr>
          <w:ilvl w:val="0"/>
          <w:numId w:val="47"/>
        </w:numPr>
        <w:tabs>
          <w:tab w:pos="1323" w:val="left" w:leader="none"/>
        </w:tabs>
        <w:spacing w:line="240" w:lineRule="auto" w:before="139" w:after="0"/>
        <w:ind w:left="1323" w:right="0" w:hanging="527"/>
        <w:jc w:val="left"/>
        <w:rPr>
          <w:sz w:val="21"/>
        </w:rPr>
      </w:pPr>
      <w:r>
        <w:rPr>
          <w:sz w:val="21"/>
        </w:rPr>
        <w:t>依法申请赎回其持有的基金份额；</w:t>
      </w:r>
    </w:p>
    <w:p>
      <w:pPr>
        <w:pStyle w:val="ListParagraph"/>
        <w:numPr>
          <w:ilvl w:val="0"/>
          <w:numId w:val="47"/>
        </w:numPr>
        <w:tabs>
          <w:tab w:pos="1323" w:val="left" w:leader="none"/>
        </w:tabs>
        <w:spacing w:line="240" w:lineRule="auto" w:before="140" w:after="0"/>
        <w:ind w:left="1323" w:right="0" w:hanging="527"/>
        <w:jc w:val="left"/>
        <w:rPr>
          <w:sz w:val="21"/>
        </w:rPr>
      </w:pPr>
      <w:r>
        <w:rPr>
          <w:sz w:val="21"/>
        </w:rPr>
        <w:t>按照规定要求召开基金份额持有人大会；</w:t>
      </w:r>
    </w:p>
    <w:p>
      <w:pPr>
        <w:pStyle w:val="ListParagraph"/>
        <w:numPr>
          <w:ilvl w:val="0"/>
          <w:numId w:val="47"/>
        </w:numPr>
        <w:tabs>
          <w:tab w:pos="1324" w:val="left" w:leader="none"/>
        </w:tabs>
        <w:spacing w:line="364" w:lineRule="auto" w:before="139" w:after="0"/>
        <w:ind w:left="376" w:right="795" w:firstLine="420"/>
        <w:jc w:val="left"/>
        <w:rPr>
          <w:sz w:val="21"/>
        </w:rPr>
      </w:pPr>
      <w:r>
        <w:rPr>
          <w:sz w:val="21"/>
        </w:rPr>
        <w:t>出席或者委派代表出席基金份额持有人大会，对基金份额持有人大会审议事项行使表决权；</w:t>
      </w:r>
    </w:p>
    <w:p>
      <w:pPr>
        <w:pStyle w:val="ListParagraph"/>
        <w:numPr>
          <w:ilvl w:val="0"/>
          <w:numId w:val="47"/>
        </w:numPr>
        <w:tabs>
          <w:tab w:pos="1323" w:val="left" w:leader="none"/>
        </w:tabs>
        <w:spacing w:line="268" w:lineRule="exact" w:before="0" w:after="0"/>
        <w:ind w:left="1323" w:right="0" w:hanging="527"/>
        <w:jc w:val="left"/>
        <w:rPr>
          <w:sz w:val="21"/>
        </w:rPr>
      </w:pPr>
      <w:r>
        <w:rPr>
          <w:sz w:val="21"/>
        </w:rPr>
        <w:t>查阅或者复制公开披露的基金信息资料；</w:t>
      </w:r>
    </w:p>
    <w:p>
      <w:pPr>
        <w:pStyle w:val="ListParagraph"/>
        <w:numPr>
          <w:ilvl w:val="0"/>
          <w:numId w:val="47"/>
        </w:numPr>
        <w:tabs>
          <w:tab w:pos="1323" w:val="left" w:leader="none"/>
        </w:tabs>
        <w:spacing w:line="240" w:lineRule="auto" w:before="140" w:after="0"/>
        <w:ind w:left="1323" w:right="0" w:hanging="527"/>
        <w:jc w:val="left"/>
        <w:rPr>
          <w:sz w:val="21"/>
        </w:rPr>
      </w:pPr>
      <w:r>
        <w:rPr>
          <w:sz w:val="21"/>
        </w:rPr>
        <w:t>监督基金管理人的投资运作；</w:t>
      </w:r>
    </w:p>
    <w:p>
      <w:pPr>
        <w:pStyle w:val="ListParagraph"/>
        <w:numPr>
          <w:ilvl w:val="0"/>
          <w:numId w:val="47"/>
        </w:numPr>
        <w:tabs>
          <w:tab w:pos="1324" w:val="left" w:leader="none"/>
        </w:tabs>
        <w:spacing w:line="240" w:lineRule="auto" w:before="139" w:after="0"/>
        <w:ind w:left="1323" w:right="0" w:hanging="528"/>
        <w:jc w:val="left"/>
        <w:rPr>
          <w:sz w:val="21"/>
        </w:rPr>
      </w:pPr>
      <w:r>
        <w:rPr>
          <w:sz w:val="21"/>
        </w:rPr>
        <w:t>对基金管理人、基金托管人、基金销售机构损害其合法权益的行为依法提起诉讼；</w:t>
      </w:r>
    </w:p>
    <w:p>
      <w:pPr>
        <w:pStyle w:val="ListParagraph"/>
        <w:numPr>
          <w:ilvl w:val="0"/>
          <w:numId w:val="47"/>
        </w:numPr>
        <w:tabs>
          <w:tab w:pos="1323" w:val="left" w:leader="none"/>
        </w:tabs>
        <w:spacing w:line="240" w:lineRule="auto" w:before="140" w:after="0"/>
        <w:ind w:left="1323" w:right="0" w:hanging="527"/>
        <w:jc w:val="left"/>
        <w:rPr>
          <w:sz w:val="21"/>
        </w:rPr>
      </w:pPr>
      <w:r>
        <w:rPr>
          <w:sz w:val="21"/>
        </w:rPr>
        <w:t>法律法规和《基金合同》规定的其他权利。</w:t>
      </w:r>
    </w:p>
    <w:p>
      <w:pPr>
        <w:pStyle w:val="BodyText"/>
        <w:spacing w:line="364" w:lineRule="auto" w:before="139"/>
        <w:ind w:left="376" w:right="795" w:firstLine="420"/>
      </w:pPr>
      <w:r>
        <w:rPr/>
        <w:t>2</w:t>
      </w:r>
      <w:r>
        <w:rPr>
          <w:spacing w:val="-16"/>
        </w:rPr>
        <w:t>、根据《基金法》、《运作办法》及其他有关规定，基金份额持有人的义务包括但不限于：</w:t>
      </w:r>
    </w:p>
    <w:p>
      <w:pPr>
        <w:pStyle w:val="ListParagraph"/>
        <w:numPr>
          <w:ilvl w:val="0"/>
          <w:numId w:val="48"/>
        </w:numPr>
        <w:tabs>
          <w:tab w:pos="1323" w:val="left" w:leader="none"/>
        </w:tabs>
        <w:spacing w:line="268" w:lineRule="exact" w:before="0" w:after="0"/>
        <w:ind w:left="1323" w:right="0" w:hanging="527"/>
        <w:jc w:val="left"/>
        <w:rPr>
          <w:sz w:val="21"/>
        </w:rPr>
      </w:pPr>
      <w:r>
        <w:rPr>
          <w:spacing w:val="-13"/>
          <w:sz w:val="21"/>
        </w:rPr>
        <w:t>遵守《基金合同》；</w:t>
      </w:r>
    </w:p>
    <w:p>
      <w:pPr>
        <w:pStyle w:val="ListParagraph"/>
        <w:numPr>
          <w:ilvl w:val="0"/>
          <w:numId w:val="48"/>
        </w:numPr>
        <w:tabs>
          <w:tab w:pos="1323" w:val="left" w:leader="none"/>
        </w:tabs>
        <w:spacing w:line="240" w:lineRule="auto" w:before="139" w:after="0"/>
        <w:ind w:left="1323" w:right="0" w:hanging="527"/>
        <w:jc w:val="left"/>
        <w:rPr>
          <w:sz w:val="21"/>
        </w:rPr>
      </w:pPr>
      <w:r>
        <w:rPr>
          <w:sz w:val="21"/>
        </w:rPr>
        <w:t>交纳基金认购、申购款项及法律法规和《基金合同》所规定的费用；</w:t>
      </w:r>
    </w:p>
    <w:p>
      <w:pPr>
        <w:pStyle w:val="ListParagraph"/>
        <w:numPr>
          <w:ilvl w:val="0"/>
          <w:numId w:val="48"/>
        </w:numPr>
        <w:tabs>
          <w:tab w:pos="1323" w:val="left" w:leader="none"/>
        </w:tabs>
        <w:spacing w:line="240" w:lineRule="auto" w:before="140" w:after="0"/>
        <w:ind w:left="1323" w:right="0" w:hanging="527"/>
        <w:jc w:val="left"/>
        <w:rPr>
          <w:sz w:val="21"/>
        </w:rPr>
      </w:pPr>
      <w:r>
        <w:rPr>
          <w:sz w:val="21"/>
        </w:rPr>
        <w:t>在其持有的基金份额范围内，承担基金亏损或者《基金合同》终止的有限责任；</w:t>
      </w:r>
    </w:p>
    <w:p>
      <w:pPr>
        <w:pStyle w:val="ListParagraph"/>
        <w:numPr>
          <w:ilvl w:val="0"/>
          <w:numId w:val="48"/>
        </w:numPr>
        <w:tabs>
          <w:tab w:pos="1323" w:val="left" w:leader="none"/>
        </w:tabs>
        <w:spacing w:line="240" w:lineRule="auto" w:before="139" w:after="0"/>
        <w:ind w:left="1323" w:right="0" w:hanging="527"/>
        <w:jc w:val="left"/>
        <w:rPr>
          <w:sz w:val="21"/>
        </w:rPr>
      </w:pPr>
      <w:r>
        <w:rPr>
          <w:sz w:val="21"/>
        </w:rPr>
        <w:t>不从事任何有损基金及其他基金合同当事人合法权益的活动；</w:t>
      </w:r>
    </w:p>
    <w:p>
      <w:pPr>
        <w:pStyle w:val="ListParagraph"/>
        <w:numPr>
          <w:ilvl w:val="0"/>
          <w:numId w:val="48"/>
        </w:numPr>
        <w:tabs>
          <w:tab w:pos="1324" w:val="left" w:leader="none"/>
        </w:tabs>
        <w:spacing w:line="364" w:lineRule="auto" w:before="140" w:after="0"/>
        <w:ind w:left="376" w:right="795" w:firstLine="420"/>
        <w:jc w:val="left"/>
        <w:rPr>
          <w:sz w:val="21"/>
        </w:rPr>
      </w:pPr>
      <w:r>
        <w:rPr>
          <w:sz w:val="21"/>
        </w:rPr>
        <w:t>返还在基金交易过程中因任何原因，自基金管理人、基金托管人及基金代销机构处获得的不当得利；</w:t>
      </w:r>
    </w:p>
    <w:p>
      <w:pPr>
        <w:pStyle w:val="ListParagraph"/>
        <w:numPr>
          <w:ilvl w:val="0"/>
          <w:numId w:val="48"/>
        </w:numPr>
        <w:tabs>
          <w:tab w:pos="1323" w:val="left" w:leader="none"/>
        </w:tabs>
        <w:spacing w:line="268" w:lineRule="exact" w:before="0" w:after="0"/>
        <w:ind w:left="1323" w:right="0" w:hanging="527"/>
        <w:jc w:val="left"/>
        <w:rPr>
          <w:sz w:val="21"/>
        </w:rPr>
      </w:pPr>
      <w:r>
        <w:rPr>
          <w:sz w:val="21"/>
        </w:rPr>
        <w:t>执行生效的基金份额持有人大会的决定；</w:t>
      </w:r>
    </w:p>
    <w:p>
      <w:pPr>
        <w:pStyle w:val="ListParagraph"/>
        <w:numPr>
          <w:ilvl w:val="0"/>
          <w:numId w:val="48"/>
        </w:numPr>
        <w:tabs>
          <w:tab w:pos="1323" w:val="left" w:leader="none"/>
        </w:tabs>
        <w:spacing w:line="240" w:lineRule="auto" w:before="139" w:after="0"/>
        <w:ind w:left="1323" w:right="0" w:hanging="527"/>
        <w:jc w:val="left"/>
        <w:rPr>
          <w:sz w:val="21"/>
        </w:rPr>
      </w:pPr>
      <w:r>
        <w:rPr>
          <w:sz w:val="21"/>
        </w:rPr>
        <w:t>法律法规及中国证监会规定的和《基金合同》约定的其他义务。</w:t>
      </w:r>
    </w:p>
    <w:p>
      <w:pPr>
        <w:pStyle w:val="BodyText"/>
        <w:spacing w:before="140"/>
      </w:pPr>
      <w:r>
        <w:rPr/>
        <w:t>（二）基金管理人的权利与义务</w:t>
      </w:r>
    </w:p>
    <w:p>
      <w:pPr>
        <w:pStyle w:val="BodyText"/>
        <w:spacing w:before="139"/>
      </w:pPr>
      <w:r>
        <w:rPr/>
        <w:t>1、根据《基金法》、《运作办法》及其他有关规定，基金管理人的权利包括但不限于：</w:t>
      </w:r>
    </w:p>
    <w:p>
      <w:pPr>
        <w:pStyle w:val="ListParagraph"/>
        <w:numPr>
          <w:ilvl w:val="0"/>
          <w:numId w:val="49"/>
        </w:numPr>
        <w:tabs>
          <w:tab w:pos="1323" w:val="left" w:leader="none"/>
        </w:tabs>
        <w:spacing w:line="240" w:lineRule="auto" w:before="139" w:after="0"/>
        <w:ind w:left="1323" w:right="0" w:hanging="527"/>
        <w:jc w:val="left"/>
        <w:rPr>
          <w:sz w:val="21"/>
        </w:rPr>
      </w:pPr>
      <w:r>
        <w:rPr>
          <w:sz w:val="21"/>
        </w:rPr>
        <w:t>依法募集基金；</w:t>
      </w:r>
    </w:p>
    <w:p>
      <w:pPr>
        <w:spacing w:after="0" w:line="240" w:lineRule="auto"/>
        <w:jc w:val="left"/>
        <w:rPr>
          <w:sz w:val="21"/>
        </w:rPr>
        <w:sectPr>
          <w:pgSz w:w="11910" w:h="16840"/>
          <w:pgMar w:header="0" w:footer="1118" w:top="1400" w:bottom="1380" w:left="1420" w:right="1000"/>
        </w:sectPr>
      </w:pPr>
    </w:p>
    <w:p>
      <w:pPr>
        <w:pStyle w:val="ListParagraph"/>
        <w:numPr>
          <w:ilvl w:val="0"/>
          <w:numId w:val="49"/>
        </w:numPr>
        <w:tabs>
          <w:tab w:pos="1325" w:val="left" w:leader="none"/>
        </w:tabs>
        <w:spacing w:line="364" w:lineRule="auto" w:before="45" w:after="0"/>
        <w:ind w:left="376" w:right="795" w:firstLine="420"/>
        <w:jc w:val="left"/>
        <w:rPr>
          <w:sz w:val="21"/>
        </w:rPr>
      </w:pPr>
      <w:r>
        <w:rPr>
          <w:sz w:val="21"/>
        </w:rPr>
        <w:t>自《基金合同》生效之日起，根据法律法规和《基金合同》独立运用并管理基金财产；</w:t>
      </w:r>
    </w:p>
    <w:p>
      <w:pPr>
        <w:pStyle w:val="ListParagraph"/>
        <w:numPr>
          <w:ilvl w:val="0"/>
          <w:numId w:val="49"/>
        </w:numPr>
        <w:tabs>
          <w:tab w:pos="1324" w:val="left" w:leader="none"/>
        </w:tabs>
        <w:spacing w:line="364" w:lineRule="auto" w:before="0" w:after="0"/>
        <w:ind w:left="376" w:right="795" w:firstLine="420"/>
        <w:jc w:val="left"/>
        <w:rPr>
          <w:sz w:val="21"/>
        </w:rPr>
      </w:pPr>
      <w:r>
        <w:rPr>
          <w:sz w:val="21"/>
        </w:rPr>
        <w:t>依照《基金合同》收取基金管理费以及法律法规规定或中国证监会批准的其他费用；</w:t>
      </w:r>
    </w:p>
    <w:p>
      <w:pPr>
        <w:pStyle w:val="ListParagraph"/>
        <w:numPr>
          <w:ilvl w:val="0"/>
          <w:numId w:val="49"/>
        </w:numPr>
        <w:tabs>
          <w:tab w:pos="1323" w:val="left" w:leader="none"/>
        </w:tabs>
        <w:spacing w:line="268" w:lineRule="exact" w:before="0" w:after="0"/>
        <w:ind w:left="1323" w:right="0" w:hanging="527"/>
        <w:jc w:val="left"/>
        <w:rPr>
          <w:sz w:val="21"/>
        </w:rPr>
      </w:pPr>
      <w:r>
        <w:rPr>
          <w:sz w:val="21"/>
        </w:rPr>
        <w:t>销售基金份额；</w:t>
      </w:r>
    </w:p>
    <w:p>
      <w:pPr>
        <w:pStyle w:val="ListParagraph"/>
        <w:numPr>
          <w:ilvl w:val="0"/>
          <w:numId w:val="49"/>
        </w:numPr>
        <w:tabs>
          <w:tab w:pos="1323" w:val="left" w:leader="none"/>
        </w:tabs>
        <w:spacing w:line="240" w:lineRule="auto" w:before="138" w:after="0"/>
        <w:ind w:left="1323" w:right="0" w:hanging="527"/>
        <w:jc w:val="left"/>
        <w:rPr>
          <w:sz w:val="21"/>
        </w:rPr>
      </w:pPr>
      <w:r>
        <w:rPr>
          <w:sz w:val="21"/>
        </w:rPr>
        <w:t>召集基金份额持有人大会；</w:t>
      </w:r>
    </w:p>
    <w:p>
      <w:pPr>
        <w:pStyle w:val="ListParagraph"/>
        <w:numPr>
          <w:ilvl w:val="0"/>
          <w:numId w:val="49"/>
        </w:numPr>
        <w:tabs>
          <w:tab w:pos="1324" w:val="left" w:leader="none"/>
        </w:tabs>
        <w:spacing w:line="364" w:lineRule="auto" w:before="140" w:after="0"/>
        <w:ind w:left="376" w:right="794" w:firstLine="420"/>
        <w:jc w:val="both"/>
        <w:rPr>
          <w:sz w:val="21"/>
        </w:rPr>
      </w:pPr>
      <w:r>
        <w:rPr>
          <w:sz w:val="21"/>
        </w:rPr>
        <w:t>依据《基金合同》及有关法律法规规定监督基金托管人，如认为基金托管人违反</w:t>
      </w:r>
      <w:r>
        <w:rPr>
          <w:spacing w:val="-10"/>
          <w:sz w:val="21"/>
        </w:rPr>
        <w:t>了《基金合同》及国家有关法律法规规定，应呈报中国证监会和其他监管部门，并采取必要</w:t>
      </w:r>
      <w:r>
        <w:rPr>
          <w:sz w:val="21"/>
        </w:rPr>
        <w:t>措施保护投资者的利益；</w:t>
      </w:r>
    </w:p>
    <w:p>
      <w:pPr>
        <w:pStyle w:val="ListParagraph"/>
        <w:numPr>
          <w:ilvl w:val="0"/>
          <w:numId w:val="49"/>
        </w:numPr>
        <w:tabs>
          <w:tab w:pos="1323" w:val="left" w:leader="none"/>
        </w:tabs>
        <w:spacing w:line="268" w:lineRule="exact" w:before="0" w:after="0"/>
        <w:ind w:left="1323" w:right="0" w:hanging="527"/>
        <w:jc w:val="left"/>
        <w:rPr>
          <w:sz w:val="21"/>
        </w:rPr>
      </w:pPr>
      <w:r>
        <w:rPr>
          <w:sz w:val="21"/>
        </w:rPr>
        <w:t>在基金托管人更换时，提名新的基金托管人；</w:t>
      </w:r>
    </w:p>
    <w:p>
      <w:pPr>
        <w:pStyle w:val="ListParagraph"/>
        <w:numPr>
          <w:ilvl w:val="0"/>
          <w:numId w:val="49"/>
        </w:numPr>
        <w:tabs>
          <w:tab w:pos="1323" w:val="left" w:leader="none"/>
        </w:tabs>
        <w:spacing w:line="240" w:lineRule="auto" w:before="139" w:after="0"/>
        <w:ind w:left="1323" w:right="0" w:hanging="527"/>
        <w:jc w:val="left"/>
        <w:rPr>
          <w:sz w:val="21"/>
        </w:rPr>
      </w:pPr>
      <w:r>
        <w:rPr>
          <w:sz w:val="21"/>
        </w:rPr>
        <w:t>选择、委托、更换基金代销机构，对基金代销机构的相关行为进行监督和处理；</w:t>
      </w:r>
    </w:p>
    <w:p>
      <w:pPr>
        <w:pStyle w:val="ListParagraph"/>
        <w:numPr>
          <w:ilvl w:val="0"/>
          <w:numId w:val="49"/>
        </w:numPr>
        <w:tabs>
          <w:tab w:pos="1324" w:val="left" w:leader="none"/>
        </w:tabs>
        <w:spacing w:line="240" w:lineRule="auto" w:before="140" w:after="0"/>
        <w:ind w:left="1323" w:right="0" w:hanging="528"/>
        <w:jc w:val="left"/>
        <w:rPr>
          <w:sz w:val="21"/>
        </w:rPr>
      </w:pPr>
      <w:r>
        <w:rPr>
          <w:sz w:val="21"/>
        </w:rPr>
        <w:t>担任或委托其他符合条件的机构担任登记结算机构办理基金登记结算业务并获得</w:t>
      </w:r>
    </w:p>
    <w:p>
      <w:pPr>
        <w:pStyle w:val="BodyText"/>
        <w:spacing w:before="139"/>
        <w:ind w:left="376"/>
      </w:pPr>
      <w:r>
        <w:rPr/>
        <w:t>《基金合同》规定的费用；</w:t>
      </w:r>
    </w:p>
    <w:p>
      <w:pPr>
        <w:pStyle w:val="BodyText"/>
        <w:spacing w:before="140"/>
      </w:pPr>
      <w:r>
        <w:rPr/>
        <w:t>（10)依据《基金合同》及有关法律法规规定决定基金收益的分配方案；</w:t>
      </w:r>
    </w:p>
    <w:p>
      <w:pPr>
        <w:pStyle w:val="BodyText"/>
        <w:spacing w:before="139"/>
      </w:pPr>
      <w:r>
        <w:rPr/>
        <w:t>（11)在《基金合同》约定的范围内，拒绝或暂停受理申购与赎回申请；</w:t>
      </w:r>
    </w:p>
    <w:p>
      <w:pPr>
        <w:pStyle w:val="ListParagraph"/>
        <w:numPr>
          <w:ilvl w:val="0"/>
          <w:numId w:val="50"/>
        </w:numPr>
        <w:tabs>
          <w:tab w:pos="1428" w:val="left" w:leader="none"/>
        </w:tabs>
        <w:spacing w:line="364" w:lineRule="auto" w:before="140" w:after="0"/>
        <w:ind w:left="376" w:right="794" w:firstLine="420"/>
        <w:jc w:val="left"/>
        <w:rPr>
          <w:sz w:val="21"/>
        </w:rPr>
      </w:pPr>
      <w:r>
        <w:rPr>
          <w:spacing w:val="-6"/>
          <w:sz w:val="21"/>
        </w:rPr>
        <w:t>在符合有关法律法规和《基金合同》的前提下，制订和调整业务规则，决定和调</w:t>
      </w:r>
      <w:r>
        <w:rPr>
          <w:sz w:val="21"/>
        </w:rPr>
        <w:t>整除调高管理费率和托管费率之外的基金相关费率和收费方式；</w:t>
      </w:r>
    </w:p>
    <w:p>
      <w:pPr>
        <w:pStyle w:val="ListParagraph"/>
        <w:numPr>
          <w:ilvl w:val="0"/>
          <w:numId w:val="50"/>
        </w:numPr>
        <w:tabs>
          <w:tab w:pos="1428" w:val="left" w:leader="none"/>
        </w:tabs>
        <w:spacing w:line="364" w:lineRule="auto" w:before="0" w:after="0"/>
        <w:ind w:left="376" w:right="794" w:firstLine="420"/>
        <w:jc w:val="left"/>
        <w:rPr>
          <w:sz w:val="21"/>
        </w:rPr>
      </w:pPr>
      <w:r>
        <w:rPr>
          <w:spacing w:val="-2"/>
          <w:sz w:val="21"/>
        </w:rPr>
        <w:t>依照法律法规为基金的利益行使因基金财产投资于证券</w:t>
      </w:r>
      <w:r>
        <w:rPr>
          <w:sz w:val="21"/>
        </w:rPr>
        <w:t>（包括基金</w:t>
      </w:r>
      <w:r>
        <w:rPr>
          <w:spacing w:val="-30"/>
          <w:sz w:val="21"/>
        </w:rPr>
        <w:t>）</w:t>
      </w:r>
      <w:r>
        <w:rPr>
          <w:sz w:val="21"/>
        </w:rPr>
        <w:t>所产生的</w:t>
      </w:r>
      <w:r>
        <w:rPr>
          <w:spacing w:val="-5"/>
          <w:sz w:val="21"/>
        </w:rPr>
        <w:t>权利；</w:t>
      </w:r>
    </w:p>
    <w:p>
      <w:pPr>
        <w:pStyle w:val="ListParagraph"/>
        <w:numPr>
          <w:ilvl w:val="0"/>
          <w:numId w:val="50"/>
        </w:numPr>
        <w:tabs>
          <w:tab w:pos="1428" w:val="left" w:leader="none"/>
        </w:tabs>
        <w:spacing w:line="268" w:lineRule="exact" w:before="0" w:after="0"/>
        <w:ind w:left="1428" w:right="0" w:hanging="632"/>
        <w:jc w:val="left"/>
        <w:rPr>
          <w:sz w:val="21"/>
        </w:rPr>
      </w:pPr>
      <w:r>
        <w:rPr>
          <w:sz w:val="21"/>
        </w:rPr>
        <w:t>在法律法规允许的前提下，为基金的利益依法为基金进行融资；</w:t>
      </w:r>
    </w:p>
    <w:p>
      <w:pPr>
        <w:pStyle w:val="ListParagraph"/>
        <w:numPr>
          <w:ilvl w:val="0"/>
          <w:numId w:val="50"/>
        </w:numPr>
        <w:tabs>
          <w:tab w:pos="1428" w:val="left" w:leader="none"/>
        </w:tabs>
        <w:spacing w:line="364" w:lineRule="auto" w:before="138" w:after="0"/>
        <w:ind w:left="376" w:right="794"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50"/>
        </w:numPr>
        <w:tabs>
          <w:tab w:pos="1428" w:val="left" w:leader="none"/>
        </w:tabs>
        <w:spacing w:line="364" w:lineRule="auto" w:before="0" w:after="0"/>
        <w:ind w:left="376" w:right="794"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50"/>
        </w:numPr>
        <w:tabs>
          <w:tab w:pos="1428" w:val="left" w:leader="none"/>
        </w:tabs>
        <w:spacing w:line="268" w:lineRule="exact" w:before="0" w:after="0"/>
        <w:ind w:left="1428" w:right="0" w:hanging="632"/>
        <w:jc w:val="left"/>
        <w:rPr>
          <w:sz w:val="21"/>
        </w:rPr>
      </w:pPr>
      <w:r>
        <w:rPr>
          <w:sz w:val="21"/>
        </w:rPr>
        <w:t>选择、更换或撤销境外投资顾问；</w:t>
      </w:r>
    </w:p>
    <w:p>
      <w:pPr>
        <w:pStyle w:val="ListParagraph"/>
        <w:numPr>
          <w:ilvl w:val="0"/>
          <w:numId w:val="50"/>
        </w:numPr>
        <w:tabs>
          <w:tab w:pos="1428" w:val="left" w:leader="none"/>
        </w:tabs>
        <w:spacing w:line="240" w:lineRule="auto" w:before="139" w:after="0"/>
        <w:ind w:left="1428" w:right="0" w:hanging="632"/>
        <w:jc w:val="left"/>
        <w:rPr>
          <w:sz w:val="21"/>
        </w:rPr>
      </w:pPr>
      <w:r>
        <w:rPr>
          <w:sz w:val="21"/>
        </w:rPr>
        <w:t>法律法规和《基金合同》规定的其他权利。</w:t>
      </w:r>
    </w:p>
    <w:p>
      <w:pPr>
        <w:pStyle w:val="BodyText"/>
        <w:spacing w:before="139"/>
      </w:pPr>
      <w:r>
        <w:rPr/>
        <w:t>2、根据《基金法》、《运作办法》及其他有关规定，基金管理人的义务包括但不限于：</w:t>
      </w:r>
    </w:p>
    <w:p>
      <w:pPr>
        <w:pStyle w:val="ListParagraph"/>
        <w:numPr>
          <w:ilvl w:val="0"/>
          <w:numId w:val="51"/>
        </w:numPr>
        <w:tabs>
          <w:tab w:pos="1324" w:val="left" w:leader="none"/>
        </w:tabs>
        <w:spacing w:line="364" w:lineRule="auto" w:before="139" w:after="0"/>
        <w:ind w:left="376" w:right="795" w:firstLine="420"/>
        <w:jc w:val="left"/>
        <w:rPr>
          <w:sz w:val="21"/>
        </w:rPr>
      </w:pPr>
      <w:r>
        <w:rPr>
          <w:sz w:val="21"/>
        </w:rPr>
        <w:t>依法募集基金，办理或者委托经中国证监会认定的其他机构代为办理基金份额的发售、申购、赎回和登记事宜；</w:t>
      </w:r>
    </w:p>
    <w:p>
      <w:pPr>
        <w:pStyle w:val="ListParagraph"/>
        <w:numPr>
          <w:ilvl w:val="0"/>
          <w:numId w:val="51"/>
        </w:numPr>
        <w:tabs>
          <w:tab w:pos="1323" w:val="left" w:leader="none"/>
        </w:tabs>
        <w:spacing w:line="268" w:lineRule="exact" w:before="0" w:after="0"/>
        <w:ind w:left="1323" w:right="0" w:hanging="527"/>
        <w:jc w:val="left"/>
        <w:rPr>
          <w:sz w:val="21"/>
        </w:rPr>
      </w:pPr>
      <w:r>
        <w:rPr>
          <w:sz w:val="21"/>
        </w:rPr>
        <w:t>办理基金备案手续；</w:t>
      </w:r>
    </w:p>
    <w:p>
      <w:pPr>
        <w:pStyle w:val="ListParagraph"/>
        <w:numPr>
          <w:ilvl w:val="0"/>
          <w:numId w:val="51"/>
        </w:numPr>
        <w:tabs>
          <w:tab w:pos="1324" w:val="left" w:leader="none"/>
        </w:tabs>
        <w:spacing w:line="240" w:lineRule="auto" w:before="140" w:after="0"/>
        <w:ind w:left="1323" w:right="0" w:hanging="528"/>
        <w:jc w:val="left"/>
        <w:rPr>
          <w:sz w:val="21"/>
        </w:rPr>
      </w:pPr>
      <w:r>
        <w:rPr>
          <w:sz w:val="21"/>
        </w:rPr>
        <w:t>自《基金合同》生效之日起，以诚实信用、勤勉尽责的原则管理和运用基金财产；</w:t>
      </w:r>
    </w:p>
    <w:p>
      <w:pPr>
        <w:pStyle w:val="ListParagraph"/>
        <w:numPr>
          <w:ilvl w:val="0"/>
          <w:numId w:val="51"/>
        </w:numPr>
        <w:tabs>
          <w:tab w:pos="1324" w:val="left" w:leader="none"/>
        </w:tabs>
        <w:spacing w:line="364" w:lineRule="auto" w:before="139" w:after="0"/>
        <w:ind w:left="376" w:right="795" w:firstLine="420"/>
        <w:jc w:val="left"/>
        <w:rPr>
          <w:sz w:val="21"/>
        </w:rPr>
      </w:pPr>
      <w:r>
        <w:rPr>
          <w:sz w:val="21"/>
        </w:rPr>
        <w:t>配备足够的具有专业资格的人员进行基金投资分析、决策，以专业化的经营方式管理和运作基金财产；</w:t>
      </w:r>
    </w:p>
    <w:p>
      <w:pPr>
        <w:pStyle w:val="ListParagraph"/>
        <w:numPr>
          <w:ilvl w:val="0"/>
          <w:numId w:val="51"/>
        </w:numPr>
        <w:tabs>
          <w:tab w:pos="1324" w:val="left" w:leader="none"/>
        </w:tabs>
        <w:spacing w:line="268" w:lineRule="exact" w:before="0" w:after="0"/>
        <w:ind w:left="1323" w:right="0" w:hanging="528"/>
        <w:jc w:val="left"/>
        <w:rPr>
          <w:sz w:val="21"/>
        </w:rPr>
      </w:pPr>
      <w:r>
        <w:rPr>
          <w:sz w:val="21"/>
        </w:rPr>
        <w:t>建立健全内部风险控制、监察与稽核、财务管理及人事管理等制度，保证所管理</w:t>
      </w:r>
    </w:p>
    <w:p>
      <w:pPr>
        <w:spacing w:after="0" w:line="268" w:lineRule="exact"/>
        <w:jc w:val="left"/>
        <w:rPr>
          <w:sz w:val="21"/>
        </w:rPr>
        <w:sectPr>
          <w:pgSz w:w="11910" w:h="16840"/>
          <w:pgMar w:header="0" w:footer="1118" w:top="1380" w:bottom="1380" w:left="1420" w:right="1000"/>
        </w:sectPr>
      </w:pPr>
    </w:p>
    <w:p>
      <w:pPr>
        <w:pStyle w:val="BodyText"/>
        <w:spacing w:line="364" w:lineRule="auto" w:before="45"/>
        <w:ind w:left="376" w:right="714"/>
      </w:pPr>
      <w:r>
        <w:rPr/>
        <w:t>的基金财产和基金管理人的财产相互独立，对所管理的不同基金分别管理，分别记账，进行证券投资；</w:t>
      </w:r>
    </w:p>
    <w:p>
      <w:pPr>
        <w:pStyle w:val="ListParagraph"/>
        <w:numPr>
          <w:ilvl w:val="0"/>
          <w:numId w:val="51"/>
        </w:numPr>
        <w:tabs>
          <w:tab w:pos="1324" w:val="left" w:leader="none"/>
        </w:tabs>
        <w:spacing w:line="364" w:lineRule="auto" w:before="0" w:after="0"/>
        <w:ind w:left="376" w:right="795" w:firstLine="420"/>
        <w:jc w:val="left"/>
        <w:rPr>
          <w:sz w:val="21"/>
        </w:rPr>
      </w:pPr>
      <w:r>
        <w:rPr>
          <w:spacing w:val="-16"/>
          <w:sz w:val="21"/>
        </w:rPr>
        <w:t>除依据《基金法》、《基金合同》及其他有关规定外，不得利用基金财产为自己及任何第三人谋取利益，不得委托第三人运作基金财产；</w:t>
      </w:r>
    </w:p>
    <w:p>
      <w:pPr>
        <w:pStyle w:val="ListParagraph"/>
        <w:numPr>
          <w:ilvl w:val="0"/>
          <w:numId w:val="51"/>
        </w:numPr>
        <w:tabs>
          <w:tab w:pos="1323" w:val="left" w:leader="none"/>
        </w:tabs>
        <w:spacing w:line="268" w:lineRule="exact" w:before="0" w:after="0"/>
        <w:ind w:left="1323" w:right="0" w:hanging="527"/>
        <w:jc w:val="left"/>
        <w:rPr>
          <w:sz w:val="21"/>
        </w:rPr>
      </w:pPr>
      <w:r>
        <w:rPr>
          <w:sz w:val="21"/>
        </w:rPr>
        <w:t>依法接受基金托管人的监督；</w:t>
      </w:r>
    </w:p>
    <w:p>
      <w:pPr>
        <w:pStyle w:val="ListParagraph"/>
        <w:numPr>
          <w:ilvl w:val="0"/>
          <w:numId w:val="51"/>
        </w:numPr>
        <w:tabs>
          <w:tab w:pos="1324" w:val="left" w:leader="none"/>
        </w:tabs>
        <w:spacing w:line="364" w:lineRule="auto" w:before="138" w:after="0"/>
        <w:ind w:left="376" w:right="794" w:firstLine="420"/>
        <w:jc w:val="both"/>
        <w:rPr>
          <w:sz w:val="21"/>
        </w:rPr>
      </w:pPr>
      <w:r>
        <w:rPr>
          <w:sz w:val="21"/>
        </w:rPr>
        <w:t>采取适当合理的措施使计算基金份额认购、申购和赎回价格的方法符合《基金合</w:t>
      </w:r>
      <w:r>
        <w:rPr>
          <w:spacing w:val="-10"/>
          <w:sz w:val="21"/>
        </w:rPr>
        <w:t>同》等法律文件的规定，按有关规定计算并公告基金净值信息，确定基金份额申购、赎回的</w:t>
      </w:r>
      <w:r>
        <w:rPr>
          <w:sz w:val="21"/>
        </w:rPr>
        <w:t>价格；</w:t>
      </w:r>
    </w:p>
    <w:p>
      <w:pPr>
        <w:pStyle w:val="ListParagraph"/>
        <w:numPr>
          <w:ilvl w:val="0"/>
          <w:numId w:val="51"/>
        </w:numPr>
        <w:tabs>
          <w:tab w:pos="1323" w:val="left" w:leader="none"/>
        </w:tabs>
        <w:spacing w:line="268" w:lineRule="exact" w:before="0" w:after="0"/>
        <w:ind w:left="1323" w:right="0" w:hanging="527"/>
        <w:jc w:val="left"/>
        <w:rPr>
          <w:sz w:val="21"/>
        </w:rPr>
      </w:pPr>
      <w:r>
        <w:rPr>
          <w:sz w:val="21"/>
        </w:rPr>
        <w:t>进行基金会计核算并编制基金财务会计报告；</w:t>
      </w:r>
    </w:p>
    <w:p>
      <w:pPr>
        <w:pStyle w:val="ListParagraph"/>
        <w:numPr>
          <w:ilvl w:val="0"/>
          <w:numId w:val="51"/>
        </w:numPr>
        <w:tabs>
          <w:tab w:pos="1428" w:val="left" w:leader="none"/>
        </w:tabs>
        <w:spacing w:line="240" w:lineRule="auto" w:before="140" w:after="0"/>
        <w:ind w:left="1428" w:right="0" w:hanging="632"/>
        <w:jc w:val="left"/>
        <w:rPr>
          <w:sz w:val="21"/>
        </w:rPr>
      </w:pPr>
      <w:r>
        <w:rPr>
          <w:sz w:val="21"/>
        </w:rPr>
        <w:t>编制季度报告、中期报告和年度报告；</w:t>
      </w:r>
    </w:p>
    <w:p>
      <w:pPr>
        <w:pStyle w:val="ListParagraph"/>
        <w:numPr>
          <w:ilvl w:val="0"/>
          <w:numId w:val="51"/>
        </w:numPr>
        <w:tabs>
          <w:tab w:pos="1437" w:val="left" w:leader="none"/>
        </w:tabs>
        <w:spacing w:line="240" w:lineRule="auto" w:before="139" w:after="0"/>
        <w:ind w:left="1436" w:right="0" w:hanging="641"/>
        <w:jc w:val="left"/>
        <w:rPr>
          <w:sz w:val="21"/>
        </w:rPr>
      </w:pPr>
      <w:r>
        <w:rPr>
          <w:spacing w:val="-12"/>
          <w:sz w:val="21"/>
        </w:rPr>
        <w:t>严格按照《基金法》、《基金合同》及其他有关规定，履行信息披露及报告义务；</w:t>
      </w:r>
    </w:p>
    <w:p>
      <w:pPr>
        <w:pStyle w:val="ListParagraph"/>
        <w:numPr>
          <w:ilvl w:val="0"/>
          <w:numId w:val="51"/>
        </w:numPr>
        <w:tabs>
          <w:tab w:pos="1428" w:val="left" w:leader="none"/>
        </w:tabs>
        <w:spacing w:line="364" w:lineRule="auto" w:before="140" w:after="0"/>
        <w:ind w:left="376" w:right="794" w:firstLine="420"/>
        <w:jc w:val="left"/>
        <w:rPr>
          <w:sz w:val="21"/>
        </w:rPr>
      </w:pPr>
      <w:r>
        <w:rPr>
          <w:spacing w:val="-13"/>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51"/>
        </w:numPr>
        <w:tabs>
          <w:tab w:pos="1428" w:val="left" w:leader="none"/>
        </w:tabs>
        <w:spacing w:line="364" w:lineRule="auto" w:before="0" w:after="0"/>
        <w:ind w:left="376" w:right="794" w:firstLine="420"/>
        <w:jc w:val="left"/>
        <w:rPr>
          <w:sz w:val="21"/>
        </w:rPr>
      </w:pPr>
      <w:r>
        <w:rPr>
          <w:spacing w:val="-8"/>
          <w:sz w:val="21"/>
        </w:rPr>
        <w:t>按《基金合同》的约定确定基金收益分配方案，及时向基金份额持有人分配基</w:t>
      </w:r>
      <w:r>
        <w:rPr>
          <w:spacing w:val="-4"/>
          <w:sz w:val="21"/>
        </w:rPr>
        <w:t>金收益；</w:t>
      </w:r>
    </w:p>
    <w:p>
      <w:pPr>
        <w:pStyle w:val="ListParagraph"/>
        <w:numPr>
          <w:ilvl w:val="0"/>
          <w:numId w:val="51"/>
        </w:numPr>
        <w:tabs>
          <w:tab w:pos="1428" w:val="left" w:leader="none"/>
        </w:tabs>
        <w:spacing w:line="268" w:lineRule="exact" w:before="0" w:after="0"/>
        <w:ind w:left="1428" w:right="0" w:hanging="632"/>
        <w:jc w:val="left"/>
        <w:rPr>
          <w:sz w:val="21"/>
        </w:rPr>
      </w:pPr>
      <w:r>
        <w:rPr>
          <w:sz w:val="21"/>
        </w:rPr>
        <w:t>按规定受理申购与赎回申请，及时、足额支付赎回款项；</w:t>
      </w:r>
    </w:p>
    <w:p>
      <w:pPr>
        <w:pStyle w:val="ListParagraph"/>
        <w:numPr>
          <w:ilvl w:val="0"/>
          <w:numId w:val="51"/>
        </w:numPr>
        <w:tabs>
          <w:tab w:pos="1428" w:val="left" w:leader="none"/>
        </w:tabs>
        <w:spacing w:line="364" w:lineRule="auto" w:before="138" w:after="0"/>
        <w:ind w:left="376" w:right="794"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51"/>
        </w:numPr>
        <w:tabs>
          <w:tab w:pos="1429" w:val="left" w:leader="none"/>
        </w:tabs>
        <w:spacing w:line="268" w:lineRule="exact" w:before="0" w:after="0"/>
        <w:ind w:left="1428" w:right="0" w:hanging="633"/>
        <w:jc w:val="left"/>
        <w:rPr>
          <w:sz w:val="21"/>
        </w:rPr>
      </w:pPr>
      <w:r>
        <w:rPr>
          <w:spacing w:val="-2"/>
          <w:sz w:val="21"/>
        </w:rPr>
        <w:t>按规定保存基金财产管理业务活动的会计账册、报表、记录和其他相关资料 </w:t>
      </w:r>
      <w:r>
        <w:rPr>
          <w:sz w:val="21"/>
        </w:rPr>
        <w:t>15</w:t>
      </w:r>
    </w:p>
    <w:p>
      <w:pPr>
        <w:pStyle w:val="BodyText"/>
        <w:spacing w:before="140"/>
        <w:ind w:left="376"/>
      </w:pPr>
      <w:r>
        <w:rPr/>
        <w:t>年以上；</w:t>
      </w:r>
    </w:p>
    <w:p>
      <w:pPr>
        <w:pStyle w:val="ListParagraph"/>
        <w:numPr>
          <w:ilvl w:val="0"/>
          <w:numId w:val="51"/>
        </w:numPr>
        <w:tabs>
          <w:tab w:pos="1428" w:val="left" w:leader="none"/>
        </w:tabs>
        <w:spacing w:line="364" w:lineRule="auto" w:before="139" w:after="0"/>
        <w:ind w:left="376" w:right="794" w:firstLine="420"/>
        <w:jc w:val="both"/>
        <w:rPr>
          <w:sz w:val="21"/>
        </w:rPr>
      </w:pPr>
      <w:r>
        <w:rPr>
          <w:spacing w:val="-2"/>
          <w:sz w:val="21"/>
        </w:rPr>
        <w:t>确保需要向投资者提供的各项文件或资料在规定时间发出，并且保证投资者能</w:t>
      </w:r>
      <w:r>
        <w:rPr>
          <w:spacing w:val="-10"/>
          <w:sz w:val="21"/>
        </w:rPr>
        <w:t>够按照《基金合同》规定的时间和方式，随时查阅到与基金有关的公开资料，并在支付合理</w:t>
      </w:r>
      <w:r>
        <w:rPr>
          <w:spacing w:val="-4"/>
          <w:sz w:val="21"/>
        </w:rPr>
        <w:t>成本的条件下得到有关资料的复印件；</w:t>
      </w:r>
    </w:p>
    <w:p>
      <w:pPr>
        <w:pStyle w:val="ListParagraph"/>
        <w:numPr>
          <w:ilvl w:val="0"/>
          <w:numId w:val="51"/>
        </w:numPr>
        <w:tabs>
          <w:tab w:pos="1428" w:val="left" w:leader="none"/>
        </w:tabs>
        <w:spacing w:line="268" w:lineRule="exact" w:before="0" w:after="0"/>
        <w:ind w:left="1428" w:right="0" w:hanging="632"/>
        <w:jc w:val="left"/>
        <w:rPr>
          <w:sz w:val="21"/>
        </w:rPr>
      </w:pPr>
      <w:r>
        <w:rPr>
          <w:spacing w:val="-9"/>
          <w:sz w:val="21"/>
        </w:rPr>
        <w:t>组织并参加基金财产清算小组，参与基金财产的保管、清理、估价、变现和分配；</w:t>
      </w:r>
    </w:p>
    <w:p>
      <w:pPr>
        <w:pStyle w:val="ListParagraph"/>
        <w:numPr>
          <w:ilvl w:val="0"/>
          <w:numId w:val="51"/>
        </w:numPr>
        <w:tabs>
          <w:tab w:pos="1428" w:val="left" w:leader="none"/>
        </w:tabs>
        <w:spacing w:line="364" w:lineRule="auto" w:before="140" w:after="0"/>
        <w:ind w:left="376" w:right="794" w:firstLine="420"/>
        <w:jc w:val="left"/>
        <w:rPr>
          <w:sz w:val="21"/>
        </w:rPr>
      </w:pPr>
      <w:r>
        <w:rPr>
          <w:spacing w:val="-7"/>
          <w:sz w:val="21"/>
        </w:rPr>
        <w:t>面临解散、依法被撤销或者被依法宣告破产时，及时报告中国证监会并通知基</w:t>
      </w:r>
      <w:r>
        <w:rPr>
          <w:spacing w:val="-4"/>
          <w:sz w:val="21"/>
        </w:rPr>
        <w:t>金托管人；</w:t>
      </w:r>
    </w:p>
    <w:p>
      <w:pPr>
        <w:pStyle w:val="ListParagraph"/>
        <w:numPr>
          <w:ilvl w:val="0"/>
          <w:numId w:val="51"/>
        </w:numPr>
        <w:tabs>
          <w:tab w:pos="1428" w:val="left" w:leader="none"/>
        </w:tabs>
        <w:spacing w:line="364" w:lineRule="auto" w:before="0" w:after="0"/>
        <w:ind w:left="376" w:right="794" w:firstLine="420"/>
        <w:jc w:val="left"/>
        <w:rPr>
          <w:sz w:val="21"/>
        </w:rPr>
      </w:pPr>
      <w:r>
        <w:rPr>
          <w:spacing w:val="-8"/>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51"/>
        </w:numPr>
        <w:tabs>
          <w:tab w:pos="1428" w:val="left" w:leader="none"/>
        </w:tabs>
        <w:spacing w:line="364" w:lineRule="auto" w:before="0" w:after="0"/>
        <w:ind w:left="376" w:right="794"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5"/>
          <w:sz w:val="21"/>
        </w:rPr>
        <w:t>追偿；</w:t>
      </w:r>
    </w:p>
    <w:p>
      <w:pPr>
        <w:pStyle w:val="ListParagraph"/>
        <w:numPr>
          <w:ilvl w:val="0"/>
          <w:numId w:val="51"/>
        </w:numPr>
        <w:tabs>
          <w:tab w:pos="1428" w:val="left" w:leader="none"/>
        </w:tabs>
        <w:spacing w:line="268" w:lineRule="exact" w:before="0" w:after="0"/>
        <w:ind w:left="1428" w:right="0" w:hanging="632"/>
        <w:jc w:val="left"/>
        <w:rPr>
          <w:sz w:val="21"/>
        </w:rPr>
      </w:pPr>
      <w:r>
        <w:rPr>
          <w:spacing w:val="-10"/>
          <w:sz w:val="21"/>
        </w:rPr>
        <w:t>以基金管理人名义，代表基金份额持有人利益行使诉讼权利或实施其他法律行为；</w:t>
      </w:r>
    </w:p>
    <w:p>
      <w:pPr>
        <w:pStyle w:val="ListParagraph"/>
        <w:numPr>
          <w:ilvl w:val="0"/>
          <w:numId w:val="51"/>
        </w:numPr>
        <w:tabs>
          <w:tab w:pos="1429" w:val="left" w:leader="none"/>
        </w:tabs>
        <w:spacing w:line="364" w:lineRule="auto" w:before="137" w:after="0"/>
        <w:ind w:left="376" w:right="794" w:firstLine="420"/>
        <w:jc w:val="left"/>
        <w:rPr>
          <w:sz w:val="21"/>
        </w:rPr>
      </w:pPr>
      <w:r>
        <w:rPr>
          <w:spacing w:val="-5"/>
          <w:sz w:val="21"/>
        </w:rPr>
        <w:t>基金管理人在募集期间未能达到基金的备案条件，《基金合同》不能生效，基金</w:t>
      </w:r>
      <w:r>
        <w:rPr>
          <w:spacing w:val="-11"/>
          <w:sz w:val="21"/>
        </w:rPr>
        <w:t>管理人承担因募集行为而产生的债务和费用，将已募集资金并加计银行同期存款利息在基金</w:t>
      </w:r>
    </w:p>
    <w:p>
      <w:pPr>
        <w:spacing w:after="0" w:line="364" w:lineRule="auto"/>
        <w:jc w:val="left"/>
        <w:rPr>
          <w:sz w:val="21"/>
        </w:rPr>
        <w:sectPr>
          <w:pgSz w:w="11910" w:h="16840"/>
          <w:pgMar w:header="0" w:footer="1118" w:top="1380" w:bottom="1380" w:left="1420" w:right="1000"/>
        </w:sectPr>
      </w:pPr>
    </w:p>
    <w:p>
      <w:pPr>
        <w:pStyle w:val="BodyText"/>
        <w:spacing w:before="45"/>
        <w:ind w:left="376"/>
      </w:pPr>
      <w:r>
        <w:rPr/>
        <w:t>募集期结束后 30 日内退还基金认购人；</w:t>
      </w:r>
    </w:p>
    <w:p>
      <w:pPr>
        <w:pStyle w:val="ListParagraph"/>
        <w:numPr>
          <w:ilvl w:val="0"/>
          <w:numId w:val="51"/>
        </w:numPr>
        <w:tabs>
          <w:tab w:pos="1428" w:val="left" w:leader="none"/>
        </w:tabs>
        <w:spacing w:line="240" w:lineRule="auto" w:before="139" w:after="0"/>
        <w:ind w:left="1428" w:right="0" w:hanging="632"/>
        <w:jc w:val="left"/>
        <w:rPr>
          <w:sz w:val="21"/>
        </w:rPr>
      </w:pPr>
      <w:r>
        <w:rPr>
          <w:sz w:val="21"/>
        </w:rPr>
        <w:t>执行生效的基金份额持有人大会的决定；</w:t>
      </w:r>
    </w:p>
    <w:p>
      <w:pPr>
        <w:pStyle w:val="ListParagraph"/>
        <w:numPr>
          <w:ilvl w:val="0"/>
          <w:numId w:val="51"/>
        </w:numPr>
        <w:tabs>
          <w:tab w:pos="1428" w:val="left" w:leader="none"/>
        </w:tabs>
        <w:spacing w:line="364" w:lineRule="auto" w:before="140" w:after="0"/>
        <w:ind w:left="376" w:right="794" w:firstLine="420"/>
        <w:jc w:val="left"/>
        <w:rPr>
          <w:sz w:val="21"/>
        </w:rPr>
      </w:pPr>
      <w:r>
        <w:rPr>
          <w:spacing w:val="-3"/>
          <w:sz w:val="21"/>
        </w:rPr>
        <w:t>建立并保存基金份额持有人名册，定期或不定期向基金托管人提供基金份额持</w:t>
      </w:r>
      <w:r>
        <w:rPr>
          <w:spacing w:val="-4"/>
          <w:sz w:val="21"/>
        </w:rPr>
        <w:t>有人名册；</w:t>
      </w:r>
    </w:p>
    <w:p>
      <w:pPr>
        <w:pStyle w:val="ListParagraph"/>
        <w:numPr>
          <w:ilvl w:val="0"/>
          <w:numId w:val="51"/>
        </w:numPr>
        <w:tabs>
          <w:tab w:pos="1428" w:val="left" w:leader="none"/>
        </w:tabs>
        <w:spacing w:line="268" w:lineRule="exact" w:before="0" w:after="0"/>
        <w:ind w:left="1428" w:right="0" w:hanging="632"/>
        <w:jc w:val="left"/>
        <w:rPr>
          <w:sz w:val="21"/>
        </w:rPr>
      </w:pPr>
      <w:r>
        <w:rPr>
          <w:sz w:val="21"/>
        </w:rPr>
        <w:t>法律法规及中国证监会规定的和《基金合同》约定的其他义务。</w:t>
      </w:r>
    </w:p>
    <w:p>
      <w:pPr>
        <w:pStyle w:val="BodyText"/>
        <w:spacing w:before="139"/>
      </w:pPr>
      <w:r>
        <w:rPr/>
        <w:t>（三）基金托管人的权利与义务</w:t>
      </w:r>
    </w:p>
    <w:p>
      <w:pPr>
        <w:pStyle w:val="BodyText"/>
        <w:spacing w:before="140"/>
      </w:pPr>
      <w:r>
        <w:rPr/>
        <w:t>1、根据《基金法》、《运作办法》及其他有关规定，基金托管人的权利包括但不限于：</w:t>
      </w:r>
    </w:p>
    <w:p>
      <w:pPr>
        <w:pStyle w:val="ListParagraph"/>
        <w:numPr>
          <w:ilvl w:val="0"/>
          <w:numId w:val="52"/>
        </w:numPr>
        <w:tabs>
          <w:tab w:pos="1324" w:val="left" w:leader="none"/>
        </w:tabs>
        <w:spacing w:line="364" w:lineRule="auto" w:before="139" w:after="0"/>
        <w:ind w:left="376" w:right="795" w:firstLine="420"/>
        <w:jc w:val="left"/>
        <w:rPr>
          <w:sz w:val="21"/>
        </w:rPr>
      </w:pPr>
      <w:r>
        <w:rPr>
          <w:sz w:val="21"/>
        </w:rPr>
        <w:t>自《基金合同》生效之日起，依法律法规和《基金合同》的规定安全保管基金财产；</w:t>
      </w:r>
    </w:p>
    <w:p>
      <w:pPr>
        <w:pStyle w:val="ListParagraph"/>
        <w:numPr>
          <w:ilvl w:val="0"/>
          <w:numId w:val="52"/>
        </w:numPr>
        <w:tabs>
          <w:tab w:pos="1324" w:val="left" w:leader="none"/>
        </w:tabs>
        <w:spacing w:line="364" w:lineRule="auto" w:before="0" w:after="0"/>
        <w:ind w:left="376" w:right="795" w:firstLine="420"/>
        <w:jc w:val="left"/>
        <w:rPr>
          <w:sz w:val="21"/>
        </w:rPr>
      </w:pPr>
      <w:r>
        <w:rPr>
          <w:sz w:val="21"/>
        </w:rPr>
        <w:t>依《基金合同》约定获得基金托管费以及法律法规规定或监管部门批准的其他收入；</w:t>
      </w:r>
    </w:p>
    <w:p>
      <w:pPr>
        <w:pStyle w:val="ListParagraph"/>
        <w:numPr>
          <w:ilvl w:val="0"/>
          <w:numId w:val="52"/>
        </w:numPr>
        <w:tabs>
          <w:tab w:pos="1324" w:val="left" w:leader="none"/>
        </w:tabs>
        <w:spacing w:line="364" w:lineRule="auto" w:before="0" w:after="0"/>
        <w:ind w:left="376" w:right="794" w:firstLine="420"/>
        <w:jc w:val="both"/>
        <w:rPr>
          <w:sz w:val="21"/>
        </w:rPr>
      </w:pPr>
      <w:r>
        <w:rPr>
          <w:sz w:val="21"/>
        </w:rPr>
        <w:t>监督基金管理人对本基金的投资运作，如发现基金管理人有违反《基金合同》及</w:t>
      </w:r>
      <w:r>
        <w:rPr>
          <w:spacing w:val="-8"/>
          <w:sz w:val="21"/>
        </w:rPr>
        <w:t>国家法律法规行为，对基金财产、其他基金合同当事人的利益造成重大损失的情形，应呈报</w:t>
      </w:r>
      <w:r>
        <w:rPr>
          <w:sz w:val="21"/>
        </w:rPr>
        <w:t>中国证监会，并采取必要措施保护投资者的利益；</w:t>
      </w:r>
    </w:p>
    <w:p>
      <w:pPr>
        <w:pStyle w:val="ListParagraph"/>
        <w:numPr>
          <w:ilvl w:val="0"/>
          <w:numId w:val="52"/>
        </w:numPr>
        <w:tabs>
          <w:tab w:pos="1323" w:val="left" w:leader="none"/>
        </w:tabs>
        <w:spacing w:line="268" w:lineRule="exact" w:before="0" w:after="0"/>
        <w:ind w:left="1323" w:right="0" w:hanging="527"/>
        <w:jc w:val="left"/>
        <w:rPr>
          <w:sz w:val="21"/>
        </w:rPr>
      </w:pPr>
      <w:r>
        <w:rPr>
          <w:sz w:val="21"/>
        </w:rPr>
        <w:t>选择、更换或撤销境外托管人；</w:t>
      </w:r>
    </w:p>
    <w:p>
      <w:pPr>
        <w:pStyle w:val="ListParagraph"/>
        <w:numPr>
          <w:ilvl w:val="0"/>
          <w:numId w:val="52"/>
        </w:numPr>
        <w:tabs>
          <w:tab w:pos="1323" w:val="left" w:leader="none"/>
        </w:tabs>
        <w:spacing w:line="240" w:lineRule="auto" w:before="138" w:after="0"/>
        <w:ind w:left="1323" w:right="0" w:hanging="527"/>
        <w:jc w:val="left"/>
        <w:rPr>
          <w:sz w:val="21"/>
        </w:rPr>
      </w:pPr>
      <w:r>
        <w:rPr>
          <w:sz w:val="21"/>
        </w:rPr>
        <w:t>按规定开设基金财产的资金账户和证券账户；</w:t>
      </w:r>
    </w:p>
    <w:p>
      <w:pPr>
        <w:pStyle w:val="ListParagraph"/>
        <w:numPr>
          <w:ilvl w:val="0"/>
          <w:numId w:val="52"/>
        </w:numPr>
        <w:tabs>
          <w:tab w:pos="1323" w:val="left" w:leader="none"/>
        </w:tabs>
        <w:spacing w:line="240" w:lineRule="auto" w:before="139" w:after="0"/>
        <w:ind w:left="1323" w:right="0" w:hanging="527"/>
        <w:jc w:val="left"/>
        <w:rPr>
          <w:sz w:val="21"/>
        </w:rPr>
      </w:pPr>
      <w:r>
        <w:rPr>
          <w:sz w:val="21"/>
        </w:rPr>
        <w:t>提议召开或召集基金份额持有人大会；</w:t>
      </w:r>
    </w:p>
    <w:p>
      <w:pPr>
        <w:pStyle w:val="ListParagraph"/>
        <w:numPr>
          <w:ilvl w:val="0"/>
          <w:numId w:val="52"/>
        </w:numPr>
        <w:tabs>
          <w:tab w:pos="1323" w:val="left" w:leader="none"/>
        </w:tabs>
        <w:spacing w:line="240" w:lineRule="auto" w:before="140" w:after="0"/>
        <w:ind w:left="1323" w:right="0" w:hanging="527"/>
        <w:jc w:val="left"/>
        <w:rPr>
          <w:sz w:val="21"/>
        </w:rPr>
      </w:pPr>
      <w:r>
        <w:rPr>
          <w:sz w:val="21"/>
        </w:rPr>
        <w:t>在基金管理人更换时，提名新的基金管理人；</w:t>
      </w:r>
    </w:p>
    <w:p>
      <w:pPr>
        <w:pStyle w:val="ListParagraph"/>
        <w:numPr>
          <w:ilvl w:val="0"/>
          <w:numId w:val="52"/>
        </w:numPr>
        <w:tabs>
          <w:tab w:pos="1323" w:val="left" w:leader="none"/>
        </w:tabs>
        <w:spacing w:line="240" w:lineRule="auto" w:before="139" w:after="0"/>
        <w:ind w:left="1323" w:right="0" w:hanging="527"/>
        <w:jc w:val="left"/>
        <w:rPr>
          <w:sz w:val="21"/>
        </w:rPr>
      </w:pPr>
      <w:r>
        <w:rPr>
          <w:sz w:val="21"/>
        </w:rPr>
        <w:t>法律法规和《基金合同》规定的其他权利。</w:t>
      </w:r>
    </w:p>
    <w:p>
      <w:pPr>
        <w:pStyle w:val="BodyText"/>
        <w:spacing w:before="139"/>
      </w:pPr>
      <w:r>
        <w:rPr/>
        <w:t>2、根据《基金法》、《运作办法》及其他有关规定，基金托管人的义务包括但不限于：</w:t>
      </w:r>
    </w:p>
    <w:p>
      <w:pPr>
        <w:pStyle w:val="ListParagraph"/>
        <w:numPr>
          <w:ilvl w:val="0"/>
          <w:numId w:val="53"/>
        </w:numPr>
        <w:tabs>
          <w:tab w:pos="1323" w:val="left" w:leader="none"/>
        </w:tabs>
        <w:spacing w:line="240" w:lineRule="auto" w:before="140" w:after="0"/>
        <w:ind w:left="1323" w:right="0" w:hanging="527"/>
        <w:jc w:val="left"/>
        <w:rPr>
          <w:sz w:val="21"/>
        </w:rPr>
      </w:pPr>
      <w:r>
        <w:rPr>
          <w:sz w:val="21"/>
        </w:rPr>
        <w:t>以诚实信用、勤勉尽责的原则持有并安全保管基金财产；</w:t>
      </w:r>
    </w:p>
    <w:p>
      <w:pPr>
        <w:pStyle w:val="ListParagraph"/>
        <w:numPr>
          <w:ilvl w:val="0"/>
          <w:numId w:val="53"/>
        </w:numPr>
        <w:tabs>
          <w:tab w:pos="1324" w:val="left" w:leader="none"/>
        </w:tabs>
        <w:spacing w:line="364" w:lineRule="auto" w:before="139" w:after="0"/>
        <w:ind w:left="376" w:right="795"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53"/>
        </w:numPr>
        <w:tabs>
          <w:tab w:pos="1324" w:val="left" w:leader="none"/>
        </w:tabs>
        <w:spacing w:line="364" w:lineRule="auto" w:before="0" w:after="0"/>
        <w:ind w:left="376" w:right="585"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产的安全，保证其托管的基金财产与基金托管人固有财产以及不同的基金财产相互独立；对 </w:t>
      </w:r>
      <w:r>
        <w:rPr>
          <w:sz w:val="21"/>
        </w:rPr>
        <w:t>所托管的不同的基金分别设置账户，独立核算，分账管理，保证不同基金之间在名册登记、账户设置、资金划拨、账册记录等方面相互独立；</w:t>
      </w:r>
    </w:p>
    <w:p>
      <w:pPr>
        <w:pStyle w:val="ListParagraph"/>
        <w:numPr>
          <w:ilvl w:val="0"/>
          <w:numId w:val="53"/>
        </w:numPr>
        <w:tabs>
          <w:tab w:pos="1324" w:val="left" w:leader="none"/>
        </w:tabs>
        <w:spacing w:line="364" w:lineRule="auto" w:before="0" w:after="0"/>
        <w:ind w:left="376" w:right="795" w:firstLine="420"/>
        <w:jc w:val="left"/>
        <w:rPr>
          <w:sz w:val="21"/>
        </w:rPr>
      </w:pPr>
      <w:r>
        <w:rPr>
          <w:spacing w:val="-16"/>
          <w:sz w:val="21"/>
        </w:rPr>
        <w:t>除依据《基金法》、《基金合同》及其他有关规定外，不得利用基金财产为自己及任何第三人谋取利益；</w:t>
      </w:r>
    </w:p>
    <w:p>
      <w:pPr>
        <w:pStyle w:val="ListParagraph"/>
        <w:numPr>
          <w:ilvl w:val="0"/>
          <w:numId w:val="53"/>
        </w:numPr>
        <w:tabs>
          <w:tab w:pos="1323" w:val="left" w:leader="none"/>
        </w:tabs>
        <w:spacing w:line="268" w:lineRule="exact" w:before="0" w:after="0"/>
        <w:ind w:left="1323" w:right="0" w:hanging="527"/>
        <w:jc w:val="left"/>
        <w:rPr>
          <w:sz w:val="21"/>
        </w:rPr>
      </w:pPr>
      <w:r>
        <w:rPr>
          <w:sz w:val="21"/>
        </w:rPr>
        <w:t>保管由基金管理人代表基金签订的与基金有关的重大合同及有关凭证；</w:t>
      </w:r>
    </w:p>
    <w:p>
      <w:pPr>
        <w:pStyle w:val="ListParagraph"/>
        <w:numPr>
          <w:ilvl w:val="0"/>
          <w:numId w:val="53"/>
        </w:numPr>
        <w:tabs>
          <w:tab w:pos="1324" w:val="left" w:leader="none"/>
        </w:tabs>
        <w:spacing w:line="364" w:lineRule="auto" w:before="137" w:after="0"/>
        <w:ind w:left="376" w:right="795" w:firstLine="420"/>
        <w:jc w:val="left"/>
        <w:rPr>
          <w:sz w:val="21"/>
        </w:rPr>
      </w:pPr>
      <w:r>
        <w:rPr>
          <w:sz w:val="21"/>
        </w:rPr>
        <w:t>按规定开设基金财产的资金账户和证券账户，按照有关法律法规和《基金合同》的约定，根据基金管理人或其授权人的投资指令，及时办理清算、交割事宜；</w:t>
      </w:r>
    </w:p>
    <w:p>
      <w:pPr>
        <w:pStyle w:val="ListParagraph"/>
        <w:numPr>
          <w:ilvl w:val="0"/>
          <w:numId w:val="53"/>
        </w:numPr>
        <w:tabs>
          <w:tab w:pos="1324" w:val="left" w:leader="none"/>
        </w:tabs>
        <w:spacing w:line="364" w:lineRule="auto" w:before="0" w:after="0"/>
        <w:ind w:left="376" w:right="795" w:firstLine="420"/>
        <w:jc w:val="left"/>
        <w:rPr>
          <w:sz w:val="21"/>
        </w:rPr>
      </w:pPr>
      <w:r>
        <w:rPr>
          <w:spacing w:val="-14"/>
          <w:sz w:val="21"/>
        </w:rPr>
        <w:t>保守基金商业秘密，除《基金法》、《基金合同》及其他有关规定另有规定外，在基金信息公开披露前予以保密，不得向他人泄露；</w:t>
      </w:r>
    </w:p>
    <w:p>
      <w:pPr>
        <w:spacing w:after="0" w:line="364" w:lineRule="auto"/>
        <w:jc w:val="left"/>
        <w:rPr>
          <w:sz w:val="21"/>
        </w:rPr>
        <w:sectPr>
          <w:pgSz w:w="11910" w:h="16840"/>
          <w:pgMar w:header="0" w:footer="1118" w:top="1380" w:bottom="1380" w:left="1420" w:right="1000"/>
        </w:sectPr>
      </w:pPr>
    </w:p>
    <w:p>
      <w:pPr>
        <w:pStyle w:val="ListParagraph"/>
        <w:numPr>
          <w:ilvl w:val="0"/>
          <w:numId w:val="53"/>
        </w:numPr>
        <w:tabs>
          <w:tab w:pos="1325" w:val="left" w:leader="none"/>
        </w:tabs>
        <w:spacing w:line="364" w:lineRule="auto" w:before="45" w:after="0"/>
        <w:ind w:left="376" w:right="795" w:firstLine="420"/>
        <w:jc w:val="left"/>
        <w:rPr>
          <w:sz w:val="21"/>
        </w:rPr>
      </w:pPr>
      <w:r>
        <w:rPr>
          <w:sz w:val="21"/>
        </w:rPr>
        <w:t>确保基金份额净值按照有关法律法规、基金合同规定的方法进行计算，复核、审查基金管理人计算的基金资产净值、基金份额净值、基金份额申购、赎回价格；</w:t>
      </w:r>
    </w:p>
    <w:p>
      <w:pPr>
        <w:pStyle w:val="ListParagraph"/>
        <w:numPr>
          <w:ilvl w:val="0"/>
          <w:numId w:val="53"/>
        </w:numPr>
        <w:tabs>
          <w:tab w:pos="1323" w:val="left" w:leader="none"/>
        </w:tabs>
        <w:spacing w:line="268" w:lineRule="exact" w:before="0" w:after="0"/>
        <w:ind w:left="1323" w:right="0" w:hanging="527"/>
        <w:jc w:val="left"/>
        <w:rPr>
          <w:sz w:val="21"/>
        </w:rPr>
      </w:pPr>
      <w:r>
        <w:rPr>
          <w:sz w:val="21"/>
        </w:rPr>
        <w:t>办理与基金托管业务活动有关的信息披露事项；</w:t>
      </w:r>
    </w:p>
    <w:p>
      <w:pPr>
        <w:pStyle w:val="ListParagraph"/>
        <w:numPr>
          <w:ilvl w:val="0"/>
          <w:numId w:val="53"/>
        </w:numPr>
        <w:tabs>
          <w:tab w:pos="1428" w:val="left" w:leader="none"/>
        </w:tabs>
        <w:spacing w:line="364" w:lineRule="auto" w:before="139" w:after="0"/>
        <w:ind w:left="376" w:right="794" w:firstLine="420"/>
        <w:jc w:val="left"/>
        <w:rPr>
          <w:sz w:val="21"/>
        </w:rPr>
      </w:pPr>
      <w:r>
        <w:rPr>
          <w:spacing w:val="-6"/>
          <w:sz w:val="21"/>
        </w:rPr>
        <w:t>对基金财务会计报告、季度报告、中期报告和年度报告出具意见，说明基金管</w:t>
      </w:r>
      <w:r>
        <w:rPr>
          <w:spacing w:val="-1"/>
          <w:sz w:val="21"/>
        </w:rPr>
        <w:t>理人在各重要方面的运作是否严格按照《基金合同》的规定进行；如果基金管理人有未执</w:t>
      </w:r>
      <w:r>
        <w:rPr>
          <w:sz w:val="21"/>
        </w:rPr>
        <w:t>行</w:t>
      </w:r>
    </w:p>
    <w:p>
      <w:pPr>
        <w:pStyle w:val="BodyText"/>
        <w:spacing w:line="268" w:lineRule="exact"/>
        <w:ind w:left="376"/>
      </w:pPr>
      <w:r>
        <w:rPr/>
        <w:t>《基金合同》规定的行为，还应当说明基金托管人是否采取了适当的措施；</w:t>
      </w:r>
    </w:p>
    <w:p>
      <w:pPr>
        <w:pStyle w:val="ListParagraph"/>
        <w:numPr>
          <w:ilvl w:val="0"/>
          <w:numId w:val="53"/>
        </w:numPr>
        <w:tabs>
          <w:tab w:pos="1428" w:val="left" w:leader="none"/>
        </w:tabs>
        <w:spacing w:line="240" w:lineRule="auto" w:before="140" w:after="0"/>
        <w:ind w:left="1428" w:right="0" w:hanging="632"/>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53"/>
        </w:numPr>
        <w:tabs>
          <w:tab w:pos="1428" w:val="left" w:leader="none"/>
        </w:tabs>
        <w:spacing w:line="240" w:lineRule="auto" w:before="139" w:after="0"/>
        <w:ind w:left="1428" w:right="0" w:hanging="632"/>
        <w:jc w:val="left"/>
        <w:rPr>
          <w:sz w:val="21"/>
        </w:rPr>
      </w:pPr>
      <w:r>
        <w:rPr>
          <w:sz w:val="21"/>
        </w:rPr>
        <w:t>建立并保存基金份额持有人名册；</w:t>
      </w:r>
    </w:p>
    <w:p>
      <w:pPr>
        <w:pStyle w:val="ListParagraph"/>
        <w:numPr>
          <w:ilvl w:val="0"/>
          <w:numId w:val="53"/>
        </w:numPr>
        <w:tabs>
          <w:tab w:pos="1428" w:val="left" w:leader="none"/>
        </w:tabs>
        <w:spacing w:line="240" w:lineRule="auto" w:before="140" w:after="0"/>
        <w:ind w:left="1428" w:right="0" w:hanging="632"/>
        <w:jc w:val="left"/>
        <w:rPr>
          <w:sz w:val="21"/>
        </w:rPr>
      </w:pPr>
      <w:r>
        <w:rPr>
          <w:sz w:val="21"/>
        </w:rPr>
        <w:t>按规定制作相关账册并与基金管理人核对；</w:t>
      </w:r>
    </w:p>
    <w:p>
      <w:pPr>
        <w:pStyle w:val="ListParagraph"/>
        <w:numPr>
          <w:ilvl w:val="0"/>
          <w:numId w:val="53"/>
        </w:numPr>
        <w:tabs>
          <w:tab w:pos="1437" w:val="left" w:leader="none"/>
        </w:tabs>
        <w:spacing w:line="240" w:lineRule="auto" w:before="139" w:after="0"/>
        <w:ind w:left="1436" w:right="0" w:hanging="641"/>
        <w:jc w:val="left"/>
        <w:rPr>
          <w:sz w:val="21"/>
        </w:rPr>
      </w:pPr>
      <w:r>
        <w:rPr>
          <w:spacing w:val="2"/>
          <w:sz w:val="21"/>
        </w:rPr>
        <w:t>依据基金管理人的指令或有关规定向基金份额持有人支付基金收益和赎回款项；</w:t>
      </w:r>
    </w:p>
    <w:p>
      <w:pPr>
        <w:pStyle w:val="ListParagraph"/>
        <w:numPr>
          <w:ilvl w:val="0"/>
          <w:numId w:val="53"/>
        </w:numPr>
        <w:tabs>
          <w:tab w:pos="1428" w:val="left" w:leader="none"/>
        </w:tabs>
        <w:spacing w:line="364" w:lineRule="auto" w:before="140" w:after="0"/>
        <w:ind w:left="376" w:right="794" w:firstLine="420"/>
        <w:jc w:val="left"/>
        <w:rPr>
          <w:sz w:val="21"/>
        </w:rPr>
      </w:pPr>
      <w:r>
        <w:rPr>
          <w:sz w:val="21"/>
        </w:rPr>
        <w:t>按照规定召集基金份额持有人大会或配合基金份额持有人依法自行召集基金份</w:t>
      </w:r>
      <w:r>
        <w:rPr>
          <w:spacing w:val="-4"/>
          <w:sz w:val="21"/>
        </w:rPr>
        <w:t>额持有人大会；</w:t>
      </w:r>
    </w:p>
    <w:p>
      <w:pPr>
        <w:pStyle w:val="ListParagraph"/>
        <w:numPr>
          <w:ilvl w:val="0"/>
          <w:numId w:val="53"/>
        </w:numPr>
        <w:tabs>
          <w:tab w:pos="1428" w:val="left" w:leader="none"/>
        </w:tabs>
        <w:spacing w:line="268" w:lineRule="exact" w:before="0" w:after="0"/>
        <w:ind w:left="1428" w:right="0" w:hanging="632"/>
        <w:jc w:val="left"/>
        <w:rPr>
          <w:sz w:val="21"/>
        </w:rPr>
      </w:pPr>
      <w:r>
        <w:rPr>
          <w:sz w:val="21"/>
        </w:rPr>
        <w:t>按照法律法规和《基金合同》的规定监督基金管理人的投资运作；</w:t>
      </w:r>
    </w:p>
    <w:p>
      <w:pPr>
        <w:pStyle w:val="ListParagraph"/>
        <w:numPr>
          <w:ilvl w:val="0"/>
          <w:numId w:val="53"/>
        </w:numPr>
        <w:tabs>
          <w:tab w:pos="1428" w:val="left" w:leader="none"/>
        </w:tabs>
        <w:spacing w:line="240" w:lineRule="auto" w:before="139" w:after="0"/>
        <w:ind w:left="1428" w:right="0" w:hanging="632"/>
        <w:jc w:val="left"/>
        <w:rPr>
          <w:sz w:val="21"/>
        </w:rPr>
      </w:pPr>
      <w:r>
        <w:rPr>
          <w:sz w:val="21"/>
        </w:rPr>
        <w:t>参加基金财产清算小组，参与基金财产的保管、清理、估价、变现和分配；</w:t>
      </w:r>
    </w:p>
    <w:p>
      <w:pPr>
        <w:pStyle w:val="ListParagraph"/>
        <w:numPr>
          <w:ilvl w:val="0"/>
          <w:numId w:val="53"/>
        </w:numPr>
        <w:tabs>
          <w:tab w:pos="1428" w:val="left" w:leader="none"/>
        </w:tabs>
        <w:spacing w:line="364" w:lineRule="auto" w:before="139" w:after="0"/>
        <w:ind w:left="376" w:right="794" w:firstLine="420"/>
        <w:jc w:val="left"/>
        <w:rPr>
          <w:sz w:val="21"/>
        </w:rPr>
      </w:pPr>
      <w:r>
        <w:rPr>
          <w:spacing w:val="-7"/>
          <w:sz w:val="21"/>
        </w:rPr>
        <w:t>面临解散、依法被撤销或者被依法宣告破产时，及时报告中国证监会和银行监</w:t>
      </w:r>
      <w:r>
        <w:rPr>
          <w:spacing w:val="-4"/>
          <w:sz w:val="21"/>
        </w:rPr>
        <w:t>管机构，并通知基金管理人；</w:t>
      </w:r>
    </w:p>
    <w:p>
      <w:pPr>
        <w:pStyle w:val="ListParagraph"/>
        <w:numPr>
          <w:ilvl w:val="0"/>
          <w:numId w:val="53"/>
        </w:numPr>
        <w:tabs>
          <w:tab w:pos="1428" w:val="left" w:leader="none"/>
        </w:tabs>
        <w:spacing w:line="364" w:lineRule="auto" w:before="0" w:after="0"/>
        <w:ind w:left="376" w:right="794"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53"/>
        </w:numPr>
        <w:tabs>
          <w:tab w:pos="1428" w:val="left" w:leader="none"/>
        </w:tabs>
        <w:spacing w:line="364" w:lineRule="auto" w:before="0" w:after="0"/>
        <w:ind w:left="376" w:right="794" w:firstLine="420"/>
        <w:jc w:val="left"/>
        <w:rPr>
          <w:sz w:val="21"/>
        </w:rPr>
      </w:pPr>
      <w:r>
        <w:rPr>
          <w:spacing w:val="-4"/>
          <w:sz w:val="21"/>
        </w:rPr>
        <w:t>按规定监督基金管理人按法律法规和《基金合同》规定履行自己的义务，基金管理人因违反《基金合同》造成基金财产损失时，应为基金利益向基金管理人追偿；</w:t>
      </w:r>
    </w:p>
    <w:p>
      <w:pPr>
        <w:pStyle w:val="ListParagraph"/>
        <w:numPr>
          <w:ilvl w:val="0"/>
          <w:numId w:val="53"/>
        </w:numPr>
        <w:tabs>
          <w:tab w:pos="1428" w:val="left" w:leader="none"/>
        </w:tabs>
        <w:spacing w:line="268" w:lineRule="exact" w:before="0" w:after="0"/>
        <w:ind w:left="1428" w:right="0" w:hanging="632"/>
        <w:jc w:val="left"/>
        <w:rPr>
          <w:sz w:val="21"/>
        </w:rPr>
      </w:pPr>
      <w:r>
        <w:rPr>
          <w:sz w:val="21"/>
        </w:rPr>
        <w:t>执行生效的基金份额持有人大会的决定；</w:t>
      </w:r>
    </w:p>
    <w:p>
      <w:pPr>
        <w:pStyle w:val="ListParagraph"/>
        <w:numPr>
          <w:ilvl w:val="0"/>
          <w:numId w:val="53"/>
        </w:numPr>
        <w:tabs>
          <w:tab w:pos="1428" w:val="left" w:leader="none"/>
        </w:tabs>
        <w:spacing w:line="364" w:lineRule="auto" w:before="138" w:after="0"/>
        <w:ind w:left="376" w:right="794" w:firstLine="420"/>
        <w:jc w:val="both"/>
        <w:rPr>
          <w:sz w:val="21"/>
        </w:rPr>
      </w:pPr>
      <w:r>
        <w:rPr>
          <w:spacing w:val="-5"/>
          <w:sz w:val="21"/>
        </w:rPr>
        <w:t>对基金的境外财产，基金托管人可授权境外托管人代为履行其承担的职责，但</w:t>
      </w:r>
      <w:r>
        <w:rPr>
          <w:spacing w:val="-8"/>
          <w:sz w:val="21"/>
        </w:rPr>
        <w:t>应及时通知基金管理人境外托管人选定结果，并确保境外托管人履行相应托管职责。境外托</w:t>
      </w:r>
      <w:r>
        <w:rPr>
          <w:spacing w:val="-10"/>
          <w:sz w:val="21"/>
        </w:rPr>
        <w:t>管人在履行职责过程中，因本身过错、疏忽原因而导致的基金财产受损的，基金托管人承担</w:t>
      </w:r>
      <w:r>
        <w:rPr>
          <w:spacing w:val="-4"/>
          <w:sz w:val="21"/>
        </w:rPr>
        <w:t>相应赔偿责任；</w:t>
      </w:r>
    </w:p>
    <w:p>
      <w:pPr>
        <w:pStyle w:val="ListParagraph"/>
        <w:numPr>
          <w:ilvl w:val="0"/>
          <w:numId w:val="53"/>
        </w:numPr>
        <w:tabs>
          <w:tab w:pos="1428" w:val="left" w:leader="none"/>
        </w:tabs>
        <w:spacing w:line="364" w:lineRule="auto" w:before="0" w:after="0"/>
        <w:ind w:left="376" w:right="689" w:firstLine="420"/>
        <w:jc w:val="left"/>
        <w:rPr>
          <w:sz w:val="21"/>
        </w:rPr>
      </w:pPr>
      <w:r>
        <w:rPr>
          <w:spacing w:val="-4"/>
          <w:sz w:val="21"/>
        </w:rPr>
        <w:t>保护基金份额持有人利益，按照规定对基金日常投资行为和资金汇出入情况实施</w:t>
      </w:r>
      <w:r>
        <w:rPr>
          <w:spacing w:val="-14"/>
          <w:sz w:val="21"/>
        </w:rPr>
        <w:t>监督，如发现投资指令或资金汇出入违法、违规，应当及时向中国证监会、国家外汇局报告；</w:t>
      </w:r>
    </w:p>
    <w:p>
      <w:pPr>
        <w:pStyle w:val="ListParagraph"/>
        <w:numPr>
          <w:ilvl w:val="0"/>
          <w:numId w:val="53"/>
        </w:numPr>
        <w:tabs>
          <w:tab w:pos="1428" w:val="left" w:leader="none"/>
        </w:tabs>
        <w:spacing w:line="364" w:lineRule="auto" w:before="0" w:after="0"/>
        <w:ind w:left="376" w:right="794" w:firstLine="420"/>
        <w:jc w:val="left"/>
        <w:rPr>
          <w:sz w:val="21"/>
        </w:rPr>
      </w:pPr>
      <w:r>
        <w:rPr>
          <w:spacing w:val="-5"/>
          <w:sz w:val="21"/>
        </w:rPr>
        <w:t>安全保护基金财产，准时将公司行为信息通知基金管理人或根据基金管理人的</w:t>
      </w:r>
      <w:r>
        <w:rPr>
          <w:spacing w:val="-4"/>
          <w:sz w:val="21"/>
        </w:rPr>
        <w:t>通知，准时将公司行为信息通知境外投资顾问，确保基金及时收取所有应得收入；</w:t>
      </w:r>
    </w:p>
    <w:p>
      <w:pPr>
        <w:pStyle w:val="ListParagraph"/>
        <w:numPr>
          <w:ilvl w:val="0"/>
          <w:numId w:val="53"/>
        </w:numPr>
        <w:tabs>
          <w:tab w:pos="1428" w:val="left" w:leader="none"/>
        </w:tabs>
        <w:spacing w:line="364" w:lineRule="auto" w:before="0" w:after="0"/>
        <w:ind w:left="376" w:right="794" w:firstLine="420"/>
        <w:jc w:val="left"/>
        <w:rPr>
          <w:sz w:val="21"/>
        </w:rPr>
      </w:pPr>
      <w:r>
        <w:rPr>
          <w:spacing w:val="-9"/>
          <w:sz w:val="21"/>
        </w:rPr>
        <w:t>每月结束后 </w:t>
      </w:r>
      <w:r>
        <w:rPr>
          <w:sz w:val="21"/>
        </w:rPr>
        <w:t>7</w:t>
      </w:r>
      <w:r>
        <w:rPr>
          <w:spacing w:val="-11"/>
          <w:sz w:val="21"/>
        </w:rPr>
        <w:t> 个工作日内，向中国证监会和国家外汇局报告基金管理人境外投</w:t>
      </w:r>
      <w:r>
        <w:rPr>
          <w:spacing w:val="-4"/>
          <w:sz w:val="21"/>
        </w:rPr>
        <w:t>资情况，并按相关规定进行国际收支申报；</w:t>
      </w:r>
    </w:p>
    <w:p>
      <w:pPr>
        <w:pStyle w:val="ListParagraph"/>
        <w:numPr>
          <w:ilvl w:val="0"/>
          <w:numId w:val="53"/>
        </w:numPr>
        <w:tabs>
          <w:tab w:pos="1428" w:val="left" w:leader="none"/>
        </w:tabs>
        <w:spacing w:line="364" w:lineRule="auto" w:before="0" w:after="0"/>
        <w:ind w:left="376" w:right="794" w:firstLine="420"/>
        <w:jc w:val="left"/>
        <w:rPr>
          <w:sz w:val="21"/>
        </w:rPr>
      </w:pPr>
      <w:r>
        <w:rPr>
          <w:spacing w:val="-4"/>
          <w:sz w:val="21"/>
        </w:rPr>
        <w:t>办理基金管理人就管理本基金的有关结汇、售汇、收汇、付汇和人民币资金结算业务；</w:t>
      </w:r>
    </w:p>
    <w:p>
      <w:pPr>
        <w:pStyle w:val="ListParagraph"/>
        <w:numPr>
          <w:ilvl w:val="0"/>
          <w:numId w:val="53"/>
        </w:numPr>
        <w:tabs>
          <w:tab w:pos="1428" w:val="left" w:leader="none"/>
        </w:tabs>
        <w:spacing w:line="268" w:lineRule="exact" w:before="0" w:after="0"/>
        <w:ind w:left="1428" w:right="0" w:hanging="632"/>
        <w:jc w:val="left"/>
        <w:rPr>
          <w:sz w:val="21"/>
        </w:rPr>
      </w:pPr>
      <w:r>
        <w:rPr>
          <w:spacing w:val="-8"/>
          <w:sz w:val="21"/>
        </w:rPr>
        <w:t>保存基金管理人就管理本基金的资金汇出、汇入、兑换、收汇、付汇、资金往来、</w:t>
      </w:r>
    </w:p>
    <w:p>
      <w:pPr>
        <w:spacing w:after="0" w:line="268" w:lineRule="exact"/>
        <w:jc w:val="left"/>
        <w:rPr>
          <w:sz w:val="21"/>
        </w:rPr>
        <w:sectPr>
          <w:pgSz w:w="11910" w:h="16840"/>
          <w:pgMar w:header="0" w:footer="1118" w:top="1380" w:bottom="1380" w:left="1420" w:right="1000"/>
        </w:sectPr>
      </w:pPr>
    </w:p>
    <w:p>
      <w:pPr>
        <w:pStyle w:val="BodyText"/>
        <w:spacing w:before="45"/>
        <w:ind w:left="376"/>
      </w:pPr>
      <w:r>
        <w:rPr/>
        <w:t>委托及成交记录等相关资料，其保存的时间应当不少于 20 年；</w:t>
      </w:r>
    </w:p>
    <w:p>
      <w:pPr>
        <w:pStyle w:val="ListParagraph"/>
        <w:numPr>
          <w:ilvl w:val="0"/>
          <w:numId w:val="53"/>
        </w:numPr>
        <w:tabs>
          <w:tab w:pos="1428" w:val="left" w:leader="none"/>
        </w:tabs>
        <w:spacing w:line="240" w:lineRule="auto" w:before="139" w:after="0"/>
        <w:ind w:left="1428" w:right="0" w:hanging="632"/>
        <w:jc w:val="left"/>
        <w:rPr>
          <w:sz w:val="21"/>
        </w:rPr>
      </w:pPr>
      <w:r>
        <w:rPr>
          <w:sz w:val="21"/>
        </w:rPr>
        <w:t>确保本基金按照有关法律法规和基金合同约定的投资目标和限制进行管理；</w:t>
      </w:r>
    </w:p>
    <w:p>
      <w:pPr>
        <w:pStyle w:val="ListParagraph"/>
        <w:numPr>
          <w:ilvl w:val="0"/>
          <w:numId w:val="53"/>
        </w:numPr>
        <w:tabs>
          <w:tab w:pos="1428" w:val="left" w:leader="none"/>
        </w:tabs>
        <w:spacing w:line="364" w:lineRule="auto" w:before="140" w:after="0"/>
        <w:ind w:left="376" w:right="794" w:firstLine="420"/>
        <w:jc w:val="left"/>
        <w:rPr>
          <w:sz w:val="21"/>
        </w:rPr>
      </w:pPr>
      <w:r>
        <w:rPr>
          <w:spacing w:val="-3"/>
          <w:sz w:val="21"/>
        </w:rPr>
        <w:t>确保本基金按照有关法律法规和基金合同的规定进行认购、申购、赎回等日常</w:t>
      </w:r>
      <w:r>
        <w:rPr>
          <w:spacing w:val="-5"/>
          <w:sz w:val="21"/>
        </w:rPr>
        <w:t>交易；</w:t>
      </w:r>
    </w:p>
    <w:p>
      <w:pPr>
        <w:pStyle w:val="ListParagraph"/>
        <w:numPr>
          <w:ilvl w:val="0"/>
          <w:numId w:val="53"/>
        </w:numPr>
        <w:tabs>
          <w:tab w:pos="1428" w:val="left" w:leader="none"/>
        </w:tabs>
        <w:spacing w:line="268" w:lineRule="exact" w:before="0" w:after="0"/>
        <w:ind w:left="1428" w:right="0" w:hanging="632"/>
        <w:jc w:val="left"/>
        <w:rPr>
          <w:sz w:val="21"/>
        </w:rPr>
      </w:pPr>
      <w:r>
        <w:rPr>
          <w:sz w:val="21"/>
        </w:rPr>
        <w:t>确保本基金按照有关法律法规和基金合同的规定确定并实施收益分配方案；</w:t>
      </w:r>
    </w:p>
    <w:p>
      <w:pPr>
        <w:pStyle w:val="ListParagraph"/>
        <w:numPr>
          <w:ilvl w:val="0"/>
          <w:numId w:val="53"/>
        </w:numPr>
        <w:tabs>
          <w:tab w:pos="1428" w:val="left" w:leader="none"/>
        </w:tabs>
        <w:spacing w:line="364" w:lineRule="auto" w:before="139" w:after="0"/>
        <w:ind w:left="376" w:right="794" w:firstLine="420"/>
        <w:jc w:val="left"/>
        <w:rPr>
          <w:sz w:val="21"/>
        </w:rPr>
      </w:pPr>
      <w:r>
        <w:rPr>
          <w:sz w:val="21"/>
        </w:rPr>
        <w:t>按照有关法律法规和基金合同的规定以受托人名义或其指定的代理人名义登记</w:t>
      </w:r>
      <w:r>
        <w:rPr>
          <w:spacing w:val="-6"/>
          <w:sz w:val="21"/>
        </w:rPr>
        <w:t>资产；</w:t>
      </w:r>
    </w:p>
    <w:p>
      <w:pPr>
        <w:pStyle w:val="ListParagraph"/>
        <w:numPr>
          <w:ilvl w:val="0"/>
          <w:numId w:val="53"/>
        </w:numPr>
        <w:tabs>
          <w:tab w:pos="1429" w:val="left" w:leader="none"/>
        </w:tabs>
        <w:spacing w:line="364" w:lineRule="auto" w:before="0" w:after="0"/>
        <w:ind w:left="376" w:right="795" w:firstLine="420"/>
        <w:jc w:val="left"/>
        <w:rPr>
          <w:sz w:val="21"/>
        </w:rPr>
      </w:pPr>
      <w:r>
        <w:rPr>
          <w:spacing w:val="-11"/>
          <w:sz w:val="21"/>
        </w:rPr>
        <w:t>法律法规、《基金合同》规定的其他义务以及中国证监会和国家外汇局根据审慎监管原则规定的基金托管人的其他职责。</w:t>
      </w:r>
    </w:p>
    <w:p>
      <w:pPr>
        <w:pStyle w:val="Heading2"/>
        <w:tabs>
          <w:tab w:pos="1216" w:val="left" w:leader="none"/>
        </w:tabs>
      </w:pPr>
      <w:bookmarkStart w:name="_bookmark105" w:id="106"/>
      <w:bookmarkEnd w:id="106"/>
      <w:r>
        <w:rPr/>
      </w:r>
      <w:r>
        <w:rPr/>
        <w:t>二、</w:t>
        <w:tab/>
        <w:t>基金份额持有人大会召集、议事及表决的程序和规则</w:t>
      </w:r>
    </w:p>
    <w:p>
      <w:pPr>
        <w:pStyle w:val="BodyText"/>
        <w:spacing w:line="364" w:lineRule="auto" w:before="184"/>
        <w:ind w:left="376" w:right="794" w:firstLine="420"/>
      </w:pPr>
      <w:r>
        <w:rPr>
          <w:spacing w:val="-6"/>
        </w:rPr>
        <w:t>基金份额持有人大会由基金份额持有人组成。基金份额持有人持有的每一基金份额拥有</w:t>
      </w:r>
      <w:r>
        <w:rPr/>
        <w:t>平等的投票权。</w:t>
      </w:r>
    </w:p>
    <w:p>
      <w:pPr>
        <w:pStyle w:val="BodyText"/>
        <w:spacing w:line="268" w:lineRule="exact"/>
      </w:pPr>
      <w:r>
        <w:rPr/>
        <w:t>（一）召开事由</w:t>
      </w:r>
    </w:p>
    <w:p>
      <w:pPr>
        <w:pStyle w:val="BodyText"/>
        <w:spacing w:before="140"/>
      </w:pPr>
      <w:r>
        <w:rPr/>
        <w:t>1、当出现或需要决定下列事由之一的，应当召开基金份额持有人大会：</w:t>
      </w:r>
    </w:p>
    <w:p>
      <w:pPr>
        <w:pStyle w:val="ListParagraph"/>
        <w:numPr>
          <w:ilvl w:val="0"/>
          <w:numId w:val="54"/>
        </w:numPr>
        <w:tabs>
          <w:tab w:pos="1323" w:val="left" w:leader="none"/>
        </w:tabs>
        <w:spacing w:line="240" w:lineRule="auto" w:before="139" w:after="0"/>
        <w:ind w:left="1323" w:right="0" w:hanging="527"/>
        <w:jc w:val="left"/>
        <w:rPr>
          <w:sz w:val="21"/>
        </w:rPr>
      </w:pPr>
      <w:r>
        <w:rPr>
          <w:spacing w:val="-10"/>
          <w:sz w:val="21"/>
        </w:rPr>
        <w:t>提前终止《基金合同》；</w:t>
      </w:r>
    </w:p>
    <w:p>
      <w:pPr>
        <w:pStyle w:val="ListParagraph"/>
        <w:numPr>
          <w:ilvl w:val="0"/>
          <w:numId w:val="54"/>
        </w:numPr>
        <w:tabs>
          <w:tab w:pos="1323" w:val="left" w:leader="none"/>
        </w:tabs>
        <w:spacing w:line="240" w:lineRule="auto" w:before="140" w:after="0"/>
        <w:ind w:left="1323" w:right="0" w:hanging="527"/>
        <w:jc w:val="left"/>
        <w:rPr>
          <w:sz w:val="21"/>
        </w:rPr>
      </w:pPr>
      <w:r>
        <w:rPr>
          <w:sz w:val="21"/>
        </w:rPr>
        <w:t>更换基金管理人；</w:t>
      </w:r>
    </w:p>
    <w:p>
      <w:pPr>
        <w:pStyle w:val="ListParagraph"/>
        <w:numPr>
          <w:ilvl w:val="0"/>
          <w:numId w:val="54"/>
        </w:numPr>
        <w:tabs>
          <w:tab w:pos="1323" w:val="left" w:leader="none"/>
        </w:tabs>
        <w:spacing w:line="240" w:lineRule="auto" w:before="139" w:after="0"/>
        <w:ind w:left="1323" w:right="0" w:hanging="527"/>
        <w:jc w:val="left"/>
        <w:rPr>
          <w:sz w:val="21"/>
        </w:rPr>
      </w:pPr>
      <w:r>
        <w:rPr>
          <w:sz w:val="21"/>
        </w:rPr>
        <w:t>更换基金托管人；</w:t>
      </w:r>
    </w:p>
    <w:p>
      <w:pPr>
        <w:pStyle w:val="ListParagraph"/>
        <w:numPr>
          <w:ilvl w:val="0"/>
          <w:numId w:val="54"/>
        </w:numPr>
        <w:tabs>
          <w:tab w:pos="1323" w:val="left" w:leader="none"/>
        </w:tabs>
        <w:spacing w:line="240" w:lineRule="auto" w:before="140" w:after="0"/>
        <w:ind w:left="1323" w:right="0" w:hanging="527"/>
        <w:jc w:val="left"/>
        <w:rPr>
          <w:sz w:val="21"/>
        </w:rPr>
      </w:pPr>
      <w:r>
        <w:rPr>
          <w:sz w:val="21"/>
        </w:rPr>
        <w:t>转换基金运作方式；</w:t>
      </w:r>
    </w:p>
    <w:p>
      <w:pPr>
        <w:pStyle w:val="ListParagraph"/>
        <w:numPr>
          <w:ilvl w:val="0"/>
          <w:numId w:val="54"/>
        </w:numPr>
        <w:tabs>
          <w:tab w:pos="1324" w:val="left" w:leader="none"/>
        </w:tabs>
        <w:spacing w:line="364" w:lineRule="auto" w:before="139" w:after="0"/>
        <w:ind w:left="376" w:right="795" w:firstLine="420"/>
        <w:jc w:val="left"/>
        <w:rPr>
          <w:sz w:val="21"/>
        </w:rPr>
      </w:pPr>
      <w:r>
        <w:rPr>
          <w:sz w:val="21"/>
        </w:rPr>
        <w:t>提高基金管理人和基金托管人的报酬标准或销售服务费。但根据法律法规的要求提高该等报酬标准或销售服务费的除外；</w:t>
      </w:r>
    </w:p>
    <w:p>
      <w:pPr>
        <w:pStyle w:val="ListParagraph"/>
        <w:numPr>
          <w:ilvl w:val="0"/>
          <w:numId w:val="54"/>
        </w:numPr>
        <w:tabs>
          <w:tab w:pos="1323" w:val="left" w:leader="none"/>
        </w:tabs>
        <w:spacing w:line="268" w:lineRule="exact" w:before="0" w:after="0"/>
        <w:ind w:left="1323" w:right="0" w:hanging="527"/>
        <w:jc w:val="left"/>
        <w:rPr>
          <w:sz w:val="21"/>
        </w:rPr>
      </w:pPr>
      <w:r>
        <w:rPr>
          <w:sz w:val="21"/>
        </w:rPr>
        <w:t>变更基金类别；</w:t>
      </w:r>
    </w:p>
    <w:p>
      <w:pPr>
        <w:pStyle w:val="ListParagraph"/>
        <w:numPr>
          <w:ilvl w:val="0"/>
          <w:numId w:val="54"/>
        </w:numPr>
        <w:tabs>
          <w:tab w:pos="1323" w:val="left" w:leader="none"/>
        </w:tabs>
        <w:spacing w:line="240" w:lineRule="auto" w:before="139" w:after="0"/>
        <w:ind w:left="1323" w:right="0" w:hanging="527"/>
        <w:jc w:val="left"/>
        <w:rPr>
          <w:sz w:val="21"/>
        </w:rPr>
      </w:pPr>
      <w:r>
        <w:rPr>
          <w:sz w:val="21"/>
        </w:rPr>
        <w:t>本基金与其他基金的合并；</w:t>
      </w:r>
    </w:p>
    <w:p>
      <w:pPr>
        <w:pStyle w:val="ListParagraph"/>
        <w:numPr>
          <w:ilvl w:val="0"/>
          <w:numId w:val="54"/>
        </w:numPr>
        <w:tabs>
          <w:tab w:pos="1323" w:val="left" w:leader="none"/>
        </w:tabs>
        <w:spacing w:line="240" w:lineRule="auto" w:before="140" w:after="0"/>
        <w:ind w:left="1323" w:right="0" w:hanging="527"/>
        <w:jc w:val="left"/>
        <w:rPr>
          <w:sz w:val="21"/>
        </w:rPr>
      </w:pPr>
      <w:r>
        <w:rPr>
          <w:sz w:val="21"/>
        </w:rPr>
        <w:t>变更基金投资目标、范围或策略；</w:t>
      </w:r>
    </w:p>
    <w:p>
      <w:pPr>
        <w:pStyle w:val="ListParagraph"/>
        <w:numPr>
          <w:ilvl w:val="0"/>
          <w:numId w:val="54"/>
        </w:numPr>
        <w:tabs>
          <w:tab w:pos="1323" w:val="left" w:leader="none"/>
        </w:tabs>
        <w:spacing w:line="240" w:lineRule="auto" w:before="139" w:after="0"/>
        <w:ind w:left="1323" w:right="0" w:hanging="527"/>
        <w:jc w:val="left"/>
        <w:rPr>
          <w:sz w:val="21"/>
        </w:rPr>
      </w:pPr>
      <w:r>
        <w:rPr>
          <w:sz w:val="21"/>
        </w:rPr>
        <w:t>变更基金份额持有人大会程序；</w:t>
      </w:r>
    </w:p>
    <w:p>
      <w:pPr>
        <w:pStyle w:val="ListParagraph"/>
        <w:numPr>
          <w:ilvl w:val="0"/>
          <w:numId w:val="54"/>
        </w:numPr>
        <w:tabs>
          <w:tab w:pos="1428" w:val="left" w:leader="none"/>
        </w:tabs>
        <w:spacing w:line="240" w:lineRule="auto" w:before="140" w:after="0"/>
        <w:ind w:left="1428" w:right="0" w:hanging="632"/>
        <w:jc w:val="left"/>
        <w:rPr>
          <w:sz w:val="21"/>
        </w:rPr>
      </w:pPr>
      <w:r>
        <w:rPr>
          <w:sz w:val="21"/>
        </w:rPr>
        <w:t>对基金合同当事人权利和义务产生重大影响的其他事项；</w:t>
      </w:r>
    </w:p>
    <w:p>
      <w:pPr>
        <w:pStyle w:val="ListParagraph"/>
        <w:numPr>
          <w:ilvl w:val="0"/>
          <w:numId w:val="54"/>
        </w:numPr>
        <w:tabs>
          <w:tab w:pos="1429" w:val="left" w:leader="none"/>
        </w:tabs>
        <w:spacing w:line="364" w:lineRule="auto" w:before="139" w:after="0"/>
        <w:ind w:left="376" w:right="795"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2、以下情况可由基金管理人和基金托管人协商后修改，不需召开基金份额持有人大会：</w:t>
      </w:r>
    </w:p>
    <w:p>
      <w:pPr>
        <w:pStyle w:val="ListParagraph"/>
        <w:numPr>
          <w:ilvl w:val="0"/>
          <w:numId w:val="55"/>
        </w:numPr>
        <w:tabs>
          <w:tab w:pos="1323" w:val="left" w:leader="none"/>
        </w:tabs>
        <w:spacing w:line="240" w:lineRule="auto" w:before="140" w:after="0"/>
        <w:ind w:left="1323" w:right="0" w:hanging="527"/>
        <w:jc w:val="left"/>
        <w:rPr>
          <w:sz w:val="21"/>
        </w:rPr>
      </w:pPr>
      <w:r>
        <w:rPr>
          <w:sz w:val="21"/>
        </w:rPr>
        <w:t>调低基金管理费、基金托管费、销售服务费；</w:t>
      </w:r>
    </w:p>
    <w:p>
      <w:pPr>
        <w:pStyle w:val="ListParagraph"/>
        <w:numPr>
          <w:ilvl w:val="0"/>
          <w:numId w:val="55"/>
        </w:numPr>
        <w:tabs>
          <w:tab w:pos="1323" w:val="left" w:leader="none"/>
        </w:tabs>
        <w:spacing w:line="240" w:lineRule="auto" w:before="139" w:after="0"/>
        <w:ind w:left="1323" w:right="0" w:hanging="527"/>
        <w:jc w:val="left"/>
        <w:rPr>
          <w:sz w:val="21"/>
        </w:rPr>
      </w:pPr>
      <w:r>
        <w:rPr>
          <w:sz w:val="21"/>
        </w:rPr>
        <w:t>法律法规要求增加的基金费用的收取；</w:t>
      </w:r>
    </w:p>
    <w:p>
      <w:pPr>
        <w:pStyle w:val="ListParagraph"/>
        <w:numPr>
          <w:ilvl w:val="0"/>
          <w:numId w:val="55"/>
        </w:numPr>
        <w:tabs>
          <w:tab w:pos="1323" w:val="left" w:leader="none"/>
        </w:tabs>
        <w:spacing w:line="240" w:lineRule="auto" w:before="139" w:after="0"/>
        <w:ind w:left="1323" w:right="0" w:hanging="527"/>
        <w:jc w:val="left"/>
        <w:rPr>
          <w:sz w:val="21"/>
        </w:rPr>
      </w:pPr>
      <w:r>
        <w:rPr>
          <w:sz w:val="21"/>
        </w:rPr>
        <w:t>在《基金合同》规定的范围内变更本基金的申购费率、降低赎回费率；</w:t>
      </w:r>
    </w:p>
    <w:p>
      <w:pPr>
        <w:pStyle w:val="ListParagraph"/>
        <w:numPr>
          <w:ilvl w:val="0"/>
          <w:numId w:val="55"/>
        </w:numPr>
        <w:tabs>
          <w:tab w:pos="1323" w:val="left" w:leader="none"/>
        </w:tabs>
        <w:spacing w:line="240" w:lineRule="auto" w:before="140" w:after="0"/>
        <w:ind w:left="1323" w:right="0" w:hanging="527"/>
        <w:jc w:val="left"/>
        <w:rPr>
          <w:sz w:val="21"/>
        </w:rPr>
      </w:pPr>
      <w:r>
        <w:rPr>
          <w:sz w:val="21"/>
        </w:rPr>
        <w:t>因相应的法律法规发生变动而应当对《基金合同》进行修改；</w:t>
      </w:r>
    </w:p>
    <w:p>
      <w:pPr>
        <w:pStyle w:val="ListParagraph"/>
        <w:numPr>
          <w:ilvl w:val="0"/>
          <w:numId w:val="55"/>
        </w:numPr>
        <w:tabs>
          <w:tab w:pos="1323" w:val="left" w:leader="none"/>
        </w:tabs>
        <w:spacing w:line="364" w:lineRule="auto" w:before="139" w:after="0"/>
        <w:ind w:left="376" w:right="794" w:firstLine="420"/>
        <w:jc w:val="left"/>
        <w:rPr>
          <w:sz w:val="21"/>
        </w:rPr>
      </w:pPr>
      <w:r>
        <w:rPr>
          <w:spacing w:val="-10"/>
          <w:sz w:val="21"/>
        </w:rPr>
        <w:t>《基金合同》的修改对基金份额持有人利益无实质性不利影响或修改不涉及基金</w:t>
      </w:r>
      <w:r>
        <w:rPr>
          <w:spacing w:val="-4"/>
          <w:sz w:val="21"/>
        </w:rPr>
        <w:t>合同当事人权利义务关系发生变化；</w:t>
      </w:r>
    </w:p>
    <w:p>
      <w:pPr>
        <w:spacing w:after="0" w:line="364" w:lineRule="auto"/>
        <w:jc w:val="left"/>
        <w:rPr>
          <w:sz w:val="21"/>
        </w:rPr>
        <w:sectPr>
          <w:pgSz w:w="11910" w:h="16840"/>
          <w:pgMar w:header="0" w:footer="1118" w:top="1380" w:bottom="1380" w:left="1420" w:right="1000"/>
        </w:sectPr>
      </w:pPr>
    </w:p>
    <w:p>
      <w:pPr>
        <w:pStyle w:val="ListParagraph"/>
        <w:numPr>
          <w:ilvl w:val="0"/>
          <w:numId w:val="55"/>
        </w:numPr>
        <w:tabs>
          <w:tab w:pos="1325" w:val="left" w:leader="none"/>
        </w:tabs>
        <w:spacing w:line="364" w:lineRule="auto" w:before="45" w:after="0"/>
        <w:ind w:left="376" w:right="795" w:firstLine="420"/>
        <w:jc w:val="left"/>
        <w:rPr>
          <w:sz w:val="21"/>
        </w:rPr>
      </w:pPr>
      <w:r>
        <w:rPr>
          <w:sz w:val="21"/>
        </w:rPr>
        <w:t>除按照法律法规和《基金合同》规定应当召开基金份额持有人大会的以外的其他情形。</w:t>
      </w:r>
    </w:p>
    <w:p>
      <w:pPr>
        <w:pStyle w:val="BodyText"/>
        <w:spacing w:line="268" w:lineRule="exact"/>
      </w:pPr>
      <w:r>
        <w:rPr/>
        <w:t>（二）会议召集人及召集方式</w:t>
      </w:r>
    </w:p>
    <w:p>
      <w:pPr>
        <w:pStyle w:val="BodyText"/>
        <w:spacing w:line="364" w:lineRule="auto" w:before="139"/>
        <w:ind w:left="376" w:right="795" w:firstLine="420"/>
      </w:pPr>
      <w:r>
        <w:rPr/>
        <w:t>1、除法律法规规定或《基金合同》另有约定外，基金份额持有人大会由基金管理人召集。</w:t>
      </w:r>
    </w:p>
    <w:p>
      <w:pPr>
        <w:pStyle w:val="BodyText"/>
        <w:spacing w:line="268" w:lineRule="exact"/>
      </w:pPr>
      <w:r>
        <w:rPr/>
        <w:t>2、基金管理人未按规定召集或不能召集时，由基金托管人召集。</w:t>
      </w:r>
    </w:p>
    <w:p>
      <w:pPr>
        <w:pStyle w:val="BodyText"/>
        <w:spacing w:line="364" w:lineRule="auto" w:before="140"/>
        <w:ind w:left="376" w:right="585"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64" w:lineRule="auto"/>
        <w:ind w:left="376" w:right="585"/>
      </w:pPr>
      <w:r>
        <w:rPr>
          <w:spacing w:val="-3"/>
        </w:rPr>
        <w:t>基金管理人决定召集的，应当自出具书面决定之日起 </w:t>
      </w:r>
      <w:r>
        <w:rPr/>
        <w:t>60</w:t>
      </w:r>
      <w:r>
        <w:rPr>
          <w:spacing w:val="-8"/>
        </w:rPr>
        <w:t> 日内召开；基金管理人决定不召集， 基金托管人仍认为有必要召开的，应当由基金托管人自行召集。</w:t>
      </w:r>
    </w:p>
    <w:p>
      <w:pPr>
        <w:pStyle w:val="BodyText"/>
        <w:spacing w:line="364" w:lineRule="auto"/>
        <w:ind w:left="376" w:right="794" w:firstLine="420"/>
        <w:jc w:val="both"/>
      </w:pPr>
      <w:r>
        <w:rPr/>
        <w:t>4</w:t>
      </w:r>
      <w:r>
        <w:rPr>
          <w:spacing w:val="-12"/>
        </w:rPr>
        <w:t>、代表基金份额 </w:t>
      </w:r>
      <w:r>
        <w:rPr/>
        <w:t>10%</w:t>
      </w:r>
      <w:r>
        <w:rPr>
          <w:spacing w:val="-15"/>
        </w:rPr>
        <w:t>以上</w:t>
      </w:r>
      <w:r>
        <w:rPr/>
        <w:t>（</w:t>
      </w:r>
      <w:r>
        <w:rPr>
          <w:spacing w:val="-26"/>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7"/>
        </w:rPr>
        <w:t>10 </w:t>
      </w:r>
      <w:r>
        <w:rPr>
          <w:spacing w:val="-8"/>
        </w:rPr>
        <w:t>日内决定是否召集，并书面告知提出提议的基金份额持有人代表和基金托管人。基金管理人</w:t>
      </w:r>
      <w:r>
        <w:rPr>
          <w:spacing w:val="-3"/>
        </w:rPr>
        <w:t>决定召集的，应当自出具书面决定之日起 </w:t>
      </w:r>
      <w:r>
        <w:rPr/>
        <w:t>60</w:t>
      </w:r>
      <w:r>
        <w:rPr>
          <w:spacing w:val="-8"/>
        </w:rPr>
        <w:t> 日内召开；基金管理人决定不召集，代表基金</w:t>
      </w:r>
      <w:r>
        <w:rPr>
          <w:spacing w:val="-24"/>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r>
        <w:rPr>
          <w:spacing w:val="-14"/>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376" w:right="794" w:firstLine="420"/>
        <w:jc w:val="both"/>
      </w:pPr>
      <w:r>
        <w:rPr/>
        <w:t>5</w:t>
      </w:r>
      <w:r>
        <w:rPr>
          <w:spacing w:val="-12"/>
        </w:rPr>
        <w:t>、代表基金份额 </w:t>
      </w:r>
      <w:r>
        <w:rPr/>
        <w:t>10%</w:t>
      </w:r>
      <w:r>
        <w:rPr>
          <w:spacing w:val="-15"/>
        </w:rPr>
        <w:t>以上</w:t>
      </w:r>
      <w:r>
        <w:rPr/>
        <w:t>（</w:t>
      </w:r>
      <w:r>
        <w:rPr>
          <w:spacing w:val="-26"/>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5"/>
        </w:rPr>
        <w:t>的基金份额持有人有权自行召集，并至少提前 </w:t>
      </w:r>
      <w:r>
        <w:rPr/>
        <w:t>30</w:t>
      </w:r>
      <w:r>
        <w:rPr>
          <w:spacing w:val="-11"/>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pPr>
      <w:r>
        <w:rPr/>
        <w:t>6、基金份额持有人会议的召集人负责选择确定开会时间、地点、方式和权益登记日。</w:t>
      </w:r>
    </w:p>
    <w:p>
      <w:pPr>
        <w:pStyle w:val="BodyText"/>
        <w:spacing w:before="134"/>
      </w:pPr>
      <w:r>
        <w:rPr/>
        <w:t>（三）召开基金份额持有人大会的通知时间、通知内容、通知方式</w:t>
      </w:r>
    </w:p>
    <w:p>
      <w:pPr>
        <w:pStyle w:val="BodyText"/>
        <w:spacing w:line="364" w:lineRule="auto" w:before="139"/>
        <w:ind w:left="376" w:right="794" w:firstLine="420"/>
      </w:pPr>
      <w:r>
        <w:rPr/>
        <w:t>1</w:t>
      </w:r>
      <w:r>
        <w:rPr>
          <w:spacing w:val="-9"/>
        </w:rPr>
        <w:t>、召开基金份额持有人大会，召集人应于会议召开前 </w:t>
      </w:r>
      <w:r>
        <w:rPr/>
        <w:t>40</w:t>
      </w:r>
      <w:r>
        <w:rPr>
          <w:spacing w:val="-12"/>
        </w:rPr>
        <w:t> 天，在指定媒介上公告。基金</w:t>
      </w:r>
      <w:r>
        <w:rPr/>
        <w:t>份额持有人大会通知应至少载明以下内容：</w:t>
      </w:r>
    </w:p>
    <w:p>
      <w:pPr>
        <w:pStyle w:val="ListParagraph"/>
        <w:numPr>
          <w:ilvl w:val="0"/>
          <w:numId w:val="56"/>
        </w:numPr>
        <w:tabs>
          <w:tab w:pos="1323" w:val="left" w:leader="none"/>
        </w:tabs>
        <w:spacing w:line="268" w:lineRule="exact" w:before="0" w:after="0"/>
        <w:ind w:left="1323" w:right="0" w:hanging="527"/>
        <w:jc w:val="left"/>
        <w:rPr>
          <w:sz w:val="21"/>
        </w:rPr>
      </w:pPr>
      <w:r>
        <w:rPr>
          <w:sz w:val="21"/>
        </w:rPr>
        <w:t>会议召开的时间、地点、方式和会议形式；</w:t>
      </w:r>
    </w:p>
    <w:p>
      <w:pPr>
        <w:pStyle w:val="ListParagraph"/>
        <w:numPr>
          <w:ilvl w:val="0"/>
          <w:numId w:val="56"/>
        </w:numPr>
        <w:tabs>
          <w:tab w:pos="1323" w:val="left" w:leader="none"/>
        </w:tabs>
        <w:spacing w:line="240" w:lineRule="auto" w:before="139" w:after="0"/>
        <w:ind w:left="1323" w:right="0" w:hanging="527"/>
        <w:jc w:val="left"/>
        <w:rPr>
          <w:sz w:val="21"/>
        </w:rPr>
      </w:pPr>
      <w:r>
        <w:rPr>
          <w:sz w:val="21"/>
        </w:rPr>
        <w:t>会议拟审议的事项、议事程序和表决形式；</w:t>
      </w:r>
    </w:p>
    <w:p>
      <w:pPr>
        <w:pStyle w:val="ListParagraph"/>
        <w:numPr>
          <w:ilvl w:val="0"/>
          <w:numId w:val="56"/>
        </w:numPr>
        <w:tabs>
          <w:tab w:pos="1323" w:val="left" w:leader="none"/>
        </w:tabs>
        <w:spacing w:line="240" w:lineRule="auto" w:before="140" w:after="0"/>
        <w:ind w:left="1323" w:right="0" w:hanging="527"/>
        <w:jc w:val="left"/>
        <w:rPr>
          <w:sz w:val="21"/>
        </w:rPr>
      </w:pPr>
      <w:r>
        <w:rPr>
          <w:sz w:val="21"/>
        </w:rPr>
        <w:t>有权出席基金份额持有人大会的基金份额持有人的权益登记日；</w:t>
      </w:r>
    </w:p>
    <w:p>
      <w:pPr>
        <w:pStyle w:val="ListParagraph"/>
        <w:numPr>
          <w:ilvl w:val="0"/>
          <w:numId w:val="56"/>
        </w:numPr>
        <w:tabs>
          <w:tab w:pos="1334" w:val="left" w:leader="none"/>
        </w:tabs>
        <w:spacing w:line="364" w:lineRule="auto" w:before="139" w:after="0"/>
        <w:ind w:left="376" w:right="480" w:firstLine="420"/>
        <w:jc w:val="left"/>
        <w:rPr>
          <w:sz w:val="21"/>
        </w:rPr>
      </w:pPr>
      <w:r>
        <w:rPr>
          <w:spacing w:val="-2"/>
          <w:sz w:val="21"/>
        </w:rPr>
        <w:t>授权委托书的内容要求</w:t>
      </w:r>
      <w:r>
        <w:rPr>
          <w:spacing w:val="5"/>
          <w:sz w:val="21"/>
        </w:rPr>
        <w:t>（</w:t>
      </w:r>
      <w:r>
        <w:rPr>
          <w:spacing w:val="-1"/>
          <w:sz w:val="21"/>
        </w:rPr>
        <w:t>包括但不限于代理人身份，代理权限和代理有效期限等</w:t>
      </w:r>
      <w:r>
        <w:rPr>
          <w:spacing w:val="-100"/>
          <w:sz w:val="21"/>
        </w:rPr>
        <w:t>） </w:t>
      </w:r>
      <w:r>
        <w:rPr>
          <w:sz w:val="21"/>
        </w:rPr>
        <w:t>、送达时间和地点；</w:t>
      </w:r>
    </w:p>
    <w:p>
      <w:pPr>
        <w:pStyle w:val="ListParagraph"/>
        <w:numPr>
          <w:ilvl w:val="0"/>
          <w:numId w:val="56"/>
        </w:numPr>
        <w:tabs>
          <w:tab w:pos="1323" w:val="left" w:leader="none"/>
        </w:tabs>
        <w:spacing w:line="268" w:lineRule="exact" w:before="0" w:after="0"/>
        <w:ind w:left="1323" w:right="0" w:hanging="527"/>
        <w:jc w:val="left"/>
        <w:rPr>
          <w:sz w:val="21"/>
        </w:rPr>
      </w:pPr>
      <w:r>
        <w:rPr>
          <w:sz w:val="21"/>
        </w:rPr>
        <w:t>会务常设联系人姓名及联系电话。</w:t>
      </w:r>
    </w:p>
    <w:p>
      <w:pPr>
        <w:pStyle w:val="BodyText"/>
        <w:spacing w:before="140"/>
      </w:pPr>
      <w:r>
        <w:rPr/>
        <w:t>2、采取通讯开会方式并进行表决的情况下，由会议召集人决定通讯方式和书面表决方</w:t>
      </w:r>
    </w:p>
    <w:p>
      <w:pPr>
        <w:spacing w:after="0"/>
        <w:sectPr>
          <w:pgSz w:w="11910" w:h="16840"/>
          <w:pgMar w:header="0" w:footer="1118" w:top="1380" w:bottom="1380" w:left="1420" w:right="1000"/>
        </w:sectPr>
      </w:pPr>
    </w:p>
    <w:p>
      <w:pPr>
        <w:pStyle w:val="BodyText"/>
        <w:spacing w:line="364" w:lineRule="auto" w:before="45"/>
        <w:ind w:left="376" w:right="794"/>
      </w:pPr>
      <w:r>
        <w:rPr>
          <w:spacing w:val="-10"/>
        </w:rPr>
        <w:t>式，并在会议通知中说明本次基金份额持有人大会所采取的具体通讯方式、委托的公证机关</w:t>
      </w:r>
      <w:r>
        <w:rPr/>
        <w:t>及其联系方式和联系人、书面表决意见提交的截止时间和收取方式。</w:t>
      </w:r>
    </w:p>
    <w:p>
      <w:pPr>
        <w:pStyle w:val="BodyText"/>
        <w:spacing w:line="364" w:lineRule="auto"/>
        <w:ind w:left="376" w:right="794" w:firstLine="420"/>
        <w:jc w:val="both"/>
      </w:pPr>
      <w:r>
        <w:rPr/>
        <w:t>3、如召集人为基金管理人，还应另行书面通知基金托管人到指定地点对书面表决意见</w:t>
      </w:r>
      <w:r>
        <w:rPr>
          <w:spacing w:val="-11"/>
        </w:rPr>
        <w:t>的计票进行监督；如召集人为基金托管人，则应另行书面通知基金管理人到指定地点对书面</w:t>
      </w:r>
      <w:r>
        <w:rPr>
          <w:spacing w:val="-10"/>
        </w:rPr>
        <w:t>表决意见的计票进行监督；如召集人为基金份额持有人，则应另行书面通知基金管理人和基</w:t>
      </w:r>
      <w:r>
        <w:rPr>
          <w:spacing w:val="-5"/>
        </w:rPr>
        <w:t>金托管人到指定地点对书面表决意见的计票进行监督。基金管理人或基金托管人拒不派代表</w:t>
      </w:r>
      <w:r>
        <w:rPr/>
        <w:t>对书面表决意见的计票进行监督的，不影响表决意见的计票结果。</w:t>
      </w:r>
    </w:p>
    <w:p>
      <w:pPr>
        <w:pStyle w:val="BodyText"/>
        <w:spacing w:line="267" w:lineRule="exact"/>
      </w:pPr>
      <w:r>
        <w:rPr/>
        <w:t>（四）基金份额持有人出席会议的方式</w:t>
      </w:r>
    </w:p>
    <w:p>
      <w:pPr>
        <w:pStyle w:val="BodyText"/>
        <w:spacing w:before="138"/>
      </w:pPr>
      <w:r>
        <w:rPr/>
        <w:t>基金份额持有人大会可通过现场开会方式或通讯开会方式召开。</w:t>
      </w:r>
    </w:p>
    <w:p>
      <w:pPr>
        <w:pStyle w:val="BodyText"/>
        <w:spacing w:line="364" w:lineRule="auto" w:before="140"/>
        <w:ind w:left="376" w:right="794" w:firstLine="420"/>
      </w:pPr>
      <w:r>
        <w:rPr>
          <w:spacing w:val="-7"/>
        </w:rPr>
        <w:t>会议的召开方式由会议召集人确定，但更换基金管理人和基金托管人必须以现场开会方</w:t>
      </w:r>
      <w:r>
        <w:rPr/>
        <w:t>式召开。</w:t>
      </w:r>
    </w:p>
    <w:p>
      <w:pPr>
        <w:pStyle w:val="BodyText"/>
        <w:spacing w:line="364" w:lineRule="auto"/>
        <w:ind w:left="376" w:right="794" w:firstLine="420"/>
        <w:jc w:val="both"/>
      </w:pPr>
      <w:r>
        <w:rPr/>
        <w:t>1、现场开会。由基金份额持有人本人出席或以代理投票授权委托书委派代表出席，现</w:t>
      </w:r>
      <w:r>
        <w:rPr>
          <w:spacing w:val="-4"/>
        </w:rPr>
        <w:t>场开会时基金管理人和基金托管人的授权代表应当列席基金份额持有人大会，基金管理人或</w:t>
      </w:r>
      <w:r>
        <w:rPr>
          <w:spacing w:val="-7"/>
        </w:rPr>
        <w:t>托管人不派代表列席的，不影响表决效力。现场开会同时符合以下条件时，可以进行基金份</w:t>
      </w:r>
      <w:r>
        <w:rPr/>
        <w:t>额持有人大会议程：</w:t>
      </w:r>
    </w:p>
    <w:p>
      <w:pPr>
        <w:pStyle w:val="ListParagraph"/>
        <w:numPr>
          <w:ilvl w:val="0"/>
          <w:numId w:val="57"/>
        </w:numPr>
        <w:tabs>
          <w:tab w:pos="1324" w:val="left" w:leader="none"/>
        </w:tabs>
        <w:spacing w:line="364" w:lineRule="auto" w:before="0" w:after="0"/>
        <w:ind w:left="376" w:right="795" w:firstLine="420"/>
        <w:jc w:val="both"/>
        <w:rPr>
          <w:sz w:val="21"/>
        </w:rPr>
      </w:pPr>
      <w:r>
        <w:rPr>
          <w:sz w:val="21"/>
        </w:rPr>
        <w:t>亲自出席会议者持有基金份额的凭证、受托出席会议者出具的委托人持有基金份</w:t>
      </w:r>
      <w:r>
        <w:rPr>
          <w:spacing w:val="-5"/>
          <w:sz w:val="21"/>
        </w:rPr>
        <w:t>额的凭证及委托人的代理投票授权委托书符合法律法规、《基金合同》和会议通知的规定， 并且持有基金份额的凭证与基金管理人持有的登记资料相符；</w:t>
      </w:r>
    </w:p>
    <w:p>
      <w:pPr>
        <w:pStyle w:val="ListParagraph"/>
        <w:numPr>
          <w:ilvl w:val="0"/>
          <w:numId w:val="57"/>
        </w:numPr>
        <w:tabs>
          <w:tab w:pos="1324" w:val="left" w:leader="none"/>
        </w:tabs>
        <w:spacing w:line="364" w:lineRule="auto" w:before="0" w:after="0"/>
        <w:ind w:left="376" w:right="795" w:firstLine="420"/>
        <w:jc w:val="both"/>
        <w:rPr>
          <w:sz w:val="21"/>
        </w:rPr>
      </w:pPr>
      <w:r>
        <w:rPr>
          <w:sz w:val="21"/>
        </w:rPr>
        <w:t>经核对，汇总到会者出示的在权益登记日持有基金份额的凭证显示，有效的基金</w:t>
      </w:r>
      <w:r>
        <w:rPr>
          <w:spacing w:val="-3"/>
          <w:sz w:val="21"/>
        </w:rPr>
        <w:t>份额不少于本基金在权益登记日基金总份额的 </w:t>
      </w:r>
      <w:r>
        <w:rPr>
          <w:sz w:val="21"/>
        </w:rPr>
        <w:t>50%（</w:t>
      </w:r>
      <w:r>
        <w:rPr>
          <w:spacing w:val="-27"/>
          <w:sz w:val="21"/>
        </w:rPr>
        <w:t>含 </w:t>
      </w:r>
      <w:r>
        <w:rPr>
          <w:sz w:val="21"/>
        </w:rPr>
        <w:t>50%</w:t>
      </w:r>
      <w:r>
        <w:rPr>
          <w:spacing w:val="-105"/>
          <w:sz w:val="21"/>
        </w:rPr>
        <w:t>）</w:t>
      </w:r>
      <w:r>
        <w:rPr>
          <w:sz w:val="21"/>
        </w:rPr>
        <w:t>。</w:t>
      </w:r>
    </w:p>
    <w:p>
      <w:pPr>
        <w:pStyle w:val="BodyText"/>
        <w:spacing w:line="364" w:lineRule="auto"/>
        <w:ind w:left="376" w:right="795" w:firstLine="420"/>
      </w:pPr>
      <w:r>
        <w:rPr/>
        <w:t>2、通讯开会。通讯开会系指基金份额持有人将其对表决事项的投票以书面形式在表决截至日以前提交至召集人指定的地址。通讯开会应以书面方式进行表决。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8"/>
        </w:numPr>
        <w:tabs>
          <w:tab w:pos="1324" w:val="left" w:leader="none"/>
        </w:tabs>
        <w:spacing w:line="364" w:lineRule="auto" w:before="134" w:after="0"/>
        <w:ind w:left="376" w:right="795" w:firstLine="420"/>
        <w:jc w:val="both"/>
        <w:rPr>
          <w:sz w:val="21"/>
        </w:rPr>
      </w:pPr>
      <w:r>
        <w:rPr>
          <w:spacing w:val="-3"/>
          <w:sz w:val="21"/>
        </w:rPr>
        <w:t>会议召集人按《基金合同》规定公布会议通知后，在 </w:t>
      </w:r>
      <w:r>
        <w:rPr>
          <w:sz w:val="21"/>
        </w:rPr>
        <w:t>2</w:t>
      </w:r>
      <w:r>
        <w:rPr>
          <w:spacing w:val="-8"/>
          <w:sz w:val="21"/>
        </w:rPr>
        <w:t> 个工作日内连续公布相关提示性公告；</w:t>
      </w:r>
    </w:p>
    <w:p>
      <w:pPr>
        <w:pStyle w:val="ListParagraph"/>
        <w:numPr>
          <w:ilvl w:val="0"/>
          <w:numId w:val="58"/>
        </w:numPr>
        <w:tabs>
          <w:tab w:pos="1324" w:val="left" w:leader="none"/>
        </w:tabs>
        <w:spacing w:line="364" w:lineRule="auto" w:before="0" w:after="0"/>
        <w:ind w:left="376" w:right="794" w:firstLine="420"/>
        <w:jc w:val="both"/>
        <w:rPr>
          <w:sz w:val="21"/>
        </w:rPr>
      </w:pPr>
      <w:r>
        <w:rPr>
          <w:sz w:val="21"/>
        </w:rPr>
        <w:t>会议召集人在基金托管人（如果基金托管人为召集人，则为基金管理人）和公证</w:t>
      </w:r>
      <w:r>
        <w:rPr>
          <w:spacing w:val="-5"/>
          <w:sz w:val="21"/>
        </w:rPr>
        <w:t>机关的监督下按照会议通知规定的方式收取基金份额持有人的书面表决意见；基金托管人或</w:t>
      </w:r>
      <w:r>
        <w:rPr>
          <w:sz w:val="21"/>
        </w:rPr>
        <w:t>基金管理人经通知不参加收取书面表决意见的，不影响表决效力；</w:t>
      </w:r>
    </w:p>
    <w:p>
      <w:pPr>
        <w:pStyle w:val="ListParagraph"/>
        <w:numPr>
          <w:ilvl w:val="0"/>
          <w:numId w:val="58"/>
        </w:numPr>
        <w:tabs>
          <w:tab w:pos="1324" w:val="left" w:leader="none"/>
        </w:tabs>
        <w:spacing w:line="364" w:lineRule="auto" w:before="0" w:after="0"/>
        <w:ind w:left="376" w:right="795"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8"/>
        </w:numPr>
        <w:tabs>
          <w:tab w:pos="1323" w:val="left" w:leader="none"/>
        </w:tabs>
        <w:spacing w:line="364" w:lineRule="auto" w:before="0" w:after="0"/>
        <w:ind w:left="376" w:right="794" w:firstLine="420"/>
        <w:jc w:val="both"/>
        <w:rPr>
          <w:sz w:val="21"/>
        </w:rPr>
      </w:pPr>
      <w:r>
        <w:rPr>
          <w:spacing w:val="-10"/>
          <w:sz w:val="21"/>
        </w:rPr>
        <w:t>上述第（3）</w:t>
      </w:r>
      <w:r>
        <w:rPr>
          <w:sz w:val="21"/>
        </w:rPr>
        <w:t>项中直接出具书面意见的基金份额持有人或受托代表他人出具书面</w:t>
      </w:r>
      <w:r>
        <w:rPr>
          <w:spacing w:val="-10"/>
          <w:sz w:val="21"/>
        </w:rPr>
        <w:t>意见的代理人，同时提交的持有基金份额的凭证、受托出具书面意见的代理人出具的委托人</w:t>
      </w:r>
      <w:r>
        <w:rPr>
          <w:spacing w:val="-8"/>
          <w:sz w:val="21"/>
        </w:rPr>
        <w:t>持有基金份额的凭证及委托人的代理投票授权委托书符合法律法规、《基金合同》和会议通知的规定，并与基金登记结算机构记录相符；</w:t>
      </w:r>
    </w:p>
    <w:p>
      <w:pPr>
        <w:spacing w:after="0" w:line="364" w:lineRule="auto"/>
        <w:jc w:val="both"/>
        <w:rPr>
          <w:sz w:val="21"/>
        </w:rPr>
        <w:sectPr>
          <w:pgSz w:w="11910" w:h="16840"/>
          <w:pgMar w:header="0" w:footer="1118" w:top="1380" w:bottom="1380" w:left="1420" w:right="1000"/>
        </w:sectPr>
      </w:pPr>
    </w:p>
    <w:p>
      <w:pPr>
        <w:pStyle w:val="ListParagraph"/>
        <w:numPr>
          <w:ilvl w:val="0"/>
          <w:numId w:val="58"/>
        </w:numPr>
        <w:tabs>
          <w:tab w:pos="1323" w:val="left" w:leader="none"/>
        </w:tabs>
        <w:spacing w:line="240" w:lineRule="auto" w:before="45" w:after="0"/>
        <w:ind w:left="1323" w:right="0" w:hanging="527"/>
        <w:jc w:val="left"/>
        <w:rPr>
          <w:sz w:val="21"/>
        </w:rPr>
      </w:pPr>
      <w:r>
        <w:rPr>
          <w:sz w:val="21"/>
        </w:rPr>
        <w:t>会议通知公布前报中国证监会备案。</w:t>
      </w:r>
    </w:p>
    <w:p>
      <w:pPr>
        <w:pStyle w:val="BodyText"/>
        <w:spacing w:line="364" w:lineRule="auto" w:before="139"/>
        <w:ind w:left="376" w:right="794" w:firstLine="420"/>
        <w:jc w:val="both"/>
      </w:pPr>
      <w:r>
        <w:rPr/>
        <w:t>3、在法律法规、监管机构允许的情况下，经会议通知载明，基金份额持有人也可以采</w:t>
      </w:r>
      <w:r>
        <w:rPr>
          <w:spacing w:val="-10"/>
        </w:rPr>
        <w:t>用网络、电话或其他方式进行表决，或者采用网络、电话或其他方式授权他人代为出席会议</w:t>
      </w:r>
      <w:r>
        <w:rPr/>
        <w:t>并表决。</w:t>
      </w:r>
    </w:p>
    <w:p>
      <w:pPr>
        <w:pStyle w:val="BodyText"/>
        <w:spacing w:line="268" w:lineRule="exact"/>
      </w:pPr>
      <w:r>
        <w:rPr/>
        <w:t>（五）议事内容与程序</w:t>
      </w:r>
    </w:p>
    <w:p>
      <w:pPr>
        <w:pStyle w:val="BodyText"/>
        <w:spacing w:before="140"/>
      </w:pPr>
      <w:r>
        <w:rPr/>
        <w:t>1、议事内容及提案权</w:t>
      </w:r>
    </w:p>
    <w:p>
      <w:pPr>
        <w:pStyle w:val="BodyText"/>
        <w:spacing w:line="364" w:lineRule="auto" w:before="139"/>
        <w:ind w:left="376" w:right="794"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364" w:lineRule="auto"/>
        <w:ind w:left="376" w:right="794" w:firstLine="420"/>
        <w:jc w:val="both"/>
      </w:pPr>
      <w:r>
        <w:rPr>
          <w:spacing w:val="-2"/>
        </w:rPr>
        <w:t>基金管理人、基金托管人、单独或合并持有权益登记日基金总份额 </w:t>
      </w:r>
      <w:r>
        <w:rPr/>
        <w:t>10%（</w:t>
      </w:r>
      <w:r>
        <w:rPr>
          <w:spacing w:val="-27"/>
        </w:rPr>
        <w:t>含 </w:t>
      </w:r>
      <w:r>
        <w:rPr/>
        <w:t>10%）以上</w:t>
      </w:r>
      <w:r>
        <w:rPr>
          <w:spacing w:val="2"/>
        </w:rPr>
        <w:t>的基金份额持有人可以在大会召集人发出会议通知前向大会召集人提交需由基金份额持有</w:t>
      </w:r>
      <w:r>
        <w:rPr>
          <w:spacing w:val="-8"/>
        </w:rPr>
        <w:t>人大会审议表决的提案；也可以在会议通知发出后向大会召集人提交临时提案，临时提案应</w:t>
      </w:r>
      <w:r>
        <w:rPr>
          <w:spacing w:val="-6"/>
        </w:rPr>
        <w:t>当在大会召开日至少 </w:t>
      </w:r>
      <w:r>
        <w:rPr/>
        <w:t>35</w:t>
      </w:r>
      <w:r>
        <w:rPr>
          <w:spacing w:val="-8"/>
        </w:rPr>
        <w:t> 天前提交召集人并由召集人公告。</w:t>
      </w:r>
    </w:p>
    <w:p>
      <w:pPr>
        <w:pStyle w:val="BodyText"/>
        <w:spacing w:line="364" w:lineRule="auto"/>
        <w:ind w:left="376" w:right="794" w:firstLine="420"/>
        <w:jc w:val="both"/>
      </w:pPr>
      <w:r>
        <w:rPr>
          <w:spacing w:val="-5"/>
        </w:rPr>
        <w:t>基金份额持有人大会的召集人发出召集会议的通知后，对原有提案的修改应当在基金份</w:t>
      </w:r>
      <w:r>
        <w:rPr>
          <w:spacing w:val="-6"/>
        </w:rPr>
        <w:t>额持有人大会召开日 </w:t>
      </w:r>
      <w:r>
        <w:rPr/>
        <w:t>30</w:t>
      </w:r>
      <w:r>
        <w:rPr>
          <w:spacing w:val="-10"/>
        </w:rPr>
        <w:t> 天前公告。</w:t>
      </w:r>
    </w:p>
    <w:p>
      <w:pPr>
        <w:pStyle w:val="BodyText"/>
        <w:spacing w:line="268" w:lineRule="exact"/>
      </w:pPr>
      <w:r>
        <w:rPr/>
        <w:t>基金份额持有人大会不得对未事先公告的议事内容进行表决。</w:t>
      </w:r>
    </w:p>
    <w:p>
      <w:pPr>
        <w:pStyle w:val="BodyText"/>
        <w:spacing w:line="364" w:lineRule="auto" w:before="136"/>
        <w:ind w:left="376" w:right="794" w:firstLine="420"/>
        <w:jc w:val="both"/>
      </w:pPr>
      <w:r>
        <w:rPr>
          <w:spacing w:val="-8"/>
        </w:rPr>
        <w:t>召集人对于基金管理人、基金托管人和基金份额持有人提交的临时提案进行审核，符合</w:t>
      </w:r>
      <w:r>
        <w:rPr>
          <w:spacing w:val="-5"/>
        </w:rPr>
        <w:t>条件的应当在大会召开日 </w:t>
      </w:r>
      <w:r>
        <w:rPr/>
        <w:t>30</w:t>
      </w:r>
      <w:r>
        <w:rPr>
          <w:spacing w:val="-8"/>
        </w:rPr>
        <w:t> 天前公告。大会召集人应当按照以下原则对提案进行审核：</w:t>
      </w:r>
    </w:p>
    <w:p>
      <w:pPr>
        <w:pStyle w:val="ListParagraph"/>
        <w:numPr>
          <w:ilvl w:val="0"/>
          <w:numId w:val="59"/>
        </w:numPr>
        <w:tabs>
          <w:tab w:pos="1324" w:val="left" w:leader="none"/>
        </w:tabs>
        <w:spacing w:line="364" w:lineRule="auto" w:before="0" w:after="0"/>
        <w:ind w:left="376" w:right="794" w:firstLine="420"/>
        <w:jc w:val="both"/>
        <w:rPr>
          <w:sz w:val="21"/>
        </w:rPr>
      </w:pPr>
      <w:r>
        <w:rPr>
          <w:sz w:val="21"/>
        </w:rPr>
        <w:t>关联性。大会召集人对于提案涉及事项与基金有直接关系，并且不超出法律法规</w:t>
      </w:r>
      <w:r>
        <w:rPr>
          <w:spacing w:val="-5"/>
          <w:sz w:val="21"/>
        </w:rPr>
        <w:t>和《基金合同》规定的基金份额持有人大会职权范围的，应提交大会审议；对于不符合上述</w:t>
      </w:r>
      <w:r>
        <w:rPr>
          <w:spacing w:val="-10"/>
          <w:sz w:val="21"/>
        </w:rPr>
        <w:t>要求的，不提交基金份额持有人大会审议。如果召集人决定不将基金份额持有人提案提交大</w:t>
      </w:r>
      <w:r>
        <w:rPr>
          <w:sz w:val="21"/>
        </w:rPr>
        <w:t>会表决，应当在该次基金份额持有人大会上进行解释和说明。</w:t>
      </w:r>
    </w:p>
    <w:p>
      <w:pPr>
        <w:pStyle w:val="ListParagraph"/>
        <w:numPr>
          <w:ilvl w:val="0"/>
          <w:numId w:val="59"/>
        </w:numPr>
        <w:tabs>
          <w:tab w:pos="1324" w:val="left" w:leader="none"/>
        </w:tabs>
        <w:spacing w:line="364" w:lineRule="auto" w:before="0" w:after="0"/>
        <w:ind w:left="376" w:right="794" w:firstLine="420"/>
        <w:jc w:val="both"/>
        <w:rPr>
          <w:sz w:val="21"/>
        </w:rPr>
      </w:pPr>
      <w:r>
        <w:rPr>
          <w:sz w:val="21"/>
        </w:rPr>
        <w:t>程序性。大会召集人可以对提案涉及的程序性问题做出决定。如将提案进行分拆</w:t>
      </w:r>
      <w:r>
        <w:rPr>
          <w:spacing w:val="-7"/>
          <w:sz w:val="21"/>
        </w:rPr>
        <w:t>或合并表决，需征得原提案人同意；原提案人不同意变更的，大会主持人可以就程序性问题</w:t>
      </w:r>
      <w:r>
        <w:rPr>
          <w:sz w:val="21"/>
        </w:rPr>
        <w:t>提请基金份额持有人大会做出决定，并按照基金份额持有人大会决定的程序进行审议。</w:t>
      </w:r>
    </w:p>
    <w:p>
      <w:pPr>
        <w:pStyle w:val="BodyText"/>
        <w:spacing w:line="364" w:lineRule="auto"/>
        <w:ind w:left="376" w:right="794" w:firstLine="420"/>
        <w:jc w:val="both"/>
      </w:pPr>
      <w:r>
        <w:rPr>
          <w:spacing w:val="-3"/>
        </w:rPr>
        <w:t>单独或合并持有权益登记日基金总份额 </w:t>
      </w:r>
      <w:r>
        <w:rPr/>
        <w:t>10%（</w:t>
      </w:r>
      <w:r>
        <w:rPr>
          <w:spacing w:val="-26"/>
        </w:rPr>
        <w:t>含 </w:t>
      </w:r>
      <w:r>
        <w:rPr/>
        <w:t>10%）以上的基金份额持有人提交基金</w:t>
      </w:r>
      <w:r>
        <w:rPr>
          <w:spacing w:val="-7"/>
        </w:rPr>
        <w:t>份额持有人大会审议表决的提案，或基金管理人或基金托管人提交基金份额持有人大会审议</w:t>
      </w:r>
      <w:r>
        <w:rPr>
          <w:spacing w:val="-10"/>
        </w:rPr>
        <w:t>表决的提案，未获基金份额持有人大会审议通过，就同一提案再次提请基金份额持有人大会</w:t>
      </w:r>
      <w:r>
        <w:rPr>
          <w:spacing w:val="-5"/>
        </w:rPr>
        <w:t>审议，其时间间隔不少于 </w:t>
      </w:r>
      <w:r>
        <w:rPr/>
        <w:t>6</w:t>
      </w:r>
      <w:r>
        <w:rPr>
          <w:spacing w:val="-8"/>
        </w:rPr>
        <w:t> 个月。法律法规另有规定除外。</w:t>
      </w:r>
    </w:p>
    <w:p>
      <w:pPr>
        <w:pStyle w:val="BodyText"/>
        <w:spacing w:line="364" w:lineRule="auto"/>
        <w:ind w:left="376" w:right="585" w:firstLine="420"/>
      </w:pPr>
      <w:r>
        <w:rPr>
          <w:spacing w:val="2"/>
        </w:rPr>
        <w:t>基金份额持有人大会的召集人发出召开会议的通知后，如果需要对原有提案进行修改， </w:t>
      </w:r>
      <w:r>
        <w:rPr>
          <w:spacing w:val="-1"/>
        </w:rPr>
        <w:t>应当最迟在基金份额持有人大会召开前 </w:t>
      </w:r>
      <w:r>
        <w:rPr/>
        <w:t>30</w:t>
      </w:r>
      <w:r>
        <w:rPr>
          <w:spacing w:val="-7"/>
        </w:rPr>
        <w:t> 日公告。否则，会议的召开日期应当顺延并保证至</w:t>
      </w:r>
      <w:r>
        <w:rPr>
          <w:spacing w:val="-13"/>
        </w:rPr>
        <w:t>少与公告日期有 </w:t>
      </w:r>
      <w:r>
        <w:rPr/>
        <w:t>30</w:t>
      </w:r>
      <w:r>
        <w:rPr>
          <w:spacing w:val="-9"/>
        </w:rPr>
        <w:t> 日的间隔期。</w:t>
      </w:r>
    </w:p>
    <w:p>
      <w:pPr>
        <w:pStyle w:val="BodyText"/>
        <w:spacing w:line="268" w:lineRule="exact"/>
      </w:pPr>
      <w:r>
        <w:rPr/>
        <w:t>2、议事程序</w:t>
      </w:r>
    </w:p>
    <w:p>
      <w:pPr>
        <w:pStyle w:val="ListParagraph"/>
        <w:numPr>
          <w:ilvl w:val="0"/>
          <w:numId w:val="60"/>
        </w:numPr>
        <w:tabs>
          <w:tab w:pos="1323" w:val="left" w:leader="none"/>
        </w:tabs>
        <w:spacing w:line="240" w:lineRule="auto" w:before="134" w:after="0"/>
        <w:ind w:left="1323" w:right="0" w:hanging="527"/>
        <w:jc w:val="left"/>
        <w:rPr>
          <w:sz w:val="21"/>
        </w:rPr>
      </w:pPr>
      <w:r>
        <w:rPr>
          <w:sz w:val="21"/>
        </w:rPr>
        <w:t>现场开会</w:t>
      </w:r>
    </w:p>
    <w:p>
      <w:pPr>
        <w:spacing w:after="0" w:line="240" w:lineRule="auto"/>
        <w:jc w:val="left"/>
        <w:rPr>
          <w:sz w:val="21"/>
        </w:rPr>
        <w:sectPr>
          <w:pgSz w:w="11910" w:h="16840"/>
          <w:pgMar w:header="0" w:footer="1118" w:top="1380" w:bottom="1380" w:left="1420" w:right="1000"/>
        </w:sectPr>
      </w:pPr>
    </w:p>
    <w:p>
      <w:pPr>
        <w:pStyle w:val="BodyText"/>
        <w:spacing w:line="364" w:lineRule="auto" w:before="45"/>
        <w:ind w:left="376" w:right="585" w:firstLine="420"/>
      </w:pPr>
      <w:r>
        <w:rPr>
          <w:spacing w:val="2"/>
        </w:rPr>
        <w:t>在现场开会的方式下，首先由大会主持人按照下列第七条规定程序确定和公布监票人， </w:t>
      </w:r>
      <w:r>
        <w:rPr>
          <w:spacing w:val="-4"/>
        </w:rPr>
        <w:t>然后由大会主持人宣读提案，经讨论后进行表决，并形成大会决议。大会主持人为基金管理 </w:t>
      </w:r>
      <w:r>
        <w:rPr>
          <w:spacing w:val="-10"/>
        </w:rPr>
        <w:t>人授权出席会议的代表，在基金管理人授权代表未能主持大会的情况下，由基金托管人授权 </w:t>
      </w:r>
      <w:r>
        <w:rPr/>
        <w:t>其出席会议的代表主持；如果基金管理人授权代表和基金托管人授权代表均未能主持大会， </w:t>
      </w:r>
      <w:r>
        <w:rPr>
          <w:spacing w:val="-2"/>
        </w:rPr>
        <w:t>则由出席大会的基金份额持有人所持表决权的 </w:t>
      </w:r>
      <w:r>
        <w:rPr/>
        <w:t>50%以上（</w:t>
      </w:r>
      <w:r>
        <w:rPr>
          <w:spacing w:val="-20"/>
        </w:rPr>
        <w:t>含 </w:t>
      </w:r>
      <w:r>
        <w:rPr/>
        <w:t>50%）选举产生一名基金份额持有</w:t>
      </w:r>
      <w:r>
        <w:rPr>
          <w:spacing w:val="-5"/>
        </w:rPr>
        <w:t>人作为该次基金份额持有人大会的主持人。基金管理人和基金托管人不出席或主持基金份 额持有人大会，不影响基金份额持有人大会作出的决议的效力。</w:t>
      </w:r>
    </w:p>
    <w:p>
      <w:pPr>
        <w:pStyle w:val="BodyText"/>
        <w:spacing w:line="364" w:lineRule="auto"/>
        <w:ind w:left="376" w:right="585" w:firstLine="420"/>
      </w:pPr>
      <w:r>
        <w:rPr>
          <w:spacing w:val="-5"/>
        </w:rPr>
        <w:t>会议召集人应当制作出席会议人员的签名册。签名册载明参加会议人员姓名</w:t>
      </w:r>
      <w:r>
        <w:rPr/>
        <w:t>（或单位名 称</w:t>
      </w:r>
      <w:r>
        <w:rPr>
          <w:spacing w:val="-105"/>
        </w:rPr>
        <w:t>）</w:t>
      </w:r>
      <w:r>
        <w:rPr/>
        <w:t>、身份证号码、住所地址、持有或代表有表决权的基金份额、委托人姓名（或单位名称） 等事项。</w:t>
      </w:r>
    </w:p>
    <w:p>
      <w:pPr>
        <w:pStyle w:val="ListParagraph"/>
        <w:numPr>
          <w:ilvl w:val="0"/>
          <w:numId w:val="60"/>
        </w:numPr>
        <w:tabs>
          <w:tab w:pos="1323" w:val="left" w:leader="none"/>
        </w:tabs>
        <w:spacing w:line="268" w:lineRule="exact" w:before="0" w:after="0"/>
        <w:ind w:left="1323" w:right="0" w:hanging="527"/>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40"/>
        <w:ind w:left="376"/>
      </w:pPr>
      <w:r>
        <w:rPr/>
        <w:t>个工作日内在公证机关监督下由召集人统计全部有效表决，在公证机关监督下形成决议。</w:t>
      </w:r>
    </w:p>
    <w:p>
      <w:pPr>
        <w:pStyle w:val="BodyText"/>
        <w:spacing w:before="139"/>
      </w:pPr>
      <w:r>
        <w:rPr/>
        <w:t>（六）表决</w:t>
      </w:r>
    </w:p>
    <w:p>
      <w:pPr>
        <w:pStyle w:val="BodyText"/>
        <w:spacing w:line="364" w:lineRule="auto" w:before="139"/>
        <w:ind w:right="3858"/>
      </w:pPr>
      <w:r>
        <w:rPr/>
        <w:t>基金份额持有人所持每份基金份额有一票表决权。 </w:t>
      </w:r>
      <w:r>
        <w:rPr>
          <w:spacing w:val="-1"/>
        </w:rPr>
        <w:t>基金份额持有人大会决议分为一般决议和特别决议：</w:t>
      </w:r>
    </w:p>
    <w:p>
      <w:pPr>
        <w:pStyle w:val="BodyText"/>
        <w:spacing w:line="364" w:lineRule="auto"/>
        <w:ind w:left="376" w:right="794"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0"/>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376" w:right="794" w:firstLine="420"/>
        <w:jc w:val="both"/>
      </w:pPr>
      <w:r>
        <w:rPr/>
        <w:t>2、特别决议，特别决议应当经参加大会的基金份额持有人或其代理人所持表决权的三</w:t>
      </w:r>
      <w:r>
        <w:rPr>
          <w:spacing w:val="-5"/>
        </w:rPr>
        <w:t>分之二以上</w:t>
      </w:r>
      <w:r>
        <w:rPr/>
        <w:t>（含三分之二</w:t>
      </w:r>
      <w:r>
        <w:rPr>
          <w:spacing w:val="-23"/>
        </w:rPr>
        <w:t>）</w:t>
      </w:r>
      <w:r>
        <w:rPr>
          <w:spacing w:val="-7"/>
        </w:rPr>
        <w:t>通过方可做出。转换基金运作方式、更换基金管理人或者基金托</w:t>
      </w:r>
      <w:r>
        <w:rPr/>
        <w:t>管人、终止《基金合同》以特别决议通过方为有效。</w:t>
      </w:r>
    </w:p>
    <w:p>
      <w:pPr>
        <w:pStyle w:val="BodyText"/>
        <w:spacing w:line="268" w:lineRule="exact"/>
      </w:pPr>
      <w:r>
        <w:rPr/>
        <w:t>基金份额持有人大会采取记名方式进行投票表决。</w:t>
      </w:r>
    </w:p>
    <w:p>
      <w:pPr>
        <w:pStyle w:val="BodyText"/>
        <w:spacing w:line="364" w:lineRule="auto" w:before="137"/>
        <w:ind w:left="376" w:right="794" w:firstLine="420"/>
        <w:jc w:val="both"/>
      </w:pPr>
      <w:r>
        <w:rPr>
          <w:spacing w:val="-7"/>
        </w:rPr>
        <w:t>采取通讯方式进行表决时，除非在计票时有充分的相反证据证明，提交符合会议通知中</w:t>
      </w:r>
      <w:r>
        <w:rPr>
          <w:spacing w:val="-5"/>
        </w:rPr>
        <w:t>规定的确认投资者身份文件的表决视为有效出席的投资者，符合会议通知规定的书面表决意</w:t>
      </w:r>
      <w:r>
        <w:rPr>
          <w:spacing w:val="-9"/>
        </w:rPr>
        <w:t>见视为有效表决，表决意见模糊不清或相互矛盾的视为弃权表决，但应当计入出具书面意见</w:t>
      </w:r>
      <w:r>
        <w:rPr/>
        <w:t>的基金份额持有人所代表的基金份额总数。</w:t>
      </w:r>
    </w:p>
    <w:p>
      <w:pPr>
        <w:pStyle w:val="BodyText"/>
        <w:spacing w:line="364" w:lineRule="auto"/>
        <w:ind w:left="376" w:right="714" w:firstLine="420"/>
      </w:pPr>
      <w:r>
        <w:rPr/>
        <w:t>基金份额持有人大会的各项提案或同一项提案内并列的各项议题应当分开审议、逐项表决。</w:t>
      </w:r>
    </w:p>
    <w:p>
      <w:pPr>
        <w:pStyle w:val="BodyText"/>
        <w:spacing w:line="268" w:lineRule="exact"/>
      </w:pPr>
      <w:r>
        <w:rPr/>
        <w:t>（七）计票</w:t>
      </w:r>
    </w:p>
    <w:p>
      <w:pPr>
        <w:pStyle w:val="BodyText"/>
        <w:spacing w:before="138"/>
      </w:pPr>
      <w:r>
        <w:rPr/>
        <w:t>1、现场开会</w:t>
      </w:r>
    </w:p>
    <w:p>
      <w:pPr>
        <w:pStyle w:val="ListParagraph"/>
        <w:numPr>
          <w:ilvl w:val="0"/>
          <w:numId w:val="61"/>
        </w:numPr>
        <w:tabs>
          <w:tab w:pos="1324" w:val="left" w:leader="none"/>
        </w:tabs>
        <w:spacing w:line="364" w:lineRule="auto" w:before="139" w:after="0"/>
        <w:ind w:left="376" w:right="794" w:firstLine="420"/>
        <w:jc w:val="both"/>
        <w:rPr>
          <w:sz w:val="21"/>
        </w:rPr>
      </w:pPr>
      <w:r>
        <w:rPr>
          <w:sz w:val="21"/>
        </w:rPr>
        <w:t>如大会由基金管理人或基金托管人召集，基金份额持有人大会的主持人应当在会</w:t>
      </w:r>
      <w:r>
        <w:rPr>
          <w:spacing w:val="2"/>
          <w:sz w:val="21"/>
        </w:rPr>
        <w:t>议开始后宣布在出席会议的基金份额持有人中选举两名基金份额持有人代表与大会召集人</w:t>
      </w:r>
      <w:r>
        <w:rPr>
          <w:spacing w:val="-6"/>
          <w:sz w:val="21"/>
        </w:rPr>
        <w:t>授权的一名监督员共同担任监票人；如大会由基金份额持有人自行召集或大会虽然由基金管</w:t>
      </w:r>
    </w:p>
    <w:p>
      <w:pPr>
        <w:spacing w:after="0" w:line="364" w:lineRule="auto"/>
        <w:jc w:val="both"/>
        <w:rPr>
          <w:sz w:val="21"/>
        </w:rPr>
        <w:sectPr>
          <w:pgSz w:w="11910" w:h="16840"/>
          <w:pgMar w:header="0" w:footer="1118" w:top="1380" w:bottom="1380" w:left="1420" w:right="1000"/>
        </w:sectPr>
      </w:pPr>
    </w:p>
    <w:p>
      <w:pPr>
        <w:pStyle w:val="BodyText"/>
        <w:spacing w:line="364" w:lineRule="auto" w:before="45"/>
        <w:ind w:left="376" w:right="794"/>
        <w:jc w:val="both"/>
      </w:pPr>
      <w:r>
        <w:rPr>
          <w:spacing w:val="-8"/>
        </w:rPr>
        <w:t>理人或基金托管人召集，但是基金管理人或基金托管人未出席大会的，基金份额持有人大会</w:t>
      </w:r>
      <w:r>
        <w:rPr>
          <w:spacing w:val="2"/>
        </w:rPr>
        <w:t>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61"/>
        </w:numPr>
        <w:tabs>
          <w:tab w:pos="1324" w:val="left" w:leader="none"/>
        </w:tabs>
        <w:spacing w:line="364" w:lineRule="auto" w:before="0" w:after="0"/>
        <w:ind w:left="376" w:right="795" w:firstLine="420"/>
        <w:jc w:val="left"/>
        <w:rPr>
          <w:sz w:val="21"/>
        </w:rPr>
      </w:pPr>
      <w:r>
        <w:rPr>
          <w:sz w:val="21"/>
        </w:rPr>
        <w:t>监票人应当在基金份额持有人表决后立即进行清点并由大会主持人当场公布计票结果。</w:t>
      </w:r>
    </w:p>
    <w:p>
      <w:pPr>
        <w:pStyle w:val="ListParagraph"/>
        <w:numPr>
          <w:ilvl w:val="0"/>
          <w:numId w:val="61"/>
        </w:numPr>
        <w:tabs>
          <w:tab w:pos="1324" w:val="left" w:leader="none"/>
        </w:tabs>
        <w:spacing w:line="364" w:lineRule="auto" w:before="0" w:after="0"/>
        <w:ind w:left="376" w:right="689" w:firstLine="420"/>
        <w:jc w:val="left"/>
        <w:rPr>
          <w:sz w:val="21"/>
        </w:rPr>
      </w:pPr>
      <w:r>
        <w:rPr>
          <w:sz w:val="21"/>
        </w:rPr>
        <w:t>如果会议主持人或基金份额持有人对于提交的表决结果有怀疑，可以在宣布表决</w:t>
      </w:r>
      <w:r>
        <w:rPr>
          <w:spacing w:val="-10"/>
          <w:sz w:val="21"/>
        </w:rPr>
        <w:t>结果后立即对所投票数要求进行重新清点。监票人应当进行重新清点，重新清点以一次为限。</w:t>
      </w:r>
      <w:r>
        <w:rPr>
          <w:sz w:val="21"/>
        </w:rPr>
        <w:t>重新清点后，大会主持人应当当场公布重新清点结果。</w:t>
      </w:r>
    </w:p>
    <w:p>
      <w:pPr>
        <w:pStyle w:val="ListParagraph"/>
        <w:numPr>
          <w:ilvl w:val="0"/>
          <w:numId w:val="61"/>
        </w:numPr>
        <w:tabs>
          <w:tab w:pos="1324" w:val="left" w:leader="none"/>
        </w:tabs>
        <w:spacing w:line="364" w:lineRule="auto" w:before="0" w:after="0"/>
        <w:ind w:left="376" w:right="795" w:firstLine="420"/>
        <w:jc w:val="left"/>
        <w:rPr>
          <w:sz w:val="21"/>
        </w:rPr>
      </w:pPr>
      <w:r>
        <w:rPr>
          <w:sz w:val="21"/>
        </w:rPr>
        <w:t>计票过程应由公证机关予以公证，基金管理人或基金托管人拒不出席大会的，不影响计票的效力。</w:t>
      </w:r>
    </w:p>
    <w:p>
      <w:pPr>
        <w:pStyle w:val="BodyText"/>
        <w:spacing w:line="268" w:lineRule="exact"/>
      </w:pPr>
      <w:r>
        <w:rPr/>
        <w:t>2、通讯开会</w:t>
      </w:r>
    </w:p>
    <w:p>
      <w:pPr>
        <w:pStyle w:val="BodyText"/>
        <w:spacing w:line="364" w:lineRule="auto" w:before="136"/>
        <w:ind w:left="376" w:right="585" w:firstLine="420"/>
      </w:pPr>
      <w:r>
        <w:rPr>
          <w:spacing w:val="-6"/>
        </w:rPr>
        <w:t>在通讯开会的情况下，计票方式为：由大会召集人授权的两名监督员在基金托管人授权 </w:t>
      </w:r>
      <w:r>
        <w:rPr>
          <w:spacing w:val="-15"/>
        </w:rPr>
        <w:t>代表</w:t>
      </w:r>
      <w:r>
        <w:rPr/>
        <w:t>（</w:t>
      </w:r>
      <w:r>
        <w:rPr>
          <w:spacing w:val="-3"/>
        </w:rPr>
        <w:t>若由基金托管人召集，则为基金管理人授权代表</w:t>
      </w:r>
      <w:r>
        <w:rPr>
          <w:spacing w:val="-22"/>
        </w:rPr>
        <w:t>）</w:t>
      </w:r>
      <w:r>
        <w:rPr>
          <w:spacing w:val="-3"/>
        </w:rPr>
        <w:t>的监督下进行计票，并由公证机关 </w:t>
      </w:r>
      <w:r>
        <w:rPr/>
        <w:t>对其计票过程予以公证。基金管理人或基金托管人拒派代表对表决意见的计票进行监督的， 不影响计票和表决结果。</w:t>
      </w:r>
    </w:p>
    <w:p>
      <w:pPr>
        <w:pStyle w:val="BodyText"/>
        <w:spacing w:line="267" w:lineRule="exact"/>
      </w:pPr>
      <w:r>
        <w:rPr/>
        <w:t>（八）生效与公告</w:t>
      </w:r>
    </w:p>
    <w:p>
      <w:pPr>
        <w:pStyle w:val="BodyText"/>
        <w:spacing w:line="364" w:lineRule="auto" w:before="139"/>
        <w:ind w:left="376" w:right="794" w:firstLine="420"/>
      </w:pPr>
      <w:r>
        <w:rPr>
          <w:spacing w:val="-9"/>
        </w:rPr>
        <w:t>基金份额持有人大会的决议，召集人应当自通过之日起 </w:t>
      </w:r>
      <w:r>
        <w:rPr/>
        <w:t>5</w:t>
      </w:r>
      <w:r>
        <w:rPr>
          <w:spacing w:val="-9"/>
        </w:rPr>
        <w:t> 日内报中国证监会核准或者备</w:t>
      </w:r>
      <w:r>
        <w:rPr/>
        <w:t>案。</w:t>
      </w:r>
    </w:p>
    <w:p>
      <w:pPr>
        <w:pStyle w:val="BodyText"/>
        <w:spacing w:line="364" w:lineRule="auto"/>
        <w:ind w:left="376" w:right="795" w:firstLine="420"/>
      </w:pPr>
      <w:r>
        <w:rPr>
          <w:spacing w:val="2"/>
        </w:rPr>
        <w:t>基金份额持有人大会决定的事项自中国证监会依法核准或者出具无异议意见之日起生效。</w:t>
      </w:r>
    </w:p>
    <w:p>
      <w:pPr>
        <w:pStyle w:val="BodyText"/>
        <w:spacing w:line="364" w:lineRule="auto"/>
        <w:ind w:left="376" w:right="794" w:firstLine="420"/>
        <w:jc w:val="both"/>
      </w:pPr>
      <w:r>
        <w:rPr>
          <w:spacing w:val="-3"/>
        </w:rPr>
        <w:t>基金份额持有人大会决议自生效之日起 </w:t>
      </w:r>
      <w:r>
        <w:rPr/>
        <w:t>2</w:t>
      </w:r>
      <w:r>
        <w:rPr>
          <w:spacing w:val="-14"/>
        </w:rPr>
        <w:t> 日内在指定媒介公告。如果采用通讯方式进行</w:t>
      </w:r>
      <w:r>
        <w:rPr>
          <w:spacing w:val="-9"/>
        </w:rPr>
        <w:t>表决，在公告基金份额持有人大会决议时，必须将公证书全文、公证机构、公证员姓名等一</w:t>
      </w:r>
      <w:r>
        <w:rPr/>
        <w:t>同公告。</w:t>
      </w:r>
    </w:p>
    <w:p>
      <w:pPr>
        <w:pStyle w:val="BodyText"/>
        <w:spacing w:line="364" w:lineRule="auto"/>
        <w:ind w:right="603"/>
      </w:pPr>
      <w:r>
        <w:rPr>
          <w:spacing w:val="-12"/>
        </w:rPr>
        <w:t>基金管理人、基金托管人和基金份额持有人应当执行生效的基金份额持有人大会的决议。</w:t>
      </w:r>
      <w:r>
        <w:rPr>
          <w:spacing w:val="-9"/>
        </w:rPr>
        <w:t>基金份额持有人大会决议对全体基金份额持有人、基金管理人、基金托管人均有约束力。</w:t>
      </w:r>
    </w:p>
    <w:p>
      <w:pPr>
        <w:pStyle w:val="Heading2"/>
        <w:jc w:val="both"/>
      </w:pPr>
      <w:bookmarkStart w:name="_bookmark106" w:id="107"/>
      <w:bookmarkEnd w:id="107"/>
      <w:r>
        <w:rPr/>
      </w:r>
      <w:r>
        <w:rPr/>
        <w:t>三、 基金合同解除和终止的事由、程序</w:t>
      </w:r>
    </w:p>
    <w:p>
      <w:pPr>
        <w:pStyle w:val="BodyText"/>
        <w:spacing w:before="182"/>
      </w:pPr>
      <w:r>
        <w:rPr/>
        <w:t>（一</w:t>
      </w:r>
      <w:r>
        <w:rPr>
          <w:spacing w:val="-105"/>
        </w:rPr>
        <w:t>）</w:t>
      </w:r>
      <w:r>
        <w:rPr/>
        <w:t>《基金合同》的变更</w:t>
      </w:r>
    </w:p>
    <w:p>
      <w:pPr>
        <w:pStyle w:val="BodyText"/>
        <w:spacing w:before="139"/>
      </w:pPr>
      <w:r>
        <w:rPr/>
        <w:t>1、以下变更《基金合同》的事项应经基金份额持有人大会决议通过：</w:t>
      </w:r>
    </w:p>
    <w:p>
      <w:pPr>
        <w:pStyle w:val="ListParagraph"/>
        <w:numPr>
          <w:ilvl w:val="0"/>
          <w:numId w:val="62"/>
        </w:numPr>
        <w:tabs>
          <w:tab w:pos="1323" w:val="left" w:leader="none"/>
        </w:tabs>
        <w:spacing w:line="240" w:lineRule="auto" w:before="140" w:after="0"/>
        <w:ind w:left="1323" w:right="0" w:hanging="527"/>
        <w:jc w:val="left"/>
        <w:rPr>
          <w:sz w:val="21"/>
        </w:rPr>
      </w:pPr>
      <w:r>
        <w:rPr>
          <w:spacing w:val="-10"/>
          <w:sz w:val="21"/>
        </w:rPr>
        <w:t>提前终止《基金合同》；</w:t>
      </w:r>
    </w:p>
    <w:p>
      <w:pPr>
        <w:pStyle w:val="ListParagraph"/>
        <w:numPr>
          <w:ilvl w:val="0"/>
          <w:numId w:val="62"/>
        </w:numPr>
        <w:tabs>
          <w:tab w:pos="1323" w:val="left" w:leader="none"/>
        </w:tabs>
        <w:spacing w:line="240" w:lineRule="auto" w:before="139" w:after="0"/>
        <w:ind w:left="1323" w:right="0" w:hanging="527"/>
        <w:jc w:val="left"/>
        <w:rPr>
          <w:sz w:val="21"/>
        </w:rPr>
      </w:pPr>
      <w:r>
        <w:rPr>
          <w:sz w:val="21"/>
        </w:rPr>
        <w:t>更换基金管理人；</w:t>
      </w:r>
    </w:p>
    <w:p>
      <w:pPr>
        <w:pStyle w:val="ListParagraph"/>
        <w:numPr>
          <w:ilvl w:val="0"/>
          <w:numId w:val="62"/>
        </w:numPr>
        <w:tabs>
          <w:tab w:pos="1323" w:val="left" w:leader="none"/>
        </w:tabs>
        <w:spacing w:line="240" w:lineRule="auto" w:before="139" w:after="0"/>
        <w:ind w:left="1323" w:right="0" w:hanging="527"/>
        <w:jc w:val="left"/>
        <w:rPr>
          <w:sz w:val="21"/>
        </w:rPr>
      </w:pPr>
      <w:r>
        <w:rPr>
          <w:sz w:val="21"/>
        </w:rPr>
        <w:t>更换基金托管人；</w:t>
      </w:r>
    </w:p>
    <w:p>
      <w:pPr>
        <w:pStyle w:val="ListParagraph"/>
        <w:numPr>
          <w:ilvl w:val="0"/>
          <w:numId w:val="62"/>
        </w:numPr>
        <w:tabs>
          <w:tab w:pos="1323" w:val="left" w:leader="none"/>
        </w:tabs>
        <w:spacing w:line="240" w:lineRule="auto" w:before="140" w:after="0"/>
        <w:ind w:left="1323" w:right="0" w:hanging="527"/>
        <w:jc w:val="left"/>
        <w:rPr>
          <w:sz w:val="21"/>
        </w:rPr>
      </w:pPr>
      <w:r>
        <w:rPr>
          <w:sz w:val="21"/>
        </w:rPr>
        <w:t>转换基金运作方式；</w:t>
      </w:r>
    </w:p>
    <w:p>
      <w:pPr>
        <w:pStyle w:val="ListParagraph"/>
        <w:numPr>
          <w:ilvl w:val="0"/>
          <w:numId w:val="62"/>
        </w:numPr>
        <w:tabs>
          <w:tab w:pos="1324" w:val="left" w:leader="none"/>
        </w:tabs>
        <w:spacing w:line="364" w:lineRule="auto" w:before="139" w:after="0"/>
        <w:ind w:left="376" w:right="795" w:firstLine="420"/>
        <w:jc w:val="left"/>
        <w:rPr>
          <w:sz w:val="21"/>
        </w:rPr>
      </w:pPr>
      <w:r>
        <w:rPr>
          <w:sz w:val="21"/>
        </w:rPr>
        <w:t>提高基金管理人、基金托管人的报酬标准或销售服务费。但根据法律法规的要求提高该等报酬标准或销售服务费的除外；</w:t>
      </w:r>
    </w:p>
    <w:p>
      <w:pPr>
        <w:spacing w:after="0" w:line="364" w:lineRule="auto"/>
        <w:jc w:val="left"/>
        <w:rPr>
          <w:sz w:val="21"/>
        </w:rPr>
        <w:sectPr>
          <w:pgSz w:w="11910" w:h="16840"/>
          <w:pgMar w:header="0" w:footer="1118" w:top="1380" w:bottom="1380" w:left="1420" w:right="1000"/>
        </w:sectPr>
      </w:pPr>
    </w:p>
    <w:p>
      <w:pPr>
        <w:pStyle w:val="ListParagraph"/>
        <w:numPr>
          <w:ilvl w:val="0"/>
          <w:numId w:val="62"/>
        </w:numPr>
        <w:tabs>
          <w:tab w:pos="1323" w:val="left" w:leader="none"/>
        </w:tabs>
        <w:spacing w:line="240" w:lineRule="auto" w:before="45" w:after="0"/>
        <w:ind w:left="1323" w:right="0" w:hanging="527"/>
        <w:jc w:val="left"/>
        <w:rPr>
          <w:sz w:val="21"/>
        </w:rPr>
      </w:pPr>
      <w:r>
        <w:rPr>
          <w:sz w:val="21"/>
        </w:rPr>
        <w:t>变更基金类别；</w:t>
      </w:r>
    </w:p>
    <w:p>
      <w:pPr>
        <w:pStyle w:val="ListParagraph"/>
        <w:numPr>
          <w:ilvl w:val="0"/>
          <w:numId w:val="62"/>
        </w:numPr>
        <w:tabs>
          <w:tab w:pos="1323" w:val="left" w:leader="none"/>
        </w:tabs>
        <w:spacing w:line="240" w:lineRule="auto" w:before="139" w:after="0"/>
        <w:ind w:left="1323" w:right="0" w:hanging="527"/>
        <w:jc w:val="left"/>
        <w:rPr>
          <w:sz w:val="21"/>
        </w:rPr>
      </w:pPr>
      <w:r>
        <w:rPr>
          <w:sz w:val="21"/>
        </w:rPr>
        <w:t>本基金与其他基金的合并；</w:t>
      </w:r>
    </w:p>
    <w:p>
      <w:pPr>
        <w:pStyle w:val="ListParagraph"/>
        <w:numPr>
          <w:ilvl w:val="0"/>
          <w:numId w:val="62"/>
        </w:numPr>
        <w:tabs>
          <w:tab w:pos="1323" w:val="left" w:leader="none"/>
        </w:tabs>
        <w:spacing w:line="240" w:lineRule="auto" w:before="140" w:after="0"/>
        <w:ind w:left="1323" w:right="0" w:hanging="527"/>
        <w:jc w:val="left"/>
        <w:rPr>
          <w:sz w:val="21"/>
        </w:rPr>
      </w:pPr>
      <w:r>
        <w:rPr>
          <w:sz w:val="21"/>
        </w:rPr>
        <w:t>变更基金投资目标、范围或策略；</w:t>
      </w:r>
    </w:p>
    <w:p>
      <w:pPr>
        <w:pStyle w:val="ListParagraph"/>
        <w:numPr>
          <w:ilvl w:val="0"/>
          <w:numId w:val="62"/>
        </w:numPr>
        <w:tabs>
          <w:tab w:pos="1323" w:val="left" w:leader="none"/>
        </w:tabs>
        <w:spacing w:line="240" w:lineRule="auto" w:before="139" w:after="0"/>
        <w:ind w:left="1323" w:right="0" w:hanging="527"/>
        <w:jc w:val="left"/>
        <w:rPr>
          <w:sz w:val="21"/>
        </w:rPr>
      </w:pPr>
      <w:r>
        <w:rPr>
          <w:sz w:val="21"/>
        </w:rPr>
        <w:t>变更基金份额持有人大会程序；</w:t>
      </w:r>
    </w:p>
    <w:p>
      <w:pPr>
        <w:pStyle w:val="ListParagraph"/>
        <w:numPr>
          <w:ilvl w:val="0"/>
          <w:numId w:val="62"/>
        </w:numPr>
        <w:tabs>
          <w:tab w:pos="1428" w:val="left" w:leader="none"/>
        </w:tabs>
        <w:spacing w:line="240" w:lineRule="auto" w:before="140" w:after="0"/>
        <w:ind w:left="1428" w:right="0" w:hanging="632"/>
        <w:jc w:val="left"/>
        <w:rPr>
          <w:sz w:val="21"/>
        </w:rPr>
      </w:pPr>
      <w:r>
        <w:rPr>
          <w:sz w:val="21"/>
        </w:rPr>
        <w:t>对基金当事人权利和义务产生重大影响的其他事项。</w:t>
      </w:r>
    </w:p>
    <w:p>
      <w:pPr>
        <w:pStyle w:val="BodyText"/>
        <w:spacing w:before="139"/>
      </w:pPr>
      <w:r>
        <w:rPr/>
        <w:t>2、以下情况可由基金管理人和基金托管人协商后修改，不须召开基金份额持有人大会：</w:t>
      </w:r>
    </w:p>
    <w:p>
      <w:pPr>
        <w:pStyle w:val="ListParagraph"/>
        <w:numPr>
          <w:ilvl w:val="0"/>
          <w:numId w:val="63"/>
        </w:numPr>
        <w:tabs>
          <w:tab w:pos="1323" w:val="left" w:leader="none"/>
        </w:tabs>
        <w:spacing w:line="240" w:lineRule="auto" w:before="140" w:after="0"/>
        <w:ind w:left="1323" w:right="0" w:hanging="527"/>
        <w:jc w:val="left"/>
        <w:rPr>
          <w:sz w:val="21"/>
        </w:rPr>
      </w:pPr>
      <w:r>
        <w:rPr>
          <w:sz w:val="21"/>
        </w:rPr>
        <w:t>调低基金管理费、基金托管费、销售服务费；</w:t>
      </w:r>
    </w:p>
    <w:p>
      <w:pPr>
        <w:pStyle w:val="ListParagraph"/>
        <w:numPr>
          <w:ilvl w:val="0"/>
          <w:numId w:val="63"/>
        </w:numPr>
        <w:tabs>
          <w:tab w:pos="1323" w:val="left" w:leader="none"/>
        </w:tabs>
        <w:spacing w:line="240" w:lineRule="auto" w:before="139" w:after="0"/>
        <w:ind w:left="1323" w:right="0" w:hanging="527"/>
        <w:jc w:val="left"/>
        <w:rPr>
          <w:sz w:val="21"/>
        </w:rPr>
      </w:pPr>
      <w:r>
        <w:rPr>
          <w:sz w:val="21"/>
        </w:rPr>
        <w:t>法律法规要求增加的基金费用的收取；</w:t>
      </w:r>
    </w:p>
    <w:p>
      <w:pPr>
        <w:pStyle w:val="ListParagraph"/>
        <w:numPr>
          <w:ilvl w:val="0"/>
          <w:numId w:val="63"/>
        </w:numPr>
        <w:tabs>
          <w:tab w:pos="1323" w:val="left" w:leader="none"/>
        </w:tabs>
        <w:spacing w:line="240" w:lineRule="auto" w:before="139" w:after="0"/>
        <w:ind w:left="1323" w:right="0" w:hanging="527"/>
        <w:jc w:val="left"/>
        <w:rPr>
          <w:sz w:val="21"/>
        </w:rPr>
      </w:pPr>
      <w:r>
        <w:rPr>
          <w:sz w:val="21"/>
        </w:rPr>
        <w:t>在《基金合同》规定的范围内变更本基金的申购费率、降低赎回费率；</w:t>
      </w:r>
    </w:p>
    <w:p>
      <w:pPr>
        <w:pStyle w:val="ListParagraph"/>
        <w:numPr>
          <w:ilvl w:val="0"/>
          <w:numId w:val="63"/>
        </w:numPr>
        <w:tabs>
          <w:tab w:pos="1323" w:val="left" w:leader="none"/>
        </w:tabs>
        <w:spacing w:line="240" w:lineRule="auto" w:before="140" w:after="0"/>
        <w:ind w:left="1323" w:right="0" w:hanging="527"/>
        <w:jc w:val="left"/>
        <w:rPr>
          <w:sz w:val="21"/>
        </w:rPr>
      </w:pPr>
      <w:r>
        <w:rPr>
          <w:sz w:val="21"/>
        </w:rPr>
        <w:t>因相应的法律法规发生变动而应当对《基金合同》进行修改；</w:t>
      </w:r>
    </w:p>
    <w:p>
      <w:pPr>
        <w:pStyle w:val="ListParagraph"/>
        <w:numPr>
          <w:ilvl w:val="0"/>
          <w:numId w:val="63"/>
        </w:numPr>
        <w:tabs>
          <w:tab w:pos="1323" w:val="left" w:leader="none"/>
        </w:tabs>
        <w:spacing w:line="364" w:lineRule="auto" w:before="139" w:after="0"/>
        <w:ind w:left="376" w:right="794" w:firstLine="420"/>
        <w:jc w:val="left"/>
        <w:rPr>
          <w:sz w:val="21"/>
        </w:rPr>
      </w:pPr>
      <w:r>
        <w:rPr>
          <w:spacing w:val="-10"/>
          <w:sz w:val="21"/>
        </w:rPr>
        <w:t>《基金合同》的修改对基金份额持有人利益无实质性不利影响或修改不涉及基金</w:t>
      </w:r>
      <w:r>
        <w:rPr>
          <w:spacing w:val="-4"/>
          <w:sz w:val="21"/>
        </w:rPr>
        <w:t>合同当事人权利义务关系发生变化；</w:t>
      </w:r>
    </w:p>
    <w:p>
      <w:pPr>
        <w:pStyle w:val="ListParagraph"/>
        <w:numPr>
          <w:ilvl w:val="0"/>
          <w:numId w:val="63"/>
        </w:numPr>
        <w:tabs>
          <w:tab w:pos="1324" w:val="left" w:leader="none"/>
        </w:tabs>
        <w:spacing w:line="364" w:lineRule="auto" w:before="0" w:after="0"/>
        <w:ind w:left="376" w:right="795" w:firstLine="420"/>
        <w:jc w:val="left"/>
        <w:rPr>
          <w:sz w:val="21"/>
        </w:rPr>
      </w:pPr>
      <w:r>
        <w:rPr>
          <w:sz w:val="21"/>
        </w:rPr>
        <w:t>除按照法律法规和《基金合同》规定应当召开基金份额持有人大会的以外的其他情形。</w:t>
      </w:r>
    </w:p>
    <w:p>
      <w:pPr>
        <w:pStyle w:val="BodyText"/>
        <w:spacing w:line="364" w:lineRule="auto"/>
        <w:ind w:left="376" w:right="794" w:firstLine="420"/>
        <w:jc w:val="both"/>
      </w:pPr>
      <w:r>
        <w:rPr/>
        <w:t>3</w:t>
      </w:r>
      <w:r>
        <w:rPr>
          <w:spacing w:val="-16"/>
        </w:rPr>
        <w:t>、《基金合同》生效后的存续期内，出现以下情形之一的，基金管理人应召集基金份额</w:t>
      </w:r>
      <w:r>
        <w:rPr>
          <w:spacing w:val="-10"/>
        </w:rPr>
        <w:t>持有人大会，并由基金份额持有人大会就是否变更、终止基金合同或将本基金与其他基金合</w:t>
      </w:r>
      <w:r>
        <w:rPr/>
        <w:t>并进行表决：</w:t>
      </w:r>
    </w:p>
    <w:p>
      <w:pPr>
        <w:pStyle w:val="BodyText"/>
        <w:spacing w:line="364" w:lineRule="auto"/>
        <w:ind w:right="3648"/>
        <w:jc w:val="both"/>
      </w:pPr>
      <w:r>
        <w:rPr>
          <w:spacing w:val="-5"/>
        </w:rPr>
        <w:t>基金份额持有人数量连续 </w:t>
      </w:r>
      <w:r>
        <w:rPr/>
        <w:t>60</w:t>
      </w:r>
      <w:r>
        <w:rPr>
          <w:spacing w:val="-13"/>
        </w:rPr>
        <w:t> 个工作日达不到 </w:t>
      </w:r>
      <w:r>
        <w:rPr/>
        <w:t>200</w:t>
      </w:r>
      <w:r>
        <w:rPr>
          <w:spacing w:val="-18"/>
        </w:rPr>
        <w:t> 人； </w:t>
      </w:r>
      <w:r>
        <w:rPr>
          <w:spacing w:val="-22"/>
        </w:rPr>
        <w:t>基金资产净值连续 </w:t>
      </w:r>
      <w:r>
        <w:rPr/>
        <w:t>60</w:t>
      </w:r>
      <w:r>
        <w:rPr>
          <w:spacing w:val="-15"/>
        </w:rPr>
        <w:t> 个工作日低于 </w:t>
      </w:r>
      <w:r>
        <w:rPr/>
        <w:t>3000</w:t>
      </w:r>
      <w:r>
        <w:rPr>
          <w:spacing w:val="-11"/>
        </w:rPr>
        <w:t> 万元人民币。</w:t>
      </w:r>
    </w:p>
    <w:p>
      <w:pPr>
        <w:pStyle w:val="BodyText"/>
        <w:spacing w:line="364" w:lineRule="auto"/>
        <w:ind w:left="376" w:right="795" w:firstLine="420"/>
      </w:pPr>
      <w:r>
        <w:rPr/>
        <w:t>4、关于《基金合同》变更的基金份额持有人大会决议经中国证监会核准生效后方可执行，自《基金合同》变更生效之日起在指定媒介上公告。</w:t>
      </w:r>
    </w:p>
    <w:p>
      <w:pPr>
        <w:pStyle w:val="BodyText"/>
        <w:spacing w:line="268" w:lineRule="exact"/>
      </w:pPr>
      <w:r>
        <w:rPr/>
        <w:t>（二</w:t>
      </w:r>
      <w:r>
        <w:rPr>
          <w:spacing w:val="-105"/>
        </w:rPr>
        <w:t>）</w:t>
      </w:r>
      <w:r>
        <w:rPr/>
        <w:t>《基金合同》的终止</w:t>
      </w:r>
    </w:p>
    <w:p>
      <w:pPr>
        <w:pStyle w:val="BodyText"/>
        <w:spacing w:before="136"/>
      </w:pPr>
      <w:r>
        <w:rPr/>
        <w:t>有下列情形之一的，《基金合同》应当终止：</w:t>
      </w:r>
    </w:p>
    <w:p>
      <w:pPr>
        <w:pStyle w:val="BodyText"/>
        <w:spacing w:before="139"/>
      </w:pPr>
      <w:r>
        <w:rPr/>
        <w:t>1、基金份额持有人大会决定终止的；</w:t>
      </w:r>
    </w:p>
    <w:p>
      <w:pPr>
        <w:pStyle w:val="BodyText"/>
        <w:spacing w:line="364" w:lineRule="auto" w:before="139"/>
        <w:ind w:left="376" w:right="795"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before="140"/>
      </w:pPr>
      <w:r>
        <w:rPr/>
        <w:t>4、相关法律法规和中国证监会规定的其他情况。</w:t>
      </w:r>
    </w:p>
    <w:p>
      <w:pPr>
        <w:pStyle w:val="Heading2"/>
        <w:tabs>
          <w:tab w:pos="1216" w:val="left" w:leader="none"/>
        </w:tabs>
        <w:spacing w:before="140"/>
      </w:pPr>
      <w:bookmarkStart w:name="_bookmark107" w:id="108"/>
      <w:bookmarkEnd w:id="108"/>
      <w:r>
        <w:rPr/>
      </w:r>
      <w:r>
        <w:rPr/>
        <w:t>四、</w:t>
        <w:tab/>
        <w:t>争议解决方式</w:t>
      </w:r>
    </w:p>
    <w:p>
      <w:pPr>
        <w:pStyle w:val="BodyText"/>
        <w:spacing w:line="364" w:lineRule="auto" w:before="185"/>
        <w:ind w:left="376" w:right="585" w:firstLine="420"/>
      </w:pPr>
      <w:r>
        <w:rPr>
          <w:spacing w:val="-12"/>
        </w:rPr>
        <w:t>各方基金合同当事人同意，因《基金合同》而产生的或与《基金合同》有关的一切争议， </w:t>
      </w:r>
      <w:r>
        <w:rPr>
          <w:spacing w:val="-15"/>
        </w:rPr>
        <w:t>如经友好协商未能解决的，应提交中国国际经济贸易仲裁委员会根据该会当时有效的仲裁规 </w:t>
      </w:r>
      <w:r>
        <w:rPr/>
        <w:t>则进行仲裁，仲裁地点为北京，仲裁裁决是终局性的并对各方基金合同当事人具有约束力， 仲裁费由败诉方承担。</w:t>
      </w:r>
    </w:p>
    <w:p>
      <w:pPr>
        <w:pStyle w:val="BodyText"/>
        <w:spacing w:line="267" w:lineRule="exact"/>
      </w:pPr>
      <w:r>
        <w:rPr/>
        <w:t>《基金合同》受中国法律管辖。</w:t>
      </w:r>
    </w:p>
    <w:p>
      <w:pPr>
        <w:spacing w:after="0" w:line="267" w:lineRule="exact"/>
        <w:sectPr>
          <w:pgSz w:w="11910" w:h="16840"/>
          <w:pgMar w:header="0" w:footer="1118" w:top="1380" w:bottom="1380" w:left="1420" w:right="1000"/>
        </w:sectPr>
      </w:pPr>
    </w:p>
    <w:p>
      <w:pPr>
        <w:pStyle w:val="Heading2"/>
        <w:tabs>
          <w:tab w:pos="1216" w:val="left" w:leader="none"/>
        </w:tabs>
        <w:spacing w:before="46"/>
      </w:pPr>
      <w:bookmarkStart w:name="_bookmark108" w:id="109"/>
      <w:bookmarkEnd w:id="109"/>
      <w:r>
        <w:rPr/>
      </w:r>
      <w:r>
        <w:rPr/>
        <w:t>五、</w:t>
        <w:tab/>
        <w:t>基金合同存放地和投资者取得基金合同的方式</w:t>
      </w:r>
    </w:p>
    <w:p>
      <w:pPr>
        <w:pStyle w:val="BodyText"/>
        <w:spacing w:line="364" w:lineRule="auto" w:before="185"/>
        <w:ind w:left="376" w:right="794" w:firstLine="420"/>
      </w:pPr>
      <w:r>
        <w:rPr>
          <w:spacing w:val="-9"/>
        </w:rPr>
        <w:t>《基金合同》可印制成册，供投资者在基金管理人、基金托管人、基金代销机构的办公</w:t>
      </w:r>
      <w:r>
        <w:rPr>
          <w:spacing w:val="-10"/>
        </w:rPr>
        <w:t>场所和营业场所查阅；投资者也可按工本费购买《基金合同》复制件或复印件，但内容应以</w:t>
      </w:r>
    </w:p>
    <w:p>
      <w:pPr>
        <w:pStyle w:val="BodyText"/>
        <w:spacing w:line="268" w:lineRule="exact"/>
        <w:ind w:left="376"/>
      </w:pPr>
      <w:r>
        <w:rPr/>
        <w:t>《基金合同》正本为准。</w:t>
      </w:r>
    </w:p>
    <w:p>
      <w:pPr>
        <w:spacing w:after="0" w:line="268" w:lineRule="exact"/>
        <w:sectPr>
          <w:pgSz w:w="11910" w:h="16840"/>
          <w:pgMar w:header="0" w:footer="1118" w:top="1380" w:bottom="1380" w:left="1420" w:right="1000"/>
        </w:sectPr>
      </w:pPr>
    </w:p>
    <w:p>
      <w:pPr>
        <w:pStyle w:val="Heading1"/>
      </w:pPr>
      <w:bookmarkStart w:name="_bookmark109" w:id="110"/>
      <w:bookmarkEnd w:id="110"/>
      <w:r>
        <w:rPr>
          <w:b w:val="0"/>
        </w:rPr>
      </w:r>
      <w:r>
        <w:rPr/>
        <w:t>第二十三节基金托管协议的内容摘要</w:t>
      </w:r>
    </w:p>
    <w:p>
      <w:pPr>
        <w:pStyle w:val="Heading2"/>
        <w:tabs>
          <w:tab w:pos="1216" w:val="left" w:leader="none"/>
        </w:tabs>
        <w:spacing w:before="139"/>
      </w:pPr>
      <w:bookmarkStart w:name="_bookmark110" w:id="111"/>
      <w:bookmarkEnd w:id="111"/>
      <w:r>
        <w:rPr/>
      </w:r>
      <w:r>
        <w:rPr/>
        <w:t>一、</w:t>
        <w:tab/>
        <w:t>托管协议当事人</w:t>
      </w:r>
    </w:p>
    <w:p>
      <w:pPr>
        <w:pStyle w:val="BodyText"/>
        <w:spacing w:before="185"/>
      </w:pPr>
      <w:r>
        <w:rPr/>
        <w:t>（一）基金管理人</w:t>
      </w:r>
    </w:p>
    <w:p>
      <w:pPr>
        <w:pStyle w:val="BodyText"/>
        <w:spacing w:before="139"/>
      </w:pPr>
      <w:r>
        <w:rPr/>
        <w:t>名称：易方达基金管理有限公司</w:t>
      </w:r>
    </w:p>
    <w:p>
      <w:pPr>
        <w:pStyle w:val="BodyText"/>
        <w:spacing w:line="364" w:lineRule="auto" w:before="139"/>
        <w:ind w:right="1443"/>
      </w:pPr>
      <w:r>
        <w:rPr>
          <w:spacing w:val="-3"/>
        </w:rPr>
        <w:t>注册地址：广东省珠海市横琴新区宝华路 </w:t>
      </w:r>
      <w:r>
        <w:rPr/>
        <w:t>6</w:t>
      </w:r>
      <w:r>
        <w:rPr>
          <w:spacing w:val="-35"/>
        </w:rPr>
        <w:t> 号 </w:t>
      </w:r>
      <w:r>
        <w:rPr/>
        <w:t>105</w:t>
      </w:r>
      <w:r>
        <w:rPr>
          <w:spacing w:val="-26"/>
        </w:rPr>
        <w:t> 室</w:t>
      </w:r>
      <w:r>
        <w:rPr/>
        <w:t>－42891（集中办公区） </w:t>
      </w:r>
      <w:r>
        <w:rPr>
          <w:spacing w:val="-3"/>
        </w:rPr>
        <w:t>办公地址：广东省广州市天河区珠江新城珠江东路 </w:t>
      </w:r>
      <w:r>
        <w:rPr/>
        <w:t>30</w:t>
      </w:r>
      <w:r>
        <w:rPr>
          <w:spacing w:val="-13"/>
        </w:rPr>
        <w:t> 号广州银行大厦 </w:t>
      </w:r>
      <w:r>
        <w:rPr/>
        <w:t>40-43</w:t>
      </w:r>
      <w:r>
        <w:rPr>
          <w:spacing w:val="-35"/>
        </w:rPr>
        <w:t> 楼</w:t>
      </w:r>
      <w:r>
        <w:rPr/>
        <w:t>法定代表人：刘晓艳</w:t>
      </w:r>
    </w:p>
    <w:p>
      <w:pPr>
        <w:pStyle w:val="BodyText"/>
        <w:spacing w:line="268" w:lineRule="exact"/>
      </w:pPr>
      <w:r>
        <w:rPr/>
        <w:t>成立时间：2001 年 4 月 17 日</w:t>
      </w:r>
    </w:p>
    <w:p>
      <w:pPr>
        <w:pStyle w:val="BodyText"/>
        <w:spacing w:line="364" w:lineRule="auto" w:before="140"/>
        <w:ind w:right="4908"/>
      </w:pPr>
      <w:r>
        <w:rPr/>
        <w:t>批准设立机关：中国证券监督管理委员会批准设立文号：证监基金字[2001]4 号组织形式：有限责任公司</w:t>
      </w:r>
    </w:p>
    <w:p>
      <w:pPr>
        <w:pStyle w:val="BodyText"/>
        <w:spacing w:line="268" w:lineRule="exact"/>
      </w:pPr>
      <w:r>
        <w:rPr/>
        <w:t>注册资本：13,244.2 万元人民币</w:t>
      </w:r>
    </w:p>
    <w:p>
      <w:pPr>
        <w:pStyle w:val="BodyText"/>
        <w:spacing w:line="364" w:lineRule="auto" w:before="139"/>
        <w:ind w:right="2178"/>
      </w:pPr>
      <w:r>
        <w:rPr/>
        <w:t>经营范围：公开募集证券投资基金管理、基金销售、特定客户资产管理存续期间：持续经营</w:t>
      </w:r>
    </w:p>
    <w:p>
      <w:pPr>
        <w:pStyle w:val="BodyText"/>
        <w:spacing w:line="268" w:lineRule="exact"/>
      </w:pPr>
      <w:r>
        <w:rPr/>
        <w:t>（二）基金托管人</w:t>
      </w:r>
    </w:p>
    <w:p>
      <w:pPr>
        <w:pStyle w:val="BodyText"/>
        <w:spacing w:before="140"/>
      </w:pPr>
      <w:r>
        <w:rPr/>
        <w:t>名称：中国农业银行股份有限公司</w:t>
      </w:r>
    </w:p>
    <w:p>
      <w:pPr>
        <w:pStyle w:val="BodyText"/>
        <w:spacing w:before="139"/>
      </w:pPr>
      <w:r>
        <w:rPr/>
        <w:t>注册地址：北京市东城区建国门内大街 69 号</w:t>
      </w:r>
    </w:p>
    <w:p>
      <w:pPr>
        <w:pStyle w:val="BodyText"/>
        <w:spacing w:line="364" w:lineRule="auto" w:before="140"/>
        <w:ind w:right="2913"/>
      </w:pPr>
      <w:r>
        <w:rPr>
          <w:spacing w:val="-3"/>
        </w:rPr>
        <w:t>办公地址：北京市西城区复兴门内大街 </w:t>
      </w:r>
      <w:r>
        <w:rPr/>
        <w:t>28</w:t>
      </w:r>
      <w:r>
        <w:rPr>
          <w:spacing w:val="-9"/>
        </w:rPr>
        <w:t> 号凯晨世贸中心东座</w:t>
      </w:r>
      <w:r>
        <w:rPr/>
        <w:t>邮政编码：100031</w:t>
      </w:r>
    </w:p>
    <w:p>
      <w:pPr>
        <w:pStyle w:val="BodyText"/>
        <w:spacing w:line="268" w:lineRule="exact"/>
      </w:pPr>
      <w:r>
        <w:rPr/>
        <w:t>法定代表人：周慕冰</w:t>
      </w:r>
    </w:p>
    <w:p>
      <w:pPr>
        <w:pStyle w:val="BodyText"/>
        <w:spacing w:before="139"/>
      </w:pPr>
      <w:r>
        <w:rPr/>
        <w:t>成立时间：2009 年 1 月 15 日</w:t>
      </w:r>
    </w:p>
    <w:p>
      <w:pPr>
        <w:pStyle w:val="BodyText"/>
        <w:spacing w:line="364" w:lineRule="auto" w:before="140"/>
        <w:ind w:right="5211"/>
      </w:pPr>
      <w:r>
        <w:rPr/>
        <w:t>注册资金：34,998,303.4 万元人民币存续期间：持续经营</w:t>
      </w:r>
    </w:p>
    <w:p>
      <w:pPr>
        <w:pStyle w:val="BodyText"/>
        <w:spacing w:line="364" w:lineRule="auto"/>
        <w:ind w:left="376" w:right="689"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从事同业拆借；买卖、代理买卖外汇；结汇、售汇；从事银行卡业务；提供信用证服务及担</w:t>
      </w:r>
      <w:r>
        <w:rPr>
          <w:spacing w:val="-9"/>
        </w:rPr>
        <w:t>保；代理收付款项及代理保险业务；提供保管箱服务；代理资金清算；各类汇兑业务；代理</w:t>
      </w:r>
      <w:r>
        <w:rPr>
          <w:spacing w:val="-15"/>
        </w:rPr>
        <w:t>政策性银行、外国政府和国际金融机构贷款业务；贷款承诺；组织或参加银团贷款；外汇存</w:t>
      </w:r>
      <w:r>
        <w:rPr>
          <w:spacing w:val="-11"/>
        </w:rPr>
        <w:t>款；外汇贷款；外汇汇款；外汇借款；发行、代理发行、买卖或代理买卖股票以外的外币有</w:t>
      </w:r>
      <w:r>
        <w:rPr>
          <w:spacing w:val="-9"/>
        </w:rPr>
        <w:t>价证券；外汇票据承兑和贴现；自营、代客外汇买卖；外币兑换；外汇担保；资信调查、咨</w:t>
      </w:r>
      <w:r>
        <w:rPr>
          <w:spacing w:val="-13"/>
        </w:rPr>
        <w:t>询、见证业务；企业、个人财务顾问服务；证券公司客户交易结算资金存管业务；证券投资</w:t>
      </w:r>
      <w:r>
        <w:rPr>
          <w:spacing w:val="-15"/>
        </w:rPr>
        <w:t>基金托管业务；企业年金托管业务；产业投资基金托管业务；合格境外机构投资者境内证券投资托管业务；代理开放式基金业务；电话银行、手机银行、网上银行业务；金融衍生产品</w:t>
      </w:r>
    </w:p>
    <w:p>
      <w:pPr>
        <w:spacing w:after="0" w:line="364" w:lineRule="auto"/>
        <w:sectPr>
          <w:pgSz w:w="11910" w:h="16840"/>
          <w:pgMar w:header="0" w:footer="1118" w:top="1400" w:bottom="1380" w:left="1420" w:right="1000"/>
        </w:sectPr>
      </w:pPr>
    </w:p>
    <w:p>
      <w:pPr>
        <w:pStyle w:val="BodyText"/>
        <w:spacing w:before="45"/>
        <w:ind w:left="376"/>
      </w:pPr>
      <w:r>
        <w:rPr/>
        <w:t>交易业务；经国务院银行业监督管理机构等监管部门批准的其他业务。</w:t>
      </w:r>
    </w:p>
    <w:p>
      <w:pPr>
        <w:pStyle w:val="Heading2"/>
        <w:tabs>
          <w:tab w:pos="1216" w:val="left" w:leader="none"/>
        </w:tabs>
        <w:spacing w:before="141"/>
      </w:pPr>
      <w:bookmarkStart w:name="_bookmark111" w:id="112"/>
      <w:bookmarkEnd w:id="112"/>
      <w:r>
        <w:rPr/>
      </w:r>
      <w:r>
        <w:rPr/>
        <w:t>二、</w:t>
        <w:tab/>
        <w:t>基金托管人的受托职责和托管职责</w:t>
      </w:r>
    </w:p>
    <w:p>
      <w:pPr>
        <w:pStyle w:val="BodyText"/>
        <w:spacing w:before="184"/>
      </w:pPr>
      <w:r>
        <w:rPr/>
        <w:t>（一）基金托管人应当按照有关法律法规履行下列受托人职责</w:t>
      </w:r>
    </w:p>
    <w:p>
      <w:pPr>
        <w:pStyle w:val="BodyText"/>
        <w:spacing w:line="364" w:lineRule="auto" w:before="140"/>
        <w:ind w:left="376" w:right="585" w:firstLine="420"/>
      </w:pPr>
      <w:r>
        <w:rPr/>
        <w:t>1、保护基金份额持有人利益，按照规定对基金日常投资行为和资金汇出入情况实施监 督，如发现投资指令或资金汇出入违法、违规，应当及时向中国证监会、国家外汇局报告；</w:t>
      </w:r>
    </w:p>
    <w:p>
      <w:pPr>
        <w:pStyle w:val="BodyText"/>
        <w:spacing w:line="364" w:lineRule="auto"/>
        <w:ind w:left="376" w:right="585" w:firstLine="420"/>
      </w:pPr>
      <w:r>
        <w:rPr/>
        <w:t>2、安全保护基金财产，准时将公司行为信息通知基金管理人或根据基金管理人的通知， 准时将公司行为信息通知境外投资顾问，确保基金及时收取所有应得收入；</w:t>
      </w:r>
    </w:p>
    <w:p>
      <w:pPr>
        <w:pStyle w:val="BodyText"/>
        <w:spacing w:line="268" w:lineRule="exact"/>
      </w:pPr>
      <w:r>
        <w:rPr/>
        <w:t>3、确保基金按照有关法律法规、《基金合同》约定的投资目标和限制进行管理；</w:t>
      </w:r>
    </w:p>
    <w:p>
      <w:pPr>
        <w:pStyle w:val="BodyText"/>
        <w:spacing w:line="364" w:lineRule="auto" w:before="138"/>
        <w:ind w:left="376" w:right="794" w:firstLine="420"/>
      </w:pPr>
      <w:r>
        <w:rPr/>
        <w:t>4</w:t>
      </w:r>
      <w:r>
        <w:rPr>
          <w:spacing w:val="-16"/>
        </w:rPr>
        <w:t>、按照有关法律法规、《基金合同》的约定执行基金管理人或其授权人的指令，及时办</w:t>
      </w:r>
      <w:r>
        <w:rPr/>
        <w:t>理清算、交割事宜；</w:t>
      </w:r>
    </w:p>
    <w:p>
      <w:pPr>
        <w:pStyle w:val="BodyText"/>
        <w:spacing w:line="268" w:lineRule="exact"/>
      </w:pPr>
      <w:r>
        <w:rPr/>
        <w:t>5、确保基金的份额净值按照有关法律法规、《基金合同》规定的方法进行计算；</w:t>
      </w:r>
    </w:p>
    <w:p>
      <w:pPr>
        <w:pStyle w:val="BodyText"/>
        <w:spacing w:before="140"/>
      </w:pPr>
      <w:r>
        <w:rPr/>
        <w:t>6、确保基金按照有关法律法规、《基金合同》的规定进行申购、认购、赎回等日常交易；</w:t>
      </w:r>
    </w:p>
    <w:p>
      <w:pPr>
        <w:pStyle w:val="BodyText"/>
        <w:spacing w:before="139"/>
      </w:pPr>
      <w:r>
        <w:rPr/>
        <w:t>7、确保基金根据有关法律法规、《基金合同》确定并实施收益分配方案；</w:t>
      </w:r>
    </w:p>
    <w:p>
      <w:pPr>
        <w:pStyle w:val="BodyText"/>
        <w:spacing w:line="364" w:lineRule="auto" w:before="140"/>
        <w:ind w:left="376" w:right="794" w:firstLine="420"/>
      </w:pPr>
      <w:r>
        <w:rPr/>
        <w:t>8</w:t>
      </w:r>
      <w:r>
        <w:rPr>
          <w:spacing w:val="-15"/>
        </w:rPr>
        <w:t>、按照有关法律法规、《基金合同》的规定以受托人名义或其指定的代理人名义登记资</w:t>
      </w:r>
      <w:r>
        <w:rPr/>
        <w:t>产；</w:t>
      </w:r>
    </w:p>
    <w:p>
      <w:pPr>
        <w:pStyle w:val="BodyText"/>
        <w:spacing w:line="364" w:lineRule="auto"/>
        <w:ind w:left="376" w:right="795" w:firstLine="420"/>
      </w:pPr>
      <w:r>
        <w:rPr/>
        <w:t>9</w:t>
      </w:r>
      <w:r>
        <w:rPr>
          <w:spacing w:val="-8"/>
        </w:rPr>
        <w:t>、每月结束后 </w:t>
      </w:r>
      <w:r>
        <w:rPr/>
        <w:t>7</w:t>
      </w:r>
      <w:r>
        <w:rPr>
          <w:spacing w:val="-8"/>
        </w:rPr>
        <w:t> 个工作日内，向中国证监会和国家外汇局报告基金境外投资情况，并按相关规定进行国际收支申报；</w:t>
      </w:r>
    </w:p>
    <w:p>
      <w:pPr>
        <w:pStyle w:val="BodyText"/>
        <w:spacing w:line="364" w:lineRule="auto"/>
        <w:ind w:left="376" w:right="795" w:firstLine="420"/>
      </w:pPr>
      <w:r>
        <w:rPr/>
        <w:t>10</w:t>
      </w:r>
      <w:r>
        <w:rPr>
          <w:spacing w:val="-11"/>
        </w:rPr>
        <w:t>、《基金法》和相关法律法规以及中国证监会和国家外汇局根据审慎监管原则规定的其他职责。</w:t>
      </w:r>
    </w:p>
    <w:p>
      <w:pPr>
        <w:pStyle w:val="BodyText"/>
        <w:spacing w:line="268" w:lineRule="exact"/>
      </w:pPr>
      <w:r>
        <w:rPr/>
        <w:t>（二）基金托管人应当按照有关法律法规履行下列托管职责</w:t>
      </w:r>
    </w:p>
    <w:p>
      <w:pPr>
        <w:pStyle w:val="BodyText"/>
        <w:spacing w:before="137"/>
      </w:pPr>
      <w:r>
        <w:rPr/>
        <w:t>1、安全保管基金资产，开设资金账户和证券账户；</w:t>
      </w:r>
    </w:p>
    <w:p>
      <w:pPr>
        <w:pStyle w:val="BodyText"/>
        <w:spacing w:line="364" w:lineRule="auto" w:before="140"/>
        <w:ind w:left="376" w:right="795" w:firstLine="420"/>
      </w:pPr>
      <w:r>
        <w:rPr/>
        <w:t>2、办理基金管理人就管理本基金的有关结汇、售汇、收汇、付汇和人民币资金结算业务；</w:t>
      </w:r>
    </w:p>
    <w:p>
      <w:pPr>
        <w:pStyle w:val="BodyText"/>
        <w:spacing w:line="364" w:lineRule="auto"/>
        <w:ind w:left="376" w:right="795" w:firstLine="420"/>
      </w:pPr>
      <w:r>
        <w:rPr/>
        <w:t>3、保存基金管理人就管理本基金的资金汇出、汇入、兑换、收汇、付汇、资金往来、委托及成交记录等相关资料，其保存的时间应当不少于 20 年；</w:t>
      </w:r>
    </w:p>
    <w:p>
      <w:pPr>
        <w:pStyle w:val="BodyText"/>
        <w:spacing w:line="364" w:lineRule="auto"/>
        <w:ind w:left="376" w:right="794" w:firstLine="420"/>
      </w:pPr>
      <w:r>
        <w:rPr/>
        <w:t>4</w:t>
      </w:r>
      <w:r>
        <w:rPr>
          <w:spacing w:val="-16"/>
        </w:rPr>
        <w:t>、《基金法》和相关法律法规以及中国证监会和国家外汇局根据审慎监管原则规定的其</w:t>
      </w:r>
      <w:r>
        <w:rPr/>
        <w:t>他职责。</w:t>
      </w:r>
    </w:p>
    <w:p>
      <w:pPr>
        <w:pStyle w:val="BodyText"/>
        <w:spacing w:line="268" w:lineRule="exact"/>
      </w:pPr>
      <w:r>
        <w:rPr/>
        <w:t>（三）基金托管人、境外托管人应当将其自有资产和基金财产严格分开。</w:t>
      </w:r>
    </w:p>
    <w:p>
      <w:pPr>
        <w:pStyle w:val="BodyText"/>
        <w:spacing w:line="364" w:lineRule="auto" w:before="137"/>
        <w:ind w:left="376" w:right="794" w:firstLine="420"/>
        <w:jc w:val="both"/>
      </w:pPr>
      <w:r>
        <w:rPr/>
        <w:t>（四</w:t>
      </w:r>
      <w:r>
        <w:rPr>
          <w:spacing w:val="-30"/>
        </w:rPr>
        <w:t>）</w:t>
      </w:r>
      <w:r>
        <w:rPr>
          <w:spacing w:val="-6"/>
        </w:rPr>
        <w:t>对基金的境外财产，基金托管人可授权境外托管人代为履行其承担的职责，并对</w:t>
      </w:r>
      <w:r>
        <w:rPr>
          <w:spacing w:val="-5"/>
        </w:rPr>
        <w:t>境外托管人处理有关本基金事务的行为承担相应责任。境外托管人在履行职责过程中，因本</w:t>
      </w:r>
      <w:r>
        <w:rPr/>
        <w:t>身过错、疏忽等原因而导致基金财产受损的，基金托管人应当承担相应责任。</w:t>
      </w:r>
    </w:p>
    <w:p>
      <w:pPr>
        <w:pStyle w:val="Heading2"/>
        <w:tabs>
          <w:tab w:pos="1216" w:val="left" w:leader="none"/>
        </w:tabs>
        <w:spacing w:line="358" w:lineRule="exact"/>
      </w:pPr>
      <w:bookmarkStart w:name="_bookmark112" w:id="113"/>
      <w:bookmarkEnd w:id="113"/>
      <w:r>
        <w:rPr/>
      </w:r>
      <w:r>
        <w:rPr/>
        <w:t>三、</w:t>
        <w:tab/>
        <w:t>基金托管人对基金管理人的业务监督和核查</w:t>
      </w:r>
    </w:p>
    <w:p>
      <w:pPr>
        <w:pStyle w:val="BodyText"/>
        <w:spacing w:before="185"/>
      </w:pPr>
      <w:r>
        <w:rPr/>
        <w:t>（一）基金托管人根据有关法律法规的规定及《基金合同》的约定，建立相关的技术系</w:t>
      </w:r>
    </w:p>
    <w:p>
      <w:pPr>
        <w:spacing w:after="0"/>
        <w:sectPr>
          <w:pgSz w:w="11910" w:h="16840"/>
          <w:pgMar w:header="0" w:footer="1118" w:top="1380" w:bottom="1380" w:left="1420" w:right="1000"/>
        </w:sectPr>
      </w:pPr>
    </w:p>
    <w:p>
      <w:pPr>
        <w:pStyle w:val="BodyText"/>
        <w:spacing w:before="45"/>
        <w:ind w:left="376"/>
      </w:pPr>
      <w:r>
        <w:rPr/>
        <w:t>统，对基金管理人的投资运作进行监督。主要包括以下方面：</w:t>
      </w:r>
    </w:p>
    <w:p>
      <w:pPr>
        <w:pStyle w:val="BodyText"/>
        <w:spacing w:line="364" w:lineRule="auto" w:before="139"/>
        <w:ind w:right="4593"/>
      </w:pPr>
      <w:r>
        <w:rPr/>
        <w:t>1、对基金的投资范围、投资对象进行监督。本基金将投资于以下金融工具：</w:t>
      </w:r>
    </w:p>
    <w:p>
      <w:pPr>
        <w:pStyle w:val="BodyText"/>
        <w:spacing w:line="364" w:lineRule="auto"/>
        <w:ind w:left="376" w:right="795" w:firstLine="420"/>
        <w:jc w:val="both"/>
      </w:pPr>
      <w:r>
        <w:rPr>
          <w:spacing w:val="1"/>
        </w:rPr>
        <w:t>本基金投资范围包括全球市场内依法可投资的公募基金</w:t>
      </w:r>
      <w:r>
        <w:rPr>
          <w:spacing w:val="2"/>
        </w:rPr>
        <w:t>（</w:t>
      </w:r>
      <w:r>
        <w:rPr>
          <w:spacing w:val="-26"/>
        </w:rPr>
        <w:t>含 </w:t>
      </w:r>
      <w:r>
        <w:rPr/>
        <w:t>ET</w:t>
      </w:r>
      <w:r>
        <w:rPr>
          <w:spacing w:val="1"/>
        </w:rPr>
        <w:t>F</w:t>
      </w:r>
      <w:r>
        <w:rPr>
          <w:spacing w:val="-104"/>
        </w:rPr>
        <w:t>）</w:t>
      </w:r>
      <w:r>
        <w:rPr/>
        <w:t>、股票、固定收益证券、货币市场工具、金融衍生产品及中国证监会允许本基金投资的其他金融工具。</w:t>
      </w:r>
    </w:p>
    <w:p>
      <w:pPr>
        <w:pStyle w:val="BodyText"/>
        <w:spacing w:line="364" w:lineRule="auto"/>
        <w:ind w:left="376" w:right="794" w:firstLine="420"/>
        <w:jc w:val="both"/>
      </w:pPr>
      <w:r>
        <w:rPr>
          <w:spacing w:val="-5"/>
        </w:rPr>
        <w:t>如法律法规或监管机构以后允许基金直接投资黄金实物、黄金凭证或与实物商品挂钩的</w:t>
      </w:r>
      <w:r>
        <w:rPr>
          <w:spacing w:val="-6"/>
        </w:rPr>
        <w:t>衍生品等其他工具</w:t>
      </w:r>
      <w:r>
        <w:rPr/>
        <w:t>（</w:t>
      </w:r>
      <w:r>
        <w:rPr>
          <w:spacing w:val="-5"/>
        </w:rPr>
        <w:t>包括但不限于以后在国内上市、以跟踪黄金价格或黄金价格指数为目的</w:t>
      </w:r>
      <w:r>
        <w:rPr>
          <w:spacing w:val="-26"/>
        </w:rPr>
        <w:t>的 </w:t>
      </w:r>
      <w:r>
        <w:rPr/>
        <w:t>ET</w:t>
      </w:r>
      <w:r>
        <w:rPr>
          <w:spacing w:val="1"/>
        </w:rPr>
        <w:t>F、在国内外上市的黄金期货合约及黄金期权合约</w:t>
      </w:r>
      <w:r>
        <w:rPr>
          <w:spacing w:val="-104"/>
        </w:rPr>
        <w:t>）</w:t>
      </w:r>
      <w:r>
        <w:rPr/>
        <w:t>，基金管理人可以将其纳入投资范围。</w:t>
      </w:r>
    </w:p>
    <w:p>
      <w:pPr>
        <w:pStyle w:val="BodyText"/>
        <w:spacing w:line="364" w:lineRule="auto"/>
        <w:ind w:left="376" w:right="585" w:firstLine="420"/>
      </w:pPr>
      <w:r>
        <w:rPr/>
        <w:t>如法律法规或监管机构以后允许本基金投资其他品种，基金管理人在履行适当程序后， 可以将其纳入投资范围。</w:t>
      </w:r>
    </w:p>
    <w:p>
      <w:pPr>
        <w:pStyle w:val="BodyText"/>
        <w:spacing w:line="268" w:lineRule="exact"/>
      </w:pPr>
      <w:r>
        <w:rPr/>
        <w:t>2、对基金投融资比例进行监督，基金托管人按下述比例和调整期限进行监督。</w:t>
      </w:r>
    </w:p>
    <w:p>
      <w:pPr>
        <w:pStyle w:val="ListParagraph"/>
        <w:numPr>
          <w:ilvl w:val="0"/>
          <w:numId w:val="64"/>
        </w:numPr>
        <w:tabs>
          <w:tab w:pos="1323" w:val="left" w:leader="none"/>
        </w:tabs>
        <w:spacing w:line="240" w:lineRule="auto" w:before="136" w:after="0"/>
        <w:ind w:left="1323" w:right="0" w:hanging="527"/>
        <w:jc w:val="left"/>
        <w:rPr>
          <w:sz w:val="21"/>
        </w:rPr>
      </w:pPr>
      <w:r>
        <w:rPr>
          <w:sz w:val="21"/>
        </w:rPr>
        <w:t>按法律法规的规定及《基金合同》的约定，本基金的投资资产配置比例为：</w:t>
      </w:r>
    </w:p>
    <w:p>
      <w:pPr>
        <w:pStyle w:val="BodyText"/>
        <w:spacing w:line="364" w:lineRule="auto" w:before="139"/>
        <w:ind w:left="376" w:right="794" w:firstLine="420"/>
        <w:jc w:val="both"/>
      </w:pPr>
      <w:r>
        <w:rPr>
          <w:spacing w:val="-3"/>
        </w:rPr>
        <w:t>投资于基金的资产合计不低于本基金基金资产净值的 </w:t>
      </w:r>
      <w:r>
        <w:rPr>
          <w:spacing w:val="-9"/>
        </w:rPr>
        <w:t>60%</w:t>
      </w:r>
      <w:r>
        <w:rPr>
          <w:spacing w:val="-4"/>
        </w:rPr>
        <w:t>，投资于基金的资产中不低于</w:t>
      </w:r>
      <w:r>
        <w:rPr/>
        <w:t>80%投资于黄金基金；现金或者到期日在一年以内的政府债券的投资比例合计不低于本基金</w:t>
      </w:r>
      <w:r>
        <w:rPr>
          <w:spacing w:val="-4"/>
        </w:rPr>
        <w:t>基金资产净值的 </w:t>
      </w:r>
      <w:r>
        <w:rPr/>
        <w:t>5%，现金不包括结算备付金、存出保证金、应收申购款等。黄金基金指黄</w:t>
      </w:r>
      <w:r>
        <w:rPr>
          <w:spacing w:val="-27"/>
        </w:rPr>
        <w:t>金 </w:t>
      </w:r>
      <w:r>
        <w:rPr/>
        <w:t>ETF（</w:t>
      </w:r>
      <w:r>
        <w:rPr>
          <w:spacing w:val="-4"/>
        </w:rPr>
        <w:t>即跟踪黄金价格或黄金价格指数的 </w:t>
      </w:r>
      <w:r>
        <w:rPr/>
        <w:t>ETF）及黄金股票基金（包括跟踪黄金股票指数</w:t>
      </w:r>
      <w:r>
        <w:rPr>
          <w:spacing w:val="-8"/>
        </w:rPr>
        <w:t>的指数基金和 </w:t>
      </w:r>
      <w:r>
        <w:rPr/>
        <w:t>ETF，</w:t>
      </w:r>
      <w:r>
        <w:rPr>
          <w:spacing w:val="-18"/>
        </w:rPr>
        <w:t>以及 </w:t>
      </w:r>
      <w:r>
        <w:rPr/>
        <w:t>80%以上基金资产投资于黄金采掘公司股票的主动基金</w:t>
      </w:r>
      <w:r>
        <w:rPr>
          <w:spacing w:val="-105"/>
        </w:rPr>
        <w:t>）</w:t>
      </w:r>
      <w:r>
        <w:rPr/>
        <w:t>。</w:t>
      </w:r>
    </w:p>
    <w:p>
      <w:pPr>
        <w:pStyle w:val="BodyText"/>
        <w:spacing w:line="364" w:lineRule="auto"/>
        <w:ind w:left="376" w:right="714" w:firstLine="420"/>
      </w:pPr>
      <w:r>
        <w:rPr/>
        <w:t>因基金规模或市场变化等因素导致投资组合不符合上述规定的，基金管理人应在合理的期限内调整基金的投资组合，以符合上述比例限定。法律法规另有规定时，从其规定。</w:t>
      </w:r>
    </w:p>
    <w:p>
      <w:pPr>
        <w:pStyle w:val="ListParagraph"/>
        <w:numPr>
          <w:ilvl w:val="0"/>
          <w:numId w:val="64"/>
        </w:numPr>
        <w:tabs>
          <w:tab w:pos="1324" w:val="left" w:leader="none"/>
        </w:tabs>
        <w:spacing w:line="268" w:lineRule="exact" w:before="0" w:after="0"/>
        <w:ind w:left="1323" w:right="0" w:hanging="528"/>
        <w:jc w:val="left"/>
        <w:rPr>
          <w:sz w:val="21"/>
        </w:rPr>
      </w:pPr>
      <w:r>
        <w:rPr>
          <w:sz w:val="21"/>
        </w:rPr>
        <w:t>根据法律法规的规定及《基金合同》的约定，本基金投资组合遵循以下投资限制：</w:t>
      </w:r>
    </w:p>
    <w:p>
      <w:pPr>
        <w:pStyle w:val="ListParagraph"/>
        <w:numPr>
          <w:ilvl w:val="0"/>
          <w:numId w:val="65"/>
        </w:numPr>
        <w:tabs>
          <w:tab w:pos="1116" w:val="left" w:leader="none"/>
        </w:tabs>
        <w:spacing w:line="364" w:lineRule="auto" w:before="138" w:after="0"/>
        <w:ind w:left="376" w:right="795" w:firstLine="420"/>
        <w:jc w:val="both"/>
        <w:rPr>
          <w:sz w:val="21"/>
        </w:rPr>
      </w:pPr>
      <w:r>
        <w:rPr>
          <w:spacing w:val="-2"/>
          <w:sz w:val="21"/>
        </w:rPr>
        <w:t>本基金持有同一家银行的存款不得超过基金净值的 </w:t>
      </w:r>
      <w:r>
        <w:rPr>
          <w:sz w:val="21"/>
        </w:rPr>
        <w:t>20%。在基金托管账户的存款可以不受上述限制。</w:t>
      </w:r>
    </w:p>
    <w:p>
      <w:pPr>
        <w:pStyle w:val="ListParagraph"/>
        <w:numPr>
          <w:ilvl w:val="0"/>
          <w:numId w:val="65"/>
        </w:numPr>
        <w:tabs>
          <w:tab w:pos="1114" w:val="left" w:leader="none"/>
        </w:tabs>
        <w:spacing w:line="364" w:lineRule="auto" w:before="0" w:after="0"/>
        <w:ind w:left="376" w:right="795" w:firstLine="420"/>
        <w:jc w:val="both"/>
        <w:rPr>
          <w:sz w:val="21"/>
        </w:rPr>
      </w:pPr>
      <w:r>
        <w:rPr>
          <w:sz w:val="21"/>
        </w:rPr>
        <w:t>本基金持有同一机构（政府、国际金融组织除外）发行的证券市值不得超过基金净</w:t>
      </w:r>
      <w:r>
        <w:rPr>
          <w:spacing w:val="-18"/>
          <w:sz w:val="21"/>
        </w:rPr>
        <w:t>值的 </w:t>
      </w:r>
      <w:r>
        <w:rPr>
          <w:sz w:val="21"/>
        </w:rPr>
        <w:t>10%。</w:t>
      </w:r>
    </w:p>
    <w:p>
      <w:pPr>
        <w:pStyle w:val="ListParagraph"/>
        <w:numPr>
          <w:ilvl w:val="0"/>
          <w:numId w:val="65"/>
        </w:numPr>
        <w:tabs>
          <w:tab w:pos="1114" w:val="left" w:leader="none"/>
        </w:tabs>
        <w:spacing w:line="364" w:lineRule="auto" w:before="0" w:after="0"/>
        <w:ind w:left="376" w:right="794" w:firstLine="420"/>
        <w:jc w:val="both"/>
        <w:rPr>
          <w:sz w:val="21"/>
        </w:rPr>
      </w:pPr>
      <w:r>
        <w:rPr>
          <w:sz w:val="21"/>
        </w:rPr>
        <w:t>本基金持有与中国证监会签署双边监管合作谅解备忘录国家或地区以外的其他国家</w:t>
      </w:r>
      <w:r>
        <w:rPr>
          <w:spacing w:val="-2"/>
          <w:sz w:val="21"/>
        </w:rPr>
        <w:t>或地区证券市场挂牌交易的证券资产市值不得超过基金资产净值的 </w:t>
      </w:r>
      <w:r>
        <w:rPr>
          <w:spacing w:val="-9"/>
          <w:sz w:val="21"/>
        </w:rPr>
        <w:t>10%</w:t>
      </w:r>
      <w:r>
        <w:rPr>
          <w:spacing w:val="-5"/>
          <w:sz w:val="21"/>
        </w:rPr>
        <w:t>，其中持有任一国家</w:t>
      </w:r>
      <w:r>
        <w:rPr>
          <w:spacing w:val="-3"/>
          <w:sz w:val="21"/>
        </w:rPr>
        <w:t>或地区市场的证券资产市值不得超过基金资产净值的 </w:t>
      </w:r>
      <w:r>
        <w:rPr>
          <w:sz w:val="21"/>
        </w:rPr>
        <w:t>3%；</w:t>
      </w:r>
    </w:p>
    <w:p>
      <w:pPr>
        <w:pStyle w:val="ListParagraph"/>
        <w:numPr>
          <w:ilvl w:val="0"/>
          <w:numId w:val="65"/>
        </w:numPr>
        <w:tabs>
          <w:tab w:pos="1116" w:val="left" w:leader="none"/>
        </w:tabs>
        <w:spacing w:line="364" w:lineRule="auto" w:before="0" w:after="0"/>
        <w:ind w:left="376" w:right="795" w:firstLine="420"/>
        <w:jc w:val="both"/>
        <w:rPr>
          <w:sz w:val="21"/>
        </w:rPr>
      </w:pPr>
      <w:r>
        <w:rPr>
          <w:spacing w:val="-2"/>
          <w:sz w:val="21"/>
        </w:rPr>
        <w:t>同一基金管理人管理的全部基金不得持有同一机构 </w:t>
      </w:r>
      <w:r>
        <w:rPr>
          <w:sz w:val="21"/>
        </w:rPr>
        <w:t>10%以上具有投票权的证券发行总量。</w:t>
      </w:r>
    </w:p>
    <w:p>
      <w:pPr>
        <w:pStyle w:val="BodyText"/>
        <w:spacing w:line="364" w:lineRule="auto"/>
        <w:ind w:left="376" w:right="714" w:firstLine="420"/>
      </w:pPr>
      <w:r>
        <w:rPr/>
        <w:t>前项投资比例限制应当合并计算同一机构境内外上市的总股本，同时应当一并计算全球存托凭证和美国存托凭证所代表的基础证券，并假设对持有的股本权证行使转换。</w:t>
      </w:r>
    </w:p>
    <w:p>
      <w:pPr>
        <w:pStyle w:val="ListParagraph"/>
        <w:numPr>
          <w:ilvl w:val="0"/>
          <w:numId w:val="65"/>
        </w:numPr>
        <w:tabs>
          <w:tab w:pos="1113" w:val="left" w:leader="none"/>
        </w:tabs>
        <w:spacing w:line="268" w:lineRule="exact" w:before="0" w:after="0"/>
        <w:ind w:left="1113" w:right="0" w:hanging="317"/>
        <w:jc w:val="left"/>
        <w:rPr>
          <w:sz w:val="21"/>
        </w:rPr>
      </w:pPr>
      <w:r>
        <w:rPr>
          <w:spacing w:val="-3"/>
          <w:sz w:val="21"/>
        </w:rPr>
        <w:t>本基金持有非流动性资产市值不得超过基金资产净值的 </w:t>
      </w:r>
      <w:r>
        <w:rPr>
          <w:sz w:val="21"/>
        </w:rPr>
        <w:t>10%。</w:t>
      </w:r>
    </w:p>
    <w:p>
      <w:pPr>
        <w:pStyle w:val="BodyText"/>
        <w:spacing w:before="135"/>
      </w:pPr>
      <w:r>
        <w:rPr/>
        <w:t>前项非流动性资产是指法律或《基金合同》规定的流通受限证券以及中国证监会认定的</w:t>
      </w:r>
    </w:p>
    <w:p>
      <w:pPr>
        <w:spacing w:after="0"/>
        <w:sectPr>
          <w:pgSz w:w="11910" w:h="16840"/>
          <w:pgMar w:header="0" w:footer="1118" w:top="1380" w:bottom="1380" w:left="1420" w:right="1000"/>
        </w:sectPr>
      </w:pPr>
    </w:p>
    <w:p>
      <w:pPr>
        <w:pStyle w:val="BodyText"/>
        <w:spacing w:before="45"/>
        <w:ind w:left="376"/>
      </w:pPr>
      <w:r>
        <w:rPr/>
        <w:t>其他资产。</w:t>
      </w:r>
    </w:p>
    <w:p>
      <w:pPr>
        <w:pStyle w:val="ListParagraph"/>
        <w:numPr>
          <w:ilvl w:val="0"/>
          <w:numId w:val="65"/>
        </w:numPr>
        <w:tabs>
          <w:tab w:pos="1116" w:val="left" w:leader="none"/>
        </w:tabs>
        <w:spacing w:line="364" w:lineRule="auto" w:before="139" w:after="0"/>
        <w:ind w:left="376" w:right="795" w:firstLine="420"/>
        <w:jc w:val="left"/>
        <w:rPr>
          <w:sz w:val="21"/>
        </w:rPr>
      </w:pPr>
      <w:r>
        <w:rPr>
          <w:spacing w:val="-2"/>
          <w:sz w:val="21"/>
        </w:rPr>
        <w:t>每只境外基金投资比例不超过基金中基金资产净值的 </w:t>
      </w:r>
      <w:r>
        <w:rPr>
          <w:sz w:val="21"/>
        </w:rPr>
        <w:t>20%。如投资境外伞型基金， 该伞型基金应当视为一只基金。</w:t>
      </w:r>
    </w:p>
    <w:p>
      <w:pPr>
        <w:pStyle w:val="ListParagraph"/>
        <w:numPr>
          <w:ilvl w:val="0"/>
          <w:numId w:val="65"/>
        </w:numPr>
        <w:tabs>
          <w:tab w:pos="1114" w:val="left" w:leader="none"/>
        </w:tabs>
        <w:spacing w:line="364" w:lineRule="auto" w:before="0" w:after="0"/>
        <w:ind w:left="376" w:right="795" w:firstLine="420"/>
        <w:jc w:val="left"/>
        <w:rPr>
          <w:sz w:val="21"/>
        </w:rPr>
      </w:pPr>
      <w:r>
        <w:rPr>
          <w:sz w:val="21"/>
        </w:rPr>
        <w:t>同一基金管理人管理的全部基金持有任何一只境外基金，不得超过该境外基金总份</w:t>
      </w:r>
      <w:r>
        <w:rPr>
          <w:spacing w:val="-18"/>
          <w:sz w:val="21"/>
        </w:rPr>
        <w:t>额的 </w:t>
      </w:r>
      <w:r>
        <w:rPr>
          <w:sz w:val="21"/>
        </w:rPr>
        <w:t>20％。</w:t>
      </w:r>
    </w:p>
    <w:p>
      <w:pPr>
        <w:pStyle w:val="ListParagraph"/>
        <w:numPr>
          <w:ilvl w:val="0"/>
          <w:numId w:val="65"/>
        </w:numPr>
        <w:tabs>
          <w:tab w:pos="1113" w:val="left" w:leader="none"/>
        </w:tabs>
        <w:spacing w:line="268" w:lineRule="exact" w:before="0" w:after="0"/>
        <w:ind w:left="1113" w:right="0" w:hanging="317"/>
        <w:jc w:val="left"/>
        <w:rPr>
          <w:sz w:val="21"/>
        </w:rPr>
      </w:pPr>
      <w:r>
        <w:rPr>
          <w:spacing w:val="-2"/>
          <w:sz w:val="21"/>
        </w:rPr>
        <w:t>为应付赎回、交易清算等临时用途借入现金的比例不得超过基金资产净值的 </w:t>
      </w:r>
      <w:r>
        <w:rPr>
          <w:sz w:val="21"/>
        </w:rPr>
        <w:t>10%。</w:t>
      </w:r>
    </w:p>
    <w:p>
      <w:pPr>
        <w:pStyle w:val="BodyText"/>
        <w:spacing w:before="6"/>
        <w:ind w:left="0"/>
        <w:rPr>
          <w:sz w:val="18"/>
        </w:rPr>
      </w:pPr>
    </w:p>
    <w:p>
      <w:pPr>
        <w:pStyle w:val="ListParagraph"/>
        <w:numPr>
          <w:ilvl w:val="0"/>
          <w:numId w:val="65"/>
        </w:numPr>
        <w:tabs>
          <w:tab w:pos="1114" w:val="left" w:leader="none"/>
        </w:tabs>
        <w:spacing w:line="417" w:lineRule="auto" w:before="0" w:after="0"/>
        <w:ind w:left="376" w:right="794" w:firstLine="420"/>
        <w:jc w:val="both"/>
        <w:rPr>
          <w:sz w:val="21"/>
        </w:rPr>
      </w:pPr>
      <w:r>
        <w:rPr>
          <w:sz w:val="21"/>
        </w:rPr>
        <w:t>本基金管理人管理的、且由本基金托管人托管的全部开放式基金持有一家上市公司发行的可流通股票，不得超过该上市公司可流通股票的15%；本基金管理人管理的、且由本</w:t>
      </w:r>
      <w:r>
        <w:rPr>
          <w:spacing w:val="-4"/>
          <w:sz w:val="21"/>
        </w:rPr>
        <w:t>基金托管人托管的全部投资组合持有一家上市公司发行的可流通股票，不得超过该上市公司</w:t>
      </w:r>
      <w:r>
        <w:rPr>
          <w:sz w:val="21"/>
        </w:rPr>
        <w:t>可流通股票的30%。</w:t>
      </w:r>
    </w:p>
    <w:p>
      <w:pPr>
        <w:pStyle w:val="ListParagraph"/>
        <w:numPr>
          <w:ilvl w:val="0"/>
          <w:numId w:val="65"/>
        </w:numPr>
        <w:tabs>
          <w:tab w:pos="1218" w:val="left" w:leader="none"/>
        </w:tabs>
        <w:spacing w:line="417" w:lineRule="auto" w:before="0" w:after="0"/>
        <w:ind w:left="796" w:right="794" w:firstLine="0"/>
        <w:jc w:val="left"/>
        <w:rPr>
          <w:sz w:val="21"/>
        </w:rPr>
      </w:pPr>
      <w:r>
        <w:rPr>
          <w:sz w:val="21"/>
        </w:rPr>
        <w:t>本基金主动投资于流动性受限资产的市值合计不得超过该基金资产净值的15%。 </w:t>
      </w:r>
      <w:r>
        <w:rPr>
          <w:spacing w:val="-10"/>
          <w:sz w:val="21"/>
        </w:rPr>
        <w:t>因证券市场波动、上市公司股票停牌、基金规模变动等基金管理人之外的因素致使基金</w:t>
      </w:r>
    </w:p>
    <w:p>
      <w:pPr>
        <w:pStyle w:val="BodyText"/>
        <w:spacing w:line="269" w:lineRule="exact"/>
        <w:ind w:left="376"/>
      </w:pPr>
      <w:r>
        <w:rPr/>
        <w:t>不符合前款所规定比例限制的，基金管理人不得主动新增流动性受限资产的投资。</w:t>
      </w:r>
    </w:p>
    <w:p>
      <w:pPr>
        <w:pStyle w:val="ListParagraph"/>
        <w:numPr>
          <w:ilvl w:val="0"/>
          <w:numId w:val="65"/>
        </w:numPr>
        <w:tabs>
          <w:tab w:pos="1218" w:val="left" w:leader="none"/>
        </w:tabs>
        <w:spacing w:line="460" w:lineRule="atLeast" w:before="7" w:after="0"/>
        <w:ind w:left="376" w:right="794" w:firstLine="420"/>
        <w:jc w:val="left"/>
        <w:rPr>
          <w:sz w:val="21"/>
        </w:rPr>
      </w:pPr>
      <w:r>
        <w:rPr>
          <w:sz w:val="21"/>
        </w:rPr>
        <w:t>本基金与私募类证券资管产品及中国证监会认定的其他主体为交易对手开展逆回</w:t>
      </w:r>
      <w:r>
        <w:rPr>
          <w:spacing w:val="-4"/>
          <w:sz w:val="21"/>
        </w:rPr>
        <w:t>购交易的，可接受质押品的资质要求应当与基金合同约定的投资范围保持一致。</w:t>
      </w:r>
    </w:p>
    <w:p>
      <w:pPr>
        <w:pStyle w:val="BodyText"/>
        <w:spacing w:line="364" w:lineRule="auto" w:before="110"/>
        <w:ind w:left="376" w:right="794" w:firstLine="420"/>
        <w:jc w:val="both"/>
      </w:pPr>
      <w:r>
        <w:rPr>
          <w:spacing w:val="-2"/>
        </w:rPr>
        <w:t>基金管理人应当在基金合同生效后 </w:t>
      </w:r>
      <w:r>
        <w:rPr/>
        <w:t>6</w:t>
      </w:r>
      <w:r>
        <w:rPr>
          <w:spacing w:val="-5"/>
        </w:rPr>
        <w:t> 个月内使基金的投资组合比例符合基金合同的有</w:t>
      </w:r>
      <w:r>
        <w:rPr>
          <w:spacing w:val="-9"/>
        </w:rPr>
        <w:t>关约定。在基金合同生效 </w:t>
      </w:r>
      <w:r>
        <w:rPr/>
        <w:t>6</w:t>
      </w:r>
      <w:r>
        <w:rPr>
          <w:spacing w:val="-10"/>
        </w:rPr>
        <w:t> 个月后，若基金超过上述 </w:t>
      </w:r>
      <w:r>
        <w:rPr/>
        <w:t>1）－8）项投资比例限制，应当在超</w:t>
      </w:r>
      <w:r>
        <w:rPr>
          <w:spacing w:val="-11"/>
        </w:rPr>
        <w:t>过比例后 </w:t>
      </w:r>
      <w:r>
        <w:rPr/>
        <w:t>30</w:t>
      </w:r>
      <w:r>
        <w:rPr>
          <w:spacing w:val="-8"/>
        </w:rPr>
        <w:t> 个工作日内采用合理的商业措施减仓以符合投资比例限制要求。因证券市场波</w:t>
      </w:r>
      <w:r>
        <w:rPr>
          <w:spacing w:val="-12"/>
        </w:rPr>
        <w:t>动、证券发行人合并、基金规模变动等基金管理人之外的因素致使基金投资比例不符合上述</w:t>
      </w:r>
      <w:r>
        <w:rPr>
          <w:spacing w:val="-21"/>
        </w:rPr>
        <w:t>第 </w:t>
      </w:r>
      <w:r>
        <w:rPr/>
        <w:t>9）</w:t>
      </w:r>
      <w:r>
        <w:rPr>
          <w:spacing w:val="-3"/>
        </w:rPr>
        <w:t>项规定投资比例的，基金管理人应当在 </w:t>
      </w:r>
      <w:r>
        <w:rPr/>
        <w:t>10</w:t>
      </w:r>
      <w:r>
        <w:rPr>
          <w:spacing w:val="-7"/>
        </w:rPr>
        <w:t> 个交易日内进行调整，但中国证监会规定的特殊情形除外。法律法规或中国证监会另有规定的，从其规定。</w:t>
      </w:r>
    </w:p>
    <w:p>
      <w:pPr>
        <w:pStyle w:val="BodyText"/>
        <w:spacing w:line="364" w:lineRule="auto"/>
        <w:ind w:left="376" w:right="794" w:firstLine="420"/>
        <w:jc w:val="both"/>
      </w:pPr>
      <w:r>
        <w:rPr>
          <w:spacing w:val="-4"/>
        </w:rPr>
        <w:t>法律法规或中国有关监管部门取消上述限制，本基金不受上述限制。《基金法》及其他</w:t>
      </w:r>
      <w:r>
        <w:rPr>
          <w:spacing w:val="-10"/>
        </w:rPr>
        <w:t>有关法律法规或监管部门调整上述限制的，履行适当程序后，基金可依据届时有效的法律法</w:t>
      </w:r>
      <w:r>
        <w:rPr/>
        <w:t>规适时合理地调整上述限制。</w:t>
      </w:r>
    </w:p>
    <w:p>
      <w:pPr>
        <w:pStyle w:val="BodyText"/>
        <w:spacing w:line="364" w:lineRule="auto"/>
        <w:ind w:left="376" w:right="585" w:firstLine="420"/>
      </w:pPr>
      <w:r>
        <w:rPr/>
        <w:t>9）本基金投资衍生品应当仅限于投资组合避险或有效管理，不得用于投机或放大交易， 同时应当严格遵守下列规定：</w:t>
      </w:r>
    </w:p>
    <w:p>
      <w:pPr>
        <w:pStyle w:val="ListParagraph"/>
        <w:numPr>
          <w:ilvl w:val="0"/>
          <w:numId w:val="66"/>
        </w:numPr>
        <w:tabs>
          <w:tab w:pos="1008" w:val="left" w:leader="none"/>
        </w:tabs>
        <w:spacing w:line="364" w:lineRule="auto" w:before="0" w:after="0"/>
        <w:ind w:left="376" w:right="794" w:firstLine="420"/>
        <w:jc w:val="left"/>
        <w:rPr>
          <w:sz w:val="21"/>
        </w:rPr>
      </w:pPr>
      <w:r>
        <w:rPr>
          <w:spacing w:val="-2"/>
          <w:sz w:val="21"/>
        </w:rPr>
        <w:t>本基金所持有的黄金基金和与黄金基金挂钩的衍生品合约价值合计</w:t>
      </w:r>
      <w:r>
        <w:rPr>
          <w:sz w:val="21"/>
        </w:rPr>
        <w:t>（轧差计算</w:t>
      </w:r>
      <w:r>
        <w:rPr>
          <w:spacing w:val="-44"/>
          <w:sz w:val="21"/>
        </w:rPr>
        <w:t>）</w:t>
      </w:r>
      <w:r>
        <w:rPr>
          <w:spacing w:val="-8"/>
          <w:sz w:val="21"/>
        </w:rPr>
        <w:t>应符</w:t>
      </w:r>
      <w:r>
        <w:rPr>
          <w:sz w:val="21"/>
        </w:rPr>
        <w:t>合本合同中关于黄金基金投资比例的有关约定。</w:t>
      </w:r>
    </w:p>
    <w:p>
      <w:pPr>
        <w:pStyle w:val="ListParagraph"/>
        <w:numPr>
          <w:ilvl w:val="0"/>
          <w:numId w:val="66"/>
        </w:numPr>
        <w:tabs>
          <w:tab w:pos="1008" w:val="left" w:leader="none"/>
        </w:tabs>
        <w:spacing w:line="268" w:lineRule="exact" w:before="0" w:after="0"/>
        <w:ind w:left="1008" w:right="0" w:hanging="212"/>
        <w:jc w:val="left"/>
        <w:rPr>
          <w:sz w:val="21"/>
        </w:rPr>
      </w:pPr>
      <w:r>
        <w:rPr>
          <w:spacing w:val="-3"/>
          <w:sz w:val="21"/>
        </w:rPr>
        <w:t>金融衍生品全部敞口不得高于本基金资产净值的 </w:t>
      </w:r>
      <w:r>
        <w:rPr>
          <w:sz w:val="21"/>
        </w:rPr>
        <w:t>100%。</w:t>
      </w:r>
    </w:p>
    <w:p>
      <w:pPr>
        <w:pStyle w:val="ListParagraph"/>
        <w:numPr>
          <w:ilvl w:val="0"/>
          <w:numId w:val="66"/>
        </w:numPr>
        <w:tabs>
          <w:tab w:pos="1008" w:val="left" w:leader="none"/>
        </w:tabs>
        <w:spacing w:line="364" w:lineRule="auto" w:before="134" w:after="0"/>
        <w:ind w:left="376" w:right="794" w:firstLine="420"/>
        <w:jc w:val="left"/>
        <w:rPr>
          <w:sz w:val="21"/>
        </w:rPr>
      </w:pPr>
      <w:r>
        <w:rPr>
          <w:spacing w:val="-6"/>
          <w:sz w:val="21"/>
        </w:rPr>
        <w:t>本基金投资期货支付的初始保证金、投资期权支付或收取的期权费、投资柜台交易衍</w:t>
      </w:r>
      <w:r>
        <w:rPr>
          <w:spacing w:val="-3"/>
          <w:sz w:val="21"/>
        </w:rPr>
        <w:t>生品支付的初始费用的总额不得高于基金资产净值的 </w:t>
      </w:r>
      <w:r>
        <w:rPr>
          <w:sz w:val="21"/>
        </w:rPr>
        <w:t>10%。</w:t>
      </w:r>
    </w:p>
    <w:p>
      <w:pPr>
        <w:pStyle w:val="ListParagraph"/>
        <w:numPr>
          <w:ilvl w:val="0"/>
          <w:numId w:val="66"/>
        </w:numPr>
        <w:tabs>
          <w:tab w:pos="1008" w:val="left" w:leader="none"/>
        </w:tabs>
        <w:spacing w:line="268" w:lineRule="exact" w:before="0" w:after="0"/>
        <w:ind w:left="1008" w:right="0" w:hanging="212"/>
        <w:jc w:val="left"/>
        <w:rPr>
          <w:sz w:val="21"/>
        </w:rPr>
      </w:pPr>
      <w:r>
        <w:rPr>
          <w:sz w:val="21"/>
        </w:rPr>
        <w:t>本基金投资于远期合约、互换等柜台交易金融衍生品，应当符合以下要求：</w:t>
      </w:r>
    </w:p>
    <w:p>
      <w:pPr>
        <w:pStyle w:val="ListParagraph"/>
        <w:numPr>
          <w:ilvl w:val="1"/>
          <w:numId w:val="66"/>
        </w:numPr>
        <w:tabs>
          <w:tab w:pos="1008" w:val="left" w:leader="none"/>
        </w:tabs>
        <w:spacing w:line="240" w:lineRule="auto" w:before="139" w:after="0"/>
        <w:ind w:left="1008" w:right="0" w:hanging="212"/>
        <w:jc w:val="left"/>
        <w:rPr>
          <w:sz w:val="21"/>
        </w:rPr>
      </w:pPr>
      <w:r>
        <w:rPr>
          <w:spacing w:val="-5"/>
          <w:sz w:val="21"/>
        </w:rPr>
        <w:t>所有参与交易的对手方</w:t>
      </w:r>
      <w:r>
        <w:rPr>
          <w:sz w:val="21"/>
        </w:rPr>
        <w:t>（中资商业银行除外</w:t>
      </w:r>
      <w:r>
        <w:rPr>
          <w:spacing w:val="-44"/>
          <w:sz w:val="21"/>
        </w:rPr>
        <w:t>）</w:t>
      </w:r>
      <w:r>
        <w:rPr>
          <w:sz w:val="21"/>
        </w:rPr>
        <w:t>应当具有不低于中国证监会认可的信用</w:t>
      </w:r>
    </w:p>
    <w:p>
      <w:pPr>
        <w:spacing w:after="0" w:line="240" w:lineRule="auto"/>
        <w:jc w:val="left"/>
        <w:rPr>
          <w:sz w:val="21"/>
        </w:rPr>
        <w:sectPr>
          <w:pgSz w:w="11910" w:h="16840"/>
          <w:pgMar w:header="0" w:footer="1118" w:top="1380" w:bottom="1380" w:left="1420" w:right="1000"/>
        </w:sectPr>
      </w:pPr>
    </w:p>
    <w:p>
      <w:pPr>
        <w:pStyle w:val="BodyText"/>
        <w:spacing w:before="45"/>
        <w:ind w:left="376"/>
      </w:pPr>
      <w:r>
        <w:rPr/>
        <w:t>评级机构评级；</w:t>
      </w:r>
    </w:p>
    <w:p>
      <w:pPr>
        <w:pStyle w:val="ListParagraph"/>
        <w:numPr>
          <w:ilvl w:val="1"/>
          <w:numId w:val="66"/>
        </w:numPr>
        <w:tabs>
          <w:tab w:pos="1008" w:val="left" w:leader="none"/>
        </w:tabs>
        <w:spacing w:line="364" w:lineRule="auto" w:before="139" w:after="0"/>
        <w:ind w:left="376" w:right="794" w:firstLine="420"/>
        <w:jc w:val="left"/>
        <w:rPr>
          <w:sz w:val="21"/>
        </w:rPr>
      </w:pPr>
      <w:r>
        <w:rPr>
          <w:spacing w:val="-5"/>
          <w:sz w:val="21"/>
        </w:rPr>
        <w:t>交易对手方应当至少每个工作日对交易进行估值，并且基金可在任何时候以公允价值</w:t>
      </w:r>
      <w:r>
        <w:rPr>
          <w:sz w:val="21"/>
        </w:rPr>
        <w:t>终止交易；</w:t>
      </w:r>
    </w:p>
    <w:p>
      <w:pPr>
        <w:pStyle w:val="ListParagraph"/>
        <w:numPr>
          <w:ilvl w:val="1"/>
          <w:numId w:val="66"/>
        </w:numPr>
        <w:tabs>
          <w:tab w:pos="1008" w:val="left" w:leader="none"/>
        </w:tabs>
        <w:spacing w:line="364" w:lineRule="auto" w:before="0" w:after="0"/>
        <w:ind w:left="796" w:right="2649" w:firstLine="0"/>
        <w:jc w:val="left"/>
        <w:rPr>
          <w:sz w:val="21"/>
        </w:rPr>
      </w:pPr>
      <w:r>
        <w:rPr>
          <w:spacing w:val="-3"/>
          <w:sz w:val="21"/>
        </w:rPr>
        <w:t>任一交易对手方的市值计价敞口不得超过基金资产净值的 </w:t>
      </w:r>
      <w:r>
        <w:rPr>
          <w:sz w:val="21"/>
        </w:rPr>
        <w:t>20%</w:t>
      </w:r>
      <w:r>
        <w:rPr>
          <w:spacing w:val="-16"/>
          <w:sz w:val="21"/>
        </w:rPr>
        <w:t>。</w:t>
      </w:r>
      <w:r>
        <w:rPr>
          <w:sz w:val="21"/>
        </w:rPr>
        <w:t>10）本基金可以参与证券借贷交易，并且应当遵守下列规定：</w:t>
      </w:r>
    </w:p>
    <w:p>
      <w:pPr>
        <w:pStyle w:val="ListParagraph"/>
        <w:numPr>
          <w:ilvl w:val="0"/>
          <w:numId w:val="67"/>
        </w:numPr>
        <w:tabs>
          <w:tab w:pos="1008" w:val="left" w:leader="none"/>
        </w:tabs>
        <w:spacing w:line="364" w:lineRule="auto" w:before="0" w:after="0"/>
        <w:ind w:left="376" w:right="794" w:firstLine="420"/>
        <w:jc w:val="left"/>
        <w:rPr>
          <w:sz w:val="21"/>
        </w:rPr>
      </w:pPr>
      <w:r>
        <w:rPr>
          <w:spacing w:val="-5"/>
          <w:sz w:val="21"/>
        </w:rPr>
        <w:t>所有参与交易的对手方</w:t>
      </w:r>
      <w:r>
        <w:rPr>
          <w:sz w:val="21"/>
        </w:rPr>
        <w:t>（中资商业银行除外</w:t>
      </w:r>
      <w:r>
        <w:rPr>
          <w:spacing w:val="-44"/>
          <w:sz w:val="21"/>
        </w:rPr>
        <w:t>）</w:t>
      </w:r>
      <w:r>
        <w:rPr>
          <w:spacing w:val="-1"/>
          <w:sz w:val="21"/>
        </w:rPr>
        <w:t>应当具有中国证监会认可的信用评级机</w:t>
      </w:r>
      <w:r>
        <w:rPr>
          <w:sz w:val="21"/>
        </w:rPr>
        <w:t>构评级。</w:t>
      </w:r>
    </w:p>
    <w:p>
      <w:pPr>
        <w:pStyle w:val="ListParagraph"/>
        <w:numPr>
          <w:ilvl w:val="0"/>
          <w:numId w:val="67"/>
        </w:numPr>
        <w:tabs>
          <w:tab w:pos="1012" w:val="left" w:leader="none"/>
        </w:tabs>
        <w:spacing w:line="364" w:lineRule="auto" w:before="0" w:after="0"/>
        <w:ind w:left="796" w:right="585" w:firstLine="0"/>
        <w:jc w:val="left"/>
        <w:rPr>
          <w:sz w:val="21"/>
        </w:rPr>
      </w:pPr>
      <w:r>
        <w:rPr>
          <w:spacing w:val="1"/>
          <w:sz w:val="21"/>
        </w:rPr>
        <w:t>应当采取市值计价制度进行调整以确保担保物市值不低于已借出证券市值的 </w:t>
      </w:r>
      <w:r>
        <w:rPr>
          <w:sz w:val="21"/>
        </w:rPr>
        <w:t>102％。C.</w:t>
      </w:r>
      <w:r>
        <w:rPr>
          <w:spacing w:val="-4"/>
          <w:sz w:val="21"/>
        </w:rPr>
        <w:t>借方应当在交易期内及时向本基金支付已借出证券产生的所有股息、利息和分红。一</w:t>
      </w:r>
    </w:p>
    <w:p>
      <w:pPr>
        <w:pStyle w:val="BodyText"/>
        <w:spacing w:line="268" w:lineRule="exact"/>
        <w:ind w:left="376"/>
      </w:pPr>
      <w:r>
        <w:rPr/>
        <w:t>旦借方违约，本基金根据协议和有关法律有权保留和处置担保物以满足索赔需要。</w:t>
      </w:r>
    </w:p>
    <w:p>
      <w:pPr>
        <w:pStyle w:val="ListParagraph"/>
        <w:numPr>
          <w:ilvl w:val="0"/>
          <w:numId w:val="68"/>
        </w:numPr>
        <w:tabs>
          <w:tab w:pos="1008" w:val="left" w:leader="none"/>
        </w:tabs>
        <w:spacing w:line="364" w:lineRule="auto" w:before="137" w:after="0"/>
        <w:ind w:left="796" w:right="2598" w:firstLine="0"/>
        <w:jc w:val="left"/>
        <w:rPr>
          <w:sz w:val="21"/>
        </w:rPr>
      </w:pPr>
      <w:r>
        <w:rPr>
          <w:spacing w:val="-1"/>
          <w:sz w:val="21"/>
        </w:rPr>
        <w:t>除中国证监会另有规定外，担保物可以是以下金融工具或品种： </w:t>
      </w:r>
      <w:r>
        <w:rPr>
          <w:sz w:val="21"/>
        </w:rPr>
        <w:t>a.现金；</w:t>
      </w:r>
    </w:p>
    <w:p>
      <w:pPr>
        <w:pStyle w:val="BodyText"/>
        <w:spacing w:line="364" w:lineRule="auto"/>
        <w:ind w:right="7428"/>
        <w:jc w:val="both"/>
      </w:pPr>
      <w:r>
        <w:rPr/>
        <w:t>b.存款证明； c.商业票据； d.政府债券；</w:t>
      </w:r>
    </w:p>
    <w:p>
      <w:pPr>
        <w:pStyle w:val="BodyText"/>
        <w:spacing w:line="364" w:lineRule="auto"/>
        <w:ind w:left="376" w:right="714" w:firstLine="420"/>
      </w:pPr>
      <w:r>
        <w:rPr/>
        <w:t>e.中资商业银行或由不低于中国证监会认可的信用评级机构评级的境外金融机构（作为交易对手方或其关联方的除外）出具的不可撤销信用证。</w:t>
      </w:r>
    </w:p>
    <w:p>
      <w:pPr>
        <w:pStyle w:val="ListParagraph"/>
        <w:numPr>
          <w:ilvl w:val="0"/>
          <w:numId w:val="68"/>
        </w:numPr>
        <w:tabs>
          <w:tab w:pos="1011" w:val="left" w:leader="none"/>
        </w:tabs>
        <w:spacing w:line="364" w:lineRule="auto" w:before="0" w:after="0"/>
        <w:ind w:left="376" w:right="795" w:firstLine="420"/>
        <w:jc w:val="left"/>
        <w:rPr>
          <w:sz w:val="21"/>
        </w:rPr>
      </w:pPr>
      <w:r>
        <w:rPr>
          <w:spacing w:val="2"/>
          <w:sz w:val="21"/>
        </w:rPr>
        <w:t>本基金有权在任何时候终止证券借贷交易并在正常市场惯例的合理期限内要求归还任一或所有已借出的证券。</w:t>
      </w:r>
    </w:p>
    <w:p>
      <w:pPr>
        <w:pStyle w:val="ListParagraph"/>
        <w:numPr>
          <w:ilvl w:val="0"/>
          <w:numId w:val="68"/>
        </w:numPr>
        <w:tabs>
          <w:tab w:pos="1008" w:val="left" w:leader="none"/>
        </w:tabs>
        <w:spacing w:line="364" w:lineRule="auto" w:before="0" w:after="0"/>
        <w:ind w:left="376" w:right="794" w:firstLine="420"/>
        <w:jc w:val="left"/>
        <w:rPr>
          <w:sz w:val="21"/>
        </w:rPr>
      </w:pPr>
      <w:r>
        <w:rPr>
          <w:spacing w:val="-4"/>
          <w:sz w:val="21"/>
        </w:rPr>
        <w:t>基金管理人应当对基金参与证券借贷交易中发生的任何损失负相应责任。上述比例限</w:t>
      </w:r>
      <w:r>
        <w:rPr>
          <w:sz w:val="21"/>
        </w:rPr>
        <w:t>制计算，基金因参与证券借贷交易而持有的担保物不得计入基金总资产。</w:t>
      </w:r>
    </w:p>
    <w:p>
      <w:pPr>
        <w:pStyle w:val="ListParagraph"/>
        <w:numPr>
          <w:ilvl w:val="0"/>
          <w:numId w:val="69"/>
        </w:numPr>
        <w:tabs>
          <w:tab w:pos="1218" w:val="left" w:leader="none"/>
        </w:tabs>
        <w:spacing w:line="364" w:lineRule="auto" w:before="0" w:after="0"/>
        <w:ind w:left="796" w:right="689" w:firstLine="0"/>
        <w:jc w:val="left"/>
        <w:rPr>
          <w:sz w:val="21"/>
        </w:rPr>
      </w:pPr>
      <w:r>
        <w:rPr>
          <w:spacing w:val="-7"/>
          <w:sz w:val="21"/>
        </w:rPr>
        <w:t>基金可以根据正常市场惯例参与正回购交易、逆回购交易，并且应当遵守下列规定</w:t>
      </w:r>
      <w:r>
        <w:rPr>
          <w:spacing w:val="-8"/>
          <w:sz w:val="21"/>
        </w:rPr>
        <w:t>： </w:t>
      </w:r>
      <w:r>
        <w:rPr>
          <w:sz w:val="21"/>
        </w:rPr>
        <w:t>A.</w:t>
      </w:r>
      <w:r>
        <w:rPr>
          <w:spacing w:val="-4"/>
          <w:sz w:val="21"/>
        </w:rPr>
        <w:t>所有参与正回购交易的对手方</w:t>
      </w:r>
      <w:r>
        <w:rPr>
          <w:sz w:val="21"/>
        </w:rPr>
        <w:t>（中资商业银行除外</w:t>
      </w:r>
      <w:r>
        <w:rPr>
          <w:spacing w:val="-44"/>
          <w:sz w:val="21"/>
        </w:rPr>
        <w:t>）</w:t>
      </w:r>
      <w:r>
        <w:rPr>
          <w:sz w:val="21"/>
        </w:rPr>
        <w:t>应当具有中国证监会认可的信用</w:t>
      </w:r>
    </w:p>
    <w:p>
      <w:pPr>
        <w:pStyle w:val="BodyText"/>
        <w:spacing w:line="268" w:lineRule="exact"/>
        <w:ind w:left="376"/>
      </w:pPr>
      <w:r>
        <w:rPr/>
        <w:t>评级机构信用评级。</w:t>
      </w:r>
    </w:p>
    <w:p>
      <w:pPr>
        <w:pStyle w:val="ListParagraph"/>
        <w:numPr>
          <w:ilvl w:val="0"/>
          <w:numId w:val="70"/>
        </w:numPr>
        <w:tabs>
          <w:tab w:pos="1008" w:val="left" w:leader="none"/>
        </w:tabs>
        <w:spacing w:line="364" w:lineRule="auto" w:before="134" w:after="0"/>
        <w:ind w:left="376" w:right="794" w:firstLine="420"/>
        <w:jc w:val="both"/>
        <w:rPr>
          <w:sz w:val="21"/>
        </w:rPr>
      </w:pPr>
      <w:r>
        <w:rPr>
          <w:spacing w:val="-10"/>
          <w:sz w:val="21"/>
        </w:rPr>
        <w:t>参与正回购交易，应当采取市值计价制度对卖出收益进行调整以确保现金不低于已售</w:t>
      </w:r>
      <w:r>
        <w:rPr>
          <w:spacing w:val="-8"/>
          <w:sz w:val="21"/>
        </w:rPr>
        <w:t>出证券市值的 </w:t>
      </w:r>
      <w:r>
        <w:rPr>
          <w:sz w:val="21"/>
        </w:rPr>
        <w:t>102％</w:t>
      </w:r>
      <w:r>
        <w:rPr>
          <w:spacing w:val="-7"/>
          <w:sz w:val="21"/>
        </w:rPr>
        <w:t>。一旦买方违约，本基金根据协议和有关法律有权保留或处置卖出收益</w:t>
      </w:r>
      <w:r>
        <w:rPr>
          <w:sz w:val="21"/>
        </w:rPr>
        <w:t>以满足索赔需要。</w:t>
      </w:r>
    </w:p>
    <w:p>
      <w:pPr>
        <w:pStyle w:val="ListParagraph"/>
        <w:numPr>
          <w:ilvl w:val="0"/>
          <w:numId w:val="70"/>
        </w:numPr>
        <w:tabs>
          <w:tab w:pos="1008" w:val="left" w:leader="none"/>
        </w:tabs>
        <w:spacing w:line="364" w:lineRule="auto" w:before="0" w:after="0"/>
        <w:ind w:left="796" w:right="603" w:firstLine="0"/>
        <w:jc w:val="left"/>
        <w:rPr>
          <w:sz w:val="21"/>
        </w:rPr>
      </w:pPr>
      <w:r>
        <w:rPr>
          <w:spacing w:val="-5"/>
          <w:sz w:val="21"/>
        </w:rPr>
        <w:t>买方应当在正回购交易期内及时向本基金支付售出证券产生的所有股息、利息和分红。</w:t>
      </w:r>
      <w:r>
        <w:rPr>
          <w:sz w:val="21"/>
        </w:rPr>
        <w:t>D.</w:t>
      </w:r>
      <w:r>
        <w:rPr>
          <w:spacing w:val="-9"/>
          <w:sz w:val="21"/>
        </w:rPr>
        <w:t>参与逆回购交易，应当对购入证券采取市值计价制度进行调整以确保已购入证券市值</w:t>
      </w:r>
    </w:p>
    <w:p>
      <w:pPr>
        <w:pStyle w:val="BodyText"/>
        <w:spacing w:line="364" w:lineRule="auto"/>
        <w:ind w:left="376" w:right="794"/>
      </w:pPr>
      <w:r>
        <w:rPr>
          <w:spacing w:val="-6"/>
        </w:rPr>
        <w:t>不低于支付现金的 </w:t>
      </w:r>
      <w:r>
        <w:rPr/>
        <w:t>102％</w:t>
      </w:r>
      <w:r>
        <w:rPr>
          <w:spacing w:val="-7"/>
        </w:rPr>
        <w:t>。一旦卖方违约，本基金根据协议和有关法律有权保留或处置已购</w:t>
      </w:r>
      <w:r>
        <w:rPr/>
        <w:t>入证券以满足索赔需要。</w:t>
      </w:r>
    </w:p>
    <w:p>
      <w:pPr>
        <w:pStyle w:val="ListParagraph"/>
        <w:numPr>
          <w:ilvl w:val="0"/>
          <w:numId w:val="69"/>
        </w:numPr>
        <w:tabs>
          <w:tab w:pos="1218" w:val="left" w:leader="none"/>
        </w:tabs>
        <w:spacing w:line="364" w:lineRule="auto" w:before="0" w:after="0"/>
        <w:ind w:left="376" w:right="794" w:firstLine="420"/>
        <w:jc w:val="left"/>
        <w:rPr>
          <w:sz w:val="21"/>
        </w:rPr>
      </w:pPr>
      <w:r>
        <w:rPr>
          <w:spacing w:val="-5"/>
          <w:sz w:val="21"/>
        </w:rPr>
        <w:t>基金参与证券借贷交易、正回购交易，所有已借出而未归还证券总市值或售出而</w:t>
      </w:r>
      <w:r>
        <w:rPr>
          <w:spacing w:val="-7"/>
          <w:sz w:val="21"/>
        </w:rPr>
        <w:t>未回购证券总市值均不得超过基金总资产的 </w:t>
      </w:r>
      <w:r>
        <w:rPr>
          <w:sz w:val="21"/>
        </w:rPr>
        <w:t>50%。</w:t>
      </w:r>
    </w:p>
    <w:p>
      <w:pPr>
        <w:pStyle w:val="BodyText"/>
        <w:spacing w:line="268" w:lineRule="exact"/>
      </w:pPr>
      <w:r>
        <w:rPr/>
        <w:t>上述比例限制计算，基金因参与证券借贷交易、正回购交易而持有的担保物、现金不得</w:t>
      </w:r>
    </w:p>
    <w:p>
      <w:pPr>
        <w:spacing w:after="0" w:line="268" w:lineRule="exact"/>
        <w:sectPr>
          <w:pgSz w:w="11910" w:h="16840"/>
          <w:pgMar w:header="0" w:footer="1118" w:top="1380" w:bottom="1380" w:left="1420" w:right="1000"/>
        </w:sectPr>
      </w:pPr>
    </w:p>
    <w:p>
      <w:pPr>
        <w:pStyle w:val="BodyText"/>
        <w:spacing w:before="45"/>
        <w:ind w:left="376"/>
      </w:pPr>
      <w:r>
        <w:rPr/>
        <w:t>计入基金总资产。</w:t>
      </w:r>
    </w:p>
    <w:p>
      <w:pPr>
        <w:pStyle w:val="BodyText"/>
        <w:spacing w:line="364" w:lineRule="auto" w:before="139"/>
        <w:ind w:left="376" w:right="794" w:firstLine="420"/>
        <w:jc w:val="both"/>
      </w:pPr>
      <w:r>
        <w:rPr>
          <w:spacing w:val="-9"/>
        </w:rPr>
        <w:t>《基金法》及其他法律法规或监管部门取消上述限制，基金管理人履行适当程序后，本</w:t>
      </w:r>
      <w:r>
        <w:rPr>
          <w:spacing w:val="-10"/>
        </w:rPr>
        <w:t>基金将不受上述限制。《基金法》及其他有关法律法规或监管部门调整上述限制的，基金管理人履行适当程序后，基金可依据届时有效的法律法规适时合理地调整上述限制。</w:t>
      </w:r>
    </w:p>
    <w:p>
      <w:pPr>
        <w:pStyle w:val="BodyText"/>
        <w:spacing w:line="364" w:lineRule="auto"/>
        <w:ind w:left="376" w:right="794" w:firstLine="420"/>
      </w:pPr>
      <w:r>
        <w:rPr>
          <w:spacing w:val="-10"/>
        </w:rPr>
        <w:t>除投资资产配置外，基金托管人对基金的投资的监督和检查自本基金合同生效之日起开</w:t>
      </w:r>
      <w:r>
        <w:rPr/>
        <w:t>始。</w:t>
      </w:r>
    </w:p>
    <w:p>
      <w:pPr>
        <w:pStyle w:val="BodyText"/>
        <w:spacing w:line="364" w:lineRule="auto"/>
        <w:ind w:left="376" w:right="795" w:firstLine="420"/>
      </w:pPr>
      <w:r>
        <w:rPr/>
        <w:t>基金管理人应当自基金合同生效之日起 6 个月内使基金的投资组合比例符合基金合同的有关约定。</w:t>
      </w:r>
    </w:p>
    <w:p>
      <w:pPr>
        <w:pStyle w:val="ListParagraph"/>
        <w:numPr>
          <w:ilvl w:val="0"/>
          <w:numId w:val="64"/>
        </w:numPr>
        <w:tabs>
          <w:tab w:pos="1323" w:val="left" w:leader="none"/>
        </w:tabs>
        <w:spacing w:line="268" w:lineRule="exact" w:before="0" w:after="0"/>
        <w:ind w:left="1323" w:right="0" w:hanging="527"/>
        <w:jc w:val="left"/>
        <w:rPr>
          <w:sz w:val="21"/>
        </w:rPr>
      </w:pPr>
      <w:r>
        <w:rPr>
          <w:sz w:val="21"/>
        </w:rPr>
        <w:t>相关法律、法规或部门规章规定的其他比例限制。</w:t>
      </w:r>
    </w:p>
    <w:p>
      <w:pPr>
        <w:pStyle w:val="BodyText"/>
        <w:spacing w:before="137"/>
      </w:pPr>
      <w:r>
        <w:rPr/>
        <w:t>基金托管人对基金投资的监督和检查自《基金合同》生效之日起开始。</w:t>
      </w:r>
    </w:p>
    <w:p>
      <w:pPr>
        <w:pStyle w:val="BodyText"/>
        <w:spacing w:line="364" w:lineRule="auto" w:before="140"/>
        <w:ind w:left="376" w:right="795" w:firstLine="420"/>
      </w:pPr>
      <w:r>
        <w:rPr/>
        <w:t>3、基金托管人根据有关法律法规的规定及《基金合同》的约定对下述基金投资禁止行为进行监督：</w:t>
      </w:r>
    </w:p>
    <w:p>
      <w:pPr>
        <w:pStyle w:val="ListParagraph"/>
        <w:numPr>
          <w:ilvl w:val="0"/>
          <w:numId w:val="71"/>
        </w:numPr>
        <w:tabs>
          <w:tab w:pos="1323" w:val="left" w:leader="none"/>
        </w:tabs>
        <w:spacing w:line="268" w:lineRule="exact" w:before="0" w:after="0"/>
        <w:ind w:left="1323" w:right="0" w:hanging="527"/>
        <w:jc w:val="left"/>
        <w:rPr>
          <w:sz w:val="21"/>
        </w:rPr>
      </w:pPr>
      <w:r>
        <w:rPr>
          <w:sz w:val="21"/>
        </w:rPr>
        <w:t>承销证券；</w:t>
      </w:r>
    </w:p>
    <w:p>
      <w:pPr>
        <w:pStyle w:val="ListParagraph"/>
        <w:numPr>
          <w:ilvl w:val="0"/>
          <w:numId w:val="71"/>
        </w:numPr>
        <w:tabs>
          <w:tab w:pos="1323" w:val="left" w:leader="none"/>
        </w:tabs>
        <w:spacing w:line="240" w:lineRule="auto" w:before="139" w:after="0"/>
        <w:ind w:left="1323" w:right="0" w:hanging="527"/>
        <w:jc w:val="left"/>
        <w:rPr>
          <w:sz w:val="21"/>
        </w:rPr>
      </w:pPr>
      <w:r>
        <w:rPr>
          <w:sz w:val="21"/>
        </w:rPr>
        <w:t>向他人贷款或提供担保；</w:t>
      </w:r>
    </w:p>
    <w:p>
      <w:pPr>
        <w:pStyle w:val="ListParagraph"/>
        <w:numPr>
          <w:ilvl w:val="0"/>
          <w:numId w:val="71"/>
        </w:numPr>
        <w:tabs>
          <w:tab w:pos="1323" w:val="left" w:leader="none"/>
        </w:tabs>
        <w:spacing w:line="240" w:lineRule="auto" w:before="140" w:after="0"/>
        <w:ind w:left="1323" w:right="0" w:hanging="527"/>
        <w:jc w:val="left"/>
        <w:rPr>
          <w:sz w:val="21"/>
        </w:rPr>
      </w:pPr>
      <w:r>
        <w:rPr>
          <w:sz w:val="21"/>
        </w:rPr>
        <w:t>从事承担无限责任的投资；</w:t>
      </w:r>
    </w:p>
    <w:p>
      <w:pPr>
        <w:pStyle w:val="ListParagraph"/>
        <w:numPr>
          <w:ilvl w:val="0"/>
          <w:numId w:val="71"/>
        </w:numPr>
        <w:tabs>
          <w:tab w:pos="1323" w:val="left" w:leader="none"/>
        </w:tabs>
        <w:spacing w:line="240" w:lineRule="auto" w:before="139" w:after="0"/>
        <w:ind w:left="1323" w:right="0" w:hanging="527"/>
        <w:jc w:val="left"/>
        <w:rPr>
          <w:sz w:val="21"/>
        </w:rPr>
      </w:pPr>
      <w:r>
        <w:rPr>
          <w:sz w:val="21"/>
        </w:rPr>
        <w:t>购买不动产；</w:t>
      </w:r>
    </w:p>
    <w:p>
      <w:pPr>
        <w:pStyle w:val="ListParagraph"/>
        <w:numPr>
          <w:ilvl w:val="0"/>
          <w:numId w:val="71"/>
        </w:numPr>
        <w:tabs>
          <w:tab w:pos="1323" w:val="left" w:leader="none"/>
        </w:tabs>
        <w:spacing w:line="240" w:lineRule="auto" w:before="140" w:after="0"/>
        <w:ind w:left="1323" w:right="0" w:hanging="527"/>
        <w:jc w:val="left"/>
        <w:rPr>
          <w:sz w:val="21"/>
        </w:rPr>
      </w:pPr>
      <w:r>
        <w:rPr>
          <w:sz w:val="21"/>
        </w:rPr>
        <w:t>购买房地产抵押按揭；</w:t>
      </w:r>
    </w:p>
    <w:p>
      <w:pPr>
        <w:pStyle w:val="ListParagraph"/>
        <w:numPr>
          <w:ilvl w:val="0"/>
          <w:numId w:val="71"/>
        </w:numPr>
        <w:tabs>
          <w:tab w:pos="1323" w:val="left" w:leader="none"/>
        </w:tabs>
        <w:spacing w:line="240" w:lineRule="auto" w:before="139" w:after="0"/>
        <w:ind w:left="1323" w:right="0" w:hanging="527"/>
        <w:jc w:val="left"/>
        <w:rPr>
          <w:sz w:val="21"/>
        </w:rPr>
      </w:pPr>
      <w:r>
        <w:rPr>
          <w:sz w:val="21"/>
        </w:rPr>
        <w:t>购买贵重金属或代表贵重金属的凭证；</w:t>
      </w:r>
    </w:p>
    <w:p>
      <w:pPr>
        <w:pStyle w:val="ListParagraph"/>
        <w:numPr>
          <w:ilvl w:val="0"/>
          <w:numId w:val="71"/>
        </w:numPr>
        <w:tabs>
          <w:tab w:pos="1323" w:val="left" w:leader="none"/>
        </w:tabs>
        <w:spacing w:line="240" w:lineRule="auto" w:before="140" w:after="0"/>
        <w:ind w:left="1323" w:right="0" w:hanging="527"/>
        <w:jc w:val="left"/>
        <w:rPr>
          <w:sz w:val="21"/>
        </w:rPr>
      </w:pPr>
      <w:r>
        <w:rPr>
          <w:sz w:val="21"/>
        </w:rPr>
        <w:t>购买实物商品；</w:t>
      </w:r>
    </w:p>
    <w:p>
      <w:pPr>
        <w:pStyle w:val="ListParagraph"/>
        <w:numPr>
          <w:ilvl w:val="0"/>
          <w:numId w:val="71"/>
        </w:numPr>
        <w:tabs>
          <w:tab w:pos="1323" w:val="left" w:leader="none"/>
        </w:tabs>
        <w:spacing w:line="240" w:lineRule="auto" w:before="139" w:after="0"/>
        <w:ind w:left="1323" w:right="0" w:hanging="527"/>
        <w:jc w:val="left"/>
        <w:rPr>
          <w:sz w:val="21"/>
        </w:rPr>
      </w:pPr>
      <w:r>
        <w:rPr>
          <w:sz w:val="21"/>
        </w:rPr>
        <w:t>除应付赎回、交易清算等临时用途以外，借入现金；</w:t>
      </w:r>
    </w:p>
    <w:p>
      <w:pPr>
        <w:pStyle w:val="ListParagraph"/>
        <w:numPr>
          <w:ilvl w:val="0"/>
          <w:numId w:val="71"/>
        </w:numPr>
        <w:tabs>
          <w:tab w:pos="1323" w:val="left" w:leader="none"/>
        </w:tabs>
        <w:spacing w:line="240" w:lineRule="auto" w:before="139" w:after="0"/>
        <w:ind w:left="1323" w:right="0" w:hanging="527"/>
        <w:jc w:val="left"/>
        <w:rPr>
          <w:sz w:val="21"/>
        </w:rPr>
      </w:pPr>
      <w:r>
        <w:rPr>
          <w:sz w:val="21"/>
        </w:rPr>
        <w:t>利用融资购买证券，但投资金融衍生品除外；</w:t>
      </w:r>
    </w:p>
    <w:p>
      <w:pPr>
        <w:pStyle w:val="ListParagraph"/>
        <w:numPr>
          <w:ilvl w:val="0"/>
          <w:numId w:val="71"/>
        </w:numPr>
        <w:tabs>
          <w:tab w:pos="1428" w:val="left" w:leader="none"/>
        </w:tabs>
        <w:spacing w:line="240" w:lineRule="auto" w:before="140" w:after="0"/>
        <w:ind w:left="1428" w:right="0" w:hanging="632"/>
        <w:jc w:val="left"/>
        <w:rPr>
          <w:sz w:val="21"/>
        </w:rPr>
      </w:pPr>
      <w:r>
        <w:rPr>
          <w:sz w:val="21"/>
        </w:rPr>
        <w:t>参与未持有基础资产的卖空交易；</w:t>
      </w:r>
    </w:p>
    <w:p>
      <w:pPr>
        <w:pStyle w:val="ListParagraph"/>
        <w:numPr>
          <w:ilvl w:val="0"/>
          <w:numId w:val="71"/>
        </w:numPr>
        <w:tabs>
          <w:tab w:pos="1428" w:val="left" w:leader="none"/>
        </w:tabs>
        <w:spacing w:line="240" w:lineRule="auto" w:before="139" w:after="0"/>
        <w:ind w:left="1428" w:right="0" w:hanging="632"/>
        <w:jc w:val="left"/>
        <w:rPr>
          <w:sz w:val="21"/>
        </w:rPr>
      </w:pPr>
      <w:r>
        <w:rPr>
          <w:sz w:val="21"/>
        </w:rPr>
        <w:t>购买证券用于控制或影响发行该证券的机构或其管理层；</w:t>
      </w:r>
    </w:p>
    <w:p>
      <w:pPr>
        <w:pStyle w:val="ListParagraph"/>
        <w:numPr>
          <w:ilvl w:val="0"/>
          <w:numId w:val="71"/>
        </w:numPr>
        <w:tabs>
          <w:tab w:pos="1428" w:val="left" w:leader="none"/>
        </w:tabs>
        <w:spacing w:line="240" w:lineRule="auto" w:before="140" w:after="0"/>
        <w:ind w:left="1428" w:right="0" w:hanging="632"/>
        <w:jc w:val="left"/>
        <w:rPr>
          <w:sz w:val="21"/>
        </w:rPr>
      </w:pPr>
      <w:r>
        <w:rPr>
          <w:sz w:val="21"/>
        </w:rPr>
        <w:t>直接投资与实物商品相关的衍生品；</w:t>
      </w:r>
    </w:p>
    <w:p>
      <w:pPr>
        <w:pStyle w:val="ListParagraph"/>
        <w:numPr>
          <w:ilvl w:val="0"/>
          <w:numId w:val="71"/>
        </w:numPr>
        <w:tabs>
          <w:tab w:pos="1428" w:val="left" w:leader="none"/>
        </w:tabs>
        <w:spacing w:line="364" w:lineRule="auto" w:before="139" w:after="0"/>
        <w:ind w:left="376" w:right="794" w:firstLine="420"/>
        <w:jc w:val="left"/>
        <w:rPr>
          <w:sz w:val="21"/>
        </w:rPr>
      </w:pPr>
      <w:r>
        <w:rPr>
          <w:spacing w:val="-6"/>
          <w:sz w:val="21"/>
        </w:rPr>
        <w:t>向基金管理人、基金托管人出资或者买卖其基金管理人、基金托管人发行的股</w:t>
      </w:r>
      <w:r>
        <w:rPr>
          <w:spacing w:val="-4"/>
          <w:sz w:val="21"/>
        </w:rPr>
        <w:t>票或债券；</w:t>
      </w:r>
    </w:p>
    <w:p>
      <w:pPr>
        <w:pStyle w:val="ListParagraph"/>
        <w:numPr>
          <w:ilvl w:val="0"/>
          <w:numId w:val="71"/>
        </w:numPr>
        <w:tabs>
          <w:tab w:pos="1428" w:val="left" w:leader="none"/>
        </w:tabs>
        <w:spacing w:line="364" w:lineRule="auto" w:before="0" w:after="0"/>
        <w:ind w:left="376" w:right="794" w:firstLine="420"/>
        <w:jc w:val="left"/>
        <w:rPr>
          <w:sz w:val="21"/>
        </w:rPr>
      </w:pPr>
      <w:r>
        <w:rPr>
          <w:spacing w:val="-5"/>
          <w:sz w:val="21"/>
        </w:rPr>
        <w:t>买卖与基金管理人、基金托管人有控股关系的股东或者与基金管理人、基金托</w:t>
      </w:r>
      <w:r>
        <w:rPr>
          <w:spacing w:val="-4"/>
          <w:sz w:val="21"/>
        </w:rPr>
        <w:t>管人有其他重大利害关系的公司发行的证券或者承销期内承销的证券；</w:t>
      </w:r>
    </w:p>
    <w:p>
      <w:pPr>
        <w:pStyle w:val="ListParagraph"/>
        <w:numPr>
          <w:ilvl w:val="0"/>
          <w:numId w:val="71"/>
        </w:numPr>
        <w:tabs>
          <w:tab w:pos="1428" w:val="left" w:leader="none"/>
        </w:tabs>
        <w:spacing w:line="268" w:lineRule="exact" w:before="0" w:after="0"/>
        <w:ind w:left="1428" w:right="0" w:hanging="632"/>
        <w:jc w:val="left"/>
        <w:rPr>
          <w:sz w:val="21"/>
        </w:rPr>
      </w:pPr>
      <w:r>
        <w:rPr>
          <w:sz w:val="21"/>
        </w:rPr>
        <w:t>从事内幕交易、操纵证券价格及其他不正当的证券交易活动；</w:t>
      </w:r>
    </w:p>
    <w:p>
      <w:pPr>
        <w:pStyle w:val="ListParagraph"/>
        <w:numPr>
          <w:ilvl w:val="0"/>
          <w:numId w:val="71"/>
        </w:numPr>
        <w:tabs>
          <w:tab w:pos="1428" w:val="left" w:leader="none"/>
        </w:tabs>
        <w:spacing w:line="240" w:lineRule="auto" w:before="139" w:after="0"/>
        <w:ind w:left="1428" w:right="0" w:hanging="632"/>
        <w:jc w:val="left"/>
        <w:rPr>
          <w:sz w:val="21"/>
        </w:rPr>
      </w:pPr>
      <w:r>
        <w:rPr>
          <w:sz w:val="21"/>
        </w:rPr>
        <w:t>基金中基金不得投资于以下基金：</w:t>
      </w:r>
    </w:p>
    <w:p>
      <w:pPr>
        <w:pStyle w:val="ListParagraph"/>
        <w:numPr>
          <w:ilvl w:val="0"/>
          <w:numId w:val="72"/>
        </w:numPr>
        <w:tabs>
          <w:tab w:pos="1113" w:val="left" w:leader="none"/>
        </w:tabs>
        <w:spacing w:line="240" w:lineRule="auto" w:before="139" w:after="0"/>
        <w:ind w:left="1113" w:right="0" w:hanging="317"/>
        <w:jc w:val="left"/>
        <w:rPr>
          <w:sz w:val="21"/>
        </w:rPr>
      </w:pPr>
      <w:r>
        <w:rPr>
          <w:sz w:val="21"/>
        </w:rPr>
        <w:t>其他基金中基金；</w:t>
      </w:r>
    </w:p>
    <w:p>
      <w:pPr>
        <w:pStyle w:val="ListParagraph"/>
        <w:numPr>
          <w:ilvl w:val="0"/>
          <w:numId w:val="72"/>
        </w:numPr>
        <w:tabs>
          <w:tab w:pos="1113" w:val="left" w:leader="none"/>
        </w:tabs>
        <w:spacing w:line="240" w:lineRule="auto" w:before="140" w:after="0"/>
        <w:ind w:left="1113" w:right="0" w:hanging="317"/>
        <w:jc w:val="left"/>
        <w:rPr>
          <w:sz w:val="21"/>
        </w:rPr>
      </w:pPr>
      <w:r>
        <w:rPr>
          <w:sz w:val="21"/>
        </w:rPr>
        <w:t>联接基金；</w:t>
      </w:r>
    </w:p>
    <w:p>
      <w:pPr>
        <w:pStyle w:val="ListParagraph"/>
        <w:numPr>
          <w:ilvl w:val="0"/>
          <w:numId w:val="72"/>
        </w:numPr>
        <w:tabs>
          <w:tab w:pos="1113" w:val="left" w:leader="none"/>
        </w:tabs>
        <w:spacing w:line="240" w:lineRule="auto" w:before="139" w:after="0"/>
        <w:ind w:left="1113" w:right="0" w:hanging="317"/>
        <w:jc w:val="left"/>
        <w:rPr>
          <w:sz w:val="21"/>
        </w:rPr>
      </w:pPr>
      <w:r>
        <w:rPr>
          <w:sz w:val="21"/>
        </w:rPr>
        <w:t>投资于前述两项基金的伞型基金子基金。</w:t>
      </w:r>
    </w:p>
    <w:p>
      <w:pPr>
        <w:pStyle w:val="ListParagraph"/>
        <w:numPr>
          <w:ilvl w:val="0"/>
          <w:numId w:val="71"/>
        </w:numPr>
        <w:tabs>
          <w:tab w:pos="1428" w:val="left" w:leader="none"/>
        </w:tabs>
        <w:spacing w:line="240" w:lineRule="auto" w:before="139" w:after="0"/>
        <w:ind w:left="1428" w:right="0" w:hanging="632"/>
        <w:jc w:val="left"/>
        <w:rPr>
          <w:sz w:val="21"/>
        </w:rPr>
      </w:pPr>
      <w:r>
        <w:rPr>
          <w:sz w:val="21"/>
        </w:rPr>
        <w:t>当时有效的法律法规、中国证监会及《基金合同》规定禁止从事的其他行为。</w:t>
      </w:r>
    </w:p>
    <w:p>
      <w:pPr>
        <w:spacing w:after="0" w:line="240" w:lineRule="auto"/>
        <w:jc w:val="left"/>
        <w:rPr>
          <w:sz w:val="21"/>
        </w:rPr>
        <w:sectPr>
          <w:pgSz w:w="11910" w:h="16840"/>
          <w:pgMar w:header="0" w:footer="1118" w:top="1380" w:bottom="1380" w:left="1420" w:right="1000"/>
        </w:sectPr>
      </w:pPr>
    </w:p>
    <w:p>
      <w:pPr>
        <w:pStyle w:val="BodyText"/>
        <w:spacing w:line="364" w:lineRule="auto" w:before="45"/>
        <w:ind w:left="376" w:right="794" w:firstLine="420"/>
      </w:pPr>
      <w:r>
        <w:rPr>
          <w:spacing w:val="-6"/>
        </w:rPr>
        <w:t>如法律法规或监管部门取消上述禁止性规定，本基金管理人在履行适当程序后可不受上</w:t>
      </w:r>
      <w:r>
        <w:rPr/>
        <w:t>述规定的限制。</w:t>
      </w:r>
    </w:p>
    <w:p>
      <w:pPr>
        <w:pStyle w:val="BodyText"/>
        <w:spacing w:line="364" w:lineRule="auto"/>
        <w:ind w:left="376" w:right="795" w:firstLine="420"/>
      </w:pPr>
      <w:r>
        <w:rPr/>
        <w:t>4、基金托管人根据有关法律法规的规定及《基金合同》的约定对基金关联交易限制进行监督。</w:t>
      </w:r>
    </w:p>
    <w:p>
      <w:pPr>
        <w:pStyle w:val="BodyText"/>
        <w:spacing w:line="364" w:lineRule="auto"/>
        <w:ind w:left="376" w:right="794" w:firstLine="420"/>
        <w:jc w:val="both"/>
      </w:pPr>
      <w:r>
        <w:rPr>
          <w:spacing w:val="-5"/>
        </w:rPr>
        <w:t>根据法律法规有关基金禁止从事的关联交易的规定，基金管理人和基金托管人应事先相</w:t>
      </w:r>
      <w:r>
        <w:rPr>
          <w:spacing w:val="-4"/>
        </w:rPr>
        <w:t>互提供与本机构有控股关系的股东或与本机构有其他重大利害关系的公司名单及其更新，加</w:t>
      </w:r>
      <w:r>
        <w:rPr>
          <w:spacing w:val="-7"/>
        </w:rPr>
        <w:t>盖公章并书面提交，并确保所提供的关联交易名单的真实性、完整性、全面性。基金管理人</w:t>
      </w:r>
      <w:r>
        <w:rPr>
          <w:spacing w:val="-8"/>
        </w:rPr>
        <w:t>有责任保管真实、完整、全面的关联交易名单，并负责及时更新该名单。名单变更后基金管</w:t>
      </w:r>
      <w:r>
        <w:rPr>
          <w:spacing w:val="-3"/>
        </w:rPr>
        <w:t>理人应及时发送基金托管人，基金托管人于 </w:t>
      </w:r>
      <w:r>
        <w:rPr/>
        <w:t>2</w:t>
      </w:r>
      <w:r>
        <w:rPr>
          <w:spacing w:val="-8"/>
        </w:rPr>
        <w:t> 个工作日内进行回函确认已知名单的变更。</w:t>
      </w:r>
    </w:p>
    <w:p>
      <w:pPr>
        <w:pStyle w:val="BodyText"/>
        <w:spacing w:line="364" w:lineRule="auto"/>
        <w:ind w:left="376" w:right="585" w:firstLine="420"/>
      </w:pPr>
      <w:r>
        <w:rPr>
          <w:spacing w:val="2"/>
        </w:rPr>
        <w:t>若基金托管人发现基金管理人与关联交易名单中列示的关联方进行法律法规禁止基金 </w:t>
      </w:r>
      <w:r>
        <w:rPr>
          <w:spacing w:val="-9"/>
        </w:rPr>
        <w:t>从事的关联交易时，基金托管人应及时提醒并协助基金管理人采取必要措施阻止该关联交易 </w:t>
      </w:r>
      <w:r>
        <w:rPr>
          <w:spacing w:val="-11"/>
        </w:rPr>
        <w:t>的发生，若基金托管人采取必要措施后仍无法阻止关联交易发生时，基金托管人有权向中国 </w:t>
      </w:r>
      <w:r>
        <w:rPr>
          <w:spacing w:val="-13"/>
        </w:rPr>
        <w:t>证监会报告。对于交易所场内已成交的违规关联交易，基金托管人应按相关法律法规和交易 </w:t>
      </w:r>
      <w:r>
        <w:rPr>
          <w:spacing w:val="-15"/>
        </w:rPr>
        <w:t>所规则的规定进行结算，同时向中国证监会报告。如果基金托管人在运作中严格遵循了监督 </w:t>
      </w:r>
      <w:r>
        <w:rPr/>
        <w:t>流程，基金管理人仍违规进行关联交易，并造成基金资产损失的，由基金管理人承担责任。</w:t>
      </w:r>
    </w:p>
    <w:p>
      <w:pPr>
        <w:pStyle w:val="BodyText"/>
        <w:spacing w:line="266" w:lineRule="exact"/>
      </w:pPr>
      <w:r>
        <w:rPr/>
        <w:t>5、基金托管人对基金管理人选择存款银行进行监督。</w:t>
      </w:r>
    </w:p>
    <w:p>
      <w:pPr>
        <w:pStyle w:val="BodyText"/>
        <w:spacing w:line="364" w:lineRule="auto" w:before="135"/>
        <w:ind w:left="376" w:right="794" w:firstLine="420"/>
        <w:jc w:val="both"/>
      </w:pPr>
      <w:r>
        <w:rPr>
          <w:spacing w:val="-5"/>
        </w:rPr>
        <w:t>本基金投资银行存款的信用风险主要包括存款银行的信用等级、存款银行的支付能力等</w:t>
      </w:r>
      <w:r>
        <w:rPr>
          <w:spacing w:val="-6"/>
        </w:rPr>
        <w:t>涉及到存款银行选择方面的风险。基金投资银行存款的，其基金管理人应根据法律法规的规定及基金合同的约定，确定符合条件的所有存款银行的名单，并及时提供给基金托管人，基</w:t>
      </w:r>
      <w:r>
        <w:rPr>
          <w:spacing w:val="-4"/>
        </w:rPr>
        <w:t>金托管人应据以对基金投资银行存款的交易对手是否符合有关规定进行监督。本基金投资除提供的存款银行名单以外的银行存款出现由于存款银行信用风险而造成的损失时，先由基金</w:t>
      </w:r>
      <w:r>
        <w:rPr>
          <w:spacing w:val="-9"/>
        </w:rPr>
        <w:t>管理人负责赔偿，之后有权要求相关责任人进行赔偿，如果基金托管人在运作过程中遵循上</w:t>
      </w:r>
      <w:r>
        <w:rPr>
          <w:spacing w:val="-8"/>
        </w:rPr>
        <w:t>述监督流程，则对于由于存款银行信用风险引起的损失，不承担赔偿责任。基金管理人与基</w:t>
      </w:r>
      <w:r>
        <w:rPr/>
        <w:t>金托管人协商一致后，可以根据当时的市场情况对于存款银行名单进行调整。</w:t>
      </w:r>
    </w:p>
    <w:p>
      <w:pPr>
        <w:pStyle w:val="BodyText"/>
        <w:spacing w:line="265" w:lineRule="exact"/>
      </w:pPr>
      <w:r>
        <w:rPr/>
        <w:t>6、对法律法规规定及基金合同约定的基金投资的其他方面进行监督。</w:t>
      </w:r>
    </w:p>
    <w:p>
      <w:pPr>
        <w:pStyle w:val="BodyText"/>
        <w:spacing w:line="364" w:lineRule="auto" w:before="140"/>
        <w:ind w:left="376" w:right="794" w:firstLine="420"/>
        <w:jc w:val="both"/>
      </w:pPr>
      <w:r>
        <w:rPr>
          <w:spacing w:val="-4"/>
        </w:rPr>
        <w:t>基金托管人发现基金管理人依据交易程序已经生效的投资指令违反法律、行政法规和其</w:t>
      </w:r>
      <w:r>
        <w:rPr>
          <w:spacing w:val="-9"/>
        </w:rPr>
        <w:t>他有关规定，或者违反基金合同约定的，应当立即通知基金管理人，并及时向国务院证券监</w:t>
      </w:r>
      <w:r>
        <w:rPr/>
        <w:t>督管理机构报告。</w:t>
      </w:r>
    </w:p>
    <w:p>
      <w:pPr>
        <w:pStyle w:val="BodyText"/>
        <w:spacing w:line="364" w:lineRule="auto"/>
        <w:ind w:left="376" w:right="794" w:firstLine="420"/>
        <w:jc w:val="both"/>
      </w:pPr>
      <w:r>
        <w:rPr/>
        <w:t>（二</w:t>
      </w:r>
      <w:r>
        <w:rPr>
          <w:spacing w:val="-23"/>
        </w:rPr>
        <w:t>）</w:t>
      </w:r>
      <w:r>
        <w:rPr>
          <w:spacing w:val="-5"/>
        </w:rPr>
        <w:t>基金托管人根据有关法律法规的规定及《基金合同》的约定，对基金资产净值计</w:t>
      </w:r>
      <w:r>
        <w:rPr>
          <w:spacing w:val="-10"/>
        </w:rPr>
        <w:t>算、各类基金份额净值计算、应收资金到账、基金费用开支及收入确定、基金收益分配、相</w:t>
      </w:r>
      <w:r>
        <w:rPr/>
        <w:t>关信息披露、基金宣传推介材料中登载基金业绩表现数据等进行监督和核查。</w:t>
      </w:r>
    </w:p>
    <w:p>
      <w:pPr>
        <w:pStyle w:val="BodyText"/>
        <w:spacing w:line="364" w:lineRule="auto"/>
        <w:ind w:left="376" w:right="794" w:firstLine="420"/>
        <w:jc w:val="both"/>
      </w:pPr>
      <w:r>
        <w:rPr/>
        <w:t>（三</w:t>
      </w:r>
      <w:r>
        <w:rPr>
          <w:spacing w:val="-88"/>
        </w:rPr>
        <w:t>）</w:t>
      </w:r>
      <w:r>
        <w:rPr>
          <w:spacing w:val="-1"/>
        </w:rPr>
        <w:t>基金托管人发现基金管理人的上述事项及投资指令或实际投资运作中违反法律法</w:t>
      </w:r>
      <w:r>
        <w:rPr>
          <w:spacing w:val="-11"/>
        </w:rPr>
        <w:t>规、《基金合同》及本协议的规定，应拒绝执行，及时以书面或电话或双方认可的其他方式</w:t>
      </w:r>
      <w:r>
        <w:rPr>
          <w:spacing w:val="-15"/>
        </w:rPr>
        <w:t>通知基金管理人限期纠正。基金管理人收到通知后应及时进行核对确认并回函。在上述规定</w:t>
      </w:r>
    </w:p>
    <w:p>
      <w:pPr>
        <w:spacing w:after="0" w:line="364" w:lineRule="auto"/>
        <w:jc w:val="both"/>
        <w:sectPr>
          <w:pgSz w:w="11910" w:h="16840"/>
          <w:pgMar w:header="0" w:footer="1118" w:top="1380" w:bottom="1380" w:left="1420" w:right="1000"/>
        </w:sectPr>
      </w:pPr>
    </w:p>
    <w:p>
      <w:pPr>
        <w:pStyle w:val="BodyText"/>
        <w:spacing w:line="364" w:lineRule="auto" w:before="45"/>
        <w:ind w:left="376" w:right="794"/>
      </w:pPr>
      <w:r>
        <w:rPr>
          <w:spacing w:val="-10"/>
        </w:rPr>
        <w:t>期限内，基金托管人有权对通知事项进行复查，如基金管理人未予纠正，基金托管人应报告</w:t>
      </w:r>
      <w:r>
        <w:rPr/>
        <w:t>监管部门。</w:t>
      </w:r>
    </w:p>
    <w:p>
      <w:pPr>
        <w:pStyle w:val="BodyText"/>
        <w:spacing w:line="364" w:lineRule="auto"/>
        <w:ind w:left="376" w:right="794" w:firstLine="420"/>
        <w:jc w:val="both"/>
      </w:pPr>
      <w:r>
        <w:rPr/>
        <w:t>（四</w:t>
      </w:r>
      <w:r>
        <w:rPr>
          <w:spacing w:val="-45"/>
        </w:rPr>
        <w:t>）</w:t>
      </w:r>
      <w:r>
        <w:rPr>
          <w:spacing w:val="-3"/>
        </w:rPr>
        <w:t>基金管理人应积极配合和协助基金托管人的监督和核查，包括但不限于在规定时</w:t>
      </w:r>
      <w:r>
        <w:rPr>
          <w:spacing w:val="-7"/>
        </w:rPr>
        <w:t>间内答复基金托管人并改正，就基金托管人的疑义进行解释或举证，对基金托管人按照法规</w:t>
      </w:r>
      <w:r>
        <w:rPr>
          <w:spacing w:val="-6"/>
        </w:rPr>
        <w:t>要求需向中国证监会报送基金监督报告的事项，基金管理人应积极配合提供相关数据资料和</w:t>
      </w:r>
      <w:r>
        <w:rPr/>
        <w:t>制度等。</w:t>
      </w:r>
    </w:p>
    <w:p>
      <w:pPr>
        <w:pStyle w:val="BodyText"/>
        <w:spacing w:line="364" w:lineRule="auto"/>
        <w:ind w:left="376" w:right="794" w:firstLine="420"/>
        <w:jc w:val="both"/>
      </w:pPr>
      <w:r>
        <w:rPr/>
        <w:t>（五</w:t>
      </w:r>
      <w:r>
        <w:rPr>
          <w:spacing w:val="-30"/>
        </w:rPr>
        <w:t>）</w:t>
      </w:r>
      <w:r>
        <w:rPr>
          <w:spacing w:val="-4"/>
        </w:rPr>
        <w:t>基金托管人发现基金管理人有重大违规行为，应及时报告中国证监会，同时通知</w:t>
      </w:r>
      <w:r>
        <w:rPr>
          <w:spacing w:val="-7"/>
        </w:rPr>
        <w:t>基金管理人限期纠正，并将纠正结果报告中国证监会。基金管理人无正当理由，拒绝、阻挠</w:t>
      </w:r>
      <w:r>
        <w:rPr>
          <w:spacing w:val="-6"/>
        </w:rPr>
        <w:t>托管人根据本协议规定行使监督权，或采取拖延、欺诈等手段妨碍托管人进行有效监督，情</w:t>
      </w:r>
      <w:r>
        <w:rPr/>
        <w:t>节严重或经基金托管人通知后仍不改正的，基金托管人应报告中国证监会。</w:t>
      </w:r>
    </w:p>
    <w:p>
      <w:pPr>
        <w:pStyle w:val="Heading2"/>
        <w:tabs>
          <w:tab w:pos="1216" w:val="left" w:leader="none"/>
        </w:tabs>
        <w:spacing w:line="358" w:lineRule="exact"/>
      </w:pPr>
      <w:bookmarkStart w:name="_bookmark113" w:id="114"/>
      <w:bookmarkEnd w:id="114"/>
      <w:r>
        <w:rPr/>
      </w:r>
      <w:r>
        <w:rPr/>
        <w:t>四、</w:t>
        <w:tab/>
        <w:t>基金管理人对基金托管人的业务核查</w:t>
      </w:r>
    </w:p>
    <w:p>
      <w:pPr>
        <w:pStyle w:val="BodyText"/>
        <w:spacing w:line="364" w:lineRule="auto" w:before="182"/>
        <w:ind w:left="376" w:right="794" w:firstLine="420"/>
        <w:jc w:val="both"/>
      </w:pPr>
      <w:r>
        <w:rPr/>
        <w:t>（一</w:t>
      </w:r>
      <w:r>
        <w:rPr>
          <w:spacing w:val="-45"/>
        </w:rPr>
        <w:t>）</w:t>
      </w:r>
      <w:r>
        <w:rPr>
          <w:spacing w:val="-3"/>
        </w:rPr>
        <w:t>基金管理人对基金托管人履行托管职责情况进行核查，核查事项包括但不限于基</w:t>
      </w:r>
      <w:r>
        <w:rPr>
          <w:spacing w:val="-7"/>
        </w:rPr>
        <w:t>金托管人安全保管基金财产、开设基金财产的资金账户和证券账户、复核基金管理人或其委</w:t>
      </w:r>
      <w:r>
        <w:rPr>
          <w:spacing w:val="-5"/>
        </w:rPr>
        <w:t>托的第三方计算的基金资产净值和各类基金份额净值、根据基金管理人或其授权人的投资指</w:t>
      </w:r>
      <w:r>
        <w:rPr/>
        <w:t>令办理清算交收、相关信息披露和监督基金投资运作等行为。</w:t>
      </w:r>
    </w:p>
    <w:p>
      <w:pPr>
        <w:pStyle w:val="BodyText"/>
        <w:spacing w:line="364" w:lineRule="auto"/>
        <w:ind w:left="376" w:right="690" w:firstLine="420"/>
      </w:pPr>
      <w:r>
        <w:rPr/>
        <w:t>（二）基金管理人发现基金托管人擅自挪用基金财产、未对基金财产实行分账管理、未执行或无故延迟执行基金管理人或其授权人的指令、泄露基金投资信息等违反《基金法》、</w:t>
      </w:r>
    </w:p>
    <w:p>
      <w:pPr>
        <w:pStyle w:val="BodyText"/>
        <w:spacing w:line="364" w:lineRule="auto"/>
        <w:ind w:left="376" w:right="794"/>
        <w:jc w:val="both"/>
      </w:pPr>
      <w:r>
        <w:rPr>
          <w:spacing w:val="-11"/>
        </w:rPr>
        <w:t>《试行办法》、基金合同、本托管协议及其他有关规定时，应及时以书面形式通知基金托管</w:t>
      </w:r>
      <w:r>
        <w:rPr>
          <w:spacing w:val="-13"/>
        </w:rPr>
        <w:t>人限期纠正。基金托管人收到通知后，应立即对提示内容予以确认，如无异议，应在基金管</w:t>
      </w:r>
      <w:r>
        <w:rPr>
          <w:spacing w:val="-7"/>
        </w:rPr>
        <w:t>理人给定的合理期限内改进，如有异议，应作出书面解释。在限期内，基金管理人有权随时</w:t>
      </w:r>
      <w:r>
        <w:rPr>
          <w:spacing w:val="-8"/>
        </w:rPr>
        <w:t>对通知事项进行复查，督促基金托管人改正。基金托管人对基金管理人通知的违规事项未能</w:t>
      </w:r>
      <w:r>
        <w:rPr/>
        <w:t>在限期内纠正的，基金管理人应报告中国证监会。</w:t>
      </w:r>
    </w:p>
    <w:p>
      <w:pPr>
        <w:pStyle w:val="BodyText"/>
        <w:spacing w:line="364" w:lineRule="auto"/>
        <w:ind w:left="376" w:right="714" w:firstLine="420"/>
      </w:pPr>
      <w:r>
        <w:rPr/>
        <w:t>（三）基金托管人应积极配合基金管理人的核查行为，包括但不限于：提交相关资料以供基金管理人核查托管财产的完整性和真实性，在规定时间内答复基金管理人并改正。</w:t>
      </w:r>
    </w:p>
    <w:p>
      <w:pPr>
        <w:pStyle w:val="Heading2"/>
        <w:jc w:val="both"/>
      </w:pPr>
      <w:bookmarkStart w:name="_bookmark114" w:id="115"/>
      <w:bookmarkEnd w:id="115"/>
      <w:r>
        <w:rPr/>
      </w:r>
      <w:r>
        <w:rPr/>
        <w:t>五、  基金财产的保管</w:t>
      </w:r>
    </w:p>
    <w:p>
      <w:pPr>
        <w:pStyle w:val="BodyText"/>
        <w:spacing w:before="180"/>
      </w:pPr>
      <w:r>
        <w:rPr/>
        <w:t>（一）基金财产保管的原则</w:t>
      </w:r>
    </w:p>
    <w:p>
      <w:pPr>
        <w:pStyle w:val="BodyText"/>
        <w:spacing w:before="139"/>
      </w:pPr>
      <w:r>
        <w:rPr/>
        <w:t>1、基金财产应独立于基金管理人、基金托管人的固有财产。</w:t>
      </w:r>
    </w:p>
    <w:p>
      <w:pPr>
        <w:pStyle w:val="BodyText"/>
        <w:spacing w:line="364" w:lineRule="auto" w:before="140"/>
        <w:ind w:left="376" w:right="794" w:firstLine="420"/>
        <w:jc w:val="both"/>
      </w:pPr>
      <w:r>
        <w:rPr/>
        <w:t>2、基金托管人应并确保境外托管人应安全保管基金财产，未经基金管理人的合法合规</w:t>
      </w:r>
      <w:r>
        <w:rPr>
          <w:spacing w:val="-7"/>
        </w:rPr>
        <w:t>指令或法律法规、基金合同及本托管协议另有规定，不得自行运用、处分、分配基金的任何</w:t>
      </w:r>
      <w:r>
        <w:rPr/>
        <w:t>财产。</w:t>
      </w:r>
    </w:p>
    <w:p>
      <w:pPr>
        <w:pStyle w:val="BodyText"/>
        <w:spacing w:line="268" w:lineRule="exact"/>
      </w:pPr>
      <w:r>
        <w:rPr/>
        <w:t>3、基金托管人应按照规定开立或变更基金财产的资金账户和证券账户。</w:t>
      </w:r>
    </w:p>
    <w:p>
      <w:pPr>
        <w:pStyle w:val="BodyText"/>
        <w:spacing w:line="364" w:lineRule="auto" w:before="139"/>
        <w:ind w:left="376" w:right="795" w:firstLine="420"/>
      </w:pPr>
      <w:r>
        <w:rPr/>
        <w:t>4、基金托管人应并确保境外托管人应对所托管的不同基金财产分别设置账户，确保基金财产的完整与独立。</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jc w:val="both"/>
      </w:pPr>
      <w:r>
        <w:rPr/>
        <w:t>5、基金托管人根据基金管理人或境外投资顾问(根据基金管理人的通知)的指令，按照</w:t>
      </w:r>
      <w:r>
        <w:rPr>
          <w:spacing w:val="-6"/>
        </w:rPr>
        <w:t>基金合同和本协议的约定保管基金财产，如有特殊情况基金管理人和基金托管人可另行协商</w:t>
      </w:r>
      <w:r>
        <w:rPr/>
        <w:t>解决。</w:t>
      </w:r>
    </w:p>
    <w:p>
      <w:pPr>
        <w:pStyle w:val="BodyText"/>
        <w:spacing w:line="364" w:lineRule="auto"/>
        <w:ind w:left="376" w:right="794" w:firstLine="420"/>
        <w:jc w:val="both"/>
      </w:pPr>
      <w:r>
        <w:rPr/>
        <w:t>6、除非依据有关法律法规规定和本协议约定外，基金托管人及其境外托管人不得利用</w:t>
      </w:r>
      <w:r>
        <w:rPr>
          <w:spacing w:val="-6"/>
        </w:rPr>
        <w:t>基金财产为自己或第三方谋取利益，违反此义务所得收益归于基金财产，由此造成直接损失</w:t>
      </w:r>
      <w:r>
        <w:rPr>
          <w:spacing w:val="-8"/>
        </w:rPr>
        <w:t>由基金托管人承担，该等责任包括但不限于恢复基金资产的原状、承担因此所引起的直接损</w:t>
      </w:r>
      <w:r>
        <w:rPr/>
        <w:t>失的赔偿责任；</w:t>
      </w:r>
    </w:p>
    <w:p>
      <w:pPr>
        <w:pStyle w:val="BodyText"/>
        <w:spacing w:line="364" w:lineRule="auto"/>
        <w:ind w:left="376" w:right="795" w:firstLine="420"/>
      </w:pPr>
      <w:r>
        <w:rPr/>
        <w:t>7、除非根据基金管理人书面同意，基金托管人不得在任何托管资产上设立任何担保权利，包括但不限于抵押、质押、留置等。</w:t>
      </w:r>
    </w:p>
    <w:p>
      <w:pPr>
        <w:pStyle w:val="BodyText"/>
        <w:spacing w:line="364" w:lineRule="auto"/>
        <w:ind w:left="376" w:right="794" w:firstLine="420"/>
        <w:jc w:val="both"/>
      </w:pPr>
      <w:r>
        <w:rPr/>
        <w:t>8、对于因为基金管理人进行本协议项下基金投资交易产生的应收资产，应由基金管理</w:t>
      </w:r>
      <w:r>
        <w:rPr>
          <w:spacing w:val="-6"/>
        </w:rPr>
        <w:t>人负责与有关当事人确定到帐日期，并通知基金托管人。到账日基金财产没有到达基金账户</w:t>
      </w:r>
      <w:r>
        <w:rPr>
          <w:spacing w:val="-10"/>
        </w:rPr>
        <w:t>的，基金托管人应及时通知基金管理人采取措施进行催收。如因基金投资交易产生的应收资产，由基金托管人作为资产持有人，基金托管人应负责与有关当事人确定到帐日，并通知基</w:t>
      </w:r>
      <w:r>
        <w:rPr/>
        <w:t>金管理人。</w:t>
      </w:r>
    </w:p>
    <w:p>
      <w:pPr>
        <w:pStyle w:val="BodyText"/>
        <w:spacing w:line="267" w:lineRule="exact"/>
      </w:pPr>
      <w:r>
        <w:rPr/>
        <w:t>（二）基金募集期间及募集资金的验资</w:t>
      </w:r>
    </w:p>
    <w:p>
      <w:pPr>
        <w:pStyle w:val="BodyText"/>
        <w:spacing w:line="364" w:lineRule="auto" w:before="135"/>
        <w:ind w:left="376" w:right="794" w:firstLine="420"/>
        <w:jc w:val="both"/>
      </w:pPr>
      <w:r>
        <w:rPr/>
        <w:t>1、基金募集期满或基金停止募集时，募集的基金份额总额、基金募集金额、基金份额</w:t>
      </w:r>
      <w:r>
        <w:rPr>
          <w:spacing w:val="-19"/>
        </w:rPr>
        <w:t>持有人人数符合《基金法》、《运作办法》等有关规定后，由基金管理人聘请具有从事证券业</w:t>
      </w:r>
      <w:r>
        <w:rPr>
          <w:spacing w:val="-7"/>
        </w:rPr>
        <w:t>务资格的会计师事务所进行验资，出具验资报告，出具的验资报告应由参加验资的 </w:t>
      </w:r>
      <w:r>
        <w:rPr/>
        <w:t>2</w:t>
      </w:r>
      <w:r>
        <w:rPr>
          <w:spacing w:val="-17"/>
        </w:rPr>
        <w:t> 名以上</w:t>
      </w:r>
    </w:p>
    <w:p>
      <w:pPr>
        <w:pStyle w:val="BodyText"/>
        <w:spacing w:line="268" w:lineRule="exact"/>
        <w:ind w:left="376"/>
        <w:jc w:val="both"/>
      </w:pPr>
      <w:r>
        <w:rPr/>
        <w:t>（含 2 名）中国注册会计师签字有效。</w:t>
      </w:r>
    </w:p>
    <w:p>
      <w:pPr>
        <w:pStyle w:val="BodyText"/>
        <w:spacing w:line="364" w:lineRule="auto" w:before="140"/>
        <w:ind w:left="376" w:right="795" w:firstLine="420"/>
      </w:pPr>
      <w:r>
        <w:rPr/>
        <w:t>2、验资完成，基金管理人应将募集的属于本基金财产的全部资金划入基金托管人为基金开立的资产托管专户中，基金托管人在收到资金当日出具确认文件。</w:t>
      </w:r>
    </w:p>
    <w:p>
      <w:pPr>
        <w:pStyle w:val="BodyText"/>
        <w:spacing w:line="364" w:lineRule="auto"/>
        <w:ind w:left="376" w:right="795" w:firstLine="420"/>
      </w:pPr>
      <w:r>
        <w:rPr/>
        <w:t>3、若基金募集期限届满，未能达到《基金合同》生效的条件，由基金管理人按规定办理退款事宜，基金托管人应提供充分协助。</w:t>
      </w:r>
    </w:p>
    <w:p>
      <w:pPr>
        <w:pStyle w:val="BodyText"/>
        <w:spacing w:line="268" w:lineRule="exact"/>
      </w:pPr>
      <w:r>
        <w:rPr/>
        <w:t>（三）资产保管的内容和约定事项：</w:t>
      </w:r>
    </w:p>
    <w:p>
      <w:pPr>
        <w:pStyle w:val="BodyText"/>
        <w:spacing w:line="364" w:lineRule="auto" w:before="138"/>
        <w:ind w:left="376" w:right="795" w:firstLine="420"/>
      </w:pPr>
      <w:r>
        <w:rPr>
          <w:spacing w:val="2"/>
        </w:rPr>
        <w:t>基金管理人同意现金帐户中的现金由基金托管人或其境外托管人以基金托管人或者境外托管人的银行身份持有，并确保基金为现金的实益所有人（beneficialowner</w:t>
      </w:r>
      <w:r>
        <w:rPr>
          <w:spacing w:val="-105"/>
        </w:rPr>
        <w:t>）</w:t>
      </w:r>
      <w:r>
        <w:rPr/>
        <w:t>。</w:t>
      </w:r>
    </w:p>
    <w:p>
      <w:pPr>
        <w:pStyle w:val="BodyText"/>
        <w:spacing w:line="364" w:lineRule="auto"/>
        <w:ind w:left="376" w:right="714" w:firstLine="420"/>
      </w:pPr>
      <w:r>
        <w:rPr/>
        <w:t>除非被授权人按照指令程序发送的指令另有规定，否则基金托管人和其境外托管人应在收到被授权人的指令后，按照下述方式收付现金、或收付证券：</w:t>
      </w:r>
    </w:p>
    <w:p>
      <w:pPr>
        <w:pStyle w:val="ListParagraph"/>
        <w:numPr>
          <w:ilvl w:val="0"/>
          <w:numId w:val="73"/>
        </w:numPr>
        <w:tabs>
          <w:tab w:pos="1323" w:val="left" w:leader="none"/>
        </w:tabs>
        <w:spacing w:line="268" w:lineRule="exact" w:before="0" w:after="0"/>
        <w:ind w:left="1323" w:right="0" w:hanging="527"/>
        <w:jc w:val="left"/>
        <w:rPr>
          <w:sz w:val="21"/>
        </w:rPr>
      </w:pPr>
      <w:r>
        <w:rPr>
          <w:sz w:val="21"/>
        </w:rPr>
        <w:t>按照交易发生的司法管辖区或市场的有关惯例和程序作出；或</w:t>
      </w:r>
    </w:p>
    <w:p>
      <w:pPr>
        <w:pStyle w:val="ListParagraph"/>
        <w:numPr>
          <w:ilvl w:val="0"/>
          <w:numId w:val="73"/>
        </w:numPr>
        <w:tabs>
          <w:tab w:pos="1324" w:val="left" w:leader="none"/>
        </w:tabs>
        <w:spacing w:line="364" w:lineRule="auto" w:before="139" w:after="0"/>
        <w:ind w:left="796" w:right="585" w:firstLine="0"/>
        <w:jc w:val="left"/>
        <w:rPr>
          <w:sz w:val="21"/>
        </w:rPr>
      </w:pPr>
      <w:r>
        <w:rPr>
          <w:sz w:val="21"/>
        </w:rPr>
        <w:t>就通过证券系统相关的买卖而言，按照管辖该系统运营的规则、条例和条件作出； </w:t>
      </w:r>
      <w:r>
        <w:rPr>
          <w:spacing w:val="-5"/>
          <w:sz w:val="21"/>
        </w:rPr>
        <w:t>基金托管人和其境外托管人应不时将该等惯例、程序、规则、条例和条件及时通知基金</w:t>
      </w:r>
    </w:p>
    <w:p>
      <w:pPr>
        <w:pStyle w:val="BodyText"/>
        <w:spacing w:line="268" w:lineRule="exact"/>
        <w:ind w:left="376"/>
      </w:pPr>
      <w:r>
        <w:rPr/>
        <w:t>管理人。</w:t>
      </w:r>
    </w:p>
    <w:p>
      <w:pPr>
        <w:pStyle w:val="BodyText"/>
        <w:spacing w:line="364" w:lineRule="auto" w:before="139"/>
        <w:ind w:left="376" w:right="794" w:firstLine="420"/>
      </w:pPr>
      <w:r>
        <w:rPr>
          <w:spacing w:val="-9"/>
        </w:rPr>
        <w:t>基金托管人在因依法解散、被依法撤销或者被依法宣告清盘或破产等原因进行终止清算</w:t>
      </w:r>
      <w:r>
        <w:rPr/>
        <w:t>时，不得将基金财产归入其清算财产。</w:t>
      </w:r>
    </w:p>
    <w:p>
      <w:pPr>
        <w:spacing w:after="0" w:line="364" w:lineRule="auto"/>
        <w:sectPr>
          <w:pgSz w:w="11910" w:h="16840"/>
          <w:pgMar w:header="0" w:footer="1118" w:top="1380" w:bottom="1380" w:left="1420" w:right="1000"/>
        </w:sectPr>
      </w:pPr>
    </w:p>
    <w:p>
      <w:pPr>
        <w:pStyle w:val="BodyText"/>
        <w:spacing w:line="364" w:lineRule="auto" w:before="45"/>
        <w:ind w:left="376" w:right="794" w:firstLine="420"/>
      </w:pPr>
      <w:r>
        <w:rPr>
          <w:spacing w:val="-8"/>
        </w:rPr>
        <w:t>基金托管人应自身，并确保其境外托管人建立安全的数据管理机制，安全完整地保存基</w:t>
      </w:r>
      <w:r>
        <w:rPr/>
        <w:t>金管理人与基金财产相关的业务数据和信息。</w:t>
      </w:r>
    </w:p>
    <w:p>
      <w:pPr>
        <w:pStyle w:val="BodyText"/>
        <w:spacing w:line="268" w:lineRule="exact"/>
      </w:pPr>
      <w:r>
        <w:rPr/>
        <w:t>（四）基金资金账户的开立和管理</w:t>
      </w:r>
    </w:p>
    <w:p>
      <w:pPr>
        <w:pStyle w:val="BodyText"/>
        <w:spacing w:line="364" w:lineRule="auto" w:before="139"/>
        <w:ind w:left="376" w:right="794" w:firstLine="420"/>
        <w:jc w:val="both"/>
      </w:pPr>
      <w:r>
        <w:rPr/>
        <w:t>1、基金托管人可以基金、基金托管人或其境外托管人的名义在其营业机构或其境外托</w:t>
      </w:r>
      <w:r>
        <w:rPr>
          <w:spacing w:val="-7"/>
        </w:rPr>
        <w:t>管人开立基金的资金账户，并根据基金管理人合法合规的指令办理资金收付。基金的银行预</w:t>
      </w:r>
      <w:r>
        <w:rPr/>
        <w:t>留印鉴由基金托管人或其境外托管人保管和使用。</w:t>
      </w:r>
    </w:p>
    <w:p>
      <w:pPr>
        <w:pStyle w:val="BodyText"/>
        <w:spacing w:line="364" w:lineRule="auto"/>
        <w:ind w:left="376" w:right="794" w:firstLine="420"/>
        <w:jc w:val="both"/>
      </w:pPr>
      <w:r>
        <w:rPr/>
        <w:t>2、基金资金账户的开立和使用，限于满足开展基金业务的需要。基金托管人、基金管</w:t>
      </w:r>
      <w:r>
        <w:rPr>
          <w:spacing w:val="-6"/>
        </w:rPr>
        <w:t>理人不得假借基金的名义开立任何其他银行账户；亦不得使用基金的任何账户进行基金业务</w:t>
      </w:r>
      <w:r>
        <w:rPr/>
        <w:t>以外的活动。</w:t>
      </w:r>
    </w:p>
    <w:p>
      <w:pPr>
        <w:pStyle w:val="BodyText"/>
        <w:spacing w:line="268" w:lineRule="exact"/>
      </w:pPr>
      <w:r>
        <w:rPr/>
        <w:t>3、基金资金账户的开立和管理应符合账户所在国家或地区相关监管机构的有关规定。</w:t>
      </w:r>
    </w:p>
    <w:p>
      <w:pPr>
        <w:pStyle w:val="BodyText"/>
        <w:spacing w:before="138"/>
      </w:pPr>
      <w:r>
        <w:rPr/>
        <w:t>（五）基金证券账户的开立和管理</w:t>
      </w:r>
    </w:p>
    <w:p>
      <w:pPr>
        <w:pStyle w:val="BodyText"/>
        <w:spacing w:line="364" w:lineRule="auto" w:before="140"/>
        <w:ind w:left="376" w:right="795" w:firstLine="420"/>
        <w:jc w:val="both"/>
      </w:pPr>
      <w:r>
        <w:rPr/>
        <w:t>1、基金托管人在基金所投资市场或证券交易所或登记结算机构，按照该交易所或登记结算机构的业务规则为基金开立基金托管人或其境外托管人名义或基金托管人与基金联名的证券账户。由基金托管人或其境外托管人负责办理与开立证券账户有关的手续。</w:t>
      </w:r>
    </w:p>
    <w:p>
      <w:pPr>
        <w:pStyle w:val="BodyText"/>
        <w:spacing w:line="364" w:lineRule="auto"/>
        <w:ind w:left="376" w:right="794" w:firstLine="420"/>
        <w:jc w:val="both"/>
      </w:pPr>
      <w:r>
        <w:rPr/>
        <w:t>2、基金证券账户的开立和使用，仅限于满足开展基金业务的需要。基金托管人和基金</w:t>
      </w:r>
      <w:r>
        <w:rPr>
          <w:spacing w:val="-5"/>
        </w:rPr>
        <w:t>管理人以及各自境外托管人均不得出借或未经基金管理人、基金托管人同意擅自转让基金的</w:t>
      </w:r>
      <w:r>
        <w:rPr/>
        <w:t>任何证券账户，亦不得使用基金的任何账户进行基金业务以外的活动。</w:t>
      </w:r>
    </w:p>
    <w:p>
      <w:pPr>
        <w:pStyle w:val="BodyText"/>
        <w:spacing w:line="364" w:lineRule="auto"/>
        <w:ind w:left="376" w:right="795" w:firstLine="420"/>
      </w:pPr>
      <w:r>
        <w:rPr/>
        <w:t>3、基金证券账户的开立和证券账户相关证明文件的保管由基金托管人负责，账户资产的管理和运用由基金管理人负责。</w:t>
      </w:r>
    </w:p>
    <w:p>
      <w:pPr>
        <w:pStyle w:val="BodyText"/>
        <w:spacing w:line="364" w:lineRule="auto"/>
        <w:ind w:left="376" w:right="585" w:firstLine="420"/>
      </w:pPr>
      <w:r>
        <w:rPr/>
        <w:t>4、基金管理人投资于符合法律法规、符合基金合同的其他非交易所市场的投资品种时， </w:t>
      </w:r>
      <w:r>
        <w:rPr>
          <w:spacing w:val="-7"/>
        </w:rPr>
        <w:t>在基金合同生效后，基金托管人根据投资所在市场以及国家或地区的相关规定，开立进行基 金的投资活动所需要的各类证券和结算账户。</w:t>
      </w:r>
    </w:p>
    <w:p>
      <w:pPr>
        <w:pStyle w:val="BodyText"/>
        <w:spacing w:line="268" w:lineRule="exact"/>
      </w:pPr>
      <w:r>
        <w:rPr/>
        <w:t>5、基金证券账户的开立和管理应符合账户所在国家或地区有关法律的规定。</w:t>
      </w:r>
    </w:p>
    <w:p>
      <w:pPr>
        <w:pStyle w:val="BodyText"/>
        <w:spacing w:before="136"/>
      </w:pPr>
      <w:r>
        <w:rPr/>
        <w:t>（六）其他账户的开立和管理</w:t>
      </w:r>
    </w:p>
    <w:p>
      <w:pPr>
        <w:pStyle w:val="BodyText"/>
        <w:spacing w:line="364" w:lineRule="auto" w:before="139"/>
        <w:ind w:left="376" w:right="795" w:firstLine="420"/>
      </w:pPr>
      <w:r>
        <w:rPr/>
        <w:t>1、因业务发展需要而开立的其他账户，可以根据投资市场所在国家或地区法律法规和基金合同的规定，由基金托管人负责开立。</w:t>
      </w:r>
    </w:p>
    <w:p>
      <w:pPr>
        <w:pStyle w:val="BodyText"/>
        <w:spacing w:line="364" w:lineRule="auto"/>
        <w:ind w:left="376" w:right="585" w:firstLine="420"/>
      </w:pPr>
      <w:r>
        <w:rPr/>
        <w:t>2、投资市场所在国家或地区法律法规等有关规定对相关账户的开立和管理另有规定的， 从其规定办理。</w:t>
      </w:r>
    </w:p>
    <w:p>
      <w:pPr>
        <w:pStyle w:val="BodyText"/>
        <w:spacing w:line="268" w:lineRule="exact"/>
      </w:pPr>
      <w:r>
        <w:rPr/>
        <w:t>（七）证券登记</w:t>
      </w:r>
    </w:p>
    <w:p>
      <w:pPr>
        <w:pStyle w:val="BodyText"/>
        <w:spacing w:before="138"/>
      </w:pPr>
      <w:r>
        <w:rPr/>
        <w:t>1、境外证券的注册登记方式应符合投资当地市场的有关法律、法规或市场惯例；</w:t>
      </w:r>
    </w:p>
    <w:p>
      <w:pPr>
        <w:pStyle w:val="BodyText"/>
        <w:spacing w:before="140"/>
      </w:pPr>
      <w:r>
        <w:rPr/>
        <w:t>2、基金托管人应该：</w:t>
      </w:r>
    </w:p>
    <w:p>
      <w:pPr>
        <w:pStyle w:val="ListParagraph"/>
        <w:numPr>
          <w:ilvl w:val="0"/>
          <w:numId w:val="74"/>
        </w:numPr>
        <w:tabs>
          <w:tab w:pos="1323" w:val="left" w:leader="none"/>
        </w:tabs>
        <w:spacing w:line="240" w:lineRule="auto" w:before="139" w:after="0"/>
        <w:ind w:left="1323" w:right="0" w:hanging="527"/>
        <w:jc w:val="left"/>
        <w:rPr>
          <w:sz w:val="21"/>
        </w:rPr>
      </w:pPr>
      <w:r>
        <w:rPr>
          <w:sz w:val="21"/>
        </w:rPr>
        <w:t>在其账目和记录中单独列记述与基金的证券；且，</w:t>
      </w:r>
    </w:p>
    <w:p>
      <w:pPr>
        <w:pStyle w:val="ListParagraph"/>
        <w:numPr>
          <w:ilvl w:val="0"/>
          <w:numId w:val="74"/>
        </w:numPr>
        <w:tabs>
          <w:tab w:pos="1324" w:val="left" w:leader="none"/>
        </w:tabs>
        <w:spacing w:line="364" w:lineRule="auto" w:before="140" w:after="0"/>
        <w:ind w:left="376" w:right="794" w:firstLine="420"/>
        <w:jc w:val="left"/>
        <w:rPr>
          <w:sz w:val="21"/>
        </w:rPr>
      </w:pPr>
      <w:r>
        <w:rPr>
          <w:sz w:val="21"/>
        </w:rPr>
        <w:t>要求和确保其境外托管人在其各自账目和记录中单独清楚列记这些证券不属于境</w:t>
      </w:r>
      <w:r>
        <w:rPr>
          <w:spacing w:val="-8"/>
          <w:sz w:val="21"/>
        </w:rPr>
        <w:t>外托管人资产，不论证券以何人的名义登记。而且，如果证券由基金托管人、境外托管人以</w:t>
      </w:r>
    </w:p>
    <w:p>
      <w:pPr>
        <w:spacing w:after="0" w:line="364" w:lineRule="auto"/>
        <w:jc w:val="left"/>
        <w:rPr>
          <w:sz w:val="21"/>
        </w:rPr>
        <w:sectPr>
          <w:pgSz w:w="11910" w:h="16840"/>
          <w:pgMar w:header="0" w:footer="1118" w:top="1380" w:bottom="1380" w:left="1420" w:right="1000"/>
        </w:sectPr>
      </w:pPr>
    </w:p>
    <w:p>
      <w:pPr>
        <w:pStyle w:val="BodyText"/>
        <w:spacing w:line="364" w:lineRule="auto" w:before="45"/>
        <w:ind w:left="376" w:right="794"/>
      </w:pPr>
      <w:r>
        <w:rPr>
          <w:spacing w:val="-10"/>
        </w:rPr>
        <w:t>无记名方式实际持有，其自身应当并应当要求和确保境外托管人将这些证券和基金托管人及</w:t>
      </w:r>
      <w:r>
        <w:rPr/>
        <w:t>其境外托管人自有的资产、任何其他人的资产分别独立存放。</w:t>
      </w:r>
    </w:p>
    <w:p>
      <w:pPr>
        <w:pStyle w:val="BodyText"/>
        <w:spacing w:line="364" w:lineRule="auto"/>
        <w:ind w:left="376" w:right="795" w:firstLine="420"/>
      </w:pPr>
      <w:r>
        <w:rPr/>
        <w:t>3、存放在证券系统的证券应按照基金管理人的指示为基金实益持有人之利益持有，但须遵守管辖该系统运营的规则、条例和条件；</w:t>
      </w:r>
    </w:p>
    <w:p>
      <w:pPr>
        <w:pStyle w:val="BodyText"/>
        <w:spacing w:line="364" w:lineRule="auto"/>
        <w:ind w:left="376" w:right="795" w:firstLine="420"/>
      </w:pPr>
      <w:r>
        <w:rPr/>
        <w:t>4、由基金托管人及其境外托管人为基金的利益而持有的证券（无记名证券和在证券系统持有的证券除外）应当按照本协议约定登记；</w:t>
      </w:r>
    </w:p>
    <w:p>
      <w:pPr>
        <w:pStyle w:val="BodyText"/>
        <w:spacing w:line="364" w:lineRule="auto"/>
        <w:ind w:left="376" w:right="794" w:firstLine="420"/>
        <w:jc w:val="both"/>
      </w:pPr>
      <w:r>
        <w:rPr/>
        <w:t>5、基金托管人及其境外托管人应就其为基金的利益而持有证券的市场有关证券登记方</w:t>
      </w:r>
      <w:r>
        <w:rPr>
          <w:spacing w:val="-8"/>
        </w:rPr>
        <w:t>式的重大变化通知基金管理人，并应基金管理人要求将这些市场发生的事件或管理变化通知</w:t>
      </w:r>
      <w:r>
        <w:rPr>
          <w:spacing w:val="-10"/>
        </w:rPr>
        <w:t>基金管理人。若基金管理人要求改变协议约定的证券登记方式，基金托管人及其委托之境外</w:t>
      </w:r>
      <w:r>
        <w:rPr/>
        <w:t>托管人应就此予以充分配合。</w:t>
      </w:r>
    </w:p>
    <w:p>
      <w:pPr>
        <w:pStyle w:val="BodyText"/>
        <w:spacing w:line="267" w:lineRule="exact"/>
      </w:pPr>
      <w:r>
        <w:rPr/>
        <w:t>（八）基金财产投资的有关有价凭证等的保管</w:t>
      </w:r>
    </w:p>
    <w:p>
      <w:pPr>
        <w:pStyle w:val="BodyText"/>
        <w:spacing w:line="364" w:lineRule="auto" w:before="137"/>
        <w:ind w:left="376" w:right="689" w:firstLine="420"/>
      </w:pPr>
      <w:r>
        <w:rPr>
          <w:spacing w:val="-7"/>
        </w:rPr>
        <w:t>基金财产投资的有关实物证券、银行定期存款存单等有价凭证由基金托管人存放于基金</w:t>
      </w:r>
      <w:r>
        <w:rPr>
          <w:spacing w:val="-12"/>
        </w:rPr>
        <w:t>托管人及其境外托管人的保管库。实物证券的购买和转让，由基金托管人根据基金管理人的</w:t>
      </w:r>
      <w:r>
        <w:rPr>
          <w:spacing w:val="-16"/>
        </w:rPr>
        <w:t>指令办理。属于基金托管人实际有效控制下的实物证券在基金托管人保管期间的损坏、灭失， </w:t>
      </w:r>
      <w:r>
        <w:rPr>
          <w:spacing w:val="-6"/>
        </w:rPr>
        <w:t>由此产生的责任应由基金托管人承担。基金托管人对基金托管人及其境外托管人以外的第三方实际有效控制的证券不承担保管责任。</w:t>
      </w:r>
    </w:p>
    <w:p>
      <w:pPr>
        <w:pStyle w:val="BodyText"/>
        <w:spacing w:line="267" w:lineRule="exact"/>
      </w:pPr>
      <w:r>
        <w:rPr/>
        <w:t>（九）与基金财产有关的重大合同的保管</w:t>
      </w:r>
    </w:p>
    <w:p>
      <w:pPr>
        <w:pStyle w:val="BodyText"/>
        <w:spacing w:before="139"/>
      </w:pPr>
      <w:r>
        <w:rPr/>
        <w:t>基金管理人应及时向基金托管人提供涉及基金财产投资运作的书面协议的副本。</w:t>
      </w:r>
    </w:p>
    <w:p>
      <w:pPr>
        <w:pStyle w:val="BodyText"/>
        <w:spacing w:line="364" w:lineRule="auto" w:before="139"/>
        <w:ind w:left="376" w:right="794" w:firstLine="420"/>
        <w:jc w:val="both"/>
      </w:pPr>
      <w:r>
        <w:rPr>
          <w:spacing w:val="-4"/>
        </w:rPr>
        <w:t>由基金管理人代表基金签署的与基金有关的重大合同的原件分别应由基金托管人、基金</w:t>
      </w:r>
      <w:r>
        <w:rPr>
          <w:spacing w:val="-11"/>
        </w:rPr>
        <w:t>管理人保管。除本协议另有规定外，基金管理人在代表基金签署与基金有关的重大合同时应</w:t>
      </w:r>
      <w:r>
        <w:rPr>
          <w:spacing w:val="-7"/>
        </w:rPr>
        <w:t>保证基金一方持有两份以上的正本，以便基金管理人和基金托管人至少各持有一份正本的原</w:t>
      </w:r>
      <w:r>
        <w:rPr>
          <w:spacing w:val="-10"/>
        </w:rPr>
        <w:t>件。合同原件应存放于基金管理人和基金托管人各自文件保管部门，保存时间应符合相关法</w:t>
      </w:r>
      <w:r>
        <w:rPr/>
        <w:t>律、法规要求。</w:t>
      </w:r>
    </w:p>
    <w:p>
      <w:pPr>
        <w:pStyle w:val="Heading2"/>
        <w:tabs>
          <w:tab w:pos="1216" w:val="left" w:leader="none"/>
        </w:tabs>
        <w:spacing w:line="357" w:lineRule="exact"/>
      </w:pPr>
      <w:bookmarkStart w:name="_bookmark115" w:id="116"/>
      <w:bookmarkEnd w:id="116"/>
      <w:r>
        <w:rPr/>
      </w:r>
      <w:r>
        <w:rPr/>
        <w:t>六、</w:t>
        <w:tab/>
        <w:t>基金资产净值计算和会计核算</w:t>
      </w:r>
    </w:p>
    <w:p>
      <w:pPr>
        <w:pStyle w:val="BodyText"/>
        <w:spacing w:before="185"/>
      </w:pPr>
      <w:r>
        <w:rPr/>
        <w:t>（一）基金资产净值的计算和复核</w:t>
      </w:r>
    </w:p>
    <w:p>
      <w:pPr>
        <w:pStyle w:val="BodyText"/>
        <w:spacing w:before="140"/>
      </w:pPr>
      <w:r>
        <w:rPr/>
        <w:t>1、基金资产净值</w:t>
      </w:r>
    </w:p>
    <w:p>
      <w:pPr>
        <w:pStyle w:val="BodyText"/>
        <w:spacing w:line="364" w:lineRule="auto" w:before="139"/>
        <w:ind w:left="376" w:right="654" w:firstLine="420"/>
      </w:pPr>
      <w:r>
        <w:rPr/>
        <w:t>A</w:t>
      </w:r>
      <w:r>
        <w:rPr>
          <w:spacing w:val="-6"/>
        </w:rPr>
        <w:t> 类人民币基金份额的基金份额净值指以估值日</w:t>
      </w:r>
      <w:r>
        <w:rPr/>
        <w:t>A</w:t>
      </w:r>
      <w:r>
        <w:rPr>
          <w:spacing w:val="-4"/>
        </w:rPr>
        <w:t> 类基金资产净值除以估值日</w:t>
      </w:r>
      <w:r>
        <w:rPr/>
        <w:t>A</w:t>
      </w:r>
      <w:r>
        <w:rPr>
          <w:spacing w:val="-15"/>
        </w:rPr>
        <w:t> 类基金</w:t>
      </w:r>
      <w:r>
        <w:rPr>
          <w:spacing w:val="-21"/>
        </w:rPr>
        <w:t>份额余额后得出的单位基金份额的价值，估值日 </w:t>
      </w:r>
      <w:r>
        <w:rPr/>
        <w:t>A</w:t>
      </w:r>
      <w:r>
        <w:rPr>
          <w:spacing w:val="-12"/>
        </w:rPr>
        <w:t> 类基金份额余额为估值日 </w:t>
      </w:r>
      <w:r>
        <w:rPr/>
        <w:t>A</w:t>
      </w:r>
      <w:r>
        <w:rPr>
          <w:spacing w:val="-9"/>
        </w:rPr>
        <w:t> 类各币种基金</w:t>
      </w:r>
      <w:r>
        <w:rPr>
          <w:spacing w:val="-11"/>
        </w:rPr>
        <w:t>份额余额的合计数；</w:t>
      </w:r>
      <w:r>
        <w:rPr>
          <w:spacing w:val="-9"/>
        </w:rPr>
        <w:t>A</w:t>
      </w:r>
      <w:r>
        <w:rPr>
          <w:spacing w:val="-11"/>
        </w:rPr>
        <w:t> 类美元基金份额的基金份额净值以 </w:t>
      </w:r>
      <w:r>
        <w:rPr/>
        <w:t>A</w:t>
      </w:r>
      <w:r>
        <w:rPr>
          <w:spacing w:val="-8"/>
        </w:rPr>
        <w:t> 类人民币基金份额的基金份额净</w:t>
      </w:r>
      <w:r>
        <w:rPr>
          <w:spacing w:val="-9"/>
        </w:rPr>
        <w:t>值为基础，按照估值日的估值汇率进行折算；C</w:t>
      </w:r>
      <w:r>
        <w:rPr>
          <w:spacing w:val="-8"/>
        </w:rPr>
        <w:t> 类人民币基金份额的基金份额净值指以估值</w:t>
      </w:r>
      <w:r>
        <w:rPr>
          <w:spacing w:val="26"/>
        </w:rPr>
        <w:t>日</w:t>
      </w:r>
      <w:r>
        <w:rPr/>
        <w:t>C</w:t>
      </w:r>
      <w:r>
        <w:rPr>
          <w:spacing w:val="-8"/>
        </w:rPr>
        <w:t> 类基金份额的基金资产净值除以估值日</w:t>
      </w:r>
      <w:r>
        <w:rPr/>
        <w:t>C</w:t>
      </w:r>
      <w:r>
        <w:rPr>
          <w:spacing w:val="-14"/>
        </w:rPr>
        <w:t> 类基金份额余额后得出的单位基金份额的价值； 估值日 </w:t>
      </w:r>
      <w:r>
        <w:rPr/>
        <w:t>C</w:t>
      </w:r>
      <w:r>
        <w:rPr>
          <w:spacing w:val="-12"/>
        </w:rPr>
        <w:t> 类基金份额余额为估值日 </w:t>
      </w:r>
      <w:r>
        <w:rPr/>
        <w:t>C</w:t>
      </w:r>
      <w:r>
        <w:rPr>
          <w:spacing w:val="-9"/>
        </w:rPr>
        <w:t> 类各币种基金份额余额的合计数；C</w:t>
      </w:r>
      <w:r>
        <w:rPr>
          <w:spacing w:val="-8"/>
        </w:rPr>
        <w:t> 类美元基金份额的</w:t>
      </w:r>
      <w:r>
        <w:rPr>
          <w:spacing w:val="-14"/>
        </w:rPr>
        <w:t>基金份额净值以 </w:t>
      </w:r>
      <w:r>
        <w:rPr/>
        <w:t>C</w:t>
      </w:r>
      <w:r>
        <w:rPr>
          <w:spacing w:val="-12"/>
        </w:rPr>
        <w:t> 类人民币基金份额的基金份额净值为基础，按照估值日的估值汇率进行折</w:t>
      </w:r>
      <w:r>
        <w:rPr>
          <w:spacing w:val="-11"/>
        </w:rPr>
        <w:t>算。人民币基金份额的基金份额净值精确到 </w:t>
      </w:r>
      <w:r>
        <w:rPr/>
        <w:t>0.001</w:t>
      </w:r>
      <w:r>
        <w:rPr>
          <w:spacing w:val="-11"/>
        </w:rPr>
        <w:t> 元，美元现汇基金份额的基金份额净值精</w:t>
      </w:r>
    </w:p>
    <w:p>
      <w:pPr>
        <w:spacing w:after="0" w:line="364" w:lineRule="auto"/>
        <w:sectPr>
          <w:pgSz w:w="11910" w:h="16840"/>
          <w:pgMar w:header="0" w:footer="1118" w:top="1380" w:bottom="1380" w:left="1420" w:right="1000"/>
        </w:sectPr>
      </w:pPr>
    </w:p>
    <w:p>
      <w:pPr>
        <w:pStyle w:val="BodyText"/>
        <w:spacing w:before="45"/>
        <w:ind w:left="376"/>
      </w:pPr>
      <w:r>
        <w:rPr/>
        <w:t>确到 0.001 美元，小数点后第 4 位四舍五入，国家另有规定的，从其规定。</w:t>
      </w:r>
    </w:p>
    <w:p>
      <w:pPr>
        <w:pStyle w:val="BodyText"/>
        <w:spacing w:line="364" w:lineRule="auto" w:before="139"/>
        <w:ind w:left="376" w:right="794" w:firstLine="420"/>
      </w:pPr>
      <w:r>
        <w:rPr>
          <w:spacing w:val="-5"/>
        </w:rPr>
        <w:t>基金管理人每个工作日计算前一估值日基金资产净值、基金份额净值，经基金托管人复</w:t>
      </w:r>
      <w:r>
        <w:rPr/>
        <w:t>核，按规定公告。</w:t>
      </w:r>
    </w:p>
    <w:p>
      <w:pPr>
        <w:pStyle w:val="BodyText"/>
        <w:spacing w:line="268" w:lineRule="exact"/>
      </w:pPr>
      <w:r>
        <w:rPr/>
        <w:t>2、复核程序</w:t>
      </w:r>
    </w:p>
    <w:p>
      <w:pPr>
        <w:pStyle w:val="BodyText"/>
        <w:spacing w:line="364" w:lineRule="auto" w:before="140"/>
        <w:ind w:left="376" w:right="794" w:firstLine="420"/>
        <w:jc w:val="both"/>
      </w:pPr>
      <w:r>
        <w:rPr>
          <w:spacing w:val="-4"/>
        </w:rPr>
        <w:t>基金管理人每个估值日对基金进行估值，估值原则应符合基金合同、《证券投资基金会</w:t>
      </w:r>
      <w:r>
        <w:rPr>
          <w:spacing w:val="-12"/>
        </w:rPr>
        <w:t>计核算办法》及其他法律法规的规定。基金管理人于每个估值日的约定时间之前将基金估值</w:t>
      </w:r>
      <w:r>
        <w:rPr>
          <w:spacing w:val="-10"/>
        </w:rPr>
        <w:t>结果报送基金托管人。基金托管人应在当日约定时间之前复核无误并将复核结果传送给基金</w:t>
      </w:r>
      <w:r>
        <w:rPr>
          <w:spacing w:val="-11"/>
        </w:rPr>
        <w:t>管理人，由基金管理人对外公布。月末、年中和年末估值复核与基金会计账目的核对同时进</w:t>
      </w:r>
      <w:r>
        <w:rPr/>
        <w:t>行。</w:t>
      </w:r>
    </w:p>
    <w:p>
      <w:pPr>
        <w:pStyle w:val="BodyText"/>
        <w:spacing w:line="364" w:lineRule="auto"/>
        <w:ind w:left="376" w:right="794" w:firstLine="420"/>
        <w:jc w:val="both"/>
      </w:pPr>
      <w:r>
        <w:rPr/>
        <w:t>3、在法律法规和中国证监会允许的情况下，基金管理人与基金托管人可以各自委托第</w:t>
      </w:r>
      <w:r>
        <w:rPr>
          <w:spacing w:val="-8"/>
        </w:rPr>
        <w:t>三方机构进行基金资产估值，但不改变基金管理人与基金托管人对基金资产估值各自承担的</w:t>
      </w:r>
      <w:r>
        <w:rPr/>
        <w:t>责任。</w:t>
      </w:r>
    </w:p>
    <w:p>
      <w:pPr>
        <w:pStyle w:val="BodyText"/>
        <w:spacing w:line="364" w:lineRule="auto"/>
        <w:ind w:left="376" w:right="795" w:firstLine="420"/>
      </w:pPr>
      <w:r>
        <w:rPr/>
        <w:t>4、当相关法律法规或基金合同规定的估值方法不能客观反映基金财产公允价值时，基金管理人可根据具体情况，并与基金托管人商定后，按最能反映公允价值的价格估值。</w:t>
      </w:r>
    </w:p>
    <w:p>
      <w:pPr>
        <w:pStyle w:val="BodyText"/>
        <w:spacing w:line="364" w:lineRule="auto"/>
        <w:ind w:left="376" w:right="585" w:firstLine="420"/>
      </w:pPr>
      <w:r>
        <w:rPr/>
        <w:t>5、基金管理人、基金托管人发现基金估值违反基金合同订明的估值方法、程序以及相 关法律法规的规定或者未能充分维护基金份额持有人利益时，双方应及时进行协商和纠正。</w:t>
      </w:r>
    </w:p>
    <w:p>
      <w:pPr>
        <w:pStyle w:val="BodyText"/>
        <w:spacing w:line="364" w:lineRule="auto"/>
        <w:ind w:left="376" w:right="585" w:firstLine="420"/>
      </w:pPr>
      <w:r>
        <w:rPr/>
        <w:t>6、基金管理人和基金托管人将采取必要、适当合理的措施确保基金资产估值的准确性、</w:t>
      </w:r>
      <w:r>
        <w:rPr>
          <w:spacing w:val="-8"/>
        </w:rPr>
        <w:t>及时性。当基金估值出现影响基金份额净值的错误时，基金管理人应当立即纠正，并采取合 理的措施防止损失进一步扩大；其中基金份额净值计算差错小于基金份额净值 </w:t>
      </w:r>
      <w:r>
        <w:rPr/>
        <w:t>0.5%时，基金</w:t>
      </w:r>
      <w:r>
        <w:rPr>
          <w:spacing w:val="-4"/>
        </w:rPr>
        <w:t>管理人与基金托管人应在发现日对账务进行更正调整，不做追溯处理；错误偏差达到基金 资</w:t>
      </w:r>
      <w:r>
        <w:rPr>
          <w:spacing w:val="2"/>
        </w:rPr>
        <w:t>产净值 </w:t>
      </w:r>
      <w:r>
        <w:rPr/>
        <w:t>0.5%时，基金管理人应当公告、通报基金托管人并报中国证监会备案。如法律法规或监管机关对前述内容另有规定的，按其规定处理。</w:t>
      </w:r>
    </w:p>
    <w:p>
      <w:pPr>
        <w:pStyle w:val="BodyText"/>
        <w:spacing w:line="364" w:lineRule="auto"/>
        <w:ind w:left="376" w:right="794" w:firstLine="420"/>
        <w:jc w:val="both"/>
      </w:pPr>
      <w:r>
        <w:rPr/>
        <w:t>7、由于基金管理人对外公布的任何基金净值数据错误，导致该基金财产或基金份额持</w:t>
      </w:r>
      <w:r>
        <w:rPr>
          <w:spacing w:val="-8"/>
        </w:rPr>
        <w:t>有人的实际损失，基金管理人应对此承担责任。若基金托管人计算的净值数据正确，则基金</w:t>
      </w:r>
      <w:r>
        <w:rPr>
          <w:spacing w:val="-9"/>
        </w:rPr>
        <w:t>托管人对该损失不承担责任；若基金托管人计算的净值数据也不正确，则基金托管人也应承</w:t>
      </w:r>
      <w:r>
        <w:rPr>
          <w:spacing w:val="-7"/>
        </w:rPr>
        <w:t>担部分未正确履行复核义务的责任。如果上述错误造成了基金财产或基金份额持有人的不当</w:t>
      </w:r>
      <w:r>
        <w:rPr>
          <w:spacing w:val="-10"/>
        </w:rPr>
        <w:t>得利，且基金管理人及基金托管人已各自承担了赔偿责任，则基金管理人应负责向不当得利</w:t>
      </w:r>
      <w:r>
        <w:rPr>
          <w:spacing w:val="-9"/>
        </w:rPr>
        <w:t>之主体主张返还不当得利。如果返还金额不足以弥补基金管理人和基金托管人已承担的赔偿</w:t>
      </w:r>
      <w:r>
        <w:rPr/>
        <w:t>金额，则双方按照各自赔偿金额的比例对返还金额进行分配。</w:t>
      </w:r>
    </w:p>
    <w:p>
      <w:pPr>
        <w:pStyle w:val="BodyText"/>
        <w:spacing w:line="364" w:lineRule="auto"/>
        <w:ind w:left="376" w:right="795" w:firstLine="420"/>
      </w:pPr>
      <w:r>
        <w:rPr/>
        <w:t>8、如果基金托管人的复核结果与基金管理人的计算结果存在差异，且双方经协商未能达成一致，基金管理人可以按照其对基金份额净值的计算结果对外予以公布。</w:t>
      </w:r>
    </w:p>
    <w:p>
      <w:pPr>
        <w:pStyle w:val="BodyText"/>
        <w:spacing w:line="268" w:lineRule="exact"/>
      </w:pPr>
      <w:r>
        <w:rPr/>
        <w:t>（二）暂停估值的情形：</w:t>
      </w:r>
    </w:p>
    <w:p>
      <w:pPr>
        <w:pStyle w:val="BodyText"/>
        <w:spacing w:line="364" w:lineRule="auto" w:before="127"/>
        <w:ind w:left="376" w:right="795" w:firstLine="420"/>
      </w:pPr>
      <w:r>
        <w:rPr/>
        <w:t>1、基金投资所涉及的境外投资主要市场或外汇市场遇法定节假日或因其他原因停市或休市时；</w:t>
      </w:r>
    </w:p>
    <w:p>
      <w:pPr>
        <w:spacing w:after="0" w:line="364" w:lineRule="auto"/>
        <w:sectPr>
          <w:pgSz w:w="11910" w:h="16840"/>
          <w:pgMar w:header="0" w:footer="1118" w:top="1380" w:bottom="1380" w:left="1420" w:right="1000"/>
        </w:sectPr>
      </w:pPr>
    </w:p>
    <w:p>
      <w:pPr>
        <w:pStyle w:val="BodyText"/>
        <w:spacing w:before="45"/>
      </w:pPr>
      <w:r>
        <w:rPr/>
        <w:t>2、因不可抗力或其他情形致使基金管理人、基金托管人无法准确评估基金资产价值时；</w:t>
      </w:r>
    </w:p>
    <w:p>
      <w:pPr>
        <w:pStyle w:val="BodyText"/>
        <w:spacing w:line="364" w:lineRule="auto" w:before="139"/>
        <w:ind w:left="376" w:right="795" w:firstLine="420"/>
      </w:pPr>
      <w:r>
        <w:rPr/>
        <w:t>3、占基金相当比例的投资品种的估值出现重大转变，而基金管理人为保障基金份额持有人的利益，已决定延迟估值；</w:t>
      </w:r>
    </w:p>
    <w:p>
      <w:pPr>
        <w:pStyle w:val="BodyText"/>
        <w:spacing w:line="364" w:lineRule="auto"/>
        <w:ind w:left="376" w:right="795" w:firstLine="420"/>
      </w:pPr>
      <w:r>
        <w:rPr/>
        <w:t>4、如果出现基金管理人认为属于紧急事故的任何情况，导致基金管理人不能出售或评估基金资产时；</w:t>
      </w:r>
    </w:p>
    <w:p>
      <w:pPr>
        <w:pStyle w:val="BodyText"/>
        <w:spacing w:before="96"/>
      </w:pPr>
      <w:r>
        <w:rPr/>
        <w:t>5、前一估值日基金资产净值50%以上的资产出现无可参考的活跃市场价格且采用估值</w:t>
      </w:r>
    </w:p>
    <w:p>
      <w:pPr>
        <w:pStyle w:val="BodyText"/>
        <w:spacing w:before="7"/>
        <w:ind w:left="0"/>
        <w:rPr>
          <w:sz w:val="15"/>
        </w:rPr>
      </w:pPr>
    </w:p>
    <w:p>
      <w:pPr>
        <w:pStyle w:val="BodyText"/>
        <w:ind w:left="376"/>
      </w:pPr>
      <w:r>
        <w:rPr/>
        <w:t>技术仍导致公允价值存在重大不确定性时，经与基金托管人协商一致的；</w:t>
      </w:r>
    </w:p>
    <w:p>
      <w:pPr>
        <w:pStyle w:val="BodyText"/>
        <w:spacing w:before="101"/>
      </w:pPr>
      <w:r>
        <w:rPr/>
        <w:t>6、监管机构和《基金合同》认定的其他情形。</w:t>
      </w:r>
    </w:p>
    <w:p>
      <w:pPr>
        <w:pStyle w:val="BodyText"/>
        <w:spacing w:before="140"/>
      </w:pPr>
      <w:r>
        <w:rPr/>
        <w:t>（三）特殊情况的处理：</w:t>
      </w:r>
    </w:p>
    <w:p>
      <w:pPr>
        <w:pStyle w:val="BodyText"/>
        <w:spacing w:line="364" w:lineRule="auto" w:before="139"/>
        <w:ind w:left="376" w:right="795" w:firstLine="420"/>
      </w:pPr>
      <w:r>
        <w:rPr/>
        <w:t>1、基金管理人或基金托管人按上述估值方法进行估值时，所造成的误差不作为基金份额净值错误处理。</w:t>
      </w:r>
    </w:p>
    <w:p>
      <w:pPr>
        <w:pStyle w:val="BodyText"/>
        <w:spacing w:line="364" w:lineRule="auto"/>
        <w:ind w:left="376" w:right="795" w:firstLine="420"/>
      </w:pPr>
      <w:r>
        <w:rPr/>
        <w:t>2、对于因税收规定调整或其他原因导致基金实际交纳税金与基金按照权责发生制进行估值的应交税金有差异的，相关估值调整不作为基金资产估值错误处理。</w:t>
      </w:r>
    </w:p>
    <w:p>
      <w:pPr>
        <w:pStyle w:val="BodyText"/>
        <w:spacing w:line="364" w:lineRule="auto"/>
        <w:ind w:left="376" w:right="794" w:firstLine="420"/>
        <w:jc w:val="both"/>
      </w:pPr>
      <w:r>
        <w:rPr/>
        <w:t>3、由于不可抗力原因，或由于各家数据服务机构发送的数据错误，本基金管理人和本</w:t>
      </w:r>
      <w:r>
        <w:rPr>
          <w:spacing w:val="-7"/>
        </w:rPr>
        <w:t>基金托管人虽然已经采取必要、适当、合理的措施进行检查，但未能发现错误的，由此造成</w:t>
      </w:r>
      <w:r>
        <w:rPr>
          <w:spacing w:val="-8"/>
        </w:rPr>
        <w:t>的基金资产估值错误，本基金管理人和本基金托管人可以免除赔偿责任。但由基金管理人和</w:t>
      </w:r>
      <w:r>
        <w:rPr/>
        <w:t>托管人共同积极采取必要的措施消除由此造成的影响。</w:t>
      </w:r>
    </w:p>
    <w:p>
      <w:pPr>
        <w:pStyle w:val="BodyText"/>
        <w:spacing w:line="267" w:lineRule="exact"/>
      </w:pPr>
      <w:r>
        <w:rPr/>
        <w:t>（四）基金会计核算</w:t>
      </w:r>
    </w:p>
    <w:p>
      <w:pPr>
        <w:pStyle w:val="BodyText"/>
        <w:spacing w:before="138"/>
      </w:pPr>
      <w:r>
        <w:rPr/>
        <w:t>1、基金会计制度</w:t>
      </w:r>
    </w:p>
    <w:p>
      <w:pPr>
        <w:pStyle w:val="BodyText"/>
        <w:spacing w:before="139"/>
      </w:pPr>
      <w:r>
        <w:rPr/>
        <w:t>按国家有关的会计核算制度执行。</w:t>
      </w:r>
    </w:p>
    <w:p>
      <w:pPr>
        <w:pStyle w:val="BodyText"/>
        <w:spacing w:before="139"/>
      </w:pPr>
      <w:r>
        <w:rPr/>
        <w:t>2、基金账册的建立</w:t>
      </w:r>
    </w:p>
    <w:p>
      <w:pPr>
        <w:pStyle w:val="BodyText"/>
        <w:spacing w:line="364" w:lineRule="auto" w:before="140"/>
        <w:ind w:left="376" w:right="794" w:firstLine="420"/>
        <w:jc w:val="both"/>
      </w:pPr>
      <w:r>
        <w:rPr>
          <w:spacing w:val="-8"/>
        </w:rPr>
        <w:t>基金管理人和基金托管人在《基金合同》生效后，应按照双方约定的同一记账方法和会</w:t>
      </w:r>
      <w:r>
        <w:rPr>
          <w:spacing w:val="-9"/>
        </w:rPr>
        <w:t>计处理原则，分别独立地设置、登记和保管基金的全套账册，对双方各自的账册定期进行核</w:t>
      </w:r>
      <w:r>
        <w:rPr/>
        <w:t>对，互相监督，以保证基金财产的安全。</w:t>
      </w:r>
    </w:p>
    <w:p>
      <w:pPr>
        <w:pStyle w:val="BodyText"/>
        <w:spacing w:line="364" w:lineRule="auto"/>
        <w:ind w:left="376" w:right="794" w:firstLine="420"/>
      </w:pPr>
      <w:r>
        <w:rPr>
          <w:spacing w:val="-6"/>
        </w:rPr>
        <w:t>经对账发现相关各方的账目存在不符的，基金管理人和基金托管人必须及时查明原因并</w:t>
      </w:r>
      <w:r>
        <w:rPr/>
        <w:t>纠正，保证相关各方平行登录的账册记录相符。</w:t>
      </w:r>
    </w:p>
    <w:p>
      <w:pPr>
        <w:pStyle w:val="BodyText"/>
        <w:spacing w:line="268" w:lineRule="exact"/>
      </w:pPr>
      <w:r>
        <w:rPr/>
        <w:t>若双方对会计处理方法存在分歧，应以基金管理人的处理方法为准。</w:t>
      </w:r>
    </w:p>
    <w:p>
      <w:pPr>
        <w:pStyle w:val="BodyText"/>
        <w:spacing w:before="138"/>
      </w:pPr>
      <w:r>
        <w:rPr/>
        <w:t>3、会计数据和财务指标的核对</w:t>
      </w:r>
    </w:p>
    <w:p>
      <w:pPr>
        <w:pStyle w:val="BodyText"/>
        <w:spacing w:line="364" w:lineRule="auto" w:before="139"/>
        <w:ind w:left="376" w:right="714" w:firstLine="420"/>
      </w:pPr>
      <w:r>
        <w:rPr/>
        <w:t>基金管理人和基金托管人应定期就会计数据和财务指标进行核对。如发现存在不符，双方应及时查明原因并纠正。</w:t>
      </w:r>
    </w:p>
    <w:p>
      <w:pPr>
        <w:pStyle w:val="BodyText"/>
        <w:spacing w:line="268" w:lineRule="exact"/>
      </w:pPr>
      <w:r>
        <w:rPr/>
        <w:t>4、基金财务报表和定期报告的编制和复核</w:t>
      </w:r>
    </w:p>
    <w:p>
      <w:pPr>
        <w:pStyle w:val="ListParagraph"/>
        <w:numPr>
          <w:ilvl w:val="0"/>
          <w:numId w:val="75"/>
        </w:numPr>
        <w:tabs>
          <w:tab w:pos="1323" w:val="left" w:leader="none"/>
        </w:tabs>
        <w:spacing w:line="240" w:lineRule="auto" w:before="140" w:after="0"/>
        <w:ind w:left="1323" w:right="0" w:hanging="527"/>
        <w:jc w:val="left"/>
        <w:rPr>
          <w:sz w:val="21"/>
        </w:rPr>
      </w:pPr>
      <w:r>
        <w:rPr>
          <w:sz w:val="21"/>
        </w:rPr>
        <w:t>报表的编制</w:t>
      </w:r>
    </w:p>
    <w:p>
      <w:pPr>
        <w:pStyle w:val="BodyText"/>
        <w:spacing w:before="6"/>
        <w:ind w:left="0"/>
        <w:rPr>
          <w:sz w:val="18"/>
        </w:rPr>
      </w:pPr>
    </w:p>
    <w:p>
      <w:pPr>
        <w:pStyle w:val="BodyText"/>
      </w:pPr>
      <w:r>
        <w:rPr/>
        <w:t>基金管理人应当在每月结束后 5 个工作日内完成月度报表的编制；在每个季度结束之日</w:t>
      </w:r>
    </w:p>
    <w:p>
      <w:pPr>
        <w:spacing w:after="0"/>
        <w:sectPr>
          <w:pgSz w:w="11910" w:h="16840"/>
          <w:pgMar w:header="0" w:footer="1118" w:top="1380" w:bottom="1380" w:left="1420" w:right="1000"/>
        </w:sectPr>
      </w:pPr>
    </w:p>
    <w:p>
      <w:pPr>
        <w:pStyle w:val="BodyText"/>
        <w:spacing w:line="417" w:lineRule="auto" w:before="43"/>
        <w:ind w:left="376" w:right="794"/>
        <w:jc w:val="both"/>
      </w:pPr>
      <w:r>
        <w:rPr>
          <w:spacing w:val="-27"/>
        </w:rPr>
        <w:t>起 </w:t>
      </w:r>
      <w:r>
        <w:rPr/>
        <w:t>15</w:t>
      </w:r>
      <w:r>
        <w:rPr>
          <w:spacing w:val="-8"/>
        </w:rPr>
        <w:t> 个工作日内完成基金季度报告的编制；在上半年结束之日起两个月内完成基金中期报</w:t>
      </w:r>
      <w:r>
        <w:rPr>
          <w:spacing w:val="-13"/>
        </w:rPr>
        <w:t>告的编制；在每年结束之日起三个月内完成基金年度报告的编制。基金年度报告的财务会计</w:t>
      </w:r>
      <w:r>
        <w:rPr>
          <w:spacing w:val="-8"/>
        </w:rPr>
        <w:t>报告应当经过审计。基金合同生效不足两个月的，基金管理人可以不编制当期季度报告、中</w:t>
      </w:r>
    </w:p>
    <w:p>
      <w:pPr>
        <w:pStyle w:val="BodyText"/>
        <w:spacing w:line="269" w:lineRule="exact"/>
        <w:ind w:left="376"/>
      </w:pPr>
      <w:r>
        <w:rPr/>
        <w:t>期报告或者年度报告。</w:t>
      </w:r>
    </w:p>
    <w:p>
      <w:pPr>
        <w:pStyle w:val="ListParagraph"/>
        <w:numPr>
          <w:ilvl w:val="0"/>
          <w:numId w:val="75"/>
        </w:numPr>
        <w:tabs>
          <w:tab w:pos="1323" w:val="left" w:leader="none"/>
        </w:tabs>
        <w:spacing w:line="240" w:lineRule="auto" w:before="101" w:after="0"/>
        <w:ind w:left="1323" w:right="0" w:hanging="527"/>
        <w:jc w:val="left"/>
        <w:rPr>
          <w:sz w:val="21"/>
        </w:rPr>
      </w:pPr>
      <w:r>
        <w:rPr>
          <w:sz w:val="21"/>
        </w:rPr>
        <w:t>报表的复核</w:t>
      </w:r>
    </w:p>
    <w:p>
      <w:pPr>
        <w:pStyle w:val="BodyText"/>
        <w:spacing w:before="139"/>
      </w:pPr>
      <w:r>
        <w:rPr/>
        <w:t>基金管理人应及时完成报表编制，将有关报表提供基金托管人复核。</w:t>
      </w:r>
    </w:p>
    <w:p>
      <w:pPr>
        <w:pStyle w:val="BodyText"/>
        <w:spacing w:line="364" w:lineRule="auto" w:before="140"/>
        <w:ind w:left="376" w:right="794" w:firstLine="420"/>
      </w:pPr>
      <w:r>
        <w:rPr>
          <w:spacing w:val="-7"/>
        </w:rPr>
        <w:t>基金管理人应留足充分的时间，便于基金托管人复核相关报表及报告。基金管理人和基</w:t>
      </w:r>
      <w:r>
        <w:rPr/>
        <w:t>金托管人之间的上述文件往来均以加密传真的方式或双方商定的其他方式进行。</w:t>
      </w:r>
    </w:p>
    <w:p>
      <w:pPr>
        <w:pStyle w:val="BodyText"/>
        <w:spacing w:line="364" w:lineRule="auto"/>
        <w:ind w:left="376" w:right="794" w:firstLine="420"/>
        <w:jc w:val="both"/>
      </w:pPr>
      <w:r>
        <w:rPr>
          <w:spacing w:val="-7"/>
        </w:rPr>
        <w:t>基金托管人在复核过程中，发现双方的报表存在不符时，基金管理人和基金托管人应共</w:t>
      </w:r>
      <w:r>
        <w:rPr>
          <w:spacing w:val="-5"/>
        </w:rPr>
        <w:t>同查明原因，进行调整，调整以双方认可的账务处理方式为准；若双方无法达成一致，以基</w:t>
      </w:r>
      <w:r>
        <w:rPr>
          <w:spacing w:val="-8"/>
        </w:rPr>
        <w:t>金管理人的账务处理为准。核对无误后，基金托管人在基金管理人提供的报告上加盖托管业</w:t>
      </w:r>
      <w:r>
        <w:rPr>
          <w:spacing w:val="-5"/>
        </w:rPr>
        <w:t>务部门公章或者出具加盖托管业务专用章的复核意见书，双方各自留存一份。如果基金管理</w:t>
      </w:r>
      <w:r>
        <w:rPr>
          <w:spacing w:val="-4"/>
        </w:rPr>
        <w:t>人与基金托管人不能于应当发布公告之日之前就相关报表达成一致，基金管理人有权按照其</w:t>
      </w:r>
      <w:r>
        <w:rPr/>
        <w:t>编制的报表对外发布公告，基金托管人有权就相关情况报中国证监会备案。</w:t>
      </w:r>
    </w:p>
    <w:p>
      <w:pPr>
        <w:pStyle w:val="Heading2"/>
        <w:tabs>
          <w:tab w:pos="1216" w:val="left" w:leader="none"/>
        </w:tabs>
        <w:spacing w:line="357" w:lineRule="exact"/>
      </w:pPr>
      <w:bookmarkStart w:name="_bookmark116" w:id="117"/>
      <w:bookmarkEnd w:id="117"/>
      <w:r>
        <w:rPr/>
      </w:r>
      <w:r>
        <w:rPr/>
        <w:t>七、</w:t>
        <w:tab/>
        <w:t>基金份额持有人名册的登记与保管</w:t>
      </w:r>
    </w:p>
    <w:p>
      <w:pPr>
        <w:pStyle w:val="BodyText"/>
        <w:spacing w:line="364" w:lineRule="auto" w:before="184"/>
        <w:ind w:left="376" w:right="585" w:firstLine="420"/>
      </w:pPr>
      <w:r>
        <w:rPr>
          <w:spacing w:val="-3"/>
        </w:rPr>
        <w:t>基金份额持有人名册至少应包括基金份额持有人的名称和持有的基金份额。基金份额持 </w:t>
      </w:r>
      <w:r>
        <w:rPr>
          <w:spacing w:val="-6"/>
        </w:rPr>
        <w:t>有人名册由基金登记结算机构根据基金管理人的指令编制和保管，基金管理人和基金托管人 </w:t>
      </w:r>
      <w:r>
        <w:rPr>
          <w:spacing w:val="-8"/>
        </w:rPr>
        <w:t>应分别保管与各自职责相关的基金份额持有人名册，保存期不少于 </w:t>
      </w:r>
      <w:r>
        <w:rPr/>
        <w:t>15</w:t>
      </w:r>
      <w:r>
        <w:rPr>
          <w:spacing w:val="-8"/>
        </w:rPr>
        <w:t> 年。如不能妥善保管， 则按相关法规承担责任。</w:t>
      </w:r>
    </w:p>
    <w:p>
      <w:pPr>
        <w:pStyle w:val="BodyText"/>
        <w:spacing w:line="364" w:lineRule="auto"/>
        <w:ind w:left="376" w:right="794" w:firstLine="420"/>
        <w:jc w:val="both"/>
      </w:pPr>
      <w:r>
        <w:rPr>
          <w:spacing w:val="-5"/>
        </w:rPr>
        <w:t>在基金托管人要求或编制中期报告和年度报告前，基金管理人应将有关资料送交基金托</w:t>
      </w:r>
      <w:r>
        <w:rPr>
          <w:spacing w:val="-10"/>
        </w:rPr>
        <w:t>管人，不得无故拒绝或延误提供，并保证其的真实性、准确性和完整性。基金托管人不得将</w:t>
      </w:r>
      <w:r>
        <w:rPr/>
        <w:t>所保管的基金份额持有人名册用于基金托管业务以外的其他用途，并应遵守保密义务。</w:t>
      </w:r>
    </w:p>
    <w:p>
      <w:pPr>
        <w:pStyle w:val="BodyText"/>
        <w:ind w:left="0"/>
        <w:rPr>
          <w:sz w:val="20"/>
        </w:rPr>
      </w:pPr>
    </w:p>
    <w:p>
      <w:pPr>
        <w:pStyle w:val="Heading2"/>
        <w:tabs>
          <w:tab w:pos="1216" w:val="left" w:leader="none"/>
        </w:tabs>
        <w:spacing w:before="150"/>
      </w:pPr>
      <w:bookmarkStart w:name="_bookmark117" w:id="118"/>
      <w:bookmarkEnd w:id="118"/>
      <w:r>
        <w:rPr/>
      </w:r>
      <w:r>
        <w:rPr/>
        <w:t>八、</w:t>
        <w:tab/>
        <w:t>争议解决方式</w:t>
      </w:r>
    </w:p>
    <w:p>
      <w:pPr>
        <w:pStyle w:val="BodyText"/>
        <w:spacing w:line="364" w:lineRule="auto" w:before="185"/>
        <w:ind w:left="376" w:right="689" w:firstLine="420"/>
      </w:pPr>
      <w:r>
        <w:rPr>
          <w:spacing w:val="-4"/>
        </w:rPr>
        <w:t>因本协议产生或与之相关的争议，双方当事人应通过协商解决，协商不能解决的，任何</w:t>
      </w:r>
      <w:r>
        <w:rPr>
          <w:spacing w:val="-8"/>
        </w:rPr>
        <w:t>一方均有权将争议提交中国国际经济贸易仲裁委员会，仲裁地点为北京市，按照中国国际经</w:t>
      </w:r>
      <w:r>
        <w:rPr>
          <w:spacing w:val="-16"/>
        </w:rPr>
        <w:t>济贸易仲裁委员会届时有效的仲裁规则进行仲裁。仲裁裁决是终局的，对当事人均有约束力， </w:t>
      </w:r>
      <w:r>
        <w:rPr/>
        <w:t>仲裁费用由败诉方承担。</w:t>
      </w:r>
    </w:p>
    <w:p>
      <w:pPr>
        <w:pStyle w:val="BodyText"/>
        <w:spacing w:line="364" w:lineRule="auto"/>
        <w:ind w:left="376" w:right="689" w:firstLine="420"/>
      </w:pPr>
      <w:r>
        <w:rPr>
          <w:spacing w:val="-13"/>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pPr>
      <w:r>
        <w:rPr/>
        <w:t>本协议受中国法律管辖。</w:t>
      </w:r>
    </w:p>
    <w:p>
      <w:pPr>
        <w:spacing w:after="0" w:line="268" w:lineRule="exact"/>
        <w:sectPr>
          <w:pgSz w:w="11910" w:h="16840"/>
          <w:pgMar w:header="0" w:footer="1118" w:top="1480" w:bottom="1380" w:left="1420" w:right="1000"/>
        </w:sectPr>
      </w:pPr>
    </w:p>
    <w:p>
      <w:pPr>
        <w:pStyle w:val="Heading2"/>
        <w:tabs>
          <w:tab w:pos="1216" w:val="left" w:leader="none"/>
        </w:tabs>
        <w:spacing w:before="46"/>
      </w:pPr>
      <w:bookmarkStart w:name="_bookmark118" w:id="119"/>
      <w:bookmarkEnd w:id="119"/>
      <w:r>
        <w:rPr/>
      </w:r>
      <w:r>
        <w:rPr/>
        <w:t>九、</w:t>
        <w:tab/>
        <w:t>托管协议的修改与终止</w:t>
      </w:r>
    </w:p>
    <w:p>
      <w:pPr>
        <w:pStyle w:val="BodyText"/>
        <w:spacing w:before="185"/>
      </w:pPr>
      <w:r>
        <w:rPr/>
        <w:t>（一）托管协议的变更程序</w:t>
      </w:r>
    </w:p>
    <w:p>
      <w:pPr>
        <w:pStyle w:val="BodyText"/>
        <w:spacing w:line="364" w:lineRule="auto" w:before="139"/>
        <w:ind w:left="376" w:right="794" w:firstLine="420"/>
      </w:pPr>
      <w:r>
        <w:rPr>
          <w:spacing w:val="-7"/>
        </w:rPr>
        <w:t>本协议双方当事人经协商一致，可以对协议进行修改。修改后的新协议，其内容不得与</w:t>
      </w:r>
      <w:r>
        <w:rPr/>
        <w:t>基金合同的规定有任何冲突。基金托管协议的变更报中国证监会核准后生效。</w:t>
      </w:r>
    </w:p>
    <w:p>
      <w:pPr>
        <w:pStyle w:val="BodyText"/>
        <w:spacing w:line="268" w:lineRule="exact"/>
      </w:pPr>
      <w:r>
        <w:rPr/>
        <w:t>（二）基金托管协议终止出现的情形</w:t>
      </w:r>
    </w:p>
    <w:p>
      <w:pPr>
        <w:pStyle w:val="BodyText"/>
        <w:spacing w:before="140"/>
      </w:pPr>
      <w:r>
        <w:rPr/>
        <w:t>1、基金合同终止；</w:t>
      </w:r>
    </w:p>
    <w:p>
      <w:pPr>
        <w:pStyle w:val="BodyText"/>
        <w:spacing w:before="139"/>
      </w:pPr>
      <w:r>
        <w:rPr/>
        <w:t>2、基金托管人职责终止；</w:t>
      </w:r>
    </w:p>
    <w:p>
      <w:pPr>
        <w:pStyle w:val="BodyText"/>
        <w:spacing w:before="140"/>
      </w:pPr>
      <w:r>
        <w:rPr/>
        <w:t>3、基金管理人职责终止；</w:t>
      </w:r>
    </w:p>
    <w:p>
      <w:pPr>
        <w:pStyle w:val="BodyText"/>
        <w:spacing w:before="139"/>
      </w:pPr>
      <w:r>
        <w:rPr/>
        <w:t>4、发生法律法规或基金合同规定的终止事项。</w:t>
      </w:r>
    </w:p>
    <w:p>
      <w:pPr>
        <w:spacing w:after="0"/>
        <w:sectPr>
          <w:pgSz w:w="11910" w:h="16840"/>
          <w:pgMar w:header="0" w:footer="1118" w:top="1380" w:bottom="1380" w:left="1420" w:right="1000"/>
        </w:sectPr>
      </w:pPr>
    </w:p>
    <w:p>
      <w:pPr>
        <w:pStyle w:val="Heading1"/>
      </w:pPr>
      <w:bookmarkStart w:name="_bookmark119" w:id="120"/>
      <w:bookmarkEnd w:id="120"/>
      <w:r>
        <w:rPr>
          <w:b w:val="0"/>
        </w:rPr>
      </w:r>
      <w:r>
        <w:rPr/>
        <w:t>第二十四节对基金份额持有人的服务</w:t>
      </w:r>
    </w:p>
    <w:p>
      <w:pPr>
        <w:pStyle w:val="BodyText"/>
        <w:spacing w:line="364" w:lineRule="auto" w:before="138"/>
        <w:ind w:left="376" w:right="714"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8" w:lineRule="exact"/>
      </w:pPr>
      <w:r>
        <w:rPr/>
        <w:t>（一）场外的基金份额持有人投资交易确认服务</w:t>
      </w:r>
    </w:p>
    <w:p>
      <w:pPr>
        <w:pStyle w:val="BodyText"/>
        <w:spacing w:line="364" w:lineRule="auto" w:before="139"/>
        <w:ind w:left="376" w:right="795" w:firstLine="420"/>
      </w:pPr>
      <w:r>
        <w:rPr/>
        <w:t>基金登记结算机构保留基金份额持有人名册上列明的场外的基金份额持有人的基金交易记录。</w:t>
      </w:r>
    </w:p>
    <w:p>
      <w:pPr>
        <w:pStyle w:val="BodyText"/>
        <w:spacing w:line="364" w:lineRule="auto"/>
        <w:ind w:left="376" w:right="603" w:firstLine="420"/>
      </w:pPr>
      <w:r>
        <w:rPr>
          <w:spacing w:val="2"/>
        </w:rPr>
        <w:t>基金管理人直销网点应根据在基金管理人直销网点进行交易的投资者的要求提供成交 </w:t>
      </w:r>
      <w:r>
        <w:rPr>
          <w:spacing w:val="-12"/>
        </w:rPr>
        <w:t>确认单。基金非直销销售机构应根据在其销售网点进行交易的投资者的要求提供成交确认单。</w:t>
      </w:r>
    </w:p>
    <w:p>
      <w:pPr>
        <w:pStyle w:val="BodyText"/>
        <w:spacing w:line="268" w:lineRule="exact"/>
      </w:pPr>
      <w:r>
        <w:rPr/>
        <w:t>（二）场外的基金份额持有人交易记录查询服务</w:t>
      </w:r>
    </w:p>
    <w:p>
      <w:pPr>
        <w:pStyle w:val="BodyText"/>
        <w:spacing w:before="139"/>
      </w:pPr>
      <w:r>
        <w:rPr/>
        <w:t>场外的基金份额持有人可通过基金管理人的客户服务中心查询历史交易记录。</w:t>
      </w:r>
    </w:p>
    <w:p>
      <w:pPr>
        <w:pStyle w:val="BodyText"/>
        <w:spacing w:before="139"/>
      </w:pPr>
      <w:r>
        <w:rPr/>
        <w:t>（三）场外的基金份额持有人的对账单服务形式</w:t>
      </w:r>
    </w:p>
    <w:p>
      <w:pPr>
        <w:pStyle w:val="BodyText"/>
        <w:spacing w:line="364" w:lineRule="auto" w:before="139"/>
        <w:ind w:right="585"/>
      </w:pPr>
      <w:hyperlink r:id="rId7">
        <w:r>
          <w:rPr/>
          <w:t>1、场外基金份额持有人可登录本公司网站（http://www.efunds.com.cn</w:t>
        </w:r>
      </w:hyperlink>
      <w:r>
        <w:rPr/>
        <w:t>）查阅对账单。2、场外基金份额持有人也可向本公司定制纸质、电子或短信形式的定期或不定期对账</w:t>
      </w:r>
    </w:p>
    <w:p>
      <w:pPr>
        <w:pStyle w:val="BodyText"/>
        <w:spacing w:line="268" w:lineRule="exact"/>
        <w:ind w:left="376"/>
      </w:pPr>
      <w:r>
        <w:rPr/>
        <w:t>单。</w:t>
      </w:r>
    </w:p>
    <w:p>
      <w:pPr>
        <w:pStyle w:val="BodyText"/>
        <w:spacing w:before="140"/>
      </w:pPr>
      <w:r>
        <w:rPr/>
        <w:t>具体查阅和定制账单的方法可参见本公司网站或拨打客服热线咨询。</w:t>
      </w:r>
    </w:p>
    <w:p>
      <w:pPr>
        <w:pStyle w:val="BodyText"/>
        <w:spacing w:before="139"/>
      </w:pPr>
      <w:r>
        <w:rPr/>
        <w:t>（四）资讯服务</w:t>
      </w:r>
    </w:p>
    <w:p>
      <w:pPr>
        <w:pStyle w:val="BodyText"/>
        <w:spacing w:before="140"/>
      </w:pPr>
      <w:r>
        <w:rPr/>
        <w:t>1、客户服务电话</w:t>
      </w:r>
    </w:p>
    <w:p>
      <w:pPr>
        <w:pStyle w:val="BodyText"/>
        <w:spacing w:line="364" w:lineRule="auto" w:before="139"/>
        <w:ind w:left="376" w:right="794"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7" w:lineRule="exact"/>
      </w:pPr>
      <w:r>
        <w:rPr/>
        <w:t>2、互联网站及电子信箱</w:t>
      </w:r>
    </w:p>
    <w:p>
      <w:pPr>
        <w:pStyle w:val="BodyText"/>
        <w:spacing w:line="364" w:lineRule="auto" w:before="140"/>
        <w:ind w:right="5433"/>
      </w:pPr>
      <w:hyperlink r:id="rId7">
        <w:r>
          <w:rPr/>
          <w:t>网址：http://www.efunds.com.cn </w:t>
        </w:r>
      </w:hyperlink>
      <w:r>
        <w:rPr/>
        <w:t>电子信箱：</w:t>
      </w:r>
      <w:hyperlink r:id="rId142">
        <w:r>
          <w:rPr/>
          <w:t>service@efunds.com.cn</w:t>
        </w:r>
      </w:hyperlink>
    </w:p>
    <w:p>
      <w:pPr>
        <w:spacing w:after="0" w:line="364" w:lineRule="auto"/>
        <w:sectPr>
          <w:pgSz w:w="11910" w:h="16840"/>
          <w:pgMar w:header="0" w:footer="1118" w:top="1400" w:bottom="1380" w:left="1420" w:right="1000"/>
        </w:sectPr>
      </w:pPr>
    </w:p>
    <w:p>
      <w:pPr>
        <w:pStyle w:val="Heading1"/>
      </w:pPr>
      <w:bookmarkStart w:name="_bookmark120" w:id="121"/>
      <w:bookmarkEnd w:id="121"/>
      <w:r>
        <w:rPr>
          <w:b w:val="0"/>
        </w:rPr>
      </w:r>
      <w:r>
        <w:rPr/>
        <w:t>第二十五节其他应披露事项</w:t>
      </w:r>
    </w:p>
    <w:p>
      <w:pPr>
        <w:pStyle w:val="BodyText"/>
        <w:spacing w:before="5" w:after="1"/>
        <w:ind w:left="0"/>
        <w:rPr>
          <w:rFonts w:ascii="Microsoft JhengHei"/>
          <w:b/>
          <w:sz w:val="7"/>
        </w:r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6"/>
        <w:gridCol w:w="2190"/>
      </w:tblGrid>
      <w:tr>
        <w:trPr>
          <w:trHeight w:val="636" w:hRule="atLeast"/>
        </w:trPr>
        <w:tc>
          <w:tcPr>
            <w:tcW w:w="6706" w:type="dxa"/>
          </w:tcPr>
          <w:p>
            <w:pPr>
              <w:pStyle w:val="TableParagraph"/>
              <w:spacing w:before="1"/>
              <w:rPr>
                <w:rFonts w:ascii="Microsoft JhengHei"/>
                <w:b/>
                <w:sz w:val="10"/>
              </w:rPr>
            </w:pPr>
          </w:p>
          <w:p>
            <w:pPr>
              <w:pStyle w:val="TableParagraph"/>
              <w:ind w:left="3123" w:right="2693"/>
              <w:jc w:val="center"/>
              <w:rPr>
                <w:sz w:val="21"/>
              </w:rPr>
            </w:pPr>
            <w:r>
              <w:rPr>
                <w:sz w:val="21"/>
              </w:rPr>
              <w:t>公告事项</w:t>
            </w:r>
          </w:p>
        </w:tc>
        <w:tc>
          <w:tcPr>
            <w:tcW w:w="2190" w:type="dxa"/>
          </w:tcPr>
          <w:p>
            <w:pPr>
              <w:pStyle w:val="TableParagraph"/>
              <w:spacing w:before="1"/>
              <w:rPr>
                <w:rFonts w:ascii="Microsoft JhengHei"/>
                <w:b/>
                <w:sz w:val="10"/>
              </w:rPr>
            </w:pPr>
          </w:p>
          <w:p>
            <w:pPr>
              <w:pStyle w:val="TableParagraph"/>
              <w:ind w:left="549" w:right="540"/>
              <w:jc w:val="center"/>
              <w:rPr>
                <w:sz w:val="21"/>
              </w:rPr>
            </w:pPr>
            <w:r>
              <w:rPr>
                <w:sz w:val="21"/>
              </w:rPr>
              <w:t>披露日期</w:t>
            </w:r>
          </w:p>
        </w:tc>
      </w:tr>
      <w:tr>
        <w:trPr>
          <w:trHeight w:val="636" w:hRule="atLeast"/>
        </w:trPr>
        <w:tc>
          <w:tcPr>
            <w:tcW w:w="6706" w:type="dxa"/>
          </w:tcPr>
          <w:p>
            <w:pPr>
              <w:pStyle w:val="TableParagraph"/>
              <w:spacing w:before="36"/>
              <w:ind w:left="108"/>
              <w:rPr>
                <w:sz w:val="21"/>
              </w:rPr>
            </w:pPr>
            <w:r>
              <w:rPr>
                <w:sz w:val="21"/>
              </w:rPr>
              <w:t>易方达基金管理有限公司关于旗下部分开放式基金参加中国民生银行</w:t>
            </w:r>
          </w:p>
          <w:p>
            <w:pPr>
              <w:pStyle w:val="TableParagraph"/>
              <w:spacing w:before="43"/>
              <w:ind w:left="108"/>
              <w:rPr>
                <w:sz w:val="21"/>
              </w:rPr>
            </w:pPr>
            <w:r>
              <w:rPr>
                <w:sz w:val="21"/>
              </w:rPr>
              <w:t>费率优惠活动的公告</w:t>
            </w:r>
          </w:p>
        </w:tc>
        <w:tc>
          <w:tcPr>
            <w:tcW w:w="2190" w:type="dxa"/>
          </w:tcPr>
          <w:p>
            <w:pPr>
              <w:pStyle w:val="TableParagraph"/>
              <w:spacing w:before="17"/>
              <w:rPr>
                <w:rFonts w:ascii="Microsoft JhengHei"/>
                <w:b/>
                <w:sz w:val="18"/>
              </w:rPr>
            </w:pPr>
          </w:p>
          <w:p>
            <w:pPr>
              <w:pStyle w:val="TableParagraph"/>
              <w:ind w:left="549" w:right="540"/>
              <w:jc w:val="center"/>
              <w:rPr>
                <w:sz w:val="21"/>
              </w:rPr>
            </w:pPr>
            <w:r>
              <w:rPr>
                <w:sz w:val="21"/>
              </w:rPr>
              <w:t>2019-05-16</w:t>
            </w:r>
          </w:p>
        </w:tc>
      </w:tr>
      <w:tr>
        <w:trPr>
          <w:trHeight w:val="636" w:hRule="atLeast"/>
        </w:trPr>
        <w:tc>
          <w:tcPr>
            <w:tcW w:w="6706" w:type="dxa"/>
          </w:tcPr>
          <w:p>
            <w:pPr>
              <w:pStyle w:val="TableParagraph"/>
              <w:spacing w:before="36"/>
              <w:ind w:left="108"/>
              <w:rPr>
                <w:sz w:val="21"/>
              </w:rPr>
            </w:pPr>
            <w:r>
              <w:rPr>
                <w:sz w:val="21"/>
              </w:rPr>
              <w:t>易方达基金管理有限公司关于旗下部分开放式基金增加青岛银行为销</w:t>
            </w:r>
          </w:p>
          <w:p>
            <w:pPr>
              <w:pStyle w:val="TableParagraph"/>
              <w:spacing w:before="43"/>
              <w:ind w:left="108"/>
              <w:rPr>
                <w:sz w:val="21"/>
              </w:rPr>
            </w:pPr>
            <w:r>
              <w:rPr>
                <w:sz w:val="21"/>
              </w:rPr>
              <w:t>售机构的公告</w:t>
            </w:r>
          </w:p>
        </w:tc>
        <w:tc>
          <w:tcPr>
            <w:tcW w:w="2190" w:type="dxa"/>
          </w:tcPr>
          <w:p>
            <w:pPr>
              <w:pStyle w:val="TableParagraph"/>
              <w:spacing w:before="17"/>
              <w:rPr>
                <w:rFonts w:ascii="Microsoft JhengHei"/>
                <w:b/>
                <w:sz w:val="18"/>
              </w:rPr>
            </w:pPr>
          </w:p>
          <w:p>
            <w:pPr>
              <w:pStyle w:val="TableParagraph"/>
              <w:ind w:left="549" w:right="540"/>
              <w:jc w:val="center"/>
              <w:rPr>
                <w:sz w:val="21"/>
              </w:rPr>
            </w:pPr>
            <w:r>
              <w:rPr>
                <w:sz w:val="21"/>
              </w:rPr>
              <w:t>2019-05-20</w:t>
            </w:r>
          </w:p>
        </w:tc>
      </w:tr>
      <w:tr>
        <w:trPr>
          <w:trHeight w:val="636" w:hRule="atLeast"/>
        </w:trPr>
        <w:tc>
          <w:tcPr>
            <w:tcW w:w="6706" w:type="dxa"/>
          </w:tcPr>
          <w:p>
            <w:pPr>
              <w:pStyle w:val="TableParagraph"/>
              <w:spacing w:before="36"/>
              <w:ind w:left="108"/>
              <w:rPr>
                <w:sz w:val="21"/>
              </w:rPr>
            </w:pPr>
            <w:r>
              <w:rPr>
                <w:sz w:val="21"/>
              </w:rPr>
              <w:t>易方达黄金主题证券投资基金（LOF）2019</w:t>
            </w:r>
            <w:r>
              <w:rPr>
                <w:spacing w:val="-36"/>
                <w:sz w:val="21"/>
              </w:rPr>
              <w:t> 年 </w:t>
            </w:r>
            <w:r>
              <w:rPr>
                <w:sz w:val="21"/>
              </w:rPr>
              <w:t>5</w:t>
            </w:r>
            <w:r>
              <w:rPr>
                <w:spacing w:val="-36"/>
                <w:sz w:val="21"/>
              </w:rPr>
              <w:t> 月 </w:t>
            </w:r>
            <w:r>
              <w:rPr>
                <w:sz w:val="21"/>
              </w:rPr>
              <w:t>27</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17"/>
              <w:rPr>
                <w:rFonts w:ascii="Microsoft JhengHei"/>
                <w:b/>
                <w:sz w:val="18"/>
              </w:rPr>
            </w:pPr>
          </w:p>
          <w:p>
            <w:pPr>
              <w:pStyle w:val="TableParagraph"/>
              <w:ind w:left="549" w:right="540"/>
              <w:jc w:val="center"/>
              <w:rPr>
                <w:sz w:val="21"/>
              </w:rPr>
            </w:pPr>
            <w:r>
              <w:rPr>
                <w:sz w:val="21"/>
              </w:rPr>
              <w:t>2019-05-22</w:t>
            </w:r>
          </w:p>
        </w:tc>
      </w:tr>
      <w:tr>
        <w:trPr>
          <w:trHeight w:val="637" w:hRule="atLeast"/>
        </w:trPr>
        <w:tc>
          <w:tcPr>
            <w:tcW w:w="6706" w:type="dxa"/>
          </w:tcPr>
          <w:p>
            <w:pPr>
              <w:pStyle w:val="TableParagraph"/>
              <w:spacing w:before="36"/>
              <w:ind w:left="108"/>
              <w:rPr>
                <w:sz w:val="21"/>
              </w:rPr>
            </w:pPr>
            <w:r>
              <w:rPr>
                <w:sz w:val="21"/>
              </w:rPr>
              <w:t>易方达基金管理有限公司关于提醒网上直销个人投资者及时上传身份</w:t>
            </w:r>
          </w:p>
          <w:p>
            <w:pPr>
              <w:pStyle w:val="TableParagraph"/>
              <w:spacing w:before="43"/>
              <w:ind w:left="108"/>
              <w:rPr>
                <w:sz w:val="21"/>
              </w:rPr>
            </w:pPr>
            <w:r>
              <w:rPr>
                <w:sz w:val="21"/>
              </w:rPr>
              <w:t>证件照片并完善、更新身份信息以免影响日常交易的公告</w:t>
            </w:r>
          </w:p>
        </w:tc>
        <w:tc>
          <w:tcPr>
            <w:tcW w:w="2190" w:type="dxa"/>
          </w:tcPr>
          <w:p>
            <w:pPr>
              <w:pStyle w:val="TableParagraph"/>
              <w:spacing w:before="17"/>
              <w:rPr>
                <w:rFonts w:ascii="Microsoft JhengHei"/>
                <w:b/>
                <w:sz w:val="18"/>
              </w:rPr>
            </w:pPr>
          </w:p>
          <w:p>
            <w:pPr>
              <w:pStyle w:val="TableParagraph"/>
              <w:ind w:left="549" w:right="540"/>
              <w:jc w:val="center"/>
              <w:rPr>
                <w:sz w:val="21"/>
              </w:rPr>
            </w:pPr>
            <w:r>
              <w:rPr>
                <w:sz w:val="21"/>
              </w:rPr>
              <w:t>2019-05-28</w:t>
            </w:r>
          </w:p>
        </w:tc>
      </w:tr>
      <w:tr>
        <w:trPr>
          <w:trHeight w:val="623" w:hRule="atLeast"/>
        </w:trPr>
        <w:tc>
          <w:tcPr>
            <w:tcW w:w="6706" w:type="dxa"/>
          </w:tcPr>
          <w:p>
            <w:pPr>
              <w:pStyle w:val="TableParagraph"/>
              <w:spacing w:before="23"/>
              <w:ind w:left="108"/>
              <w:rPr>
                <w:sz w:val="21"/>
              </w:rPr>
            </w:pPr>
            <w:r>
              <w:rPr>
                <w:sz w:val="21"/>
              </w:rPr>
              <w:t>易方达基金管理有限公司关于旗下部分开放式基金参加德邦证券费率</w:t>
            </w:r>
          </w:p>
          <w:p>
            <w:pPr>
              <w:pStyle w:val="TableParagraph"/>
              <w:spacing w:before="43"/>
              <w:ind w:left="108"/>
              <w:rPr>
                <w:sz w:val="21"/>
              </w:rPr>
            </w:pPr>
            <w:r>
              <w:rPr>
                <w:sz w:val="21"/>
              </w:rPr>
              <w:t>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2019-06-24</w:t>
            </w:r>
          </w:p>
        </w:tc>
      </w:tr>
      <w:tr>
        <w:trPr>
          <w:trHeight w:val="623" w:hRule="atLeast"/>
        </w:trPr>
        <w:tc>
          <w:tcPr>
            <w:tcW w:w="6706" w:type="dxa"/>
          </w:tcPr>
          <w:p>
            <w:pPr>
              <w:pStyle w:val="TableParagraph"/>
              <w:spacing w:before="23"/>
              <w:ind w:left="108"/>
              <w:rPr>
                <w:sz w:val="21"/>
              </w:rPr>
            </w:pPr>
            <w:r>
              <w:rPr>
                <w:sz w:val="21"/>
              </w:rPr>
              <w:t>易方达基金管理有限公司关于旗下部分开放式基金参加长城国瑞证券</w:t>
            </w:r>
          </w:p>
          <w:p>
            <w:pPr>
              <w:pStyle w:val="TableParagraph"/>
              <w:spacing w:before="43"/>
              <w:ind w:left="108"/>
              <w:rPr>
                <w:sz w:val="21"/>
              </w:rPr>
            </w:pPr>
            <w:r>
              <w:rPr>
                <w:sz w:val="21"/>
              </w:rPr>
              <w:t>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2019-06-28</w:t>
            </w:r>
          </w:p>
        </w:tc>
      </w:tr>
      <w:tr>
        <w:trPr>
          <w:trHeight w:val="624" w:hRule="atLeast"/>
        </w:trPr>
        <w:tc>
          <w:tcPr>
            <w:tcW w:w="6706" w:type="dxa"/>
          </w:tcPr>
          <w:p>
            <w:pPr>
              <w:pStyle w:val="TableParagraph"/>
              <w:spacing w:before="23"/>
              <w:ind w:left="108"/>
              <w:rPr>
                <w:sz w:val="21"/>
              </w:rPr>
            </w:pPr>
            <w:r>
              <w:rPr>
                <w:sz w:val="21"/>
              </w:rPr>
              <w:t>易方达黄金主题证券投资基金（LOF）2019 年 7 月 4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2019-07-01</w:t>
            </w:r>
          </w:p>
        </w:tc>
      </w:tr>
      <w:tr>
        <w:trPr>
          <w:trHeight w:val="624" w:hRule="atLeast"/>
        </w:trPr>
        <w:tc>
          <w:tcPr>
            <w:tcW w:w="6706" w:type="dxa"/>
          </w:tcPr>
          <w:p>
            <w:pPr>
              <w:pStyle w:val="TableParagraph"/>
              <w:spacing w:before="23"/>
              <w:ind w:left="108"/>
              <w:rPr>
                <w:sz w:val="21"/>
              </w:rPr>
            </w:pPr>
            <w:r>
              <w:rPr>
                <w:sz w:val="21"/>
              </w:rPr>
              <w:t>易方达基金管理有限公司关于旗下部分开放式基金参加安信证券定期</w:t>
            </w:r>
          </w:p>
          <w:p>
            <w:pPr>
              <w:pStyle w:val="TableParagraph"/>
              <w:spacing w:before="43"/>
              <w:ind w:left="108"/>
              <w:rPr>
                <w:sz w:val="21"/>
              </w:rPr>
            </w:pPr>
            <w:r>
              <w:rPr>
                <w:sz w:val="21"/>
              </w:rPr>
              <w:t>定额投资费率优惠活动的公告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2019-07-15</w:t>
            </w:r>
          </w:p>
        </w:tc>
      </w:tr>
      <w:tr>
        <w:trPr>
          <w:trHeight w:val="624" w:hRule="atLeast"/>
        </w:trPr>
        <w:tc>
          <w:tcPr>
            <w:tcW w:w="6706" w:type="dxa"/>
          </w:tcPr>
          <w:p>
            <w:pPr>
              <w:pStyle w:val="TableParagraph"/>
              <w:spacing w:before="23"/>
              <w:ind w:left="108"/>
              <w:rPr>
                <w:sz w:val="21"/>
              </w:rPr>
            </w:pPr>
            <w:r>
              <w:rPr>
                <w:sz w:val="21"/>
              </w:rPr>
              <w:t>易方达基金管理有限公司关于旗下部分开放式基金参加海通证券费率</w:t>
            </w:r>
          </w:p>
          <w:p>
            <w:pPr>
              <w:pStyle w:val="TableParagraph"/>
              <w:spacing w:before="43"/>
              <w:ind w:left="108"/>
              <w:rPr>
                <w:sz w:val="21"/>
              </w:rPr>
            </w:pPr>
            <w:r>
              <w:rPr>
                <w:sz w:val="21"/>
              </w:rPr>
              <w:t>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2019-08-12</w:t>
            </w:r>
          </w:p>
        </w:tc>
      </w:tr>
      <w:tr>
        <w:trPr>
          <w:trHeight w:val="624" w:hRule="atLeast"/>
        </w:trPr>
        <w:tc>
          <w:tcPr>
            <w:tcW w:w="6706" w:type="dxa"/>
          </w:tcPr>
          <w:p>
            <w:pPr>
              <w:pStyle w:val="TableParagraph"/>
              <w:spacing w:before="23"/>
              <w:ind w:left="108"/>
              <w:rPr>
                <w:sz w:val="21"/>
              </w:rPr>
            </w:pPr>
            <w:r>
              <w:rPr>
                <w:sz w:val="21"/>
              </w:rPr>
              <w:t>易方达基金管理有限公司关于旗下部分开放式基金参加销售机构申购</w:t>
            </w:r>
          </w:p>
          <w:p>
            <w:pPr>
              <w:pStyle w:val="TableParagraph"/>
              <w:spacing w:before="43"/>
              <w:ind w:left="108"/>
              <w:rPr>
                <w:sz w:val="21"/>
              </w:rPr>
            </w:pPr>
            <w:r>
              <w:rPr>
                <w:sz w:val="21"/>
              </w:rPr>
              <w:t>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2019-08-13</w:t>
            </w:r>
          </w:p>
        </w:tc>
      </w:tr>
      <w:tr>
        <w:trPr>
          <w:trHeight w:val="624" w:hRule="atLeast"/>
        </w:trPr>
        <w:tc>
          <w:tcPr>
            <w:tcW w:w="6706" w:type="dxa"/>
          </w:tcPr>
          <w:p>
            <w:pPr>
              <w:pStyle w:val="TableParagraph"/>
              <w:spacing w:before="23"/>
              <w:ind w:left="108"/>
              <w:rPr>
                <w:sz w:val="21"/>
              </w:rPr>
            </w:pPr>
            <w:r>
              <w:rPr>
                <w:sz w:val="21"/>
              </w:rPr>
              <w:t>易方达基金管理有限公司关于暂停厦门市鑫鼎盛控股有限公司办理旗</w:t>
            </w:r>
          </w:p>
          <w:p>
            <w:pPr>
              <w:pStyle w:val="TableParagraph"/>
              <w:spacing w:before="43"/>
              <w:ind w:left="108"/>
              <w:rPr>
                <w:sz w:val="21"/>
              </w:rPr>
            </w:pPr>
            <w:r>
              <w:rPr>
                <w:sz w:val="21"/>
              </w:rPr>
              <w:t>下基金相关销售业务的公告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2019-08-14</w:t>
            </w:r>
          </w:p>
        </w:tc>
      </w:tr>
      <w:tr>
        <w:trPr>
          <w:trHeight w:val="624" w:hRule="atLeast"/>
        </w:trPr>
        <w:tc>
          <w:tcPr>
            <w:tcW w:w="6706" w:type="dxa"/>
          </w:tcPr>
          <w:p>
            <w:pPr>
              <w:pStyle w:val="TableParagraph"/>
              <w:spacing w:before="23"/>
              <w:ind w:left="108"/>
              <w:rPr>
                <w:sz w:val="21"/>
              </w:rPr>
            </w:pPr>
            <w:r>
              <w:rPr>
                <w:sz w:val="21"/>
              </w:rPr>
              <w:t>易方达基金管理有限公司关于暂停上海凯石财富基金销售有限公司办</w:t>
            </w:r>
          </w:p>
          <w:p>
            <w:pPr>
              <w:pStyle w:val="TableParagraph"/>
              <w:spacing w:before="43"/>
              <w:ind w:left="108"/>
              <w:rPr>
                <w:sz w:val="21"/>
              </w:rPr>
            </w:pPr>
            <w:r>
              <w:rPr>
                <w:sz w:val="21"/>
              </w:rPr>
              <w:t>理旗下基金相关销售业务的公告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2019-08-14</w:t>
            </w:r>
          </w:p>
        </w:tc>
      </w:tr>
      <w:tr>
        <w:trPr>
          <w:trHeight w:val="624" w:hRule="atLeast"/>
        </w:trPr>
        <w:tc>
          <w:tcPr>
            <w:tcW w:w="6706" w:type="dxa"/>
          </w:tcPr>
          <w:p>
            <w:pPr>
              <w:pStyle w:val="TableParagraph"/>
              <w:spacing w:before="23"/>
              <w:ind w:left="108"/>
              <w:rPr>
                <w:sz w:val="21"/>
              </w:rPr>
            </w:pPr>
            <w:r>
              <w:rPr>
                <w:sz w:val="21"/>
              </w:rPr>
              <w:t>易方达基金管理有限公司关于暂停深圳宜投基金销售有限公司办理旗</w:t>
            </w:r>
          </w:p>
          <w:p>
            <w:pPr>
              <w:pStyle w:val="TableParagraph"/>
              <w:spacing w:before="43"/>
              <w:ind w:left="108"/>
              <w:rPr>
                <w:sz w:val="21"/>
              </w:rPr>
            </w:pPr>
            <w:r>
              <w:rPr>
                <w:sz w:val="21"/>
              </w:rPr>
              <w:t>下基金相关销售业务的公告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2019-08-14</w:t>
            </w:r>
          </w:p>
        </w:tc>
      </w:tr>
      <w:tr>
        <w:trPr>
          <w:trHeight w:val="624" w:hRule="atLeast"/>
        </w:trPr>
        <w:tc>
          <w:tcPr>
            <w:tcW w:w="6706" w:type="dxa"/>
          </w:tcPr>
          <w:p>
            <w:pPr>
              <w:pStyle w:val="TableParagraph"/>
              <w:spacing w:before="23"/>
              <w:ind w:left="108"/>
              <w:rPr>
                <w:sz w:val="21"/>
              </w:rPr>
            </w:pPr>
            <w:r>
              <w:rPr>
                <w:sz w:val="21"/>
              </w:rPr>
              <w:t>易方达黄金主题证券投资基金（LOF）2019 年 9 月 2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2019-08-28</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易方达基金管理有限公司旗下部分开放式基金增加微众银行为销售机</w:t>
            </w:r>
          </w:p>
          <w:p>
            <w:pPr>
              <w:pStyle w:val="TableParagraph"/>
              <w:spacing w:before="43"/>
              <w:ind w:left="108"/>
              <w:rPr>
                <w:sz w:val="21"/>
              </w:rPr>
            </w:pPr>
            <w:r>
              <w:rPr>
                <w:sz w:val="21"/>
              </w:rPr>
              <w:t>构、参加微众银行费率优惠活动的公告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2019-09-11</w:t>
            </w:r>
          </w:p>
        </w:tc>
      </w:tr>
      <w:tr>
        <w:trPr>
          <w:trHeight w:val="623" w:hRule="atLeast"/>
        </w:trPr>
        <w:tc>
          <w:tcPr>
            <w:tcW w:w="6706" w:type="dxa"/>
          </w:tcPr>
          <w:p>
            <w:pPr>
              <w:pStyle w:val="TableParagraph"/>
              <w:spacing w:before="23"/>
              <w:ind w:left="108"/>
              <w:rPr>
                <w:sz w:val="21"/>
              </w:rPr>
            </w:pPr>
            <w:r>
              <w:rPr>
                <w:sz w:val="21"/>
              </w:rPr>
              <w:t>易方达黄金主题证券投资基金（LOF）之 C 类人民币份额、A 类美元份</w:t>
            </w:r>
          </w:p>
          <w:p>
            <w:pPr>
              <w:pStyle w:val="TableParagraph"/>
              <w:spacing w:before="43"/>
              <w:ind w:left="108"/>
              <w:rPr>
                <w:sz w:val="21"/>
              </w:rPr>
            </w:pPr>
            <w:r>
              <w:rPr>
                <w:sz w:val="21"/>
              </w:rPr>
              <w:t>额、C 类美元份额开放日常申购、赎回和定期定额投资业务的公告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2019-10-10</w:t>
            </w:r>
          </w:p>
        </w:tc>
      </w:tr>
      <w:tr>
        <w:trPr>
          <w:trHeight w:val="935" w:hRule="atLeast"/>
        </w:trPr>
        <w:tc>
          <w:tcPr>
            <w:tcW w:w="6706" w:type="dxa"/>
          </w:tcPr>
          <w:p>
            <w:pPr>
              <w:pStyle w:val="TableParagraph"/>
              <w:spacing w:before="23"/>
              <w:ind w:left="108"/>
              <w:rPr>
                <w:sz w:val="21"/>
              </w:rPr>
            </w:pPr>
            <w:r>
              <w:rPr>
                <w:sz w:val="21"/>
              </w:rPr>
              <w:t>易方达基金管理有限公司关于易方达黄金主题证券投资基金（LOF）增</w:t>
            </w:r>
          </w:p>
          <w:p>
            <w:pPr>
              <w:pStyle w:val="TableParagraph"/>
              <w:spacing w:line="310" w:lineRule="atLeast" w:before="2"/>
              <w:ind w:left="108" w:right="287"/>
              <w:rPr>
                <w:sz w:val="21"/>
              </w:rPr>
            </w:pPr>
            <w:r>
              <w:rPr>
                <w:sz w:val="21"/>
              </w:rPr>
              <w:t>设基金份额、修改业绩比较基准并修订基金合同、托管协议部分条款的公告</w:t>
            </w:r>
          </w:p>
        </w:tc>
        <w:tc>
          <w:tcPr>
            <w:tcW w:w="2190" w:type="dxa"/>
          </w:tcPr>
          <w:p>
            <w:pPr>
              <w:pStyle w:val="TableParagraph"/>
              <w:rPr>
                <w:rFonts w:ascii="Microsoft JhengHei"/>
                <w:b/>
                <w:sz w:val="20"/>
              </w:rPr>
            </w:pPr>
          </w:p>
          <w:p>
            <w:pPr>
              <w:pStyle w:val="TableParagraph"/>
              <w:spacing w:before="3"/>
              <w:rPr>
                <w:rFonts w:ascii="Microsoft JhengHei"/>
                <w:b/>
                <w:sz w:val="15"/>
              </w:rPr>
            </w:pPr>
          </w:p>
          <w:p>
            <w:pPr>
              <w:pStyle w:val="TableParagraph"/>
              <w:ind w:left="549" w:right="540"/>
              <w:jc w:val="center"/>
              <w:rPr>
                <w:sz w:val="21"/>
              </w:rPr>
            </w:pPr>
            <w:r>
              <w:rPr>
                <w:sz w:val="21"/>
              </w:rPr>
              <w:t>2019-10-10</w:t>
            </w:r>
          </w:p>
        </w:tc>
      </w:tr>
      <w:tr>
        <w:trPr>
          <w:trHeight w:val="624" w:hRule="atLeast"/>
        </w:trPr>
        <w:tc>
          <w:tcPr>
            <w:tcW w:w="6706" w:type="dxa"/>
          </w:tcPr>
          <w:p>
            <w:pPr>
              <w:pStyle w:val="TableParagraph"/>
              <w:spacing w:before="23"/>
              <w:ind w:left="108"/>
              <w:rPr>
                <w:sz w:val="21"/>
              </w:rPr>
            </w:pPr>
            <w:r>
              <w:rPr>
                <w:sz w:val="21"/>
              </w:rPr>
              <w:t>易方达基金管理有限公司关于调低易方达黄金主题证券投资基金</w:t>
            </w:r>
          </w:p>
          <w:p>
            <w:pPr>
              <w:pStyle w:val="TableParagraph"/>
              <w:spacing w:before="43"/>
              <w:ind w:left="108"/>
              <w:rPr>
                <w:sz w:val="21"/>
              </w:rPr>
            </w:pPr>
            <w:r>
              <w:rPr>
                <w:sz w:val="21"/>
              </w:rPr>
              <w:t>（LOF）管理费、托管费并修订基金合同及托管协议的公告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2019-10-17</w:t>
            </w:r>
          </w:p>
        </w:tc>
      </w:tr>
      <w:tr>
        <w:trPr>
          <w:trHeight w:val="311" w:hRule="atLeast"/>
        </w:trPr>
        <w:tc>
          <w:tcPr>
            <w:tcW w:w="6706" w:type="dxa"/>
          </w:tcPr>
          <w:p>
            <w:pPr>
              <w:pStyle w:val="TableParagraph"/>
              <w:spacing w:before="23"/>
              <w:ind w:left="108"/>
              <w:rPr>
                <w:sz w:val="21"/>
              </w:rPr>
            </w:pPr>
            <w:r>
              <w:rPr>
                <w:sz w:val="21"/>
              </w:rPr>
              <w:t>易方达基金管理有限公司旗下基金季度报告提示性公告</w:t>
            </w:r>
          </w:p>
        </w:tc>
        <w:tc>
          <w:tcPr>
            <w:tcW w:w="2190" w:type="dxa"/>
          </w:tcPr>
          <w:p>
            <w:pPr>
              <w:pStyle w:val="TableParagraph"/>
              <w:spacing w:before="23"/>
              <w:ind w:left="549" w:right="540"/>
              <w:jc w:val="center"/>
              <w:rPr>
                <w:sz w:val="21"/>
              </w:rPr>
            </w:pPr>
            <w:r>
              <w:rPr>
                <w:sz w:val="21"/>
              </w:rPr>
              <w:t>2019-10-24</w:t>
            </w:r>
          </w:p>
        </w:tc>
      </w:tr>
      <w:tr>
        <w:trPr>
          <w:trHeight w:val="311" w:hRule="atLeast"/>
        </w:trPr>
        <w:tc>
          <w:tcPr>
            <w:tcW w:w="6706" w:type="dxa"/>
          </w:tcPr>
          <w:p>
            <w:pPr>
              <w:pStyle w:val="TableParagraph"/>
              <w:spacing w:before="23"/>
              <w:ind w:left="108"/>
              <w:rPr>
                <w:sz w:val="21"/>
              </w:rPr>
            </w:pPr>
            <w:r>
              <w:rPr>
                <w:sz w:val="21"/>
              </w:rPr>
              <w:t>易方达黄金主题证券投资基金（LOF）C 类人民币份额增加百度百盈为</w:t>
            </w:r>
          </w:p>
        </w:tc>
        <w:tc>
          <w:tcPr>
            <w:tcW w:w="2190" w:type="dxa"/>
          </w:tcPr>
          <w:p>
            <w:pPr>
              <w:pStyle w:val="TableParagraph"/>
              <w:spacing w:before="23"/>
              <w:ind w:left="549" w:right="540"/>
              <w:jc w:val="center"/>
              <w:rPr>
                <w:sz w:val="21"/>
              </w:rPr>
            </w:pPr>
            <w:r>
              <w:rPr>
                <w:sz w:val="21"/>
              </w:rPr>
              <w:t>2019-10-29</w:t>
            </w:r>
          </w:p>
        </w:tc>
      </w:tr>
    </w:tbl>
    <w:p>
      <w:pPr>
        <w:spacing w:after="0"/>
        <w:jc w:val="center"/>
        <w:rPr>
          <w:sz w:val="21"/>
        </w:rPr>
        <w:sectPr>
          <w:pgSz w:w="11910" w:h="16840"/>
          <w:pgMar w:header="0" w:footer="1118" w:top="1400" w:bottom="1380" w:left="1420" w:right="1000"/>
        </w:sect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6"/>
        <w:gridCol w:w="2190"/>
      </w:tblGrid>
      <w:tr>
        <w:trPr>
          <w:trHeight w:val="312" w:hRule="atLeast"/>
        </w:trPr>
        <w:tc>
          <w:tcPr>
            <w:tcW w:w="6706" w:type="dxa"/>
          </w:tcPr>
          <w:p>
            <w:pPr>
              <w:pStyle w:val="TableParagraph"/>
              <w:spacing w:before="23"/>
              <w:ind w:left="108"/>
              <w:rPr>
                <w:sz w:val="21"/>
              </w:rPr>
            </w:pPr>
            <w:r>
              <w:rPr>
                <w:sz w:val="21"/>
              </w:rPr>
              <w:t>销售机构的公告</w:t>
            </w:r>
          </w:p>
        </w:tc>
        <w:tc>
          <w:tcPr>
            <w:tcW w:w="2190" w:type="dxa"/>
          </w:tcPr>
          <w:p>
            <w:pPr>
              <w:pStyle w:val="TableParagraph"/>
              <w:rPr>
                <w:rFonts w:ascii="Times New Roman"/>
                <w:sz w:val="20"/>
              </w:rPr>
            </w:pPr>
          </w:p>
        </w:tc>
      </w:tr>
      <w:tr>
        <w:trPr>
          <w:trHeight w:val="624" w:hRule="atLeast"/>
        </w:trPr>
        <w:tc>
          <w:tcPr>
            <w:tcW w:w="6706" w:type="dxa"/>
          </w:tcPr>
          <w:p>
            <w:pPr>
              <w:pStyle w:val="TableParagraph"/>
              <w:spacing w:before="23"/>
              <w:ind w:left="108"/>
              <w:rPr>
                <w:sz w:val="21"/>
              </w:rPr>
            </w:pPr>
            <w:r>
              <w:rPr>
                <w:sz w:val="21"/>
              </w:rPr>
              <w:t>易方达黄金主题证券投资基金（LOF）2019</w:t>
            </w:r>
            <w:r>
              <w:rPr>
                <w:spacing w:val="-36"/>
                <w:sz w:val="21"/>
              </w:rPr>
              <w:t> 年 </w:t>
            </w:r>
            <w:r>
              <w:rPr>
                <w:sz w:val="21"/>
              </w:rPr>
              <w:t>11</w:t>
            </w:r>
            <w:r>
              <w:rPr>
                <w:spacing w:val="-36"/>
                <w:sz w:val="21"/>
              </w:rPr>
              <w:t> 月 </w:t>
            </w:r>
            <w:r>
              <w:rPr>
                <w:sz w:val="21"/>
              </w:rPr>
              <w:t>28</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2019-11-25</w:t>
            </w:r>
          </w:p>
        </w:tc>
      </w:tr>
      <w:tr>
        <w:trPr>
          <w:trHeight w:val="623" w:hRule="atLeast"/>
        </w:trPr>
        <w:tc>
          <w:tcPr>
            <w:tcW w:w="6706" w:type="dxa"/>
          </w:tcPr>
          <w:p>
            <w:pPr>
              <w:pStyle w:val="TableParagraph"/>
              <w:spacing w:before="23"/>
              <w:ind w:left="108"/>
              <w:rPr>
                <w:sz w:val="21"/>
              </w:rPr>
            </w:pPr>
            <w:r>
              <w:rPr>
                <w:sz w:val="21"/>
              </w:rPr>
              <w:t>易方达黄金主题证券投资基金（LOF）2019</w:t>
            </w:r>
            <w:r>
              <w:rPr>
                <w:spacing w:val="-36"/>
                <w:sz w:val="21"/>
              </w:rPr>
              <w:t> 年 </w:t>
            </w:r>
            <w:r>
              <w:rPr>
                <w:sz w:val="21"/>
              </w:rPr>
              <w:t>12</w:t>
            </w:r>
            <w:r>
              <w:rPr>
                <w:spacing w:val="-36"/>
                <w:sz w:val="21"/>
              </w:rPr>
              <w:t> 月 </w:t>
            </w:r>
            <w:r>
              <w:rPr>
                <w:sz w:val="21"/>
              </w:rPr>
              <w:t>25</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2019-12-20</w:t>
            </w:r>
          </w:p>
        </w:tc>
      </w:tr>
      <w:tr>
        <w:trPr>
          <w:trHeight w:val="623" w:hRule="atLeast"/>
        </w:trPr>
        <w:tc>
          <w:tcPr>
            <w:tcW w:w="6706" w:type="dxa"/>
          </w:tcPr>
          <w:p>
            <w:pPr>
              <w:pStyle w:val="TableParagraph"/>
              <w:spacing w:before="23"/>
              <w:ind w:left="108"/>
              <w:rPr>
                <w:sz w:val="21"/>
              </w:rPr>
            </w:pPr>
            <w:r>
              <w:rPr>
                <w:sz w:val="21"/>
              </w:rPr>
              <w:t>易方达基金管理有限公司旗下部分开放式基金参加中国邮政储蓄银行</w:t>
            </w:r>
          </w:p>
          <w:p>
            <w:pPr>
              <w:pStyle w:val="TableParagraph"/>
              <w:spacing w:before="43"/>
              <w:ind w:left="108"/>
              <w:rPr>
                <w:sz w:val="21"/>
              </w:rPr>
            </w:pPr>
            <w:r>
              <w:rPr>
                <w:sz w:val="21"/>
              </w:rPr>
              <w:t>个人网上银行和手机银行申购费率优惠活动的公告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2019-12-30</w:t>
            </w:r>
          </w:p>
        </w:tc>
      </w:tr>
      <w:tr>
        <w:trPr>
          <w:trHeight w:val="311" w:hRule="atLeast"/>
        </w:trPr>
        <w:tc>
          <w:tcPr>
            <w:tcW w:w="6706" w:type="dxa"/>
          </w:tcPr>
          <w:p>
            <w:pPr>
              <w:pStyle w:val="TableParagraph"/>
              <w:spacing w:before="23"/>
              <w:ind w:left="108"/>
              <w:rPr>
                <w:sz w:val="21"/>
              </w:rPr>
            </w:pPr>
            <w:r>
              <w:rPr>
                <w:sz w:val="21"/>
              </w:rPr>
              <w:t>易方达基金管理有限公司关于公司股权变更的公告</w:t>
            </w:r>
          </w:p>
        </w:tc>
        <w:tc>
          <w:tcPr>
            <w:tcW w:w="2190" w:type="dxa"/>
          </w:tcPr>
          <w:p>
            <w:pPr>
              <w:pStyle w:val="TableParagraph"/>
              <w:spacing w:before="23"/>
              <w:ind w:left="549" w:right="540"/>
              <w:jc w:val="center"/>
              <w:rPr>
                <w:sz w:val="21"/>
              </w:rPr>
            </w:pPr>
            <w:r>
              <w:rPr>
                <w:sz w:val="21"/>
              </w:rPr>
              <w:t>2019-12-31</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易方达基金管理有限公司旗下部分开放式基金参加交通银行手机银行</w:t>
            </w:r>
          </w:p>
          <w:p>
            <w:pPr>
              <w:pStyle w:val="TableParagraph"/>
              <w:spacing w:before="43"/>
              <w:ind w:left="108"/>
              <w:rPr>
                <w:sz w:val="21"/>
              </w:rPr>
            </w:pPr>
            <w:r>
              <w:rPr>
                <w:sz w:val="21"/>
              </w:rPr>
              <w:t>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2019-12-31</w:t>
            </w:r>
          </w:p>
        </w:tc>
      </w:tr>
      <w:tr>
        <w:trPr>
          <w:trHeight w:val="623" w:hRule="atLeast"/>
        </w:trPr>
        <w:tc>
          <w:tcPr>
            <w:tcW w:w="6706" w:type="dxa"/>
          </w:tcPr>
          <w:p>
            <w:pPr>
              <w:pStyle w:val="TableParagraph"/>
              <w:spacing w:before="23"/>
              <w:ind w:left="108"/>
              <w:rPr>
                <w:sz w:val="21"/>
              </w:rPr>
            </w:pPr>
            <w:r>
              <w:rPr>
                <w:sz w:val="21"/>
              </w:rPr>
              <w:t>易方达基金管理有限公司旗下部分开放式基金参加中国工商银行</w:t>
            </w:r>
          </w:p>
          <w:p>
            <w:pPr>
              <w:pStyle w:val="TableParagraph"/>
              <w:spacing w:before="43"/>
              <w:ind w:left="108"/>
              <w:rPr>
                <w:sz w:val="21"/>
              </w:rPr>
            </w:pPr>
            <w:r>
              <w:rPr>
                <w:sz w:val="21"/>
              </w:rPr>
              <w:t>“2020 倾心回馈”基金定期定额投资费率优惠活动的公告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2019-12-31</w:t>
            </w:r>
          </w:p>
        </w:tc>
      </w:tr>
      <w:tr>
        <w:trPr>
          <w:trHeight w:val="623" w:hRule="atLeast"/>
        </w:trPr>
        <w:tc>
          <w:tcPr>
            <w:tcW w:w="6706" w:type="dxa"/>
          </w:tcPr>
          <w:p>
            <w:pPr>
              <w:pStyle w:val="TableParagraph"/>
              <w:spacing w:before="23"/>
              <w:ind w:left="108"/>
              <w:rPr>
                <w:sz w:val="21"/>
              </w:rPr>
            </w:pPr>
            <w:r>
              <w:rPr>
                <w:sz w:val="21"/>
              </w:rPr>
              <w:t>易方达基金管理有限公司旗下部分开放式基金参加中国工商银行个人</w:t>
            </w:r>
          </w:p>
          <w:p>
            <w:pPr>
              <w:pStyle w:val="TableParagraph"/>
              <w:spacing w:before="43"/>
              <w:ind w:left="108"/>
              <w:rPr>
                <w:sz w:val="21"/>
              </w:rPr>
            </w:pPr>
            <w:r>
              <w:rPr>
                <w:sz w:val="21"/>
              </w:rPr>
              <w:t>电子银行渠道申购费率优惠活动的公告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2019-12-31</w:t>
            </w:r>
          </w:p>
        </w:tc>
      </w:tr>
      <w:tr>
        <w:trPr>
          <w:trHeight w:val="935" w:hRule="atLeast"/>
        </w:trPr>
        <w:tc>
          <w:tcPr>
            <w:tcW w:w="6706" w:type="dxa"/>
          </w:tcPr>
          <w:p>
            <w:pPr>
              <w:pStyle w:val="TableParagraph"/>
              <w:spacing w:line="278" w:lineRule="auto" w:before="23"/>
              <w:ind w:left="108" w:right="182"/>
              <w:rPr>
                <w:sz w:val="21"/>
              </w:rPr>
            </w:pPr>
            <w:r>
              <w:rPr>
                <w:sz w:val="21"/>
              </w:rPr>
              <w:t>易方达基金管理有限公司关于易方达黄金主题证券投资基金（LOF）根据《公开募集证券投资基金信息披露管理办法》修订基金合同、托管</w:t>
            </w:r>
          </w:p>
          <w:p>
            <w:pPr>
              <w:pStyle w:val="TableParagraph"/>
              <w:spacing w:line="269" w:lineRule="exact"/>
              <w:ind w:left="108"/>
              <w:rPr>
                <w:sz w:val="21"/>
              </w:rPr>
            </w:pPr>
            <w:r>
              <w:rPr>
                <w:sz w:val="21"/>
              </w:rPr>
              <w:t>协议部分条款的公告</w:t>
            </w:r>
          </w:p>
        </w:tc>
        <w:tc>
          <w:tcPr>
            <w:tcW w:w="2190" w:type="dxa"/>
          </w:tcPr>
          <w:p>
            <w:pPr>
              <w:pStyle w:val="TableParagraph"/>
              <w:rPr>
                <w:rFonts w:ascii="Microsoft JhengHei"/>
                <w:b/>
                <w:sz w:val="20"/>
              </w:rPr>
            </w:pPr>
          </w:p>
          <w:p>
            <w:pPr>
              <w:pStyle w:val="TableParagraph"/>
              <w:spacing w:before="3"/>
              <w:rPr>
                <w:rFonts w:ascii="Microsoft JhengHei"/>
                <w:b/>
                <w:sz w:val="15"/>
              </w:rPr>
            </w:pPr>
          </w:p>
          <w:p>
            <w:pPr>
              <w:pStyle w:val="TableParagraph"/>
              <w:ind w:left="549" w:right="540"/>
              <w:jc w:val="center"/>
              <w:rPr>
                <w:sz w:val="21"/>
              </w:rPr>
            </w:pPr>
            <w:r>
              <w:rPr>
                <w:sz w:val="21"/>
              </w:rPr>
              <w:t>2019-12-31</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易方达基金管理有限公司旗下部分开放式基金参加中国农业银行费率</w:t>
            </w:r>
          </w:p>
          <w:p>
            <w:pPr>
              <w:pStyle w:val="TableParagraph"/>
              <w:spacing w:before="43"/>
              <w:ind w:left="108"/>
              <w:rPr>
                <w:sz w:val="21"/>
              </w:rPr>
            </w:pPr>
            <w:r>
              <w:rPr>
                <w:sz w:val="21"/>
              </w:rPr>
              <w:t>优惠活动的公告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2020-01-06</w:t>
            </w:r>
          </w:p>
        </w:tc>
      </w:tr>
      <w:tr>
        <w:trPr>
          <w:trHeight w:val="624" w:hRule="atLeast"/>
        </w:trPr>
        <w:tc>
          <w:tcPr>
            <w:tcW w:w="6706" w:type="dxa"/>
          </w:tcPr>
          <w:p>
            <w:pPr>
              <w:pStyle w:val="TableParagraph"/>
              <w:spacing w:before="23"/>
              <w:ind w:left="108"/>
              <w:rPr>
                <w:sz w:val="21"/>
              </w:rPr>
            </w:pPr>
            <w:r>
              <w:rPr>
                <w:sz w:val="21"/>
              </w:rPr>
              <w:t>易方达黄金主题证券投资基金（LOF）2020</w:t>
            </w:r>
            <w:r>
              <w:rPr>
                <w:spacing w:val="-36"/>
                <w:sz w:val="21"/>
              </w:rPr>
              <w:t> 年 </w:t>
            </w:r>
            <w:r>
              <w:rPr>
                <w:sz w:val="21"/>
              </w:rPr>
              <w:t>1</w:t>
            </w:r>
            <w:r>
              <w:rPr>
                <w:spacing w:val="-36"/>
                <w:sz w:val="21"/>
              </w:rPr>
              <w:t> 月 </w:t>
            </w:r>
            <w:r>
              <w:rPr>
                <w:sz w:val="21"/>
              </w:rPr>
              <w:t>20</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2020-01-15</w:t>
            </w:r>
          </w:p>
        </w:tc>
      </w:tr>
      <w:tr>
        <w:trPr>
          <w:trHeight w:val="312" w:hRule="atLeast"/>
        </w:trPr>
        <w:tc>
          <w:tcPr>
            <w:tcW w:w="6706" w:type="dxa"/>
          </w:tcPr>
          <w:p>
            <w:pPr>
              <w:pStyle w:val="TableParagraph"/>
              <w:spacing w:before="23"/>
              <w:ind w:left="108"/>
              <w:rPr>
                <w:sz w:val="21"/>
              </w:rPr>
            </w:pPr>
            <w:r>
              <w:rPr>
                <w:sz w:val="21"/>
              </w:rPr>
              <w:t>易方达基金管理有限公司旗下基金 2019 年第 4 季度报告提示性公告</w:t>
            </w:r>
          </w:p>
        </w:tc>
        <w:tc>
          <w:tcPr>
            <w:tcW w:w="2190" w:type="dxa"/>
          </w:tcPr>
          <w:p>
            <w:pPr>
              <w:pStyle w:val="TableParagraph"/>
              <w:spacing w:before="23"/>
              <w:ind w:left="549" w:right="540"/>
              <w:jc w:val="center"/>
              <w:rPr>
                <w:sz w:val="21"/>
              </w:rPr>
            </w:pPr>
            <w:r>
              <w:rPr>
                <w:sz w:val="21"/>
              </w:rPr>
              <w:t>2020-01-18</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易方达基金管理有限公司旗下部分开放式基金参加泉州银行费率优惠</w:t>
            </w:r>
          </w:p>
          <w:p>
            <w:pPr>
              <w:pStyle w:val="TableParagraph"/>
              <w:spacing w:before="43"/>
              <w:ind w:left="108"/>
              <w:rPr>
                <w:sz w:val="21"/>
              </w:rPr>
            </w:pPr>
            <w:r>
              <w:rPr>
                <w:sz w:val="21"/>
              </w:rPr>
              <w:t>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2020-01-23</w:t>
            </w:r>
          </w:p>
        </w:tc>
      </w:tr>
      <w:tr>
        <w:trPr>
          <w:trHeight w:val="624" w:hRule="atLeast"/>
        </w:trPr>
        <w:tc>
          <w:tcPr>
            <w:tcW w:w="6706" w:type="dxa"/>
          </w:tcPr>
          <w:p>
            <w:pPr>
              <w:pStyle w:val="TableParagraph"/>
              <w:spacing w:before="23"/>
              <w:ind w:left="108"/>
              <w:rPr>
                <w:sz w:val="21"/>
              </w:rPr>
            </w:pPr>
            <w:r>
              <w:rPr>
                <w:sz w:val="21"/>
              </w:rPr>
              <w:t>易方达基金管理有限公司关于旗下基金 2020 年 1 月 31 日不开放申</w:t>
            </w:r>
          </w:p>
          <w:p>
            <w:pPr>
              <w:pStyle w:val="TableParagraph"/>
              <w:spacing w:before="43"/>
              <w:ind w:left="108"/>
              <w:rPr>
                <w:sz w:val="21"/>
              </w:rPr>
            </w:pPr>
            <w:r>
              <w:rPr>
                <w:sz w:val="21"/>
              </w:rPr>
              <w:t>购、赎回、转换、定期定额投资等业务的提示性公告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2020-01-30</w:t>
            </w:r>
          </w:p>
        </w:tc>
      </w:tr>
      <w:tr>
        <w:trPr>
          <w:trHeight w:val="312" w:hRule="atLeast"/>
        </w:trPr>
        <w:tc>
          <w:tcPr>
            <w:tcW w:w="6706" w:type="dxa"/>
          </w:tcPr>
          <w:p>
            <w:pPr>
              <w:pStyle w:val="TableParagraph"/>
              <w:spacing w:before="23"/>
              <w:ind w:left="108"/>
              <w:rPr>
                <w:sz w:val="21"/>
              </w:rPr>
            </w:pPr>
            <w:r>
              <w:rPr>
                <w:sz w:val="21"/>
              </w:rPr>
              <w:t>易方达基金管理有限公司及全资子公司投资旗下基金相关事宜的公告</w:t>
            </w:r>
          </w:p>
        </w:tc>
        <w:tc>
          <w:tcPr>
            <w:tcW w:w="2190" w:type="dxa"/>
          </w:tcPr>
          <w:p>
            <w:pPr>
              <w:pStyle w:val="TableParagraph"/>
              <w:spacing w:before="23"/>
              <w:ind w:left="549" w:right="540"/>
              <w:jc w:val="center"/>
              <w:rPr>
                <w:sz w:val="21"/>
              </w:rPr>
            </w:pPr>
            <w:r>
              <w:rPr>
                <w:sz w:val="21"/>
              </w:rPr>
              <w:t>2020-02-04</w:t>
            </w:r>
          </w:p>
        </w:tc>
      </w:tr>
      <w:tr>
        <w:trPr>
          <w:trHeight w:val="624" w:hRule="atLeast"/>
        </w:trPr>
        <w:tc>
          <w:tcPr>
            <w:tcW w:w="6706" w:type="dxa"/>
          </w:tcPr>
          <w:p>
            <w:pPr>
              <w:pStyle w:val="TableParagraph"/>
              <w:spacing w:before="23"/>
              <w:ind w:left="108"/>
              <w:rPr>
                <w:sz w:val="21"/>
              </w:rPr>
            </w:pPr>
            <w:r>
              <w:rPr>
                <w:sz w:val="21"/>
              </w:rPr>
              <w:t>易方达黄金主题证券投资基金（LOF）2020</w:t>
            </w:r>
            <w:r>
              <w:rPr>
                <w:spacing w:val="-36"/>
                <w:sz w:val="21"/>
              </w:rPr>
              <w:t> 年 </w:t>
            </w:r>
            <w:r>
              <w:rPr>
                <w:sz w:val="21"/>
              </w:rPr>
              <w:t>2</w:t>
            </w:r>
            <w:r>
              <w:rPr>
                <w:spacing w:val="-36"/>
                <w:sz w:val="21"/>
              </w:rPr>
              <w:t> 月 </w:t>
            </w:r>
            <w:r>
              <w:rPr>
                <w:sz w:val="21"/>
              </w:rPr>
              <w:t>17</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2020-02-12</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易方达基金管理有限公司旗下部分开放式基金增加好买基金为销售机</w:t>
            </w:r>
          </w:p>
          <w:p>
            <w:pPr>
              <w:pStyle w:val="TableParagraph"/>
              <w:spacing w:before="43"/>
              <w:ind w:left="108"/>
              <w:rPr>
                <w:sz w:val="21"/>
              </w:rPr>
            </w:pPr>
            <w:r>
              <w:rPr>
                <w:sz w:val="21"/>
              </w:rPr>
              <w:t>构的公告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2020-03-02</w:t>
            </w:r>
          </w:p>
        </w:tc>
      </w:tr>
      <w:tr>
        <w:trPr>
          <w:trHeight w:val="623" w:hRule="atLeast"/>
        </w:trPr>
        <w:tc>
          <w:tcPr>
            <w:tcW w:w="6706" w:type="dxa"/>
          </w:tcPr>
          <w:p>
            <w:pPr>
              <w:pStyle w:val="TableParagraph"/>
              <w:spacing w:before="23"/>
              <w:ind w:left="108"/>
              <w:rPr>
                <w:sz w:val="21"/>
              </w:rPr>
            </w:pPr>
            <w:r>
              <w:rPr>
                <w:sz w:val="21"/>
              </w:rPr>
              <w:t>易方达基金管理有限公司旗下部分开放式基金参加中金公司费率优惠</w:t>
            </w:r>
          </w:p>
          <w:p>
            <w:pPr>
              <w:pStyle w:val="TableParagraph"/>
              <w:spacing w:before="43"/>
              <w:ind w:left="108"/>
              <w:rPr>
                <w:sz w:val="21"/>
              </w:rPr>
            </w:pPr>
            <w:r>
              <w:rPr>
                <w:sz w:val="21"/>
              </w:rPr>
              <w:t>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2020-03-05</w:t>
            </w:r>
          </w:p>
        </w:tc>
      </w:tr>
      <w:tr>
        <w:trPr>
          <w:trHeight w:val="311" w:hRule="atLeast"/>
        </w:trPr>
        <w:tc>
          <w:tcPr>
            <w:tcW w:w="6706" w:type="dxa"/>
          </w:tcPr>
          <w:p>
            <w:pPr>
              <w:pStyle w:val="TableParagraph"/>
              <w:spacing w:before="23"/>
              <w:ind w:left="108"/>
              <w:rPr>
                <w:sz w:val="21"/>
              </w:rPr>
            </w:pPr>
            <w:r>
              <w:rPr>
                <w:sz w:val="21"/>
              </w:rPr>
              <w:t>易方达黄金主题证券投资基金（LOF）暂停大额申购业务的公告</w:t>
            </w:r>
          </w:p>
        </w:tc>
        <w:tc>
          <w:tcPr>
            <w:tcW w:w="2190" w:type="dxa"/>
          </w:tcPr>
          <w:p>
            <w:pPr>
              <w:pStyle w:val="TableParagraph"/>
              <w:spacing w:before="23"/>
              <w:ind w:left="549" w:right="540"/>
              <w:jc w:val="center"/>
              <w:rPr>
                <w:sz w:val="21"/>
              </w:rPr>
            </w:pPr>
            <w:r>
              <w:rPr>
                <w:sz w:val="21"/>
              </w:rPr>
              <w:t>2020-03-10</w:t>
            </w:r>
          </w:p>
        </w:tc>
      </w:tr>
      <w:tr>
        <w:trPr>
          <w:trHeight w:val="624" w:hRule="atLeast"/>
        </w:trPr>
        <w:tc>
          <w:tcPr>
            <w:tcW w:w="6706" w:type="dxa"/>
          </w:tcPr>
          <w:p>
            <w:pPr>
              <w:pStyle w:val="TableParagraph"/>
              <w:spacing w:before="23"/>
              <w:ind w:left="108"/>
              <w:rPr>
                <w:sz w:val="21"/>
              </w:rPr>
            </w:pPr>
            <w:r>
              <w:rPr>
                <w:sz w:val="21"/>
              </w:rPr>
              <w:t>易方达基金管理有限公司旗下部分开放式基金参加百度百盈费率优惠</w:t>
            </w:r>
          </w:p>
          <w:p>
            <w:pPr>
              <w:pStyle w:val="TableParagraph"/>
              <w:spacing w:before="43"/>
              <w:ind w:left="108"/>
              <w:rPr>
                <w:sz w:val="21"/>
              </w:rPr>
            </w:pPr>
            <w:r>
              <w:rPr>
                <w:sz w:val="21"/>
              </w:rPr>
              <w:t>活动的公告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2020-03-10</w:t>
            </w:r>
          </w:p>
        </w:tc>
      </w:tr>
      <w:tr>
        <w:trPr>
          <w:trHeight w:val="624" w:hRule="atLeast"/>
        </w:trPr>
        <w:tc>
          <w:tcPr>
            <w:tcW w:w="6706" w:type="dxa"/>
          </w:tcPr>
          <w:p>
            <w:pPr>
              <w:pStyle w:val="TableParagraph"/>
              <w:spacing w:before="23"/>
              <w:ind w:left="108"/>
              <w:rPr>
                <w:sz w:val="21"/>
              </w:rPr>
            </w:pPr>
            <w:r>
              <w:rPr>
                <w:sz w:val="21"/>
              </w:rPr>
              <w:t>易方达黄金主题证券投资基金（LOF）暂停申购及定期定额投资业务的</w:t>
            </w:r>
          </w:p>
          <w:p>
            <w:pPr>
              <w:pStyle w:val="TableParagraph"/>
              <w:spacing w:before="43"/>
              <w:ind w:left="108"/>
              <w:rPr>
                <w:sz w:val="21"/>
              </w:rPr>
            </w:pPr>
            <w:r>
              <w:rPr>
                <w:sz w:val="21"/>
              </w:rPr>
              <w:t>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2020-03-11</w:t>
            </w:r>
          </w:p>
        </w:tc>
      </w:tr>
      <w:tr>
        <w:trPr>
          <w:trHeight w:val="624" w:hRule="atLeast"/>
        </w:trPr>
        <w:tc>
          <w:tcPr>
            <w:tcW w:w="6706" w:type="dxa"/>
          </w:tcPr>
          <w:p>
            <w:pPr>
              <w:pStyle w:val="TableParagraph"/>
              <w:spacing w:before="23"/>
              <w:ind w:left="108"/>
              <w:rPr>
                <w:sz w:val="21"/>
              </w:rPr>
            </w:pPr>
            <w:r>
              <w:rPr>
                <w:sz w:val="21"/>
              </w:rPr>
              <w:t>易方达黄金主题证券投资基金（LOF）恢复申购、定期定额投资业务并</w:t>
            </w:r>
          </w:p>
          <w:p>
            <w:pPr>
              <w:pStyle w:val="TableParagraph"/>
              <w:spacing w:before="43"/>
              <w:ind w:left="108"/>
              <w:rPr>
                <w:sz w:val="21"/>
              </w:rPr>
            </w:pPr>
            <w:r>
              <w:rPr>
                <w:sz w:val="21"/>
              </w:rPr>
              <w:t>暂停大额申购业务的公告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2020-03-19</w:t>
            </w:r>
          </w:p>
        </w:tc>
      </w:tr>
      <w:tr>
        <w:trPr>
          <w:trHeight w:val="624" w:hRule="atLeast"/>
        </w:trPr>
        <w:tc>
          <w:tcPr>
            <w:tcW w:w="6706" w:type="dxa"/>
          </w:tcPr>
          <w:p>
            <w:pPr>
              <w:pStyle w:val="TableParagraph"/>
              <w:spacing w:before="23"/>
              <w:ind w:left="108"/>
              <w:rPr>
                <w:sz w:val="21"/>
              </w:rPr>
            </w:pPr>
            <w:r>
              <w:rPr>
                <w:sz w:val="21"/>
              </w:rPr>
              <w:t>易方达黄金主题证券投资基金（LOF）2020</w:t>
            </w:r>
            <w:r>
              <w:rPr>
                <w:spacing w:val="-36"/>
                <w:sz w:val="21"/>
              </w:rPr>
              <w:t> 年 </w:t>
            </w:r>
            <w:r>
              <w:rPr>
                <w:sz w:val="21"/>
              </w:rPr>
              <w:t>4</w:t>
            </w:r>
            <w:r>
              <w:rPr>
                <w:spacing w:val="-36"/>
                <w:sz w:val="21"/>
              </w:rPr>
              <w:t> 月 </w:t>
            </w:r>
            <w:r>
              <w:rPr>
                <w:sz w:val="21"/>
              </w:rPr>
              <w:t>10</w:t>
            </w:r>
            <w:r>
              <w:rPr>
                <w:spacing w:val="-8"/>
                <w:sz w:val="21"/>
              </w:rPr>
              <w:t> 日暂停申购、赎</w:t>
            </w:r>
          </w:p>
          <w:p>
            <w:pPr>
              <w:pStyle w:val="TableParagraph"/>
              <w:spacing w:before="43"/>
              <w:ind w:left="108"/>
              <w:rPr>
                <w:sz w:val="21"/>
              </w:rPr>
            </w:pPr>
            <w:r>
              <w:rPr>
                <w:sz w:val="21"/>
              </w:rPr>
              <w:t>回、定期定额投资业务的公告</w:t>
            </w:r>
          </w:p>
        </w:tc>
        <w:tc>
          <w:tcPr>
            <w:tcW w:w="2190" w:type="dxa"/>
          </w:tcPr>
          <w:p>
            <w:pPr>
              <w:pStyle w:val="TableParagraph"/>
              <w:spacing w:before="4"/>
              <w:rPr>
                <w:rFonts w:ascii="Microsoft JhengHei"/>
                <w:b/>
                <w:sz w:val="18"/>
              </w:rPr>
            </w:pPr>
          </w:p>
          <w:p>
            <w:pPr>
              <w:pStyle w:val="TableParagraph"/>
              <w:ind w:left="549" w:right="540"/>
              <w:jc w:val="center"/>
              <w:rPr>
                <w:sz w:val="21"/>
              </w:rPr>
            </w:pPr>
            <w:r>
              <w:rPr>
                <w:sz w:val="21"/>
              </w:rPr>
              <w:t>2020-04-07</w:t>
            </w:r>
          </w:p>
        </w:tc>
      </w:tr>
      <w:tr>
        <w:trPr>
          <w:trHeight w:val="311" w:hRule="atLeast"/>
        </w:trPr>
        <w:tc>
          <w:tcPr>
            <w:tcW w:w="6706" w:type="dxa"/>
          </w:tcPr>
          <w:p>
            <w:pPr>
              <w:pStyle w:val="TableParagraph"/>
              <w:spacing w:before="23"/>
              <w:ind w:left="108"/>
              <w:rPr>
                <w:sz w:val="21"/>
              </w:rPr>
            </w:pPr>
            <w:r>
              <w:rPr>
                <w:sz w:val="21"/>
              </w:rPr>
              <w:t>易方达基金管理有限公司关于提醒投资者及时提供或更新身份信息资</w:t>
            </w:r>
          </w:p>
        </w:tc>
        <w:tc>
          <w:tcPr>
            <w:tcW w:w="2190" w:type="dxa"/>
          </w:tcPr>
          <w:p>
            <w:pPr>
              <w:pStyle w:val="TableParagraph"/>
              <w:spacing w:before="23"/>
              <w:ind w:left="549" w:right="540"/>
              <w:jc w:val="center"/>
              <w:rPr>
                <w:sz w:val="21"/>
              </w:rPr>
            </w:pPr>
            <w:r>
              <w:rPr>
                <w:sz w:val="21"/>
              </w:rPr>
              <w:t>2020-04-10</w:t>
            </w:r>
          </w:p>
        </w:tc>
      </w:tr>
    </w:tbl>
    <w:p>
      <w:pPr>
        <w:spacing w:after="0"/>
        <w:jc w:val="center"/>
        <w:rPr>
          <w:sz w:val="21"/>
        </w:rPr>
        <w:sectPr>
          <w:pgSz w:w="11910" w:h="16840"/>
          <w:pgMar w:header="0" w:footer="1118" w:top="1420" w:bottom="1300" w:left="1420" w:right="1000"/>
        </w:sect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6"/>
        <w:gridCol w:w="2190"/>
      </w:tblGrid>
      <w:tr>
        <w:trPr>
          <w:trHeight w:val="312" w:hRule="atLeast"/>
        </w:trPr>
        <w:tc>
          <w:tcPr>
            <w:tcW w:w="6706" w:type="dxa"/>
          </w:tcPr>
          <w:p>
            <w:pPr>
              <w:pStyle w:val="TableParagraph"/>
              <w:spacing w:before="23"/>
              <w:ind w:left="108"/>
              <w:rPr>
                <w:sz w:val="21"/>
              </w:rPr>
            </w:pPr>
            <w:r>
              <w:rPr>
                <w:sz w:val="21"/>
              </w:rPr>
              <w:t>料的公告</w:t>
            </w:r>
          </w:p>
        </w:tc>
        <w:tc>
          <w:tcPr>
            <w:tcW w:w="2190" w:type="dxa"/>
          </w:tcPr>
          <w:p>
            <w:pPr>
              <w:pStyle w:val="TableParagraph"/>
              <w:rPr>
                <w:rFonts w:ascii="Times New Roman"/>
                <w:sz w:val="20"/>
              </w:rPr>
            </w:pPr>
          </w:p>
        </w:tc>
      </w:tr>
    </w:tbl>
    <w:p>
      <w:pPr>
        <w:pStyle w:val="BodyText"/>
        <w:spacing w:before="3"/>
        <w:ind w:left="376"/>
      </w:pPr>
      <w:r>
        <w:rPr/>
        <w:t>注：以上公告事项披露在指定媒介及基金管理人网站上。</w:t>
      </w:r>
    </w:p>
    <w:p>
      <w:pPr>
        <w:spacing w:after="0"/>
        <w:sectPr>
          <w:pgSz w:w="11910" w:h="16840"/>
          <w:pgMar w:header="0" w:footer="1118" w:top="1420" w:bottom="1300" w:left="1420" w:right="1000"/>
        </w:sectPr>
      </w:pPr>
    </w:p>
    <w:p>
      <w:pPr>
        <w:pStyle w:val="Heading1"/>
      </w:pPr>
      <w:bookmarkStart w:name="_bookmark121" w:id="122"/>
      <w:bookmarkEnd w:id="122"/>
      <w:r>
        <w:rPr>
          <w:b w:val="0"/>
        </w:rPr>
      </w:r>
      <w:r>
        <w:rPr/>
        <w:t>第二十六节招募说明书存放及查阅方式</w:t>
      </w:r>
    </w:p>
    <w:p>
      <w:pPr>
        <w:pStyle w:val="BodyText"/>
        <w:spacing w:line="364" w:lineRule="auto" w:before="138"/>
        <w:ind w:left="376" w:right="795" w:firstLine="480"/>
      </w:pPr>
      <w:r>
        <w:rPr/>
        <w:t>本《招募说明书》存放在基金管理人、基金托管人及基金销售机构处，投资者可在营业时间免费查阅，也可按工本费购买复印件。</w:t>
      </w:r>
    </w:p>
    <w:p>
      <w:pPr>
        <w:pStyle w:val="BodyText"/>
        <w:spacing w:line="268" w:lineRule="exact"/>
        <w:ind w:left="856"/>
      </w:pPr>
      <w:r>
        <w:rPr/>
        <w:t>基金管理人和基金托管人保证文本的内容与公告的内容完全一致。</w:t>
      </w:r>
    </w:p>
    <w:p>
      <w:pPr>
        <w:spacing w:after="0" w:line="268" w:lineRule="exact"/>
        <w:sectPr>
          <w:pgSz w:w="11910" w:h="16840"/>
          <w:pgMar w:header="0" w:footer="1118" w:top="1400" w:bottom="1380" w:left="1420" w:right="1000"/>
        </w:sectPr>
      </w:pPr>
    </w:p>
    <w:p>
      <w:pPr>
        <w:pStyle w:val="Heading1"/>
      </w:pPr>
      <w:bookmarkStart w:name="_bookmark122" w:id="123"/>
      <w:bookmarkEnd w:id="123"/>
      <w:r>
        <w:rPr>
          <w:b w:val="0"/>
        </w:rPr>
      </w:r>
      <w:r>
        <w:rPr/>
        <w:t>第二十七节备查文件</w:t>
      </w:r>
    </w:p>
    <w:p>
      <w:pPr>
        <w:pStyle w:val="BodyText"/>
        <w:spacing w:before="138"/>
        <w:ind w:left="856"/>
      </w:pPr>
      <w:r>
        <w:rPr/>
        <w:t>1、中国证监会核准易方达黄金主题证券投资基金（LOF）募集的文件；</w:t>
      </w:r>
    </w:p>
    <w:p>
      <w:pPr>
        <w:pStyle w:val="BodyText"/>
        <w:spacing w:before="139"/>
        <w:ind w:left="856"/>
      </w:pPr>
      <w:r>
        <w:rPr/>
        <w:t>2</w:t>
      </w:r>
      <w:r>
        <w:rPr>
          <w:spacing w:val="-11"/>
        </w:rPr>
        <w:t>、《易方达黄金主题证券投资基金</w:t>
      </w:r>
      <w:r>
        <w:rPr/>
        <w:t>（LOF）</w:t>
      </w:r>
      <w:r>
        <w:rPr>
          <w:spacing w:val="-18"/>
        </w:rPr>
        <w:t>基金合同》；</w:t>
      </w:r>
    </w:p>
    <w:p>
      <w:pPr>
        <w:pStyle w:val="BodyText"/>
        <w:spacing w:before="140"/>
        <w:ind w:left="856"/>
      </w:pPr>
      <w:r>
        <w:rPr/>
        <w:t>3</w:t>
      </w:r>
      <w:r>
        <w:rPr>
          <w:spacing w:val="-11"/>
        </w:rPr>
        <w:t>、《易方达黄金主题证券投资基金</w:t>
      </w:r>
      <w:r>
        <w:rPr/>
        <w:t>（LOF）</w:t>
      </w:r>
      <w:r>
        <w:rPr>
          <w:spacing w:val="-18"/>
        </w:rPr>
        <w:t>托管协议》；</w:t>
      </w:r>
    </w:p>
    <w:p>
      <w:pPr>
        <w:pStyle w:val="BodyText"/>
        <w:spacing w:before="139"/>
        <w:ind w:left="856"/>
      </w:pPr>
      <w:r>
        <w:rPr/>
        <w:t>4、法律意见书；</w:t>
      </w:r>
    </w:p>
    <w:p>
      <w:pPr>
        <w:pStyle w:val="BodyText"/>
        <w:spacing w:before="139"/>
        <w:ind w:left="856"/>
      </w:pPr>
      <w:r>
        <w:rPr/>
        <w:t>5、基金管理人业务资格批件和营业执照；</w:t>
      </w:r>
    </w:p>
    <w:p>
      <w:pPr>
        <w:pStyle w:val="BodyText"/>
        <w:spacing w:before="140"/>
        <w:ind w:left="856"/>
      </w:pPr>
      <w:r>
        <w:rPr/>
        <w:t>6、基金托管人业务资格批件和营业执照。</w:t>
      </w:r>
    </w:p>
    <w:p>
      <w:pPr>
        <w:pStyle w:val="BodyText"/>
        <w:spacing w:before="139"/>
        <w:ind w:left="856"/>
      </w:pPr>
      <w:r>
        <w:rPr/>
        <w:t>7、存放地点：基金管理人、基金托管人处。</w:t>
      </w:r>
    </w:p>
    <w:p>
      <w:pPr>
        <w:pStyle w:val="BodyText"/>
        <w:spacing w:before="140"/>
        <w:ind w:left="856"/>
      </w:pPr>
      <w:r>
        <w:rPr/>
        <w:t>8、查阅方式：投资者可在营业时间免费查阅，也可按工本费购买复印件。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796"/>
        <w:jc w:val="right"/>
      </w:pPr>
      <w:r>
        <w:rPr/>
        <w:t>易方达基金管理有限公司</w:t>
      </w:r>
    </w:p>
    <w:p>
      <w:pPr>
        <w:pStyle w:val="BodyText"/>
        <w:spacing w:before="139"/>
        <w:ind w:left="0" w:right="1006"/>
        <w:jc w:val="right"/>
      </w:pPr>
      <w:r>
        <w:rPr/>
        <w:t>2020 年 5 月 26 日</w:t>
      </w:r>
    </w:p>
    <w:sectPr>
      <w:pgSz w:w="11910" w:h="16840"/>
      <w:pgMar w:header="0" w:footer="1118" w:top="1400" w:bottom="1380" w:left="14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901001pt;margin-top:758.233948pt;width:13.5pt;height:12pt;mso-position-horizontal-relative:page;mso-position-vertical-relative:page;z-index:-2574704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70.983948pt;width:17.5pt;height:12pt;mso-position-horizontal-relative:page;mso-position-vertical-relative:page;z-index:-2574694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4">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3">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1">
    <w:multiLevelType w:val="hybridMultilevel"/>
    <w:lvl w:ilvl="0">
      <w:start w:val="1"/>
      <w:numFmt w:val="decimal"/>
      <w:lvlText w:val="%1）"/>
      <w:lvlJc w:val="left"/>
      <w:pPr>
        <w:ind w:left="111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56" w:hanging="316"/>
      </w:pPr>
      <w:rPr>
        <w:rFonts w:hint="default"/>
        <w:lang w:val="zh-CN" w:eastAsia="zh-CN" w:bidi="zh-CN"/>
      </w:rPr>
    </w:lvl>
    <w:lvl w:ilvl="2">
      <w:start w:val="0"/>
      <w:numFmt w:val="bullet"/>
      <w:lvlText w:val="•"/>
      <w:lvlJc w:val="left"/>
      <w:pPr>
        <w:ind w:left="2793" w:hanging="316"/>
      </w:pPr>
      <w:rPr>
        <w:rFonts w:hint="default"/>
        <w:lang w:val="zh-CN" w:eastAsia="zh-CN" w:bidi="zh-CN"/>
      </w:rPr>
    </w:lvl>
    <w:lvl w:ilvl="3">
      <w:start w:val="0"/>
      <w:numFmt w:val="bullet"/>
      <w:lvlText w:val="•"/>
      <w:lvlJc w:val="left"/>
      <w:pPr>
        <w:ind w:left="3629" w:hanging="316"/>
      </w:pPr>
      <w:rPr>
        <w:rFonts w:hint="default"/>
        <w:lang w:val="zh-CN" w:eastAsia="zh-CN" w:bidi="zh-CN"/>
      </w:rPr>
    </w:lvl>
    <w:lvl w:ilvl="4">
      <w:start w:val="0"/>
      <w:numFmt w:val="bullet"/>
      <w:lvlText w:val="•"/>
      <w:lvlJc w:val="left"/>
      <w:pPr>
        <w:ind w:left="4466" w:hanging="316"/>
      </w:pPr>
      <w:rPr>
        <w:rFonts w:hint="default"/>
        <w:lang w:val="zh-CN" w:eastAsia="zh-CN" w:bidi="zh-CN"/>
      </w:rPr>
    </w:lvl>
    <w:lvl w:ilvl="5">
      <w:start w:val="0"/>
      <w:numFmt w:val="bullet"/>
      <w:lvlText w:val="•"/>
      <w:lvlJc w:val="left"/>
      <w:pPr>
        <w:ind w:left="5303" w:hanging="316"/>
      </w:pPr>
      <w:rPr>
        <w:rFonts w:hint="default"/>
        <w:lang w:val="zh-CN" w:eastAsia="zh-CN" w:bidi="zh-CN"/>
      </w:rPr>
    </w:lvl>
    <w:lvl w:ilvl="6">
      <w:start w:val="0"/>
      <w:numFmt w:val="bullet"/>
      <w:lvlText w:val="•"/>
      <w:lvlJc w:val="left"/>
      <w:pPr>
        <w:ind w:left="6139" w:hanging="316"/>
      </w:pPr>
      <w:rPr>
        <w:rFonts w:hint="default"/>
        <w:lang w:val="zh-CN" w:eastAsia="zh-CN" w:bidi="zh-CN"/>
      </w:rPr>
    </w:lvl>
    <w:lvl w:ilvl="7">
      <w:start w:val="0"/>
      <w:numFmt w:val="bullet"/>
      <w:lvlText w:val="•"/>
      <w:lvlJc w:val="left"/>
      <w:pPr>
        <w:ind w:left="697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70">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69">
    <w:multiLevelType w:val="hybridMultilevel"/>
    <w:lvl w:ilvl="0">
      <w:start w:val="2"/>
      <w:numFmt w:val="upperLetter"/>
      <w:lvlText w:val="%1."/>
      <w:lvlJc w:val="left"/>
      <w:pPr>
        <w:ind w:left="377" w:hanging="211"/>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290" w:hanging="211"/>
      </w:pPr>
      <w:rPr>
        <w:rFonts w:hint="default"/>
        <w:lang w:val="zh-CN" w:eastAsia="zh-CN" w:bidi="zh-CN"/>
      </w:rPr>
    </w:lvl>
    <w:lvl w:ilvl="2">
      <w:start w:val="0"/>
      <w:numFmt w:val="bullet"/>
      <w:lvlText w:val="•"/>
      <w:lvlJc w:val="left"/>
      <w:pPr>
        <w:ind w:left="2201" w:hanging="211"/>
      </w:pPr>
      <w:rPr>
        <w:rFonts w:hint="default"/>
        <w:lang w:val="zh-CN" w:eastAsia="zh-CN" w:bidi="zh-CN"/>
      </w:rPr>
    </w:lvl>
    <w:lvl w:ilvl="3">
      <w:start w:val="0"/>
      <w:numFmt w:val="bullet"/>
      <w:lvlText w:val="•"/>
      <w:lvlJc w:val="left"/>
      <w:pPr>
        <w:ind w:left="3111" w:hanging="211"/>
      </w:pPr>
      <w:rPr>
        <w:rFonts w:hint="default"/>
        <w:lang w:val="zh-CN" w:eastAsia="zh-CN" w:bidi="zh-CN"/>
      </w:rPr>
    </w:lvl>
    <w:lvl w:ilvl="4">
      <w:start w:val="0"/>
      <w:numFmt w:val="bullet"/>
      <w:lvlText w:val="•"/>
      <w:lvlJc w:val="left"/>
      <w:pPr>
        <w:ind w:left="4022" w:hanging="211"/>
      </w:pPr>
      <w:rPr>
        <w:rFonts w:hint="default"/>
        <w:lang w:val="zh-CN" w:eastAsia="zh-CN" w:bidi="zh-CN"/>
      </w:rPr>
    </w:lvl>
    <w:lvl w:ilvl="5">
      <w:start w:val="0"/>
      <w:numFmt w:val="bullet"/>
      <w:lvlText w:val="•"/>
      <w:lvlJc w:val="left"/>
      <w:pPr>
        <w:ind w:left="4933" w:hanging="211"/>
      </w:pPr>
      <w:rPr>
        <w:rFonts w:hint="default"/>
        <w:lang w:val="zh-CN" w:eastAsia="zh-CN" w:bidi="zh-CN"/>
      </w:rPr>
    </w:lvl>
    <w:lvl w:ilvl="6">
      <w:start w:val="0"/>
      <w:numFmt w:val="bullet"/>
      <w:lvlText w:val="•"/>
      <w:lvlJc w:val="left"/>
      <w:pPr>
        <w:ind w:left="5843" w:hanging="211"/>
      </w:pPr>
      <w:rPr>
        <w:rFonts w:hint="default"/>
        <w:lang w:val="zh-CN" w:eastAsia="zh-CN" w:bidi="zh-CN"/>
      </w:rPr>
    </w:lvl>
    <w:lvl w:ilvl="7">
      <w:start w:val="0"/>
      <w:numFmt w:val="bullet"/>
      <w:lvlText w:val="•"/>
      <w:lvlJc w:val="left"/>
      <w:pPr>
        <w:ind w:left="6754" w:hanging="211"/>
      </w:pPr>
      <w:rPr>
        <w:rFonts w:hint="default"/>
        <w:lang w:val="zh-CN" w:eastAsia="zh-CN" w:bidi="zh-CN"/>
      </w:rPr>
    </w:lvl>
    <w:lvl w:ilvl="8">
      <w:start w:val="0"/>
      <w:numFmt w:val="bullet"/>
      <w:lvlText w:val="•"/>
      <w:lvlJc w:val="left"/>
      <w:pPr>
        <w:ind w:left="7664" w:hanging="211"/>
      </w:pPr>
      <w:rPr>
        <w:rFonts w:hint="default"/>
        <w:lang w:val="zh-CN" w:eastAsia="zh-CN" w:bidi="zh-CN"/>
      </w:rPr>
    </w:lvl>
  </w:abstractNum>
  <w:abstractNum w:abstractNumId="68">
    <w:multiLevelType w:val="hybridMultilevel"/>
    <w:lvl w:ilvl="0">
      <w:start w:val="11"/>
      <w:numFmt w:val="decimal"/>
      <w:lvlText w:val="%1）"/>
      <w:lvlJc w:val="left"/>
      <w:pPr>
        <w:ind w:left="797" w:hanging="421"/>
        <w:jc w:val="left"/>
      </w:pPr>
      <w:rPr>
        <w:rFonts w:hint="default" w:ascii="宋体" w:hAnsi="宋体" w:eastAsia="宋体" w:cs="宋体"/>
        <w:spacing w:val="-47"/>
        <w:w w:val="100"/>
        <w:sz w:val="19"/>
        <w:szCs w:val="19"/>
        <w:lang w:val="zh-CN" w:eastAsia="zh-CN" w:bidi="zh-CN"/>
      </w:rPr>
    </w:lvl>
    <w:lvl w:ilvl="1">
      <w:start w:val="0"/>
      <w:numFmt w:val="bullet"/>
      <w:lvlText w:val="•"/>
      <w:lvlJc w:val="left"/>
      <w:pPr>
        <w:ind w:left="1668" w:hanging="421"/>
      </w:pPr>
      <w:rPr>
        <w:rFonts w:hint="default"/>
        <w:lang w:val="zh-CN" w:eastAsia="zh-CN" w:bidi="zh-CN"/>
      </w:rPr>
    </w:lvl>
    <w:lvl w:ilvl="2">
      <w:start w:val="0"/>
      <w:numFmt w:val="bullet"/>
      <w:lvlText w:val="•"/>
      <w:lvlJc w:val="left"/>
      <w:pPr>
        <w:ind w:left="2537" w:hanging="421"/>
      </w:pPr>
      <w:rPr>
        <w:rFonts w:hint="default"/>
        <w:lang w:val="zh-CN" w:eastAsia="zh-CN" w:bidi="zh-CN"/>
      </w:rPr>
    </w:lvl>
    <w:lvl w:ilvl="3">
      <w:start w:val="0"/>
      <w:numFmt w:val="bullet"/>
      <w:lvlText w:val="•"/>
      <w:lvlJc w:val="left"/>
      <w:pPr>
        <w:ind w:left="3405" w:hanging="421"/>
      </w:pPr>
      <w:rPr>
        <w:rFonts w:hint="default"/>
        <w:lang w:val="zh-CN" w:eastAsia="zh-CN" w:bidi="zh-CN"/>
      </w:rPr>
    </w:lvl>
    <w:lvl w:ilvl="4">
      <w:start w:val="0"/>
      <w:numFmt w:val="bullet"/>
      <w:lvlText w:val="•"/>
      <w:lvlJc w:val="left"/>
      <w:pPr>
        <w:ind w:left="4274" w:hanging="421"/>
      </w:pPr>
      <w:rPr>
        <w:rFonts w:hint="default"/>
        <w:lang w:val="zh-CN" w:eastAsia="zh-CN" w:bidi="zh-CN"/>
      </w:rPr>
    </w:lvl>
    <w:lvl w:ilvl="5">
      <w:start w:val="0"/>
      <w:numFmt w:val="bullet"/>
      <w:lvlText w:val="•"/>
      <w:lvlJc w:val="left"/>
      <w:pPr>
        <w:ind w:left="5143" w:hanging="421"/>
      </w:pPr>
      <w:rPr>
        <w:rFonts w:hint="default"/>
        <w:lang w:val="zh-CN" w:eastAsia="zh-CN" w:bidi="zh-CN"/>
      </w:rPr>
    </w:lvl>
    <w:lvl w:ilvl="6">
      <w:start w:val="0"/>
      <w:numFmt w:val="bullet"/>
      <w:lvlText w:val="•"/>
      <w:lvlJc w:val="left"/>
      <w:pPr>
        <w:ind w:left="6011" w:hanging="421"/>
      </w:pPr>
      <w:rPr>
        <w:rFonts w:hint="default"/>
        <w:lang w:val="zh-CN" w:eastAsia="zh-CN" w:bidi="zh-CN"/>
      </w:rPr>
    </w:lvl>
    <w:lvl w:ilvl="7">
      <w:start w:val="0"/>
      <w:numFmt w:val="bullet"/>
      <w:lvlText w:val="•"/>
      <w:lvlJc w:val="left"/>
      <w:pPr>
        <w:ind w:left="6880" w:hanging="421"/>
      </w:pPr>
      <w:rPr>
        <w:rFonts w:hint="default"/>
        <w:lang w:val="zh-CN" w:eastAsia="zh-CN" w:bidi="zh-CN"/>
      </w:rPr>
    </w:lvl>
    <w:lvl w:ilvl="8">
      <w:start w:val="0"/>
      <w:numFmt w:val="bullet"/>
      <w:lvlText w:val="•"/>
      <w:lvlJc w:val="left"/>
      <w:pPr>
        <w:ind w:left="7748" w:hanging="421"/>
      </w:pPr>
      <w:rPr>
        <w:rFonts w:hint="default"/>
        <w:lang w:val="zh-CN" w:eastAsia="zh-CN" w:bidi="zh-CN"/>
      </w:rPr>
    </w:lvl>
  </w:abstractNum>
  <w:abstractNum w:abstractNumId="67">
    <w:multiLevelType w:val="hybridMultilevel"/>
    <w:lvl w:ilvl="0">
      <w:start w:val="4"/>
      <w:numFmt w:val="upperLetter"/>
      <w:lvlText w:val="%1."/>
      <w:lvlJc w:val="left"/>
      <w:pPr>
        <w:ind w:left="797" w:hanging="211"/>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668" w:hanging="211"/>
      </w:pPr>
      <w:rPr>
        <w:rFonts w:hint="default"/>
        <w:lang w:val="zh-CN" w:eastAsia="zh-CN" w:bidi="zh-CN"/>
      </w:rPr>
    </w:lvl>
    <w:lvl w:ilvl="2">
      <w:start w:val="0"/>
      <w:numFmt w:val="bullet"/>
      <w:lvlText w:val="•"/>
      <w:lvlJc w:val="left"/>
      <w:pPr>
        <w:ind w:left="2537" w:hanging="211"/>
      </w:pPr>
      <w:rPr>
        <w:rFonts w:hint="default"/>
        <w:lang w:val="zh-CN" w:eastAsia="zh-CN" w:bidi="zh-CN"/>
      </w:rPr>
    </w:lvl>
    <w:lvl w:ilvl="3">
      <w:start w:val="0"/>
      <w:numFmt w:val="bullet"/>
      <w:lvlText w:val="•"/>
      <w:lvlJc w:val="left"/>
      <w:pPr>
        <w:ind w:left="3405" w:hanging="211"/>
      </w:pPr>
      <w:rPr>
        <w:rFonts w:hint="default"/>
        <w:lang w:val="zh-CN" w:eastAsia="zh-CN" w:bidi="zh-CN"/>
      </w:rPr>
    </w:lvl>
    <w:lvl w:ilvl="4">
      <w:start w:val="0"/>
      <w:numFmt w:val="bullet"/>
      <w:lvlText w:val="•"/>
      <w:lvlJc w:val="left"/>
      <w:pPr>
        <w:ind w:left="4274"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6011" w:hanging="211"/>
      </w:pPr>
      <w:rPr>
        <w:rFonts w:hint="default"/>
        <w:lang w:val="zh-CN" w:eastAsia="zh-CN" w:bidi="zh-CN"/>
      </w:rPr>
    </w:lvl>
    <w:lvl w:ilvl="7">
      <w:start w:val="0"/>
      <w:numFmt w:val="bullet"/>
      <w:lvlText w:val="•"/>
      <w:lvlJc w:val="left"/>
      <w:pPr>
        <w:ind w:left="6880" w:hanging="211"/>
      </w:pPr>
      <w:rPr>
        <w:rFonts w:hint="default"/>
        <w:lang w:val="zh-CN" w:eastAsia="zh-CN" w:bidi="zh-CN"/>
      </w:rPr>
    </w:lvl>
    <w:lvl w:ilvl="8">
      <w:start w:val="0"/>
      <w:numFmt w:val="bullet"/>
      <w:lvlText w:val="•"/>
      <w:lvlJc w:val="left"/>
      <w:pPr>
        <w:ind w:left="7748" w:hanging="211"/>
      </w:pPr>
      <w:rPr>
        <w:rFonts w:hint="default"/>
        <w:lang w:val="zh-CN" w:eastAsia="zh-CN" w:bidi="zh-CN"/>
      </w:rPr>
    </w:lvl>
  </w:abstractNum>
  <w:abstractNum w:abstractNumId="66">
    <w:multiLevelType w:val="hybridMultilevel"/>
    <w:lvl w:ilvl="0">
      <w:start w:val="1"/>
      <w:numFmt w:val="upperLetter"/>
      <w:lvlText w:val="%1."/>
      <w:lvlJc w:val="left"/>
      <w:pPr>
        <w:ind w:left="377" w:hanging="211"/>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211"/>
      </w:pPr>
      <w:rPr>
        <w:rFonts w:hint="default"/>
        <w:lang w:val="zh-CN" w:eastAsia="zh-CN" w:bidi="zh-CN"/>
      </w:rPr>
    </w:lvl>
    <w:lvl w:ilvl="2">
      <w:start w:val="0"/>
      <w:numFmt w:val="bullet"/>
      <w:lvlText w:val="•"/>
      <w:lvlJc w:val="left"/>
      <w:pPr>
        <w:ind w:left="2201" w:hanging="211"/>
      </w:pPr>
      <w:rPr>
        <w:rFonts w:hint="default"/>
        <w:lang w:val="zh-CN" w:eastAsia="zh-CN" w:bidi="zh-CN"/>
      </w:rPr>
    </w:lvl>
    <w:lvl w:ilvl="3">
      <w:start w:val="0"/>
      <w:numFmt w:val="bullet"/>
      <w:lvlText w:val="•"/>
      <w:lvlJc w:val="left"/>
      <w:pPr>
        <w:ind w:left="3111" w:hanging="211"/>
      </w:pPr>
      <w:rPr>
        <w:rFonts w:hint="default"/>
        <w:lang w:val="zh-CN" w:eastAsia="zh-CN" w:bidi="zh-CN"/>
      </w:rPr>
    </w:lvl>
    <w:lvl w:ilvl="4">
      <w:start w:val="0"/>
      <w:numFmt w:val="bullet"/>
      <w:lvlText w:val="•"/>
      <w:lvlJc w:val="left"/>
      <w:pPr>
        <w:ind w:left="4022" w:hanging="211"/>
      </w:pPr>
      <w:rPr>
        <w:rFonts w:hint="default"/>
        <w:lang w:val="zh-CN" w:eastAsia="zh-CN" w:bidi="zh-CN"/>
      </w:rPr>
    </w:lvl>
    <w:lvl w:ilvl="5">
      <w:start w:val="0"/>
      <w:numFmt w:val="bullet"/>
      <w:lvlText w:val="•"/>
      <w:lvlJc w:val="left"/>
      <w:pPr>
        <w:ind w:left="4933" w:hanging="211"/>
      </w:pPr>
      <w:rPr>
        <w:rFonts w:hint="default"/>
        <w:lang w:val="zh-CN" w:eastAsia="zh-CN" w:bidi="zh-CN"/>
      </w:rPr>
    </w:lvl>
    <w:lvl w:ilvl="6">
      <w:start w:val="0"/>
      <w:numFmt w:val="bullet"/>
      <w:lvlText w:val="•"/>
      <w:lvlJc w:val="left"/>
      <w:pPr>
        <w:ind w:left="5843" w:hanging="211"/>
      </w:pPr>
      <w:rPr>
        <w:rFonts w:hint="default"/>
        <w:lang w:val="zh-CN" w:eastAsia="zh-CN" w:bidi="zh-CN"/>
      </w:rPr>
    </w:lvl>
    <w:lvl w:ilvl="7">
      <w:start w:val="0"/>
      <w:numFmt w:val="bullet"/>
      <w:lvlText w:val="•"/>
      <w:lvlJc w:val="left"/>
      <w:pPr>
        <w:ind w:left="6754" w:hanging="211"/>
      </w:pPr>
      <w:rPr>
        <w:rFonts w:hint="default"/>
        <w:lang w:val="zh-CN" w:eastAsia="zh-CN" w:bidi="zh-CN"/>
      </w:rPr>
    </w:lvl>
    <w:lvl w:ilvl="8">
      <w:start w:val="0"/>
      <w:numFmt w:val="bullet"/>
      <w:lvlText w:val="•"/>
      <w:lvlJc w:val="left"/>
      <w:pPr>
        <w:ind w:left="7664" w:hanging="211"/>
      </w:pPr>
      <w:rPr>
        <w:rFonts w:hint="default"/>
        <w:lang w:val="zh-CN" w:eastAsia="zh-CN" w:bidi="zh-CN"/>
      </w:rPr>
    </w:lvl>
  </w:abstractNum>
  <w:abstractNum w:abstractNumId="65">
    <w:multiLevelType w:val="hybridMultilevel"/>
    <w:lvl w:ilvl="0">
      <w:start w:val="1"/>
      <w:numFmt w:val="upperLetter"/>
      <w:lvlText w:val="%1."/>
      <w:lvlJc w:val="left"/>
      <w:pPr>
        <w:ind w:left="377" w:hanging="211"/>
        <w:jc w:val="left"/>
      </w:pPr>
      <w:rPr>
        <w:rFonts w:hint="default" w:ascii="宋体" w:hAnsi="宋体" w:eastAsia="宋体" w:cs="宋体"/>
        <w:spacing w:val="-45"/>
        <w:w w:val="100"/>
        <w:sz w:val="19"/>
        <w:szCs w:val="19"/>
        <w:lang w:val="zh-CN" w:eastAsia="zh-CN" w:bidi="zh-CN"/>
      </w:rPr>
    </w:lvl>
    <w:lvl w:ilvl="1">
      <w:start w:val="1"/>
      <w:numFmt w:val="lowerLetter"/>
      <w:lvlText w:val="%2."/>
      <w:lvlJc w:val="left"/>
      <w:pPr>
        <w:ind w:left="1008" w:hanging="211"/>
        <w:jc w:val="left"/>
      </w:pPr>
      <w:rPr>
        <w:rFonts w:hint="default" w:ascii="宋体" w:hAnsi="宋体" w:eastAsia="宋体" w:cs="宋体"/>
        <w:spacing w:val="-45"/>
        <w:w w:val="100"/>
        <w:sz w:val="19"/>
        <w:szCs w:val="19"/>
        <w:lang w:val="zh-CN" w:eastAsia="zh-CN" w:bidi="zh-CN"/>
      </w:rPr>
    </w:lvl>
    <w:lvl w:ilvl="2">
      <w:start w:val="0"/>
      <w:numFmt w:val="bullet"/>
      <w:lvlText w:val="•"/>
      <w:lvlJc w:val="left"/>
      <w:pPr>
        <w:ind w:left="1942" w:hanging="211"/>
      </w:pPr>
      <w:rPr>
        <w:rFonts w:hint="default"/>
        <w:lang w:val="zh-CN" w:eastAsia="zh-CN" w:bidi="zh-CN"/>
      </w:rPr>
    </w:lvl>
    <w:lvl w:ilvl="3">
      <w:start w:val="0"/>
      <w:numFmt w:val="bullet"/>
      <w:lvlText w:val="•"/>
      <w:lvlJc w:val="left"/>
      <w:pPr>
        <w:ind w:left="2885" w:hanging="211"/>
      </w:pPr>
      <w:rPr>
        <w:rFonts w:hint="default"/>
        <w:lang w:val="zh-CN" w:eastAsia="zh-CN" w:bidi="zh-CN"/>
      </w:rPr>
    </w:lvl>
    <w:lvl w:ilvl="4">
      <w:start w:val="0"/>
      <w:numFmt w:val="bullet"/>
      <w:lvlText w:val="•"/>
      <w:lvlJc w:val="left"/>
      <w:pPr>
        <w:ind w:left="3828" w:hanging="211"/>
      </w:pPr>
      <w:rPr>
        <w:rFonts w:hint="default"/>
        <w:lang w:val="zh-CN" w:eastAsia="zh-CN" w:bidi="zh-CN"/>
      </w:rPr>
    </w:lvl>
    <w:lvl w:ilvl="5">
      <w:start w:val="0"/>
      <w:numFmt w:val="bullet"/>
      <w:lvlText w:val="•"/>
      <w:lvlJc w:val="left"/>
      <w:pPr>
        <w:ind w:left="4771" w:hanging="211"/>
      </w:pPr>
      <w:rPr>
        <w:rFonts w:hint="default"/>
        <w:lang w:val="zh-CN" w:eastAsia="zh-CN" w:bidi="zh-CN"/>
      </w:rPr>
    </w:lvl>
    <w:lvl w:ilvl="6">
      <w:start w:val="0"/>
      <w:numFmt w:val="bullet"/>
      <w:lvlText w:val="•"/>
      <w:lvlJc w:val="left"/>
      <w:pPr>
        <w:ind w:left="5714" w:hanging="211"/>
      </w:pPr>
      <w:rPr>
        <w:rFonts w:hint="default"/>
        <w:lang w:val="zh-CN" w:eastAsia="zh-CN" w:bidi="zh-CN"/>
      </w:rPr>
    </w:lvl>
    <w:lvl w:ilvl="7">
      <w:start w:val="0"/>
      <w:numFmt w:val="bullet"/>
      <w:lvlText w:val="•"/>
      <w:lvlJc w:val="left"/>
      <w:pPr>
        <w:ind w:left="6657" w:hanging="211"/>
      </w:pPr>
      <w:rPr>
        <w:rFonts w:hint="default"/>
        <w:lang w:val="zh-CN" w:eastAsia="zh-CN" w:bidi="zh-CN"/>
      </w:rPr>
    </w:lvl>
    <w:lvl w:ilvl="8">
      <w:start w:val="0"/>
      <w:numFmt w:val="bullet"/>
      <w:lvlText w:val="•"/>
      <w:lvlJc w:val="left"/>
      <w:pPr>
        <w:ind w:left="7600" w:hanging="211"/>
      </w:pPr>
      <w:rPr>
        <w:rFonts w:hint="default"/>
        <w:lang w:val="zh-CN" w:eastAsia="zh-CN" w:bidi="zh-CN"/>
      </w:rPr>
    </w:lvl>
  </w:abstractNum>
  <w:abstractNum w:abstractNumId="64">
    <w:multiLevelType w:val="hybridMultilevel"/>
    <w:lvl w:ilvl="0">
      <w:start w:val="1"/>
      <w:numFmt w:val="decimal"/>
      <w:lvlText w:val="%1）"/>
      <w:lvlJc w:val="left"/>
      <w:pPr>
        <w:ind w:left="377" w:hanging="319"/>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290" w:hanging="319"/>
      </w:pPr>
      <w:rPr>
        <w:rFonts w:hint="default"/>
        <w:lang w:val="zh-CN" w:eastAsia="zh-CN" w:bidi="zh-CN"/>
      </w:rPr>
    </w:lvl>
    <w:lvl w:ilvl="2">
      <w:start w:val="0"/>
      <w:numFmt w:val="bullet"/>
      <w:lvlText w:val="•"/>
      <w:lvlJc w:val="left"/>
      <w:pPr>
        <w:ind w:left="2201" w:hanging="319"/>
      </w:pPr>
      <w:rPr>
        <w:rFonts w:hint="default"/>
        <w:lang w:val="zh-CN" w:eastAsia="zh-CN" w:bidi="zh-CN"/>
      </w:rPr>
    </w:lvl>
    <w:lvl w:ilvl="3">
      <w:start w:val="0"/>
      <w:numFmt w:val="bullet"/>
      <w:lvlText w:val="•"/>
      <w:lvlJc w:val="left"/>
      <w:pPr>
        <w:ind w:left="3111" w:hanging="319"/>
      </w:pPr>
      <w:rPr>
        <w:rFonts w:hint="default"/>
        <w:lang w:val="zh-CN" w:eastAsia="zh-CN" w:bidi="zh-CN"/>
      </w:rPr>
    </w:lvl>
    <w:lvl w:ilvl="4">
      <w:start w:val="0"/>
      <w:numFmt w:val="bullet"/>
      <w:lvlText w:val="•"/>
      <w:lvlJc w:val="left"/>
      <w:pPr>
        <w:ind w:left="4022" w:hanging="319"/>
      </w:pPr>
      <w:rPr>
        <w:rFonts w:hint="default"/>
        <w:lang w:val="zh-CN" w:eastAsia="zh-CN" w:bidi="zh-CN"/>
      </w:rPr>
    </w:lvl>
    <w:lvl w:ilvl="5">
      <w:start w:val="0"/>
      <w:numFmt w:val="bullet"/>
      <w:lvlText w:val="•"/>
      <w:lvlJc w:val="left"/>
      <w:pPr>
        <w:ind w:left="4933" w:hanging="319"/>
      </w:pPr>
      <w:rPr>
        <w:rFonts w:hint="default"/>
        <w:lang w:val="zh-CN" w:eastAsia="zh-CN" w:bidi="zh-CN"/>
      </w:rPr>
    </w:lvl>
    <w:lvl w:ilvl="6">
      <w:start w:val="0"/>
      <w:numFmt w:val="bullet"/>
      <w:lvlText w:val="•"/>
      <w:lvlJc w:val="left"/>
      <w:pPr>
        <w:ind w:left="5843" w:hanging="319"/>
      </w:pPr>
      <w:rPr>
        <w:rFonts w:hint="default"/>
        <w:lang w:val="zh-CN" w:eastAsia="zh-CN" w:bidi="zh-CN"/>
      </w:rPr>
    </w:lvl>
    <w:lvl w:ilvl="7">
      <w:start w:val="0"/>
      <w:numFmt w:val="bullet"/>
      <w:lvlText w:val="•"/>
      <w:lvlJc w:val="left"/>
      <w:pPr>
        <w:ind w:left="6754" w:hanging="319"/>
      </w:pPr>
      <w:rPr>
        <w:rFonts w:hint="default"/>
        <w:lang w:val="zh-CN" w:eastAsia="zh-CN" w:bidi="zh-CN"/>
      </w:rPr>
    </w:lvl>
    <w:lvl w:ilvl="8">
      <w:start w:val="0"/>
      <w:numFmt w:val="bullet"/>
      <w:lvlText w:val="•"/>
      <w:lvlJc w:val="left"/>
      <w:pPr>
        <w:ind w:left="7664" w:hanging="319"/>
      </w:pPr>
      <w:rPr>
        <w:rFonts w:hint="default"/>
        <w:lang w:val="zh-CN" w:eastAsia="zh-CN" w:bidi="zh-CN"/>
      </w:rPr>
    </w:lvl>
  </w:abstractNum>
  <w:abstractNum w:abstractNumId="63">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6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61">
    <w:multiLevelType w:val="hybridMultilevel"/>
    <w:lvl w:ilvl="0">
      <w:start w:val="1"/>
      <w:numFmt w:val="decimal"/>
      <w:lvlText w:val="（%1）"/>
      <w:lvlJc w:val="left"/>
      <w:pPr>
        <w:ind w:left="132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60">
    <w:multiLevelType w:val="hybridMultilevel"/>
    <w:lvl w:ilvl="0">
      <w:start w:val="1"/>
      <w:numFmt w:val="decimal"/>
      <w:lvlText w:val="（%1）"/>
      <w:lvlJc w:val="left"/>
      <w:pPr>
        <w:ind w:left="37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9">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8">
    <w:multiLevelType w:val="hybridMultilevel"/>
    <w:lvl w:ilvl="0">
      <w:start w:val="1"/>
      <w:numFmt w:val="decimal"/>
      <w:lvlText w:val="（%1）"/>
      <w:lvlJc w:val="left"/>
      <w:pPr>
        <w:ind w:left="37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7">
    <w:multiLevelType w:val="hybridMultilevel"/>
    <w:lvl w:ilvl="0">
      <w:start w:val="1"/>
      <w:numFmt w:val="decimal"/>
      <w:lvlText w:val="（%1）"/>
      <w:lvlJc w:val="left"/>
      <w:pPr>
        <w:ind w:left="377"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6">
    <w:multiLevelType w:val="hybridMultilevel"/>
    <w:lvl w:ilvl="0">
      <w:start w:val="1"/>
      <w:numFmt w:val="decimal"/>
      <w:lvlText w:val="（%1）"/>
      <w:lvlJc w:val="left"/>
      <w:pPr>
        <w:ind w:left="37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5">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4">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3">
    <w:multiLevelType w:val="hybridMultilevel"/>
    <w:lvl w:ilvl="0">
      <w:start w:val="1"/>
      <w:numFmt w:val="decimal"/>
      <w:lvlText w:val="（%1）"/>
      <w:lvlJc w:val="left"/>
      <w:pPr>
        <w:ind w:left="132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1">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0">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9">
    <w:multiLevelType w:val="hybridMultilevel"/>
    <w:lvl w:ilvl="0">
      <w:start w:val="12"/>
      <w:numFmt w:val="decimal"/>
      <w:lvlText w:val="（%1）"/>
      <w:lvlJc w:val="left"/>
      <w:pPr>
        <w:ind w:left="377" w:hanging="631"/>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290" w:hanging="631"/>
      </w:pPr>
      <w:rPr>
        <w:rFonts w:hint="default"/>
        <w:lang w:val="zh-CN" w:eastAsia="zh-CN" w:bidi="zh-CN"/>
      </w:rPr>
    </w:lvl>
    <w:lvl w:ilvl="2">
      <w:start w:val="0"/>
      <w:numFmt w:val="bullet"/>
      <w:lvlText w:val="•"/>
      <w:lvlJc w:val="left"/>
      <w:pPr>
        <w:ind w:left="2201" w:hanging="631"/>
      </w:pPr>
      <w:rPr>
        <w:rFonts w:hint="default"/>
        <w:lang w:val="zh-CN" w:eastAsia="zh-CN" w:bidi="zh-CN"/>
      </w:rPr>
    </w:lvl>
    <w:lvl w:ilvl="3">
      <w:start w:val="0"/>
      <w:numFmt w:val="bullet"/>
      <w:lvlText w:val="•"/>
      <w:lvlJc w:val="left"/>
      <w:pPr>
        <w:ind w:left="3111" w:hanging="631"/>
      </w:pPr>
      <w:rPr>
        <w:rFonts w:hint="default"/>
        <w:lang w:val="zh-CN" w:eastAsia="zh-CN" w:bidi="zh-CN"/>
      </w:rPr>
    </w:lvl>
    <w:lvl w:ilvl="4">
      <w:start w:val="0"/>
      <w:numFmt w:val="bullet"/>
      <w:lvlText w:val="•"/>
      <w:lvlJc w:val="left"/>
      <w:pPr>
        <w:ind w:left="4022" w:hanging="631"/>
      </w:pPr>
      <w:rPr>
        <w:rFonts w:hint="default"/>
        <w:lang w:val="zh-CN" w:eastAsia="zh-CN" w:bidi="zh-CN"/>
      </w:rPr>
    </w:lvl>
    <w:lvl w:ilvl="5">
      <w:start w:val="0"/>
      <w:numFmt w:val="bullet"/>
      <w:lvlText w:val="•"/>
      <w:lvlJc w:val="left"/>
      <w:pPr>
        <w:ind w:left="4933" w:hanging="631"/>
      </w:pPr>
      <w:rPr>
        <w:rFonts w:hint="default"/>
        <w:lang w:val="zh-CN" w:eastAsia="zh-CN" w:bidi="zh-CN"/>
      </w:rPr>
    </w:lvl>
    <w:lvl w:ilvl="6">
      <w:start w:val="0"/>
      <w:numFmt w:val="bullet"/>
      <w:lvlText w:val="•"/>
      <w:lvlJc w:val="left"/>
      <w:pPr>
        <w:ind w:left="5843" w:hanging="631"/>
      </w:pPr>
      <w:rPr>
        <w:rFonts w:hint="default"/>
        <w:lang w:val="zh-CN" w:eastAsia="zh-CN" w:bidi="zh-CN"/>
      </w:rPr>
    </w:lvl>
    <w:lvl w:ilvl="7">
      <w:start w:val="0"/>
      <w:numFmt w:val="bullet"/>
      <w:lvlText w:val="•"/>
      <w:lvlJc w:val="left"/>
      <w:pPr>
        <w:ind w:left="6754" w:hanging="631"/>
      </w:pPr>
      <w:rPr>
        <w:rFonts w:hint="default"/>
        <w:lang w:val="zh-CN" w:eastAsia="zh-CN" w:bidi="zh-CN"/>
      </w:rPr>
    </w:lvl>
    <w:lvl w:ilvl="8">
      <w:start w:val="0"/>
      <w:numFmt w:val="bullet"/>
      <w:lvlText w:val="•"/>
      <w:lvlJc w:val="left"/>
      <w:pPr>
        <w:ind w:left="7664" w:hanging="631"/>
      </w:pPr>
      <w:rPr>
        <w:rFonts w:hint="default"/>
        <w:lang w:val="zh-CN" w:eastAsia="zh-CN" w:bidi="zh-CN"/>
      </w:rPr>
    </w:lvl>
  </w:abstractNum>
  <w:abstractNum w:abstractNumId="48">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7">
    <w:multiLevelType w:val="hybridMultilevel"/>
    <w:lvl w:ilvl="0">
      <w:start w:val="1"/>
      <w:numFmt w:val="decimal"/>
      <w:lvlText w:val="（%1）"/>
      <w:lvlJc w:val="left"/>
      <w:pPr>
        <w:ind w:left="132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6">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5">
    <w:multiLevelType w:val="hybridMultilevel"/>
    <w:lvl w:ilvl="0">
      <w:start w:val="1"/>
      <w:numFmt w:val="decimal"/>
      <w:lvlText w:val="%1)"/>
      <w:lvlJc w:val="left"/>
      <w:pPr>
        <w:ind w:left="1112"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56" w:hanging="315"/>
      </w:pPr>
      <w:rPr>
        <w:rFonts w:hint="default"/>
        <w:lang w:val="zh-CN" w:eastAsia="zh-CN" w:bidi="zh-CN"/>
      </w:rPr>
    </w:lvl>
    <w:lvl w:ilvl="2">
      <w:start w:val="0"/>
      <w:numFmt w:val="bullet"/>
      <w:lvlText w:val="•"/>
      <w:lvlJc w:val="left"/>
      <w:pPr>
        <w:ind w:left="2793" w:hanging="315"/>
      </w:pPr>
      <w:rPr>
        <w:rFonts w:hint="default"/>
        <w:lang w:val="zh-CN" w:eastAsia="zh-CN" w:bidi="zh-CN"/>
      </w:rPr>
    </w:lvl>
    <w:lvl w:ilvl="3">
      <w:start w:val="0"/>
      <w:numFmt w:val="bullet"/>
      <w:lvlText w:val="•"/>
      <w:lvlJc w:val="left"/>
      <w:pPr>
        <w:ind w:left="3629" w:hanging="315"/>
      </w:pPr>
      <w:rPr>
        <w:rFonts w:hint="default"/>
        <w:lang w:val="zh-CN" w:eastAsia="zh-CN" w:bidi="zh-CN"/>
      </w:rPr>
    </w:lvl>
    <w:lvl w:ilvl="4">
      <w:start w:val="0"/>
      <w:numFmt w:val="bullet"/>
      <w:lvlText w:val="•"/>
      <w:lvlJc w:val="left"/>
      <w:pPr>
        <w:ind w:left="4466" w:hanging="315"/>
      </w:pPr>
      <w:rPr>
        <w:rFonts w:hint="default"/>
        <w:lang w:val="zh-CN" w:eastAsia="zh-CN" w:bidi="zh-CN"/>
      </w:rPr>
    </w:lvl>
    <w:lvl w:ilvl="5">
      <w:start w:val="0"/>
      <w:numFmt w:val="bullet"/>
      <w:lvlText w:val="•"/>
      <w:lvlJc w:val="left"/>
      <w:pPr>
        <w:ind w:left="5303" w:hanging="315"/>
      </w:pPr>
      <w:rPr>
        <w:rFonts w:hint="default"/>
        <w:lang w:val="zh-CN" w:eastAsia="zh-CN" w:bidi="zh-CN"/>
      </w:rPr>
    </w:lvl>
    <w:lvl w:ilvl="6">
      <w:start w:val="0"/>
      <w:numFmt w:val="bullet"/>
      <w:lvlText w:val="•"/>
      <w:lvlJc w:val="left"/>
      <w:pPr>
        <w:ind w:left="6139" w:hanging="315"/>
      </w:pPr>
      <w:rPr>
        <w:rFonts w:hint="default"/>
        <w:lang w:val="zh-CN" w:eastAsia="zh-CN" w:bidi="zh-CN"/>
      </w:rPr>
    </w:lvl>
    <w:lvl w:ilvl="7">
      <w:start w:val="0"/>
      <w:numFmt w:val="bullet"/>
      <w:lvlText w:val="•"/>
      <w:lvlJc w:val="left"/>
      <w:pPr>
        <w:ind w:left="6976" w:hanging="315"/>
      </w:pPr>
      <w:rPr>
        <w:rFonts w:hint="default"/>
        <w:lang w:val="zh-CN" w:eastAsia="zh-CN" w:bidi="zh-CN"/>
      </w:rPr>
    </w:lvl>
    <w:lvl w:ilvl="8">
      <w:start w:val="0"/>
      <w:numFmt w:val="bullet"/>
      <w:lvlText w:val="•"/>
      <w:lvlJc w:val="left"/>
      <w:pPr>
        <w:ind w:left="7812" w:hanging="315"/>
      </w:pPr>
      <w:rPr>
        <w:rFonts w:hint="default"/>
        <w:lang w:val="zh-CN" w:eastAsia="zh-CN" w:bidi="zh-CN"/>
      </w:rPr>
    </w:lvl>
  </w:abstractNum>
  <w:abstractNum w:abstractNumId="44">
    <w:multiLevelType w:val="hybridMultilevel"/>
    <w:lvl w:ilvl="0">
      <w:start w:val="1"/>
      <w:numFmt w:val="decimal"/>
      <w:lvlText w:val="%1)"/>
      <w:lvlJc w:val="left"/>
      <w:pPr>
        <w:ind w:left="1112"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56" w:hanging="315"/>
      </w:pPr>
      <w:rPr>
        <w:rFonts w:hint="default"/>
        <w:lang w:val="zh-CN" w:eastAsia="zh-CN" w:bidi="zh-CN"/>
      </w:rPr>
    </w:lvl>
    <w:lvl w:ilvl="2">
      <w:start w:val="0"/>
      <w:numFmt w:val="bullet"/>
      <w:lvlText w:val="•"/>
      <w:lvlJc w:val="left"/>
      <w:pPr>
        <w:ind w:left="2793" w:hanging="315"/>
      </w:pPr>
      <w:rPr>
        <w:rFonts w:hint="default"/>
        <w:lang w:val="zh-CN" w:eastAsia="zh-CN" w:bidi="zh-CN"/>
      </w:rPr>
    </w:lvl>
    <w:lvl w:ilvl="3">
      <w:start w:val="0"/>
      <w:numFmt w:val="bullet"/>
      <w:lvlText w:val="•"/>
      <w:lvlJc w:val="left"/>
      <w:pPr>
        <w:ind w:left="3629" w:hanging="315"/>
      </w:pPr>
      <w:rPr>
        <w:rFonts w:hint="default"/>
        <w:lang w:val="zh-CN" w:eastAsia="zh-CN" w:bidi="zh-CN"/>
      </w:rPr>
    </w:lvl>
    <w:lvl w:ilvl="4">
      <w:start w:val="0"/>
      <w:numFmt w:val="bullet"/>
      <w:lvlText w:val="•"/>
      <w:lvlJc w:val="left"/>
      <w:pPr>
        <w:ind w:left="4466" w:hanging="315"/>
      </w:pPr>
      <w:rPr>
        <w:rFonts w:hint="default"/>
        <w:lang w:val="zh-CN" w:eastAsia="zh-CN" w:bidi="zh-CN"/>
      </w:rPr>
    </w:lvl>
    <w:lvl w:ilvl="5">
      <w:start w:val="0"/>
      <w:numFmt w:val="bullet"/>
      <w:lvlText w:val="•"/>
      <w:lvlJc w:val="left"/>
      <w:pPr>
        <w:ind w:left="5303" w:hanging="315"/>
      </w:pPr>
      <w:rPr>
        <w:rFonts w:hint="default"/>
        <w:lang w:val="zh-CN" w:eastAsia="zh-CN" w:bidi="zh-CN"/>
      </w:rPr>
    </w:lvl>
    <w:lvl w:ilvl="6">
      <w:start w:val="0"/>
      <w:numFmt w:val="bullet"/>
      <w:lvlText w:val="•"/>
      <w:lvlJc w:val="left"/>
      <w:pPr>
        <w:ind w:left="6139" w:hanging="315"/>
      </w:pPr>
      <w:rPr>
        <w:rFonts w:hint="default"/>
        <w:lang w:val="zh-CN" w:eastAsia="zh-CN" w:bidi="zh-CN"/>
      </w:rPr>
    </w:lvl>
    <w:lvl w:ilvl="7">
      <w:start w:val="0"/>
      <w:numFmt w:val="bullet"/>
      <w:lvlText w:val="•"/>
      <w:lvlJc w:val="left"/>
      <w:pPr>
        <w:ind w:left="6976" w:hanging="315"/>
      </w:pPr>
      <w:rPr>
        <w:rFonts w:hint="default"/>
        <w:lang w:val="zh-CN" w:eastAsia="zh-CN" w:bidi="zh-CN"/>
      </w:rPr>
    </w:lvl>
    <w:lvl w:ilvl="8">
      <w:start w:val="0"/>
      <w:numFmt w:val="bullet"/>
      <w:lvlText w:val="•"/>
      <w:lvlJc w:val="left"/>
      <w:pPr>
        <w:ind w:left="7812" w:hanging="315"/>
      </w:pPr>
      <w:rPr>
        <w:rFonts w:hint="default"/>
        <w:lang w:val="zh-CN" w:eastAsia="zh-CN" w:bidi="zh-CN"/>
      </w:rPr>
    </w:lvl>
  </w:abstractNum>
  <w:abstractNum w:abstractNumId="43">
    <w:multiLevelType w:val="hybridMultilevel"/>
    <w:lvl w:ilvl="0">
      <w:start w:val="1"/>
      <w:numFmt w:val="decimal"/>
      <w:lvlText w:val="（%1）"/>
      <w:lvlJc w:val="left"/>
      <w:pPr>
        <w:ind w:left="1364"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72" w:hanging="567"/>
      </w:pPr>
      <w:rPr>
        <w:rFonts w:hint="default"/>
        <w:lang w:val="zh-CN" w:eastAsia="zh-CN" w:bidi="zh-CN"/>
      </w:rPr>
    </w:lvl>
    <w:lvl w:ilvl="2">
      <w:start w:val="0"/>
      <w:numFmt w:val="bullet"/>
      <w:lvlText w:val="•"/>
      <w:lvlJc w:val="left"/>
      <w:pPr>
        <w:ind w:left="2985" w:hanging="567"/>
      </w:pPr>
      <w:rPr>
        <w:rFonts w:hint="default"/>
        <w:lang w:val="zh-CN" w:eastAsia="zh-CN" w:bidi="zh-CN"/>
      </w:rPr>
    </w:lvl>
    <w:lvl w:ilvl="3">
      <w:start w:val="0"/>
      <w:numFmt w:val="bullet"/>
      <w:lvlText w:val="•"/>
      <w:lvlJc w:val="left"/>
      <w:pPr>
        <w:ind w:left="3797" w:hanging="567"/>
      </w:pPr>
      <w:rPr>
        <w:rFonts w:hint="default"/>
        <w:lang w:val="zh-CN" w:eastAsia="zh-CN" w:bidi="zh-CN"/>
      </w:rPr>
    </w:lvl>
    <w:lvl w:ilvl="4">
      <w:start w:val="0"/>
      <w:numFmt w:val="bullet"/>
      <w:lvlText w:val="•"/>
      <w:lvlJc w:val="left"/>
      <w:pPr>
        <w:ind w:left="4610" w:hanging="567"/>
      </w:pPr>
      <w:rPr>
        <w:rFonts w:hint="default"/>
        <w:lang w:val="zh-CN" w:eastAsia="zh-CN" w:bidi="zh-CN"/>
      </w:rPr>
    </w:lvl>
    <w:lvl w:ilvl="5">
      <w:start w:val="0"/>
      <w:numFmt w:val="bullet"/>
      <w:lvlText w:val="•"/>
      <w:lvlJc w:val="left"/>
      <w:pPr>
        <w:ind w:left="5423" w:hanging="567"/>
      </w:pPr>
      <w:rPr>
        <w:rFonts w:hint="default"/>
        <w:lang w:val="zh-CN" w:eastAsia="zh-CN" w:bidi="zh-CN"/>
      </w:rPr>
    </w:lvl>
    <w:lvl w:ilvl="6">
      <w:start w:val="0"/>
      <w:numFmt w:val="bullet"/>
      <w:lvlText w:val="•"/>
      <w:lvlJc w:val="left"/>
      <w:pPr>
        <w:ind w:left="6235" w:hanging="567"/>
      </w:pPr>
      <w:rPr>
        <w:rFonts w:hint="default"/>
        <w:lang w:val="zh-CN" w:eastAsia="zh-CN" w:bidi="zh-CN"/>
      </w:rPr>
    </w:lvl>
    <w:lvl w:ilvl="7">
      <w:start w:val="0"/>
      <w:numFmt w:val="bullet"/>
      <w:lvlText w:val="•"/>
      <w:lvlJc w:val="left"/>
      <w:pPr>
        <w:ind w:left="7048" w:hanging="567"/>
      </w:pPr>
      <w:rPr>
        <w:rFonts w:hint="default"/>
        <w:lang w:val="zh-CN" w:eastAsia="zh-CN" w:bidi="zh-CN"/>
      </w:rPr>
    </w:lvl>
    <w:lvl w:ilvl="8">
      <w:start w:val="0"/>
      <w:numFmt w:val="bullet"/>
      <w:lvlText w:val="•"/>
      <w:lvlJc w:val="left"/>
      <w:pPr>
        <w:ind w:left="7860" w:hanging="567"/>
      </w:pPr>
      <w:rPr>
        <w:rFonts w:hint="default"/>
        <w:lang w:val="zh-CN" w:eastAsia="zh-CN" w:bidi="zh-CN"/>
      </w:rPr>
    </w:lvl>
  </w:abstractNum>
  <w:abstractNum w:abstractNumId="4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1">
    <w:multiLevelType w:val="hybridMultilevel"/>
    <w:lvl w:ilvl="0">
      <w:start w:val="1"/>
      <w:numFmt w:val="decimal"/>
      <w:lvlText w:val="（%1）"/>
      <w:lvlJc w:val="left"/>
      <w:pPr>
        <w:ind w:left="132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0">
    <w:multiLevelType w:val="hybridMultilevel"/>
    <w:lvl w:ilvl="0">
      <w:start w:val="1"/>
      <w:numFmt w:val="decimal"/>
      <w:lvlText w:val="（%1）"/>
      <w:lvlJc w:val="left"/>
      <w:pPr>
        <w:ind w:left="132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9">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8">
    <w:multiLevelType w:val="hybridMultilevel"/>
    <w:lvl w:ilvl="0">
      <w:start w:val="1"/>
      <w:numFmt w:val="decimal"/>
      <w:lvlText w:val="（%1）"/>
      <w:lvlJc w:val="left"/>
      <w:pPr>
        <w:ind w:left="132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7">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6">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5">
    <w:multiLevelType w:val="hybridMultilevel"/>
    <w:lvl w:ilvl="0">
      <w:start w:val="1"/>
      <w:numFmt w:val="decimal"/>
      <w:lvlText w:val="（%1）"/>
      <w:lvlJc w:val="left"/>
      <w:pPr>
        <w:ind w:left="377" w:hanging="527"/>
        <w:jc w:val="left"/>
      </w:pPr>
      <w:rPr>
        <w:rFonts w:hint="default" w:ascii="宋体" w:hAnsi="宋体" w:eastAsia="宋体" w:cs="宋体"/>
        <w:spacing w:val="-97"/>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4">
    <w:multiLevelType w:val="hybridMultilevel"/>
    <w:lvl w:ilvl="0">
      <w:start w:val="1"/>
      <w:numFmt w:val="decimal"/>
      <w:lvlText w:val="（%1）"/>
      <w:lvlJc w:val="left"/>
      <w:pPr>
        <w:ind w:left="37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3">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2">
    <w:multiLevelType w:val="hybridMultilevel"/>
    <w:lvl w:ilvl="0">
      <w:start w:val="1"/>
      <w:numFmt w:val="decimal"/>
      <w:lvlText w:val="（%1）"/>
      <w:lvlJc w:val="left"/>
      <w:pPr>
        <w:ind w:left="37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1">
    <w:multiLevelType w:val="hybridMultilevel"/>
    <w:lvl w:ilvl="0">
      <w:start w:val="1"/>
      <w:numFmt w:val="decimal"/>
      <w:lvlText w:val="%1）"/>
      <w:lvlJc w:val="left"/>
      <w:pPr>
        <w:ind w:left="37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317"/>
      </w:pPr>
      <w:rPr>
        <w:rFonts w:hint="default"/>
        <w:lang w:val="zh-CN" w:eastAsia="zh-CN" w:bidi="zh-CN"/>
      </w:rPr>
    </w:lvl>
    <w:lvl w:ilvl="2">
      <w:start w:val="0"/>
      <w:numFmt w:val="bullet"/>
      <w:lvlText w:val="•"/>
      <w:lvlJc w:val="left"/>
      <w:pPr>
        <w:ind w:left="2201" w:hanging="317"/>
      </w:pPr>
      <w:rPr>
        <w:rFonts w:hint="default"/>
        <w:lang w:val="zh-CN" w:eastAsia="zh-CN" w:bidi="zh-CN"/>
      </w:rPr>
    </w:lvl>
    <w:lvl w:ilvl="3">
      <w:start w:val="0"/>
      <w:numFmt w:val="bullet"/>
      <w:lvlText w:val="•"/>
      <w:lvlJc w:val="left"/>
      <w:pPr>
        <w:ind w:left="3111" w:hanging="317"/>
      </w:pPr>
      <w:rPr>
        <w:rFonts w:hint="default"/>
        <w:lang w:val="zh-CN" w:eastAsia="zh-CN" w:bidi="zh-CN"/>
      </w:rPr>
    </w:lvl>
    <w:lvl w:ilvl="4">
      <w:start w:val="0"/>
      <w:numFmt w:val="bullet"/>
      <w:lvlText w:val="•"/>
      <w:lvlJc w:val="left"/>
      <w:pPr>
        <w:ind w:left="4022" w:hanging="317"/>
      </w:pPr>
      <w:rPr>
        <w:rFonts w:hint="default"/>
        <w:lang w:val="zh-CN" w:eastAsia="zh-CN" w:bidi="zh-CN"/>
      </w:rPr>
    </w:lvl>
    <w:lvl w:ilvl="5">
      <w:start w:val="0"/>
      <w:numFmt w:val="bullet"/>
      <w:lvlText w:val="•"/>
      <w:lvlJc w:val="left"/>
      <w:pPr>
        <w:ind w:left="4933" w:hanging="317"/>
      </w:pPr>
      <w:rPr>
        <w:rFonts w:hint="default"/>
        <w:lang w:val="zh-CN" w:eastAsia="zh-CN" w:bidi="zh-CN"/>
      </w:rPr>
    </w:lvl>
    <w:lvl w:ilvl="6">
      <w:start w:val="0"/>
      <w:numFmt w:val="bullet"/>
      <w:lvlText w:val="•"/>
      <w:lvlJc w:val="left"/>
      <w:pPr>
        <w:ind w:left="5843" w:hanging="317"/>
      </w:pPr>
      <w:rPr>
        <w:rFonts w:hint="default"/>
        <w:lang w:val="zh-CN" w:eastAsia="zh-CN" w:bidi="zh-CN"/>
      </w:rPr>
    </w:lvl>
    <w:lvl w:ilvl="7">
      <w:start w:val="0"/>
      <w:numFmt w:val="bullet"/>
      <w:lvlText w:val="•"/>
      <w:lvlJc w:val="left"/>
      <w:pPr>
        <w:ind w:left="675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30">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9">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8">
    <w:multiLevelType w:val="hybridMultilevel"/>
    <w:lvl w:ilvl="0">
      <w:start w:val="1"/>
      <w:numFmt w:val="decimal"/>
      <w:lvlText w:val="%1）"/>
      <w:lvlJc w:val="left"/>
      <w:pPr>
        <w:ind w:left="1113" w:hanging="316"/>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956" w:hanging="316"/>
      </w:pPr>
      <w:rPr>
        <w:rFonts w:hint="default"/>
        <w:lang w:val="zh-CN" w:eastAsia="zh-CN" w:bidi="zh-CN"/>
      </w:rPr>
    </w:lvl>
    <w:lvl w:ilvl="2">
      <w:start w:val="0"/>
      <w:numFmt w:val="bullet"/>
      <w:lvlText w:val="•"/>
      <w:lvlJc w:val="left"/>
      <w:pPr>
        <w:ind w:left="2793" w:hanging="316"/>
      </w:pPr>
      <w:rPr>
        <w:rFonts w:hint="default"/>
        <w:lang w:val="zh-CN" w:eastAsia="zh-CN" w:bidi="zh-CN"/>
      </w:rPr>
    </w:lvl>
    <w:lvl w:ilvl="3">
      <w:start w:val="0"/>
      <w:numFmt w:val="bullet"/>
      <w:lvlText w:val="•"/>
      <w:lvlJc w:val="left"/>
      <w:pPr>
        <w:ind w:left="3629" w:hanging="316"/>
      </w:pPr>
      <w:rPr>
        <w:rFonts w:hint="default"/>
        <w:lang w:val="zh-CN" w:eastAsia="zh-CN" w:bidi="zh-CN"/>
      </w:rPr>
    </w:lvl>
    <w:lvl w:ilvl="4">
      <w:start w:val="0"/>
      <w:numFmt w:val="bullet"/>
      <w:lvlText w:val="•"/>
      <w:lvlJc w:val="left"/>
      <w:pPr>
        <w:ind w:left="4466" w:hanging="316"/>
      </w:pPr>
      <w:rPr>
        <w:rFonts w:hint="default"/>
        <w:lang w:val="zh-CN" w:eastAsia="zh-CN" w:bidi="zh-CN"/>
      </w:rPr>
    </w:lvl>
    <w:lvl w:ilvl="5">
      <w:start w:val="0"/>
      <w:numFmt w:val="bullet"/>
      <w:lvlText w:val="•"/>
      <w:lvlJc w:val="left"/>
      <w:pPr>
        <w:ind w:left="5303" w:hanging="316"/>
      </w:pPr>
      <w:rPr>
        <w:rFonts w:hint="default"/>
        <w:lang w:val="zh-CN" w:eastAsia="zh-CN" w:bidi="zh-CN"/>
      </w:rPr>
    </w:lvl>
    <w:lvl w:ilvl="6">
      <w:start w:val="0"/>
      <w:numFmt w:val="bullet"/>
      <w:lvlText w:val="•"/>
      <w:lvlJc w:val="left"/>
      <w:pPr>
        <w:ind w:left="6139" w:hanging="316"/>
      </w:pPr>
      <w:rPr>
        <w:rFonts w:hint="default"/>
        <w:lang w:val="zh-CN" w:eastAsia="zh-CN" w:bidi="zh-CN"/>
      </w:rPr>
    </w:lvl>
    <w:lvl w:ilvl="7">
      <w:start w:val="0"/>
      <w:numFmt w:val="bullet"/>
      <w:lvlText w:val="•"/>
      <w:lvlJc w:val="left"/>
      <w:pPr>
        <w:ind w:left="697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27">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6">
    <w:multiLevelType w:val="hybridMultilevel"/>
    <w:lvl w:ilvl="0">
      <w:start w:val="1"/>
      <w:numFmt w:val="decimal"/>
      <w:lvlText w:val="%1"/>
      <w:lvlJc w:val="left"/>
      <w:pPr>
        <w:ind w:left="903" w:hanging="526"/>
        <w:jc w:val="left"/>
      </w:pPr>
      <w:rPr>
        <w:rFonts w:hint="default"/>
        <w:lang w:val="zh-CN" w:eastAsia="zh-CN" w:bidi="zh-CN"/>
      </w:rPr>
    </w:lvl>
    <w:lvl w:ilvl="1">
      <w:start w:val="16"/>
      <w:numFmt w:val="decimalZero"/>
      <w:lvlText w:val="%1.%2"/>
      <w:lvlJc w:val="left"/>
      <w:pPr>
        <w:ind w:left="903" w:hanging="526"/>
        <w:jc w:val="left"/>
      </w:pPr>
      <w:rPr>
        <w:rFonts w:hint="default" w:ascii="宋体" w:hAnsi="宋体" w:eastAsia="宋体" w:cs="宋体"/>
        <w:w w:val="100"/>
        <w:sz w:val="19"/>
        <w:szCs w:val="19"/>
        <w:lang w:val="zh-CN" w:eastAsia="zh-CN" w:bidi="zh-CN"/>
      </w:rPr>
    </w:lvl>
    <w:lvl w:ilvl="2">
      <w:start w:val="1"/>
      <w:numFmt w:val="decimal"/>
      <w:lvlText w:val="（%3）"/>
      <w:lvlJc w:val="left"/>
      <w:pPr>
        <w:ind w:left="377"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2808" w:hanging="527"/>
      </w:pPr>
      <w:rPr>
        <w:rFonts w:hint="default"/>
        <w:lang w:val="zh-CN" w:eastAsia="zh-CN" w:bidi="zh-CN"/>
      </w:rPr>
    </w:lvl>
    <w:lvl w:ilvl="4">
      <w:start w:val="0"/>
      <w:numFmt w:val="bullet"/>
      <w:lvlText w:val="•"/>
      <w:lvlJc w:val="left"/>
      <w:pPr>
        <w:ind w:left="3762" w:hanging="527"/>
      </w:pPr>
      <w:rPr>
        <w:rFonts w:hint="default"/>
        <w:lang w:val="zh-CN" w:eastAsia="zh-CN" w:bidi="zh-CN"/>
      </w:rPr>
    </w:lvl>
    <w:lvl w:ilvl="5">
      <w:start w:val="0"/>
      <w:numFmt w:val="bullet"/>
      <w:lvlText w:val="•"/>
      <w:lvlJc w:val="left"/>
      <w:pPr>
        <w:ind w:left="4716" w:hanging="527"/>
      </w:pPr>
      <w:rPr>
        <w:rFonts w:hint="default"/>
        <w:lang w:val="zh-CN" w:eastAsia="zh-CN" w:bidi="zh-CN"/>
      </w:rPr>
    </w:lvl>
    <w:lvl w:ilvl="6">
      <w:start w:val="0"/>
      <w:numFmt w:val="bullet"/>
      <w:lvlText w:val="•"/>
      <w:lvlJc w:val="left"/>
      <w:pPr>
        <w:ind w:left="5670" w:hanging="527"/>
      </w:pPr>
      <w:rPr>
        <w:rFonts w:hint="default"/>
        <w:lang w:val="zh-CN" w:eastAsia="zh-CN" w:bidi="zh-CN"/>
      </w:rPr>
    </w:lvl>
    <w:lvl w:ilvl="7">
      <w:start w:val="0"/>
      <w:numFmt w:val="bullet"/>
      <w:lvlText w:val="•"/>
      <w:lvlJc w:val="left"/>
      <w:pPr>
        <w:ind w:left="6624" w:hanging="527"/>
      </w:pPr>
      <w:rPr>
        <w:rFonts w:hint="default"/>
        <w:lang w:val="zh-CN" w:eastAsia="zh-CN" w:bidi="zh-CN"/>
      </w:rPr>
    </w:lvl>
    <w:lvl w:ilvl="8">
      <w:start w:val="0"/>
      <w:numFmt w:val="bullet"/>
      <w:lvlText w:val="•"/>
      <w:lvlJc w:val="left"/>
      <w:pPr>
        <w:ind w:left="7578" w:hanging="527"/>
      </w:pPr>
      <w:rPr>
        <w:rFonts w:hint="default"/>
        <w:lang w:val="zh-CN" w:eastAsia="zh-CN" w:bidi="zh-CN"/>
      </w:rPr>
    </w:lvl>
  </w:abstractNum>
  <w:abstractNum w:abstractNumId="25">
    <w:multiLevelType w:val="hybridMultilevel"/>
    <w:lvl w:ilvl="0">
      <w:start w:val="1"/>
      <w:numFmt w:val="decimal"/>
      <w:lvlText w:val="（%1）"/>
      <w:lvlJc w:val="left"/>
      <w:pPr>
        <w:ind w:left="377" w:hanging="527"/>
        <w:jc w:val="left"/>
      </w:pPr>
      <w:rPr>
        <w:rFonts w:hint="default" w:ascii="宋体" w:hAnsi="宋体" w:eastAsia="宋体" w:cs="宋体"/>
        <w:spacing w:val="-97"/>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4">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3">
    <w:multiLevelType w:val="hybridMultilevel"/>
    <w:lvl w:ilvl="0">
      <w:start w:val="1"/>
      <w:numFmt w:val="decimal"/>
      <w:lvlText w:val="（%1）"/>
      <w:lvlJc w:val="left"/>
      <w:pPr>
        <w:ind w:left="132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1">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0">
    <w:multiLevelType w:val="hybridMultilevel"/>
    <w:lvl w:ilvl="0">
      <w:start w:val="1"/>
      <w:numFmt w:val="decimal"/>
      <w:lvlText w:val="（%1）"/>
      <w:lvlJc w:val="left"/>
      <w:pPr>
        <w:ind w:left="377"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290" w:hanging="526"/>
      </w:pPr>
      <w:rPr>
        <w:rFonts w:hint="default"/>
        <w:lang w:val="zh-CN" w:eastAsia="zh-CN" w:bidi="zh-CN"/>
      </w:rPr>
    </w:lvl>
    <w:lvl w:ilvl="2">
      <w:start w:val="0"/>
      <w:numFmt w:val="bullet"/>
      <w:lvlText w:val="•"/>
      <w:lvlJc w:val="left"/>
      <w:pPr>
        <w:ind w:left="2201" w:hanging="526"/>
      </w:pPr>
      <w:rPr>
        <w:rFonts w:hint="default"/>
        <w:lang w:val="zh-CN" w:eastAsia="zh-CN" w:bidi="zh-CN"/>
      </w:rPr>
    </w:lvl>
    <w:lvl w:ilvl="3">
      <w:start w:val="0"/>
      <w:numFmt w:val="bullet"/>
      <w:lvlText w:val="•"/>
      <w:lvlJc w:val="left"/>
      <w:pPr>
        <w:ind w:left="3111" w:hanging="526"/>
      </w:pPr>
      <w:rPr>
        <w:rFonts w:hint="default"/>
        <w:lang w:val="zh-CN" w:eastAsia="zh-CN" w:bidi="zh-CN"/>
      </w:rPr>
    </w:lvl>
    <w:lvl w:ilvl="4">
      <w:start w:val="0"/>
      <w:numFmt w:val="bullet"/>
      <w:lvlText w:val="•"/>
      <w:lvlJc w:val="left"/>
      <w:pPr>
        <w:ind w:left="4022" w:hanging="526"/>
      </w:pPr>
      <w:rPr>
        <w:rFonts w:hint="default"/>
        <w:lang w:val="zh-CN" w:eastAsia="zh-CN" w:bidi="zh-CN"/>
      </w:rPr>
    </w:lvl>
    <w:lvl w:ilvl="5">
      <w:start w:val="0"/>
      <w:numFmt w:val="bullet"/>
      <w:lvlText w:val="•"/>
      <w:lvlJc w:val="left"/>
      <w:pPr>
        <w:ind w:left="493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75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19">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8">
    <w:multiLevelType w:val="hybridMultilevel"/>
    <w:lvl w:ilvl="0">
      <w:start w:val="1"/>
      <w:numFmt w:val="decimal"/>
      <w:lvlText w:val="（%1）"/>
      <w:lvlJc w:val="left"/>
      <w:pPr>
        <w:ind w:left="377"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290" w:hanging="526"/>
      </w:pPr>
      <w:rPr>
        <w:rFonts w:hint="default"/>
        <w:lang w:val="zh-CN" w:eastAsia="zh-CN" w:bidi="zh-CN"/>
      </w:rPr>
    </w:lvl>
    <w:lvl w:ilvl="2">
      <w:start w:val="0"/>
      <w:numFmt w:val="bullet"/>
      <w:lvlText w:val="•"/>
      <w:lvlJc w:val="left"/>
      <w:pPr>
        <w:ind w:left="2201" w:hanging="526"/>
      </w:pPr>
      <w:rPr>
        <w:rFonts w:hint="default"/>
        <w:lang w:val="zh-CN" w:eastAsia="zh-CN" w:bidi="zh-CN"/>
      </w:rPr>
    </w:lvl>
    <w:lvl w:ilvl="3">
      <w:start w:val="0"/>
      <w:numFmt w:val="bullet"/>
      <w:lvlText w:val="•"/>
      <w:lvlJc w:val="left"/>
      <w:pPr>
        <w:ind w:left="3111" w:hanging="526"/>
      </w:pPr>
      <w:rPr>
        <w:rFonts w:hint="default"/>
        <w:lang w:val="zh-CN" w:eastAsia="zh-CN" w:bidi="zh-CN"/>
      </w:rPr>
    </w:lvl>
    <w:lvl w:ilvl="4">
      <w:start w:val="0"/>
      <w:numFmt w:val="bullet"/>
      <w:lvlText w:val="•"/>
      <w:lvlJc w:val="left"/>
      <w:pPr>
        <w:ind w:left="4022" w:hanging="526"/>
      </w:pPr>
      <w:rPr>
        <w:rFonts w:hint="default"/>
        <w:lang w:val="zh-CN" w:eastAsia="zh-CN" w:bidi="zh-CN"/>
      </w:rPr>
    </w:lvl>
    <w:lvl w:ilvl="5">
      <w:start w:val="0"/>
      <w:numFmt w:val="bullet"/>
      <w:lvlText w:val="•"/>
      <w:lvlJc w:val="left"/>
      <w:pPr>
        <w:ind w:left="493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75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17">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5">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4">
    <w:multiLevelType w:val="hybridMultilevel"/>
    <w:lvl w:ilvl="0">
      <w:start w:val="1"/>
      <w:numFmt w:val="decimal"/>
      <w:lvlText w:val="（%1）"/>
      <w:lvlJc w:val="left"/>
      <w:pPr>
        <w:ind w:left="37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3">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2">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1">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0">
    <w:multiLevelType w:val="hybridMultilevel"/>
    <w:lvl w:ilvl="0">
      <w:start w:val="1"/>
      <w:numFmt w:val="decimal"/>
      <w:lvlText w:val="%1）"/>
      <w:lvlJc w:val="left"/>
      <w:pPr>
        <w:ind w:left="37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317"/>
      </w:pPr>
      <w:rPr>
        <w:rFonts w:hint="default"/>
        <w:lang w:val="zh-CN" w:eastAsia="zh-CN" w:bidi="zh-CN"/>
      </w:rPr>
    </w:lvl>
    <w:lvl w:ilvl="2">
      <w:start w:val="0"/>
      <w:numFmt w:val="bullet"/>
      <w:lvlText w:val="•"/>
      <w:lvlJc w:val="left"/>
      <w:pPr>
        <w:ind w:left="2201" w:hanging="317"/>
      </w:pPr>
      <w:rPr>
        <w:rFonts w:hint="default"/>
        <w:lang w:val="zh-CN" w:eastAsia="zh-CN" w:bidi="zh-CN"/>
      </w:rPr>
    </w:lvl>
    <w:lvl w:ilvl="3">
      <w:start w:val="0"/>
      <w:numFmt w:val="bullet"/>
      <w:lvlText w:val="•"/>
      <w:lvlJc w:val="left"/>
      <w:pPr>
        <w:ind w:left="3111" w:hanging="317"/>
      </w:pPr>
      <w:rPr>
        <w:rFonts w:hint="default"/>
        <w:lang w:val="zh-CN" w:eastAsia="zh-CN" w:bidi="zh-CN"/>
      </w:rPr>
    </w:lvl>
    <w:lvl w:ilvl="4">
      <w:start w:val="0"/>
      <w:numFmt w:val="bullet"/>
      <w:lvlText w:val="•"/>
      <w:lvlJc w:val="left"/>
      <w:pPr>
        <w:ind w:left="4022" w:hanging="317"/>
      </w:pPr>
      <w:rPr>
        <w:rFonts w:hint="default"/>
        <w:lang w:val="zh-CN" w:eastAsia="zh-CN" w:bidi="zh-CN"/>
      </w:rPr>
    </w:lvl>
    <w:lvl w:ilvl="5">
      <w:start w:val="0"/>
      <w:numFmt w:val="bullet"/>
      <w:lvlText w:val="•"/>
      <w:lvlJc w:val="left"/>
      <w:pPr>
        <w:ind w:left="4933" w:hanging="317"/>
      </w:pPr>
      <w:rPr>
        <w:rFonts w:hint="default"/>
        <w:lang w:val="zh-CN" w:eastAsia="zh-CN" w:bidi="zh-CN"/>
      </w:rPr>
    </w:lvl>
    <w:lvl w:ilvl="6">
      <w:start w:val="0"/>
      <w:numFmt w:val="bullet"/>
      <w:lvlText w:val="•"/>
      <w:lvlJc w:val="left"/>
      <w:pPr>
        <w:ind w:left="5843" w:hanging="317"/>
      </w:pPr>
      <w:rPr>
        <w:rFonts w:hint="default"/>
        <w:lang w:val="zh-CN" w:eastAsia="zh-CN" w:bidi="zh-CN"/>
      </w:rPr>
    </w:lvl>
    <w:lvl w:ilvl="7">
      <w:start w:val="0"/>
      <w:numFmt w:val="bullet"/>
      <w:lvlText w:val="•"/>
      <w:lvlJc w:val="left"/>
      <w:pPr>
        <w:ind w:left="675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9">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8">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
    <w:multiLevelType w:val="hybridMultilevel"/>
    <w:lvl w:ilvl="0">
      <w:start w:val="1"/>
      <w:numFmt w:val="decimal"/>
      <w:lvlText w:val="（%1）"/>
      <w:lvlJc w:val="left"/>
      <w:pPr>
        <w:ind w:left="377"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6">
    <w:multiLevelType w:val="hybridMultilevel"/>
    <w:lvl w:ilvl="0">
      <w:start w:val="1"/>
      <w:numFmt w:val="decimal"/>
      <w:lvlText w:val="（%1）"/>
      <w:lvlJc w:val="left"/>
      <w:pPr>
        <w:ind w:left="37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90" w:hanging="527"/>
      </w:pPr>
      <w:rPr>
        <w:rFonts w:hint="default"/>
        <w:lang w:val="zh-CN" w:eastAsia="zh-CN" w:bidi="zh-CN"/>
      </w:rPr>
    </w:lvl>
    <w:lvl w:ilvl="2">
      <w:start w:val="0"/>
      <w:numFmt w:val="bullet"/>
      <w:lvlText w:val="•"/>
      <w:lvlJc w:val="left"/>
      <w:pPr>
        <w:ind w:left="2201" w:hanging="527"/>
      </w:pPr>
      <w:rPr>
        <w:rFonts w:hint="default"/>
        <w:lang w:val="zh-CN" w:eastAsia="zh-CN" w:bidi="zh-CN"/>
      </w:rPr>
    </w:lvl>
    <w:lvl w:ilvl="3">
      <w:start w:val="0"/>
      <w:numFmt w:val="bullet"/>
      <w:lvlText w:val="•"/>
      <w:lvlJc w:val="left"/>
      <w:pPr>
        <w:ind w:left="3111" w:hanging="527"/>
      </w:pPr>
      <w:rPr>
        <w:rFonts w:hint="default"/>
        <w:lang w:val="zh-CN" w:eastAsia="zh-CN" w:bidi="zh-CN"/>
      </w:rPr>
    </w:lvl>
    <w:lvl w:ilvl="4">
      <w:start w:val="0"/>
      <w:numFmt w:val="bullet"/>
      <w:lvlText w:val="•"/>
      <w:lvlJc w:val="left"/>
      <w:pPr>
        <w:ind w:left="4022" w:hanging="527"/>
      </w:pPr>
      <w:rPr>
        <w:rFonts w:hint="default"/>
        <w:lang w:val="zh-CN" w:eastAsia="zh-CN" w:bidi="zh-CN"/>
      </w:rPr>
    </w:lvl>
    <w:lvl w:ilvl="5">
      <w:start w:val="0"/>
      <w:numFmt w:val="bullet"/>
      <w:lvlText w:val="•"/>
      <w:lvlJc w:val="left"/>
      <w:pPr>
        <w:ind w:left="4933" w:hanging="527"/>
      </w:pPr>
      <w:rPr>
        <w:rFonts w:hint="default"/>
        <w:lang w:val="zh-CN" w:eastAsia="zh-CN" w:bidi="zh-CN"/>
      </w:rPr>
    </w:lvl>
    <w:lvl w:ilvl="6">
      <w:start w:val="0"/>
      <w:numFmt w:val="bullet"/>
      <w:lvlText w:val="•"/>
      <w:lvlJc w:val="left"/>
      <w:pPr>
        <w:ind w:left="5843" w:hanging="527"/>
      </w:pPr>
      <w:rPr>
        <w:rFonts w:hint="default"/>
        <w:lang w:val="zh-CN" w:eastAsia="zh-CN" w:bidi="zh-CN"/>
      </w:rPr>
    </w:lvl>
    <w:lvl w:ilvl="7">
      <w:start w:val="0"/>
      <w:numFmt w:val="bullet"/>
      <w:lvlText w:val="•"/>
      <w:lvlJc w:val="left"/>
      <w:pPr>
        <w:ind w:left="675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
    <w:multiLevelType w:val="hybridMultilevel"/>
    <w:lvl w:ilvl="0">
      <w:start w:val="1"/>
      <w:numFmt w:val="decimal"/>
      <w:lvlText w:val="（%1）"/>
      <w:lvlJc w:val="left"/>
      <w:pPr>
        <w:ind w:left="132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
    <w:multiLevelType w:val="hybridMultilevel"/>
    <w:lvl w:ilvl="0">
      <w:start w:val="1"/>
      <w:numFmt w:val="decimal"/>
      <w:lvlText w:val="（%1）"/>
      <w:lvlJc w:val="left"/>
      <w:pPr>
        <w:ind w:left="132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36" w:hanging="526"/>
      </w:pPr>
      <w:rPr>
        <w:rFonts w:hint="default"/>
        <w:lang w:val="zh-CN" w:eastAsia="zh-CN" w:bidi="zh-CN"/>
      </w:rPr>
    </w:lvl>
    <w:lvl w:ilvl="2">
      <w:start w:val="0"/>
      <w:numFmt w:val="bullet"/>
      <w:lvlText w:val="•"/>
      <w:lvlJc w:val="left"/>
      <w:pPr>
        <w:ind w:left="2953" w:hanging="526"/>
      </w:pPr>
      <w:rPr>
        <w:rFonts w:hint="default"/>
        <w:lang w:val="zh-CN" w:eastAsia="zh-CN" w:bidi="zh-CN"/>
      </w:rPr>
    </w:lvl>
    <w:lvl w:ilvl="3">
      <w:start w:val="0"/>
      <w:numFmt w:val="bullet"/>
      <w:lvlText w:val="•"/>
      <w:lvlJc w:val="left"/>
      <w:pPr>
        <w:ind w:left="3769" w:hanging="526"/>
      </w:pPr>
      <w:rPr>
        <w:rFonts w:hint="default"/>
        <w:lang w:val="zh-CN" w:eastAsia="zh-CN" w:bidi="zh-CN"/>
      </w:rPr>
    </w:lvl>
    <w:lvl w:ilvl="4">
      <w:start w:val="0"/>
      <w:numFmt w:val="bullet"/>
      <w:lvlText w:val="•"/>
      <w:lvlJc w:val="left"/>
      <w:pPr>
        <w:ind w:left="4586"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03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
    <w:multiLevelType w:val="hybridMultilevel"/>
    <w:lvl w:ilvl="0">
      <w:start w:val="1"/>
      <w:numFmt w:val="decimal"/>
      <w:lvlText w:val="（%1）"/>
      <w:lvlJc w:val="left"/>
      <w:pPr>
        <w:ind w:left="377"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1290" w:hanging="526"/>
      </w:pPr>
      <w:rPr>
        <w:rFonts w:hint="default"/>
        <w:lang w:val="zh-CN" w:eastAsia="zh-CN" w:bidi="zh-CN"/>
      </w:rPr>
    </w:lvl>
    <w:lvl w:ilvl="2">
      <w:start w:val="0"/>
      <w:numFmt w:val="bullet"/>
      <w:lvlText w:val="•"/>
      <w:lvlJc w:val="left"/>
      <w:pPr>
        <w:ind w:left="2201" w:hanging="526"/>
      </w:pPr>
      <w:rPr>
        <w:rFonts w:hint="default"/>
        <w:lang w:val="zh-CN" w:eastAsia="zh-CN" w:bidi="zh-CN"/>
      </w:rPr>
    </w:lvl>
    <w:lvl w:ilvl="3">
      <w:start w:val="0"/>
      <w:numFmt w:val="bullet"/>
      <w:lvlText w:val="•"/>
      <w:lvlJc w:val="left"/>
      <w:pPr>
        <w:ind w:left="3111" w:hanging="526"/>
      </w:pPr>
      <w:rPr>
        <w:rFonts w:hint="default"/>
        <w:lang w:val="zh-CN" w:eastAsia="zh-CN" w:bidi="zh-CN"/>
      </w:rPr>
    </w:lvl>
    <w:lvl w:ilvl="4">
      <w:start w:val="0"/>
      <w:numFmt w:val="bullet"/>
      <w:lvlText w:val="•"/>
      <w:lvlJc w:val="left"/>
      <w:pPr>
        <w:ind w:left="4022" w:hanging="526"/>
      </w:pPr>
      <w:rPr>
        <w:rFonts w:hint="default"/>
        <w:lang w:val="zh-CN" w:eastAsia="zh-CN" w:bidi="zh-CN"/>
      </w:rPr>
    </w:lvl>
    <w:lvl w:ilvl="5">
      <w:start w:val="0"/>
      <w:numFmt w:val="bullet"/>
      <w:lvlText w:val="•"/>
      <w:lvlJc w:val="left"/>
      <w:pPr>
        <w:ind w:left="493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75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0">
    <w:multiLevelType w:val="hybridMultilevel"/>
    <w:lvl w:ilvl="0">
      <w:start w:val="1"/>
      <w:numFmt w:val="decimal"/>
      <w:lvlText w:val="（%1）"/>
      <w:lvlJc w:val="left"/>
      <w:pPr>
        <w:ind w:left="377"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1290" w:hanging="526"/>
      </w:pPr>
      <w:rPr>
        <w:rFonts w:hint="default"/>
        <w:lang w:val="zh-CN" w:eastAsia="zh-CN" w:bidi="zh-CN"/>
      </w:rPr>
    </w:lvl>
    <w:lvl w:ilvl="2">
      <w:start w:val="0"/>
      <w:numFmt w:val="bullet"/>
      <w:lvlText w:val="•"/>
      <w:lvlJc w:val="left"/>
      <w:pPr>
        <w:ind w:left="2201" w:hanging="526"/>
      </w:pPr>
      <w:rPr>
        <w:rFonts w:hint="default"/>
        <w:lang w:val="zh-CN" w:eastAsia="zh-CN" w:bidi="zh-CN"/>
      </w:rPr>
    </w:lvl>
    <w:lvl w:ilvl="3">
      <w:start w:val="0"/>
      <w:numFmt w:val="bullet"/>
      <w:lvlText w:val="•"/>
      <w:lvlJc w:val="left"/>
      <w:pPr>
        <w:ind w:left="3111" w:hanging="526"/>
      </w:pPr>
      <w:rPr>
        <w:rFonts w:hint="default"/>
        <w:lang w:val="zh-CN" w:eastAsia="zh-CN" w:bidi="zh-CN"/>
      </w:rPr>
    </w:lvl>
    <w:lvl w:ilvl="4">
      <w:start w:val="0"/>
      <w:numFmt w:val="bullet"/>
      <w:lvlText w:val="•"/>
      <w:lvlJc w:val="left"/>
      <w:pPr>
        <w:ind w:left="4022" w:hanging="526"/>
      </w:pPr>
      <w:rPr>
        <w:rFonts w:hint="default"/>
        <w:lang w:val="zh-CN" w:eastAsia="zh-CN" w:bidi="zh-CN"/>
      </w:rPr>
    </w:lvl>
    <w:lvl w:ilvl="5">
      <w:start w:val="0"/>
      <w:numFmt w:val="bullet"/>
      <w:lvlText w:val="•"/>
      <w:lvlJc w:val="left"/>
      <w:pPr>
        <w:ind w:left="493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75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num w:numId="17">
    <w:abstractNumId w:val="16"/>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59"/>
      <w:ind w:left="376"/>
    </w:pPr>
    <w:rPr>
      <w:rFonts w:ascii="黑体" w:hAnsi="黑体" w:eastAsia="黑体" w:cs="黑体"/>
      <w:sz w:val="24"/>
      <w:szCs w:val="24"/>
      <w:lang w:val="zh-CN" w:eastAsia="zh-CN" w:bidi="zh-CN"/>
    </w:rPr>
  </w:style>
  <w:style w:styleId="TOC2" w:type="paragraph">
    <w:name w:val="TOC 2"/>
    <w:basedOn w:val="Normal"/>
    <w:uiPriority w:val="1"/>
    <w:qFormat/>
    <w:pPr>
      <w:spacing w:before="172"/>
      <w:ind w:left="1531"/>
    </w:pPr>
    <w:rPr>
      <w:rFonts w:ascii="仿宋" w:hAnsi="仿宋" w:eastAsia="仿宋" w:cs="仿宋"/>
      <w:sz w:val="21"/>
      <w:szCs w:val="21"/>
      <w:lang w:val="zh-CN" w:eastAsia="zh-CN" w:bidi="zh-CN"/>
    </w:rPr>
  </w:style>
  <w:style w:styleId="BodyText" w:type="paragraph">
    <w:name w:val="Body Text"/>
    <w:basedOn w:val="Normal"/>
    <w:uiPriority w:val="1"/>
    <w:qFormat/>
    <w:pPr>
      <w:ind w:left="796"/>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right="419"/>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ind w:left="376"/>
      <w:outlineLvl w:val="2"/>
    </w:pPr>
    <w:rPr>
      <w:rFonts w:ascii="宋体" w:hAnsi="宋体" w:eastAsia="宋体" w:cs="宋体"/>
      <w:sz w:val="28"/>
      <w:szCs w:val="28"/>
      <w:lang w:val="zh-CN" w:eastAsia="zh-CN" w:bidi="zh-CN"/>
    </w:rPr>
  </w:style>
  <w:style w:styleId="Heading3" w:type="paragraph">
    <w:name w:val="Heading 3"/>
    <w:basedOn w:val="Normal"/>
    <w:uiPriority w:val="1"/>
    <w:qFormat/>
    <w:pPr>
      <w:spacing w:line="429" w:lineRule="exact"/>
      <w:ind w:right="418"/>
      <w:jc w:val="center"/>
      <w:outlineLvl w:val="3"/>
    </w:pPr>
    <w:rPr>
      <w:rFonts w:ascii="Microsoft JhengHei" w:hAnsi="Microsoft JhengHei" w:eastAsia="Microsoft JhengHei" w:cs="Microsoft JhengHei"/>
      <w:b/>
      <w:bCs/>
      <w:sz w:val="24"/>
      <w:szCs w:val="24"/>
      <w:lang w:val="zh-CN" w:eastAsia="zh-CN" w:bidi="zh-CN"/>
    </w:rPr>
  </w:style>
  <w:style w:styleId="Heading4" w:type="paragraph">
    <w:name w:val="Heading 4"/>
    <w:basedOn w:val="Normal"/>
    <w:uiPriority w:val="1"/>
    <w:qFormat/>
    <w:pPr>
      <w:ind w:left="376" w:right="795" w:firstLine="480"/>
      <w:outlineLvl w:val="4"/>
    </w:pPr>
    <w:rPr>
      <w:rFonts w:ascii="宋体" w:hAnsi="宋体" w:eastAsia="宋体" w:cs="宋体"/>
      <w:sz w:val="24"/>
      <w:szCs w:val="24"/>
      <w:lang w:val="zh-CN" w:eastAsia="zh-CN" w:bidi="zh-CN"/>
    </w:rPr>
  </w:style>
  <w:style w:styleId="Heading5" w:type="paragraph">
    <w:name w:val="Heading 5"/>
    <w:basedOn w:val="Normal"/>
    <w:uiPriority w:val="1"/>
    <w:qFormat/>
    <w:pPr>
      <w:ind w:left="393" w:right="812"/>
      <w:outlineLvl w:val="5"/>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1323" w:hanging="527"/>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mailto:sophiachung@hsbc.com.cn" TargetMode="External"/><Relationship Id="rId9" Type="http://schemas.openxmlformats.org/officeDocument/2006/relationships/hyperlink" Target="http://www.hsbc.com/" TargetMode="External"/><Relationship Id="rId10" Type="http://schemas.openxmlformats.org/officeDocument/2006/relationships/hyperlink" Target="http://www.abchina.com/" TargetMode="External"/><Relationship Id="rId11" Type="http://schemas.openxmlformats.org/officeDocument/2006/relationships/hyperlink" Target="http://www.cgbchina.com.cn/" TargetMode="External"/><Relationship Id="rId12" Type="http://schemas.openxmlformats.org/officeDocument/2006/relationships/hyperlink" Target="http://www.hxb.com.cn/" TargetMode="External"/><Relationship Id="rId13" Type="http://schemas.openxmlformats.org/officeDocument/2006/relationships/hyperlink" Target="http://www.bankcomm.com/" TargetMode="External"/><Relationship Id="rId14" Type="http://schemas.openxmlformats.org/officeDocument/2006/relationships/hyperlink" Target="http://www.spdb.com.cn/" TargetMode="External"/><Relationship Id="rId15" Type="http://schemas.openxmlformats.org/officeDocument/2006/relationships/hyperlink" Target="http://www.cib.com.cn/" TargetMode="External"/><Relationship Id="rId16" Type="http://schemas.openxmlformats.org/officeDocument/2006/relationships/hyperlink" Target="http://www.cmbchina.com/" TargetMode="External"/><Relationship Id="rId17" Type="http://schemas.openxmlformats.org/officeDocument/2006/relationships/hyperlink" Target="http://www.czbank.com/" TargetMode="External"/><Relationship Id="rId18" Type="http://schemas.openxmlformats.org/officeDocument/2006/relationships/hyperlink" Target="http://www.icbc.com.cn/" TargetMode="External"/><Relationship Id="rId19" Type="http://schemas.openxmlformats.org/officeDocument/2006/relationships/hyperlink" Target="http://www.cebbank.com/" TargetMode="External"/><Relationship Id="rId20" Type="http://schemas.openxmlformats.org/officeDocument/2006/relationships/hyperlink" Target="http://www.ccb.com/" TargetMode="External"/><Relationship Id="rId21" Type="http://schemas.openxmlformats.org/officeDocument/2006/relationships/hyperlink" Target="http://www.cmbc.com.cn/" TargetMode="External"/><Relationship Id="rId22" Type="http://schemas.openxmlformats.org/officeDocument/2006/relationships/hyperlink" Target="http://www.boc.cn/" TargetMode="External"/><Relationship Id="rId23" Type="http://schemas.openxmlformats.org/officeDocument/2006/relationships/hyperlink" Target="http://www.psbc.com/" TargetMode="External"/><Relationship Id="rId24" Type="http://schemas.openxmlformats.org/officeDocument/2006/relationships/hyperlink" Target="http://www.bankofbeijing.com.cn/" TargetMode="External"/><Relationship Id="rId25" Type="http://schemas.openxmlformats.org/officeDocument/2006/relationships/hyperlink" Target="http://www.dongguanbank.cn/" TargetMode="External"/><Relationship Id="rId26" Type="http://schemas.openxmlformats.org/officeDocument/2006/relationships/hyperlink" Target="http://www.hzbank.com.cn/" TargetMode="External"/><Relationship Id="rId27" Type="http://schemas.openxmlformats.org/officeDocument/2006/relationships/hyperlink" Target="http://www.hebbank.com/" TargetMode="External"/><Relationship Id="rId28" Type="http://schemas.openxmlformats.org/officeDocument/2006/relationships/hyperlink" Target="http://www.jnbank.com.cn/" TargetMode="External"/><Relationship Id="rId29" Type="http://schemas.openxmlformats.org/officeDocument/2006/relationships/hyperlink" Target="http://www.jsbchina.cn/" TargetMode="External"/><Relationship Id="rId30" Type="http://schemas.openxmlformats.org/officeDocument/2006/relationships/hyperlink" Target="http://www.nbcb.com.cn/" TargetMode="External"/><Relationship Id="rId31" Type="http://schemas.openxmlformats.org/officeDocument/2006/relationships/hyperlink" Target="http://www.qdccb.com/" TargetMode="External"/><Relationship Id="rId32" Type="http://schemas.openxmlformats.org/officeDocument/2006/relationships/hyperlink" Target="http://www.qzccbank.com/" TargetMode="External"/><Relationship Id="rId33" Type="http://schemas.openxmlformats.org/officeDocument/2006/relationships/hyperlink" Target="http://www.srcb.com/" TargetMode="External"/><Relationship Id="rId34" Type="http://schemas.openxmlformats.org/officeDocument/2006/relationships/hyperlink" Target="http://www.bosc.cn/" TargetMode="External"/><Relationship Id="rId35" Type="http://schemas.openxmlformats.org/officeDocument/2006/relationships/hyperlink" Target="http://www.webank.com/" TargetMode="External"/><Relationship Id="rId36" Type="http://schemas.openxmlformats.org/officeDocument/2006/relationships/hyperlink" Target="http://www.essence.com.cn/" TargetMode="External"/><Relationship Id="rId37" Type="http://schemas.openxmlformats.org/officeDocument/2006/relationships/hyperlink" Target="http://www.ewww.com.cn/" TargetMode="External"/><Relationship Id="rId38" Type="http://schemas.openxmlformats.org/officeDocument/2006/relationships/hyperlink" Target="http://www.s10000.com/" TargetMode="External"/><Relationship Id="rId39" Type="http://schemas.openxmlformats.org/officeDocument/2006/relationships/hyperlink" Target="http://www.gwgsc.com/" TargetMode="External"/><Relationship Id="rId40" Type="http://schemas.openxmlformats.org/officeDocument/2006/relationships/hyperlink" Target="http://www.95579.com/" TargetMode="External"/><Relationship Id="rId41" Type="http://schemas.openxmlformats.org/officeDocument/2006/relationships/hyperlink" Target="http://www.cczq.com/" TargetMode="External"/><Relationship Id="rId42" Type="http://schemas.openxmlformats.org/officeDocument/2006/relationships/hyperlink" Target="http://www.daton.com.cn/" TargetMode="External"/><Relationship Id="rId43" Type="http://schemas.openxmlformats.org/officeDocument/2006/relationships/hyperlink" Target="http://www.dtsbc.com.cn/" TargetMode="External"/><Relationship Id="rId44" Type="http://schemas.openxmlformats.org/officeDocument/2006/relationships/hyperlink" Target="http://www.tebon.com.cn/" TargetMode="External"/><Relationship Id="rId45" Type="http://schemas.openxmlformats.org/officeDocument/2006/relationships/hyperlink" Target="http://www.firstcapital.com.cn/" TargetMode="External"/><Relationship Id="rId46" Type="http://schemas.openxmlformats.org/officeDocument/2006/relationships/hyperlink" Target="http://www.dfzq.com.cn/" TargetMode="External"/><Relationship Id="rId47" Type="http://schemas.openxmlformats.org/officeDocument/2006/relationships/hyperlink" Target="http://www.longone.com.cn/" TargetMode="External"/><Relationship Id="rId48" Type="http://schemas.openxmlformats.org/officeDocument/2006/relationships/hyperlink" Target="http://www.dwzq.com.cn/" TargetMode="External"/><Relationship Id="rId49" Type="http://schemas.openxmlformats.org/officeDocument/2006/relationships/hyperlink" Target="http://www.ebscn.com/" TargetMode="External"/><Relationship Id="rId50" Type="http://schemas.openxmlformats.org/officeDocument/2006/relationships/hyperlink" Target="http://www.gf.com.cn/" TargetMode="External"/><Relationship Id="rId51" Type="http://schemas.openxmlformats.org/officeDocument/2006/relationships/hyperlink" Target="http://www.gjzq.com.cn/" TargetMode="External"/><Relationship Id="rId52" Type="http://schemas.openxmlformats.org/officeDocument/2006/relationships/hyperlink" Target="http://www.glsc.com.cn/" TargetMode="External"/><Relationship Id="rId53" Type="http://schemas.openxmlformats.org/officeDocument/2006/relationships/hyperlink" Target="http://www.gszq.com/" TargetMode="External"/><Relationship Id="rId54" Type="http://schemas.openxmlformats.org/officeDocument/2006/relationships/hyperlink" Target="http://www.gtja.com/" TargetMode="External"/><Relationship Id="rId55" Type="http://schemas.openxmlformats.org/officeDocument/2006/relationships/hyperlink" Target="http://www.guosen.com.cn/" TargetMode="External"/><Relationship Id="rId56" Type="http://schemas.openxmlformats.org/officeDocument/2006/relationships/hyperlink" Target="http://www.gyzq.com.cn/" TargetMode="External"/><Relationship Id="rId57" Type="http://schemas.openxmlformats.org/officeDocument/2006/relationships/hyperlink" Target="http://www.htsec.com/" TargetMode="External"/><Relationship Id="rId58" Type="http://schemas.openxmlformats.org/officeDocument/2006/relationships/hyperlink" Target="http://www.hazq.com/" TargetMode="External"/><Relationship Id="rId59" Type="http://schemas.openxmlformats.org/officeDocument/2006/relationships/hyperlink" Target="http://www.cnhbstock.com/" TargetMode="External"/><Relationship Id="rId60" Type="http://schemas.openxmlformats.org/officeDocument/2006/relationships/hyperlink" Target="http://www.hlzq.com/" TargetMode="External"/><Relationship Id="rId61" Type="http://schemas.openxmlformats.org/officeDocument/2006/relationships/hyperlink" Target="http://www.hrsec.com.cn/" TargetMode="External"/><Relationship Id="rId62" Type="http://schemas.openxmlformats.org/officeDocument/2006/relationships/hyperlink" Target="http://www.htsc.com.cn/" TargetMode="External"/><Relationship Id="rId63" Type="http://schemas.openxmlformats.org/officeDocument/2006/relationships/hyperlink" Target="http://www.hx168.com.cn/" TargetMode="External"/><Relationship Id="rId64" Type="http://schemas.openxmlformats.org/officeDocument/2006/relationships/hyperlink" Target="http://www.cfsc.com.cn/" TargetMode="External"/><Relationship Id="rId65" Type="http://schemas.openxmlformats.org/officeDocument/2006/relationships/hyperlink" Target="http://www.shhxzq.com/" TargetMode="External"/><Relationship Id="rId66" Type="http://schemas.openxmlformats.org/officeDocument/2006/relationships/hyperlink" Target="http://www.jhzq.com.cn/" TargetMode="External"/><Relationship Id="rId67" Type="http://schemas.openxmlformats.org/officeDocument/2006/relationships/hyperlink" Target="http://www.jyzq.cn/" TargetMode="External"/><Relationship Id="rId68" Type="http://schemas.openxmlformats.org/officeDocument/2006/relationships/hyperlink" Target="http://www.kysec.cn/" TargetMode="External"/><Relationship Id="rId69" Type="http://schemas.openxmlformats.org/officeDocument/2006/relationships/hyperlink" Target="http://www.lczq.com/" TargetMode="External"/><Relationship Id="rId70" Type="http://schemas.openxmlformats.org/officeDocument/2006/relationships/hyperlink" Target="http://www.mszq.com/" TargetMode="External"/><Relationship Id="rId71" Type="http://schemas.openxmlformats.org/officeDocument/2006/relationships/hyperlink" Target="http://www.njzq.com.cn/" TargetMode="External"/><Relationship Id="rId72" Type="http://schemas.openxmlformats.org/officeDocument/2006/relationships/hyperlink" Target="http://www.ubs.com/ubssecurities" TargetMode="External"/><Relationship Id="rId73" Type="http://schemas.openxmlformats.org/officeDocument/2006/relationships/hyperlink" Target="http://www.shzq.com/" TargetMode="External"/><Relationship Id="rId74" Type="http://schemas.openxmlformats.org/officeDocument/2006/relationships/hyperlink" Target="http://www.hysec.com/" TargetMode="External"/><Relationship Id="rId75" Type="http://schemas.openxmlformats.org/officeDocument/2006/relationships/hyperlink" Target="http://www.swhysc.com/" TargetMode="External"/><Relationship Id="rId76" Type="http://schemas.openxmlformats.org/officeDocument/2006/relationships/hyperlink" Target="http://www.sczq.com.cn/" TargetMode="External"/><Relationship Id="rId77" Type="http://schemas.openxmlformats.org/officeDocument/2006/relationships/hyperlink" Target="http://www.tfzq.com/" TargetMode="External"/><Relationship Id="rId78" Type="http://schemas.openxmlformats.org/officeDocument/2006/relationships/hyperlink" Target="http://www.westsecu.com/" TargetMode="External"/><Relationship Id="rId79" Type="http://schemas.openxmlformats.org/officeDocument/2006/relationships/hyperlink" Target="http://www.xcsc.com/" TargetMode="External"/><Relationship Id="rId80" Type="http://schemas.openxmlformats.org/officeDocument/2006/relationships/hyperlink" Target="http://www.xsdzq.cn/" TargetMode="External"/><Relationship Id="rId81" Type="http://schemas.openxmlformats.org/officeDocument/2006/relationships/hyperlink" Target="http://www.cindasc.com/" TargetMode="External"/><Relationship Id="rId82" Type="http://schemas.openxmlformats.org/officeDocument/2006/relationships/hyperlink" Target="http://www.xyzq.com.cn/" TargetMode="External"/><Relationship Id="rId83" Type="http://schemas.openxmlformats.org/officeDocument/2006/relationships/hyperlink" Target="http://www.chinastock.com.cn/" TargetMode="External"/><Relationship Id="rId84" Type="http://schemas.openxmlformats.org/officeDocument/2006/relationships/hyperlink" Target="http://www.ykzq.com/" TargetMode="External"/><Relationship Id="rId85" Type="http://schemas.openxmlformats.org/officeDocument/2006/relationships/hyperlink" Target="http://www.stocke.com.cn/" TargetMode="External"/><Relationship Id="rId86" Type="http://schemas.openxmlformats.org/officeDocument/2006/relationships/hyperlink" Target="http://www.ciccwm.com/" TargetMode="External"/><Relationship Id="rId87" Type="http://schemas.openxmlformats.org/officeDocument/2006/relationships/hyperlink" Target="http://www.cicc.com.cn/" TargetMode="External"/><Relationship Id="rId88" Type="http://schemas.openxmlformats.org/officeDocument/2006/relationships/hyperlink" Target="http://www.zts.com.cn/" TargetMode="External"/><Relationship Id="rId89" Type="http://schemas.openxmlformats.org/officeDocument/2006/relationships/hyperlink" Target="http://www.iztzq.com/" TargetMode="External"/><Relationship Id="rId90" Type="http://schemas.openxmlformats.org/officeDocument/2006/relationships/hyperlink" Target="http://www.csc108.com/" TargetMode="External"/><Relationship Id="rId91" Type="http://schemas.openxmlformats.org/officeDocument/2006/relationships/hyperlink" Target="http://www.cs.ecitic.com/" TargetMode="External"/><Relationship Id="rId92" Type="http://schemas.openxmlformats.org/officeDocument/2006/relationships/hyperlink" Target="http://www.gzs.com.cn/" TargetMode="External"/><Relationship Id="rId93" Type="http://schemas.openxmlformats.org/officeDocument/2006/relationships/hyperlink" Target="http://sd.citics.com/" TargetMode="External"/><Relationship Id="rId94" Type="http://schemas.openxmlformats.org/officeDocument/2006/relationships/hyperlink" Target="http://www.bocichina.com/" TargetMode="External"/><Relationship Id="rId95" Type="http://schemas.openxmlformats.org/officeDocument/2006/relationships/hyperlink" Target="http://www.ccnew.com/" TargetMode="External"/><Relationship Id="rId96" Type="http://schemas.openxmlformats.org/officeDocument/2006/relationships/hyperlink" Target="http://www.baiyingfund.com/" TargetMode="External"/><Relationship Id="rId97" Type="http://schemas.openxmlformats.org/officeDocument/2006/relationships/hyperlink" Target="http://www.erichfund.com/" TargetMode="External"/><Relationship Id="rId98" Type="http://schemas.openxmlformats.org/officeDocument/2006/relationships/hyperlink" Target="http://www.998fund.com/" TargetMode="External"/><Relationship Id="rId99" Type="http://schemas.openxmlformats.org/officeDocument/2006/relationships/hyperlink" Target="http://www.5irich.com/" TargetMode="External"/><Relationship Id="rId100" Type="http://schemas.openxmlformats.org/officeDocument/2006/relationships/hyperlink" Target="http://www.wg.com.cn/" TargetMode="External"/><Relationship Id="rId101" Type="http://schemas.openxmlformats.org/officeDocument/2006/relationships/hyperlink" Target="http://www.fujifund.cn/" TargetMode="External"/><Relationship Id="rId102" Type="http://schemas.openxmlformats.org/officeDocument/2006/relationships/hyperlink" Target="http://www.fundhaiyin.com/" TargetMode="External"/><Relationship Id="rId103" Type="http://schemas.openxmlformats.org/officeDocument/2006/relationships/hyperlink" Target="http://www.ehowbuy.com/" TargetMode="External"/><Relationship Id="rId104" Type="http://schemas.openxmlformats.org/officeDocument/2006/relationships/hyperlink" Target="http://licaike.hexun.com/" TargetMode="External"/><Relationship Id="rId105" Type="http://schemas.openxmlformats.org/officeDocument/2006/relationships/hyperlink" Target="http://www.chtwm.com/" TargetMode="External"/><Relationship Id="rId106" Type="http://schemas.openxmlformats.org/officeDocument/2006/relationships/hyperlink" Target="http://www.ftol.com.cn/" TargetMode="External"/><Relationship Id="rId107" Type="http://schemas.openxmlformats.org/officeDocument/2006/relationships/hyperlink" Target="http://www.hongdianfund.com/" TargetMode="External"/><Relationship Id="rId108" Type="http://schemas.openxmlformats.org/officeDocument/2006/relationships/hyperlink" Target="http://www.amcfortune.com/" TargetMode="External"/><Relationship Id="rId109" Type="http://schemas.openxmlformats.org/officeDocument/2006/relationships/hyperlink" Target="http://www.hcjijin.com/" TargetMode="External"/><Relationship Id="rId110" Type="http://schemas.openxmlformats.org/officeDocument/2006/relationships/hyperlink" Target="http://www.hotjijin.com/" TargetMode="External"/><Relationship Id="rId111" Type="http://schemas.openxmlformats.org/officeDocument/2006/relationships/hyperlink" Target="http://www.harvestwm.cn/" TargetMode="External"/><Relationship Id="rId112" Type="http://schemas.openxmlformats.org/officeDocument/2006/relationships/hyperlink" Target="http://www.jfcta.com/" TargetMode="External"/><Relationship Id="rId113" Type="http://schemas.openxmlformats.org/officeDocument/2006/relationships/hyperlink" Target="http://www.vstonewealth.com/" TargetMode="External"/><Relationship Id="rId114" Type="http://schemas.openxmlformats.org/officeDocument/2006/relationships/hyperlink" Target="http://fund.jd.com/" TargetMode="External"/><Relationship Id="rId115" Type="http://schemas.openxmlformats.org/officeDocument/2006/relationships/hyperlink" Target="http://www.leadfund.com.cn/" TargetMode="External"/><Relationship Id="rId116" Type="http://schemas.openxmlformats.org/officeDocument/2006/relationships/hyperlink" Target="http://www.66zichan.com/" TargetMode="External"/><Relationship Id="rId117" Type="http://schemas.openxmlformats.org/officeDocument/2006/relationships/hyperlink" Target="http://www.lufunds.com/" TargetMode="External"/><Relationship Id="rId118" Type="http://schemas.openxmlformats.org/officeDocument/2006/relationships/hyperlink" Target="http://www.fund123.cn/" TargetMode="External"/><Relationship Id="rId119" Type="http://schemas.openxmlformats.org/officeDocument/2006/relationships/hyperlink" Target="http://www.msftec.com/" TargetMode="External"/><Relationship Id="rId120" Type="http://schemas.openxmlformats.org/officeDocument/2006/relationships/hyperlink" Target="http://www.noah-fund.com/" TargetMode="External"/><Relationship Id="rId121" Type="http://schemas.openxmlformats.org/officeDocument/2006/relationships/hyperlink" Target="http://www.zscffund.com/" TargetMode="External"/><Relationship Id="rId122" Type="http://schemas.openxmlformats.org/officeDocument/2006/relationships/hyperlink" Target="http://www.qianjing.com/" TargetMode="External"/><Relationship Id="rId123" Type="http://schemas.openxmlformats.org/officeDocument/2006/relationships/hyperlink" Target="http://8.jrj.com.cn/" TargetMode="External"/><Relationship Id="rId124" Type="http://schemas.openxmlformats.org/officeDocument/2006/relationships/hyperlink" Target="http://www.1234567.com.cn/" TargetMode="External"/><Relationship Id="rId125" Type="http://schemas.openxmlformats.org/officeDocument/2006/relationships/hyperlink" Target="http://www.tonghuafund.com/" TargetMode="External"/><Relationship Id="rId126" Type="http://schemas.openxmlformats.org/officeDocument/2006/relationships/hyperlink" Target="http://www.5ifund.com/" TargetMode="External"/><Relationship Id="rId127" Type="http://schemas.openxmlformats.org/officeDocument/2006/relationships/hyperlink" Target="http://www.520fund.com.cn/" TargetMode="External"/><Relationship Id="rId128" Type="http://schemas.openxmlformats.org/officeDocument/2006/relationships/hyperlink" Target="http://www.wanjiawealth.com/" TargetMode="External"/><Relationship Id="rId129" Type="http://schemas.openxmlformats.org/officeDocument/2006/relationships/hyperlink" Target="http://www.xds.com.cn/" TargetMode="External"/><Relationship Id="rId130" Type="http://schemas.openxmlformats.org/officeDocument/2006/relationships/hyperlink" Target="http://www.yilucaifu.com/" TargetMode="External"/><Relationship Id="rId131" Type="http://schemas.openxmlformats.org/officeDocument/2006/relationships/hyperlink" Target="http://www.yitfund.com/" TargetMode="External"/><Relationship Id="rId132" Type="http://schemas.openxmlformats.org/officeDocument/2006/relationships/hyperlink" Target="http://www.yixinfund.com/" TargetMode="External"/><Relationship Id="rId133" Type="http://schemas.openxmlformats.org/officeDocument/2006/relationships/hyperlink" Target="http://www.ifastps.com.cn/" TargetMode="External"/><Relationship Id="rId134" Type="http://schemas.openxmlformats.org/officeDocument/2006/relationships/hyperlink" Target="http://www.yingmi.cn/" TargetMode="External"/><Relationship Id="rId135" Type="http://schemas.openxmlformats.org/officeDocument/2006/relationships/hyperlink" Target="http://www.zhengtongfunds.com/" TargetMode="External"/><Relationship Id="rId136" Type="http://schemas.openxmlformats.org/officeDocument/2006/relationships/hyperlink" Target="http://www.zcvc.com.cn/" TargetMode="External"/><Relationship Id="rId137" Type="http://schemas.openxmlformats.org/officeDocument/2006/relationships/hyperlink" Target="http://www.myfund.com/" TargetMode="External"/><Relationship Id="rId138" Type="http://schemas.openxmlformats.org/officeDocument/2006/relationships/hyperlink" Target="http://www.cfc108.com/" TargetMode="External"/><Relationship Id="rId139" Type="http://schemas.openxmlformats.org/officeDocument/2006/relationships/hyperlink" Target="http://www.citicsf.com/" TargetMode="External"/><Relationship Id="rId140" Type="http://schemas.openxmlformats.org/officeDocument/2006/relationships/hyperlink" Target="http://www.zlfund.cn/" TargetMode="External"/><Relationship Id="rId141" Type="http://schemas.openxmlformats.org/officeDocument/2006/relationships/hyperlink" Target="http://www.jjmmw.com/" TargetMode="External"/><Relationship Id="rId142" Type="http://schemas.openxmlformats.org/officeDocument/2006/relationships/hyperlink" Target="mailto:service@efunds.com.cn" TargetMode="External"/><Relationship Id="rId1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2020-11-18T05:54:30Z</dcterms:created>
  <dcterms:modified xsi:type="dcterms:W3CDTF">2020-11-18T05:54:30Z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Aspose Ltd.</vt:lpwstr>
  </property>
  <property fmtid="{D5CDD505-2E9C-101B-9397-08002B2CF9AE}" pid="4" name="LastSaved">
    <vt:filetime>2020-11-18T00:00:00Z</vt:filetime>
  </property>
</Properties>
</file>