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9"/>
        </w:rPr>
      </w:pPr>
    </w:p>
    <w:p>
      <w:pPr>
        <w:spacing w:line="703" w:lineRule="exact" w:before="0"/>
        <w:ind w:left="1334" w:right="1354" w:firstLine="0"/>
        <w:jc w:val="center"/>
        <w:rPr>
          <w:rFonts w:ascii="Microsoft JhengHei" w:eastAsia="Microsoft JhengHei" w:hint="eastAsia"/>
          <w:b/>
          <w:sz w:val="44"/>
        </w:rPr>
      </w:pPr>
      <w:r>
        <w:rPr>
          <w:rFonts w:ascii="Microsoft JhengHei" w:eastAsia="Microsoft JhengHei" w:hint="eastAsia"/>
          <w:b/>
          <w:sz w:val="44"/>
        </w:rPr>
        <w:t>易方达科讯混合型证券投资基金</w:t>
      </w:r>
    </w:p>
    <w:p>
      <w:pPr>
        <w:spacing w:before="47"/>
        <w:ind w:left="1334" w:right="1354"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1"/>
        <w:ind w:left="0"/>
        <w:rPr>
          <w:rFonts w:ascii="Microsoft JhengHei"/>
          <w:b/>
          <w:sz w:val="55"/>
        </w:rPr>
      </w:pPr>
    </w:p>
    <w:p>
      <w:pPr>
        <w:spacing w:line="364" w:lineRule="auto" w:before="1"/>
        <w:ind w:left="2003" w:right="2022" w:firstLine="0"/>
        <w:jc w:val="center"/>
        <w:rPr>
          <w:sz w:val="30"/>
        </w:rPr>
      </w:pPr>
      <w:r>
        <w:rPr>
          <w:sz w:val="30"/>
        </w:rPr>
        <w:t>基金管理人：易方达基金管理有限公司基金托管人：交通银行股份有限公司</w:t>
      </w:r>
    </w:p>
    <w:p>
      <w:pPr>
        <w:pStyle w:val="BodyText"/>
        <w:ind w:left="0"/>
        <w:rPr>
          <w:sz w:val="30"/>
        </w:rPr>
      </w:pPr>
    </w:p>
    <w:p>
      <w:pPr>
        <w:pStyle w:val="Heading3"/>
        <w:spacing w:before="197"/>
        <w:ind w:left="1334" w:right="1353"/>
        <w:jc w:val="center"/>
      </w:pPr>
      <w:r>
        <w:rPr/>
        <w:t>二○二○年十月</w:t>
      </w:r>
    </w:p>
    <w:p>
      <w:pPr>
        <w:spacing w:after="0"/>
        <w:jc w:val="center"/>
        <w:sectPr>
          <w:type w:val="continuous"/>
          <w:pgSz w:w="11910" w:h="16840"/>
          <w:pgMar w:top="1580" w:bottom="280" w:left="1400" w:right="1380"/>
        </w:sectPr>
      </w:pPr>
    </w:p>
    <w:p>
      <w:pPr>
        <w:pStyle w:val="Heading4"/>
        <w:spacing w:line="362" w:lineRule="exact"/>
        <w:ind w:left="1334" w:right="1352"/>
        <w:jc w:val="center"/>
      </w:pPr>
      <w:r>
        <w:rPr/>
        <w:t>重要提示</w:t>
      </w:r>
    </w:p>
    <w:p>
      <w:pPr>
        <w:spacing w:line="254" w:lineRule="auto" w:before="22"/>
        <w:ind w:left="400" w:right="418" w:firstLine="420"/>
        <w:jc w:val="both"/>
        <w:rPr>
          <w:rFonts w:ascii="Microsoft JhengHei" w:hAnsi="Microsoft JhengHei" w:eastAsia="Microsoft JhengHei" w:hint="eastAsia"/>
          <w:b/>
          <w:sz w:val="21"/>
        </w:rPr>
      </w:pPr>
      <w:r>
        <w:rPr>
          <w:rFonts w:ascii="Microsoft JhengHei" w:hAnsi="Microsoft JhengHei" w:eastAsia="Microsoft JhengHei" w:hint="eastAsia"/>
          <w:b/>
          <w:spacing w:val="-5"/>
          <w:sz w:val="21"/>
        </w:rPr>
        <w:t>依据中国证监会 </w:t>
      </w:r>
      <w:r>
        <w:rPr>
          <w:rFonts w:ascii="Microsoft JhengHei" w:hAnsi="Microsoft JhengHei" w:eastAsia="Microsoft JhengHei" w:hint="eastAsia"/>
          <w:b/>
          <w:sz w:val="21"/>
        </w:rPr>
        <w:t>2007</w:t>
      </w:r>
      <w:r>
        <w:rPr>
          <w:rFonts w:ascii="Microsoft JhengHei" w:hAnsi="Microsoft JhengHei" w:eastAsia="Microsoft JhengHei" w:hint="eastAsia"/>
          <w:b/>
          <w:spacing w:val="-25"/>
          <w:sz w:val="21"/>
        </w:rPr>
        <w:t> 年 </w:t>
      </w:r>
      <w:r>
        <w:rPr>
          <w:rFonts w:ascii="Microsoft JhengHei" w:hAnsi="Microsoft JhengHei" w:eastAsia="Microsoft JhengHei" w:hint="eastAsia"/>
          <w:b/>
          <w:sz w:val="21"/>
        </w:rPr>
        <w:t>12</w:t>
      </w:r>
      <w:r>
        <w:rPr>
          <w:rFonts w:ascii="Microsoft JhengHei" w:hAnsi="Microsoft JhengHei" w:eastAsia="Microsoft JhengHei" w:hint="eastAsia"/>
          <w:b/>
          <w:spacing w:val="-25"/>
          <w:sz w:val="21"/>
        </w:rPr>
        <w:t> 月 </w:t>
      </w:r>
      <w:r>
        <w:rPr>
          <w:rFonts w:ascii="Microsoft JhengHei" w:hAnsi="Microsoft JhengHei" w:eastAsia="Microsoft JhengHei" w:hint="eastAsia"/>
          <w:b/>
          <w:sz w:val="21"/>
        </w:rPr>
        <w:t>6</w:t>
      </w:r>
      <w:r>
        <w:rPr>
          <w:rFonts w:ascii="Microsoft JhengHei" w:hAnsi="Microsoft JhengHei" w:eastAsia="Microsoft JhengHei" w:hint="eastAsia"/>
          <w:b/>
          <w:spacing w:val="-7"/>
          <w:sz w:val="21"/>
        </w:rPr>
        <w:t> 日证监基金字[</w:t>
      </w:r>
      <w:r>
        <w:rPr>
          <w:rFonts w:ascii="Microsoft JhengHei" w:hAnsi="Microsoft JhengHei" w:eastAsia="Microsoft JhengHei" w:hint="eastAsia"/>
          <w:b/>
          <w:sz w:val="21"/>
        </w:rPr>
        <w:t>2007]330</w:t>
      </w:r>
      <w:r>
        <w:rPr>
          <w:rFonts w:ascii="Microsoft JhengHei" w:hAnsi="Microsoft JhengHei" w:eastAsia="Microsoft JhengHei" w:hint="eastAsia"/>
          <w:b/>
          <w:spacing w:val="-6"/>
          <w:sz w:val="21"/>
        </w:rPr>
        <w:t> 号文核准的科讯证券投资基金</w:t>
      </w:r>
      <w:r>
        <w:rPr>
          <w:rFonts w:ascii="Microsoft JhengHei" w:hAnsi="Microsoft JhengHei" w:eastAsia="Microsoft JhengHei" w:hint="eastAsia"/>
          <w:b/>
          <w:spacing w:val="-1"/>
          <w:sz w:val="21"/>
        </w:rPr>
        <w:t>基金份额持有人大会决议，科讯证券投资基金由封闭式基金转为开放式基金、调整存续期</w:t>
      </w:r>
      <w:r>
        <w:rPr>
          <w:rFonts w:ascii="Microsoft JhengHei" w:hAnsi="Microsoft JhengHei" w:eastAsia="Microsoft JhengHei" w:hint="eastAsia"/>
          <w:b/>
          <w:sz w:val="21"/>
        </w:rPr>
        <w:t>限、终止上市、调整投资目标、范围和策略、修订基金合同，并更名为“易方达科讯股票</w:t>
      </w:r>
      <w:r>
        <w:rPr>
          <w:rFonts w:ascii="Microsoft JhengHei" w:hAnsi="Microsoft JhengHei" w:eastAsia="Microsoft JhengHei" w:hint="eastAsia"/>
          <w:b/>
          <w:spacing w:val="-12"/>
          <w:sz w:val="21"/>
        </w:rPr>
        <w:t>型证券投资基金”。自 </w:t>
      </w:r>
      <w:r>
        <w:rPr>
          <w:rFonts w:ascii="Microsoft JhengHei" w:hAnsi="Microsoft JhengHei" w:eastAsia="Microsoft JhengHei" w:hint="eastAsia"/>
          <w:b/>
          <w:sz w:val="21"/>
        </w:rPr>
        <w:t>2007</w:t>
      </w:r>
      <w:r>
        <w:rPr>
          <w:rFonts w:ascii="Microsoft JhengHei" w:hAnsi="Microsoft JhengHei" w:eastAsia="Microsoft JhengHei" w:hint="eastAsia"/>
          <w:b/>
          <w:spacing w:val="-13"/>
          <w:sz w:val="21"/>
        </w:rPr>
        <w:t> 年 </w:t>
      </w:r>
      <w:r>
        <w:rPr>
          <w:rFonts w:ascii="Microsoft JhengHei" w:hAnsi="Microsoft JhengHei" w:eastAsia="Microsoft JhengHei" w:hint="eastAsia"/>
          <w:b/>
          <w:sz w:val="21"/>
        </w:rPr>
        <w:t>12</w:t>
      </w:r>
      <w:r>
        <w:rPr>
          <w:rFonts w:ascii="Microsoft JhengHei" w:hAnsi="Microsoft JhengHei" w:eastAsia="Microsoft JhengHei" w:hint="eastAsia"/>
          <w:b/>
          <w:spacing w:val="-14"/>
          <w:sz w:val="21"/>
        </w:rPr>
        <w:t> 月 </w:t>
      </w:r>
      <w:r>
        <w:rPr>
          <w:rFonts w:ascii="Microsoft JhengHei" w:hAnsi="Microsoft JhengHei" w:eastAsia="Microsoft JhengHei" w:hint="eastAsia"/>
          <w:b/>
          <w:sz w:val="21"/>
        </w:rPr>
        <w:t>18</w:t>
      </w:r>
      <w:r>
        <w:rPr>
          <w:rFonts w:ascii="Microsoft JhengHei" w:hAnsi="Microsoft JhengHei" w:eastAsia="Microsoft JhengHei" w:hint="eastAsia"/>
          <w:b/>
          <w:spacing w:val="-3"/>
          <w:sz w:val="21"/>
        </w:rPr>
        <w:t> 日起，由《科讯证券投资基金基金合同》修订而成</w:t>
      </w:r>
    </w:p>
    <w:p>
      <w:pPr>
        <w:spacing w:line="254" w:lineRule="auto" w:before="0"/>
        <w:ind w:left="400" w:right="418" w:firstLine="0"/>
        <w:jc w:val="both"/>
        <w:rPr>
          <w:rFonts w:ascii="Microsoft JhengHei" w:hAnsi="Microsoft JhengHei" w:eastAsia="Microsoft JhengHei" w:hint="eastAsia"/>
          <w:b/>
          <w:sz w:val="21"/>
        </w:rPr>
      </w:pPr>
      <w:r>
        <w:rPr>
          <w:rFonts w:ascii="Microsoft JhengHei" w:hAnsi="Microsoft JhengHei" w:eastAsia="Microsoft JhengHei" w:hint="eastAsia"/>
          <w:b/>
          <w:spacing w:val="-6"/>
          <w:sz w:val="21"/>
        </w:rPr>
        <w:t>的《易方达科讯股票型证券投资基金基金合同》生效。</w:t>
      </w:r>
      <w:r>
        <w:rPr>
          <w:rFonts w:ascii="Microsoft JhengHei" w:hAnsi="Microsoft JhengHei" w:eastAsia="Microsoft JhengHei" w:hint="eastAsia"/>
          <w:b/>
          <w:sz w:val="21"/>
        </w:rPr>
        <w:t>2015</w:t>
      </w:r>
      <w:r>
        <w:rPr>
          <w:rFonts w:ascii="Microsoft JhengHei" w:hAnsi="Microsoft JhengHei" w:eastAsia="Microsoft JhengHei" w:hint="eastAsia"/>
          <w:b/>
          <w:spacing w:val="-17"/>
          <w:sz w:val="21"/>
        </w:rPr>
        <w:t> 年 </w:t>
      </w:r>
      <w:r>
        <w:rPr>
          <w:rFonts w:ascii="Microsoft JhengHei" w:hAnsi="Microsoft JhengHei" w:eastAsia="Microsoft JhengHei" w:hint="eastAsia"/>
          <w:b/>
          <w:sz w:val="21"/>
        </w:rPr>
        <w:t>7</w:t>
      </w:r>
      <w:r>
        <w:rPr>
          <w:rFonts w:ascii="Microsoft JhengHei" w:hAnsi="Microsoft JhengHei" w:eastAsia="Microsoft JhengHei" w:hint="eastAsia"/>
          <w:b/>
          <w:spacing w:val="-17"/>
          <w:sz w:val="21"/>
        </w:rPr>
        <w:t> 月 </w:t>
      </w:r>
      <w:r>
        <w:rPr>
          <w:rFonts w:ascii="Microsoft JhengHei" w:hAnsi="Microsoft JhengHei" w:eastAsia="Microsoft JhengHei" w:hint="eastAsia"/>
          <w:b/>
          <w:sz w:val="21"/>
        </w:rPr>
        <w:t>25</w:t>
      </w:r>
      <w:r>
        <w:rPr>
          <w:rFonts w:ascii="Microsoft JhengHei" w:hAnsi="Microsoft JhengHei" w:eastAsia="Microsoft JhengHei" w:hint="eastAsia"/>
          <w:b/>
          <w:spacing w:val="-8"/>
          <w:sz w:val="21"/>
        </w:rPr>
        <w:t> 日，根据《公开募集</w:t>
      </w:r>
      <w:r>
        <w:rPr>
          <w:rFonts w:ascii="Microsoft JhengHei" w:hAnsi="Microsoft JhengHei" w:eastAsia="Microsoft JhengHei" w:hint="eastAsia"/>
          <w:b/>
          <w:spacing w:val="-1"/>
          <w:sz w:val="21"/>
        </w:rPr>
        <w:t>证券投资基金运作管理办法》的规定，本基金变更基金类别并由“易方达科讯股票型证券</w:t>
      </w:r>
      <w:r>
        <w:rPr>
          <w:rFonts w:ascii="Microsoft JhengHei" w:hAnsi="Microsoft JhengHei" w:eastAsia="Microsoft JhengHei" w:hint="eastAsia"/>
          <w:b/>
          <w:spacing w:val="-6"/>
          <w:sz w:val="21"/>
        </w:rPr>
        <w:t>投资基金”更名为“易方达科讯混合型证券投资基金”。</w:t>
      </w:r>
    </w:p>
    <w:p>
      <w:pPr>
        <w:spacing w:line="254" w:lineRule="auto" w:before="0"/>
        <w:ind w:left="400" w:right="208" w:firstLine="420"/>
        <w:jc w:val="left"/>
        <w:rPr>
          <w:rFonts w:ascii="Microsoft JhengHei" w:eastAsia="Microsoft JhengHei" w:hint="eastAsia"/>
          <w:b/>
          <w:sz w:val="21"/>
        </w:rPr>
      </w:pPr>
      <w:r>
        <w:rPr>
          <w:rFonts w:ascii="Microsoft JhengHei" w:eastAsia="Microsoft JhengHei" w:hint="eastAsia"/>
          <w:b/>
          <w:sz w:val="21"/>
        </w:rPr>
        <w:t>基金管理人保证《招募说明书》的内容真实、准确、完整。基金管理人依照恪尽职守、诚实信用、谨慎勤勉的原则管理和运用基金财产，但不保证基金一定盈利，也不保证最低  收益。本《招募说明书》经中国证监会核准，但中国证监会对本基金募集的核准，并不表  明其对本基金的价值和收益作出实质性判断或保证，也不表明投资于本基金没有风险。</w:t>
      </w:r>
    </w:p>
    <w:p>
      <w:pPr>
        <w:spacing w:line="254" w:lineRule="auto" w:before="0"/>
        <w:ind w:left="400" w:right="208" w:firstLine="420"/>
        <w:jc w:val="left"/>
        <w:rPr>
          <w:rFonts w:ascii="Microsoft JhengHei" w:eastAsia="Microsoft JhengHei" w:hint="eastAsia"/>
          <w:b/>
          <w:sz w:val="21"/>
        </w:rPr>
      </w:pPr>
      <w:r>
        <w:rPr>
          <w:rFonts w:ascii="Microsoft JhengHei" w:eastAsia="Microsoft JhengHei" w:hint="eastAsia"/>
          <w:b/>
          <w:sz w:val="21"/>
        </w:rPr>
        <w:t>本基金投资于证券市场，基金净值会因为证券市场波动等因素产生波动。投资有风险， 投资者在投资本基金前，请认真阅读本招募说明书、基金合同和基金产品资料概要等信息  披露文件，全面认识本基金产品的风险收益特征和产品特性，充分考虑自身的风险承受能  力，理性判断市场，对申购基金的意愿、时机、数量等投资行为作出独立决策，获得基金  投资收益，亦承担基金投资中出现的各类风险。投资本基金可能遇到的特有风险包括：</w:t>
      </w:r>
    </w:p>
    <w:p>
      <w:pPr>
        <w:spacing w:line="254" w:lineRule="auto" w:before="0"/>
        <w:ind w:left="400" w:right="419" w:firstLine="0"/>
        <w:jc w:val="both"/>
        <w:rPr>
          <w:rFonts w:ascii="Microsoft JhengHei" w:hAnsi="Microsoft JhengHei" w:eastAsia="Microsoft JhengHei" w:hint="eastAsia"/>
          <w:b/>
          <w:sz w:val="21"/>
        </w:rPr>
      </w:pPr>
      <w:r>
        <w:rPr>
          <w:rFonts w:ascii="Microsoft JhengHei" w:hAnsi="Microsoft JhengHei" w:eastAsia="Microsoft JhengHei" w:hint="eastAsia"/>
          <w:b/>
          <w:spacing w:val="2"/>
          <w:sz w:val="21"/>
        </w:rPr>
        <w:t>（1）</w:t>
      </w:r>
      <w:r>
        <w:rPr>
          <w:rFonts w:ascii="Microsoft JhengHei" w:hAnsi="Microsoft JhengHei" w:eastAsia="Microsoft JhengHei" w:hint="eastAsia"/>
          <w:b/>
          <w:sz w:val="21"/>
        </w:rPr>
        <w:t>本基金股票资产仓位偏高且相对稳定而面临的资产配置风险；（2）本基金采用多种</w:t>
      </w:r>
      <w:r>
        <w:rPr>
          <w:rFonts w:ascii="Microsoft JhengHei" w:hAnsi="Microsoft JhengHei" w:eastAsia="Microsoft JhengHei" w:hint="eastAsia"/>
          <w:b/>
          <w:spacing w:val="-3"/>
          <w:sz w:val="21"/>
        </w:rPr>
        <w:t>投资策略而面临的风险；（3）</w:t>
      </w:r>
      <w:r>
        <w:rPr>
          <w:rFonts w:ascii="Microsoft JhengHei" w:hAnsi="Microsoft JhengHei" w:eastAsia="Microsoft JhengHei" w:hint="eastAsia"/>
          <w:b/>
          <w:sz w:val="21"/>
        </w:rPr>
        <w:t>本基金投资范围包括科创板股票、存托凭证而面临的其他额外风险。此外，本基金还将面临市场风险、流动性风险、管理风险、本基金法律文件中涉及基金风险特征的表述与销售机构对基金的风险评级可能不一致的风险等其他一般风险。基金管理人提醒投资者基金投资的“买者自负”原则，在投资者作出投资决策后，基金运营状况与基金净值变化引致的投资风险，由投资者自行负责。</w:t>
      </w:r>
    </w:p>
    <w:p>
      <w:pPr>
        <w:spacing w:line="381" w:lineRule="exact" w:before="0"/>
        <w:ind w:left="820" w:right="0" w:firstLine="0"/>
        <w:jc w:val="left"/>
        <w:rPr>
          <w:rFonts w:ascii="Microsoft JhengHei" w:eastAsia="Microsoft JhengHei" w:hint="eastAsia"/>
          <w:b/>
          <w:sz w:val="21"/>
        </w:rPr>
      </w:pPr>
      <w:r>
        <w:rPr>
          <w:rFonts w:ascii="Microsoft JhengHei" w:eastAsia="Microsoft JhengHei" w:hint="eastAsia"/>
          <w:b/>
          <w:sz w:val="21"/>
        </w:rPr>
        <w:t>基金的过往业绩并不预示其未来表现。</w:t>
      </w:r>
    </w:p>
    <w:p>
      <w:pPr>
        <w:spacing w:before="9"/>
        <w:ind w:left="0" w:right="418" w:firstLine="0"/>
        <w:jc w:val="right"/>
        <w:rPr>
          <w:rFonts w:ascii="Microsoft JhengHei" w:eastAsia="Microsoft JhengHei" w:hint="eastAsia"/>
          <w:b/>
          <w:sz w:val="21"/>
        </w:rPr>
      </w:pPr>
      <w:r>
        <w:rPr>
          <w:rFonts w:ascii="Microsoft JhengHei" w:eastAsia="Microsoft JhengHei" w:hint="eastAsia"/>
          <w:b/>
          <w:spacing w:val="-2"/>
          <w:sz w:val="21"/>
        </w:rPr>
        <w:t>本基金基金合同及托管协议修订相关信息更新截止日为 </w:t>
      </w:r>
      <w:r>
        <w:rPr>
          <w:rFonts w:ascii="Microsoft JhengHei" w:eastAsia="Microsoft JhengHei" w:hint="eastAsia"/>
          <w:b/>
          <w:sz w:val="21"/>
        </w:rPr>
        <w:t>2020</w:t>
      </w:r>
      <w:r>
        <w:rPr>
          <w:rFonts w:ascii="Microsoft JhengHei" w:eastAsia="Microsoft JhengHei" w:hint="eastAsia"/>
          <w:b/>
          <w:spacing w:val="-18"/>
          <w:sz w:val="21"/>
        </w:rPr>
        <w:t> 年 </w:t>
      </w:r>
      <w:r>
        <w:rPr>
          <w:rFonts w:ascii="Microsoft JhengHei" w:eastAsia="Microsoft JhengHei" w:hint="eastAsia"/>
          <w:b/>
          <w:sz w:val="21"/>
        </w:rPr>
        <w:t>10</w:t>
      </w:r>
      <w:r>
        <w:rPr>
          <w:rFonts w:ascii="Microsoft JhengHei" w:eastAsia="Microsoft JhengHei" w:hint="eastAsia"/>
          <w:b/>
          <w:spacing w:val="-19"/>
          <w:sz w:val="21"/>
        </w:rPr>
        <w:t> 月 </w:t>
      </w:r>
      <w:r>
        <w:rPr>
          <w:rFonts w:ascii="Microsoft JhengHei" w:eastAsia="Microsoft JhengHei" w:hint="eastAsia"/>
          <w:b/>
          <w:sz w:val="21"/>
        </w:rPr>
        <w:t>14</w:t>
      </w:r>
      <w:r>
        <w:rPr>
          <w:rFonts w:ascii="Microsoft JhengHei" w:eastAsia="Microsoft JhengHei" w:hint="eastAsia"/>
          <w:b/>
          <w:spacing w:val="-8"/>
          <w:sz w:val="21"/>
        </w:rPr>
        <w:t> 日。除非另有</w:t>
      </w:r>
    </w:p>
    <w:p>
      <w:pPr>
        <w:spacing w:before="22"/>
        <w:ind w:left="0" w:right="418" w:firstLine="0"/>
        <w:jc w:val="right"/>
        <w:rPr>
          <w:rFonts w:ascii="Microsoft JhengHei" w:eastAsia="Microsoft JhengHei" w:hint="eastAsia"/>
          <w:b/>
          <w:sz w:val="21"/>
        </w:rPr>
      </w:pPr>
      <w:r>
        <w:rPr>
          <w:rFonts w:ascii="Microsoft JhengHei" w:eastAsia="Microsoft JhengHei" w:hint="eastAsia"/>
          <w:b/>
          <w:spacing w:val="-13"/>
          <w:sz w:val="21"/>
        </w:rPr>
        <w:t>说明，本招募说明书其他所载内容截止日为 </w:t>
      </w:r>
      <w:r>
        <w:rPr>
          <w:rFonts w:ascii="Microsoft JhengHei" w:eastAsia="Microsoft JhengHei" w:hint="eastAsia"/>
          <w:b/>
          <w:sz w:val="21"/>
        </w:rPr>
        <w:t>2020</w:t>
      </w:r>
      <w:r>
        <w:rPr>
          <w:rFonts w:ascii="Microsoft JhengHei" w:eastAsia="Microsoft JhengHei" w:hint="eastAsia"/>
          <w:b/>
          <w:spacing w:val="-21"/>
          <w:sz w:val="21"/>
        </w:rPr>
        <w:t> 年 </w:t>
      </w:r>
      <w:r>
        <w:rPr>
          <w:rFonts w:ascii="Microsoft JhengHei" w:eastAsia="Microsoft JhengHei" w:hint="eastAsia"/>
          <w:b/>
          <w:sz w:val="21"/>
        </w:rPr>
        <w:t>9</w:t>
      </w:r>
      <w:r>
        <w:rPr>
          <w:rFonts w:ascii="Microsoft JhengHei" w:eastAsia="Microsoft JhengHei" w:hint="eastAsia"/>
          <w:b/>
          <w:spacing w:val="-21"/>
          <w:sz w:val="21"/>
        </w:rPr>
        <w:t> 月 </w:t>
      </w:r>
      <w:r>
        <w:rPr>
          <w:rFonts w:ascii="Microsoft JhengHei" w:eastAsia="Microsoft JhengHei" w:hint="eastAsia"/>
          <w:b/>
          <w:sz w:val="21"/>
        </w:rPr>
        <w:t>16</w:t>
      </w:r>
      <w:r>
        <w:rPr>
          <w:rFonts w:ascii="Microsoft JhengHei" w:eastAsia="Microsoft JhengHei" w:hint="eastAsia"/>
          <w:b/>
          <w:spacing w:val="-14"/>
          <w:sz w:val="21"/>
        </w:rPr>
        <w:t> 日，有关财务数据截止日为 </w:t>
      </w:r>
      <w:r>
        <w:rPr>
          <w:rFonts w:ascii="Microsoft JhengHei" w:eastAsia="Microsoft JhengHei" w:hint="eastAsia"/>
          <w:b/>
          <w:sz w:val="21"/>
        </w:rPr>
        <w:t>2020</w:t>
      </w:r>
    </w:p>
    <w:p>
      <w:pPr>
        <w:spacing w:before="23"/>
        <w:ind w:left="400" w:right="0" w:firstLine="0"/>
        <w:jc w:val="both"/>
        <w:rPr>
          <w:rFonts w:ascii="Microsoft JhengHei" w:eastAsia="Microsoft JhengHei" w:hint="eastAsia"/>
          <w:b/>
          <w:sz w:val="21"/>
        </w:rPr>
      </w:pPr>
      <w:r>
        <w:rPr>
          <w:rFonts w:ascii="Microsoft JhengHei" w:eastAsia="Microsoft JhengHei" w:hint="eastAsia"/>
          <w:b/>
          <w:sz w:val="21"/>
        </w:rPr>
        <w:t>年 6 月 30 日，净值表现截止日为 2020 年 6 月 30 日。（本报告中财务数据未经审计）</w:t>
      </w:r>
    </w:p>
    <w:p>
      <w:pPr>
        <w:spacing w:after="0"/>
        <w:jc w:val="both"/>
        <w:rPr>
          <w:rFonts w:ascii="Microsoft JhengHei" w:eastAsia="Microsoft JhengHei" w:hint="eastAsia"/>
          <w:sz w:val="21"/>
        </w:rPr>
        <w:sectPr>
          <w:pgSz w:w="11910" w:h="16840"/>
          <w:pgMar w:top="1380" w:bottom="280" w:left="1400" w:right="1380"/>
        </w:sectPr>
      </w:pPr>
    </w:p>
    <w:p>
      <w:pPr>
        <w:spacing w:line="499" w:lineRule="exact" w:before="0"/>
        <w:ind w:left="4251" w:right="0" w:firstLine="0"/>
        <w:jc w:val="left"/>
        <w:rPr>
          <w:rFonts w:ascii="Microsoft JhengHei" w:eastAsia="Microsoft JhengHei" w:hint="eastAsia"/>
          <w:b/>
          <w:sz w:val="30"/>
        </w:rPr>
      </w:pPr>
      <w:r>
        <w:rPr>
          <w:rFonts w:ascii="Microsoft JhengHei" w:eastAsia="Microsoft JhengHei" w:hint="eastAsia"/>
          <w:b/>
          <w:sz w:val="30"/>
        </w:rPr>
        <w:t>目录</w:t>
      </w:r>
    </w:p>
    <w:p>
      <w:pPr>
        <w:spacing w:after="0" w:line="499" w:lineRule="exact"/>
        <w:jc w:val="left"/>
        <w:rPr>
          <w:rFonts w:ascii="Microsoft JhengHei" w:eastAsia="Microsoft JhengHei" w:hint="eastAsia"/>
          <w:sz w:val="30"/>
        </w:rPr>
        <w:sectPr>
          <w:footerReference w:type="default" r:id="rId5"/>
          <w:pgSz w:w="11910" w:h="16840"/>
          <w:pgMar w:footer="990" w:header="0" w:top="1380" w:bottom="1435" w:left="1400" w:right="1380"/>
          <w:pgNumType w:start="1"/>
        </w:sectPr>
      </w:pPr>
    </w:p>
    <w:sdt>
      <w:sdtPr>
        <w:docPartObj>
          <w:docPartGallery w:val="Table of Contents"/>
          <w:docPartUnique/>
        </w:docPartObj>
      </w:sdtPr>
      <w:sdtEndPr/>
      <w:sdtContent>
        <w:p>
          <w:pPr>
            <w:pStyle w:val="TOC1"/>
            <w:tabs>
              <w:tab w:pos="8695" w:val="right" w:leader="dot"/>
            </w:tabs>
            <w:spacing w:before="129"/>
            <w:rPr>
              <w:rFonts w:ascii="仿宋" w:eastAsia="仿宋" w:hint="eastAsia"/>
              <w:b w:val="0"/>
            </w:rPr>
          </w:pPr>
          <w:hyperlink w:history="true" w:anchor="_bookmark0">
            <w:r>
              <w:rPr/>
              <w:t>一、绪言</w:t>
              <w:tab/>
            </w:r>
            <w:r>
              <w:rPr>
                <w:rFonts w:ascii="仿宋" w:eastAsia="仿宋" w:hint="eastAsia"/>
                <w:b w:val="0"/>
              </w:rPr>
              <w:t>1</w:t>
            </w:r>
          </w:hyperlink>
        </w:p>
        <w:p>
          <w:pPr>
            <w:pStyle w:val="TOC1"/>
            <w:tabs>
              <w:tab w:pos="8695" w:val="right" w:leader="dot"/>
            </w:tabs>
            <w:spacing w:before="27"/>
            <w:rPr>
              <w:rFonts w:ascii="仿宋" w:eastAsia="仿宋" w:hint="eastAsia"/>
              <w:b w:val="0"/>
            </w:rPr>
          </w:pPr>
          <w:hyperlink w:history="true" w:anchor="_bookmark1">
            <w:r>
              <w:rPr/>
              <w:t>二、释义</w:t>
              <w:tab/>
            </w:r>
            <w:r>
              <w:rPr>
                <w:rFonts w:ascii="仿宋" w:eastAsia="仿宋" w:hint="eastAsia"/>
                <w:b w:val="0"/>
              </w:rPr>
              <w:t>2</w:t>
            </w:r>
          </w:hyperlink>
        </w:p>
        <w:p>
          <w:pPr>
            <w:pStyle w:val="TOC1"/>
            <w:tabs>
              <w:tab w:pos="8695" w:val="right" w:leader="dot"/>
            </w:tabs>
            <w:spacing w:before="26"/>
            <w:rPr>
              <w:rFonts w:ascii="仿宋" w:eastAsia="仿宋" w:hint="eastAsia"/>
              <w:b w:val="0"/>
            </w:rPr>
          </w:pPr>
          <w:hyperlink w:history="true" w:anchor="_bookmark2">
            <w:r>
              <w:rPr/>
              <w:t>三、基金管理人</w:t>
              <w:tab/>
            </w:r>
            <w:r>
              <w:rPr>
                <w:rFonts w:ascii="仿宋" w:eastAsia="仿宋" w:hint="eastAsia"/>
                <w:b w:val="0"/>
              </w:rPr>
              <w:t>6</w:t>
            </w:r>
          </w:hyperlink>
        </w:p>
        <w:p>
          <w:pPr>
            <w:pStyle w:val="TOC3"/>
            <w:tabs>
              <w:tab w:pos="8667" w:val="right" w:leader="dot"/>
            </w:tabs>
            <w:spacing w:before="125"/>
            <w:rPr>
              <w:rFonts w:ascii="Times New Roman" w:eastAsia="Times New Roman"/>
            </w:rPr>
          </w:pPr>
          <w:hyperlink w:history="true" w:anchor="_bookmark3">
            <w:r>
              <w:rPr/>
              <w:t>（一）基金管理人基本情况</w:t>
              <w:tab/>
            </w:r>
            <w:r>
              <w:rPr>
                <w:rFonts w:ascii="Times New Roman" w:eastAsia="Times New Roman"/>
              </w:rPr>
              <w:t>6</w:t>
            </w:r>
          </w:hyperlink>
        </w:p>
        <w:p>
          <w:pPr>
            <w:pStyle w:val="TOC3"/>
            <w:tabs>
              <w:tab w:pos="8667" w:val="right" w:leader="dot"/>
            </w:tabs>
            <w:rPr>
              <w:rFonts w:ascii="Times New Roman" w:eastAsia="Times New Roman"/>
            </w:rPr>
          </w:pPr>
          <w:hyperlink w:history="true" w:anchor="_bookmark4">
            <w:r>
              <w:rPr/>
              <w:t>（二）主要人员情况</w:t>
              <w:tab/>
            </w:r>
            <w:r>
              <w:rPr>
                <w:rFonts w:ascii="Times New Roman" w:eastAsia="Times New Roman"/>
              </w:rPr>
              <w:t>6</w:t>
            </w:r>
          </w:hyperlink>
        </w:p>
        <w:p>
          <w:pPr>
            <w:pStyle w:val="TOC3"/>
            <w:tabs>
              <w:tab w:pos="8667" w:val="right" w:leader="dot"/>
            </w:tabs>
            <w:rPr>
              <w:rFonts w:ascii="Times New Roman" w:eastAsia="Times New Roman"/>
            </w:rPr>
          </w:pPr>
          <w:hyperlink w:history="true" w:anchor="_bookmark5">
            <w:r>
              <w:rPr/>
              <w:t>（三）基金管理人的职责</w:t>
              <w:tab/>
            </w:r>
            <w:r>
              <w:rPr>
                <w:rFonts w:ascii="Times New Roman" w:eastAsia="Times New Roman"/>
              </w:rPr>
              <w:t>11</w:t>
            </w:r>
          </w:hyperlink>
        </w:p>
        <w:p>
          <w:pPr>
            <w:pStyle w:val="TOC3"/>
            <w:tabs>
              <w:tab w:pos="8667" w:val="right" w:leader="dot"/>
            </w:tabs>
            <w:rPr>
              <w:rFonts w:ascii="Times New Roman" w:eastAsia="Times New Roman"/>
            </w:rPr>
          </w:pPr>
          <w:hyperlink w:history="true" w:anchor="_bookmark6">
            <w:r>
              <w:rPr/>
              <w:t>（四）基金管理人的承诺</w:t>
              <w:tab/>
            </w:r>
            <w:r>
              <w:rPr>
                <w:rFonts w:ascii="Times New Roman" w:eastAsia="Times New Roman"/>
              </w:rPr>
              <w:t>12</w:t>
            </w:r>
          </w:hyperlink>
        </w:p>
        <w:p>
          <w:pPr>
            <w:pStyle w:val="TOC3"/>
            <w:tabs>
              <w:tab w:pos="8667" w:val="right" w:leader="dot"/>
            </w:tabs>
            <w:rPr>
              <w:rFonts w:ascii="Times New Roman" w:eastAsia="Times New Roman"/>
            </w:rPr>
          </w:pPr>
          <w:hyperlink w:history="true" w:anchor="_bookmark7">
            <w:r>
              <w:rPr/>
              <w:t>（五）基金管理人的内部控制制度</w:t>
              <w:tab/>
            </w:r>
            <w:r>
              <w:rPr>
                <w:rFonts w:ascii="Times New Roman" w:eastAsia="Times New Roman"/>
              </w:rPr>
              <w:t>13</w:t>
            </w:r>
          </w:hyperlink>
        </w:p>
        <w:p>
          <w:pPr>
            <w:pStyle w:val="TOC1"/>
            <w:tabs>
              <w:tab w:pos="8695" w:val="right" w:leader="dot"/>
            </w:tabs>
            <w:rPr>
              <w:rFonts w:ascii="仿宋" w:eastAsia="仿宋" w:hint="eastAsia"/>
              <w:b w:val="0"/>
            </w:rPr>
          </w:pPr>
          <w:hyperlink w:history="true" w:anchor="_bookmark8">
            <w:r>
              <w:rPr/>
              <w:t>四、基金托管人</w:t>
              <w:tab/>
            </w:r>
            <w:r>
              <w:rPr>
                <w:rFonts w:ascii="仿宋" w:eastAsia="仿宋" w:hint="eastAsia"/>
                <w:b w:val="0"/>
              </w:rPr>
              <w:t>16</w:t>
            </w:r>
          </w:hyperlink>
        </w:p>
        <w:p>
          <w:pPr>
            <w:pStyle w:val="TOC1"/>
            <w:tabs>
              <w:tab w:pos="8695" w:val="right" w:leader="dot"/>
            </w:tabs>
            <w:spacing w:before="26"/>
            <w:rPr>
              <w:rFonts w:ascii="仿宋" w:eastAsia="仿宋" w:hint="eastAsia"/>
              <w:b w:val="0"/>
            </w:rPr>
          </w:pPr>
          <w:hyperlink w:history="true" w:anchor="_bookmark9">
            <w:r>
              <w:rPr/>
              <w:t>五、相关服务机构</w:t>
              <w:tab/>
            </w:r>
            <w:r>
              <w:rPr>
                <w:rFonts w:ascii="仿宋" w:eastAsia="仿宋" w:hint="eastAsia"/>
                <w:b w:val="0"/>
              </w:rPr>
              <w:t>20</w:t>
            </w:r>
          </w:hyperlink>
        </w:p>
        <w:p>
          <w:pPr>
            <w:pStyle w:val="TOC3"/>
            <w:tabs>
              <w:tab w:pos="8667" w:val="right" w:leader="dot"/>
            </w:tabs>
            <w:spacing w:before="125"/>
            <w:rPr>
              <w:rFonts w:ascii="Times New Roman" w:eastAsia="Times New Roman"/>
            </w:rPr>
          </w:pPr>
          <w:hyperlink w:history="true" w:anchor="_bookmark10">
            <w:r>
              <w:rPr/>
              <w:t>（一）基金份额销售机构</w:t>
              <w:tab/>
            </w:r>
            <w:r>
              <w:rPr>
                <w:rFonts w:ascii="Times New Roman" w:eastAsia="Times New Roman"/>
              </w:rPr>
              <w:t>20</w:t>
            </w:r>
          </w:hyperlink>
        </w:p>
        <w:p>
          <w:pPr>
            <w:pStyle w:val="TOC3"/>
            <w:tabs>
              <w:tab w:pos="8667" w:val="right" w:leader="dot"/>
            </w:tabs>
            <w:rPr>
              <w:rFonts w:ascii="Times New Roman" w:eastAsia="Times New Roman"/>
            </w:rPr>
          </w:pPr>
          <w:hyperlink w:history="true" w:anchor="_bookmark11">
            <w:r>
              <w:rPr/>
              <w:t>（二）基金注册登记机构</w:t>
              <w:tab/>
            </w:r>
            <w:r>
              <w:rPr>
                <w:rFonts w:ascii="Times New Roman" w:eastAsia="Times New Roman"/>
              </w:rPr>
              <w:t>82</w:t>
            </w:r>
          </w:hyperlink>
        </w:p>
        <w:p>
          <w:pPr>
            <w:pStyle w:val="TOC3"/>
            <w:tabs>
              <w:tab w:pos="8667" w:val="right" w:leader="dot"/>
            </w:tabs>
            <w:rPr>
              <w:rFonts w:ascii="Times New Roman" w:eastAsia="Times New Roman"/>
            </w:rPr>
          </w:pPr>
          <w:hyperlink w:history="true" w:anchor="_bookmark12">
            <w:r>
              <w:rPr/>
              <w:t>（三）律师事务所和经办律师</w:t>
              <w:tab/>
            </w:r>
            <w:r>
              <w:rPr>
                <w:rFonts w:ascii="Times New Roman" w:eastAsia="Times New Roman"/>
              </w:rPr>
              <w:t>83</w:t>
            </w:r>
          </w:hyperlink>
        </w:p>
        <w:p>
          <w:pPr>
            <w:pStyle w:val="TOC3"/>
            <w:tabs>
              <w:tab w:pos="8667" w:val="right" w:leader="dot"/>
            </w:tabs>
            <w:rPr>
              <w:rFonts w:ascii="Times New Roman" w:eastAsia="Times New Roman"/>
            </w:rPr>
          </w:pPr>
          <w:hyperlink w:history="true" w:anchor="_bookmark13">
            <w:r>
              <w:rPr/>
              <w:t>（四）会计师事务所和经办注册会计师</w:t>
              <w:tab/>
            </w:r>
            <w:r>
              <w:rPr>
                <w:rFonts w:ascii="Times New Roman" w:eastAsia="Times New Roman"/>
              </w:rPr>
              <w:t>83</w:t>
            </w:r>
          </w:hyperlink>
        </w:p>
        <w:p>
          <w:pPr>
            <w:pStyle w:val="TOC1"/>
            <w:tabs>
              <w:tab w:pos="8695" w:val="right" w:leader="dot"/>
            </w:tabs>
            <w:rPr>
              <w:rFonts w:ascii="仿宋" w:eastAsia="仿宋" w:hint="eastAsia"/>
              <w:b w:val="0"/>
            </w:rPr>
          </w:pPr>
          <w:hyperlink w:history="true" w:anchor="_bookmark14">
            <w:r>
              <w:rPr/>
              <w:t>六、基金的历史沿革</w:t>
              <w:tab/>
            </w:r>
            <w:r>
              <w:rPr>
                <w:rFonts w:ascii="仿宋" w:eastAsia="仿宋" w:hint="eastAsia"/>
                <w:b w:val="0"/>
              </w:rPr>
              <w:t>84</w:t>
            </w:r>
          </w:hyperlink>
        </w:p>
        <w:p>
          <w:pPr>
            <w:pStyle w:val="TOC1"/>
            <w:tabs>
              <w:tab w:pos="8695" w:val="right" w:leader="dot"/>
            </w:tabs>
            <w:spacing w:before="26"/>
            <w:rPr>
              <w:rFonts w:ascii="仿宋" w:eastAsia="仿宋" w:hint="eastAsia"/>
              <w:b w:val="0"/>
            </w:rPr>
          </w:pPr>
          <w:hyperlink w:history="true" w:anchor="_bookmark15">
            <w:r>
              <w:rPr/>
              <w:t>七、基金的存续</w:t>
              <w:tab/>
            </w:r>
            <w:r>
              <w:rPr>
                <w:rFonts w:ascii="仿宋" w:eastAsia="仿宋" w:hint="eastAsia"/>
                <w:b w:val="0"/>
              </w:rPr>
              <w:t>85</w:t>
            </w:r>
          </w:hyperlink>
        </w:p>
        <w:p>
          <w:pPr>
            <w:pStyle w:val="TOC3"/>
            <w:tabs>
              <w:tab w:pos="8667" w:val="right" w:leader="dot"/>
            </w:tabs>
            <w:spacing w:before="125"/>
            <w:rPr>
              <w:rFonts w:ascii="Times New Roman" w:eastAsia="Times New Roman"/>
            </w:rPr>
          </w:pPr>
          <w:hyperlink w:history="true" w:anchor="_bookmark16">
            <w:r>
              <w:rPr/>
              <w:t>（一）基金份额的变更登记</w:t>
              <w:tab/>
            </w:r>
            <w:r>
              <w:rPr>
                <w:rFonts w:ascii="Times New Roman" w:eastAsia="Times New Roman"/>
              </w:rPr>
              <w:t>85</w:t>
            </w:r>
          </w:hyperlink>
        </w:p>
        <w:p>
          <w:pPr>
            <w:pStyle w:val="TOC3"/>
            <w:tabs>
              <w:tab w:pos="8667" w:val="right" w:leader="dot"/>
            </w:tabs>
            <w:rPr>
              <w:rFonts w:ascii="Times New Roman" w:eastAsia="Times New Roman"/>
            </w:rPr>
          </w:pPr>
          <w:hyperlink w:history="true" w:anchor="_bookmark17">
            <w:r>
              <w:rPr/>
              <w:t>（二）基金存续期内的基金份额持有人数量和资产规模</w:t>
              <w:tab/>
            </w:r>
            <w:r>
              <w:rPr>
                <w:rFonts w:ascii="Times New Roman" w:eastAsia="Times New Roman"/>
              </w:rPr>
              <w:t>85</w:t>
            </w:r>
          </w:hyperlink>
        </w:p>
        <w:p>
          <w:pPr>
            <w:pStyle w:val="TOC1"/>
            <w:tabs>
              <w:tab w:pos="8695" w:val="right" w:leader="dot"/>
            </w:tabs>
            <w:rPr>
              <w:rFonts w:ascii="仿宋" w:eastAsia="仿宋" w:hint="eastAsia"/>
              <w:b w:val="0"/>
            </w:rPr>
          </w:pPr>
          <w:hyperlink w:history="true" w:anchor="_bookmark18">
            <w:r>
              <w:rPr/>
              <w:t>八、基金的集中申购</w:t>
              <w:tab/>
            </w:r>
            <w:r>
              <w:rPr>
                <w:rFonts w:ascii="仿宋" w:eastAsia="仿宋" w:hint="eastAsia"/>
                <w:b w:val="0"/>
              </w:rPr>
              <w:t>86</w:t>
            </w:r>
          </w:hyperlink>
        </w:p>
        <w:p>
          <w:pPr>
            <w:pStyle w:val="TOC1"/>
            <w:tabs>
              <w:tab w:pos="8695" w:val="right" w:leader="dot"/>
            </w:tabs>
            <w:spacing w:before="27"/>
            <w:rPr>
              <w:rFonts w:ascii="仿宋" w:eastAsia="仿宋" w:hint="eastAsia"/>
              <w:b w:val="0"/>
            </w:rPr>
          </w:pPr>
          <w:hyperlink w:history="true" w:anchor="_bookmark19">
            <w:r>
              <w:rPr/>
              <w:t>九、基金份额的申购、赎回</w:t>
              <w:tab/>
            </w:r>
            <w:r>
              <w:rPr>
                <w:rFonts w:ascii="仿宋" w:eastAsia="仿宋" w:hint="eastAsia"/>
                <w:b w:val="0"/>
              </w:rPr>
              <w:t>87</w:t>
            </w:r>
          </w:hyperlink>
        </w:p>
        <w:p>
          <w:pPr>
            <w:pStyle w:val="TOC3"/>
            <w:tabs>
              <w:tab w:pos="8667" w:val="right" w:leader="dot"/>
            </w:tabs>
            <w:spacing w:before="124"/>
            <w:rPr>
              <w:rFonts w:ascii="Times New Roman" w:eastAsia="Times New Roman"/>
            </w:rPr>
          </w:pPr>
          <w:hyperlink w:history="true" w:anchor="_bookmark20">
            <w:r>
              <w:rPr/>
              <w:t>（一）申购与赎回办理的场所</w:t>
              <w:tab/>
            </w:r>
            <w:r>
              <w:rPr>
                <w:rFonts w:ascii="Times New Roman" w:eastAsia="Times New Roman"/>
              </w:rPr>
              <w:t>87</w:t>
            </w:r>
          </w:hyperlink>
        </w:p>
        <w:p>
          <w:pPr>
            <w:pStyle w:val="TOC3"/>
            <w:tabs>
              <w:tab w:pos="8667" w:val="right" w:leader="dot"/>
            </w:tabs>
            <w:rPr>
              <w:rFonts w:ascii="Times New Roman" w:eastAsia="Times New Roman"/>
            </w:rPr>
          </w:pPr>
          <w:hyperlink w:history="true" w:anchor="_bookmark21">
            <w:r>
              <w:rPr/>
              <w:t>（二）申购与赎回办理的开放日及时间</w:t>
              <w:tab/>
            </w:r>
            <w:r>
              <w:rPr>
                <w:rFonts w:ascii="Times New Roman" w:eastAsia="Times New Roman"/>
              </w:rPr>
              <w:t>87</w:t>
            </w:r>
          </w:hyperlink>
        </w:p>
        <w:p>
          <w:pPr>
            <w:pStyle w:val="TOC3"/>
            <w:tabs>
              <w:tab w:pos="8667" w:val="right" w:leader="dot"/>
            </w:tabs>
            <w:rPr>
              <w:rFonts w:ascii="Times New Roman" w:eastAsia="Times New Roman"/>
            </w:rPr>
          </w:pPr>
          <w:hyperlink w:history="true" w:anchor="_bookmark22">
            <w:r>
              <w:rPr/>
              <w:t>（三）申购与赎回的原则</w:t>
              <w:tab/>
            </w:r>
            <w:r>
              <w:rPr>
                <w:rFonts w:ascii="Times New Roman" w:eastAsia="Times New Roman"/>
              </w:rPr>
              <w:t>87</w:t>
            </w:r>
          </w:hyperlink>
        </w:p>
        <w:p>
          <w:pPr>
            <w:pStyle w:val="TOC3"/>
            <w:tabs>
              <w:tab w:pos="8667" w:val="right" w:leader="dot"/>
            </w:tabs>
            <w:rPr>
              <w:rFonts w:ascii="Times New Roman" w:eastAsia="Times New Roman"/>
            </w:rPr>
          </w:pPr>
          <w:hyperlink w:history="true" w:anchor="_bookmark23">
            <w:r>
              <w:rPr/>
              <w:t>（四）申购与赎回的程序</w:t>
              <w:tab/>
            </w:r>
            <w:r>
              <w:rPr>
                <w:rFonts w:ascii="Times New Roman" w:eastAsia="Times New Roman"/>
              </w:rPr>
              <w:t>87</w:t>
            </w:r>
          </w:hyperlink>
        </w:p>
        <w:p>
          <w:pPr>
            <w:pStyle w:val="TOC3"/>
            <w:tabs>
              <w:tab w:pos="8667" w:val="right" w:leader="dot"/>
            </w:tabs>
            <w:rPr>
              <w:rFonts w:ascii="Times New Roman" w:eastAsia="Times New Roman"/>
            </w:rPr>
          </w:pPr>
          <w:hyperlink w:history="true" w:anchor="_bookmark24">
            <w:r>
              <w:rPr/>
              <w:t>（五）申购、赎回的数额限制</w:t>
              <w:tab/>
            </w:r>
            <w:r>
              <w:rPr>
                <w:rFonts w:ascii="Times New Roman" w:eastAsia="Times New Roman"/>
              </w:rPr>
              <w:t>88</w:t>
            </w:r>
          </w:hyperlink>
        </w:p>
        <w:p>
          <w:pPr>
            <w:pStyle w:val="TOC3"/>
            <w:tabs>
              <w:tab w:pos="8667" w:val="right" w:leader="dot"/>
            </w:tabs>
            <w:rPr>
              <w:rFonts w:ascii="Times New Roman" w:eastAsia="Times New Roman"/>
            </w:rPr>
          </w:pPr>
          <w:hyperlink w:history="true" w:anchor="_bookmark25">
            <w:r>
              <w:rPr/>
              <w:t>（六）申购、赎回的费率</w:t>
              <w:tab/>
            </w:r>
            <w:r>
              <w:rPr>
                <w:rFonts w:ascii="Times New Roman" w:eastAsia="Times New Roman"/>
              </w:rPr>
              <w:t>89</w:t>
            </w:r>
          </w:hyperlink>
        </w:p>
        <w:p>
          <w:pPr>
            <w:pStyle w:val="TOC3"/>
            <w:tabs>
              <w:tab w:pos="8667" w:val="right" w:leader="dot"/>
            </w:tabs>
            <w:rPr>
              <w:rFonts w:ascii="Times New Roman" w:eastAsia="Times New Roman"/>
            </w:rPr>
          </w:pPr>
          <w:hyperlink w:history="true" w:anchor="_bookmark26">
            <w:r>
              <w:rPr/>
              <w:t>（七）申购份额、赎回金额的计算方式</w:t>
              <w:tab/>
            </w:r>
            <w:r>
              <w:rPr>
                <w:rFonts w:ascii="Times New Roman" w:eastAsia="Times New Roman"/>
              </w:rPr>
              <w:t>90</w:t>
            </w:r>
          </w:hyperlink>
        </w:p>
        <w:p>
          <w:pPr>
            <w:pStyle w:val="TOC3"/>
            <w:tabs>
              <w:tab w:pos="8667" w:val="right" w:leader="dot"/>
            </w:tabs>
            <w:spacing w:after="240"/>
            <w:rPr>
              <w:rFonts w:ascii="Times New Roman" w:eastAsia="Times New Roman"/>
            </w:rPr>
          </w:pPr>
          <w:hyperlink w:history="true" w:anchor="_bookmark27">
            <w:r>
              <w:rPr/>
              <w:t>（八）申购、赎回的注册登记</w:t>
              <w:tab/>
            </w:r>
            <w:r>
              <w:rPr>
                <w:rFonts w:ascii="Times New Roman" w:eastAsia="Times New Roman"/>
              </w:rPr>
              <w:t>91</w:t>
            </w:r>
          </w:hyperlink>
        </w:p>
        <w:p>
          <w:pPr>
            <w:pStyle w:val="TOC3"/>
            <w:tabs>
              <w:tab w:pos="8667" w:val="right" w:leader="dot"/>
            </w:tabs>
            <w:spacing w:before="63"/>
            <w:rPr>
              <w:rFonts w:ascii="Times New Roman" w:eastAsia="Times New Roman"/>
            </w:rPr>
          </w:pPr>
          <w:hyperlink w:history="true" w:anchor="_bookmark28">
            <w:r>
              <w:rPr/>
              <w:t>（九）巨额赎回的认定及处理方式</w:t>
              <w:tab/>
            </w:r>
            <w:r>
              <w:rPr>
                <w:rFonts w:ascii="Times New Roman" w:eastAsia="Times New Roman"/>
              </w:rPr>
              <w:t>91</w:t>
            </w:r>
          </w:hyperlink>
        </w:p>
        <w:p>
          <w:pPr>
            <w:pStyle w:val="TOC3"/>
            <w:tabs>
              <w:tab w:pos="8667" w:val="right" w:leader="dot"/>
            </w:tabs>
            <w:rPr>
              <w:rFonts w:ascii="Times New Roman" w:eastAsia="Times New Roman"/>
            </w:rPr>
          </w:pPr>
          <w:hyperlink w:history="true" w:anchor="_bookmark29">
            <w:r>
              <w:rPr/>
              <w:t>（十）拒绝或暂停申购、赎回的情形及处理方式</w:t>
              <w:tab/>
            </w:r>
            <w:r>
              <w:rPr>
                <w:rFonts w:ascii="Times New Roman" w:eastAsia="Times New Roman"/>
              </w:rPr>
              <w:t>92</w:t>
            </w:r>
          </w:hyperlink>
        </w:p>
        <w:p>
          <w:pPr>
            <w:pStyle w:val="TOC2"/>
            <w:tabs>
              <w:tab w:pos="8695" w:val="right" w:leader="dot"/>
            </w:tabs>
            <w:spacing w:before="100"/>
            <w:rPr>
              <w:rFonts w:ascii="仿宋" w:eastAsia="仿宋" w:hint="eastAsia"/>
              <w:b w:val="0"/>
              <w:i w:val="0"/>
              <w:sz w:val="24"/>
            </w:rPr>
          </w:pPr>
          <w:hyperlink w:history="true" w:anchor="_bookmark30">
            <w:r>
              <w:rPr>
                <w:i w:val="0"/>
                <w:sz w:val="24"/>
              </w:rPr>
              <w:t>十、基金转换</w:t>
              <w:tab/>
            </w:r>
            <w:r>
              <w:rPr>
                <w:rFonts w:ascii="仿宋" w:eastAsia="仿宋" w:hint="eastAsia"/>
                <w:b w:val="0"/>
                <w:i w:val="0"/>
                <w:sz w:val="24"/>
              </w:rPr>
              <w:t>94</w:t>
            </w:r>
          </w:hyperlink>
        </w:p>
        <w:p>
          <w:pPr>
            <w:pStyle w:val="TOC3"/>
            <w:tabs>
              <w:tab w:pos="8667" w:val="right" w:leader="dot"/>
            </w:tabs>
            <w:spacing w:before="125"/>
            <w:rPr>
              <w:rFonts w:ascii="Times New Roman" w:eastAsia="Times New Roman"/>
            </w:rPr>
          </w:pPr>
          <w:hyperlink w:history="true" w:anchor="_bookmark31">
            <w:r>
              <w:rPr/>
              <w:t>（一）基金转换的开放日及时间</w:t>
              <w:tab/>
            </w:r>
            <w:r>
              <w:rPr>
                <w:rFonts w:ascii="Times New Roman" w:eastAsia="Times New Roman"/>
              </w:rPr>
              <w:t>94</w:t>
            </w:r>
          </w:hyperlink>
        </w:p>
        <w:p>
          <w:pPr>
            <w:pStyle w:val="TOC3"/>
            <w:tabs>
              <w:tab w:pos="8667" w:val="right" w:leader="dot"/>
            </w:tabs>
            <w:rPr>
              <w:rFonts w:ascii="Times New Roman" w:eastAsia="Times New Roman"/>
            </w:rPr>
          </w:pPr>
          <w:hyperlink w:history="true" w:anchor="_bookmark32">
            <w:r>
              <w:rPr/>
              <w:t>（二）基金转换业务规则</w:t>
              <w:tab/>
            </w:r>
            <w:r>
              <w:rPr>
                <w:rFonts w:ascii="Times New Roman" w:eastAsia="Times New Roman"/>
              </w:rPr>
              <w:t>94</w:t>
            </w:r>
          </w:hyperlink>
        </w:p>
        <w:p>
          <w:pPr>
            <w:pStyle w:val="TOC3"/>
            <w:tabs>
              <w:tab w:pos="8667" w:val="right" w:leader="dot"/>
            </w:tabs>
            <w:rPr>
              <w:rFonts w:ascii="Times New Roman" w:eastAsia="Times New Roman"/>
            </w:rPr>
          </w:pPr>
          <w:hyperlink w:history="true" w:anchor="_bookmark33">
            <w:r>
              <w:rPr/>
              <w:t>（三）基金转换的程序</w:t>
              <w:tab/>
            </w:r>
            <w:r>
              <w:rPr>
                <w:rFonts w:ascii="Times New Roman" w:eastAsia="Times New Roman"/>
              </w:rPr>
              <w:t>94</w:t>
            </w:r>
          </w:hyperlink>
        </w:p>
        <w:p>
          <w:pPr>
            <w:pStyle w:val="TOC3"/>
            <w:tabs>
              <w:tab w:pos="8667" w:val="right" w:leader="dot"/>
            </w:tabs>
            <w:rPr>
              <w:rFonts w:ascii="Times New Roman" w:eastAsia="Times New Roman"/>
            </w:rPr>
          </w:pPr>
          <w:hyperlink w:history="true" w:anchor="_bookmark34">
            <w:r>
              <w:rPr/>
              <w:t>（四）基金转换的数额限制</w:t>
              <w:tab/>
            </w:r>
            <w:r>
              <w:rPr>
                <w:rFonts w:ascii="Times New Roman" w:eastAsia="Times New Roman"/>
              </w:rPr>
              <w:t>95</w:t>
            </w:r>
          </w:hyperlink>
        </w:p>
        <w:p>
          <w:pPr>
            <w:pStyle w:val="TOC3"/>
            <w:tabs>
              <w:tab w:pos="8667" w:val="right" w:leader="dot"/>
            </w:tabs>
            <w:rPr>
              <w:rFonts w:ascii="Times New Roman" w:eastAsia="Times New Roman"/>
            </w:rPr>
          </w:pPr>
          <w:hyperlink w:history="true" w:anchor="_bookmark35">
            <w:r>
              <w:rPr/>
              <w:t>（五）基金转换费率</w:t>
              <w:tab/>
            </w:r>
            <w:r>
              <w:rPr>
                <w:rFonts w:ascii="Times New Roman" w:eastAsia="Times New Roman"/>
              </w:rPr>
              <w:t>95</w:t>
            </w:r>
          </w:hyperlink>
        </w:p>
        <w:p>
          <w:pPr>
            <w:pStyle w:val="TOC3"/>
            <w:tabs>
              <w:tab w:pos="8667" w:val="right" w:leader="dot"/>
            </w:tabs>
            <w:rPr>
              <w:rFonts w:ascii="Times New Roman" w:eastAsia="Times New Roman"/>
            </w:rPr>
          </w:pPr>
          <w:hyperlink w:history="true" w:anchor="_bookmark36">
            <w:r>
              <w:rPr/>
              <w:t>（六）基金转换份额的计算方式</w:t>
              <w:tab/>
            </w:r>
            <w:r>
              <w:rPr>
                <w:rFonts w:ascii="Times New Roman" w:eastAsia="Times New Roman"/>
              </w:rPr>
              <w:t>95</w:t>
            </w:r>
          </w:hyperlink>
        </w:p>
        <w:p>
          <w:pPr>
            <w:pStyle w:val="TOC3"/>
            <w:tabs>
              <w:tab w:pos="8667" w:val="right" w:leader="dot"/>
            </w:tabs>
            <w:rPr>
              <w:rFonts w:ascii="Times New Roman" w:eastAsia="Times New Roman"/>
            </w:rPr>
          </w:pPr>
          <w:hyperlink w:history="true" w:anchor="_bookmark37">
            <w:r>
              <w:rPr/>
              <w:t>（七）基金转换的注册登记</w:t>
              <w:tab/>
            </w:r>
            <w:r>
              <w:rPr>
                <w:rFonts w:ascii="Times New Roman" w:eastAsia="Times New Roman"/>
              </w:rPr>
              <w:t>97</w:t>
            </w:r>
          </w:hyperlink>
        </w:p>
        <w:p>
          <w:pPr>
            <w:pStyle w:val="TOC3"/>
            <w:tabs>
              <w:tab w:pos="8667" w:val="right" w:leader="dot"/>
            </w:tabs>
            <w:rPr>
              <w:rFonts w:ascii="Times New Roman" w:eastAsia="Times New Roman"/>
            </w:rPr>
          </w:pPr>
          <w:hyperlink w:history="true" w:anchor="_bookmark38">
            <w:r>
              <w:rPr/>
              <w:t>（八）基金转换与巨额赎回</w:t>
              <w:tab/>
            </w:r>
            <w:r>
              <w:rPr>
                <w:rFonts w:ascii="Times New Roman" w:eastAsia="Times New Roman"/>
              </w:rPr>
              <w:t>97</w:t>
            </w:r>
          </w:hyperlink>
        </w:p>
        <w:p>
          <w:pPr>
            <w:pStyle w:val="TOC3"/>
            <w:tabs>
              <w:tab w:pos="8667" w:val="right" w:leader="dot"/>
            </w:tabs>
            <w:rPr>
              <w:rFonts w:ascii="Times New Roman" w:eastAsia="Times New Roman"/>
            </w:rPr>
          </w:pPr>
          <w:hyperlink w:history="true" w:anchor="_bookmark39">
            <w:r>
              <w:rPr/>
              <w:t>（九）暂停基金转换的情形</w:t>
              <w:tab/>
            </w:r>
            <w:r>
              <w:rPr>
                <w:rFonts w:ascii="Times New Roman" w:eastAsia="Times New Roman"/>
              </w:rPr>
              <w:t>97</w:t>
            </w:r>
          </w:hyperlink>
        </w:p>
        <w:p>
          <w:pPr>
            <w:pStyle w:val="TOC1"/>
            <w:tabs>
              <w:tab w:pos="8695" w:val="right" w:leader="dot"/>
            </w:tabs>
            <w:rPr>
              <w:rFonts w:ascii="仿宋" w:eastAsia="仿宋" w:hint="eastAsia"/>
              <w:b w:val="0"/>
            </w:rPr>
          </w:pPr>
          <w:hyperlink w:history="true" w:anchor="_bookmark40">
            <w:r>
              <w:rPr/>
              <w:t>十一、基金的非交易过户、转托管、冻结与质押</w:t>
              <w:tab/>
            </w:r>
            <w:r>
              <w:rPr>
                <w:rFonts w:ascii="仿宋" w:eastAsia="仿宋" w:hint="eastAsia"/>
                <w:b w:val="0"/>
              </w:rPr>
              <w:t>99</w:t>
            </w:r>
          </w:hyperlink>
        </w:p>
        <w:p>
          <w:pPr>
            <w:pStyle w:val="TOC2"/>
            <w:tabs>
              <w:tab w:pos="8695" w:val="right" w:leader="dot"/>
            </w:tabs>
            <w:spacing w:before="26"/>
            <w:rPr>
              <w:rFonts w:ascii="仿宋" w:eastAsia="仿宋" w:hint="eastAsia"/>
              <w:b w:val="0"/>
              <w:i w:val="0"/>
              <w:sz w:val="24"/>
            </w:rPr>
          </w:pPr>
          <w:hyperlink w:history="true" w:anchor="_bookmark41">
            <w:r>
              <w:rPr>
                <w:i w:val="0"/>
                <w:sz w:val="24"/>
              </w:rPr>
              <w:t>十二、基金的投资</w:t>
              <w:tab/>
            </w:r>
            <w:r>
              <w:rPr>
                <w:rFonts w:ascii="仿宋" w:eastAsia="仿宋" w:hint="eastAsia"/>
                <w:b w:val="0"/>
                <w:i w:val="0"/>
                <w:sz w:val="24"/>
              </w:rPr>
              <w:t>100</w:t>
            </w:r>
          </w:hyperlink>
        </w:p>
        <w:p>
          <w:pPr>
            <w:pStyle w:val="TOC3"/>
            <w:tabs>
              <w:tab w:pos="8667" w:val="right" w:leader="dot"/>
            </w:tabs>
            <w:spacing w:before="125"/>
            <w:rPr>
              <w:rFonts w:ascii="Times New Roman" w:eastAsia="Times New Roman"/>
            </w:rPr>
          </w:pPr>
          <w:hyperlink w:history="true" w:anchor="_bookmark42">
            <w:r>
              <w:rPr/>
              <w:t>（一）投资目标</w:t>
              <w:tab/>
            </w:r>
            <w:r>
              <w:rPr>
                <w:rFonts w:ascii="Times New Roman" w:eastAsia="Times New Roman"/>
              </w:rPr>
              <w:t>100</w:t>
            </w:r>
          </w:hyperlink>
        </w:p>
        <w:p>
          <w:pPr>
            <w:pStyle w:val="TOC3"/>
            <w:tabs>
              <w:tab w:pos="8667" w:val="right" w:leader="dot"/>
            </w:tabs>
            <w:rPr>
              <w:rFonts w:ascii="Times New Roman" w:eastAsia="Times New Roman"/>
            </w:rPr>
          </w:pPr>
          <w:hyperlink w:history="true" w:anchor="_bookmark43">
            <w:r>
              <w:rPr/>
              <w:t>（二）投资范围</w:t>
              <w:tab/>
            </w:r>
            <w:r>
              <w:rPr>
                <w:rFonts w:ascii="Times New Roman" w:eastAsia="Times New Roman"/>
              </w:rPr>
              <w:t>100</w:t>
            </w:r>
          </w:hyperlink>
        </w:p>
        <w:p>
          <w:pPr>
            <w:pStyle w:val="TOC3"/>
            <w:tabs>
              <w:tab w:pos="8667" w:val="right" w:leader="dot"/>
            </w:tabs>
            <w:rPr>
              <w:rFonts w:ascii="Times New Roman" w:eastAsia="Times New Roman"/>
            </w:rPr>
          </w:pPr>
          <w:hyperlink w:history="true" w:anchor="_bookmark44">
            <w:r>
              <w:rPr/>
              <w:t>（三）投资理念</w:t>
              <w:tab/>
            </w:r>
            <w:r>
              <w:rPr>
                <w:rFonts w:ascii="Times New Roman" w:eastAsia="Times New Roman"/>
              </w:rPr>
              <w:t>100</w:t>
            </w:r>
          </w:hyperlink>
        </w:p>
        <w:p>
          <w:pPr>
            <w:pStyle w:val="TOC3"/>
            <w:tabs>
              <w:tab w:pos="8667" w:val="right" w:leader="dot"/>
            </w:tabs>
            <w:rPr>
              <w:rFonts w:ascii="Times New Roman" w:eastAsia="Times New Roman"/>
            </w:rPr>
          </w:pPr>
          <w:hyperlink w:history="true" w:anchor="_bookmark45">
            <w:r>
              <w:rPr/>
              <w:t>（四）投资策略</w:t>
              <w:tab/>
            </w:r>
            <w:r>
              <w:rPr>
                <w:rFonts w:ascii="Times New Roman" w:eastAsia="Times New Roman"/>
              </w:rPr>
              <w:t>100</w:t>
            </w:r>
          </w:hyperlink>
        </w:p>
        <w:p>
          <w:pPr>
            <w:pStyle w:val="TOC3"/>
            <w:tabs>
              <w:tab w:pos="8667" w:val="right" w:leader="dot"/>
            </w:tabs>
            <w:rPr>
              <w:rFonts w:ascii="Times New Roman" w:eastAsia="Times New Roman"/>
            </w:rPr>
          </w:pPr>
          <w:hyperlink w:history="true" w:anchor="_bookmark46">
            <w:r>
              <w:rPr/>
              <w:t>（五）业绩比较基准</w:t>
              <w:tab/>
            </w:r>
            <w:r>
              <w:rPr>
                <w:rFonts w:ascii="Times New Roman" w:eastAsia="Times New Roman"/>
              </w:rPr>
              <w:t>103</w:t>
            </w:r>
          </w:hyperlink>
        </w:p>
        <w:p>
          <w:pPr>
            <w:pStyle w:val="TOC3"/>
            <w:tabs>
              <w:tab w:pos="8667" w:val="right" w:leader="dot"/>
            </w:tabs>
            <w:rPr>
              <w:rFonts w:ascii="Times New Roman" w:eastAsia="Times New Roman"/>
            </w:rPr>
          </w:pPr>
          <w:hyperlink w:history="true" w:anchor="_bookmark47">
            <w:r>
              <w:rPr/>
              <w:t>（六）风险收益特征</w:t>
              <w:tab/>
            </w:r>
            <w:r>
              <w:rPr>
                <w:rFonts w:ascii="Times New Roman" w:eastAsia="Times New Roman"/>
              </w:rPr>
              <w:t>103</w:t>
            </w:r>
          </w:hyperlink>
        </w:p>
        <w:p>
          <w:pPr>
            <w:pStyle w:val="TOC3"/>
            <w:tabs>
              <w:tab w:pos="8667" w:val="right" w:leader="dot"/>
            </w:tabs>
            <w:rPr>
              <w:rFonts w:ascii="Times New Roman" w:eastAsia="Times New Roman"/>
            </w:rPr>
          </w:pPr>
          <w:hyperlink w:history="true" w:anchor="_bookmark48">
            <w:r>
              <w:rPr/>
              <w:t>（七）投资决策</w:t>
              <w:tab/>
            </w:r>
            <w:r>
              <w:rPr>
                <w:rFonts w:ascii="Times New Roman" w:eastAsia="Times New Roman"/>
              </w:rPr>
              <w:t>103</w:t>
            </w:r>
          </w:hyperlink>
        </w:p>
        <w:p>
          <w:pPr>
            <w:pStyle w:val="TOC3"/>
            <w:tabs>
              <w:tab w:pos="8667" w:val="right" w:leader="dot"/>
            </w:tabs>
            <w:rPr>
              <w:rFonts w:ascii="Times New Roman" w:eastAsia="Times New Roman"/>
            </w:rPr>
          </w:pPr>
          <w:hyperlink w:history="true" w:anchor="_bookmark49">
            <w:r>
              <w:rPr/>
              <w:t>（八）投资限制</w:t>
              <w:tab/>
            </w:r>
            <w:r>
              <w:rPr>
                <w:rFonts w:ascii="Times New Roman" w:eastAsia="Times New Roman"/>
              </w:rPr>
              <w:t>104</w:t>
            </w:r>
          </w:hyperlink>
        </w:p>
        <w:p>
          <w:pPr>
            <w:pStyle w:val="TOC3"/>
            <w:tabs>
              <w:tab w:pos="8667" w:val="right" w:leader="dot"/>
            </w:tabs>
            <w:rPr>
              <w:rFonts w:ascii="Times New Roman" w:eastAsia="Times New Roman"/>
            </w:rPr>
          </w:pPr>
          <w:hyperlink w:history="true" w:anchor="_bookmark50">
            <w:r>
              <w:rPr/>
              <w:t>（九）禁止行为</w:t>
              <w:tab/>
            </w:r>
            <w:r>
              <w:rPr>
                <w:rFonts w:ascii="Times New Roman" w:eastAsia="Times New Roman"/>
              </w:rPr>
              <w:t>105</w:t>
            </w:r>
          </w:hyperlink>
        </w:p>
        <w:p>
          <w:pPr>
            <w:pStyle w:val="TOC3"/>
            <w:tabs>
              <w:tab w:pos="8667" w:val="right" w:leader="dot"/>
            </w:tabs>
            <w:rPr>
              <w:rFonts w:ascii="Times New Roman" w:eastAsia="Times New Roman"/>
            </w:rPr>
          </w:pPr>
          <w:hyperlink w:history="true" w:anchor="_bookmark51">
            <w:r>
              <w:rPr/>
              <w:t>（十）</w:t>
            </w:r>
            <w:r>
              <w:rPr>
                <w:spacing w:val="-12"/>
              </w:rPr>
              <w:t>基金管</w:t>
            </w:r>
            <w:r>
              <w:rPr>
                <w:spacing w:val="-13"/>
              </w:rPr>
              <w:t>理</w:t>
            </w:r>
            <w:r>
              <w:rPr>
                <w:spacing w:val="-12"/>
              </w:rPr>
              <w:t>人代表基金行</w:t>
            </w:r>
            <w:r>
              <w:rPr>
                <w:spacing w:val="-13"/>
              </w:rPr>
              <w:t>使</w:t>
            </w:r>
            <w:r>
              <w:rPr>
                <w:spacing w:val="-12"/>
              </w:rPr>
              <w:t>所投资证券产</w:t>
            </w:r>
            <w:r>
              <w:rPr>
                <w:spacing w:val="-13"/>
              </w:rPr>
              <w:t>生</w:t>
            </w:r>
            <w:r>
              <w:rPr>
                <w:spacing w:val="-12"/>
              </w:rPr>
              <w:t>权利的处理原</w:t>
            </w:r>
            <w:r>
              <w:rPr>
                <w:spacing w:val="-13"/>
              </w:rPr>
              <w:t>则</w:t>
            </w:r>
            <w:r>
              <w:rPr>
                <w:spacing w:val="-12"/>
              </w:rPr>
              <w:t>及方</w:t>
            </w:r>
            <w:r>
              <w:rPr/>
              <w:t>法</w:t>
              <w:tab/>
            </w:r>
            <w:r>
              <w:rPr>
                <w:rFonts w:ascii="Times New Roman" w:eastAsia="Times New Roman"/>
              </w:rPr>
              <w:t>105</w:t>
            </w:r>
          </w:hyperlink>
        </w:p>
        <w:p>
          <w:pPr>
            <w:pStyle w:val="TOC3"/>
            <w:tabs>
              <w:tab w:pos="8667" w:val="right" w:leader="dot"/>
            </w:tabs>
            <w:rPr>
              <w:rFonts w:ascii="Times New Roman" w:eastAsia="Times New Roman"/>
            </w:rPr>
          </w:pPr>
          <w:hyperlink w:history="true" w:anchor="_bookmark52">
            <w:r>
              <w:rPr/>
              <w:t>（十一）投资组合比例调整</w:t>
              <w:tab/>
            </w:r>
            <w:r>
              <w:rPr>
                <w:rFonts w:ascii="Times New Roman" w:eastAsia="Times New Roman"/>
              </w:rPr>
              <w:t>105</w:t>
            </w:r>
          </w:hyperlink>
        </w:p>
        <w:p>
          <w:pPr>
            <w:pStyle w:val="TOC3"/>
            <w:tabs>
              <w:tab w:pos="8667" w:val="right" w:leader="dot"/>
            </w:tabs>
            <w:spacing w:before="198"/>
            <w:rPr>
              <w:rFonts w:ascii="Times New Roman" w:eastAsia="Times New Roman"/>
            </w:rPr>
          </w:pPr>
          <w:hyperlink w:history="true" w:anchor="_bookmark53">
            <w:r>
              <w:rPr/>
              <w:t>（十二）基金的融资融券</w:t>
              <w:tab/>
            </w:r>
            <w:r>
              <w:rPr>
                <w:rFonts w:ascii="Times New Roman" w:eastAsia="Times New Roman"/>
              </w:rPr>
              <w:t>105</w:t>
            </w:r>
          </w:hyperlink>
        </w:p>
        <w:p>
          <w:pPr>
            <w:pStyle w:val="TOC3"/>
            <w:tabs>
              <w:tab w:pos="8667" w:val="right" w:leader="dot"/>
            </w:tabs>
            <w:rPr>
              <w:rFonts w:ascii="Times New Roman" w:eastAsia="Times New Roman"/>
            </w:rPr>
          </w:pPr>
          <w:hyperlink w:history="true" w:anchor="_bookmark54">
            <w:r>
              <w:rPr/>
              <w:t>（十三）基金投资组合报告(未经审计)</w:t>
              <w:tab/>
            </w:r>
            <w:r>
              <w:rPr>
                <w:rFonts w:ascii="Times New Roman" w:eastAsia="Times New Roman"/>
              </w:rPr>
              <w:t>105</w:t>
            </w:r>
          </w:hyperlink>
        </w:p>
        <w:p>
          <w:pPr>
            <w:pStyle w:val="TOC2"/>
            <w:tabs>
              <w:tab w:pos="8695" w:val="right" w:leader="dot"/>
            </w:tabs>
            <w:rPr>
              <w:rFonts w:ascii="仿宋" w:eastAsia="仿宋" w:hint="eastAsia"/>
              <w:b w:val="0"/>
              <w:i w:val="0"/>
              <w:sz w:val="24"/>
            </w:rPr>
          </w:pPr>
          <w:hyperlink w:history="true" w:anchor="_bookmark55">
            <w:r>
              <w:rPr>
                <w:i w:val="0"/>
                <w:sz w:val="24"/>
              </w:rPr>
              <w:t>十三、基金的业绩</w:t>
              <w:tab/>
            </w:r>
            <w:r>
              <w:rPr>
                <w:rFonts w:ascii="仿宋" w:eastAsia="仿宋" w:hint="eastAsia"/>
                <w:b w:val="0"/>
                <w:i w:val="0"/>
                <w:sz w:val="24"/>
              </w:rPr>
              <w:t>110</w:t>
            </w:r>
          </w:hyperlink>
        </w:p>
        <w:p>
          <w:pPr>
            <w:pStyle w:val="TOC2"/>
            <w:tabs>
              <w:tab w:pos="8695" w:val="right" w:leader="dot"/>
            </w:tabs>
            <w:spacing w:before="27"/>
            <w:rPr>
              <w:rFonts w:ascii="仿宋" w:eastAsia="仿宋" w:hint="eastAsia"/>
              <w:b w:val="0"/>
              <w:i w:val="0"/>
              <w:sz w:val="24"/>
            </w:rPr>
          </w:pPr>
          <w:hyperlink w:history="true" w:anchor="_bookmark56">
            <w:r>
              <w:rPr>
                <w:i w:val="0"/>
                <w:sz w:val="24"/>
              </w:rPr>
              <w:t>十四、基金的财产</w:t>
              <w:tab/>
            </w:r>
            <w:r>
              <w:rPr>
                <w:rFonts w:ascii="仿宋" w:eastAsia="仿宋" w:hint="eastAsia"/>
                <w:b w:val="0"/>
                <w:i w:val="0"/>
                <w:sz w:val="24"/>
              </w:rPr>
              <w:t>112</w:t>
            </w:r>
          </w:hyperlink>
        </w:p>
        <w:p>
          <w:pPr>
            <w:pStyle w:val="TOC3"/>
            <w:tabs>
              <w:tab w:pos="8667" w:val="right" w:leader="dot"/>
            </w:tabs>
            <w:spacing w:before="125" w:after="20"/>
            <w:rPr>
              <w:rFonts w:ascii="Times New Roman" w:eastAsia="Times New Roman"/>
            </w:rPr>
          </w:pPr>
          <w:hyperlink w:history="true" w:anchor="_bookmark57">
            <w:r>
              <w:rPr/>
              <w:t>（一）基金资产总值</w:t>
              <w:tab/>
            </w:r>
            <w:r>
              <w:rPr>
                <w:rFonts w:ascii="Times New Roman" w:eastAsia="Times New Roman"/>
              </w:rPr>
              <w:t>112</w:t>
            </w:r>
          </w:hyperlink>
        </w:p>
        <w:p>
          <w:pPr>
            <w:pStyle w:val="TOC3"/>
            <w:tabs>
              <w:tab w:pos="8667" w:val="right" w:leader="dot"/>
            </w:tabs>
            <w:spacing w:before="63"/>
            <w:rPr>
              <w:rFonts w:ascii="Times New Roman" w:eastAsia="Times New Roman"/>
            </w:rPr>
          </w:pPr>
          <w:hyperlink w:history="true" w:anchor="_bookmark58">
            <w:r>
              <w:rPr/>
              <w:t>（二）基金资产净值</w:t>
              <w:tab/>
            </w:r>
            <w:r>
              <w:rPr>
                <w:rFonts w:ascii="Times New Roman" w:eastAsia="Times New Roman"/>
              </w:rPr>
              <w:t>112</w:t>
            </w:r>
          </w:hyperlink>
        </w:p>
        <w:p>
          <w:pPr>
            <w:pStyle w:val="TOC3"/>
            <w:tabs>
              <w:tab w:pos="8667" w:val="right" w:leader="dot"/>
            </w:tabs>
            <w:rPr>
              <w:rFonts w:ascii="Times New Roman" w:eastAsia="Times New Roman"/>
            </w:rPr>
          </w:pPr>
          <w:hyperlink w:history="true" w:anchor="_bookmark59">
            <w:r>
              <w:rPr/>
              <w:t>（三）基金财产的账户</w:t>
              <w:tab/>
            </w:r>
            <w:r>
              <w:rPr>
                <w:rFonts w:ascii="Times New Roman" w:eastAsia="Times New Roman"/>
              </w:rPr>
              <w:t>112</w:t>
            </w:r>
          </w:hyperlink>
        </w:p>
        <w:p>
          <w:pPr>
            <w:pStyle w:val="TOC3"/>
            <w:tabs>
              <w:tab w:pos="8667" w:val="right" w:leader="dot"/>
            </w:tabs>
            <w:rPr>
              <w:rFonts w:ascii="Times New Roman" w:eastAsia="Times New Roman"/>
            </w:rPr>
          </w:pPr>
          <w:hyperlink w:history="true" w:anchor="_bookmark60">
            <w:r>
              <w:rPr/>
              <w:t>（四）基金财产的保管和处分</w:t>
              <w:tab/>
            </w:r>
            <w:r>
              <w:rPr>
                <w:rFonts w:ascii="Times New Roman" w:eastAsia="Times New Roman"/>
              </w:rPr>
              <w:t>112</w:t>
            </w:r>
          </w:hyperlink>
        </w:p>
        <w:p>
          <w:pPr>
            <w:pStyle w:val="TOC2"/>
            <w:tabs>
              <w:tab w:pos="8695" w:val="right" w:leader="dot"/>
            </w:tabs>
            <w:spacing w:before="100"/>
            <w:rPr>
              <w:rFonts w:ascii="仿宋" w:eastAsia="仿宋" w:hint="eastAsia"/>
              <w:b w:val="0"/>
              <w:i w:val="0"/>
              <w:sz w:val="24"/>
            </w:rPr>
          </w:pPr>
          <w:hyperlink w:history="true" w:anchor="_bookmark61">
            <w:r>
              <w:rPr>
                <w:i w:val="0"/>
                <w:sz w:val="24"/>
              </w:rPr>
              <w:t>十五、基金资产估值</w:t>
              <w:tab/>
            </w:r>
            <w:r>
              <w:rPr>
                <w:rFonts w:ascii="仿宋" w:eastAsia="仿宋" w:hint="eastAsia"/>
                <w:b w:val="0"/>
                <w:i w:val="0"/>
                <w:sz w:val="24"/>
              </w:rPr>
              <w:t>113</w:t>
            </w:r>
          </w:hyperlink>
        </w:p>
        <w:p>
          <w:pPr>
            <w:pStyle w:val="TOC3"/>
            <w:tabs>
              <w:tab w:pos="8667" w:val="right" w:leader="dot"/>
            </w:tabs>
            <w:spacing w:before="125"/>
            <w:rPr>
              <w:rFonts w:ascii="Times New Roman" w:eastAsia="Times New Roman"/>
            </w:rPr>
          </w:pPr>
          <w:hyperlink w:history="true" w:anchor="_bookmark62">
            <w:r>
              <w:rPr/>
              <w:t>（一）估值目的</w:t>
              <w:tab/>
            </w:r>
            <w:r>
              <w:rPr>
                <w:rFonts w:ascii="Times New Roman" w:eastAsia="Times New Roman"/>
              </w:rPr>
              <w:t>113</w:t>
            </w:r>
          </w:hyperlink>
        </w:p>
        <w:p>
          <w:pPr>
            <w:pStyle w:val="TOC3"/>
            <w:tabs>
              <w:tab w:pos="8667" w:val="right" w:leader="dot"/>
            </w:tabs>
            <w:rPr>
              <w:rFonts w:ascii="Times New Roman" w:eastAsia="Times New Roman"/>
            </w:rPr>
          </w:pPr>
          <w:hyperlink w:history="true" w:anchor="_bookmark63">
            <w:r>
              <w:rPr/>
              <w:t>（二）估值日</w:t>
              <w:tab/>
            </w:r>
            <w:r>
              <w:rPr>
                <w:rFonts w:ascii="Times New Roman" w:eastAsia="Times New Roman"/>
              </w:rPr>
              <w:t>113</w:t>
            </w:r>
          </w:hyperlink>
        </w:p>
        <w:p>
          <w:pPr>
            <w:pStyle w:val="TOC3"/>
            <w:tabs>
              <w:tab w:pos="8667" w:val="right" w:leader="dot"/>
            </w:tabs>
            <w:rPr>
              <w:rFonts w:ascii="Times New Roman" w:eastAsia="Times New Roman"/>
            </w:rPr>
          </w:pPr>
          <w:hyperlink w:history="true" w:anchor="_bookmark64">
            <w:r>
              <w:rPr/>
              <w:t>（三）估值对象</w:t>
              <w:tab/>
            </w:r>
            <w:r>
              <w:rPr>
                <w:rFonts w:ascii="Times New Roman" w:eastAsia="Times New Roman"/>
              </w:rPr>
              <w:t>113</w:t>
            </w:r>
          </w:hyperlink>
        </w:p>
        <w:p>
          <w:pPr>
            <w:pStyle w:val="TOC3"/>
            <w:tabs>
              <w:tab w:pos="8667" w:val="right" w:leader="dot"/>
            </w:tabs>
            <w:rPr>
              <w:rFonts w:ascii="Times New Roman" w:eastAsia="Times New Roman"/>
            </w:rPr>
          </w:pPr>
          <w:hyperlink w:history="true" w:anchor="_bookmark65">
            <w:r>
              <w:rPr/>
              <w:t>（四）估值方法</w:t>
              <w:tab/>
            </w:r>
            <w:r>
              <w:rPr>
                <w:rFonts w:ascii="Times New Roman" w:eastAsia="Times New Roman"/>
              </w:rPr>
              <w:t>113</w:t>
            </w:r>
          </w:hyperlink>
        </w:p>
        <w:p>
          <w:pPr>
            <w:pStyle w:val="TOC3"/>
            <w:tabs>
              <w:tab w:pos="8667" w:val="right" w:leader="dot"/>
            </w:tabs>
            <w:rPr>
              <w:rFonts w:ascii="Times New Roman" w:eastAsia="Times New Roman"/>
            </w:rPr>
          </w:pPr>
          <w:hyperlink w:history="true" w:anchor="_bookmark66">
            <w:r>
              <w:rPr/>
              <w:t>（五）估值程序</w:t>
              <w:tab/>
            </w:r>
            <w:r>
              <w:rPr>
                <w:rFonts w:ascii="Times New Roman" w:eastAsia="Times New Roman"/>
              </w:rPr>
              <w:t>114</w:t>
            </w:r>
          </w:hyperlink>
        </w:p>
        <w:p>
          <w:pPr>
            <w:pStyle w:val="TOC3"/>
            <w:tabs>
              <w:tab w:pos="8667" w:val="right" w:leader="dot"/>
            </w:tabs>
            <w:rPr>
              <w:rFonts w:ascii="Times New Roman" w:eastAsia="Times New Roman"/>
            </w:rPr>
          </w:pPr>
          <w:hyperlink w:history="true" w:anchor="_bookmark67">
            <w:r>
              <w:rPr/>
              <w:t>（六）暂停估值的情形</w:t>
              <w:tab/>
            </w:r>
            <w:r>
              <w:rPr>
                <w:rFonts w:ascii="Times New Roman" w:eastAsia="Times New Roman"/>
              </w:rPr>
              <w:t>114</w:t>
            </w:r>
          </w:hyperlink>
        </w:p>
        <w:p>
          <w:pPr>
            <w:pStyle w:val="TOC3"/>
            <w:tabs>
              <w:tab w:pos="8667" w:val="right" w:leader="dot"/>
            </w:tabs>
            <w:rPr>
              <w:rFonts w:ascii="Times New Roman" w:eastAsia="Times New Roman"/>
            </w:rPr>
          </w:pPr>
          <w:hyperlink w:history="true" w:anchor="_bookmark68">
            <w:r>
              <w:rPr/>
              <w:t>（七）基金份额净值的计算</w:t>
              <w:tab/>
            </w:r>
            <w:r>
              <w:rPr>
                <w:rFonts w:ascii="Times New Roman" w:eastAsia="Times New Roman"/>
              </w:rPr>
              <w:t>115</w:t>
            </w:r>
          </w:hyperlink>
        </w:p>
        <w:p>
          <w:pPr>
            <w:pStyle w:val="TOC3"/>
            <w:tabs>
              <w:tab w:pos="8667" w:val="right" w:leader="dot"/>
            </w:tabs>
            <w:rPr>
              <w:rFonts w:ascii="Times New Roman" w:eastAsia="Times New Roman"/>
            </w:rPr>
          </w:pPr>
          <w:hyperlink w:history="true" w:anchor="_bookmark69">
            <w:r>
              <w:rPr/>
              <w:t>（八）估值错误处理</w:t>
              <w:tab/>
            </w:r>
            <w:r>
              <w:rPr>
                <w:rFonts w:ascii="Times New Roman" w:eastAsia="Times New Roman"/>
              </w:rPr>
              <w:t>115</w:t>
            </w:r>
          </w:hyperlink>
        </w:p>
        <w:p>
          <w:pPr>
            <w:pStyle w:val="TOC3"/>
            <w:tabs>
              <w:tab w:pos="8667" w:val="right" w:leader="dot"/>
            </w:tabs>
            <w:rPr>
              <w:rFonts w:ascii="Times New Roman" w:eastAsia="Times New Roman"/>
            </w:rPr>
          </w:pPr>
          <w:hyperlink w:history="true" w:anchor="_bookmark70">
            <w:r>
              <w:rPr/>
              <w:t>（九）特殊情形的处理</w:t>
              <w:tab/>
            </w:r>
            <w:r>
              <w:rPr>
                <w:rFonts w:ascii="Times New Roman" w:eastAsia="Times New Roman"/>
              </w:rPr>
              <w:t>116</w:t>
            </w:r>
          </w:hyperlink>
        </w:p>
        <w:p>
          <w:pPr>
            <w:pStyle w:val="TOC1"/>
            <w:tabs>
              <w:tab w:pos="8695" w:val="right" w:leader="dot"/>
            </w:tabs>
            <w:rPr>
              <w:rFonts w:ascii="仿宋" w:eastAsia="仿宋" w:hint="eastAsia"/>
              <w:b w:val="0"/>
            </w:rPr>
          </w:pPr>
          <w:hyperlink w:history="true" w:anchor="_bookmark71">
            <w:r>
              <w:rPr/>
              <w:t>十六、基金的收益与分配</w:t>
              <w:tab/>
            </w:r>
            <w:r>
              <w:rPr>
                <w:rFonts w:ascii="仿宋" w:eastAsia="仿宋" w:hint="eastAsia"/>
                <w:b w:val="0"/>
              </w:rPr>
              <w:t>118</w:t>
            </w:r>
          </w:hyperlink>
        </w:p>
        <w:p>
          <w:pPr>
            <w:pStyle w:val="TOC3"/>
            <w:tabs>
              <w:tab w:pos="8667" w:val="right" w:leader="dot"/>
            </w:tabs>
            <w:spacing w:before="124"/>
            <w:rPr>
              <w:rFonts w:ascii="Times New Roman" w:eastAsia="Times New Roman"/>
            </w:rPr>
          </w:pPr>
          <w:hyperlink w:history="true" w:anchor="_bookmark72">
            <w:r>
              <w:rPr/>
              <w:t>（一）收益的构成</w:t>
              <w:tab/>
            </w:r>
            <w:r>
              <w:rPr>
                <w:rFonts w:ascii="Times New Roman" w:eastAsia="Times New Roman"/>
              </w:rPr>
              <w:t>118</w:t>
            </w:r>
          </w:hyperlink>
        </w:p>
        <w:p>
          <w:pPr>
            <w:pStyle w:val="TOC3"/>
            <w:tabs>
              <w:tab w:pos="8667" w:val="right" w:leader="dot"/>
            </w:tabs>
            <w:rPr>
              <w:rFonts w:ascii="Times New Roman" w:eastAsia="Times New Roman"/>
            </w:rPr>
          </w:pPr>
          <w:hyperlink w:history="true" w:anchor="_bookmark73">
            <w:r>
              <w:rPr/>
              <w:t>（二）收益分配原则</w:t>
              <w:tab/>
            </w:r>
            <w:r>
              <w:rPr>
                <w:rFonts w:ascii="Times New Roman" w:eastAsia="Times New Roman"/>
              </w:rPr>
              <w:t>118</w:t>
            </w:r>
          </w:hyperlink>
        </w:p>
        <w:p>
          <w:pPr>
            <w:pStyle w:val="TOC3"/>
            <w:tabs>
              <w:tab w:pos="8667" w:val="right" w:leader="dot"/>
            </w:tabs>
            <w:rPr>
              <w:rFonts w:ascii="Times New Roman" w:eastAsia="Times New Roman"/>
            </w:rPr>
          </w:pPr>
          <w:hyperlink w:history="true" w:anchor="_bookmark74">
            <w:r>
              <w:rPr/>
              <w:t>（三）收益分配方案</w:t>
              <w:tab/>
            </w:r>
            <w:r>
              <w:rPr>
                <w:rFonts w:ascii="Times New Roman" w:eastAsia="Times New Roman"/>
              </w:rPr>
              <w:t>118</w:t>
            </w:r>
          </w:hyperlink>
        </w:p>
        <w:p>
          <w:pPr>
            <w:pStyle w:val="TOC3"/>
            <w:tabs>
              <w:tab w:pos="8667" w:val="right" w:leader="dot"/>
            </w:tabs>
            <w:rPr>
              <w:rFonts w:ascii="Times New Roman" w:eastAsia="Times New Roman"/>
            </w:rPr>
          </w:pPr>
          <w:hyperlink w:history="true" w:anchor="_bookmark75">
            <w:r>
              <w:rPr/>
              <w:t>（四）收益分配方案的确定与公告</w:t>
              <w:tab/>
            </w:r>
            <w:r>
              <w:rPr>
                <w:rFonts w:ascii="Times New Roman" w:eastAsia="Times New Roman"/>
              </w:rPr>
              <w:t>118</w:t>
            </w:r>
          </w:hyperlink>
        </w:p>
        <w:p>
          <w:pPr>
            <w:pStyle w:val="TOC3"/>
            <w:tabs>
              <w:tab w:pos="8667" w:val="right" w:leader="dot"/>
            </w:tabs>
            <w:rPr>
              <w:rFonts w:ascii="Times New Roman" w:eastAsia="Times New Roman"/>
            </w:rPr>
          </w:pPr>
          <w:hyperlink w:history="true" w:anchor="_bookmark76">
            <w:r>
              <w:rPr/>
              <w:t>（五）收益分配中发生的费用</w:t>
              <w:tab/>
            </w:r>
            <w:r>
              <w:rPr>
                <w:rFonts w:ascii="Times New Roman" w:eastAsia="Times New Roman"/>
              </w:rPr>
              <w:t>119</w:t>
            </w:r>
          </w:hyperlink>
        </w:p>
        <w:p>
          <w:pPr>
            <w:pStyle w:val="TOC1"/>
            <w:tabs>
              <w:tab w:pos="8695" w:val="right" w:leader="dot"/>
            </w:tabs>
            <w:rPr>
              <w:rFonts w:ascii="仿宋" w:eastAsia="仿宋" w:hint="eastAsia"/>
              <w:b w:val="0"/>
            </w:rPr>
          </w:pPr>
          <w:hyperlink w:history="true" w:anchor="_bookmark77">
            <w:r>
              <w:rPr/>
              <w:t>十七、基金的费用与税收</w:t>
              <w:tab/>
            </w:r>
            <w:r>
              <w:rPr>
                <w:rFonts w:ascii="仿宋" w:eastAsia="仿宋" w:hint="eastAsia"/>
                <w:b w:val="0"/>
              </w:rPr>
              <w:t>120</w:t>
            </w:r>
          </w:hyperlink>
        </w:p>
        <w:p>
          <w:pPr>
            <w:pStyle w:val="TOC3"/>
            <w:tabs>
              <w:tab w:pos="8667" w:val="right" w:leader="dot"/>
            </w:tabs>
            <w:spacing w:before="125"/>
            <w:rPr>
              <w:rFonts w:ascii="Times New Roman" w:eastAsia="Times New Roman"/>
            </w:rPr>
          </w:pPr>
          <w:hyperlink w:history="true" w:anchor="_bookmark78">
            <w:r>
              <w:rPr/>
              <w:t>（一）与基金运作有关的费用</w:t>
              <w:tab/>
            </w:r>
            <w:r>
              <w:rPr>
                <w:rFonts w:ascii="Times New Roman" w:eastAsia="Times New Roman"/>
              </w:rPr>
              <w:t>120</w:t>
            </w:r>
          </w:hyperlink>
        </w:p>
        <w:p>
          <w:pPr>
            <w:pStyle w:val="TOC3"/>
            <w:tabs>
              <w:tab w:pos="8667" w:val="right" w:leader="dot"/>
            </w:tabs>
            <w:rPr>
              <w:rFonts w:ascii="Times New Roman" w:eastAsia="Times New Roman"/>
            </w:rPr>
          </w:pPr>
          <w:hyperlink w:history="true" w:anchor="_bookmark79">
            <w:r>
              <w:rPr/>
              <w:t>（二）与基金销售有关的费用</w:t>
              <w:tab/>
            </w:r>
            <w:r>
              <w:rPr>
                <w:rFonts w:ascii="Times New Roman" w:eastAsia="Times New Roman"/>
              </w:rPr>
              <w:t>121</w:t>
            </w:r>
          </w:hyperlink>
        </w:p>
        <w:p>
          <w:pPr>
            <w:pStyle w:val="TOC1"/>
            <w:tabs>
              <w:tab w:pos="8695" w:val="right" w:leader="dot"/>
            </w:tabs>
            <w:spacing w:before="100"/>
            <w:rPr>
              <w:rFonts w:ascii="仿宋" w:eastAsia="仿宋" w:hint="eastAsia"/>
              <w:b w:val="0"/>
            </w:rPr>
          </w:pPr>
          <w:hyperlink w:history="true" w:anchor="_bookmark80">
            <w:r>
              <w:rPr/>
              <w:t>十八、基金的会计与审计</w:t>
              <w:tab/>
            </w:r>
            <w:r>
              <w:rPr>
                <w:rFonts w:ascii="仿宋" w:eastAsia="仿宋" w:hint="eastAsia"/>
                <w:b w:val="0"/>
              </w:rPr>
              <w:t>122</w:t>
            </w:r>
          </w:hyperlink>
        </w:p>
        <w:p>
          <w:pPr>
            <w:pStyle w:val="TOC3"/>
            <w:tabs>
              <w:tab w:pos="8667" w:val="right" w:leader="dot"/>
            </w:tabs>
            <w:spacing w:before="125"/>
            <w:rPr>
              <w:rFonts w:ascii="Times New Roman" w:eastAsia="Times New Roman"/>
            </w:rPr>
          </w:pPr>
          <w:hyperlink w:history="true" w:anchor="_bookmark81">
            <w:r>
              <w:rPr/>
              <w:t>（一）基金会计政策</w:t>
              <w:tab/>
            </w:r>
            <w:r>
              <w:rPr>
                <w:rFonts w:ascii="Times New Roman" w:eastAsia="Times New Roman"/>
              </w:rPr>
              <w:t>122</w:t>
            </w:r>
          </w:hyperlink>
        </w:p>
        <w:p>
          <w:pPr>
            <w:pStyle w:val="TOC3"/>
            <w:tabs>
              <w:tab w:pos="8667" w:val="right" w:leader="dot"/>
            </w:tabs>
            <w:rPr>
              <w:rFonts w:ascii="Times New Roman" w:eastAsia="Times New Roman"/>
            </w:rPr>
          </w:pPr>
          <w:hyperlink w:history="true" w:anchor="_bookmark82">
            <w:r>
              <w:rPr/>
              <w:t>（二）基金年度审计</w:t>
              <w:tab/>
            </w:r>
            <w:r>
              <w:rPr>
                <w:rFonts w:ascii="Times New Roman" w:eastAsia="Times New Roman"/>
              </w:rPr>
              <w:t>122</w:t>
            </w:r>
          </w:hyperlink>
        </w:p>
        <w:p>
          <w:pPr>
            <w:pStyle w:val="TOC2"/>
            <w:tabs>
              <w:tab w:pos="8695" w:val="right" w:leader="dot"/>
            </w:tabs>
            <w:rPr>
              <w:rFonts w:ascii="仿宋" w:eastAsia="仿宋" w:hint="eastAsia"/>
              <w:b w:val="0"/>
              <w:i w:val="0"/>
              <w:sz w:val="24"/>
            </w:rPr>
          </w:pPr>
          <w:hyperlink w:history="true" w:anchor="_bookmark83">
            <w:r>
              <w:rPr>
                <w:i w:val="0"/>
                <w:sz w:val="24"/>
              </w:rPr>
              <w:t>十九、基金的信息披露</w:t>
              <w:tab/>
            </w:r>
            <w:r>
              <w:rPr>
                <w:rFonts w:ascii="仿宋" w:eastAsia="仿宋" w:hint="eastAsia"/>
                <w:b w:val="0"/>
                <w:i w:val="0"/>
                <w:sz w:val="24"/>
              </w:rPr>
              <w:t>123</w:t>
            </w:r>
          </w:hyperlink>
        </w:p>
        <w:p>
          <w:pPr>
            <w:pStyle w:val="TOC3"/>
            <w:tabs>
              <w:tab w:pos="8667" w:val="right" w:leader="dot"/>
            </w:tabs>
            <w:spacing w:before="125"/>
            <w:rPr>
              <w:rFonts w:ascii="Times New Roman" w:eastAsia="Times New Roman"/>
            </w:rPr>
          </w:pPr>
          <w:hyperlink w:history="true" w:anchor="_bookmark84">
            <w:r>
              <w:rPr/>
              <w:t>（一）披露原则</w:t>
              <w:tab/>
            </w:r>
            <w:r>
              <w:rPr>
                <w:rFonts w:ascii="Times New Roman" w:eastAsia="Times New Roman"/>
              </w:rPr>
              <w:t>123</w:t>
            </w:r>
          </w:hyperlink>
        </w:p>
        <w:p>
          <w:pPr>
            <w:pStyle w:val="TOC3"/>
            <w:tabs>
              <w:tab w:pos="8667" w:val="right" w:leader="dot"/>
            </w:tabs>
            <w:rPr>
              <w:rFonts w:ascii="Times New Roman" w:eastAsia="Times New Roman"/>
            </w:rPr>
          </w:pPr>
          <w:hyperlink w:history="true" w:anchor="_bookmark85">
            <w:r>
              <w:rPr/>
              <w:t>（二）基金相关信息披露</w:t>
              <w:tab/>
            </w:r>
            <w:r>
              <w:rPr>
                <w:rFonts w:ascii="Times New Roman" w:eastAsia="Times New Roman"/>
              </w:rPr>
              <w:t>123</w:t>
            </w:r>
          </w:hyperlink>
        </w:p>
        <w:p>
          <w:pPr>
            <w:pStyle w:val="TOC3"/>
            <w:tabs>
              <w:tab w:pos="8667" w:val="right" w:leader="dot"/>
            </w:tabs>
            <w:rPr>
              <w:rFonts w:ascii="Times New Roman" w:eastAsia="Times New Roman"/>
            </w:rPr>
          </w:pPr>
          <w:hyperlink w:history="true" w:anchor="_bookmark86">
            <w:r>
              <w:rPr/>
              <w:t>（三）基金定期报告，包括基金年度报告、基金中期报告和基金季度报告</w:t>
              <w:tab/>
            </w:r>
            <w:r>
              <w:rPr>
                <w:rFonts w:ascii="Times New Roman" w:eastAsia="Times New Roman"/>
              </w:rPr>
              <w:t>124</w:t>
            </w:r>
          </w:hyperlink>
        </w:p>
        <w:p>
          <w:pPr>
            <w:pStyle w:val="TOC3"/>
            <w:tabs>
              <w:tab w:pos="8667" w:val="right" w:leader="dot"/>
            </w:tabs>
            <w:spacing w:after="20"/>
            <w:rPr>
              <w:rFonts w:ascii="Times New Roman" w:eastAsia="Times New Roman"/>
            </w:rPr>
          </w:pPr>
          <w:hyperlink w:history="true" w:anchor="_bookmark87">
            <w:r>
              <w:rPr/>
              <w:t>（四）基金净值信息</w:t>
              <w:tab/>
            </w:r>
            <w:r>
              <w:rPr>
                <w:rFonts w:ascii="Times New Roman" w:eastAsia="Times New Roman"/>
              </w:rPr>
              <w:t>124</w:t>
            </w:r>
          </w:hyperlink>
        </w:p>
        <w:p>
          <w:pPr>
            <w:pStyle w:val="TOC3"/>
            <w:tabs>
              <w:tab w:pos="8352" w:val="left" w:leader="dot"/>
            </w:tabs>
            <w:spacing w:before="63"/>
            <w:rPr>
              <w:rFonts w:ascii="Times New Roman" w:eastAsia="Times New Roman"/>
            </w:rPr>
          </w:pPr>
          <w:hyperlink w:history="true" w:anchor="_bookmark88">
            <w:r>
              <w:rPr/>
              <w:t>（五）临时报告</w:t>
              <w:tab/>
            </w:r>
            <w:r>
              <w:rPr>
                <w:rFonts w:ascii="Times New Roman" w:eastAsia="Times New Roman"/>
              </w:rPr>
              <w:t>125</w:t>
            </w:r>
          </w:hyperlink>
        </w:p>
        <w:p>
          <w:pPr>
            <w:pStyle w:val="TOC3"/>
            <w:tabs>
              <w:tab w:pos="8352" w:val="left" w:leader="dot"/>
            </w:tabs>
            <w:rPr>
              <w:rFonts w:ascii="Times New Roman" w:eastAsia="Times New Roman"/>
            </w:rPr>
          </w:pPr>
          <w:hyperlink w:history="true" w:anchor="_bookmark89">
            <w:r>
              <w:rPr/>
              <w:t>（六）澄清公告</w:t>
              <w:tab/>
            </w:r>
            <w:r>
              <w:rPr>
                <w:rFonts w:ascii="Times New Roman" w:eastAsia="Times New Roman"/>
              </w:rPr>
              <w:t>126</w:t>
            </w:r>
          </w:hyperlink>
        </w:p>
        <w:p>
          <w:pPr>
            <w:pStyle w:val="TOC3"/>
            <w:tabs>
              <w:tab w:pos="8352" w:val="left" w:leader="dot"/>
            </w:tabs>
            <w:rPr>
              <w:rFonts w:ascii="Times New Roman" w:eastAsia="Times New Roman"/>
            </w:rPr>
          </w:pPr>
          <w:hyperlink w:history="true" w:anchor="_bookmark90">
            <w:r>
              <w:rPr/>
              <w:t>（七）清算报告</w:t>
              <w:tab/>
            </w:r>
            <w:r>
              <w:rPr>
                <w:rFonts w:ascii="Times New Roman" w:eastAsia="Times New Roman"/>
              </w:rPr>
              <w:t>126</w:t>
            </w:r>
          </w:hyperlink>
        </w:p>
        <w:p>
          <w:pPr>
            <w:pStyle w:val="TOC3"/>
            <w:tabs>
              <w:tab w:pos="8352" w:val="left" w:leader="dot"/>
            </w:tabs>
            <w:rPr>
              <w:rFonts w:ascii="Times New Roman" w:eastAsia="Times New Roman"/>
            </w:rPr>
          </w:pPr>
          <w:hyperlink w:history="true" w:anchor="_bookmark91">
            <w:r>
              <w:rPr/>
              <w:t>（八）中国证监会规定的其他信息</w:t>
              <w:tab/>
            </w:r>
            <w:r>
              <w:rPr>
                <w:rFonts w:ascii="Times New Roman" w:eastAsia="Times New Roman"/>
              </w:rPr>
              <w:t>126</w:t>
            </w:r>
          </w:hyperlink>
        </w:p>
        <w:p>
          <w:pPr>
            <w:pStyle w:val="TOC3"/>
            <w:tabs>
              <w:tab w:pos="8352" w:val="left" w:leader="dot"/>
            </w:tabs>
            <w:rPr>
              <w:rFonts w:ascii="Times New Roman" w:eastAsia="Times New Roman"/>
            </w:rPr>
          </w:pPr>
          <w:hyperlink w:history="true" w:anchor="_bookmark92">
            <w:r>
              <w:rPr/>
              <w:t>（九）信息披露事务管理</w:t>
              <w:tab/>
            </w:r>
            <w:r>
              <w:rPr>
                <w:rFonts w:ascii="Times New Roman" w:eastAsia="Times New Roman"/>
              </w:rPr>
              <w:t>126</w:t>
            </w:r>
          </w:hyperlink>
        </w:p>
        <w:p>
          <w:pPr>
            <w:pStyle w:val="TOC3"/>
            <w:tabs>
              <w:tab w:pos="8352" w:val="left" w:leader="dot"/>
            </w:tabs>
            <w:spacing w:before="198"/>
            <w:rPr>
              <w:rFonts w:ascii="Times New Roman" w:eastAsia="Times New Roman"/>
            </w:rPr>
          </w:pPr>
          <w:hyperlink w:history="true" w:anchor="_bookmark93">
            <w:r>
              <w:rPr/>
              <w:t>（十）信息披露文件的存放与查阅</w:t>
              <w:tab/>
            </w:r>
            <w:r>
              <w:rPr>
                <w:rFonts w:ascii="Times New Roman" w:eastAsia="Times New Roman"/>
              </w:rPr>
              <w:t>127</w:t>
            </w:r>
          </w:hyperlink>
        </w:p>
        <w:p>
          <w:pPr>
            <w:pStyle w:val="TOC2"/>
            <w:tabs>
              <w:tab w:pos="8335" w:val="left" w:leader="dot"/>
            </w:tabs>
            <w:rPr>
              <w:rFonts w:ascii="仿宋" w:eastAsia="仿宋" w:hint="eastAsia"/>
              <w:b w:val="0"/>
              <w:i w:val="0"/>
              <w:sz w:val="24"/>
            </w:rPr>
          </w:pPr>
          <w:hyperlink w:history="true" w:anchor="_bookmark94">
            <w:r>
              <w:rPr>
                <w:i w:val="0"/>
                <w:sz w:val="24"/>
              </w:rPr>
              <w:t>二十、风险揭示</w:t>
              <w:tab/>
            </w:r>
            <w:r>
              <w:rPr>
                <w:rFonts w:ascii="仿宋" w:eastAsia="仿宋" w:hint="eastAsia"/>
                <w:b w:val="0"/>
                <w:i w:val="0"/>
                <w:sz w:val="24"/>
              </w:rPr>
              <w:t>128</w:t>
            </w:r>
          </w:hyperlink>
        </w:p>
        <w:p>
          <w:pPr>
            <w:pStyle w:val="TOC3"/>
            <w:tabs>
              <w:tab w:pos="8352" w:val="left" w:leader="dot"/>
            </w:tabs>
            <w:spacing w:before="125"/>
            <w:rPr>
              <w:rFonts w:ascii="Times New Roman" w:eastAsia="Times New Roman"/>
            </w:rPr>
          </w:pPr>
          <w:hyperlink w:history="true" w:anchor="_bookmark95">
            <w:r>
              <w:rPr/>
              <w:t>（一）市场风险</w:t>
              <w:tab/>
            </w:r>
            <w:r>
              <w:rPr>
                <w:rFonts w:ascii="Times New Roman" w:eastAsia="Times New Roman"/>
              </w:rPr>
              <w:t>128</w:t>
            </w:r>
          </w:hyperlink>
        </w:p>
        <w:p>
          <w:pPr>
            <w:pStyle w:val="TOC3"/>
            <w:tabs>
              <w:tab w:pos="8352" w:val="left" w:leader="dot"/>
            </w:tabs>
            <w:rPr>
              <w:rFonts w:ascii="Times New Roman" w:eastAsia="Times New Roman"/>
            </w:rPr>
          </w:pPr>
          <w:hyperlink w:history="true" w:anchor="_bookmark96">
            <w:r>
              <w:rPr/>
              <w:t>（二）管理风险</w:t>
              <w:tab/>
            </w:r>
            <w:r>
              <w:rPr>
                <w:rFonts w:ascii="Times New Roman" w:eastAsia="Times New Roman"/>
              </w:rPr>
              <w:t>128</w:t>
            </w:r>
          </w:hyperlink>
        </w:p>
        <w:p>
          <w:pPr>
            <w:pStyle w:val="TOC3"/>
            <w:tabs>
              <w:tab w:pos="8352" w:val="left" w:leader="dot"/>
            </w:tabs>
            <w:rPr>
              <w:rFonts w:ascii="Times New Roman" w:eastAsia="Times New Roman"/>
            </w:rPr>
          </w:pPr>
          <w:hyperlink w:history="true" w:anchor="_bookmark97">
            <w:r>
              <w:rPr/>
              <w:t>（三）流动性风险</w:t>
              <w:tab/>
            </w:r>
            <w:r>
              <w:rPr>
                <w:rFonts w:ascii="Times New Roman" w:eastAsia="Times New Roman"/>
              </w:rPr>
              <w:t>128</w:t>
            </w:r>
          </w:hyperlink>
        </w:p>
        <w:p>
          <w:pPr>
            <w:pStyle w:val="TOC3"/>
            <w:tabs>
              <w:tab w:pos="8352" w:val="left" w:leader="dot"/>
            </w:tabs>
            <w:spacing w:line="417" w:lineRule="auto"/>
            <w:ind w:left="610" w:right="456" w:firstLine="420"/>
            <w:rPr>
              <w:rFonts w:ascii="Times New Roman" w:eastAsia="Times New Roman"/>
            </w:rPr>
          </w:pPr>
          <w:hyperlink w:history="true" w:anchor="_bookmark98">
            <w:r>
              <w:rPr/>
              <w:t>（四</w:t>
            </w:r>
            <w:r>
              <w:rPr>
                <w:spacing w:val="-95"/>
              </w:rPr>
              <w:t>）</w:t>
            </w:r>
            <w:r>
              <w:rPr/>
              <w:t>本基金法律文件中涉及基金风险特征的表述与销售机构对基金的风险评级可</w:t>
            </w:r>
          </w:hyperlink>
          <w:hyperlink w:history="true" w:anchor="_bookmark98">
            <w:r>
              <w:rPr/>
              <w:t>能不一致的风险</w:t>
              <w:tab/>
            </w:r>
            <w:r>
              <w:rPr>
                <w:rFonts w:ascii="Times New Roman" w:eastAsia="Times New Roman"/>
                <w:spacing w:val="-6"/>
              </w:rPr>
              <w:t>130</w:t>
            </w:r>
          </w:hyperlink>
        </w:p>
        <w:p>
          <w:pPr>
            <w:pStyle w:val="TOC3"/>
            <w:tabs>
              <w:tab w:pos="8352" w:val="left" w:leader="dot"/>
            </w:tabs>
            <w:spacing w:line="269" w:lineRule="exact" w:before="0"/>
            <w:rPr>
              <w:rFonts w:ascii="Times New Roman" w:eastAsia="Times New Roman"/>
            </w:rPr>
          </w:pPr>
          <w:hyperlink w:history="true" w:anchor="_bookmark99">
            <w:r>
              <w:rPr/>
              <w:t>（五）本基金特有的风险</w:t>
              <w:tab/>
            </w:r>
            <w:r>
              <w:rPr>
                <w:rFonts w:ascii="Times New Roman" w:eastAsia="Times New Roman"/>
              </w:rPr>
              <w:t>130</w:t>
            </w:r>
          </w:hyperlink>
        </w:p>
        <w:p>
          <w:pPr>
            <w:pStyle w:val="TOC3"/>
            <w:tabs>
              <w:tab w:pos="8352" w:val="left" w:leader="dot"/>
            </w:tabs>
            <w:rPr>
              <w:rFonts w:ascii="Times New Roman" w:eastAsia="Times New Roman"/>
            </w:rPr>
          </w:pPr>
          <w:hyperlink w:history="true" w:anchor="_bookmark100">
            <w:r>
              <w:rPr/>
              <w:t>（六）其他风险</w:t>
              <w:tab/>
            </w:r>
            <w:r>
              <w:rPr>
                <w:rFonts w:ascii="Times New Roman" w:eastAsia="Times New Roman"/>
              </w:rPr>
              <w:t>131</w:t>
            </w:r>
          </w:hyperlink>
        </w:p>
        <w:p>
          <w:pPr>
            <w:pStyle w:val="TOC1"/>
            <w:tabs>
              <w:tab w:pos="8335" w:val="left" w:leader="dot"/>
            </w:tabs>
            <w:rPr>
              <w:rFonts w:ascii="仿宋" w:eastAsia="仿宋" w:hint="eastAsia"/>
              <w:b w:val="0"/>
            </w:rPr>
          </w:pPr>
          <w:hyperlink w:history="true" w:anchor="_bookmark101">
            <w:r>
              <w:rPr/>
              <w:t>二十一、基金合同的变更、终止与基金财产的清算</w:t>
              <w:tab/>
            </w:r>
            <w:r>
              <w:rPr>
                <w:rFonts w:ascii="仿宋" w:eastAsia="仿宋" w:hint="eastAsia"/>
                <w:b w:val="0"/>
              </w:rPr>
              <w:t>132</w:t>
            </w:r>
          </w:hyperlink>
        </w:p>
        <w:p>
          <w:pPr>
            <w:pStyle w:val="TOC3"/>
            <w:tabs>
              <w:tab w:pos="8352" w:val="left" w:leader="dot"/>
            </w:tabs>
            <w:spacing w:before="124"/>
            <w:rPr>
              <w:rFonts w:ascii="Times New Roman" w:eastAsia="Times New Roman"/>
            </w:rPr>
          </w:pPr>
          <w:hyperlink w:history="true" w:anchor="_bookmark102">
            <w:r>
              <w:rPr/>
              <w:t>（一）基金合同的变更</w:t>
              <w:tab/>
            </w:r>
            <w:r>
              <w:rPr>
                <w:rFonts w:ascii="Times New Roman" w:eastAsia="Times New Roman"/>
              </w:rPr>
              <w:t>132</w:t>
            </w:r>
          </w:hyperlink>
        </w:p>
        <w:p>
          <w:pPr>
            <w:pStyle w:val="TOC3"/>
            <w:tabs>
              <w:tab w:pos="8352" w:val="left" w:leader="dot"/>
            </w:tabs>
            <w:rPr>
              <w:rFonts w:ascii="Times New Roman" w:eastAsia="Times New Roman"/>
            </w:rPr>
          </w:pPr>
          <w:hyperlink w:history="true" w:anchor="_bookmark103">
            <w:r>
              <w:rPr/>
              <w:t>（二）基金合同的终止</w:t>
              <w:tab/>
            </w:r>
            <w:r>
              <w:rPr>
                <w:rFonts w:ascii="Times New Roman" w:eastAsia="Times New Roman"/>
              </w:rPr>
              <w:t>132</w:t>
            </w:r>
          </w:hyperlink>
        </w:p>
        <w:p>
          <w:pPr>
            <w:pStyle w:val="TOC3"/>
            <w:tabs>
              <w:tab w:pos="8352" w:val="left" w:leader="dot"/>
            </w:tabs>
            <w:rPr>
              <w:rFonts w:ascii="Times New Roman" w:eastAsia="Times New Roman"/>
            </w:rPr>
          </w:pPr>
          <w:hyperlink w:history="true" w:anchor="_bookmark104">
            <w:r>
              <w:rPr/>
              <w:t>（三）基金财产的清算</w:t>
              <w:tab/>
            </w:r>
            <w:r>
              <w:rPr>
                <w:rFonts w:ascii="Times New Roman" w:eastAsia="Times New Roman"/>
              </w:rPr>
              <w:t>132</w:t>
            </w:r>
          </w:hyperlink>
        </w:p>
        <w:p>
          <w:pPr>
            <w:pStyle w:val="TOC1"/>
            <w:tabs>
              <w:tab w:pos="8335" w:val="left" w:leader="dot"/>
            </w:tabs>
            <w:rPr>
              <w:rFonts w:ascii="仿宋" w:eastAsia="仿宋" w:hint="eastAsia"/>
              <w:b w:val="0"/>
            </w:rPr>
          </w:pPr>
          <w:hyperlink w:history="true" w:anchor="_bookmark105">
            <w:r>
              <w:rPr/>
              <w:t>二十二、基金合同内容摘要</w:t>
              <w:tab/>
            </w:r>
            <w:r>
              <w:rPr>
                <w:rFonts w:ascii="仿宋" w:eastAsia="仿宋" w:hint="eastAsia"/>
                <w:b w:val="0"/>
              </w:rPr>
              <w:t>134</w:t>
            </w:r>
          </w:hyperlink>
        </w:p>
        <w:p>
          <w:pPr>
            <w:pStyle w:val="TOC3"/>
            <w:tabs>
              <w:tab w:pos="8352" w:val="left" w:leader="dot"/>
            </w:tabs>
            <w:spacing w:before="125"/>
            <w:rPr>
              <w:rFonts w:ascii="Times New Roman" w:eastAsia="Times New Roman"/>
            </w:rPr>
          </w:pPr>
          <w:hyperlink w:history="true" w:anchor="_bookmark106">
            <w:r>
              <w:rPr/>
              <w:t>（一）前言</w:t>
              <w:tab/>
            </w:r>
            <w:r>
              <w:rPr>
                <w:rFonts w:ascii="Times New Roman" w:eastAsia="Times New Roman"/>
              </w:rPr>
              <w:t>134</w:t>
            </w:r>
          </w:hyperlink>
        </w:p>
        <w:p>
          <w:pPr>
            <w:pStyle w:val="TOC3"/>
            <w:tabs>
              <w:tab w:pos="8352" w:val="left" w:leader="dot"/>
            </w:tabs>
            <w:rPr>
              <w:rFonts w:ascii="Times New Roman" w:eastAsia="Times New Roman"/>
            </w:rPr>
          </w:pPr>
          <w:hyperlink w:history="true" w:anchor="_bookmark107">
            <w:r>
              <w:rPr/>
              <w:t>（二）基金管理人的权利与义务</w:t>
              <w:tab/>
            </w:r>
            <w:r>
              <w:rPr>
                <w:rFonts w:ascii="Times New Roman" w:eastAsia="Times New Roman"/>
              </w:rPr>
              <w:t>134</w:t>
            </w:r>
          </w:hyperlink>
        </w:p>
        <w:p>
          <w:pPr>
            <w:pStyle w:val="TOC3"/>
            <w:tabs>
              <w:tab w:pos="8352" w:val="left" w:leader="dot"/>
            </w:tabs>
            <w:rPr>
              <w:rFonts w:ascii="Times New Roman" w:eastAsia="Times New Roman"/>
            </w:rPr>
          </w:pPr>
          <w:hyperlink w:history="true" w:anchor="_bookmark108">
            <w:r>
              <w:rPr/>
              <w:t>（三）基金托管人的权利与义务</w:t>
              <w:tab/>
            </w:r>
            <w:r>
              <w:rPr>
                <w:rFonts w:ascii="Times New Roman" w:eastAsia="Times New Roman"/>
              </w:rPr>
              <w:t>137</w:t>
            </w:r>
          </w:hyperlink>
        </w:p>
        <w:p>
          <w:pPr>
            <w:pStyle w:val="TOC3"/>
            <w:tabs>
              <w:tab w:pos="8352" w:val="left" w:leader="dot"/>
            </w:tabs>
            <w:rPr>
              <w:rFonts w:ascii="Times New Roman" w:eastAsia="Times New Roman"/>
            </w:rPr>
          </w:pPr>
          <w:hyperlink w:history="true" w:anchor="_bookmark109">
            <w:r>
              <w:rPr/>
              <w:t>（四）基金份额持有人的权利与义务</w:t>
              <w:tab/>
            </w:r>
            <w:r>
              <w:rPr>
                <w:rFonts w:ascii="Times New Roman" w:eastAsia="Times New Roman"/>
              </w:rPr>
              <w:t>138</w:t>
            </w:r>
          </w:hyperlink>
        </w:p>
        <w:p>
          <w:pPr>
            <w:pStyle w:val="TOC3"/>
            <w:tabs>
              <w:tab w:pos="8352" w:val="left" w:leader="dot"/>
            </w:tabs>
            <w:rPr>
              <w:rFonts w:ascii="Times New Roman" w:eastAsia="Times New Roman"/>
            </w:rPr>
          </w:pPr>
          <w:hyperlink w:history="true" w:anchor="_bookmark110">
            <w:r>
              <w:rPr/>
              <w:t>（五）基金份额持有人大会</w:t>
              <w:tab/>
            </w:r>
            <w:r>
              <w:rPr>
                <w:rFonts w:ascii="Times New Roman" w:eastAsia="Times New Roman"/>
              </w:rPr>
              <w:t>139</w:t>
            </w:r>
          </w:hyperlink>
        </w:p>
        <w:p>
          <w:pPr>
            <w:pStyle w:val="TOC3"/>
            <w:tabs>
              <w:tab w:pos="8352" w:val="left" w:leader="dot"/>
            </w:tabs>
            <w:rPr>
              <w:rFonts w:ascii="Times New Roman" w:eastAsia="Times New Roman"/>
            </w:rPr>
          </w:pPr>
          <w:hyperlink w:history="true" w:anchor="_bookmark111">
            <w:r>
              <w:rPr/>
              <w:t>（六）基金合同的变更、终止与基金财产的清算</w:t>
              <w:tab/>
            </w:r>
            <w:r>
              <w:rPr>
                <w:rFonts w:ascii="Times New Roman" w:eastAsia="Times New Roman"/>
              </w:rPr>
              <w:t>144</w:t>
            </w:r>
          </w:hyperlink>
        </w:p>
        <w:p>
          <w:pPr>
            <w:pStyle w:val="TOC3"/>
            <w:tabs>
              <w:tab w:pos="8352" w:val="left" w:leader="dot"/>
            </w:tabs>
            <w:rPr>
              <w:rFonts w:ascii="Times New Roman" w:eastAsia="Times New Roman"/>
            </w:rPr>
          </w:pPr>
          <w:hyperlink w:history="true" w:anchor="_bookmark112">
            <w:r>
              <w:rPr/>
              <w:t>（七）争议的处理和适用的法律</w:t>
              <w:tab/>
            </w:r>
            <w:r>
              <w:rPr>
                <w:rFonts w:ascii="Times New Roman" w:eastAsia="Times New Roman"/>
              </w:rPr>
              <w:t>146</w:t>
            </w:r>
          </w:hyperlink>
        </w:p>
        <w:p>
          <w:pPr>
            <w:pStyle w:val="TOC3"/>
            <w:tabs>
              <w:tab w:pos="8352" w:val="left" w:leader="dot"/>
            </w:tabs>
            <w:rPr>
              <w:rFonts w:ascii="Times New Roman" w:eastAsia="Times New Roman"/>
            </w:rPr>
          </w:pPr>
          <w:hyperlink w:history="true" w:anchor="_bookmark113">
            <w:r>
              <w:rPr/>
              <w:t>（八）基金合同的存放及查阅方式</w:t>
              <w:tab/>
            </w:r>
            <w:r>
              <w:rPr>
                <w:rFonts w:ascii="Times New Roman" w:eastAsia="Times New Roman"/>
              </w:rPr>
              <w:t>146</w:t>
            </w:r>
          </w:hyperlink>
        </w:p>
        <w:p>
          <w:pPr>
            <w:pStyle w:val="TOC1"/>
            <w:tabs>
              <w:tab w:pos="8335" w:val="left" w:leader="dot"/>
            </w:tabs>
            <w:spacing w:before="100"/>
            <w:rPr>
              <w:rFonts w:ascii="仿宋" w:eastAsia="仿宋" w:hint="eastAsia"/>
              <w:b w:val="0"/>
            </w:rPr>
          </w:pPr>
          <w:hyperlink w:history="true" w:anchor="_bookmark114">
            <w:r>
              <w:rPr/>
              <w:t>二十三、基金托管协议的内容摘要</w:t>
              <w:tab/>
            </w:r>
            <w:r>
              <w:rPr>
                <w:rFonts w:ascii="仿宋" w:eastAsia="仿宋" w:hint="eastAsia"/>
                <w:b w:val="0"/>
              </w:rPr>
              <w:t>147</w:t>
            </w:r>
          </w:hyperlink>
        </w:p>
        <w:p>
          <w:pPr>
            <w:pStyle w:val="TOC3"/>
            <w:tabs>
              <w:tab w:pos="8352" w:val="left" w:leader="dot"/>
            </w:tabs>
            <w:spacing w:before="125"/>
            <w:rPr>
              <w:rFonts w:ascii="Times New Roman" w:eastAsia="Times New Roman"/>
            </w:rPr>
          </w:pPr>
          <w:hyperlink w:history="true" w:anchor="_bookmark115">
            <w:r>
              <w:rPr/>
              <w:t>（一）托管协议当事人</w:t>
              <w:tab/>
            </w:r>
            <w:r>
              <w:rPr>
                <w:rFonts w:ascii="Times New Roman" w:eastAsia="Times New Roman"/>
              </w:rPr>
              <w:t>147</w:t>
            </w:r>
          </w:hyperlink>
        </w:p>
        <w:p>
          <w:pPr>
            <w:pStyle w:val="TOC3"/>
            <w:tabs>
              <w:tab w:pos="8352" w:val="left" w:leader="dot"/>
            </w:tabs>
            <w:spacing w:after="20"/>
            <w:rPr>
              <w:rFonts w:ascii="Times New Roman" w:eastAsia="Times New Roman"/>
            </w:rPr>
          </w:pPr>
          <w:hyperlink w:history="true" w:anchor="_bookmark116">
            <w:r>
              <w:rPr/>
              <w:t>（二）基金托管人对基金管理人的业务监督和核查</w:t>
              <w:tab/>
            </w:r>
            <w:r>
              <w:rPr>
                <w:rFonts w:ascii="Times New Roman" w:eastAsia="Times New Roman"/>
              </w:rPr>
              <w:t>147</w:t>
            </w:r>
          </w:hyperlink>
        </w:p>
        <w:p>
          <w:pPr>
            <w:pStyle w:val="TOC3"/>
            <w:tabs>
              <w:tab w:pos="8667" w:val="right" w:leader="dot"/>
            </w:tabs>
            <w:spacing w:before="63"/>
            <w:rPr>
              <w:rFonts w:ascii="Times New Roman" w:eastAsia="Times New Roman"/>
            </w:rPr>
          </w:pPr>
          <w:hyperlink w:history="true" w:anchor="_bookmark117">
            <w:r>
              <w:rPr/>
              <w:t>（三）基金管理人对基金托管人的业务核查</w:t>
              <w:tab/>
            </w:r>
            <w:r>
              <w:rPr>
                <w:rFonts w:ascii="Times New Roman" w:eastAsia="Times New Roman"/>
              </w:rPr>
              <w:t>151</w:t>
            </w:r>
          </w:hyperlink>
        </w:p>
        <w:p>
          <w:pPr>
            <w:pStyle w:val="TOC3"/>
            <w:tabs>
              <w:tab w:pos="8667" w:val="right" w:leader="dot"/>
            </w:tabs>
            <w:rPr>
              <w:rFonts w:ascii="Times New Roman" w:eastAsia="Times New Roman"/>
            </w:rPr>
          </w:pPr>
          <w:hyperlink w:history="true" w:anchor="_bookmark118">
            <w:r>
              <w:rPr/>
              <w:t>（四）基金财产保管</w:t>
              <w:tab/>
            </w:r>
            <w:r>
              <w:rPr>
                <w:rFonts w:ascii="Times New Roman" w:eastAsia="Times New Roman"/>
              </w:rPr>
              <w:t>152</w:t>
            </w:r>
          </w:hyperlink>
        </w:p>
        <w:p>
          <w:pPr>
            <w:pStyle w:val="TOC3"/>
            <w:tabs>
              <w:tab w:pos="8667" w:val="right" w:leader="dot"/>
            </w:tabs>
            <w:rPr>
              <w:rFonts w:ascii="Times New Roman" w:eastAsia="Times New Roman"/>
            </w:rPr>
          </w:pPr>
          <w:hyperlink w:history="true" w:anchor="_bookmark119">
            <w:r>
              <w:rPr/>
              <w:t>（五）基金资产净值计算与复核</w:t>
              <w:tab/>
            </w:r>
            <w:r>
              <w:rPr>
                <w:rFonts w:ascii="Times New Roman" w:eastAsia="Times New Roman"/>
              </w:rPr>
              <w:t>154</w:t>
            </w:r>
          </w:hyperlink>
        </w:p>
        <w:p>
          <w:pPr>
            <w:pStyle w:val="TOC3"/>
            <w:tabs>
              <w:tab w:pos="8667" w:val="right" w:leader="dot"/>
            </w:tabs>
            <w:rPr>
              <w:rFonts w:ascii="Times New Roman" w:eastAsia="Times New Roman"/>
            </w:rPr>
          </w:pPr>
          <w:hyperlink w:history="true" w:anchor="_bookmark120">
            <w:r>
              <w:rPr/>
              <w:t>（六）基金份额持有人名册的保管</w:t>
              <w:tab/>
            </w:r>
            <w:r>
              <w:rPr>
                <w:rFonts w:ascii="Times New Roman" w:eastAsia="Times New Roman"/>
              </w:rPr>
              <w:t>155</w:t>
            </w:r>
          </w:hyperlink>
        </w:p>
        <w:p>
          <w:pPr>
            <w:pStyle w:val="TOC3"/>
            <w:tabs>
              <w:tab w:pos="8667" w:val="right" w:leader="dot"/>
            </w:tabs>
            <w:rPr>
              <w:rFonts w:ascii="Times New Roman" w:eastAsia="Times New Roman"/>
            </w:rPr>
          </w:pPr>
          <w:hyperlink w:history="true" w:anchor="_bookmark121">
            <w:r>
              <w:rPr/>
              <w:t>（七）争议解决方式</w:t>
              <w:tab/>
            </w:r>
            <w:r>
              <w:rPr>
                <w:rFonts w:ascii="Times New Roman" w:eastAsia="Times New Roman"/>
              </w:rPr>
              <w:t>156</w:t>
            </w:r>
          </w:hyperlink>
        </w:p>
        <w:p>
          <w:pPr>
            <w:pStyle w:val="TOC3"/>
            <w:tabs>
              <w:tab w:pos="8667" w:val="right" w:leader="dot"/>
            </w:tabs>
            <w:spacing w:before="198"/>
            <w:rPr>
              <w:rFonts w:ascii="Times New Roman" w:eastAsia="Times New Roman"/>
            </w:rPr>
          </w:pPr>
          <w:hyperlink w:history="true" w:anchor="_bookmark122">
            <w:r>
              <w:rPr/>
              <w:t>（八）托管协议的变更与终止</w:t>
              <w:tab/>
            </w:r>
            <w:r>
              <w:rPr>
                <w:rFonts w:ascii="Times New Roman" w:eastAsia="Times New Roman"/>
              </w:rPr>
              <w:t>156</w:t>
            </w:r>
          </w:hyperlink>
        </w:p>
        <w:p>
          <w:pPr>
            <w:pStyle w:val="TOC1"/>
            <w:tabs>
              <w:tab w:pos="8695" w:val="right" w:leader="dot"/>
            </w:tabs>
            <w:rPr>
              <w:rFonts w:ascii="仿宋" w:eastAsia="仿宋" w:hint="eastAsia"/>
              <w:b w:val="0"/>
            </w:rPr>
          </w:pPr>
          <w:hyperlink w:history="true" w:anchor="_bookmark123">
            <w:r>
              <w:rPr/>
              <w:t>二十四、对基金份额持有人的服务</w:t>
              <w:tab/>
            </w:r>
            <w:r>
              <w:rPr>
                <w:rFonts w:ascii="仿宋" w:eastAsia="仿宋" w:hint="eastAsia"/>
                <w:b w:val="0"/>
              </w:rPr>
              <w:t>157</w:t>
            </w:r>
          </w:hyperlink>
        </w:p>
        <w:p>
          <w:pPr>
            <w:pStyle w:val="TOC3"/>
            <w:tabs>
              <w:tab w:pos="8667" w:val="right" w:leader="dot"/>
            </w:tabs>
            <w:spacing w:before="125"/>
            <w:rPr>
              <w:rFonts w:ascii="Times New Roman" w:eastAsia="Times New Roman"/>
            </w:rPr>
          </w:pPr>
          <w:hyperlink w:history="true" w:anchor="_bookmark124">
            <w:r>
              <w:rPr/>
              <w:t>（一）基金份额持有人投资交易确认服务</w:t>
              <w:tab/>
            </w:r>
            <w:r>
              <w:rPr>
                <w:rFonts w:ascii="Times New Roman" w:eastAsia="Times New Roman"/>
              </w:rPr>
              <w:t>157</w:t>
            </w:r>
          </w:hyperlink>
        </w:p>
        <w:p>
          <w:pPr>
            <w:pStyle w:val="TOC3"/>
            <w:tabs>
              <w:tab w:pos="8667" w:val="right" w:leader="dot"/>
            </w:tabs>
            <w:rPr>
              <w:rFonts w:ascii="Times New Roman" w:eastAsia="Times New Roman"/>
            </w:rPr>
          </w:pPr>
          <w:hyperlink w:history="true" w:anchor="_bookmark125">
            <w:r>
              <w:rPr/>
              <w:t>（二）基金份额持有人交易记录查询服务</w:t>
              <w:tab/>
            </w:r>
            <w:r>
              <w:rPr>
                <w:rFonts w:ascii="Times New Roman" w:eastAsia="Times New Roman"/>
              </w:rPr>
              <w:t>157</w:t>
            </w:r>
          </w:hyperlink>
        </w:p>
        <w:p>
          <w:pPr>
            <w:pStyle w:val="TOC3"/>
            <w:tabs>
              <w:tab w:pos="8667" w:val="right" w:leader="dot"/>
            </w:tabs>
            <w:rPr>
              <w:rFonts w:ascii="Times New Roman" w:eastAsia="Times New Roman"/>
            </w:rPr>
          </w:pPr>
          <w:hyperlink w:history="true" w:anchor="_bookmark126">
            <w:r>
              <w:rPr/>
              <w:t>（三）基金份额持有人的对账单服务</w:t>
              <w:tab/>
            </w:r>
            <w:r>
              <w:rPr>
                <w:rFonts w:ascii="Times New Roman" w:eastAsia="Times New Roman"/>
              </w:rPr>
              <w:t>157</w:t>
            </w:r>
          </w:hyperlink>
        </w:p>
        <w:p>
          <w:pPr>
            <w:pStyle w:val="TOC3"/>
            <w:tabs>
              <w:tab w:pos="8667" w:val="right" w:leader="dot"/>
            </w:tabs>
            <w:rPr>
              <w:rFonts w:ascii="Times New Roman" w:eastAsia="Times New Roman"/>
            </w:rPr>
          </w:pPr>
          <w:hyperlink w:history="true" w:anchor="_bookmark127">
            <w:r>
              <w:rPr/>
              <w:t>（四）定期定额投资计划</w:t>
              <w:tab/>
            </w:r>
            <w:r>
              <w:rPr>
                <w:rFonts w:ascii="Times New Roman" w:eastAsia="Times New Roman"/>
              </w:rPr>
              <w:t>157</w:t>
            </w:r>
          </w:hyperlink>
        </w:p>
        <w:p>
          <w:pPr>
            <w:pStyle w:val="TOC3"/>
            <w:tabs>
              <w:tab w:pos="8667" w:val="right" w:leader="dot"/>
            </w:tabs>
            <w:rPr>
              <w:rFonts w:ascii="Times New Roman" w:eastAsia="Times New Roman"/>
            </w:rPr>
          </w:pPr>
          <w:hyperlink w:history="true" w:anchor="_bookmark128">
            <w:r>
              <w:rPr/>
              <w:t>（五）资讯服务</w:t>
              <w:tab/>
            </w:r>
            <w:r>
              <w:rPr>
                <w:rFonts w:ascii="Times New Roman" w:eastAsia="Times New Roman"/>
              </w:rPr>
              <w:t>157</w:t>
            </w:r>
          </w:hyperlink>
        </w:p>
        <w:p>
          <w:pPr>
            <w:pStyle w:val="TOC1"/>
            <w:tabs>
              <w:tab w:pos="8695" w:val="right" w:leader="dot"/>
            </w:tabs>
            <w:rPr>
              <w:rFonts w:ascii="仿宋" w:eastAsia="仿宋" w:hint="eastAsia"/>
              <w:b w:val="0"/>
            </w:rPr>
          </w:pPr>
          <w:hyperlink w:history="true" w:anchor="_bookmark129">
            <w:r>
              <w:rPr/>
              <w:t>二十五、其他应披露事项</w:t>
              <w:tab/>
            </w:r>
            <w:r>
              <w:rPr>
                <w:rFonts w:ascii="仿宋" w:eastAsia="仿宋" w:hint="eastAsia"/>
                <w:b w:val="0"/>
              </w:rPr>
              <w:t>158</w:t>
            </w:r>
          </w:hyperlink>
        </w:p>
        <w:p>
          <w:pPr>
            <w:pStyle w:val="TOC1"/>
            <w:tabs>
              <w:tab w:pos="8695" w:val="right" w:leader="dot"/>
            </w:tabs>
            <w:spacing w:before="26"/>
            <w:rPr>
              <w:rFonts w:ascii="仿宋" w:eastAsia="仿宋" w:hint="eastAsia"/>
              <w:b w:val="0"/>
            </w:rPr>
          </w:pPr>
          <w:hyperlink w:history="true" w:anchor="_bookmark130">
            <w:r>
              <w:rPr/>
              <w:t>二十六、招募说明书存放及查阅方式</w:t>
              <w:tab/>
            </w:r>
            <w:r>
              <w:rPr>
                <w:rFonts w:ascii="仿宋" w:eastAsia="仿宋" w:hint="eastAsia"/>
                <w:b w:val="0"/>
              </w:rPr>
              <w:t>160</w:t>
            </w:r>
          </w:hyperlink>
        </w:p>
        <w:p>
          <w:pPr>
            <w:pStyle w:val="TOC2"/>
            <w:tabs>
              <w:tab w:pos="8695" w:val="right" w:leader="dot"/>
            </w:tabs>
            <w:spacing w:before="27"/>
            <w:rPr>
              <w:rFonts w:ascii="仿宋" w:eastAsia="仿宋" w:hint="eastAsia"/>
              <w:b w:val="0"/>
              <w:i w:val="0"/>
              <w:sz w:val="24"/>
            </w:rPr>
          </w:pPr>
          <w:hyperlink w:history="true" w:anchor="_bookmark131">
            <w:r>
              <w:rPr>
                <w:i w:val="0"/>
                <w:sz w:val="24"/>
              </w:rPr>
              <w:t>二十七、备查文件</w:t>
              <w:tab/>
            </w:r>
            <w:r>
              <w:rPr>
                <w:rFonts w:ascii="仿宋" w:eastAsia="仿宋" w:hint="eastAsia"/>
                <w:b w:val="0"/>
                <w:i w:val="0"/>
                <w:sz w:val="24"/>
              </w:rPr>
              <w:t>161</w:t>
            </w:r>
          </w:hyperlink>
        </w:p>
      </w:sdtContent>
    </w:sdt>
    <w:p>
      <w:pPr>
        <w:spacing w:after="0"/>
        <w:rPr>
          <w:rFonts w:ascii="仿宋" w:eastAsia="仿宋" w:hint="eastAsia"/>
          <w:sz w:val="24"/>
        </w:rPr>
        <w:sectPr>
          <w:type w:val="continuous"/>
          <w:pgSz w:w="11910" w:h="16840"/>
          <w:pgMar w:top="1480" w:bottom="1435" w:left="1400" w:right="1380"/>
        </w:sectPr>
      </w:pPr>
    </w:p>
    <w:p>
      <w:pPr>
        <w:pStyle w:val="Heading1"/>
      </w:pPr>
      <w:bookmarkStart w:name="_bookmark0" w:id="1"/>
      <w:bookmarkEnd w:id="1"/>
      <w:r>
        <w:rPr>
          <w:b w:val="0"/>
        </w:rPr>
      </w:r>
      <w:r>
        <w:rPr/>
        <w:t>一、绪言</w:t>
      </w:r>
    </w:p>
    <w:p>
      <w:pPr>
        <w:pStyle w:val="BodyText"/>
        <w:spacing w:line="364" w:lineRule="auto" w:before="138"/>
        <w:ind w:left="400" w:right="313" w:firstLine="420"/>
        <w:jc w:val="both"/>
      </w:pPr>
      <w:r>
        <w:rPr>
          <w:spacing w:val="-14"/>
        </w:rPr>
        <w:t>本《招募说明书》依据《中华人民共和国证券投资基金法》</w:t>
      </w:r>
      <w:r>
        <w:rPr/>
        <w:t>（</w:t>
      </w:r>
      <w:r>
        <w:rPr>
          <w:spacing w:val="-17"/>
        </w:rPr>
        <w:t>以下简称《基金法》</w:t>
      </w:r>
      <w:r>
        <w:rPr>
          <w:spacing w:val="-105"/>
        </w:rPr>
        <w:t>）</w:t>
      </w:r>
      <w:r>
        <w:rPr>
          <w:spacing w:val="-36"/>
        </w:rPr>
        <w:t>、《公</w:t>
      </w:r>
      <w:r>
        <w:rPr>
          <w:spacing w:val="-31"/>
        </w:rPr>
        <w:t>开募集证券投资基金运作管理办法》(以下简称“《运作办法》”)、《公开募集开放式证券投</w:t>
      </w:r>
      <w:r>
        <w:rPr>
          <w:spacing w:val="-37"/>
        </w:rPr>
        <w:t>资基金流动性风险管理规定》</w:t>
      </w:r>
      <w:r>
        <w:rPr/>
        <w:t>（</w:t>
      </w:r>
      <w:r>
        <w:rPr>
          <w:spacing w:val="-10"/>
        </w:rPr>
        <w:t>以下简称“《管理规定》</w:t>
      </w:r>
      <w:r>
        <w:rPr>
          <w:spacing w:val="-103"/>
        </w:rPr>
        <w:t>”）</w:t>
      </w:r>
      <w:r>
        <w:rPr>
          <w:spacing w:val="-11"/>
        </w:rPr>
        <w:t>、《证券投资基金销售管理办法》</w:t>
      </w:r>
    </w:p>
    <w:p>
      <w:pPr>
        <w:pStyle w:val="BodyText"/>
        <w:spacing w:line="364" w:lineRule="auto"/>
        <w:ind w:left="400" w:right="418"/>
        <w:jc w:val="both"/>
      </w:pPr>
      <w:r>
        <w:rPr/>
        <w:t>（</w:t>
      </w:r>
      <w:r>
        <w:rPr>
          <w:spacing w:val="-17"/>
        </w:rPr>
        <w:t>以下简称《销售办法》</w:t>
      </w:r>
      <w:r>
        <w:rPr>
          <w:spacing w:val="-105"/>
        </w:rPr>
        <w:t>）</w:t>
      </w:r>
      <w:r>
        <w:rPr>
          <w:spacing w:val="-16"/>
        </w:rPr>
        <w:t>、《公开募集证券投资基金信息披露管理办法》</w:t>
      </w:r>
      <w:r>
        <w:rPr/>
        <w:t>（</w:t>
      </w:r>
      <w:r>
        <w:rPr>
          <w:spacing w:val="-9"/>
        </w:rPr>
        <w:t>以下简称《信息披</w:t>
      </w:r>
      <w:r>
        <w:rPr>
          <w:spacing w:val="-27"/>
        </w:rPr>
        <w:t>露办法》</w:t>
      </w:r>
      <w:r>
        <w:rPr>
          <w:spacing w:val="-105"/>
        </w:rPr>
        <w:t>）</w:t>
      </w:r>
      <w:r>
        <w:rPr>
          <w:spacing w:val="-13"/>
        </w:rPr>
        <w:t>、《证券投资基金信息披露内容与格式准则第 </w:t>
      </w:r>
      <w:r>
        <w:rPr/>
        <w:t>5</w:t>
      </w:r>
      <w:r>
        <w:rPr>
          <w:spacing w:val="-8"/>
        </w:rPr>
        <w:t> 号&lt;招募说明书的内容与格式&gt;》等有关法律法规以及《易方达科讯混合型证券投资基金基金合同》编写。</w:t>
      </w:r>
    </w:p>
    <w:p>
      <w:pPr>
        <w:pStyle w:val="BodyText"/>
        <w:spacing w:line="364" w:lineRule="auto"/>
        <w:ind w:left="400" w:right="417" w:firstLine="420"/>
        <w:jc w:val="both"/>
      </w:pPr>
      <w:r>
        <w:rPr/>
        <w:t>基金管理人承诺本招募说明书不存在任何虚假记载、误导性陈述或者重大遗漏,并对其</w:t>
      </w:r>
      <w:r>
        <w:rPr>
          <w:spacing w:val="-12"/>
        </w:rPr>
        <w:t>真实性、准确性、完整性承担法律责任。本基金管理人没有委托或授权任何其他人提供未在</w:t>
      </w:r>
      <w:r>
        <w:rPr/>
        <w:t>本招募说明书中载明的信息，或对本招募说明书作任何解释或者说明。</w:t>
      </w:r>
    </w:p>
    <w:p>
      <w:pPr>
        <w:pStyle w:val="BodyText"/>
        <w:spacing w:line="364" w:lineRule="auto"/>
        <w:ind w:left="400" w:right="417" w:firstLine="420"/>
        <w:jc w:val="both"/>
      </w:pPr>
      <w:r>
        <w:rPr>
          <w:spacing w:val="-6"/>
        </w:rPr>
        <w:t>本招募说明书根据本基金的基金合同编写，并经中国证监会核准。基金合同是约定基金</w:t>
      </w:r>
      <w:r>
        <w:rPr>
          <w:spacing w:val="-8"/>
        </w:rPr>
        <w:t>当事人之间权利、义务的法律文件。基金投资者自依基金合同取得基金份额，即成为基金份额持有人和本基金合同的当事人，其持有基金份额的行为本身即表明其对基金合同的承认和</w:t>
      </w:r>
      <w:r>
        <w:rPr>
          <w:spacing w:val="-10"/>
        </w:rPr>
        <w:t>接受，并按照《基金法》、基金合同及其他有关规定享有权利、承担义务。基金投资者欲了解基金份额持有人的权利和义务，应详细查阅基金合同。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910" w:header="0" w:top="1400" w:bottom="1100" w:left="1400" w:right="1380"/>
          <w:pgNumType w:start="1"/>
        </w:sectPr>
      </w:pPr>
    </w:p>
    <w:p>
      <w:pPr>
        <w:pStyle w:val="Heading1"/>
      </w:pPr>
      <w:bookmarkStart w:name="_bookmark1" w:id="2"/>
      <w:bookmarkEnd w:id="2"/>
      <w:r>
        <w:rPr>
          <w:b w:val="0"/>
        </w:rPr>
      </w:r>
      <w:r>
        <w:rPr/>
        <w:t>二、释义</w:t>
      </w:r>
    </w:p>
    <w:p>
      <w:pPr>
        <w:pStyle w:val="BodyText"/>
        <w:spacing w:before="138"/>
        <w:ind w:left="88" w:right="2533"/>
        <w:jc w:val="center"/>
      </w:pPr>
      <w:r>
        <w:rPr/>
        <w:t>本《招募说明书》中除非文意另有所指，下列词语有如下含义：</w:t>
      </w:r>
    </w:p>
    <w:p>
      <w:pPr>
        <w:tabs>
          <w:tab w:pos="2787" w:val="left" w:leader="none"/>
        </w:tabs>
        <w:spacing w:before="70"/>
        <w:ind w:left="88" w:right="0" w:firstLine="0"/>
        <w:jc w:val="center"/>
        <w:rPr>
          <w:sz w:val="21"/>
        </w:rPr>
      </w:pPr>
      <w:r>
        <w:rPr>
          <w:rFonts w:ascii="Microsoft JhengHei" w:eastAsia="Microsoft JhengHei" w:hint="eastAsia"/>
          <w:b/>
          <w:sz w:val="21"/>
        </w:rPr>
        <w:t>基金或本基金：</w:t>
        <w:tab/>
      </w:r>
      <w:r>
        <w:rPr>
          <w:sz w:val="21"/>
        </w:rPr>
        <w:t>指易方达科讯混合型证券投资基金，本基金由科讯证券投资</w:t>
      </w:r>
    </w:p>
    <w:p>
      <w:pPr>
        <w:pStyle w:val="BodyText"/>
        <w:spacing w:before="91"/>
        <w:ind w:left="236" w:right="1475"/>
        <w:jc w:val="center"/>
      </w:pPr>
      <w:r>
        <w:rPr/>
        <w:t>基金转型而成；</w:t>
      </w:r>
    </w:p>
    <w:p>
      <w:pPr>
        <w:pStyle w:val="BodyText"/>
        <w:tabs>
          <w:tab w:pos="3207" w:val="left" w:leader="none"/>
        </w:tabs>
        <w:spacing w:line="408" w:lineRule="exact" w:before="23"/>
        <w:ind w:left="3208" w:right="417" w:hanging="2700"/>
        <w:jc w:val="both"/>
      </w:pPr>
      <w:r>
        <w:rPr>
          <w:rFonts w:ascii="Microsoft JhengHei" w:eastAsia="Microsoft JhengHei" w:hint="eastAsia"/>
          <w:b/>
        </w:rPr>
        <w:t>基金合同：</w:t>
        <w:tab/>
      </w:r>
      <w:r>
        <w:rPr/>
        <w:t>指《易方达科讯混合型证券投资基金基金合同》及对本基金合同的任何有效修订和补充，本《基金合同》由《科讯证券投资基金基金合同》修订而成；</w:t>
      </w:r>
    </w:p>
    <w:p>
      <w:pPr>
        <w:tabs>
          <w:tab w:pos="3207" w:val="left" w:leader="none"/>
        </w:tabs>
        <w:spacing w:before="49"/>
        <w:ind w:left="508" w:right="0" w:firstLine="0"/>
        <w:jc w:val="both"/>
        <w:rPr>
          <w:sz w:val="21"/>
        </w:rPr>
      </w:pPr>
      <w:r>
        <w:rPr>
          <w:rFonts w:ascii="Microsoft JhengHei" w:eastAsia="Microsoft JhengHei" w:hint="eastAsia"/>
          <w:b/>
          <w:sz w:val="21"/>
        </w:rPr>
        <w:t>招募说明书：</w:t>
        <w:tab/>
      </w:r>
      <w:r>
        <w:rPr>
          <w:sz w:val="21"/>
        </w:rPr>
        <w:t>指《易方达科讯混合型证券投资基金招募说明书》；</w:t>
      </w:r>
    </w:p>
    <w:p>
      <w:pPr>
        <w:tabs>
          <w:tab w:pos="3207" w:val="left" w:leader="none"/>
        </w:tabs>
        <w:spacing w:before="22"/>
        <w:ind w:left="508" w:right="0" w:firstLine="0"/>
        <w:jc w:val="both"/>
        <w:rPr>
          <w:sz w:val="21"/>
        </w:rPr>
      </w:pPr>
      <w:r>
        <w:rPr>
          <w:rFonts w:ascii="Microsoft JhengHei" w:eastAsia="Microsoft JhengHei" w:hint="eastAsia"/>
          <w:b/>
          <w:sz w:val="21"/>
        </w:rPr>
        <w:t>更新的招募说明书：</w:t>
        <w:tab/>
      </w:r>
      <w:r>
        <w:rPr>
          <w:sz w:val="21"/>
        </w:rPr>
        <w:t>指易方达科讯混合型证券投资基金更新的招募说明书，即根</w:t>
      </w:r>
    </w:p>
    <w:p>
      <w:pPr>
        <w:pStyle w:val="BodyText"/>
        <w:spacing w:before="92"/>
        <w:ind w:left="2893"/>
        <w:jc w:val="center"/>
      </w:pPr>
      <w:r>
        <w:rPr/>
        <w:t>据相关法律、法规及其他有关规定对招募说明书进行的更新；</w:t>
      </w:r>
    </w:p>
    <w:p>
      <w:pPr>
        <w:tabs>
          <w:tab w:pos="2787" w:val="left" w:leader="none"/>
        </w:tabs>
        <w:spacing w:before="70"/>
        <w:ind w:left="88" w:right="0" w:firstLine="0"/>
        <w:jc w:val="center"/>
        <w:rPr>
          <w:sz w:val="21"/>
        </w:rPr>
      </w:pPr>
      <w:r>
        <w:rPr>
          <w:rFonts w:ascii="Microsoft JhengHei" w:eastAsia="Microsoft JhengHei" w:hint="eastAsia"/>
          <w:b/>
          <w:sz w:val="21"/>
        </w:rPr>
        <w:t>基金产品资料概要：</w:t>
        <w:tab/>
      </w:r>
      <w:r>
        <w:rPr>
          <w:sz w:val="21"/>
        </w:rPr>
        <w:t>指《易方达科讯混合型证券投资基金基金产品资料概要》及</w:t>
      </w:r>
    </w:p>
    <w:p>
      <w:pPr>
        <w:pStyle w:val="BodyText"/>
        <w:spacing w:before="92"/>
        <w:ind w:left="748" w:right="2827"/>
        <w:jc w:val="center"/>
      </w:pPr>
      <w:r>
        <w:rPr/>
        <w:t>其更新</w:t>
      </w:r>
    </w:p>
    <w:p>
      <w:pPr>
        <w:pStyle w:val="BodyText"/>
        <w:tabs>
          <w:tab w:pos="3207" w:val="left" w:leader="none"/>
        </w:tabs>
        <w:spacing w:line="408" w:lineRule="exact" w:before="23"/>
        <w:ind w:left="3208" w:right="417" w:hanging="2700"/>
        <w:jc w:val="both"/>
      </w:pPr>
      <w:r>
        <w:rPr>
          <w:rFonts w:ascii="Microsoft JhengHei" w:eastAsia="Microsoft JhengHei" w:hint="eastAsia"/>
          <w:b/>
        </w:rPr>
        <w:t>托管协议：</w:t>
        <w:tab/>
      </w:r>
      <w:r>
        <w:rPr/>
        <w:t>指基金管理人与基金托管人就本基金签订之《易方达科讯混合型证券投资基金托管协议》及对该托管协议的任何有效修订和补充，本托管协议由《科讯证券投资基金托管协议》修订而成；</w:t>
      </w:r>
    </w:p>
    <w:p>
      <w:pPr>
        <w:pStyle w:val="BodyText"/>
        <w:tabs>
          <w:tab w:pos="3207" w:val="left" w:leader="none"/>
        </w:tabs>
        <w:spacing w:before="49"/>
        <w:ind w:left="508"/>
        <w:jc w:val="both"/>
      </w:pPr>
      <w:r>
        <w:rPr>
          <w:rFonts w:ascii="Microsoft JhengHei" w:eastAsia="Microsoft JhengHei" w:hint="eastAsia"/>
          <w:b/>
        </w:rPr>
        <w:t>业务规则：</w:t>
        <w:tab/>
      </w:r>
      <w:r>
        <w:rPr/>
        <w:t>指《易方达基金管理有限公司开放式基金业务规则》；</w:t>
      </w:r>
    </w:p>
    <w:p>
      <w:pPr>
        <w:pStyle w:val="BodyText"/>
        <w:tabs>
          <w:tab w:pos="3207" w:val="left" w:leader="none"/>
        </w:tabs>
        <w:spacing w:line="297" w:lineRule="auto" w:before="22"/>
        <w:ind w:left="3208" w:right="417" w:hanging="2700"/>
      </w:pPr>
      <w:r>
        <w:rPr>
          <w:rFonts w:ascii="Microsoft JhengHei" w:eastAsia="Microsoft JhengHei" w:hint="eastAsia"/>
          <w:b/>
        </w:rPr>
        <w:t>发售公告：</w:t>
        <w:tab/>
      </w:r>
      <w:r>
        <w:rPr/>
        <w:t>指《易方达科讯股票型证券投资基金集中申购期基金份额发售公告》；</w:t>
      </w:r>
    </w:p>
    <w:p>
      <w:pPr>
        <w:tabs>
          <w:tab w:pos="3207" w:val="left" w:leader="none"/>
        </w:tabs>
        <w:spacing w:before="5"/>
        <w:ind w:left="508" w:right="0" w:firstLine="0"/>
        <w:jc w:val="left"/>
        <w:rPr>
          <w:sz w:val="21"/>
        </w:rPr>
      </w:pPr>
      <w:r>
        <w:rPr>
          <w:rFonts w:ascii="Microsoft JhengHei" w:eastAsia="Microsoft JhengHei" w:hint="eastAsia"/>
          <w:b/>
          <w:sz w:val="21"/>
        </w:rPr>
        <w:t>中国证监会：</w:t>
        <w:tab/>
      </w:r>
      <w:r>
        <w:rPr>
          <w:sz w:val="21"/>
        </w:rPr>
        <w:t>指中国证券监督管理委员会；</w:t>
      </w:r>
    </w:p>
    <w:p>
      <w:pPr>
        <w:tabs>
          <w:tab w:pos="3207" w:val="left" w:leader="none"/>
        </w:tabs>
        <w:spacing w:before="22"/>
        <w:ind w:left="508" w:right="0" w:firstLine="0"/>
        <w:jc w:val="left"/>
        <w:rPr>
          <w:sz w:val="21"/>
        </w:rPr>
      </w:pPr>
      <w:r>
        <w:rPr>
          <w:rFonts w:ascii="Microsoft JhengHei" w:eastAsia="Microsoft JhengHei" w:hint="eastAsia"/>
          <w:b/>
          <w:sz w:val="21"/>
        </w:rPr>
        <w:t>银行业监督管理机构：</w:t>
        <w:tab/>
      </w:r>
      <w:r>
        <w:rPr>
          <w:sz w:val="21"/>
        </w:rPr>
        <w:t>指中国人民银行和/或中国银行保险监督管理委员会；</w:t>
      </w:r>
    </w:p>
    <w:p>
      <w:pPr>
        <w:pStyle w:val="BodyText"/>
        <w:tabs>
          <w:tab w:pos="3207" w:val="left" w:leader="none"/>
        </w:tabs>
        <w:spacing w:before="22"/>
        <w:ind w:left="508"/>
      </w:pPr>
      <w:r>
        <w:rPr>
          <w:rFonts w:ascii="Microsoft JhengHei" w:eastAsia="Microsoft JhengHei" w:hint="eastAsia"/>
          <w:b/>
        </w:rPr>
        <w:t>《基金法》：</w:t>
        <w:tab/>
      </w:r>
      <w:r>
        <w:rPr/>
        <w:t>指</w:t>
      </w:r>
      <w:r>
        <w:rPr>
          <w:spacing w:val="-64"/>
        </w:rPr>
        <w:t> </w:t>
      </w:r>
      <w:r>
        <w:rPr/>
        <w:t>2012</w:t>
      </w:r>
      <w:r>
        <w:rPr>
          <w:spacing w:val="-64"/>
        </w:rPr>
        <w:t> </w:t>
      </w:r>
      <w:r>
        <w:rPr/>
        <w:t>年</w:t>
      </w:r>
      <w:r>
        <w:rPr>
          <w:spacing w:val="-64"/>
        </w:rPr>
        <w:t> </w:t>
      </w:r>
      <w:r>
        <w:rPr/>
        <w:t>12</w:t>
      </w:r>
      <w:r>
        <w:rPr>
          <w:spacing w:val="-64"/>
        </w:rPr>
        <w:t> </w:t>
      </w:r>
      <w:r>
        <w:rPr/>
        <w:t>月</w:t>
      </w:r>
      <w:r>
        <w:rPr>
          <w:spacing w:val="-64"/>
        </w:rPr>
        <w:t> </w:t>
      </w:r>
      <w:r>
        <w:rPr/>
        <w:t>28</w:t>
      </w:r>
      <w:r>
        <w:rPr>
          <w:spacing w:val="-64"/>
        </w:rPr>
        <w:t> </w:t>
      </w:r>
      <w:r>
        <w:rPr/>
        <w:t>日经第十一届全国人民代表大会常务委员</w:t>
      </w:r>
    </w:p>
    <w:p>
      <w:pPr>
        <w:pStyle w:val="BodyText"/>
        <w:spacing w:line="364" w:lineRule="auto" w:before="92"/>
        <w:ind w:left="3208" w:right="312"/>
      </w:pPr>
      <w:r>
        <w:rPr>
          <w:spacing w:val="-9"/>
        </w:rPr>
        <w:t>会第三十次会议通过，自 </w:t>
      </w:r>
      <w:r>
        <w:rPr/>
        <w:t>2013</w:t>
      </w:r>
      <w:r>
        <w:rPr>
          <w:spacing w:val="-36"/>
        </w:rPr>
        <w:t> 年 </w:t>
      </w:r>
      <w:r>
        <w:rPr/>
        <w:t>6</w:t>
      </w:r>
      <w:r>
        <w:rPr>
          <w:spacing w:val="-36"/>
        </w:rPr>
        <w:t> 月 </w:t>
      </w:r>
      <w:r>
        <w:rPr/>
        <w:t>1</w:t>
      </w:r>
      <w:r>
        <w:rPr>
          <w:spacing w:val="-11"/>
        </w:rPr>
        <w:t> 日起实施的《中华人</w:t>
      </w:r>
      <w:r>
        <w:rPr>
          <w:spacing w:val="-15"/>
        </w:rPr>
        <w:t>民共和国证券投资基金法》及立法机关对其不时作出的修订；</w:t>
      </w:r>
    </w:p>
    <w:p>
      <w:pPr>
        <w:spacing w:after="0" w:line="364" w:lineRule="auto"/>
        <w:sectPr>
          <w:pgSz w:w="11910" w:h="16840"/>
          <w:pgMar w:header="0" w:footer="910" w:top="1400" w:bottom="1180" w:left="1400" w:right="1380"/>
        </w:sectPr>
      </w:pPr>
    </w:p>
    <w:p>
      <w:pPr>
        <w:pStyle w:val="Heading4"/>
        <w:spacing w:line="316" w:lineRule="exact"/>
        <w:ind w:left="508"/>
      </w:pPr>
      <w:r>
        <w:rPr/>
        <w:t>《运作办法》：</w:t>
      </w:r>
    </w:p>
    <w:p>
      <w:pPr>
        <w:pStyle w:val="BodyText"/>
        <w:ind w:left="0"/>
        <w:rPr>
          <w:rFonts w:ascii="Microsoft JhengHei"/>
          <w:b/>
          <w:sz w:val="20"/>
        </w:rPr>
      </w:pPr>
    </w:p>
    <w:p>
      <w:pPr>
        <w:pStyle w:val="BodyText"/>
        <w:spacing w:before="11"/>
        <w:ind w:left="0"/>
        <w:rPr>
          <w:rFonts w:ascii="Microsoft JhengHei"/>
          <w:b/>
          <w:sz w:val="25"/>
        </w:rPr>
      </w:pPr>
    </w:p>
    <w:p>
      <w:pPr>
        <w:spacing w:before="1"/>
        <w:ind w:left="508" w:right="0" w:firstLine="0"/>
        <w:jc w:val="left"/>
        <w:rPr>
          <w:rFonts w:ascii="Microsoft JhengHei" w:eastAsia="Microsoft JhengHei" w:hint="eastAsia"/>
          <w:b/>
          <w:sz w:val="21"/>
        </w:rPr>
      </w:pPr>
      <w:r>
        <w:rPr>
          <w:rFonts w:ascii="Microsoft JhengHei" w:eastAsia="Microsoft JhengHei" w:hint="eastAsia"/>
          <w:b/>
          <w:sz w:val="21"/>
        </w:rPr>
        <w:t>《管理规定》：</w:t>
      </w:r>
    </w:p>
    <w:p>
      <w:pPr>
        <w:pStyle w:val="BodyText"/>
        <w:spacing w:line="269" w:lineRule="exact"/>
        <w:ind w:left="508"/>
      </w:pPr>
      <w:r>
        <w:rPr/>
        <w:br w:type="column"/>
      </w:r>
      <w:r>
        <w:rPr>
          <w:spacing w:val="-8"/>
        </w:rPr>
        <w:t>指中国证监会 </w:t>
      </w:r>
      <w:r>
        <w:rPr/>
        <w:t>2014</w:t>
      </w:r>
      <w:r>
        <w:rPr>
          <w:spacing w:val="-36"/>
        </w:rPr>
        <w:t> 年 </w:t>
      </w:r>
      <w:r>
        <w:rPr/>
        <w:t>7</w:t>
      </w:r>
      <w:r>
        <w:rPr>
          <w:spacing w:val="-36"/>
        </w:rPr>
        <w:t> 月 </w:t>
      </w:r>
      <w:r>
        <w:rPr/>
        <w:t>7</w:t>
      </w:r>
      <w:r>
        <w:rPr>
          <w:spacing w:val="-23"/>
        </w:rPr>
        <w:t> 日颁布、同年 </w:t>
      </w:r>
      <w:r>
        <w:rPr/>
        <w:t>8</w:t>
      </w:r>
      <w:r>
        <w:rPr>
          <w:spacing w:val="-36"/>
        </w:rPr>
        <w:t> 月 </w:t>
      </w:r>
      <w:r>
        <w:rPr/>
        <w:t>8</w:t>
      </w:r>
      <w:r>
        <w:rPr>
          <w:spacing w:val="-10"/>
        </w:rPr>
        <w:t> 日起实施的</w:t>
      </w:r>
    </w:p>
    <w:p>
      <w:pPr>
        <w:pStyle w:val="BodyText"/>
        <w:spacing w:line="364" w:lineRule="auto" w:before="139"/>
        <w:ind w:left="508" w:right="417"/>
      </w:pPr>
      <w:r>
        <w:rPr/>
        <w:t>《公开募集证券投资基金运作管理办法》及对其不时作出的修订；</w:t>
      </w:r>
    </w:p>
    <w:p>
      <w:pPr>
        <w:pStyle w:val="BodyText"/>
        <w:spacing w:line="364" w:lineRule="auto"/>
        <w:ind w:left="508" w:right="433"/>
        <w:jc w:val="both"/>
      </w:pPr>
      <w:r>
        <w:rPr>
          <w:spacing w:val="5"/>
        </w:rPr>
        <w:t>指中国证监会 2017</w:t>
      </w:r>
      <w:r>
        <w:rPr>
          <w:spacing w:val="-25"/>
        </w:rPr>
        <w:t> 年 </w:t>
      </w:r>
      <w:r>
        <w:rPr/>
        <w:t>8</w:t>
      </w:r>
      <w:r>
        <w:rPr>
          <w:spacing w:val="-25"/>
        </w:rPr>
        <w:t> 月 </w:t>
      </w:r>
      <w:r>
        <w:rPr>
          <w:spacing w:val="3"/>
        </w:rPr>
        <w:t>31</w:t>
      </w:r>
      <w:r>
        <w:rPr>
          <w:spacing w:val="-6"/>
        </w:rPr>
        <w:t> 日颁布、同年 </w:t>
      </w:r>
      <w:r>
        <w:rPr>
          <w:spacing w:val="3"/>
        </w:rPr>
        <w:t>10</w:t>
      </w:r>
      <w:r>
        <w:rPr>
          <w:spacing w:val="-25"/>
        </w:rPr>
        <w:t> 月 </w:t>
      </w:r>
      <w:r>
        <w:rPr/>
        <w:t>1</w:t>
      </w:r>
      <w:r>
        <w:rPr>
          <w:spacing w:val="-9"/>
        </w:rPr>
        <w:t> 日实</w:t>
      </w:r>
      <w:r>
        <w:rPr>
          <w:spacing w:val="17"/>
        </w:rPr>
        <w:t>施的《公开募集开放式证券投资基金流动性风险管理规</w:t>
      </w:r>
      <w:r>
        <w:rPr>
          <w:spacing w:val="14"/>
        </w:rPr>
        <w:t>定》及颁布机关对其不时做出的修订；</w:t>
      </w:r>
    </w:p>
    <w:p>
      <w:pPr>
        <w:spacing w:after="0" w:line="364" w:lineRule="auto"/>
        <w:jc w:val="both"/>
        <w:sectPr>
          <w:type w:val="continuous"/>
          <w:pgSz w:w="11910" w:h="16840"/>
          <w:pgMar w:top="1580" w:bottom="280" w:left="1400" w:right="1380"/>
          <w:cols w:num="2" w:equalWidth="0">
            <w:col w:w="2023" w:space="677"/>
            <w:col w:w="6430"/>
          </w:cols>
        </w:sectPr>
      </w:pPr>
    </w:p>
    <w:p>
      <w:pPr>
        <w:pStyle w:val="BodyText"/>
        <w:tabs>
          <w:tab w:pos="3207" w:val="left" w:leader="none"/>
        </w:tabs>
        <w:spacing w:line="315" w:lineRule="exact"/>
        <w:ind w:left="508"/>
      </w:pPr>
      <w:r>
        <w:rPr>
          <w:rFonts w:ascii="Microsoft JhengHei" w:eastAsia="Microsoft JhengHei" w:hint="eastAsia"/>
          <w:b/>
        </w:rPr>
        <w:t>《销售办法》：</w:t>
        <w:tab/>
      </w:r>
      <w:r>
        <w:rPr>
          <w:spacing w:val="19"/>
        </w:rPr>
        <w:t>指中国证监</w:t>
      </w:r>
      <w:r>
        <w:rPr/>
        <w:t>会</w:t>
      </w:r>
      <w:r>
        <w:rPr>
          <w:spacing w:val="-29"/>
        </w:rPr>
        <w:t> </w:t>
      </w:r>
      <w:r>
        <w:rPr>
          <w:spacing w:val="5"/>
        </w:rPr>
        <w:t>2013</w:t>
      </w:r>
      <w:r>
        <w:rPr>
          <w:spacing w:val="-37"/>
        </w:rPr>
        <w:t> </w:t>
      </w:r>
      <w:r>
        <w:rPr/>
        <w:t>年</w:t>
      </w:r>
      <w:r>
        <w:rPr>
          <w:spacing w:val="-29"/>
        </w:rPr>
        <w:t> </w:t>
      </w:r>
      <w:r>
        <w:rPr/>
        <w:t>3</w:t>
      </w:r>
      <w:r>
        <w:rPr>
          <w:spacing w:val="-37"/>
        </w:rPr>
        <w:t> </w:t>
      </w:r>
      <w:r>
        <w:rPr/>
        <w:t>月</w:t>
      </w:r>
      <w:r>
        <w:rPr>
          <w:spacing w:val="-29"/>
        </w:rPr>
        <w:t> </w:t>
      </w:r>
      <w:r>
        <w:rPr>
          <w:spacing w:val="3"/>
        </w:rPr>
        <w:t>15</w:t>
      </w:r>
      <w:r>
        <w:rPr>
          <w:spacing w:val="-37"/>
        </w:rPr>
        <w:t> </w:t>
      </w:r>
      <w:r>
        <w:rPr>
          <w:spacing w:val="19"/>
        </w:rPr>
        <w:t>日颁布、同</w:t>
      </w:r>
      <w:r>
        <w:rPr/>
        <w:t>年</w:t>
      </w:r>
      <w:r>
        <w:rPr>
          <w:spacing w:val="-29"/>
        </w:rPr>
        <w:t> </w:t>
      </w:r>
      <w:r>
        <w:rPr/>
        <w:t>6</w:t>
      </w:r>
      <w:r>
        <w:rPr>
          <w:spacing w:val="-37"/>
        </w:rPr>
        <w:t> </w:t>
      </w:r>
      <w:r>
        <w:rPr/>
        <w:t>月</w:t>
      </w:r>
      <w:r>
        <w:rPr>
          <w:spacing w:val="-28"/>
        </w:rPr>
        <w:t> </w:t>
      </w:r>
      <w:r>
        <w:rPr/>
        <w:t>1</w:t>
      </w:r>
      <w:r>
        <w:rPr>
          <w:spacing w:val="-38"/>
        </w:rPr>
        <w:t> </w:t>
      </w:r>
      <w:r>
        <w:rPr>
          <w:spacing w:val="19"/>
        </w:rPr>
        <w:t>日</w:t>
      </w:r>
      <w:r>
        <w:rPr/>
        <w:t>起</w:t>
      </w:r>
    </w:p>
    <w:p>
      <w:pPr>
        <w:pStyle w:val="BodyText"/>
        <w:spacing w:line="364" w:lineRule="auto" w:before="91"/>
        <w:ind w:left="3208" w:right="434"/>
      </w:pPr>
      <w:r>
        <w:rPr/>
        <w:t>实施的《证券投资基金销售管理办法》及对其不时作出的修订；</w:t>
      </w:r>
    </w:p>
    <w:p>
      <w:pPr>
        <w:spacing w:after="0" w:line="364" w:lineRule="auto"/>
        <w:sectPr>
          <w:type w:val="continuous"/>
          <w:pgSz w:w="11910" w:h="16840"/>
          <w:pgMar w:top="1580" w:bottom="280" w:left="1400" w:right="1380"/>
        </w:sectPr>
      </w:pPr>
    </w:p>
    <w:p>
      <w:pPr>
        <w:tabs>
          <w:tab w:pos="3207" w:val="left" w:leader="none"/>
        </w:tabs>
        <w:spacing w:line="362" w:lineRule="exact" w:before="0"/>
        <w:ind w:left="508" w:right="0" w:firstLine="0"/>
        <w:jc w:val="left"/>
        <w:rPr>
          <w:sz w:val="21"/>
        </w:rPr>
      </w:pPr>
      <w:r>
        <w:rPr>
          <w:rFonts w:ascii="Microsoft JhengHei" w:eastAsia="Microsoft JhengHei" w:hint="eastAsia"/>
          <w:b/>
          <w:sz w:val="21"/>
        </w:rPr>
        <w:t>《信息披露办法》：</w:t>
        <w:tab/>
      </w:r>
      <w:r>
        <w:rPr>
          <w:sz w:val="21"/>
        </w:rPr>
        <w:t>指中国证监会</w:t>
      </w:r>
      <w:r>
        <w:rPr>
          <w:spacing w:val="-52"/>
          <w:sz w:val="21"/>
        </w:rPr>
        <w:t> </w:t>
      </w:r>
      <w:r>
        <w:rPr>
          <w:sz w:val="21"/>
        </w:rPr>
        <w:t>2019</w:t>
      </w:r>
      <w:r>
        <w:rPr>
          <w:spacing w:val="-49"/>
          <w:sz w:val="21"/>
        </w:rPr>
        <w:t> </w:t>
      </w:r>
      <w:r>
        <w:rPr>
          <w:sz w:val="21"/>
        </w:rPr>
        <w:t>年</w:t>
      </w:r>
      <w:r>
        <w:rPr>
          <w:spacing w:val="-51"/>
          <w:sz w:val="21"/>
        </w:rPr>
        <w:t> </w:t>
      </w:r>
      <w:r>
        <w:rPr>
          <w:sz w:val="21"/>
        </w:rPr>
        <w:t>7</w:t>
      </w:r>
      <w:r>
        <w:rPr>
          <w:spacing w:val="-50"/>
          <w:sz w:val="21"/>
        </w:rPr>
        <w:t> </w:t>
      </w:r>
      <w:r>
        <w:rPr>
          <w:sz w:val="21"/>
        </w:rPr>
        <w:t>月</w:t>
      </w:r>
      <w:r>
        <w:rPr>
          <w:spacing w:val="-51"/>
          <w:sz w:val="21"/>
        </w:rPr>
        <w:t> </w:t>
      </w:r>
      <w:r>
        <w:rPr>
          <w:sz w:val="21"/>
        </w:rPr>
        <w:t>26</w:t>
      </w:r>
      <w:r>
        <w:rPr>
          <w:spacing w:val="-49"/>
          <w:sz w:val="21"/>
        </w:rPr>
        <w:t> </w:t>
      </w:r>
      <w:r>
        <w:rPr>
          <w:sz w:val="21"/>
        </w:rPr>
        <w:t>日颁布、同年</w:t>
      </w:r>
      <w:r>
        <w:rPr>
          <w:spacing w:val="-51"/>
          <w:sz w:val="21"/>
        </w:rPr>
        <w:t> </w:t>
      </w:r>
      <w:r>
        <w:rPr>
          <w:sz w:val="21"/>
        </w:rPr>
        <w:t>9</w:t>
      </w:r>
      <w:r>
        <w:rPr>
          <w:spacing w:val="-50"/>
          <w:sz w:val="21"/>
        </w:rPr>
        <w:t> </w:t>
      </w:r>
      <w:r>
        <w:rPr>
          <w:sz w:val="21"/>
        </w:rPr>
        <w:t>月</w:t>
      </w:r>
      <w:r>
        <w:rPr>
          <w:spacing w:val="-51"/>
          <w:sz w:val="21"/>
        </w:rPr>
        <w:t> </w:t>
      </w:r>
      <w:r>
        <w:rPr>
          <w:sz w:val="21"/>
        </w:rPr>
        <w:t>1</w:t>
      </w:r>
      <w:r>
        <w:rPr>
          <w:spacing w:val="-49"/>
          <w:sz w:val="21"/>
        </w:rPr>
        <w:t> </w:t>
      </w:r>
      <w:r>
        <w:rPr>
          <w:sz w:val="21"/>
        </w:rPr>
        <w:t>日起实施</w:t>
      </w:r>
    </w:p>
    <w:p>
      <w:pPr>
        <w:pStyle w:val="BodyText"/>
        <w:spacing w:line="364" w:lineRule="auto" w:before="91"/>
        <w:ind w:left="3208" w:right="417"/>
      </w:pPr>
      <w:r>
        <w:rPr/>
        <w:t>的《公开募集证券投资基金信息披露管理办法》及对其不时作出的修订；</w:t>
      </w:r>
    </w:p>
    <w:p>
      <w:pPr>
        <w:tabs>
          <w:tab w:pos="3207" w:val="left" w:leader="none"/>
        </w:tabs>
        <w:spacing w:line="316" w:lineRule="exact" w:before="0"/>
        <w:ind w:left="508" w:right="0" w:firstLine="0"/>
        <w:jc w:val="left"/>
        <w:rPr>
          <w:sz w:val="21"/>
        </w:rPr>
      </w:pPr>
      <w:r>
        <w:rPr>
          <w:rFonts w:ascii="Microsoft JhengHei" w:eastAsia="Microsoft JhengHei" w:hint="eastAsia"/>
          <w:b/>
          <w:sz w:val="21"/>
        </w:rPr>
        <w:t>元：</w:t>
        <w:tab/>
      </w:r>
      <w:r>
        <w:rPr>
          <w:sz w:val="21"/>
        </w:rPr>
        <w:t>指人民币元；</w:t>
      </w:r>
    </w:p>
    <w:p>
      <w:pPr>
        <w:tabs>
          <w:tab w:pos="3207" w:val="left" w:leader="none"/>
        </w:tabs>
        <w:spacing w:before="23"/>
        <w:ind w:left="508" w:right="0" w:firstLine="0"/>
        <w:jc w:val="left"/>
        <w:rPr>
          <w:sz w:val="21"/>
        </w:rPr>
      </w:pPr>
      <w:r>
        <w:rPr>
          <w:rFonts w:ascii="Microsoft JhengHei" w:eastAsia="Microsoft JhengHei" w:hint="eastAsia"/>
          <w:b/>
          <w:sz w:val="21"/>
        </w:rPr>
        <w:t>基金合同当事人：</w:t>
        <w:tab/>
      </w:r>
      <w:r>
        <w:rPr>
          <w:sz w:val="21"/>
        </w:rPr>
        <w:t>指受本基金合同约束，根据本基金合同享受权利并承担义务</w:t>
      </w:r>
    </w:p>
    <w:p>
      <w:pPr>
        <w:pStyle w:val="BodyText"/>
        <w:spacing w:line="364" w:lineRule="auto" w:before="91"/>
        <w:ind w:left="3208" w:right="417"/>
      </w:pPr>
      <w:r>
        <w:rPr/>
        <w:t>的法律主体，包括基金管理人、基金托管人和基金份额持有人；</w:t>
      </w:r>
    </w:p>
    <w:p>
      <w:pPr>
        <w:tabs>
          <w:tab w:pos="3207" w:val="left" w:leader="none"/>
        </w:tabs>
        <w:spacing w:line="316" w:lineRule="exact" w:before="0"/>
        <w:ind w:left="508" w:right="0" w:firstLine="0"/>
        <w:jc w:val="left"/>
        <w:rPr>
          <w:sz w:val="21"/>
        </w:rPr>
      </w:pPr>
      <w:r>
        <w:rPr>
          <w:rFonts w:ascii="Microsoft JhengHei" w:eastAsia="Microsoft JhengHei" w:hint="eastAsia"/>
          <w:b/>
          <w:sz w:val="21"/>
        </w:rPr>
        <w:t>基金管理人：</w:t>
        <w:tab/>
      </w:r>
      <w:r>
        <w:rPr>
          <w:sz w:val="21"/>
        </w:rPr>
        <w:t>指易方达基金管理有限公司；</w:t>
      </w:r>
    </w:p>
    <w:p>
      <w:pPr>
        <w:tabs>
          <w:tab w:pos="3207" w:val="left" w:leader="none"/>
        </w:tabs>
        <w:spacing w:before="23"/>
        <w:ind w:left="508" w:right="0" w:firstLine="0"/>
        <w:jc w:val="left"/>
        <w:rPr>
          <w:sz w:val="21"/>
        </w:rPr>
      </w:pPr>
      <w:r>
        <w:rPr>
          <w:rFonts w:ascii="Microsoft JhengHei" w:eastAsia="Microsoft JhengHei" w:hint="eastAsia"/>
          <w:b/>
          <w:sz w:val="21"/>
        </w:rPr>
        <w:t>基金托管人：</w:t>
        <w:tab/>
      </w:r>
      <w:r>
        <w:rPr>
          <w:sz w:val="21"/>
        </w:rPr>
        <w:t>指交通银行股份有限公司；</w:t>
      </w:r>
    </w:p>
    <w:p>
      <w:pPr>
        <w:tabs>
          <w:tab w:pos="3207" w:val="left" w:leader="none"/>
        </w:tabs>
        <w:spacing w:before="22"/>
        <w:ind w:left="508" w:right="0" w:firstLine="0"/>
        <w:jc w:val="left"/>
        <w:rPr>
          <w:sz w:val="21"/>
        </w:rPr>
      </w:pPr>
      <w:r>
        <w:rPr>
          <w:rFonts w:ascii="Microsoft JhengHei" w:eastAsia="Microsoft JhengHei" w:hint="eastAsia"/>
          <w:b/>
          <w:sz w:val="21"/>
        </w:rPr>
        <w:t>基金份额持有人：</w:t>
        <w:tab/>
      </w:r>
      <w:r>
        <w:rPr>
          <w:sz w:val="21"/>
        </w:rPr>
        <w:t>指依照法律法规或基金合同合法取得基金份额的投资人；</w:t>
      </w:r>
    </w:p>
    <w:p>
      <w:pPr>
        <w:tabs>
          <w:tab w:pos="3207" w:val="left" w:leader="none"/>
        </w:tabs>
        <w:spacing w:before="22"/>
        <w:ind w:left="508" w:right="0" w:firstLine="0"/>
        <w:jc w:val="left"/>
        <w:rPr>
          <w:sz w:val="21"/>
        </w:rPr>
      </w:pPr>
      <w:r>
        <w:rPr>
          <w:rFonts w:ascii="Microsoft JhengHei" w:eastAsia="Microsoft JhengHei" w:hint="eastAsia"/>
          <w:b/>
          <w:sz w:val="21"/>
        </w:rPr>
        <w:t>注册登记业务：</w:t>
        <w:tab/>
      </w:r>
      <w:r>
        <w:rPr>
          <w:sz w:val="21"/>
        </w:rPr>
        <w:t>指本基金登记、存管、过户、清算和交收业务。具体内容包</w:t>
      </w:r>
    </w:p>
    <w:p>
      <w:pPr>
        <w:pStyle w:val="BodyText"/>
        <w:spacing w:line="364" w:lineRule="auto" w:before="92"/>
        <w:ind w:left="3208" w:right="417"/>
        <w:jc w:val="both"/>
      </w:pPr>
      <w:r>
        <w:rPr/>
        <w:t>括投资人基金账户管理、基金份额注册登记、清算和结算、基金销售业务确认、代理发放红利、建立并保管基金份额持有人名册等；</w:t>
      </w:r>
    </w:p>
    <w:p>
      <w:pPr>
        <w:tabs>
          <w:tab w:pos="3207" w:val="left" w:leader="none"/>
        </w:tabs>
        <w:spacing w:line="315" w:lineRule="exact" w:before="0"/>
        <w:ind w:left="508" w:right="0" w:firstLine="0"/>
        <w:jc w:val="left"/>
        <w:rPr>
          <w:sz w:val="21"/>
        </w:rPr>
      </w:pPr>
      <w:r>
        <w:rPr>
          <w:rFonts w:ascii="Microsoft JhengHei" w:eastAsia="Microsoft JhengHei" w:hint="eastAsia"/>
          <w:b/>
          <w:sz w:val="21"/>
        </w:rPr>
        <w:t>注册登记人：</w:t>
        <w:tab/>
      </w:r>
      <w:r>
        <w:rPr>
          <w:sz w:val="21"/>
        </w:rPr>
        <w:t>指办理基金注册登记业务的机构，本基金的注册登记人为易</w:t>
      </w:r>
    </w:p>
    <w:p>
      <w:pPr>
        <w:pStyle w:val="BodyText"/>
        <w:spacing w:line="364" w:lineRule="auto" w:before="92"/>
        <w:ind w:left="3208" w:right="417"/>
      </w:pPr>
      <w:r>
        <w:rPr/>
        <w:t>方达基金管理有限公司或易方达基金管理有限公司委托代为办理基金注册登记业务的机构；</w:t>
      </w:r>
    </w:p>
    <w:p>
      <w:pPr>
        <w:pStyle w:val="BodyText"/>
        <w:tabs>
          <w:tab w:pos="3207" w:val="left" w:leader="none"/>
        </w:tabs>
        <w:spacing w:line="316" w:lineRule="exact"/>
        <w:ind w:left="508"/>
      </w:pPr>
      <w:r>
        <w:rPr>
          <w:rFonts w:ascii="Microsoft JhengHei" w:eastAsia="Microsoft JhengHei" w:hint="eastAsia"/>
          <w:b/>
        </w:rPr>
        <w:t>投资人：</w:t>
        <w:tab/>
      </w:r>
      <w:r>
        <w:rPr/>
        <w:t>指个人投资者、机构投资者、合格境外机构投资者和法律法</w:t>
      </w:r>
    </w:p>
    <w:p>
      <w:pPr>
        <w:pStyle w:val="BodyText"/>
        <w:spacing w:before="91"/>
        <w:ind w:left="3208"/>
      </w:pPr>
      <w:r>
        <w:rPr/>
        <w:t>规或中国证监会允许购买证券投资基金的其他投资者；</w:t>
      </w:r>
    </w:p>
    <w:p>
      <w:pPr>
        <w:pStyle w:val="BodyText"/>
        <w:tabs>
          <w:tab w:pos="3207" w:val="left" w:leader="none"/>
        </w:tabs>
        <w:spacing w:line="297" w:lineRule="auto" w:before="70"/>
        <w:ind w:left="3208" w:right="417" w:hanging="2700"/>
      </w:pPr>
      <w:r>
        <w:rPr>
          <w:rFonts w:ascii="Microsoft JhengHei" w:eastAsia="Microsoft JhengHei" w:hint="eastAsia"/>
          <w:b/>
        </w:rPr>
        <w:t>个人投资者：</w:t>
        <w:tab/>
      </w:r>
      <w:r>
        <w:rPr/>
        <w:t>指依据中华人民共和国有关法律法规及其他有关规定可以投资于证券投资基金的自然人；</w:t>
      </w:r>
    </w:p>
    <w:p>
      <w:pPr>
        <w:tabs>
          <w:tab w:pos="3207" w:val="left" w:leader="none"/>
        </w:tabs>
        <w:spacing w:before="5"/>
        <w:ind w:left="508" w:right="0" w:firstLine="0"/>
        <w:jc w:val="left"/>
        <w:rPr>
          <w:sz w:val="21"/>
        </w:rPr>
      </w:pPr>
      <w:r>
        <w:rPr>
          <w:rFonts w:ascii="Microsoft JhengHei" w:eastAsia="Microsoft JhengHei" w:hint="eastAsia"/>
          <w:b/>
          <w:sz w:val="21"/>
        </w:rPr>
        <w:t>机构投资者：</w:t>
        <w:tab/>
      </w:r>
      <w:r>
        <w:rPr>
          <w:sz w:val="21"/>
        </w:rPr>
        <w:t>指在中国境内合法注册登记或经有权政府部门批准设立和有</w:t>
      </w:r>
    </w:p>
    <w:p>
      <w:pPr>
        <w:pStyle w:val="BodyText"/>
        <w:spacing w:line="364" w:lineRule="auto" w:before="92"/>
        <w:ind w:left="3208" w:right="242"/>
      </w:pPr>
      <w:r>
        <w:rPr/>
        <w:t>效存续并依法可以投资证券投资基金的企业法人、事业法人、社会团体或其它组织；</w:t>
      </w:r>
    </w:p>
    <w:p>
      <w:pPr>
        <w:tabs>
          <w:tab w:pos="3207" w:val="left" w:leader="none"/>
        </w:tabs>
        <w:spacing w:line="316" w:lineRule="exact" w:before="0"/>
        <w:ind w:left="508" w:right="0" w:firstLine="0"/>
        <w:jc w:val="both"/>
        <w:rPr>
          <w:sz w:val="21"/>
        </w:rPr>
      </w:pPr>
      <w:r>
        <w:rPr>
          <w:rFonts w:ascii="Microsoft JhengHei" w:eastAsia="Microsoft JhengHei" w:hint="eastAsia"/>
          <w:b/>
          <w:sz w:val="21"/>
        </w:rPr>
        <w:t>合格境外机构投资者：</w:t>
        <w:tab/>
      </w:r>
      <w:r>
        <w:rPr>
          <w:sz w:val="21"/>
        </w:rPr>
        <w:t>指符合《合格境外机构投资者境内证券投资管理办法》及相</w:t>
      </w:r>
    </w:p>
    <w:p>
      <w:pPr>
        <w:pStyle w:val="BodyText"/>
        <w:spacing w:line="364" w:lineRule="auto" w:before="91"/>
        <w:ind w:left="3208" w:right="417"/>
        <w:jc w:val="both"/>
      </w:pPr>
      <w:r>
        <w:rPr/>
        <w:t>关法律法规规定，经中国证监会批准可以投资于中国证券市场，并取得国家外汇管理局额度批准的中国境外的机构投资者；</w:t>
      </w:r>
    </w:p>
    <w:p>
      <w:pPr>
        <w:tabs>
          <w:tab w:pos="3207" w:val="left" w:leader="none"/>
        </w:tabs>
        <w:spacing w:line="315" w:lineRule="exact" w:before="0"/>
        <w:ind w:left="508" w:right="0" w:firstLine="0"/>
        <w:jc w:val="both"/>
        <w:rPr>
          <w:sz w:val="21"/>
        </w:rPr>
      </w:pPr>
      <w:r>
        <w:rPr>
          <w:rFonts w:ascii="Microsoft JhengHei" w:eastAsia="Microsoft JhengHei" w:hint="eastAsia"/>
          <w:b/>
          <w:sz w:val="21"/>
        </w:rPr>
        <w:t>基金份额持有人大会：</w:t>
        <w:tab/>
      </w:r>
      <w:r>
        <w:rPr>
          <w:sz w:val="21"/>
        </w:rPr>
        <w:t>指按照本基金合同之规定召集、召开并由基金份额持有人进</w:t>
      </w:r>
    </w:p>
    <w:p>
      <w:pPr>
        <w:pStyle w:val="BodyText"/>
        <w:spacing w:before="92"/>
        <w:ind w:left="3208"/>
      </w:pPr>
      <w:r>
        <w:rPr/>
        <w:t>行表决的会议；</w:t>
      </w:r>
    </w:p>
    <w:p>
      <w:pPr>
        <w:tabs>
          <w:tab w:pos="3207" w:val="left" w:leader="none"/>
        </w:tabs>
        <w:spacing w:before="70"/>
        <w:ind w:left="508" w:right="0" w:firstLine="0"/>
        <w:jc w:val="left"/>
        <w:rPr>
          <w:sz w:val="21"/>
        </w:rPr>
      </w:pPr>
      <w:r>
        <w:rPr>
          <w:rFonts w:ascii="Microsoft JhengHei" w:eastAsia="Microsoft JhengHei" w:hint="eastAsia"/>
          <w:b/>
          <w:sz w:val="21"/>
        </w:rPr>
        <w:t>集中申购期：</w:t>
        <w:tab/>
      </w:r>
      <w:r>
        <w:rPr>
          <w:sz w:val="21"/>
        </w:rPr>
        <w:t>指本基金合同生效后仅开放申购、不开放赎回的一段时间，</w:t>
      </w:r>
    </w:p>
    <w:p>
      <w:pPr>
        <w:pStyle w:val="BodyText"/>
        <w:spacing w:before="92"/>
        <w:ind w:left="3208"/>
      </w:pPr>
      <w:r>
        <w:rPr/>
        <w:t>最长不超过一个月；</w:t>
      </w:r>
    </w:p>
    <w:p>
      <w:pPr>
        <w:pStyle w:val="BodyText"/>
        <w:tabs>
          <w:tab w:pos="3207" w:val="left" w:leader="none"/>
        </w:tabs>
        <w:spacing w:line="297" w:lineRule="auto" w:before="70"/>
        <w:ind w:left="3208" w:right="417" w:hanging="2700"/>
      </w:pPr>
      <w:r>
        <w:rPr>
          <w:rFonts w:ascii="Microsoft JhengHei" w:hAnsi="Microsoft JhengHei" w:eastAsia="Microsoft JhengHei" w:hint="eastAsia"/>
          <w:b/>
        </w:rPr>
        <w:t>基金转型：</w:t>
        <w:tab/>
      </w:r>
      <w:r>
        <w:rPr/>
        <w:t>指对包括科讯基金由封闭式基金转为开放式基金、调整基金存续期限、更换注册登记人、更名为“易方达科讯股票型证</w:t>
      </w:r>
    </w:p>
    <w:p>
      <w:pPr>
        <w:spacing w:after="0" w:line="297" w:lineRule="auto"/>
        <w:sectPr>
          <w:pgSz w:w="11910" w:h="16840"/>
          <w:pgMar w:header="0" w:footer="910" w:top="1380" w:bottom="1180" w:left="1400" w:right="1380"/>
        </w:sectPr>
      </w:pPr>
    </w:p>
    <w:p>
      <w:pPr>
        <w:pStyle w:val="BodyText"/>
        <w:spacing w:line="364" w:lineRule="auto" w:before="45"/>
        <w:ind w:left="3208" w:right="417"/>
      </w:pPr>
      <w:r>
        <w:rPr/>
        <w:t>券投资基金”、修改基金投资目标、投资策略、收益分配政策、持有人大会等条款的一系列事项的统称</w:t>
      </w:r>
    </w:p>
    <w:p>
      <w:pPr>
        <w:tabs>
          <w:tab w:pos="3207" w:val="left" w:leader="none"/>
        </w:tabs>
        <w:spacing w:line="316" w:lineRule="exact" w:before="0"/>
        <w:ind w:left="508" w:right="0" w:firstLine="0"/>
        <w:jc w:val="both"/>
        <w:rPr>
          <w:sz w:val="21"/>
        </w:rPr>
      </w:pPr>
      <w:r>
        <w:rPr>
          <w:rFonts w:ascii="Microsoft JhengHei" w:eastAsia="Microsoft JhengHei" w:hint="eastAsia"/>
          <w:b/>
          <w:sz w:val="21"/>
        </w:rPr>
        <w:t>基金合同生效日：</w:t>
        <w:tab/>
      </w:r>
      <w:r>
        <w:rPr>
          <w:sz w:val="21"/>
        </w:rPr>
        <w:t>指本基金根据《运作办法》变更为混合基金前的《易方达科</w:t>
      </w:r>
    </w:p>
    <w:p>
      <w:pPr>
        <w:pStyle w:val="BodyText"/>
        <w:spacing w:line="364" w:lineRule="auto" w:before="92"/>
        <w:ind w:left="3208" w:right="417"/>
        <w:jc w:val="both"/>
      </w:pPr>
      <w:r>
        <w:rPr/>
        <w:t>讯股票型证券投资基金基金合同》生效起始日，本合同自科讯证券投资基金终止上市之日起生效，原《科讯证券投资基金基金合同》自同一日起失效；</w:t>
      </w:r>
    </w:p>
    <w:p>
      <w:pPr>
        <w:pStyle w:val="BodyText"/>
        <w:tabs>
          <w:tab w:pos="3207" w:val="left" w:leader="none"/>
        </w:tabs>
        <w:spacing w:line="315" w:lineRule="exact"/>
        <w:ind w:left="508"/>
        <w:jc w:val="both"/>
      </w:pPr>
      <w:r>
        <w:rPr>
          <w:rFonts w:ascii="Microsoft JhengHei" w:eastAsia="Microsoft JhengHei" w:hint="eastAsia"/>
          <w:b/>
        </w:rPr>
        <w:t>存续期：</w:t>
        <w:tab/>
      </w:r>
      <w:r>
        <w:rPr/>
        <w:t>指本《基金合同》生效后合法存续的不定期期限；</w:t>
      </w:r>
    </w:p>
    <w:p>
      <w:pPr>
        <w:pStyle w:val="BodyText"/>
        <w:tabs>
          <w:tab w:pos="3207" w:val="left" w:leader="none"/>
        </w:tabs>
        <w:spacing w:before="22"/>
        <w:ind w:left="508"/>
        <w:jc w:val="both"/>
      </w:pPr>
      <w:r>
        <w:rPr>
          <w:rFonts w:ascii="Microsoft JhengHei" w:eastAsia="Microsoft JhengHei" w:hint="eastAsia"/>
          <w:b/>
        </w:rPr>
        <w:t>工作日：</w:t>
        <w:tab/>
      </w:r>
      <w:r>
        <w:rPr/>
        <w:t>指上海证券交易所和深圳证券交易所的正常交易日；</w:t>
      </w:r>
    </w:p>
    <w:p>
      <w:pPr>
        <w:pStyle w:val="BodyText"/>
        <w:tabs>
          <w:tab w:pos="3207" w:val="left" w:leader="none"/>
        </w:tabs>
        <w:spacing w:line="297" w:lineRule="auto" w:before="22"/>
        <w:ind w:left="3208" w:right="417" w:hanging="2700"/>
      </w:pPr>
      <w:r>
        <w:rPr>
          <w:rFonts w:ascii="Microsoft JhengHei" w:eastAsia="Microsoft JhengHei" w:hint="eastAsia"/>
          <w:b/>
        </w:rPr>
        <w:t>申购：</w:t>
        <w:tab/>
      </w:r>
      <w:r>
        <w:rPr/>
        <w:t>指在基金合同生效后的存续期间，投资人申请购买本基金基金份额的行为；</w:t>
      </w:r>
    </w:p>
    <w:p>
      <w:pPr>
        <w:pStyle w:val="BodyText"/>
        <w:tabs>
          <w:tab w:pos="3207" w:val="left" w:leader="none"/>
        </w:tabs>
        <w:spacing w:line="297" w:lineRule="auto" w:before="5"/>
        <w:ind w:left="3208" w:right="312" w:hanging="2700"/>
      </w:pPr>
      <w:r>
        <w:rPr>
          <w:rFonts w:ascii="Microsoft JhengHei" w:eastAsia="Microsoft JhengHei" w:hint="eastAsia"/>
          <w:b/>
        </w:rPr>
        <w:t>赎回：</w:t>
        <w:tab/>
      </w:r>
      <w:r>
        <w:rPr/>
        <w:t>指基金合同生效后的存续期间，基金份额持有人按本基金合同规定的条件</w:t>
      </w:r>
      <w:r>
        <w:rPr>
          <w:spacing w:val="-15"/>
        </w:rPr>
        <w:t>，</w:t>
      </w:r>
      <w:r>
        <w:rPr/>
        <w:t>要求基金管理人购回本基金基金份额的行</w:t>
      </w:r>
      <w:r>
        <w:rPr>
          <w:spacing w:val="-53"/>
        </w:rPr>
        <w:t>为</w:t>
      </w:r>
      <w:r>
        <w:rPr>
          <w:spacing w:val="-16"/>
        </w:rPr>
        <w:t>；</w:t>
      </w:r>
    </w:p>
    <w:p>
      <w:pPr>
        <w:pStyle w:val="BodyText"/>
        <w:tabs>
          <w:tab w:pos="3207" w:val="left" w:leader="none"/>
        </w:tabs>
        <w:spacing w:line="297" w:lineRule="auto" w:before="4"/>
        <w:ind w:left="3208" w:right="417" w:hanging="2700"/>
      </w:pPr>
      <w:r>
        <w:rPr>
          <w:rFonts w:ascii="Microsoft JhengHei" w:eastAsia="Microsoft JhengHei" w:hint="eastAsia"/>
          <w:b/>
        </w:rPr>
        <w:t>巨额赎回：</w:t>
        <w:tab/>
      </w:r>
      <w:r>
        <w:rPr/>
        <w:t>指在本基金单个开放日内，基金净赎回申请份额（基金赎回申请总份额扣除申购申请总份额之余额）与净转出申请份额</w:t>
      </w:r>
    </w:p>
    <w:p>
      <w:pPr>
        <w:pStyle w:val="BodyText"/>
        <w:spacing w:line="364" w:lineRule="auto" w:before="74"/>
        <w:ind w:left="3208" w:right="417"/>
      </w:pPr>
      <w:r>
        <w:rPr/>
        <w:t>（基金转出申请总份额扣除转入申请总份额之余额）之和超过上一开放日本基金总份额 10%的情形；</w:t>
      </w:r>
    </w:p>
    <w:p>
      <w:pPr>
        <w:pStyle w:val="BodyText"/>
        <w:tabs>
          <w:tab w:pos="3207" w:val="left" w:leader="none"/>
        </w:tabs>
        <w:spacing w:line="316" w:lineRule="exact"/>
        <w:ind w:left="508"/>
      </w:pPr>
      <w:r>
        <w:rPr>
          <w:rFonts w:ascii="Microsoft JhengHei" w:eastAsia="Microsoft JhengHei" w:hint="eastAsia"/>
          <w:b/>
        </w:rPr>
        <w:t>基金转换：</w:t>
        <w:tab/>
      </w:r>
      <w:r>
        <w:rPr/>
        <w:t>指基金份额持有人按照本基金合同和基金管理人届时有效的</w:t>
      </w:r>
    </w:p>
    <w:p>
      <w:pPr>
        <w:pStyle w:val="BodyText"/>
        <w:spacing w:line="364" w:lineRule="auto" w:before="92"/>
        <w:ind w:left="3208" w:right="417"/>
      </w:pPr>
      <w:r>
        <w:rPr/>
        <w:t>业务规则进行的本基金份额与基金管理人管理的、由同一注册登记人办理注册登记的其他基金份额间的转换行为；</w:t>
      </w:r>
    </w:p>
    <w:p>
      <w:pPr>
        <w:pStyle w:val="BodyText"/>
        <w:tabs>
          <w:tab w:pos="3207" w:val="left" w:leader="none"/>
        </w:tabs>
        <w:spacing w:line="316" w:lineRule="exact"/>
        <w:ind w:left="508"/>
      </w:pPr>
      <w:r>
        <w:rPr>
          <w:rFonts w:ascii="Microsoft JhengHei" w:eastAsia="Microsoft JhengHei" w:hint="eastAsia"/>
          <w:b/>
        </w:rPr>
        <w:t>转托管：</w:t>
        <w:tab/>
      </w:r>
      <w:r>
        <w:rPr/>
        <w:t>指基金份额持有人将其基金账户内的同一基金的基金份额从</w:t>
      </w:r>
    </w:p>
    <w:p>
      <w:pPr>
        <w:pStyle w:val="BodyText"/>
        <w:spacing w:before="92"/>
        <w:ind w:left="3208"/>
      </w:pPr>
      <w:r>
        <w:rPr/>
        <w:t>一个销售机构托管到另一销售机构的行为；</w:t>
      </w:r>
    </w:p>
    <w:p>
      <w:pPr>
        <w:pStyle w:val="BodyText"/>
        <w:tabs>
          <w:tab w:pos="3207" w:val="left" w:leader="none"/>
        </w:tabs>
        <w:spacing w:line="297" w:lineRule="auto" w:before="70"/>
        <w:ind w:left="3208" w:right="417" w:hanging="2700"/>
      </w:pPr>
      <w:r>
        <w:rPr>
          <w:rFonts w:ascii="Microsoft JhengHei" w:eastAsia="Microsoft JhengHei" w:hint="eastAsia"/>
          <w:b/>
        </w:rPr>
        <w:t>投资指令：</w:t>
        <w:tab/>
      </w:r>
      <w:r>
        <w:rPr/>
        <w:t>指基金管理人在运用基金财产进行投资时，向基金托管人发出的资金划拨及实物券调拨等指令；</w:t>
      </w:r>
    </w:p>
    <w:p>
      <w:pPr>
        <w:tabs>
          <w:tab w:pos="3207" w:val="left" w:leader="none"/>
        </w:tabs>
        <w:spacing w:before="4"/>
        <w:ind w:left="508" w:right="0" w:firstLine="0"/>
        <w:jc w:val="left"/>
        <w:rPr>
          <w:sz w:val="21"/>
        </w:rPr>
      </w:pPr>
      <w:r>
        <w:rPr>
          <w:rFonts w:ascii="Microsoft JhengHei" w:eastAsia="Microsoft JhengHei" w:hint="eastAsia"/>
          <w:b/>
          <w:sz w:val="21"/>
        </w:rPr>
        <w:t>非直销销售机构：</w:t>
        <w:tab/>
      </w:r>
      <w:r>
        <w:rPr>
          <w:sz w:val="21"/>
        </w:rPr>
        <w:t>指符合《销售办法》和中国证监会规定的其他条件，取得基</w:t>
      </w:r>
    </w:p>
    <w:p>
      <w:pPr>
        <w:pStyle w:val="BodyText"/>
        <w:spacing w:line="364" w:lineRule="auto" w:before="92"/>
        <w:ind w:left="3208" w:right="417"/>
      </w:pPr>
      <w:r>
        <w:rPr/>
        <w:t>金销售业务资格并与基金管理人签订了基金销售服务协议， 办理基金销售业务的机构；</w:t>
      </w:r>
    </w:p>
    <w:p>
      <w:pPr>
        <w:tabs>
          <w:tab w:pos="3207" w:val="left" w:leader="none"/>
        </w:tabs>
        <w:spacing w:line="316" w:lineRule="exact" w:before="0"/>
        <w:ind w:left="508" w:right="0" w:firstLine="0"/>
        <w:jc w:val="left"/>
        <w:rPr>
          <w:sz w:val="21"/>
        </w:rPr>
      </w:pPr>
      <w:r>
        <w:rPr>
          <w:rFonts w:ascii="Microsoft JhengHei" w:eastAsia="Microsoft JhengHei" w:hint="eastAsia"/>
          <w:b/>
          <w:sz w:val="21"/>
        </w:rPr>
        <w:t>直销机构：</w:t>
        <w:tab/>
      </w:r>
      <w:r>
        <w:rPr>
          <w:sz w:val="21"/>
        </w:rPr>
        <w:t>指易方达基金管理有限公司；</w:t>
      </w:r>
    </w:p>
    <w:p>
      <w:pPr>
        <w:tabs>
          <w:tab w:pos="3207" w:val="left" w:leader="none"/>
        </w:tabs>
        <w:spacing w:before="22"/>
        <w:ind w:left="508" w:right="0" w:firstLine="0"/>
        <w:jc w:val="left"/>
        <w:rPr>
          <w:sz w:val="21"/>
        </w:rPr>
      </w:pPr>
      <w:r>
        <w:rPr>
          <w:rFonts w:ascii="Microsoft JhengHei" w:eastAsia="Microsoft JhengHei" w:hint="eastAsia"/>
          <w:b/>
          <w:sz w:val="21"/>
        </w:rPr>
        <w:t>销售机构：</w:t>
        <w:tab/>
      </w:r>
      <w:r>
        <w:rPr>
          <w:sz w:val="21"/>
        </w:rPr>
        <w:t>指直销机构和非直销销售机构；</w:t>
      </w:r>
    </w:p>
    <w:p>
      <w:pPr>
        <w:tabs>
          <w:tab w:pos="3207" w:val="left" w:leader="none"/>
        </w:tabs>
        <w:spacing w:before="22"/>
        <w:ind w:left="508" w:right="0" w:firstLine="0"/>
        <w:jc w:val="left"/>
        <w:rPr>
          <w:sz w:val="21"/>
        </w:rPr>
      </w:pPr>
      <w:r>
        <w:rPr>
          <w:rFonts w:ascii="Microsoft JhengHei" w:eastAsia="Microsoft JhengHei" w:hint="eastAsia"/>
          <w:b/>
          <w:sz w:val="21"/>
        </w:rPr>
        <w:t>基金销售网点：</w:t>
        <w:tab/>
      </w:r>
      <w:r>
        <w:rPr>
          <w:sz w:val="21"/>
        </w:rPr>
        <w:t>指基金管理人的直销网点及非直销销售机构的销售网点；</w:t>
      </w:r>
    </w:p>
    <w:p>
      <w:pPr>
        <w:pStyle w:val="BodyText"/>
        <w:tabs>
          <w:tab w:pos="3207" w:val="left" w:leader="none"/>
        </w:tabs>
        <w:spacing w:before="23"/>
        <w:ind w:left="3208" w:hanging="2700"/>
      </w:pPr>
      <w:r>
        <w:rPr>
          <w:rFonts w:ascii="Microsoft JhengHei" w:eastAsia="Microsoft JhengHei" w:hint="eastAsia"/>
          <w:b/>
        </w:rPr>
        <w:t>指定媒介：</w:t>
        <w:tab/>
      </w:r>
      <w:r>
        <w:rPr/>
        <w:t>指中国证监会指定的用以进行信息披露的全国性报刊及指定</w:t>
      </w:r>
    </w:p>
    <w:p>
      <w:pPr>
        <w:pStyle w:val="BodyText"/>
        <w:spacing w:line="364" w:lineRule="auto" w:before="91"/>
        <w:ind w:left="3208" w:right="417"/>
      </w:pPr>
      <w:r>
        <w:rPr/>
        <w:t>互联网网站（包括基金管理人网站、基金托管人网站、中国证监会基金电子披露网站）等媒介；</w:t>
      </w:r>
    </w:p>
    <w:p>
      <w:pPr>
        <w:pStyle w:val="BodyText"/>
        <w:tabs>
          <w:tab w:pos="3207" w:val="left" w:leader="none"/>
        </w:tabs>
        <w:spacing w:line="316" w:lineRule="exact"/>
        <w:ind w:left="508"/>
      </w:pPr>
      <w:r>
        <w:rPr>
          <w:rFonts w:ascii="Microsoft JhengHei" w:eastAsia="Microsoft JhengHei" w:hint="eastAsia"/>
          <w:b/>
        </w:rPr>
        <w:t>基金账户：</w:t>
        <w:tab/>
      </w:r>
      <w:r>
        <w:rPr/>
        <w:t>指注册登记人为基金投资人开立的记录其持有的由该注册登</w:t>
      </w:r>
    </w:p>
    <w:p>
      <w:pPr>
        <w:pStyle w:val="BodyText"/>
        <w:spacing w:before="92"/>
        <w:ind w:left="3208"/>
      </w:pPr>
      <w:r>
        <w:rPr/>
        <w:t>记人办理注册登记的基金份额余额及其变动情况的账户；</w:t>
      </w:r>
    </w:p>
    <w:p>
      <w:pPr>
        <w:spacing w:after="0"/>
        <w:sectPr>
          <w:pgSz w:w="11910" w:h="16840"/>
          <w:pgMar w:header="0" w:footer="910" w:top="1380" w:bottom="1180" w:left="1400" w:right="1380"/>
        </w:sectPr>
      </w:pPr>
    </w:p>
    <w:p>
      <w:pPr>
        <w:pStyle w:val="BodyText"/>
        <w:tabs>
          <w:tab w:pos="3207" w:val="left" w:leader="none"/>
        </w:tabs>
        <w:spacing w:line="362" w:lineRule="exact"/>
        <w:ind w:left="508"/>
      </w:pPr>
      <w:r>
        <w:rPr>
          <w:rFonts w:ascii="Microsoft JhengHei" w:eastAsia="Microsoft JhengHei" w:hint="eastAsia"/>
          <w:b/>
        </w:rPr>
        <w:t>交易账户：</w:t>
        <w:tab/>
      </w:r>
      <w:r>
        <w:rPr/>
        <w:t>指销售机构为基金投资人开立的记录其持有的由该销售机构</w:t>
      </w:r>
    </w:p>
    <w:p>
      <w:pPr>
        <w:pStyle w:val="BodyText"/>
        <w:spacing w:line="364" w:lineRule="auto" w:before="91"/>
        <w:ind w:left="3208" w:right="417"/>
      </w:pPr>
      <w:r>
        <w:rPr/>
        <w:t>办理认购、申购、赎回、转换及转托管等业务的基金份额余额及其变动情况的账户；</w:t>
      </w:r>
    </w:p>
    <w:p>
      <w:pPr>
        <w:pStyle w:val="BodyText"/>
        <w:tabs>
          <w:tab w:pos="3207" w:val="left" w:leader="none"/>
        </w:tabs>
        <w:spacing w:line="316" w:lineRule="exact"/>
        <w:ind w:left="508"/>
      </w:pPr>
      <w:r>
        <w:rPr>
          <w:rFonts w:ascii="Microsoft JhengHei" w:eastAsia="Microsoft JhengHei" w:hint="eastAsia"/>
          <w:b/>
        </w:rPr>
        <w:t>开放日：</w:t>
        <w:tab/>
      </w:r>
      <w:r>
        <w:rPr/>
        <w:t>指基金管理人办理基金份额申购、赎回或其他业务的日期；</w:t>
      </w:r>
    </w:p>
    <w:p>
      <w:pPr>
        <w:pStyle w:val="BodyText"/>
        <w:tabs>
          <w:tab w:pos="3207" w:val="left" w:leader="none"/>
        </w:tabs>
        <w:spacing w:line="297" w:lineRule="auto" w:before="23"/>
        <w:ind w:left="3208" w:right="417" w:hanging="2700"/>
      </w:pPr>
      <w:r>
        <w:rPr>
          <w:rFonts w:ascii="Microsoft JhengHei" w:eastAsia="Microsoft JhengHei" w:hint="eastAsia"/>
          <w:b/>
        </w:rPr>
        <w:t>T</w:t>
      </w:r>
      <w:r>
        <w:rPr>
          <w:rFonts w:ascii="Microsoft JhengHei" w:eastAsia="Microsoft JhengHei" w:hint="eastAsia"/>
          <w:b/>
          <w:spacing w:val="-5"/>
        </w:rPr>
        <w:t> </w:t>
      </w:r>
      <w:r>
        <w:rPr>
          <w:rFonts w:ascii="Microsoft JhengHei" w:eastAsia="Microsoft JhengHei" w:hint="eastAsia"/>
          <w:b/>
        </w:rPr>
        <w:t>日：</w:t>
        <w:tab/>
      </w:r>
      <w:r>
        <w:rPr/>
        <w:t>指销售机构在规定时间内受理投资人申购、赎回或其他业务申请的日期；</w:t>
      </w:r>
    </w:p>
    <w:p>
      <w:pPr>
        <w:tabs>
          <w:tab w:pos="3207" w:val="left" w:leader="none"/>
        </w:tabs>
        <w:spacing w:before="4"/>
        <w:ind w:left="508" w:right="0" w:firstLine="0"/>
        <w:jc w:val="left"/>
        <w:rPr>
          <w:sz w:val="21"/>
        </w:rPr>
      </w:pPr>
      <w:r>
        <w:rPr>
          <w:rFonts w:ascii="Microsoft JhengHei" w:eastAsia="Microsoft JhengHei" w:hint="eastAsia"/>
          <w:b/>
          <w:sz w:val="21"/>
        </w:rPr>
        <w:t>T＋n</w:t>
      </w:r>
      <w:r>
        <w:rPr>
          <w:rFonts w:ascii="Microsoft JhengHei" w:eastAsia="Microsoft JhengHei" w:hint="eastAsia"/>
          <w:b/>
          <w:spacing w:val="-10"/>
          <w:sz w:val="21"/>
        </w:rPr>
        <w:t> </w:t>
      </w:r>
      <w:r>
        <w:rPr>
          <w:rFonts w:ascii="Microsoft JhengHei" w:eastAsia="Microsoft JhengHei" w:hint="eastAsia"/>
          <w:b/>
          <w:sz w:val="21"/>
        </w:rPr>
        <w:t>日：</w:t>
        <w:tab/>
      </w:r>
      <w:r>
        <w:rPr>
          <w:sz w:val="21"/>
        </w:rPr>
        <w:t>指</w:t>
      </w:r>
      <w:r>
        <w:rPr>
          <w:spacing w:val="-53"/>
          <w:sz w:val="21"/>
        </w:rPr>
        <w:t> </w:t>
      </w:r>
      <w:r>
        <w:rPr>
          <w:sz w:val="21"/>
        </w:rPr>
        <w:t>T</w:t>
      </w:r>
      <w:r>
        <w:rPr>
          <w:spacing w:val="-53"/>
          <w:sz w:val="21"/>
        </w:rPr>
        <w:t> </w:t>
      </w:r>
      <w:r>
        <w:rPr>
          <w:sz w:val="21"/>
        </w:rPr>
        <w:t>日起（不包括</w:t>
      </w:r>
      <w:r>
        <w:rPr>
          <w:spacing w:val="-53"/>
          <w:sz w:val="21"/>
        </w:rPr>
        <w:t> </w:t>
      </w:r>
      <w:r>
        <w:rPr>
          <w:sz w:val="21"/>
        </w:rPr>
        <w:t>T</w:t>
      </w:r>
      <w:r>
        <w:rPr>
          <w:spacing w:val="-53"/>
          <w:sz w:val="21"/>
        </w:rPr>
        <w:t> </w:t>
      </w:r>
      <w:r>
        <w:rPr>
          <w:sz w:val="21"/>
        </w:rPr>
        <w:t>日）的第</w:t>
      </w:r>
      <w:r>
        <w:rPr>
          <w:spacing w:val="-53"/>
          <w:sz w:val="21"/>
        </w:rPr>
        <w:t> </w:t>
      </w:r>
      <w:r>
        <w:rPr>
          <w:sz w:val="21"/>
        </w:rPr>
        <w:t>n</w:t>
      </w:r>
      <w:r>
        <w:rPr>
          <w:spacing w:val="-53"/>
          <w:sz w:val="21"/>
        </w:rPr>
        <w:t> </w:t>
      </w:r>
      <w:r>
        <w:rPr>
          <w:sz w:val="21"/>
        </w:rPr>
        <w:t>个工作日；</w:t>
      </w:r>
    </w:p>
    <w:p>
      <w:pPr>
        <w:pStyle w:val="BodyText"/>
        <w:tabs>
          <w:tab w:pos="3207" w:val="left" w:leader="none"/>
        </w:tabs>
        <w:spacing w:line="297" w:lineRule="auto" w:before="23"/>
        <w:ind w:left="3208" w:right="417" w:hanging="2700"/>
      </w:pPr>
      <w:r>
        <w:rPr>
          <w:rFonts w:ascii="Microsoft JhengHei" w:eastAsia="Microsoft JhengHei" w:hint="eastAsia"/>
          <w:b/>
        </w:rPr>
        <w:t>基金收益：</w:t>
        <w:tab/>
      </w:r>
      <w:r>
        <w:rPr/>
        <w:t>指基金投资所得红利、股息、债券利息、买卖证券价差、银行存款利息及其他合法收入；</w:t>
      </w:r>
    </w:p>
    <w:p>
      <w:pPr>
        <w:tabs>
          <w:tab w:pos="3207" w:val="left" w:leader="none"/>
        </w:tabs>
        <w:spacing w:before="4"/>
        <w:ind w:left="508" w:right="0" w:firstLine="0"/>
        <w:jc w:val="left"/>
        <w:rPr>
          <w:sz w:val="21"/>
        </w:rPr>
      </w:pPr>
      <w:r>
        <w:rPr>
          <w:rFonts w:ascii="Microsoft JhengHei" w:eastAsia="Microsoft JhengHei" w:hint="eastAsia"/>
          <w:b/>
          <w:sz w:val="21"/>
        </w:rPr>
        <w:t>基金资产总值：</w:t>
        <w:tab/>
      </w:r>
      <w:r>
        <w:rPr>
          <w:sz w:val="21"/>
        </w:rPr>
        <w:t>基金资产总值是指本基金拥有的各类证券及票据价值、银行</w:t>
      </w:r>
    </w:p>
    <w:p>
      <w:pPr>
        <w:pStyle w:val="BodyText"/>
        <w:spacing w:line="364" w:lineRule="auto" w:before="92"/>
        <w:ind w:left="3208" w:right="417"/>
      </w:pPr>
      <w:r>
        <w:rPr/>
        <w:t>存款本息、债券的应计利息、基金应收的申购基金款、缴存的保证金以及其他投资所形成的价值总和。</w:t>
      </w:r>
    </w:p>
    <w:p>
      <w:pPr>
        <w:tabs>
          <w:tab w:pos="3207" w:val="left" w:leader="none"/>
        </w:tabs>
        <w:spacing w:line="316" w:lineRule="exact" w:before="0"/>
        <w:ind w:left="508" w:right="0" w:firstLine="0"/>
        <w:jc w:val="left"/>
        <w:rPr>
          <w:sz w:val="21"/>
        </w:rPr>
      </w:pPr>
      <w:r>
        <w:rPr>
          <w:rFonts w:ascii="Microsoft JhengHei" w:eastAsia="Microsoft JhengHei" w:hint="eastAsia"/>
          <w:b/>
          <w:sz w:val="21"/>
        </w:rPr>
        <w:t>基金资产净值：</w:t>
        <w:tab/>
      </w:r>
      <w:r>
        <w:rPr>
          <w:sz w:val="21"/>
        </w:rPr>
        <w:t>指基金资产总值减去基金负债后的价值；</w:t>
      </w:r>
    </w:p>
    <w:p>
      <w:pPr>
        <w:tabs>
          <w:tab w:pos="3207" w:val="left" w:leader="none"/>
        </w:tabs>
        <w:spacing w:before="22"/>
        <w:ind w:left="508" w:right="0" w:firstLine="0"/>
        <w:jc w:val="left"/>
        <w:rPr>
          <w:sz w:val="21"/>
        </w:rPr>
      </w:pPr>
      <w:r>
        <w:rPr>
          <w:rFonts w:ascii="Microsoft JhengHei" w:eastAsia="Microsoft JhengHei" w:hint="eastAsia"/>
          <w:b/>
          <w:sz w:val="21"/>
        </w:rPr>
        <w:t>基金份额净值：</w:t>
        <w:tab/>
      </w:r>
      <w:r>
        <w:rPr>
          <w:sz w:val="21"/>
        </w:rPr>
        <w:t>指计算日基金资产净值除以计算日基金份额余额总数后得出</w:t>
      </w:r>
    </w:p>
    <w:p>
      <w:pPr>
        <w:pStyle w:val="BodyText"/>
        <w:spacing w:before="92"/>
        <w:ind w:left="3208"/>
      </w:pPr>
      <w:r>
        <w:rPr/>
        <w:t>的基金份额的资产净值；</w:t>
      </w:r>
    </w:p>
    <w:p>
      <w:pPr>
        <w:tabs>
          <w:tab w:pos="3207" w:val="left" w:leader="none"/>
        </w:tabs>
        <w:spacing w:before="70"/>
        <w:ind w:left="508" w:right="0" w:firstLine="0"/>
        <w:jc w:val="left"/>
        <w:rPr>
          <w:sz w:val="21"/>
        </w:rPr>
      </w:pPr>
      <w:r>
        <w:rPr>
          <w:rFonts w:ascii="Microsoft JhengHei" w:eastAsia="Microsoft JhengHei" w:hint="eastAsia"/>
          <w:b/>
          <w:sz w:val="21"/>
        </w:rPr>
        <w:t>基金财产估值：</w:t>
        <w:tab/>
      </w:r>
      <w:r>
        <w:rPr>
          <w:sz w:val="21"/>
        </w:rPr>
        <w:t>指计算评估基金资产和负债的价值，以确定基金资产净值和</w:t>
      </w:r>
    </w:p>
    <w:p>
      <w:pPr>
        <w:pStyle w:val="BodyText"/>
        <w:spacing w:before="91"/>
        <w:ind w:left="3208"/>
      </w:pPr>
      <w:r>
        <w:rPr/>
        <w:t>基金份额净值的过程；</w:t>
      </w:r>
    </w:p>
    <w:p>
      <w:pPr>
        <w:pStyle w:val="BodyText"/>
        <w:tabs>
          <w:tab w:pos="3207" w:val="left" w:leader="none"/>
        </w:tabs>
        <w:spacing w:line="408" w:lineRule="exact" w:before="24"/>
        <w:ind w:left="3208" w:right="417" w:hanging="2700"/>
        <w:jc w:val="both"/>
      </w:pPr>
      <w:r>
        <w:rPr>
          <w:rFonts w:ascii="Microsoft JhengHei" w:eastAsia="Microsoft JhengHei" w:hint="eastAsia"/>
          <w:b/>
        </w:rPr>
        <w:t>法律法规：</w:t>
        <w:tab/>
      </w:r>
      <w:r>
        <w:rPr/>
        <w:t>指中华人民共和国现行有效的法律、行政法规、司法解释、地方法规、地方规章、部门规章及其他规范性文件以及对于该等法律法规的不时修改和补充；</w:t>
      </w:r>
    </w:p>
    <w:p>
      <w:pPr>
        <w:spacing w:after="0" w:line="408" w:lineRule="exact"/>
        <w:jc w:val="both"/>
        <w:sectPr>
          <w:pgSz w:w="11910" w:h="16840"/>
          <w:pgMar w:header="0" w:footer="910" w:top="1380" w:bottom="1180" w:left="1400" w:right="1380"/>
        </w:sectPr>
      </w:pPr>
    </w:p>
    <w:p>
      <w:pPr>
        <w:pStyle w:val="Heading4"/>
        <w:spacing w:before="48"/>
        <w:ind w:left="508"/>
      </w:pPr>
      <w:r>
        <w:rPr/>
        <w:t>不可抗力：</w:t>
      </w:r>
    </w:p>
    <w:p>
      <w:pPr>
        <w:pStyle w:val="BodyText"/>
        <w:ind w:left="0"/>
        <w:rPr>
          <w:rFonts w:ascii="Microsoft JhengHei"/>
          <w:b/>
          <w:sz w:val="20"/>
        </w:rPr>
      </w:pPr>
    </w:p>
    <w:p>
      <w:pPr>
        <w:pStyle w:val="BodyText"/>
        <w:ind w:left="0"/>
        <w:rPr>
          <w:rFonts w:ascii="Microsoft JhengHei"/>
          <w:b/>
          <w:sz w:val="20"/>
        </w:rPr>
      </w:pPr>
    </w:p>
    <w:p>
      <w:pPr>
        <w:pStyle w:val="BodyText"/>
        <w:spacing w:before="16"/>
        <w:ind w:left="0"/>
        <w:rPr>
          <w:rFonts w:ascii="Microsoft JhengHei"/>
          <w:b/>
          <w:sz w:val="27"/>
        </w:rPr>
      </w:pPr>
    </w:p>
    <w:p>
      <w:pPr>
        <w:spacing w:before="0"/>
        <w:ind w:left="508" w:right="0" w:firstLine="0"/>
        <w:jc w:val="left"/>
        <w:rPr>
          <w:rFonts w:ascii="Microsoft JhengHei" w:eastAsia="Microsoft JhengHei" w:hint="eastAsia"/>
          <w:b/>
          <w:sz w:val="21"/>
        </w:rPr>
      </w:pPr>
      <w:r>
        <w:rPr>
          <w:rFonts w:ascii="Microsoft JhengHei" w:eastAsia="Microsoft JhengHei" w:hint="eastAsia"/>
          <w:b/>
          <w:sz w:val="21"/>
        </w:rPr>
        <w:t>流动性受限资产：</w:t>
      </w:r>
    </w:p>
    <w:p>
      <w:pPr>
        <w:pStyle w:val="BodyText"/>
        <w:spacing w:line="364" w:lineRule="auto" w:before="117"/>
        <w:ind w:left="508" w:right="417"/>
        <w:jc w:val="both"/>
      </w:pPr>
      <w:r>
        <w:rPr/>
        <w:br w:type="column"/>
      </w:r>
      <w:r>
        <w:rPr/>
        <w:t>指不能预见、不能克服、不能避免的任何事件和因素，包括但不限于洪水、地震及其他自然灾害、战争、骚乱、火灾、政府征用、没收、恐怖袭击、法律变化、突发停电或其他突发事件、证券交易场所非正常暂停或停止交易等；</w:t>
      </w:r>
    </w:p>
    <w:p>
      <w:pPr>
        <w:pStyle w:val="BodyText"/>
        <w:spacing w:line="364" w:lineRule="auto"/>
        <w:ind w:left="508" w:right="312"/>
      </w:pPr>
      <w:r>
        <w:rPr/>
        <w:t>指由于法律法规、监管、合同或操作障碍等原因无法以合理</w:t>
      </w:r>
      <w:r>
        <w:rPr>
          <w:spacing w:val="-10"/>
        </w:rPr>
        <w:t>价格予以变现的资产，包括但不限于到期日在 </w:t>
      </w:r>
      <w:r>
        <w:rPr/>
        <w:t>10</w:t>
      </w:r>
      <w:r>
        <w:rPr>
          <w:spacing w:val="-10"/>
        </w:rPr>
        <w:t> 个交易日以上的逆回购与银行定期存款（含协议约定有条件提前支取的银行存款</w:t>
      </w:r>
      <w:r>
        <w:rPr>
          <w:spacing w:val="-53"/>
        </w:rPr>
        <w:t>）</w:t>
      </w:r>
      <w:r>
        <w:rPr>
          <w:spacing w:val="-5"/>
        </w:rPr>
        <w:t>、停牌股票、流通受限的新股及非公开发行股票、</w:t>
      </w:r>
      <w:r>
        <w:rPr/>
        <w:t>资产支持证券、因发行人债务违约无法进行转让或交易的债券等</w:t>
      </w:r>
    </w:p>
    <w:p>
      <w:pPr>
        <w:spacing w:after="0" w:line="364" w:lineRule="auto"/>
        <w:sectPr>
          <w:type w:val="continuous"/>
          <w:pgSz w:w="11910" w:h="16840"/>
          <w:pgMar w:top="1580" w:bottom="280" w:left="1400" w:right="1380"/>
          <w:cols w:num="2" w:equalWidth="0">
            <w:col w:w="2234" w:space="466"/>
            <w:col w:w="6430"/>
          </w:cols>
        </w:sectPr>
      </w:pPr>
    </w:p>
    <w:p>
      <w:pPr>
        <w:pStyle w:val="Heading1"/>
      </w:pPr>
      <w:bookmarkStart w:name="_bookmark2" w:id="3"/>
      <w:bookmarkEnd w:id="3"/>
      <w:r>
        <w:rPr>
          <w:b w:val="0"/>
        </w:rPr>
      </w:r>
      <w:r>
        <w:rPr/>
        <w:t>三、基金管理人</w:t>
      </w:r>
    </w:p>
    <w:p>
      <w:pPr>
        <w:pStyle w:val="Heading3"/>
        <w:spacing w:before="139"/>
      </w:pPr>
      <w:bookmarkStart w:name="_bookmark3" w:id="4"/>
      <w:bookmarkEnd w:id="4"/>
      <w:r>
        <w:rPr/>
      </w:r>
      <w:r>
        <w:rPr/>
        <w:t>（一）基金管理人基本情况</w:t>
      </w:r>
    </w:p>
    <w:p>
      <w:pPr>
        <w:pStyle w:val="BodyText"/>
        <w:spacing w:before="185"/>
        <w:ind w:left="399"/>
      </w:pPr>
      <w:r>
        <w:rPr/>
        <w:t>1、基金管理人：易方达基金管理有限公司</w:t>
      </w:r>
    </w:p>
    <w:p>
      <w:pPr>
        <w:pStyle w:val="BodyText"/>
        <w:spacing w:line="364" w:lineRule="auto" w:before="139"/>
        <w:ind w:left="400" w:right="169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400" w:right="604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400" w:right="6625"/>
      </w:pPr>
      <w:r>
        <w:rPr/>
        <w:t>联系电话：4008818088 联系人：李红枫</w:t>
      </w:r>
    </w:p>
    <w:p>
      <w:pPr>
        <w:pStyle w:val="BodyText"/>
        <w:spacing w:line="268" w:lineRule="exact"/>
        <w:ind w:left="400"/>
      </w:pPr>
      <w:r>
        <w:rPr/>
        <w:t>注册资本：13,244.2 万元人民币</w:t>
      </w:r>
    </w:p>
    <w:p>
      <w:pPr>
        <w:pStyle w:val="BodyText"/>
        <w:spacing w:before="138"/>
        <w:ind w:left="400"/>
      </w:pPr>
      <w:r>
        <w:rPr/>
        <w:t>2、股权结构：</w:t>
      </w:r>
    </w:p>
    <w:p>
      <w:pPr>
        <w:pStyle w:val="BodyText"/>
        <w:spacing w:before="7" w:after="1"/>
        <w:ind w:left="0"/>
        <w:rPr>
          <w:sz w:val="10"/>
        </w:rPr>
      </w:pPr>
    </w:p>
    <w:tbl>
      <w:tblPr>
        <w:tblW w:w="0" w:type="auto"/>
        <w:jc w:val="left"/>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6"/>
        <w:gridCol w:w="1837"/>
      </w:tblGrid>
      <w:tr>
        <w:trPr>
          <w:trHeight w:val="525" w:hRule="atLeast"/>
        </w:trPr>
        <w:tc>
          <w:tcPr>
            <w:tcW w:w="4926" w:type="dxa"/>
          </w:tcPr>
          <w:p>
            <w:pPr>
              <w:pStyle w:val="TableParagraph"/>
              <w:spacing w:line="378" w:lineRule="exact"/>
              <w:ind w:left="2022" w:right="2013"/>
              <w:jc w:val="center"/>
              <w:rPr>
                <w:rFonts w:ascii="Microsoft JhengHei" w:eastAsia="Microsoft JhengHei" w:hint="eastAsia"/>
                <w:b/>
                <w:sz w:val="21"/>
              </w:rPr>
            </w:pPr>
            <w:r>
              <w:rPr>
                <w:rFonts w:ascii="Microsoft JhengHei" w:eastAsia="Microsoft JhengHei" w:hint="eastAsia"/>
                <w:b/>
                <w:sz w:val="21"/>
              </w:rPr>
              <w:t>股东名称</w:t>
            </w:r>
          </w:p>
        </w:tc>
        <w:tc>
          <w:tcPr>
            <w:tcW w:w="1837" w:type="dxa"/>
          </w:tcPr>
          <w:p>
            <w:pPr>
              <w:pStyle w:val="TableParagraph"/>
              <w:spacing w:line="378" w:lineRule="exact"/>
              <w:ind w:left="395" w:right="386"/>
              <w:jc w:val="center"/>
              <w:rPr>
                <w:rFonts w:ascii="Microsoft JhengHei" w:eastAsia="Microsoft JhengHei" w:hint="eastAsia"/>
                <w:b/>
                <w:sz w:val="21"/>
              </w:rPr>
            </w:pPr>
            <w:r>
              <w:rPr>
                <w:rFonts w:ascii="Microsoft JhengHei" w:eastAsia="Microsoft JhengHei" w:hint="eastAsia"/>
                <w:b/>
                <w:sz w:val="21"/>
              </w:rPr>
              <w:t>出资比例</w:t>
            </w:r>
          </w:p>
        </w:tc>
      </w:tr>
      <w:tr>
        <w:trPr>
          <w:trHeight w:val="525" w:hRule="atLeast"/>
        </w:trPr>
        <w:tc>
          <w:tcPr>
            <w:tcW w:w="4926" w:type="dxa"/>
          </w:tcPr>
          <w:p>
            <w:pPr>
              <w:pStyle w:val="TableParagraph"/>
              <w:spacing w:before="61"/>
              <w:ind w:left="108"/>
              <w:rPr>
                <w:sz w:val="21"/>
              </w:rPr>
            </w:pPr>
            <w:r>
              <w:rPr>
                <w:sz w:val="21"/>
              </w:rPr>
              <w:t>广东粤财信托有限公司</w:t>
            </w:r>
          </w:p>
        </w:tc>
        <w:tc>
          <w:tcPr>
            <w:tcW w:w="1837" w:type="dxa"/>
          </w:tcPr>
          <w:p>
            <w:pPr>
              <w:pStyle w:val="TableParagraph"/>
              <w:spacing w:before="61"/>
              <w:ind w:left="455" w:right="386"/>
              <w:jc w:val="center"/>
              <w:rPr>
                <w:sz w:val="21"/>
              </w:rPr>
            </w:pPr>
            <w:r>
              <w:rPr>
                <w:sz w:val="21"/>
              </w:rPr>
              <w:t>22.6514％</w:t>
            </w:r>
          </w:p>
        </w:tc>
      </w:tr>
      <w:tr>
        <w:trPr>
          <w:trHeight w:val="525" w:hRule="atLeast"/>
        </w:trPr>
        <w:tc>
          <w:tcPr>
            <w:tcW w:w="4926" w:type="dxa"/>
          </w:tcPr>
          <w:p>
            <w:pPr>
              <w:pStyle w:val="TableParagraph"/>
              <w:spacing w:before="61"/>
              <w:ind w:left="108"/>
              <w:rPr>
                <w:sz w:val="21"/>
              </w:rPr>
            </w:pPr>
            <w:r>
              <w:rPr>
                <w:sz w:val="21"/>
              </w:rPr>
              <w:t>广发证券股份有限公司</w:t>
            </w:r>
          </w:p>
        </w:tc>
        <w:tc>
          <w:tcPr>
            <w:tcW w:w="1837" w:type="dxa"/>
          </w:tcPr>
          <w:p>
            <w:pPr>
              <w:pStyle w:val="TableParagraph"/>
              <w:spacing w:before="61"/>
              <w:ind w:left="455" w:right="386"/>
              <w:jc w:val="center"/>
              <w:rPr>
                <w:sz w:val="21"/>
              </w:rPr>
            </w:pPr>
            <w:r>
              <w:rPr>
                <w:sz w:val="21"/>
              </w:rPr>
              <w:t>22.6514％</w:t>
            </w:r>
          </w:p>
        </w:tc>
      </w:tr>
      <w:tr>
        <w:trPr>
          <w:trHeight w:val="525" w:hRule="atLeast"/>
        </w:trPr>
        <w:tc>
          <w:tcPr>
            <w:tcW w:w="4926" w:type="dxa"/>
          </w:tcPr>
          <w:p>
            <w:pPr>
              <w:pStyle w:val="TableParagraph"/>
              <w:spacing w:before="61"/>
              <w:ind w:left="108"/>
              <w:rPr>
                <w:sz w:val="21"/>
              </w:rPr>
            </w:pPr>
            <w:r>
              <w:rPr>
                <w:sz w:val="21"/>
              </w:rPr>
              <w:t>盈峰控股集团有限公司</w:t>
            </w:r>
          </w:p>
        </w:tc>
        <w:tc>
          <w:tcPr>
            <w:tcW w:w="1837" w:type="dxa"/>
          </w:tcPr>
          <w:p>
            <w:pPr>
              <w:pStyle w:val="TableParagraph"/>
              <w:spacing w:before="61"/>
              <w:ind w:left="455" w:right="386"/>
              <w:jc w:val="center"/>
              <w:rPr>
                <w:sz w:val="21"/>
              </w:rPr>
            </w:pPr>
            <w:r>
              <w:rPr>
                <w:sz w:val="21"/>
              </w:rPr>
              <w:t>22.6514％</w:t>
            </w:r>
          </w:p>
        </w:tc>
      </w:tr>
      <w:tr>
        <w:trPr>
          <w:trHeight w:val="525" w:hRule="atLeast"/>
        </w:trPr>
        <w:tc>
          <w:tcPr>
            <w:tcW w:w="4926" w:type="dxa"/>
          </w:tcPr>
          <w:p>
            <w:pPr>
              <w:pStyle w:val="TableParagraph"/>
              <w:spacing w:before="61"/>
              <w:ind w:left="108"/>
              <w:rPr>
                <w:sz w:val="21"/>
              </w:rPr>
            </w:pPr>
            <w:r>
              <w:rPr>
                <w:sz w:val="21"/>
              </w:rPr>
              <w:t>广东省广晟资产经营有限公司</w:t>
            </w:r>
          </w:p>
        </w:tc>
        <w:tc>
          <w:tcPr>
            <w:tcW w:w="1837" w:type="dxa"/>
          </w:tcPr>
          <w:p>
            <w:pPr>
              <w:pStyle w:val="TableParagraph"/>
              <w:spacing w:before="61"/>
              <w:ind w:left="455" w:right="386"/>
              <w:jc w:val="center"/>
              <w:rPr>
                <w:sz w:val="21"/>
              </w:rPr>
            </w:pPr>
            <w:r>
              <w:rPr>
                <w:sz w:val="21"/>
              </w:rPr>
              <w:t>15.1010％</w:t>
            </w:r>
          </w:p>
        </w:tc>
      </w:tr>
      <w:tr>
        <w:trPr>
          <w:trHeight w:val="525" w:hRule="atLeast"/>
        </w:trPr>
        <w:tc>
          <w:tcPr>
            <w:tcW w:w="4926" w:type="dxa"/>
          </w:tcPr>
          <w:p>
            <w:pPr>
              <w:pStyle w:val="TableParagraph"/>
              <w:spacing w:before="61"/>
              <w:ind w:left="108"/>
              <w:rPr>
                <w:sz w:val="21"/>
              </w:rPr>
            </w:pPr>
            <w:r>
              <w:rPr>
                <w:sz w:val="21"/>
              </w:rPr>
              <w:t>广州市广永国有资产经营有限公司</w:t>
            </w:r>
          </w:p>
        </w:tc>
        <w:tc>
          <w:tcPr>
            <w:tcW w:w="1837" w:type="dxa"/>
          </w:tcPr>
          <w:p>
            <w:pPr>
              <w:pStyle w:val="TableParagraph"/>
              <w:spacing w:before="61"/>
              <w:ind w:left="455" w:right="386"/>
              <w:jc w:val="center"/>
              <w:rPr>
                <w:sz w:val="21"/>
              </w:rPr>
            </w:pPr>
            <w:r>
              <w:rPr>
                <w:sz w:val="21"/>
              </w:rPr>
              <w:t>7.5505％</w:t>
            </w:r>
          </w:p>
        </w:tc>
      </w:tr>
      <w:tr>
        <w:trPr>
          <w:trHeight w:val="525" w:hRule="atLeast"/>
        </w:trPr>
        <w:tc>
          <w:tcPr>
            <w:tcW w:w="4926" w:type="dxa"/>
          </w:tcPr>
          <w:p>
            <w:pPr>
              <w:pStyle w:val="TableParagraph"/>
              <w:spacing w:before="61"/>
              <w:ind w:left="108"/>
              <w:rPr>
                <w:sz w:val="21"/>
              </w:rPr>
            </w:pPr>
            <w:r>
              <w:rPr>
                <w:sz w:val="21"/>
              </w:rPr>
              <w:t>珠海祺荣宝股权投资合伙企业（有限合伙）</w:t>
            </w:r>
          </w:p>
        </w:tc>
        <w:tc>
          <w:tcPr>
            <w:tcW w:w="1837" w:type="dxa"/>
          </w:tcPr>
          <w:p>
            <w:pPr>
              <w:pStyle w:val="TableParagraph"/>
              <w:spacing w:before="61"/>
              <w:ind w:left="455" w:right="386"/>
              <w:jc w:val="center"/>
              <w:rPr>
                <w:sz w:val="21"/>
              </w:rPr>
            </w:pPr>
            <w:r>
              <w:rPr>
                <w:sz w:val="21"/>
              </w:rPr>
              <w:t>1.5087％</w:t>
            </w:r>
          </w:p>
        </w:tc>
      </w:tr>
      <w:tr>
        <w:trPr>
          <w:trHeight w:val="525" w:hRule="atLeast"/>
        </w:trPr>
        <w:tc>
          <w:tcPr>
            <w:tcW w:w="4926" w:type="dxa"/>
          </w:tcPr>
          <w:p>
            <w:pPr>
              <w:pStyle w:val="TableParagraph"/>
              <w:spacing w:before="61"/>
              <w:ind w:left="108"/>
              <w:rPr>
                <w:sz w:val="21"/>
              </w:rPr>
            </w:pPr>
            <w:r>
              <w:rPr>
                <w:sz w:val="21"/>
              </w:rPr>
              <w:t>珠海祺泰宝股权投资合伙企业（有限合伙）</w:t>
            </w:r>
          </w:p>
        </w:tc>
        <w:tc>
          <w:tcPr>
            <w:tcW w:w="1837" w:type="dxa"/>
          </w:tcPr>
          <w:p>
            <w:pPr>
              <w:pStyle w:val="TableParagraph"/>
              <w:spacing w:before="61"/>
              <w:ind w:left="455" w:right="386"/>
              <w:jc w:val="center"/>
              <w:rPr>
                <w:sz w:val="21"/>
              </w:rPr>
            </w:pPr>
            <w:r>
              <w:rPr>
                <w:sz w:val="21"/>
              </w:rPr>
              <w:t>1.6205％</w:t>
            </w:r>
          </w:p>
        </w:tc>
      </w:tr>
      <w:tr>
        <w:trPr>
          <w:trHeight w:val="525" w:hRule="atLeast"/>
        </w:trPr>
        <w:tc>
          <w:tcPr>
            <w:tcW w:w="4926" w:type="dxa"/>
          </w:tcPr>
          <w:p>
            <w:pPr>
              <w:pStyle w:val="TableParagraph"/>
              <w:spacing w:before="61"/>
              <w:ind w:left="108"/>
              <w:rPr>
                <w:sz w:val="21"/>
              </w:rPr>
            </w:pPr>
            <w:r>
              <w:rPr>
                <w:sz w:val="21"/>
              </w:rPr>
              <w:t>珠海祺丰宝股权投资合伙企业（有限合伙）</w:t>
            </w:r>
          </w:p>
        </w:tc>
        <w:tc>
          <w:tcPr>
            <w:tcW w:w="1837" w:type="dxa"/>
          </w:tcPr>
          <w:p>
            <w:pPr>
              <w:pStyle w:val="TableParagraph"/>
              <w:spacing w:before="61"/>
              <w:ind w:left="455" w:right="386"/>
              <w:jc w:val="center"/>
              <w:rPr>
                <w:sz w:val="21"/>
              </w:rPr>
            </w:pPr>
            <w:r>
              <w:rPr>
                <w:sz w:val="21"/>
              </w:rPr>
              <w:t>1.5309％</w:t>
            </w:r>
          </w:p>
        </w:tc>
      </w:tr>
      <w:tr>
        <w:trPr>
          <w:trHeight w:val="525" w:hRule="atLeast"/>
        </w:trPr>
        <w:tc>
          <w:tcPr>
            <w:tcW w:w="4926" w:type="dxa"/>
          </w:tcPr>
          <w:p>
            <w:pPr>
              <w:pStyle w:val="TableParagraph"/>
              <w:spacing w:before="61"/>
              <w:ind w:left="108"/>
              <w:rPr>
                <w:sz w:val="21"/>
              </w:rPr>
            </w:pPr>
            <w:r>
              <w:rPr>
                <w:sz w:val="21"/>
              </w:rPr>
              <w:t>珠海聚莱康股权投资合伙企业（有限合伙）</w:t>
            </w:r>
          </w:p>
        </w:tc>
        <w:tc>
          <w:tcPr>
            <w:tcW w:w="1837" w:type="dxa"/>
          </w:tcPr>
          <w:p>
            <w:pPr>
              <w:pStyle w:val="TableParagraph"/>
              <w:spacing w:before="61"/>
              <w:ind w:left="455" w:right="386"/>
              <w:jc w:val="center"/>
              <w:rPr>
                <w:sz w:val="21"/>
              </w:rPr>
            </w:pPr>
            <w:r>
              <w:rPr>
                <w:sz w:val="21"/>
              </w:rPr>
              <w:t>1.7558％</w:t>
            </w:r>
          </w:p>
        </w:tc>
      </w:tr>
      <w:tr>
        <w:trPr>
          <w:trHeight w:val="525" w:hRule="atLeast"/>
        </w:trPr>
        <w:tc>
          <w:tcPr>
            <w:tcW w:w="4926" w:type="dxa"/>
          </w:tcPr>
          <w:p>
            <w:pPr>
              <w:pStyle w:val="TableParagraph"/>
              <w:spacing w:before="61"/>
              <w:ind w:left="108"/>
              <w:rPr>
                <w:sz w:val="21"/>
              </w:rPr>
            </w:pPr>
            <w:r>
              <w:rPr>
                <w:sz w:val="21"/>
              </w:rPr>
              <w:t>珠海聚宁康股权投资合伙企业（有限合伙）</w:t>
            </w:r>
          </w:p>
        </w:tc>
        <w:tc>
          <w:tcPr>
            <w:tcW w:w="1837" w:type="dxa"/>
          </w:tcPr>
          <w:p>
            <w:pPr>
              <w:pStyle w:val="TableParagraph"/>
              <w:spacing w:before="61"/>
              <w:ind w:left="455" w:right="386"/>
              <w:jc w:val="center"/>
              <w:rPr>
                <w:sz w:val="21"/>
              </w:rPr>
            </w:pPr>
            <w:r>
              <w:rPr>
                <w:sz w:val="21"/>
              </w:rPr>
              <w:t>1.4396％</w:t>
            </w:r>
          </w:p>
        </w:tc>
      </w:tr>
      <w:tr>
        <w:trPr>
          <w:trHeight w:val="525" w:hRule="atLeast"/>
        </w:trPr>
        <w:tc>
          <w:tcPr>
            <w:tcW w:w="4926" w:type="dxa"/>
          </w:tcPr>
          <w:p>
            <w:pPr>
              <w:pStyle w:val="TableParagraph"/>
              <w:spacing w:before="61"/>
              <w:ind w:left="108"/>
              <w:rPr>
                <w:sz w:val="21"/>
              </w:rPr>
            </w:pPr>
            <w:r>
              <w:rPr>
                <w:sz w:val="21"/>
              </w:rPr>
              <w:t>珠海聚弘康股权投资合伙企业（有限合伙）</w:t>
            </w:r>
          </w:p>
        </w:tc>
        <w:tc>
          <w:tcPr>
            <w:tcW w:w="1837" w:type="dxa"/>
          </w:tcPr>
          <w:p>
            <w:pPr>
              <w:pStyle w:val="TableParagraph"/>
              <w:spacing w:before="61"/>
              <w:ind w:left="455" w:right="386"/>
              <w:jc w:val="center"/>
              <w:rPr>
                <w:sz w:val="21"/>
              </w:rPr>
            </w:pPr>
            <w:r>
              <w:rPr>
                <w:sz w:val="21"/>
              </w:rPr>
              <w:t>1.5388％</w:t>
            </w:r>
          </w:p>
        </w:tc>
      </w:tr>
      <w:tr>
        <w:trPr>
          <w:trHeight w:val="525" w:hRule="atLeast"/>
        </w:trPr>
        <w:tc>
          <w:tcPr>
            <w:tcW w:w="4926" w:type="dxa"/>
          </w:tcPr>
          <w:p>
            <w:pPr>
              <w:pStyle w:val="TableParagraph"/>
              <w:spacing w:before="61"/>
              <w:ind w:left="108"/>
              <w:rPr>
                <w:sz w:val="21"/>
              </w:rPr>
            </w:pPr>
            <w:r>
              <w:rPr>
                <w:sz w:val="21"/>
              </w:rPr>
              <w:t>总计</w:t>
            </w:r>
          </w:p>
        </w:tc>
        <w:tc>
          <w:tcPr>
            <w:tcW w:w="1837" w:type="dxa"/>
          </w:tcPr>
          <w:p>
            <w:pPr>
              <w:pStyle w:val="TableParagraph"/>
              <w:spacing w:before="61"/>
              <w:ind w:left="455" w:right="386"/>
              <w:jc w:val="center"/>
              <w:rPr>
                <w:sz w:val="21"/>
              </w:rPr>
            </w:pPr>
            <w:r>
              <w:rPr>
                <w:sz w:val="21"/>
              </w:rPr>
              <w:t>100％</w:t>
            </w:r>
          </w:p>
        </w:tc>
      </w:tr>
    </w:tbl>
    <w:p>
      <w:pPr>
        <w:pStyle w:val="Heading3"/>
        <w:spacing w:before="4"/>
      </w:pPr>
      <w:bookmarkStart w:name="_bookmark4" w:id="5"/>
      <w:bookmarkEnd w:id="5"/>
      <w:r>
        <w:rPr/>
      </w:r>
      <w:r>
        <w:rPr/>
        <w:t>（二）主要人员情况</w:t>
      </w:r>
    </w:p>
    <w:p>
      <w:pPr>
        <w:pStyle w:val="Heading4"/>
        <w:spacing w:before="116"/>
        <w:ind w:left="400"/>
      </w:pPr>
      <w:r>
        <w:rPr/>
        <w:t>1、董事、监事及高级管理人员</w:t>
      </w:r>
    </w:p>
    <w:p>
      <w:pPr>
        <w:pStyle w:val="BodyText"/>
        <w:spacing w:line="364" w:lineRule="auto" w:before="91"/>
        <w:ind w:left="400" w:right="4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w:t>
      </w:r>
    </w:p>
    <w:p>
      <w:pPr>
        <w:spacing w:after="0" w:line="364" w:lineRule="auto"/>
        <w:jc w:val="both"/>
        <w:sectPr>
          <w:pgSz w:w="11910" w:h="16840"/>
          <w:pgMar w:header="0" w:footer="910" w:top="1400" w:bottom="1180" w:left="1400" w:right="1380"/>
        </w:sectPr>
      </w:pPr>
    </w:p>
    <w:p>
      <w:pPr>
        <w:pStyle w:val="BodyText"/>
        <w:spacing w:line="364" w:lineRule="auto" w:before="45"/>
        <w:ind w:left="400" w:right="418"/>
        <w:jc w:val="both"/>
      </w:pPr>
      <w:r>
        <w:rPr/>
        <w:t>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pStyle w:val="BodyText"/>
        <w:spacing w:line="364" w:lineRule="auto"/>
        <w:ind w:left="400" w:right="4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364" w:lineRule="auto"/>
        <w:ind w:left="400" w:right="3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400" w:right="4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400" w:right="4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400" w:right="3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00" w:right="2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有限公司董事，上海卡恩文化传播股份有限公司独立董事。</w:t>
        </w:r>
      </w:hyperlink>
    </w:p>
    <w:p>
      <w:pPr>
        <w:pStyle w:val="BodyText"/>
        <w:spacing w:line="267" w:lineRule="exact"/>
      </w:pPr>
      <w:r>
        <w:rPr/>
        <w:t>谭劲松先生，管理学博士（会计学</w:t>
      </w:r>
      <w:r>
        <w:rPr>
          <w:spacing w:val="-105"/>
        </w:rPr>
        <w:t>）</w:t>
      </w:r>
      <w:r>
        <w:rPr/>
        <w:t>，独立董事。曾任邵阳市财会学校教师，中山大学</w:t>
      </w:r>
    </w:p>
    <w:p>
      <w:pPr>
        <w:spacing w:after="0" w:line="267" w:lineRule="exact"/>
        <w:sectPr>
          <w:pgSz w:w="11910" w:h="16840"/>
          <w:pgMar w:header="0" w:footer="910" w:top="1380" w:bottom="1180" w:left="1400" w:right="1380"/>
        </w:sectPr>
      </w:pPr>
    </w:p>
    <w:p>
      <w:pPr>
        <w:pStyle w:val="BodyText"/>
        <w:spacing w:line="364" w:lineRule="auto" w:before="45"/>
        <w:ind w:left="400" w:right="313"/>
      </w:pP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400" w:right="4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spacing w:val="-7"/>
        </w:rPr>
        <w:t>广信君达律师事务所高级合伙人，广东省建筑科学研究院集团股份有限公司独立董事，华农</w:t>
      </w:r>
      <w:r>
        <w:rPr/>
        <w:t>财产保险股份有限公司独立董事。</w:t>
      </w:r>
    </w:p>
    <w:p>
      <w:pPr>
        <w:pStyle w:val="BodyText"/>
        <w:spacing w:line="364" w:lineRule="auto"/>
        <w:ind w:left="400" w:right="2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400" w:right="4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400" w:right="3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400" w:right="4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400" w:right="4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spacing w:after="0" w:line="364" w:lineRule="auto"/>
        <w:jc w:val="both"/>
        <w:sectPr>
          <w:pgSz w:w="11910" w:h="16840"/>
          <w:pgMar w:header="0" w:footer="910" w:top="1380" w:bottom="1180" w:left="1400" w:right="1380"/>
        </w:sectPr>
      </w:pPr>
    </w:p>
    <w:p>
      <w:pPr>
        <w:pStyle w:val="BodyText"/>
        <w:spacing w:line="364" w:lineRule="auto" w:before="45"/>
        <w:ind w:left="400" w:right="418" w:firstLine="420"/>
      </w:pPr>
      <w:r>
        <w:rPr/>
        <w:t>马骏先生，工商管理硕士（EMBA</w:t>
      </w:r>
      <w:r>
        <w:rPr>
          <w:spacing w:val="-105"/>
        </w:rPr>
        <w:t>）</w:t>
      </w:r>
      <w:r>
        <w:rPr/>
        <w:t>，常务副总裁。曾任君安证券有限公司营业部职员，</w:t>
      </w:r>
      <w:r>
        <w:rPr>
          <w:spacing w:val="-6"/>
        </w:rPr>
        <w:t>深圳众大投资有限公司投资部副总经理，广发证券有限责任公司研究员，易方达基金管理有</w:t>
      </w:r>
    </w:p>
    <w:p>
      <w:pPr>
        <w:pStyle w:val="BodyText"/>
        <w:spacing w:line="364" w:lineRule="auto"/>
        <w:ind w:left="400" w:right="103"/>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4"/>
        </w:rPr>
        <w:t>）</w:t>
      </w:r>
      <w:r>
        <w:rPr/>
        <w:t>有限公司</w:t>
      </w:r>
      <w:r>
        <w:rPr>
          <w:spacing w:val="-5"/>
        </w:rPr>
        <w:t>董事长、人民币合格境外投资者</w:t>
      </w:r>
      <w:r>
        <w:rPr/>
        <w:t>（RQFII</w:t>
      </w:r>
      <w:r>
        <w:rPr>
          <w:spacing w:val="-16"/>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400" w:right="3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364" w:lineRule="auto"/>
        <w:ind w:left="400" w:right="4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400" w:right="4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400" w:right="4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400" w:right="4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400" w:right="41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spacing w:after="0" w:line="364" w:lineRule="auto"/>
        <w:jc w:val="both"/>
        <w:sectPr>
          <w:pgSz w:w="11910" w:h="16840"/>
          <w:pgMar w:header="0" w:footer="910" w:top="1380" w:bottom="1180" w:left="1400" w:right="1380"/>
        </w:sectPr>
      </w:pPr>
    </w:p>
    <w:p>
      <w:pPr>
        <w:pStyle w:val="BodyText"/>
        <w:spacing w:line="364" w:lineRule="auto" w:before="45"/>
        <w:ind w:left="400" w:right="103" w:firstLine="420"/>
      </w:pPr>
      <w:r>
        <w:rPr>
          <w:spacing w:val="-10"/>
        </w:rPr>
        <w:t>陈荣女士，经济学博士，副总经理级高级管理人员。曾任中国人民银行广州分行统计研  </w:t>
      </w:r>
      <w:r>
        <w:rPr>
          <w:spacing w:val="-9"/>
        </w:rPr>
        <w:t>究处科员，易方达基金管理有限公司运作支持部经理、核算部总经理助理、核算部副总经理、</w:t>
      </w:r>
      <w:r>
        <w:rPr>
          <w:spacing w:val="-13"/>
        </w:rPr>
        <w:t>核算部总经理、投资风险管理部总经理、总裁助理、董事会秘书、公司财务中心主任。现任  </w:t>
      </w:r>
      <w:r>
        <w:rPr>
          <w:spacing w:val="-18"/>
        </w:rPr>
        <w:t>易方达基金管理有限公司副总经理级高级管理人员，易方达资产管理</w:t>
      </w:r>
      <w:r>
        <w:rPr/>
        <w:t>（香港</w:t>
      </w:r>
      <w:r>
        <w:rPr>
          <w:spacing w:val="-67"/>
        </w:rPr>
        <w:t>）</w:t>
      </w:r>
      <w:r>
        <w:rPr/>
        <w:t>有限公司董事， 易方达资产管理有限公司监事，易方达海外投资（深圳）有限公司监事。</w:t>
      </w:r>
    </w:p>
    <w:p>
      <w:pPr>
        <w:pStyle w:val="BodyText"/>
        <w:spacing w:line="364" w:lineRule="auto"/>
        <w:ind w:left="400" w:right="4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400" w:right="4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400" w:right="4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400" w:right="3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400" w:right="4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400" w:right="4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400" w:right="2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w:t>
      </w:r>
    </w:p>
    <w:p>
      <w:pPr>
        <w:spacing w:after="0" w:line="364" w:lineRule="auto"/>
        <w:sectPr>
          <w:pgSz w:w="11910" w:h="16840"/>
          <w:pgMar w:header="0" w:footer="910" w:top="1380" w:bottom="1180" w:left="1400" w:right="1380"/>
        </w:sectPr>
      </w:pPr>
    </w:p>
    <w:p>
      <w:pPr>
        <w:pStyle w:val="BodyText"/>
        <w:spacing w:before="45"/>
        <w:ind w:left="400"/>
      </w:pPr>
      <w:r>
        <w:rPr/>
        <w:t>基金经理。</w:t>
      </w:r>
    </w:p>
    <w:p>
      <w:pPr>
        <w:pStyle w:val="BodyText"/>
        <w:spacing w:before="139"/>
      </w:pPr>
      <w:r>
        <w:rPr/>
        <w:t>2、基金经理</w:t>
      </w:r>
    </w:p>
    <w:p>
      <w:pPr>
        <w:pStyle w:val="BodyText"/>
        <w:spacing w:line="364" w:lineRule="auto" w:before="140"/>
        <w:ind w:left="400" w:right="417"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6"/>
        </w:rPr>
        <w:t>金经理</w:t>
      </w:r>
      <w:r>
        <w:rPr/>
        <w:t>（</w:t>
      </w:r>
      <w:r>
        <w:rPr>
          <w:spacing w:val="-27"/>
        </w:rPr>
        <w:t>自 </w:t>
      </w:r>
      <w:r>
        <w:rPr/>
        <w:t>2014</w:t>
      </w:r>
      <w:r>
        <w:rPr>
          <w:spacing w:val="-36"/>
        </w:rPr>
        <w:t> 年 </w:t>
      </w:r>
      <w:r>
        <w:rPr/>
        <w:t>11</w:t>
      </w:r>
      <w:r>
        <w:rPr>
          <w:spacing w:val="-36"/>
        </w:rPr>
        <w:t> 月 </w:t>
      </w:r>
      <w:r>
        <w:rPr/>
        <w:t>22</w:t>
      </w:r>
      <w:r>
        <w:rPr>
          <w:spacing w:val="-27"/>
        </w:rPr>
        <w:t> 日至 </w:t>
      </w:r>
      <w:r>
        <w:rPr/>
        <w:t>2017</w:t>
      </w:r>
      <w:r>
        <w:rPr>
          <w:spacing w:val="-36"/>
        </w:rPr>
        <w:t> 年 </w:t>
      </w:r>
      <w:r>
        <w:rPr/>
        <w:t>5</w:t>
      </w:r>
      <w:r>
        <w:rPr>
          <w:spacing w:val="-36"/>
        </w:rPr>
        <w:t> 月 </w:t>
      </w:r>
      <w:r>
        <w:rPr/>
        <w:t>10</w:t>
      </w:r>
      <w:r>
        <w:rPr>
          <w:spacing w:val="-27"/>
        </w:rPr>
        <w:t> 日</w:t>
      </w:r>
      <w:r>
        <w:rPr>
          <w:spacing w:val="-105"/>
        </w:rPr>
        <w:t>）</w:t>
      </w:r>
      <w:r>
        <w:rPr>
          <w:spacing w:val="-7"/>
        </w:rPr>
        <w:t>、易方达供给改革灵活配置混合型证券</w:t>
      </w:r>
      <w:r>
        <w:rPr>
          <w:spacing w:val="-13"/>
        </w:rPr>
        <w:t>投资基金基金经理</w:t>
      </w:r>
      <w:r>
        <w:rPr/>
        <w:t>（</w:t>
      </w:r>
      <w:r>
        <w:rPr>
          <w:spacing w:val="-27"/>
        </w:rPr>
        <w:t>自 </w:t>
      </w:r>
      <w:r>
        <w:rPr/>
        <w:t>2017</w:t>
      </w:r>
      <w:r>
        <w:rPr>
          <w:spacing w:val="-36"/>
        </w:rPr>
        <w:t> 年 </w:t>
      </w:r>
      <w:r>
        <w:rPr/>
        <w:t>1</w:t>
      </w:r>
      <w:r>
        <w:rPr>
          <w:spacing w:val="-36"/>
        </w:rPr>
        <w:t> 月 </w:t>
      </w:r>
      <w:r>
        <w:rPr/>
        <w:t>25</w:t>
      </w:r>
      <w:r>
        <w:rPr>
          <w:spacing w:val="-27"/>
        </w:rPr>
        <w:t> 日至 </w:t>
      </w:r>
      <w:r>
        <w:rPr/>
        <w:t>2018</w:t>
      </w:r>
      <w:r>
        <w:rPr>
          <w:spacing w:val="-36"/>
        </w:rPr>
        <w:t> 年 </w:t>
      </w:r>
      <w:r>
        <w:rPr/>
        <w:t>12</w:t>
      </w:r>
      <w:r>
        <w:rPr>
          <w:spacing w:val="-36"/>
        </w:rPr>
        <w:t> 月 </w:t>
      </w:r>
      <w:r>
        <w:rPr/>
        <w:t>24</w:t>
      </w:r>
      <w:r>
        <w:rPr>
          <w:spacing w:val="-27"/>
        </w:rPr>
        <w:t> 日</w:t>
      </w:r>
      <w:r>
        <w:rPr>
          <w:spacing w:val="-105"/>
        </w:rPr>
        <w:t>）</w:t>
      </w:r>
      <w:r>
        <w:rPr>
          <w:spacing w:val="-7"/>
        </w:rPr>
        <w:t>、易方达国防军工混合型证</w:t>
      </w:r>
      <w:r>
        <w:rPr>
          <w:spacing w:val="-12"/>
        </w:rPr>
        <w:t>券投资基金基金经理</w:t>
      </w:r>
      <w:r>
        <w:rPr/>
        <w:t>（</w:t>
      </w:r>
      <w:r>
        <w:rPr>
          <w:spacing w:val="-27"/>
        </w:rPr>
        <w:t>自 </w:t>
      </w:r>
      <w:r>
        <w:rPr/>
        <w:t>2015</w:t>
      </w:r>
      <w:r>
        <w:rPr>
          <w:spacing w:val="-36"/>
        </w:rPr>
        <w:t> 年 </w:t>
      </w:r>
      <w:r>
        <w:rPr/>
        <w:t>6</w:t>
      </w:r>
      <w:r>
        <w:rPr>
          <w:spacing w:val="-36"/>
        </w:rPr>
        <w:t> 月 </w:t>
      </w:r>
      <w:r>
        <w:rPr/>
        <w:t>19</w:t>
      </w:r>
      <w:r>
        <w:rPr>
          <w:spacing w:val="-27"/>
        </w:rPr>
        <w:t> 日至 </w:t>
      </w:r>
      <w:r>
        <w:rPr/>
        <w:t>2020</w:t>
      </w:r>
      <w:r>
        <w:rPr>
          <w:spacing w:val="-36"/>
        </w:rPr>
        <w:t> 年 </w:t>
      </w:r>
      <w:r>
        <w:rPr/>
        <w:t>6</w:t>
      </w:r>
      <w:r>
        <w:rPr>
          <w:spacing w:val="-36"/>
        </w:rPr>
        <w:t> 月 </w:t>
      </w:r>
      <w:r>
        <w:rPr/>
        <w:t>5</w:t>
      </w:r>
      <w:r>
        <w:rPr>
          <w:spacing w:val="-27"/>
        </w:rPr>
        <w:t> 日</w:t>
      </w:r>
      <w:r>
        <w:rPr>
          <w:spacing w:val="-105"/>
        </w:rPr>
        <w:t>）</w:t>
      </w:r>
      <w:r>
        <w:rPr>
          <w:spacing w:val="-7"/>
        </w:rPr>
        <w:t>、易方达科融混合型证券投资基金基金经理（</w:t>
      </w:r>
      <w:r>
        <w:rPr>
          <w:spacing w:val="-30"/>
        </w:rPr>
        <w:t>自 </w:t>
      </w:r>
      <w:r>
        <w:rPr/>
        <w:t>2019</w:t>
      </w:r>
      <w:r>
        <w:rPr>
          <w:spacing w:val="-36"/>
        </w:rPr>
        <w:t> 年 </w:t>
      </w:r>
      <w:r>
        <w:rPr/>
        <w:t>3</w:t>
      </w:r>
      <w:r>
        <w:rPr>
          <w:spacing w:val="-36"/>
        </w:rPr>
        <w:t> 月 </w:t>
      </w:r>
      <w:r>
        <w:rPr/>
        <w:t>26</w:t>
      </w:r>
      <w:r>
        <w:rPr>
          <w:spacing w:val="-27"/>
        </w:rPr>
        <w:t> 日至 </w:t>
      </w:r>
      <w:r>
        <w:rPr/>
        <w:t>2020</w:t>
      </w:r>
      <w:r>
        <w:rPr>
          <w:spacing w:val="-36"/>
        </w:rPr>
        <w:t> 年 </w:t>
      </w:r>
      <w:r>
        <w:rPr/>
        <w:t>7</w:t>
      </w:r>
      <w:r>
        <w:rPr>
          <w:spacing w:val="-36"/>
        </w:rPr>
        <w:t> 月 </w:t>
      </w:r>
      <w:r>
        <w:rPr/>
        <w:t>31</w:t>
      </w:r>
      <w:r>
        <w:rPr>
          <w:spacing w:val="-27"/>
        </w:rPr>
        <w:t> 日</w:t>
      </w:r>
      <w:r>
        <w:rPr>
          <w:spacing w:val="-105"/>
        </w:rPr>
        <w:t>）</w:t>
      </w:r>
      <w:r>
        <w:rPr/>
        <w:t>。现任易方达基金管理有限公</w:t>
      </w:r>
      <w:r>
        <w:rPr>
          <w:spacing w:val="-7"/>
        </w:rPr>
        <w:t>司副总经理级高级管理人员、投资一部总经理、权益投资决策委员会委员、易方达平稳增长</w:t>
      </w:r>
      <w:r>
        <w:rPr/>
        <w:t>证券投资基金基金经理（</w:t>
      </w:r>
      <w:r>
        <w:rPr>
          <w:spacing w:val="-27"/>
        </w:rPr>
        <w:t>自 </w:t>
      </w:r>
      <w:r>
        <w:rPr/>
        <w:t>2012</w:t>
      </w:r>
      <w:r>
        <w:rPr>
          <w:spacing w:val="-36"/>
        </w:rPr>
        <w:t> 年 </w:t>
      </w:r>
      <w:r>
        <w:rPr/>
        <w:t>9</w:t>
      </w:r>
      <w:r>
        <w:rPr>
          <w:spacing w:val="-36"/>
        </w:rPr>
        <w:t> 月 </w:t>
      </w:r>
      <w:r>
        <w:rPr/>
        <w:t>28</w:t>
      </w:r>
      <w:r>
        <w:rPr>
          <w:spacing w:val="-12"/>
        </w:rPr>
        <w:t> 日起任职</w:t>
      </w:r>
      <w:r>
        <w:rPr>
          <w:spacing w:val="-105"/>
        </w:rPr>
        <w:t>）</w:t>
      </w:r>
      <w:r>
        <w:rPr/>
        <w:t>、易方达科翔混合型证券投资基金基</w:t>
      </w:r>
    </w:p>
    <w:p>
      <w:pPr>
        <w:pStyle w:val="BodyText"/>
        <w:spacing w:line="364" w:lineRule="auto"/>
        <w:ind w:left="400" w:right="417"/>
        <w:jc w:val="both"/>
      </w:pPr>
      <w:r>
        <w:rPr/>
        <w:t>金经理（</w:t>
      </w:r>
      <w:r>
        <w:rPr>
          <w:spacing w:val="-27"/>
        </w:rPr>
        <w:t>自 </w:t>
      </w:r>
      <w:r>
        <w:rPr/>
        <w:t>2014</w:t>
      </w:r>
      <w:r>
        <w:rPr>
          <w:spacing w:val="-36"/>
        </w:rPr>
        <w:t> 年 </w:t>
      </w:r>
      <w:r>
        <w:rPr/>
        <w:t>5</w:t>
      </w:r>
      <w:r>
        <w:rPr>
          <w:spacing w:val="-36"/>
        </w:rPr>
        <w:t> 月 </w:t>
      </w:r>
      <w:r>
        <w:rPr/>
        <w:t>10</w:t>
      </w:r>
      <w:r>
        <w:rPr>
          <w:spacing w:val="-12"/>
        </w:rPr>
        <w:t> 日起任职</w:t>
      </w:r>
      <w:r>
        <w:rPr>
          <w:spacing w:val="-105"/>
        </w:rPr>
        <w:t>）</w:t>
      </w:r>
      <w:r>
        <w:rPr/>
        <w:t>、易方达新经济灵活配置混合型证券投资基金基金经</w:t>
      </w:r>
      <w:r>
        <w:rPr>
          <w:spacing w:val="-49"/>
        </w:rPr>
        <w:t>理</w:t>
      </w:r>
      <w:r>
        <w:rPr/>
        <w:t>（</w:t>
      </w:r>
      <w:r>
        <w:rPr>
          <w:spacing w:val="-27"/>
        </w:rPr>
        <w:t>自 </w:t>
      </w:r>
      <w:r>
        <w:rPr/>
        <w:t>2015</w:t>
      </w:r>
      <w:r>
        <w:rPr>
          <w:spacing w:val="-36"/>
        </w:rPr>
        <w:t> 年 </w:t>
      </w:r>
      <w:r>
        <w:rPr/>
        <w:t>2</w:t>
      </w:r>
      <w:r>
        <w:rPr>
          <w:spacing w:val="-36"/>
        </w:rPr>
        <w:t> 月 </w:t>
      </w:r>
      <w:r>
        <w:rPr/>
        <w:t>12</w:t>
      </w:r>
      <w:r>
        <w:rPr>
          <w:spacing w:val="-12"/>
        </w:rPr>
        <w:t> 日起任职</w:t>
      </w:r>
      <w:r>
        <w:rPr>
          <w:spacing w:val="-105"/>
        </w:rPr>
        <w:t>）</w:t>
      </w:r>
      <w:r>
        <w:rPr>
          <w:spacing w:val="-11"/>
        </w:rPr>
        <w:t>、易方达科讯混合型证券投资基金基金经理</w:t>
      </w:r>
      <w:r>
        <w:rPr/>
        <w:t>（</w:t>
      </w:r>
      <w:r>
        <w:rPr>
          <w:spacing w:val="-27"/>
        </w:rPr>
        <w:t>自 </w:t>
      </w:r>
      <w:r>
        <w:rPr/>
        <w:t>2018</w:t>
      </w:r>
      <w:r>
        <w:rPr>
          <w:spacing w:val="-36"/>
        </w:rPr>
        <w:t> 年 </w:t>
      </w:r>
      <w:r>
        <w:rPr>
          <w:spacing w:val="-6"/>
        </w:rPr>
        <w:t>12 </w:t>
      </w:r>
      <w:r>
        <w:rPr>
          <w:spacing w:val="-27"/>
        </w:rPr>
        <w:t>月 </w:t>
      </w:r>
      <w:r>
        <w:rPr/>
        <w:t>11</w:t>
      </w:r>
      <w:r>
        <w:rPr>
          <w:spacing w:val="-12"/>
        </w:rPr>
        <w:t> 日起任职</w:t>
      </w:r>
      <w:r>
        <w:rPr>
          <w:spacing w:val="-105"/>
        </w:rPr>
        <w:t>）</w:t>
      </w:r>
      <w:r>
        <w:rPr>
          <w:spacing w:val="-9"/>
        </w:rPr>
        <w:t>、易方达均衡成长股票型证券投资基金基金经理</w:t>
      </w:r>
      <w:r>
        <w:rPr/>
        <w:t>（</w:t>
      </w:r>
      <w:r>
        <w:rPr>
          <w:spacing w:val="-27"/>
        </w:rPr>
        <w:t>自 </w:t>
      </w:r>
      <w:r>
        <w:rPr/>
        <w:t>2020</w:t>
      </w:r>
      <w:r>
        <w:rPr>
          <w:spacing w:val="-36"/>
        </w:rPr>
        <w:t> 年 </w:t>
      </w:r>
      <w:r>
        <w:rPr/>
        <w:t>5</w:t>
      </w:r>
      <w:r>
        <w:rPr>
          <w:spacing w:val="-36"/>
        </w:rPr>
        <w:t> 月 </w:t>
      </w:r>
      <w:r>
        <w:rPr/>
        <w:t>22</w:t>
      </w:r>
      <w:r>
        <w:rPr>
          <w:spacing w:val="-17"/>
        </w:rPr>
        <w:t> 日起任</w:t>
      </w:r>
      <w:r>
        <w:rPr/>
        <w:t>职</w:t>
      </w:r>
      <w:r>
        <w:rPr>
          <w:spacing w:val="-105"/>
        </w:rPr>
        <w:t>）</w:t>
      </w:r>
      <w:r>
        <w:rPr>
          <w:spacing w:val="-13"/>
        </w:rPr>
        <w:t>、易方达创新未来 </w:t>
      </w:r>
      <w:r>
        <w:rPr/>
        <w:t>18</w:t>
      </w:r>
      <w:r>
        <w:rPr>
          <w:spacing w:val="-10"/>
        </w:rPr>
        <w:t> 个月封闭运作混合型证券投资基金基金经理</w:t>
      </w:r>
      <w:r>
        <w:rPr/>
        <w:t>（</w:t>
      </w:r>
      <w:r>
        <w:rPr>
          <w:spacing w:val="-27"/>
        </w:rPr>
        <w:t>自 </w:t>
      </w:r>
      <w:r>
        <w:rPr/>
        <w:t>2020</w:t>
      </w:r>
      <w:r>
        <w:rPr>
          <w:spacing w:val="-36"/>
        </w:rPr>
        <w:t> 年 </w:t>
      </w:r>
      <w:r>
        <w:rPr/>
        <w:t>9</w:t>
      </w:r>
      <w:r>
        <w:rPr>
          <w:spacing w:val="-36"/>
        </w:rPr>
        <w:t> 月 </w:t>
      </w:r>
      <w:r>
        <w:rPr/>
        <w:t>29</w:t>
      </w:r>
      <w:r>
        <w:rPr>
          <w:spacing w:val="-32"/>
        </w:rPr>
        <w:t> 日</w:t>
      </w:r>
      <w:r>
        <w:rPr/>
        <w:t>起任职</w:t>
      </w:r>
      <w:r>
        <w:rPr>
          <w:spacing w:val="-105"/>
        </w:rPr>
        <w:t>）</w:t>
      </w:r>
      <w:r>
        <w:rPr/>
        <w:t>。</w:t>
      </w:r>
    </w:p>
    <w:p>
      <w:pPr>
        <w:pStyle w:val="BodyText"/>
        <w:spacing w:line="364" w:lineRule="auto"/>
        <w:ind w:left="400" w:right="417" w:firstLine="420"/>
        <w:jc w:val="both"/>
      </w:pPr>
      <w:r>
        <w:rPr>
          <w:spacing w:val="-11"/>
        </w:rPr>
        <w:t>刘健维先生，金融硕士。曾任广发基金管理有限公司研究部研究员，国泰基金管理有限</w:t>
      </w:r>
      <w:r>
        <w:rPr>
          <w:spacing w:val="-9"/>
        </w:rPr>
        <w:t>公司研究部研究员，易方达基金管理有限公司行业研究员、易方达科讯混合型证券投资基金</w:t>
      </w:r>
      <w:r>
        <w:rPr>
          <w:spacing w:val="-11"/>
        </w:rPr>
        <w:t>基金经理助理。现任易方达基金管理有限公司易方达科讯混合型证券投资基金基金经理</w:t>
      </w:r>
      <w:r>
        <w:rPr/>
        <w:t>（自2019</w:t>
      </w:r>
      <w:r>
        <w:rPr>
          <w:spacing w:val="-36"/>
        </w:rPr>
        <w:t> 年 </w:t>
      </w:r>
      <w:r>
        <w:rPr/>
        <w:t>7</w:t>
      </w:r>
      <w:r>
        <w:rPr>
          <w:spacing w:val="-36"/>
        </w:rPr>
        <w:t> 月 </w:t>
      </w:r>
      <w:r>
        <w:rPr/>
        <w:t>12</w:t>
      </w:r>
      <w:r>
        <w:rPr>
          <w:spacing w:val="-12"/>
        </w:rPr>
        <w:t> 日起任职</w:t>
      </w:r>
      <w:r>
        <w:rPr>
          <w:spacing w:val="-105"/>
        </w:rPr>
        <w:t>）</w:t>
      </w:r>
      <w:r>
        <w:rPr>
          <w:spacing w:val="-6"/>
        </w:rPr>
        <w:t>、易方达科融混合型证券投资基金基金经理</w:t>
      </w:r>
      <w:r>
        <w:rPr/>
        <w:t>（</w:t>
      </w:r>
      <w:r>
        <w:rPr>
          <w:spacing w:val="-27"/>
        </w:rPr>
        <w:t>自 </w:t>
      </w:r>
      <w:r>
        <w:rPr/>
        <w:t>2020</w:t>
      </w:r>
      <w:r>
        <w:rPr>
          <w:spacing w:val="-36"/>
        </w:rPr>
        <w:t> 年 </w:t>
      </w:r>
      <w:r>
        <w:rPr/>
        <w:t>6</w:t>
      </w:r>
      <w:r>
        <w:rPr>
          <w:spacing w:val="-36"/>
        </w:rPr>
        <w:t> 月 </w:t>
      </w:r>
      <w:r>
        <w:rPr/>
        <w:t>6</w:t>
      </w:r>
      <w:r>
        <w:rPr>
          <w:spacing w:val="-32"/>
        </w:rPr>
        <w:t> 日</w:t>
      </w:r>
      <w:r>
        <w:rPr/>
        <w:t>起任职</w:t>
      </w:r>
      <w:r>
        <w:rPr>
          <w:spacing w:val="-105"/>
        </w:rPr>
        <w:t>）</w:t>
      </w:r>
      <w:r>
        <w:rPr/>
        <w:t>。</w:t>
      </w:r>
    </w:p>
    <w:p>
      <w:pPr>
        <w:pStyle w:val="BodyText"/>
        <w:spacing w:line="267" w:lineRule="exact"/>
        <w:jc w:val="both"/>
      </w:pPr>
      <w:r>
        <w:rPr>
          <w:spacing w:val="-3"/>
        </w:rPr>
        <w:t>本基金历任基金经理情况：侯清濯，管理时间为 </w:t>
      </w:r>
      <w:r>
        <w:rPr/>
        <w:t>2007</w:t>
      </w:r>
      <w:r>
        <w:rPr>
          <w:spacing w:val="-36"/>
        </w:rPr>
        <w:t> 年 </w:t>
      </w:r>
      <w:r>
        <w:rPr/>
        <w:t>12</w:t>
      </w:r>
      <w:r>
        <w:rPr>
          <w:spacing w:val="-36"/>
        </w:rPr>
        <w:t> 月 </w:t>
      </w:r>
      <w:r>
        <w:rPr/>
        <w:t>18</w:t>
      </w:r>
      <w:r>
        <w:rPr>
          <w:spacing w:val="-27"/>
        </w:rPr>
        <w:t> 日至 </w:t>
      </w:r>
      <w:r>
        <w:rPr/>
        <w:t>2010</w:t>
      </w:r>
      <w:r>
        <w:rPr>
          <w:spacing w:val="-36"/>
        </w:rPr>
        <w:t> 年 </w:t>
      </w:r>
      <w:r>
        <w:rPr/>
        <w:t>9</w:t>
      </w:r>
      <w:r>
        <w:rPr>
          <w:spacing w:val="-36"/>
        </w:rPr>
        <w:t> 月 </w:t>
      </w:r>
      <w:r>
        <w:rPr/>
        <w:t>10</w:t>
      </w:r>
    </w:p>
    <w:p>
      <w:pPr>
        <w:pStyle w:val="BodyText"/>
        <w:spacing w:line="364" w:lineRule="auto" w:before="133"/>
        <w:ind w:right="2845" w:hanging="420"/>
        <w:jc w:val="both"/>
      </w:pPr>
      <w:r>
        <w:rPr>
          <w:spacing w:val="-5"/>
        </w:rPr>
        <w:t>日；宋昆，管理时间为 </w:t>
      </w:r>
      <w:r>
        <w:rPr/>
        <w:t>2010</w:t>
      </w:r>
      <w:r>
        <w:rPr>
          <w:spacing w:val="-36"/>
        </w:rPr>
        <w:t> 年 </w:t>
      </w:r>
      <w:r>
        <w:rPr/>
        <w:t>9</w:t>
      </w:r>
      <w:r>
        <w:rPr>
          <w:spacing w:val="-36"/>
        </w:rPr>
        <w:t> 月 </w:t>
      </w:r>
      <w:r>
        <w:rPr/>
        <w:t>11</w:t>
      </w:r>
      <w:r>
        <w:rPr>
          <w:spacing w:val="-27"/>
        </w:rPr>
        <w:t> 日至 </w:t>
      </w:r>
      <w:r>
        <w:rPr/>
        <w:t>2019</w:t>
      </w:r>
      <w:r>
        <w:rPr>
          <w:spacing w:val="-36"/>
        </w:rPr>
        <w:t> 年 </w:t>
      </w:r>
      <w:r>
        <w:rPr/>
        <w:t>1</w:t>
      </w:r>
      <w:r>
        <w:rPr>
          <w:spacing w:val="-36"/>
        </w:rPr>
        <w:t> 月 </w:t>
      </w:r>
      <w:r>
        <w:rPr/>
        <w:t>11</w:t>
      </w:r>
      <w:r>
        <w:rPr>
          <w:spacing w:val="-23"/>
        </w:rPr>
        <w:t> 日。</w:t>
      </w:r>
      <w:r>
        <w:rPr/>
        <w:t>3、权益投资决策委员会成员</w:t>
      </w:r>
    </w:p>
    <w:p>
      <w:pPr>
        <w:pStyle w:val="BodyText"/>
        <w:spacing w:line="364" w:lineRule="auto"/>
        <w:ind w:left="400" w:right="208" w:firstLine="420"/>
      </w:pPr>
      <w:r>
        <w:rPr/>
        <w:t>本公司权益投资决策委员会成员包括：吴欣荣先生、冯波先生、陈皓先生、张坤先生、孙松先生、付浩先生。</w:t>
      </w:r>
    </w:p>
    <w:p>
      <w:pPr>
        <w:pStyle w:val="BodyText"/>
        <w:spacing w:line="364" w:lineRule="auto"/>
        <w:ind w:right="6415"/>
      </w:pPr>
      <w:r>
        <w:rPr>
          <w:spacing w:val="-3"/>
        </w:rPr>
        <w:t>吴欣荣先生，同上。</w:t>
      </w:r>
      <w:r>
        <w:rPr/>
        <w:t>冯波先生，同上。 陈皓先生，同上。 张坤先生，同上。</w:t>
      </w:r>
    </w:p>
    <w:p>
      <w:pPr>
        <w:pStyle w:val="BodyText"/>
        <w:spacing w:line="267" w:lineRule="exact"/>
      </w:pPr>
      <w:r>
        <w:rPr/>
        <w:t>孙松先生，易方达基金管理有限公司投资二部总经理、基金经理。</w:t>
      </w:r>
    </w:p>
    <w:p>
      <w:pPr>
        <w:pStyle w:val="BodyText"/>
        <w:spacing w:before="138"/>
      </w:pPr>
      <w:r>
        <w:rPr/>
        <w:t>付浩先生，易方达基金管理有限公司权益投资管理部总经理、基金经理。</w:t>
      </w:r>
    </w:p>
    <w:p>
      <w:pPr>
        <w:pStyle w:val="BodyText"/>
        <w:spacing w:before="139"/>
      </w:pPr>
      <w:r>
        <w:rPr/>
        <w:t>4、上述人员之间均不存在近亲属关系。</w:t>
      </w:r>
    </w:p>
    <w:p>
      <w:pPr>
        <w:pStyle w:val="Heading3"/>
        <w:spacing w:before="141"/>
      </w:pPr>
      <w:bookmarkStart w:name="_bookmark5" w:id="6"/>
      <w:bookmarkEnd w:id="6"/>
      <w:r>
        <w:rPr/>
      </w:r>
      <w:r>
        <w:rPr/>
        <w:t>（三）基金管理人的职责</w:t>
      </w:r>
    </w:p>
    <w:p>
      <w:pPr>
        <w:pStyle w:val="BodyText"/>
        <w:spacing w:before="184"/>
        <w:ind w:left="610"/>
      </w:pPr>
      <w:r>
        <w:rPr/>
        <w:t>1、依法募集资金，办理基金份额的发售和登记事宜；</w:t>
      </w:r>
    </w:p>
    <w:p>
      <w:pPr>
        <w:spacing w:after="0"/>
        <w:sectPr>
          <w:pgSz w:w="11910" w:h="16840"/>
          <w:pgMar w:header="0" w:footer="910" w:top="1380" w:bottom="1180" w:left="1400" w:right="1380"/>
        </w:sectPr>
      </w:pPr>
    </w:p>
    <w:p>
      <w:pPr>
        <w:pStyle w:val="BodyText"/>
        <w:spacing w:before="45"/>
        <w:ind w:left="610"/>
      </w:pPr>
      <w:r>
        <w:rPr/>
        <w:t>2、办理基金转型手续；</w:t>
      </w:r>
    </w:p>
    <w:p>
      <w:pPr>
        <w:pStyle w:val="BodyText"/>
        <w:spacing w:before="139"/>
        <w:ind w:left="610"/>
      </w:pPr>
      <w:r>
        <w:rPr/>
        <w:t>3、对所管理的不同基金财产分别管理、分别记账，进行证券投资；</w:t>
      </w:r>
    </w:p>
    <w:p>
      <w:pPr>
        <w:pStyle w:val="BodyText"/>
        <w:spacing w:before="140"/>
        <w:ind w:left="610"/>
      </w:pPr>
      <w:r>
        <w:rPr/>
        <w:t>4、按照基金合同的约定确定基金收益分配方案，及时向基金份额持有人分配收益；</w:t>
      </w:r>
    </w:p>
    <w:p>
      <w:pPr>
        <w:pStyle w:val="BodyText"/>
        <w:spacing w:before="139"/>
        <w:ind w:left="610"/>
      </w:pPr>
      <w:r>
        <w:rPr/>
        <w:t>5、进行基金会计核算并编制基金财务会计报告；</w:t>
      </w:r>
    </w:p>
    <w:p>
      <w:pPr>
        <w:pStyle w:val="BodyText"/>
        <w:spacing w:before="140"/>
        <w:ind w:left="610"/>
      </w:pPr>
      <w:r>
        <w:rPr/>
        <w:t>6、编制季度报告、中期报告和年度报告；</w:t>
      </w:r>
    </w:p>
    <w:p>
      <w:pPr>
        <w:pStyle w:val="BodyText"/>
        <w:spacing w:before="139"/>
        <w:ind w:left="610"/>
      </w:pPr>
      <w:r>
        <w:rPr/>
        <w:t>7、计算并公告基金净值信息，确定基金份额申购、赎回价格；</w:t>
      </w:r>
    </w:p>
    <w:p>
      <w:pPr>
        <w:pStyle w:val="BodyText"/>
        <w:spacing w:before="140"/>
        <w:ind w:left="610"/>
      </w:pPr>
      <w:r>
        <w:rPr/>
        <w:t>8、办理与基金财产管理业务活动有关的信息披露事项；</w:t>
      </w:r>
    </w:p>
    <w:p>
      <w:pPr>
        <w:pStyle w:val="BodyText"/>
        <w:spacing w:before="139"/>
        <w:ind w:left="610"/>
      </w:pPr>
      <w:r>
        <w:rPr/>
        <w:t>9、按照规定召集基金份额持有人大会；</w:t>
      </w:r>
    </w:p>
    <w:p>
      <w:pPr>
        <w:pStyle w:val="BodyText"/>
        <w:spacing w:before="139"/>
        <w:ind w:left="610"/>
      </w:pPr>
      <w:r>
        <w:rPr/>
        <w:t>10、基金财产管理业务活动的记录、账册、报表和其他相关资料；</w:t>
      </w:r>
    </w:p>
    <w:p>
      <w:pPr>
        <w:pStyle w:val="BodyText"/>
        <w:spacing w:before="140"/>
        <w:ind w:left="610"/>
      </w:pPr>
      <w:r>
        <w:rPr/>
        <w:t>11、以基金管理人名义，代表基金份额持有人利益行使诉讼权利或者实施其他法律行为；</w:t>
      </w:r>
    </w:p>
    <w:p>
      <w:pPr>
        <w:pStyle w:val="BodyText"/>
        <w:spacing w:before="139"/>
        <w:ind w:left="610"/>
      </w:pPr>
      <w:r>
        <w:rPr/>
        <w:t>12、国务院证券监督管理机构规定的其他职责。</w:t>
      </w:r>
    </w:p>
    <w:p>
      <w:pPr>
        <w:pStyle w:val="Heading3"/>
        <w:spacing w:before="141"/>
      </w:pPr>
      <w:bookmarkStart w:name="_bookmark6" w:id="7"/>
      <w:bookmarkEnd w:id="7"/>
      <w:r>
        <w:rPr/>
      </w:r>
      <w:r>
        <w:rPr/>
        <w:t>（四）基金管理人的承诺</w:t>
      </w:r>
    </w:p>
    <w:p>
      <w:pPr>
        <w:pStyle w:val="BodyText"/>
        <w:spacing w:line="364" w:lineRule="auto" w:before="185"/>
        <w:ind w:left="400" w:right="2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400" w:right="430"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134" w:val="left" w:leader="none"/>
          <w:tab w:pos="1135" w:val="left" w:leader="none"/>
        </w:tabs>
        <w:spacing w:line="268" w:lineRule="exact" w:before="0" w:after="0"/>
        <w:ind w:left="1135" w:right="0" w:hanging="735"/>
        <w:jc w:val="left"/>
        <w:rPr>
          <w:sz w:val="21"/>
        </w:rPr>
      </w:pPr>
      <w:r>
        <w:rPr>
          <w:sz w:val="21"/>
        </w:rPr>
        <w:t>将其固有财产或者他人财产混同于基金财产从事证券投资；</w:t>
      </w:r>
    </w:p>
    <w:p>
      <w:pPr>
        <w:pStyle w:val="ListParagraph"/>
        <w:numPr>
          <w:ilvl w:val="0"/>
          <w:numId w:val="1"/>
        </w:numPr>
        <w:tabs>
          <w:tab w:pos="1134" w:val="left" w:leader="none"/>
          <w:tab w:pos="1135" w:val="left" w:leader="none"/>
        </w:tabs>
        <w:spacing w:line="240" w:lineRule="auto" w:before="138" w:after="0"/>
        <w:ind w:left="1135" w:right="0" w:hanging="735"/>
        <w:jc w:val="left"/>
        <w:rPr>
          <w:sz w:val="21"/>
        </w:rPr>
      </w:pPr>
      <w:r>
        <w:rPr>
          <w:sz w:val="21"/>
        </w:rPr>
        <w:t>不公平地对待其管理的不同基金财产；</w:t>
      </w:r>
    </w:p>
    <w:p>
      <w:pPr>
        <w:pStyle w:val="ListParagraph"/>
        <w:numPr>
          <w:ilvl w:val="0"/>
          <w:numId w:val="1"/>
        </w:numPr>
        <w:tabs>
          <w:tab w:pos="1134" w:val="left" w:leader="none"/>
          <w:tab w:pos="1135" w:val="left" w:leader="none"/>
        </w:tabs>
        <w:spacing w:line="240" w:lineRule="auto" w:before="139" w:after="0"/>
        <w:ind w:left="1135" w:right="0" w:hanging="735"/>
        <w:jc w:val="left"/>
        <w:rPr>
          <w:sz w:val="21"/>
        </w:rPr>
      </w:pPr>
      <w:r>
        <w:rPr>
          <w:sz w:val="21"/>
        </w:rPr>
        <w:t>利用基金财产或者职务之便为基金份额持有人以外的第三人谋取利益；</w:t>
      </w:r>
    </w:p>
    <w:p>
      <w:pPr>
        <w:pStyle w:val="ListParagraph"/>
        <w:numPr>
          <w:ilvl w:val="0"/>
          <w:numId w:val="1"/>
        </w:numPr>
        <w:tabs>
          <w:tab w:pos="1134" w:val="left" w:leader="none"/>
          <w:tab w:pos="1135" w:val="left" w:leader="none"/>
        </w:tabs>
        <w:spacing w:line="240" w:lineRule="auto" w:before="140" w:after="0"/>
        <w:ind w:left="1135" w:right="0" w:hanging="735"/>
        <w:jc w:val="left"/>
        <w:rPr>
          <w:sz w:val="21"/>
        </w:rPr>
      </w:pPr>
      <w:r>
        <w:rPr>
          <w:sz w:val="21"/>
        </w:rPr>
        <w:t>向基金份额持有人违规承诺收益或者承担损失；</w:t>
      </w:r>
    </w:p>
    <w:p>
      <w:pPr>
        <w:pStyle w:val="ListParagraph"/>
        <w:numPr>
          <w:ilvl w:val="0"/>
          <w:numId w:val="1"/>
        </w:numPr>
        <w:tabs>
          <w:tab w:pos="1134" w:val="left" w:leader="none"/>
          <w:tab w:pos="1135" w:val="left" w:leader="none"/>
        </w:tabs>
        <w:spacing w:line="240" w:lineRule="auto" w:before="139" w:after="0"/>
        <w:ind w:left="1135" w:right="0" w:hanging="735"/>
        <w:jc w:val="left"/>
        <w:rPr>
          <w:sz w:val="21"/>
        </w:rPr>
      </w:pPr>
      <w:r>
        <w:rPr>
          <w:sz w:val="21"/>
        </w:rPr>
        <w:t>侵占、挪用基金财产；</w:t>
      </w:r>
    </w:p>
    <w:p>
      <w:pPr>
        <w:pStyle w:val="ListParagraph"/>
        <w:numPr>
          <w:ilvl w:val="0"/>
          <w:numId w:val="1"/>
        </w:numPr>
        <w:tabs>
          <w:tab w:pos="1134" w:val="left" w:leader="none"/>
          <w:tab w:pos="1135" w:val="left" w:leader="none"/>
        </w:tabs>
        <w:spacing w:line="364" w:lineRule="auto" w:before="139" w:after="0"/>
        <w:ind w:left="400" w:right="418" w:firstLine="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134" w:val="left" w:leader="none"/>
          <w:tab w:pos="1135" w:val="left" w:leader="none"/>
        </w:tabs>
        <w:spacing w:line="268" w:lineRule="exact" w:before="0" w:after="0"/>
        <w:ind w:left="1135" w:right="0" w:hanging="735"/>
        <w:jc w:val="left"/>
        <w:rPr>
          <w:sz w:val="21"/>
        </w:rPr>
      </w:pPr>
      <w:r>
        <w:rPr>
          <w:sz w:val="21"/>
        </w:rPr>
        <w:t>玩忽职守，不按照规定履行职责；</w:t>
      </w:r>
    </w:p>
    <w:p>
      <w:pPr>
        <w:pStyle w:val="ListParagraph"/>
        <w:numPr>
          <w:ilvl w:val="0"/>
          <w:numId w:val="1"/>
        </w:numPr>
        <w:tabs>
          <w:tab w:pos="1134" w:val="left" w:leader="none"/>
          <w:tab w:pos="1135" w:val="left" w:leader="none"/>
        </w:tabs>
        <w:spacing w:line="240" w:lineRule="auto" w:before="140" w:after="0"/>
        <w:ind w:left="1135" w:right="0" w:hanging="735"/>
        <w:jc w:val="left"/>
        <w:rPr>
          <w:sz w:val="21"/>
        </w:rPr>
      </w:pPr>
      <w:r>
        <w:rPr>
          <w:sz w:val="21"/>
        </w:rPr>
        <w:t>法律、行政法规和中国证监会规定禁止的其他行为。</w:t>
      </w:r>
    </w:p>
    <w:p>
      <w:pPr>
        <w:pStyle w:val="BodyText"/>
        <w:spacing w:line="364" w:lineRule="auto" w:before="139"/>
        <w:ind w:left="400" w:right="208" w:firstLine="210"/>
      </w:pPr>
      <w:r>
        <w:rPr/>
        <w:t>3、本基金管理人承诺加强人员管理，强化职业操守，督促和约束员工遵守国家有关法律、法规及行业规范，诚实信用、勤勉尽责，不从事以下活动：</w:t>
      </w:r>
    </w:p>
    <w:p>
      <w:pPr>
        <w:pStyle w:val="ListParagraph"/>
        <w:numPr>
          <w:ilvl w:val="1"/>
          <w:numId w:val="1"/>
        </w:numPr>
        <w:tabs>
          <w:tab w:pos="1136" w:val="left" w:leader="none"/>
        </w:tabs>
        <w:spacing w:line="268" w:lineRule="exact" w:before="0" w:after="0"/>
        <w:ind w:left="1136" w:right="0" w:hanging="526"/>
        <w:jc w:val="left"/>
        <w:rPr>
          <w:sz w:val="21"/>
        </w:rPr>
      </w:pPr>
      <w:r>
        <w:rPr>
          <w:sz w:val="21"/>
        </w:rPr>
        <w:t>越权或违规经营；</w:t>
      </w:r>
    </w:p>
    <w:p>
      <w:pPr>
        <w:pStyle w:val="ListParagraph"/>
        <w:numPr>
          <w:ilvl w:val="1"/>
          <w:numId w:val="1"/>
        </w:numPr>
        <w:tabs>
          <w:tab w:pos="1136" w:val="left" w:leader="none"/>
        </w:tabs>
        <w:spacing w:line="240" w:lineRule="auto" w:before="140" w:after="0"/>
        <w:ind w:left="1136" w:right="0" w:hanging="526"/>
        <w:jc w:val="left"/>
        <w:rPr>
          <w:sz w:val="21"/>
        </w:rPr>
      </w:pPr>
      <w:r>
        <w:rPr>
          <w:sz w:val="21"/>
        </w:rPr>
        <w:t>违反基金合同或托管协议；</w:t>
      </w:r>
    </w:p>
    <w:p>
      <w:pPr>
        <w:pStyle w:val="ListParagraph"/>
        <w:numPr>
          <w:ilvl w:val="1"/>
          <w:numId w:val="1"/>
        </w:numPr>
        <w:tabs>
          <w:tab w:pos="1136" w:val="left" w:leader="none"/>
        </w:tabs>
        <w:spacing w:line="240" w:lineRule="auto" w:before="139" w:after="0"/>
        <w:ind w:left="1136" w:right="0" w:hanging="526"/>
        <w:jc w:val="left"/>
        <w:rPr>
          <w:sz w:val="21"/>
        </w:rPr>
      </w:pPr>
      <w:r>
        <w:rPr>
          <w:sz w:val="21"/>
        </w:rPr>
        <w:t>故意损害基金份额持有人或其他基金相关机构的合法利益；</w:t>
      </w:r>
    </w:p>
    <w:p>
      <w:pPr>
        <w:pStyle w:val="ListParagraph"/>
        <w:numPr>
          <w:ilvl w:val="1"/>
          <w:numId w:val="1"/>
        </w:numPr>
        <w:tabs>
          <w:tab w:pos="1136" w:val="left" w:leader="none"/>
        </w:tabs>
        <w:spacing w:line="240" w:lineRule="auto" w:before="140" w:after="0"/>
        <w:ind w:left="1136" w:right="0" w:hanging="526"/>
        <w:jc w:val="left"/>
        <w:rPr>
          <w:sz w:val="21"/>
        </w:rPr>
      </w:pPr>
      <w:r>
        <w:rPr>
          <w:sz w:val="21"/>
        </w:rPr>
        <w:t>在向中国证监会报送的资料中弄虚作假；</w:t>
      </w:r>
    </w:p>
    <w:p>
      <w:pPr>
        <w:pStyle w:val="ListParagraph"/>
        <w:numPr>
          <w:ilvl w:val="1"/>
          <w:numId w:val="1"/>
        </w:numPr>
        <w:tabs>
          <w:tab w:pos="1136" w:val="left" w:leader="none"/>
        </w:tabs>
        <w:spacing w:line="240" w:lineRule="auto" w:before="139" w:after="0"/>
        <w:ind w:left="1136" w:right="0" w:hanging="526"/>
        <w:jc w:val="left"/>
        <w:rPr>
          <w:sz w:val="21"/>
        </w:rPr>
      </w:pPr>
      <w:r>
        <w:rPr>
          <w:sz w:val="21"/>
        </w:rPr>
        <w:t>拒绝、干扰、阻挠或严重影响中国证监会依法监管；</w:t>
      </w:r>
    </w:p>
    <w:p>
      <w:pPr>
        <w:pStyle w:val="ListParagraph"/>
        <w:numPr>
          <w:ilvl w:val="1"/>
          <w:numId w:val="1"/>
        </w:numPr>
        <w:tabs>
          <w:tab w:pos="1136" w:val="left" w:leader="none"/>
        </w:tabs>
        <w:spacing w:line="240" w:lineRule="auto" w:before="140" w:after="0"/>
        <w:ind w:left="1136" w:right="0" w:hanging="526"/>
        <w:jc w:val="left"/>
        <w:rPr>
          <w:sz w:val="21"/>
        </w:rPr>
      </w:pPr>
      <w:r>
        <w:rPr>
          <w:sz w:val="21"/>
        </w:rPr>
        <w:t>玩忽职守、滥用职权；</w:t>
      </w:r>
    </w:p>
    <w:p>
      <w:pPr>
        <w:spacing w:after="0" w:line="240" w:lineRule="auto"/>
        <w:jc w:val="left"/>
        <w:rPr>
          <w:sz w:val="21"/>
        </w:rPr>
        <w:sectPr>
          <w:pgSz w:w="11910" w:h="16840"/>
          <w:pgMar w:header="0" w:footer="910" w:top="1380" w:bottom="1180" w:left="1400" w:right="1380"/>
        </w:sectPr>
      </w:pPr>
    </w:p>
    <w:p>
      <w:pPr>
        <w:pStyle w:val="ListParagraph"/>
        <w:numPr>
          <w:ilvl w:val="1"/>
          <w:numId w:val="1"/>
        </w:numPr>
        <w:tabs>
          <w:tab w:pos="1137" w:val="left" w:leader="none"/>
        </w:tabs>
        <w:spacing w:line="364" w:lineRule="auto" w:before="45" w:after="0"/>
        <w:ind w:left="400" w:right="417" w:firstLine="210"/>
        <w:jc w:val="both"/>
        <w:rPr>
          <w:sz w:val="21"/>
        </w:rPr>
      </w:pPr>
      <w:r>
        <w:rPr>
          <w:sz w:val="21"/>
        </w:rPr>
        <w:t>违反现行有效的有关法律、法规、规章、基金合同和中国证监会的有关规定，泄漏</w:t>
      </w:r>
      <w:r>
        <w:rPr>
          <w:spacing w:val="-7"/>
          <w:sz w:val="21"/>
        </w:rPr>
        <w:t>在任职期间知悉的有关证券、基金的商业秘密，尚未依法公开的基金投资内容、基金投资计</w:t>
      </w:r>
      <w:r>
        <w:rPr>
          <w:sz w:val="21"/>
        </w:rPr>
        <w:t>划等信息；</w:t>
      </w:r>
    </w:p>
    <w:p>
      <w:pPr>
        <w:pStyle w:val="ListParagraph"/>
        <w:numPr>
          <w:ilvl w:val="1"/>
          <w:numId w:val="1"/>
        </w:numPr>
        <w:tabs>
          <w:tab w:pos="1136" w:val="left" w:leader="none"/>
        </w:tabs>
        <w:spacing w:line="268" w:lineRule="exact" w:before="0" w:after="0"/>
        <w:ind w:left="1136" w:right="0" w:hanging="526"/>
        <w:jc w:val="left"/>
        <w:rPr>
          <w:sz w:val="21"/>
        </w:rPr>
      </w:pPr>
      <w:r>
        <w:rPr>
          <w:spacing w:val="-5"/>
          <w:sz w:val="21"/>
        </w:rPr>
        <w:t>违反证券交易场所业务规则，利用对敲、倒仓等手段操纵市场价格，扰乱市场秩序；</w:t>
      </w:r>
    </w:p>
    <w:p>
      <w:pPr>
        <w:pStyle w:val="ListParagraph"/>
        <w:numPr>
          <w:ilvl w:val="1"/>
          <w:numId w:val="1"/>
        </w:numPr>
        <w:tabs>
          <w:tab w:pos="1351" w:val="left" w:leader="none"/>
        </w:tabs>
        <w:spacing w:line="240" w:lineRule="auto" w:before="139" w:after="0"/>
        <w:ind w:left="1350" w:right="0" w:hanging="527"/>
        <w:jc w:val="left"/>
        <w:rPr>
          <w:sz w:val="21"/>
        </w:rPr>
      </w:pPr>
      <w:r>
        <w:rPr>
          <w:sz w:val="21"/>
        </w:rPr>
        <w:t>贬损同行，以抬高自己；</w:t>
      </w:r>
    </w:p>
    <w:p>
      <w:pPr>
        <w:pStyle w:val="ListParagraph"/>
        <w:numPr>
          <w:ilvl w:val="1"/>
          <w:numId w:val="1"/>
        </w:numPr>
        <w:tabs>
          <w:tab w:pos="1456" w:val="left" w:leader="none"/>
        </w:tabs>
        <w:spacing w:line="240" w:lineRule="auto" w:before="140" w:after="0"/>
        <w:ind w:left="1455" w:right="0" w:hanging="632"/>
        <w:jc w:val="left"/>
        <w:rPr>
          <w:sz w:val="21"/>
        </w:rPr>
      </w:pPr>
      <w:r>
        <w:rPr>
          <w:sz w:val="21"/>
        </w:rPr>
        <w:t>以不正当手段谋求业务发展；</w:t>
      </w:r>
    </w:p>
    <w:p>
      <w:pPr>
        <w:pStyle w:val="ListParagraph"/>
        <w:numPr>
          <w:ilvl w:val="1"/>
          <w:numId w:val="1"/>
        </w:numPr>
        <w:tabs>
          <w:tab w:pos="1456" w:val="left" w:leader="none"/>
        </w:tabs>
        <w:spacing w:line="240" w:lineRule="auto" w:before="139" w:after="0"/>
        <w:ind w:left="1455" w:right="0" w:hanging="632"/>
        <w:jc w:val="left"/>
        <w:rPr>
          <w:sz w:val="21"/>
        </w:rPr>
      </w:pPr>
      <w:r>
        <w:rPr>
          <w:sz w:val="21"/>
        </w:rPr>
        <w:t>有悖社会公德，损害证券投资基金人员形象；</w:t>
      </w:r>
    </w:p>
    <w:p>
      <w:pPr>
        <w:pStyle w:val="ListParagraph"/>
        <w:numPr>
          <w:ilvl w:val="1"/>
          <w:numId w:val="1"/>
        </w:numPr>
        <w:tabs>
          <w:tab w:pos="1456" w:val="left" w:leader="none"/>
        </w:tabs>
        <w:spacing w:line="240" w:lineRule="auto" w:before="140" w:after="0"/>
        <w:ind w:left="1455" w:right="0" w:hanging="632"/>
        <w:jc w:val="left"/>
        <w:rPr>
          <w:sz w:val="21"/>
        </w:rPr>
      </w:pPr>
      <w:r>
        <w:rPr>
          <w:sz w:val="21"/>
        </w:rPr>
        <w:t>在公开信息披露和广告中故意含有虚假、误导、欺诈成分；</w:t>
      </w:r>
    </w:p>
    <w:p>
      <w:pPr>
        <w:pStyle w:val="ListParagraph"/>
        <w:numPr>
          <w:ilvl w:val="1"/>
          <w:numId w:val="1"/>
        </w:numPr>
        <w:tabs>
          <w:tab w:pos="1456" w:val="left" w:leader="none"/>
        </w:tabs>
        <w:spacing w:line="240" w:lineRule="auto" w:before="139" w:after="0"/>
        <w:ind w:left="1455" w:right="0" w:hanging="632"/>
        <w:jc w:val="left"/>
        <w:rPr>
          <w:sz w:val="21"/>
        </w:rPr>
      </w:pPr>
      <w:r>
        <w:rPr>
          <w:sz w:val="21"/>
        </w:rPr>
        <w:t>其他法律、行政法规以及中国证监会禁止的行为。</w:t>
      </w:r>
    </w:p>
    <w:p>
      <w:pPr>
        <w:pStyle w:val="BodyText"/>
        <w:spacing w:before="140"/>
      </w:pPr>
      <w:r>
        <w:rPr/>
        <w:t>4、基金经理承诺</w:t>
      </w:r>
    </w:p>
    <w:p>
      <w:pPr>
        <w:pStyle w:val="ListParagraph"/>
        <w:numPr>
          <w:ilvl w:val="0"/>
          <w:numId w:val="2"/>
        </w:numPr>
        <w:tabs>
          <w:tab w:pos="1346" w:val="left" w:leader="none"/>
        </w:tabs>
        <w:spacing w:line="364" w:lineRule="auto" w:before="139" w:after="0"/>
        <w:ind w:left="400" w:right="4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2"/>
        </w:numPr>
        <w:tabs>
          <w:tab w:pos="1346" w:val="left" w:leader="none"/>
        </w:tabs>
        <w:spacing w:line="268" w:lineRule="exact" w:before="0" w:after="0"/>
        <w:ind w:left="1346" w:right="0" w:hanging="526"/>
        <w:jc w:val="left"/>
        <w:rPr>
          <w:sz w:val="21"/>
        </w:rPr>
      </w:pPr>
      <w:r>
        <w:rPr>
          <w:sz w:val="21"/>
        </w:rPr>
        <w:t>不利用职务之便为自己及其代理人、受雇人或任何第三人谋取利益；</w:t>
      </w:r>
    </w:p>
    <w:p>
      <w:pPr>
        <w:pStyle w:val="ListParagraph"/>
        <w:numPr>
          <w:ilvl w:val="0"/>
          <w:numId w:val="2"/>
        </w:numPr>
        <w:tabs>
          <w:tab w:pos="1346" w:val="left" w:leader="none"/>
        </w:tabs>
        <w:spacing w:line="364" w:lineRule="auto" w:before="139" w:after="0"/>
        <w:ind w:left="400" w:right="4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2"/>
        </w:numPr>
        <w:tabs>
          <w:tab w:pos="1346" w:val="left" w:leader="none"/>
        </w:tabs>
        <w:spacing w:line="268" w:lineRule="exact" w:before="0" w:after="0"/>
        <w:ind w:left="1346" w:right="0" w:hanging="526"/>
        <w:jc w:val="left"/>
        <w:rPr>
          <w:sz w:val="21"/>
        </w:rPr>
      </w:pPr>
      <w:r>
        <w:rPr>
          <w:sz w:val="21"/>
        </w:rPr>
        <w:t>不从事损害基金财产和基金份额持有人利益的证券交易及其他活动。</w:t>
      </w:r>
    </w:p>
    <w:p>
      <w:pPr>
        <w:pStyle w:val="Heading3"/>
        <w:spacing w:before="141"/>
      </w:pPr>
      <w:bookmarkStart w:name="_bookmark7" w:id="8"/>
      <w:bookmarkEnd w:id="8"/>
      <w:r>
        <w:rPr/>
      </w:r>
      <w:r>
        <w:rPr/>
        <w:t>（五）基金管理人的内部控制制度</w:t>
      </w:r>
    </w:p>
    <w:p>
      <w:pPr>
        <w:pStyle w:val="BodyText"/>
        <w:spacing w:line="364" w:lineRule="auto" w:before="185"/>
        <w:ind w:left="400" w:right="3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4"/>
        <w:spacing w:line="315" w:lineRule="exact"/>
      </w:pPr>
      <w:r>
        <w:rPr/>
        <w:t>1、公司内部控制的总体目标</w:t>
      </w:r>
    </w:p>
    <w:p>
      <w:pPr>
        <w:pStyle w:val="ListParagraph"/>
        <w:numPr>
          <w:ilvl w:val="0"/>
          <w:numId w:val="3"/>
        </w:numPr>
        <w:tabs>
          <w:tab w:pos="1393" w:val="left" w:leader="none"/>
          <w:tab w:pos="1394" w:val="left" w:leader="none"/>
        </w:tabs>
        <w:spacing w:line="240" w:lineRule="auto" w:before="92" w:after="0"/>
        <w:ind w:left="1393" w:right="0" w:hanging="994"/>
        <w:jc w:val="left"/>
        <w:rPr>
          <w:sz w:val="21"/>
        </w:rPr>
      </w:pPr>
      <w:r>
        <w:rPr>
          <w:sz w:val="21"/>
        </w:rPr>
        <w:t>保证公司经营管理活动的合法合规性；</w:t>
      </w:r>
    </w:p>
    <w:p>
      <w:pPr>
        <w:pStyle w:val="ListParagraph"/>
        <w:numPr>
          <w:ilvl w:val="0"/>
          <w:numId w:val="3"/>
        </w:numPr>
        <w:tabs>
          <w:tab w:pos="1393" w:val="left" w:leader="none"/>
          <w:tab w:pos="1394" w:val="left" w:leader="none"/>
        </w:tabs>
        <w:spacing w:line="240" w:lineRule="auto" w:before="139" w:after="0"/>
        <w:ind w:left="1393" w:right="0" w:hanging="994"/>
        <w:jc w:val="left"/>
        <w:rPr>
          <w:sz w:val="21"/>
        </w:rPr>
      </w:pPr>
      <w:r>
        <w:rPr>
          <w:sz w:val="21"/>
        </w:rPr>
        <w:t>保证基金份额持有人的合法权益不受侵犯；</w:t>
      </w:r>
    </w:p>
    <w:p>
      <w:pPr>
        <w:pStyle w:val="ListParagraph"/>
        <w:numPr>
          <w:ilvl w:val="0"/>
          <w:numId w:val="3"/>
        </w:numPr>
        <w:tabs>
          <w:tab w:pos="1393" w:val="left" w:leader="none"/>
          <w:tab w:pos="1394" w:val="left" w:leader="none"/>
        </w:tabs>
        <w:spacing w:line="240" w:lineRule="auto" w:before="139" w:after="0"/>
        <w:ind w:left="1393" w:right="0" w:hanging="994"/>
        <w:jc w:val="left"/>
        <w:rPr>
          <w:sz w:val="21"/>
        </w:rPr>
      </w:pPr>
      <w:r>
        <w:rPr>
          <w:sz w:val="21"/>
        </w:rPr>
        <w:t>实现公司稳健、持续发展，维护股东权益；</w:t>
      </w:r>
    </w:p>
    <w:p>
      <w:pPr>
        <w:pStyle w:val="ListParagraph"/>
        <w:numPr>
          <w:ilvl w:val="0"/>
          <w:numId w:val="3"/>
        </w:numPr>
        <w:tabs>
          <w:tab w:pos="1393" w:val="left" w:leader="none"/>
          <w:tab w:pos="1394" w:val="left" w:leader="none"/>
        </w:tabs>
        <w:spacing w:line="240" w:lineRule="auto" w:before="140" w:after="0"/>
        <w:ind w:left="1393" w:right="0" w:hanging="994"/>
        <w:jc w:val="left"/>
        <w:rPr>
          <w:sz w:val="21"/>
        </w:rPr>
      </w:pPr>
      <w:r>
        <w:rPr>
          <w:sz w:val="21"/>
        </w:rPr>
        <w:t>促进公司全体员工恪守职业操守，正直诚信，廉洁自律，勤勉尽责；</w:t>
      </w:r>
    </w:p>
    <w:p>
      <w:pPr>
        <w:pStyle w:val="ListParagraph"/>
        <w:numPr>
          <w:ilvl w:val="0"/>
          <w:numId w:val="3"/>
        </w:numPr>
        <w:tabs>
          <w:tab w:pos="1393" w:val="left" w:leader="none"/>
          <w:tab w:pos="1394" w:val="left" w:leader="none"/>
        </w:tabs>
        <w:spacing w:line="240" w:lineRule="auto" w:before="139" w:after="0"/>
        <w:ind w:left="1393" w:right="0" w:hanging="994"/>
        <w:jc w:val="left"/>
        <w:rPr>
          <w:sz w:val="21"/>
        </w:rPr>
      </w:pPr>
      <w:r>
        <w:rPr>
          <w:sz w:val="21"/>
        </w:rPr>
        <w:t>保护公司最重要的资本：公司声誉。</w:t>
      </w:r>
    </w:p>
    <w:p>
      <w:pPr>
        <w:pStyle w:val="Heading4"/>
        <w:spacing w:before="70"/>
      </w:pPr>
      <w:r>
        <w:rPr/>
        <w:t>2、公司内部控制遵循的原则</w:t>
      </w:r>
    </w:p>
    <w:p>
      <w:pPr>
        <w:pStyle w:val="ListParagraph"/>
        <w:numPr>
          <w:ilvl w:val="0"/>
          <w:numId w:val="4"/>
        </w:numPr>
        <w:tabs>
          <w:tab w:pos="1393" w:val="left" w:leader="none"/>
          <w:tab w:pos="1394" w:val="left" w:leader="none"/>
        </w:tabs>
        <w:spacing w:line="364" w:lineRule="auto" w:before="92" w:after="0"/>
        <w:ind w:left="400" w:right="418" w:firstLine="0"/>
        <w:jc w:val="left"/>
        <w:rPr>
          <w:sz w:val="21"/>
        </w:rPr>
      </w:pPr>
      <w:r>
        <w:rPr>
          <w:spacing w:val="-7"/>
          <w:sz w:val="21"/>
        </w:rPr>
        <w:t>全面性原则：内部控制必须覆盖公司的所有部门和岗位，渗透各项业务过程和业</w:t>
      </w:r>
      <w:r>
        <w:rPr>
          <w:sz w:val="21"/>
        </w:rPr>
        <w:t>务环节，并普遍适用于公司每一位职员；</w:t>
      </w:r>
    </w:p>
    <w:p>
      <w:pPr>
        <w:pStyle w:val="ListParagraph"/>
        <w:numPr>
          <w:ilvl w:val="0"/>
          <w:numId w:val="4"/>
        </w:numPr>
        <w:tabs>
          <w:tab w:pos="1393" w:val="left" w:leader="none"/>
          <w:tab w:pos="1394" w:val="left" w:leader="none"/>
        </w:tabs>
        <w:spacing w:line="364" w:lineRule="auto" w:before="0" w:after="0"/>
        <w:ind w:left="400" w:right="418" w:firstLine="0"/>
        <w:jc w:val="left"/>
        <w:rPr>
          <w:sz w:val="21"/>
        </w:rPr>
      </w:pPr>
      <w:r>
        <w:rPr>
          <w:spacing w:val="-7"/>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4"/>
        </w:numPr>
        <w:tabs>
          <w:tab w:pos="1393" w:val="left" w:leader="none"/>
          <w:tab w:pos="1394" w:val="left" w:leader="none"/>
        </w:tabs>
        <w:spacing w:line="268" w:lineRule="exact" w:before="0" w:after="0"/>
        <w:ind w:left="1393" w:right="0" w:hanging="994"/>
        <w:jc w:val="left"/>
        <w:rPr>
          <w:sz w:val="21"/>
        </w:rPr>
      </w:pPr>
      <w:r>
        <w:rPr>
          <w:sz w:val="21"/>
        </w:rPr>
        <w:t>相互制约原则：公司设置的各部门、各岗位权责分明、相互制衡。</w:t>
      </w:r>
    </w:p>
    <w:p>
      <w:pPr>
        <w:pStyle w:val="ListParagraph"/>
        <w:numPr>
          <w:ilvl w:val="0"/>
          <w:numId w:val="4"/>
        </w:numPr>
        <w:tabs>
          <w:tab w:pos="1393" w:val="left" w:leader="none"/>
          <w:tab w:pos="1394" w:val="left" w:leader="none"/>
        </w:tabs>
        <w:spacing w:line="240" w:lineRule="auto" w:before="139" w:after="0"/>
        <w:ind w:left="1393" w:right="0" w:hanging="994"/>
        <w:jc w:val="left"/>
        <w:rPr>
          <w:sz w:val="21"/>
        </w:rPr>
      </w:pPr>
      <w:r>
        <w:rPr>
          <w:spacing w:val="-6"/>
          <w:sz w:val="21"/>
        </w:rPr>
        <w:t>独立性原则：公司根据业务的需要设立相对独立的机构、部门和岗位；公司内部</w:t>
      </w:r>
    </w:p>
    <w:p>
      <w:pPr>
        <w:spacing w:after="0" w:line="240" w:lineRule="auto"/>
        <w:jc w:val="left"/>
        <w:rPr>
          <w:sz w:val="21"/>
        </w:rPr>
        <w:sectPr>
          <w:pgSz w:w="11910" w:h="16840"/>
          <w:pgMar w:header="0" w:footer="910" w:top="1380" w:bottom="1180" w:left="1400" w:right="1380"/>
        </w:sectPr>
      </w:pPr>
    </w:p>
    <w:p>
      <w:pPr>
        <w:pStyle w:val="BodyText"/>
        <w:spacing w:before="45"/>
        <w:ind w:left="400"/>
      </w:pPr>
      <w:r>
        <w:rPr/>
        <w:t>部门和岗位的设置必须权责分明；</w:t>
      </w:r>
    </w:p>
    <w:p>
      <w:pPr>
        <w:pStyle w:val="ListParagraph"/>
        <w:numPr>
          <w:ilvl w:val="0"/>
          <w:numId w:val="4"/>
        </w:numPr>
        <w:tabs>
          <w:tab w:pos="1393" w:val="left" w:leader="none"/>
          <w:tab w:pos="1394" w:val="left" w:leader="none"/>
        </w:tabs>
        <w:spacing w:line="364" w:lineRule="auto" w:before="139" w:after="0"/>
        <w:ind w:left="400" w:right="325" w:firstLine="0"/>
        <w:jc w:val="left"/>
        <w:rPr>
          <w:sz w:val="21"/>
        </w:rPr>
      </w:pPr>
      <w:r>
        <w:rPr>
          <w:spacing w:val="-6"/>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4"/>
        </w:numPr>
        <w:tabs>
          <w:tab w:pos="1393" w:val="left" w:leader="none"/>
          <w:tab w:pos="1394" w:val="left" w:leader="none"/>
        </w:tabs>
        <w:spacing w:line="364" w:lineRule="auto" w:before="0" w:after="0"/>
        <w:ind w:left="400" w:right="208" w:firstLine="0"/>
        <w:jc w:val="left"/>
        <w:rPr>
          <w:sz w:val="21"/>
        </w:rPr>
      </w:pPr>
      <w:r>
        <w:rPr>
          <w:spacing w:val="4"/>
          <w:sz w:val="21"/>
        </w:rPr>
        <w:t>适时性原则：内部控制应具有前瞻性，并且必须随着公司经营战略、经营方针、</w:t>
      </w:r>
      <w:r>
        <w:rPr>
          <w:spacing w:val="-6"/>
          <w:sz w:val="21"/>
        </w:rPr>
        <w:t>经营理念等内部环境的变化和国家法律、法规、政策制度等外部环境的改变及时进行相应的 修改和完善；</w:t>
      </w:r>
    </w:p>
    <w:p>
      <w:pPr>
        <w:pStyle w:val="ListParagraph"/>
        <w:numPr>
          <w:ilvl w:val="0"/>
          <w:numId w:val="4"/>
        </w:numPr>
        <w:tabs>
          <w:tab w:pos="1393" w:val="left" w:leader="none"/>
          <w:tab w:pos="1394" w:val="left" w:leader="none"/>
        </w:tabs>
        <w:spacing w:line="364" w:lineRule="auto" w:before="0" w:after="0"/>
        <w:ind w:left="400" w:right="208" w:firstLine="0"/>
        <w:jc w:val="left"/>
        <w:rPr>
          <w:sz w:val="21"/>
        </w:rPr>
      </w:pPr>
      <w:r>
        <w:rPr>
          <w:spacing w:val="4"/>
          <w:sz w:val="21"/>
        </w:rPr>
        <w:t>成本效益原则：公司运用科学化的经营管理方法降低运作成本，提高经济效益， </w:t>
      </w:r>
      <w:r>
        <w:rPr>
          <w:sz w:val="21"/>
        </w:rPr>
        <w:t>力争以合理的控制成本达到最佳的内部控制效果。</w:t>
      </w:r>
    </w:p>
    <w:p>
      <w:pPr>
        <w:pStyle w:val="Heading4"/>
        <w:spacing w:line="316" w:lineRule="exact"/>
      </w:pPr>
      <w:r>
        <w:rPr/>
        <w:t>3、内部控制的制度体系</w:t>
      </w:r>
    </w:p>
    <w:p>
      <w:pPr>
        <w:pStyle w:val="BodyText"/>
        <w:spacing w:line="364" w:lineRule="auto" w:before="90"/>
        <w:ind w:left="400" w:right="2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4"/>
        <w:spacing w:line="314" w:lineRule="exact"/>
      </w:pPr>
      <w:r>
        <w:rPr/>
        <w:t>4、关于授权、研究、投资、交易等方面的控制点</w:t>
      </w:r>
    </w:p>
    <w:p>
      <w:pPr>
        <w:pStyle w:val="ListParagraph"/>
        <w:numPr>
          <w:ilvl w:val="0"/>
          <w:numId w:val="5"/>
        </w:numPr>
        <w:tabs>
          <w:tab w:pos="1135" w:val="left" w:leader="none"/>
        </w:tabs>
        <w:spacing w:line="240" w:lineRule="auto" w:before="91" w:after="0"/>
        <w:ind w:left="1135" w:right="0" w:hanging="735"/>
        <w:jc w:val="both"/>
        <w:rPr>
          <w:sz w:val="21"/>
        </w:rPr>
      </w:pPr>
      <w:r>
        <w:rPr>
          <w:sz w:val="21"/>
        </w:rPr>
        <w:t>授权制度</w:t>
      </w:r>
    </w:p>
    <w:p>
      <w:pPr>
        <w:pStyle w:val="BodyText"/>
        <w:spacing w:line="364" w:lineRule="auto" w:before="140"/>
        <w:ind w:left="400" w:right="4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5"/>
        </w:numPr>
        <w:tabs>
          <w:tab w:pos="1135" w:val="left" w:leader="none"/>
        </w:tabs>
        <w:spacing w:line="266" w:lineRule="exact" w:before="0" w:after="0"/>
        <w:ind w:left="1135" w:right="0" w:hanging="735"/>
        <w:jc w:val="both"/>
        <w:rPr>
          <w:sz w:val="21"/>
        </w:rPr>
      </w:pPr>
      <w:r>
        <w:rPr>
          <w:sz w:val="21"/>
        </w:rPr>
        <w:t>公司研究业务</w:t>
      </w:r>
    </w:p>
    <w:p>
      <w:pPr>
        <w:pStyle w:val="BodyText"/>
        <w:spacing w:line="364" w:lineRule="auto" w:before="139"/>
        <w:ind w:left="400" w:right="4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135" w:val="left" w:leader="none"/>
        </w:tabs>
        <w:spacing w:line="267" w:lineRule="exact" w:before="0" w:after="0"/>
        <w:ind w:left="1135" w:right="0" w:hanging="735"/>
        <w:jc w:val="both"/>
        <w:rPr>
          <w:sz w:val="21"/>
        </w:rPr>
      </w:pPr>
      <w:r>
        <w:rPr>
          <w:sz w:val="21"/>
        </w:rPr>
        <w:t>基金投资业务</w:t>
      </w:r>
    </w:p>
    <w:p>
      <w:pPr>
        <w:pStyle w:val="BodyText"/>
        <w:spacing w:line="364" w:lineRule="auto" w:before="140"/>
        <w:ind w:left="400" w:right="4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p>
    <w:p>
      <w:pPr>
        <w:spacing w:after="0" w:line="364" w:lineRule="auto"/>
        <w:jc w:val="both"/>
        <w:sectPr>
          <w:pgSz w:w="11910" w:h="16840"/>
          <w:pgMar w:header="0" w:footer="910" w:top="1380" w:bottom="1180" w:left="1400" w:right="1380"/>
        </w:sectPr>
      </w:pPr>
    </w:p>
    <w:p>
      <w:pPr>
        <w:pStyle w:val="BodyText"/>
        <w:spacing w:before="45"/>
        <w:ind w:left="400"/>
      </w:pPr>
      <w:r>
        <w:rPr/>
        <w:t>管理业绩评价体系。</w:t>
      </w:r>
    </w:p>
    <w:p>
      <w:pPr>
        <w:pStyle w:val="ListParagraph"/>
        <w:numPr>
          <w:ilvl w:val="0"/>
          <w:numId w:val="5"/>
        </w:numPr>
        <w:tabs>
          <w:tab w:pos="1134" w:val="left" w:leader="none"/>
          <w:tab w:pos="1135" w:val="left" w:leader="none"/>
        </w:tabs>
        <w:spacing w:line="240" w:lineRule="auto" w:before="139" w:after="0"/>
        <w:ind w:left="1135" w:right="0" w:hanging="735"/>
        <w:jc w:val="left"/>
        <w:rPr>
          <w:sz w:val="21"/>
        </w:rPr>
      </w:pPr>
      <w:r>
        <w:rPr>
          <w:sz w:val="21"/>
        </w:rPr>
        <w:t>交易业务</w:t>
      </w:r>
    </w:p>
    <w:p>
      <w:pPr>
        <w:pStyle w:val="BodyText"/>
        <w:spacing w:line="364" w:lineRule="auto" w:before="140"/>
        <w:ind w:left="400" w:right="3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134" w:val="left" w:leader="none"/>
          <w:tab w:pos="1135" w:val="left" w:leader="none"/>
        </w:tabs>
        <w:spacing w:line="267" w:lineRule="exact" w:before="0" w:after="0"/>
        <w:ind w:left="1135" w:right="0" w:hanging="735"/>
        <w:jc w:val="left"/>
        <w:rPr>
          <w:sz w:val="21"/>
        </w:rPr>
      </w:pPr>
      <w:r>
        <w:rPr>
          <w:sz w:val="21"/>
        </w:rPr>
        <w:t>基金会计核算</w:t>
      </w:r>
    </w:p>
    <w:p>
      <w:pPr>
        <w:pStyle w:val="BodyText"/>
        <w:spacing w:line="364" w:lineRule="auto" w:before="139"/>
        <w:ind w:left="400" w:right="2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5"/>
        </w:numPr>
        <w:tabs>
          <w:tab w:pos="1134" w:val="left" w:leader="none"/>
          <w:tab w:pos="1135" w:val="left" w:leader="none"/>
        </w:tabs>
        <w:spacing w:line="267" w:lineRule="exact" w:before="0" w:after="0"/>
        <w:ind w:left="1135" w:right="0" w:hanging="735"/>
        <w:jc w:val="left"/>
        <w:rPr>
          <w:sz w:val="21"/>
        </w:rPr>
      </w:pPr>
      <w:r>
        <w:rPr>
          <w:sz w:val="21"/>
        </w:rPr>
        <w:t>信息披露</w:t>
      </w:r>
    </w:p>
    <w:p>
      <w:pPr>
        <w:pStyle w:val="BodyText"/>
        <w:spacing w:line="364" w:lineRule="auto" w:before="140"/>
        <w:ind w:left="400" w:right="4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5"/>
        </w:numPr>
        <w:tabs>
          <w:tab w:pos="1135" w:val="left" w:leader="none"/>
        </w:tabs>
        <w:spacing w:line="267" w:lineRule="exact" w:before="0" w:after="0"/>
        <w:ind w:left="1135" w:right="0" w:hanging="735"/>
        <w:jc w:val="both"/>
        <w:rPr>
          <w:sz w:val="21"/>
        </w:rPr>
      </w:pPr>
      <w:r>
        <w:rPr>
          <w:sz w:val="21"/>
        </w:rPr>
        <w:t>监察与合规管理</w:t>
      </w:r>
    </w:p>
    <w:p>
      <w:pPr>
        <w:pStyle w:val="BodyText"/>
        <w:spacing w:line="364" w:lineRule="auto" w:before="139"/>
        <w:ind w:left="400" w:right="4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400" w:right="4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400" w:right="2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400" w:right="418" w:firstLine="420"/>
      </w:pPr>
      <w:r>
        <w:rPr>
          <w:spacing w:val="-5"/>
        </w:rPr>
        <w:t>公司董事会和管理层充分重视和支持监察与合规管理工作，对违反法律、法规和公司内</w:t>
      </w:r>
      <w:r>
        <w:rPr/>
        <w:t>部控制制度的，追究有关部门和人员的责任。</w:t>
      </w:r>
    </w:p>
    <w:p>
      <w:pPr>
        <w:pStyle w:val="Heading4"/>
        <w:spacing w:line="316" w:lineRule="exact"/>
      </w:pPr>
      <w:r>
        <w:rPr/>
        <w:t>5、基金管理人关于内部控制制度声明书</w:t>
      </w:r>
    </w:p>
    <w:p>
      <w:pPr>
        <w:pStyle w:val="ListParagraph"/>
        <w:numPr>
          <w:ilvl w:val="0"/>
          <w:numId w:val="6"/>
        </w:numPr>
        <w:tabs>
          <w:tab w:pos="1134" w:val="left" w:leader="none"/>
          <w:tab w:pos="1135" w:val="left" w:leader="none"/>
        </w:tabs>
        <w:spacing w:line="240" w:lineRule="auto" w:before="88" w:after="0"/>
        <w:ind w:left="1135" w:right="0" w:hanging="735"/>
        <w:jc w:val="left"/>
        <w:rPr>
          <w:sz w:val="21"/>
        </w:rPr>
      </w:pPr>
      <w:r>
        <w:rPr>
          <w:sz w:val="21"/>
        </w:rPr>
        <w:t>本公司承诺以上关于内部控制制度的披露真实、准确；</w:t>
      </w:r>
    </w:p>
    <w:p>
      <w:pPr>
        <w:pStyle w:val="ListParagraph"/>
        <w:numPr>
          <w:ilvl w:val="0"/>
          <w:numId w:val="6"/>
        </w:numPr>
        <w:tabs>
          <w:tab w:pos="1134" w:val="left" w:leader="none"/>
          <w:tab w:pos="1135" w:val="left" w:leader="none"/>
        </w:tabs>
        <w:spacing w:line="240" w:lineRule="auto" w:before="139" w:after="0"/>
        <w:ind w:left="1135" w:right="0" w:hanging="735"/>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0" w:top="1380" w:bottom="1180" w:left="1400" w:right="1380"/>
        </w:sectPr>
      </w:pPr>
    </w:p>
    <w:p>
      <w:pPr>
        <w:pStyle w:val="Heading1"/>
      </w:pPr>
      <w:bookmarkStart w:name="_bookmark8" w:id="9"/>
      <w:bookmarkEnd w:id="9"/>
      <w:r>
        <w:rPr>
          <w:b w:val="0"/>
        </w:rPr>
      </w:r>
      <w:r>
        <w:rPr/>
        <w:t>四、基金托管人</w:t>
      </w:r>
    </w:p>
    <w:p>
      <w:pPr>
        <w:pStyle w:val="BodyText"/>
        <w:spacing w:before="138"/>
      </w:pPr>
      <w:r>
        <w:rPr/>
        <w:t>（一）基金托管人基本情况</w:t>
      </w:r>
    </w:p>
    <w:p>
      <w:pPr>
        <w:pStyle w:val="BodyText"/>
        <w:spacing w:before="139"/>
      </w:pPr>
      <w:r>
        <w:rPr/>
        <w:t>1、基金托管人概况</w:t>
      </w:r>
    </w:p>
    <w:p>
      <w:pPr>
        <w:pStyle w:val="BodyText"/>
        <w:spacing w:line="364" w:lineRule="auto" w:before="140"/>
        <w:ind w:right="2425"/>
      </w:pPr>
      <w:r>
        <w:rPr/>
        <w:t>公司法定中文名称：交通银行股份有限公司（简称：交通银行） 公司法定英文名称：BANK OF COMMUNICATIONS CO.,LTD</w:t>
      </w:r>
    </w:p>
    <w:p>
      <w:pPr>
        <w:pStyle w:val="BodyText"/>
        <w:spacing w:line="268" w:lineRule="exact"/>
      </w:pPr>
      <w:r>
        <w:rPr/>
        <w:t>法定代表人：任德奇</w:t>
      </w:r>
    </w:p>
    <w:p>
      <w:pPr>
        <w:pStyle w:val="BodyText"/>
        <w:tabs>
          <w:tab w:pos="1449" w:val="left" w:leader="none"/>
        </w:tabs>
        <w:spacing w:line="364" w:lineRule="auto" w:before="139"/>
        <w:ind w:right="3055"/>
      </w:pPr>
      <w:r>
        <w:rPr/>
        <w:t>住</w:t>
        <w:tab/>
        <w:t>所：中国（上海）自由贸易试验区银城中路</w:t>
      </w:r>
      <w:r>
        <w:rPr>
          <w:spacing w:val="-53"/>
        </w:rPr>
        <w:t> </w:t>
      </w:r>
      <w:r>
        <w:rPr/>
        <w:t>188</w:t>
      </w:r>
      <w:r>
        <w:rPr>
          <w:spacing w:val="-53"/>
        </w:rPr>
        <w:t> </w:t>
      </w:r>
      <w:r>
        <w:rPr>
          <w:spacing w:val="-17"/>
        </w:rPr>
        <w:t>号</w:t>
      </w:r>
      <w:r>
        <w:rPr/>
        <w:t>办公地址：上海市长宁区仙霞路</w:t>
      </w:r>
      <w:r>
        <w:rPr>
          <w:spacing w:val="-53"/>
        </w:rPr>
        <w:t> </w:t>
      </w:r>
      <w:r>
        <w:rPr/>
        <w:t>18</w:t>
      </w:r>
      <w:r>
        <w:rPr>
          <w:spacing w:val="-53"/>
        </w:rPr>
        <w:t> </w:t>
      </w:r>
      <w:r>
        <w:rPr/>
        <w:t>号</w:t>
      </w:r>
    </w:p>
    <w:p>
      <w:pPr>
        <w:pStyle w:val="BodyText"/>
        <w:spacing w:line="268" w:lineRule="exact"/>
      </w:pPr>
      <w:r>
        <w:rPr/>
        <w:t>邮政编码：200336</w:t>
      </w:r>
    </w:p>
    <w:p>
      <w:pPr>
        <w:pStyle w:val="BodyText"/>
        <w:spacing w:line="364" w:lineRule="auto" w:before="139"/>
        <w:ind w:right="5626"/>
      </w:pPr>
      <w:r>
        <w:rPr/>
        <w:t>注册时间：1987</w:t>
      </w:r>
      <w:r>
        <w:rPr>
          <w:spacing w:val="-36"/>
        </w:rPr>
        <w:t> 年 </w:t>
      </w:r>
      <w:r>
        <w:rPr/>
        <w:t>3</w:t>
      </w:r>
      <w:r>
        <w:rPr>
          <w:spacing w:val="-36"/>
        </w:rPr>
        <w:t> 月 </w:t>
      </w:r>
      <w:r>
        <w:rPr/>
        <w:t>30</w:t>
      </w:r>
      <w:r>
        <w:rPr>
          <w:spacing w:val="-34"/>
        </w:rPr>
        <w:t> 日</w:t>
      </w:r>
      <w:r>
        <w:rPr/>
        <w:t>注册资本：742.63</w:t>
      </w:r>
      <w:r>
        <w:rPr>
          <w:spacing w:val="-18"/>
        </w:rPr>
        <w:t> 亿元</w:t>
      </w:r>
    </w:p>
    <w:p>
      <w:pPr>
        <w:pStyle w:val="BodyText"/>
        <w:spacing w:line="364" w:lineRule="auto"/>
        <w:ind w:right="2728"/>
      </w:pPr>
      <w:r>
        <w:rPr/>
        <w:t>基金托管资格批文及文号：中国证监会证监基字[1998]25 号联系人：陆志俊</w:t>
      </w:r>
    </w:p>
    <w:p>
      <w:pPr>
        <w:pStyle w:val="BodyText"/>
        <w:tabs>
          <w:tab w:pos="1239" w:val="left" w:leader="none"/>
        </w:tabs>
        <w:spacing w:line="268" w:lineRule="exact"/>
      </w:pPr>
      <w:r>
        <w:rPr/>
        <w:t>电</w:t>
        <w:tab/>
        <w:t>话：95559</w:t>
      </w:r>
    </w:p>
    <w:p>
      <w:pPr>
        <w:pStyle w:val="BodyText"/>
        <w:spacing w:before="6"/>
        <w:ind w:left="0"/>
        <w:rPr>
          <w:sz w:val="18"/>
        </w:rPr>
      </w:pPr>
    </w:p>
    <w:p>
      <w:pPr>
        <w:pStyle w:val="BodyText"/>
        <w:spacing w:line="417" w:lineRule="auto"/>
        <w:ind w:left="400" w:right="208" w:firstLine="420"/>
      </w:pPr>
      <w:r>
        <w:rPr>
          <w:spacing w:val="3"/>
        </w:rPr>
        <w:t>交通银行始建于</w:t>
      </w:r>
      <w:r>
        <w:rPr/>
        <w:t>1908</w:t>
      </w:r>
      <w:r>
        <w:rPr>
          <w:spacing w:val="2"/>
        </w:rPr>
        <w:t>年，是中国历史最悠久的银行之一，也是近代中国的发钞行之一。</w:t>
      </w:r>
      <w:r>
        <w:rPr/>
        <w:t>1987</w:t>
      </w:r>
      <w:r>
        <w:rPr>
          <w:spacing w:val="-6"/>
        </w:rPr>
        <w:t>年重新组建后的交通银行正式对外营业，成为中国第一家全国性的国有股份制商业银行， </w:t>
      </w:r>
      <w:r>
        <w:rPr>
          <w:spacing w:val="-12"/>
        </w:rPr>
        <w:t>总部设在上海。</w:t>
      </w:r>
      <w:r>
        <w:rPr/>
        <w:t>2005年6</w:t>
      </w:r>
      <w:r>
        <w:rPr>
          <w:spacing w:val="-1"/>
        </w:rPr>
        <w:t>月交通银行在香港联合交易所挂牌上市，</w:t>
      </w:r>
      <w:r>
        <w:rPr>
          <w:spacing w:val="-10"/>
        </w:rPr>
        <w:t>2007</w:t>
      </w:r>
      <w:r>
        <w:rPr/>
        <w:t>年5月在上海证券交易 所挂牌上市。交通银行连续12年跻身《财富》(FORTUNE)世界500强，营业收入排名第162位； 列《银行家》(The Banker)杂志全球千家大银行一级资本排名第11位。</w:t>
      </w:r>
    </w:p>
    <w:p>
      <w:pPr>
        <w:pStyle w:val="BodyText"/>
        <w:spacing w:line="417" w:lineRule="auto"/>
        <w:ind w:left="400" w:right="418" w:firstLine="420"/>
      </w:pPr>
      <w:r>
        <w:rPr/>
        <w:t>截至2020年6月30日，交通银行资产总额为人民币10.67万亿元。2020年1-6月，交通银行实现净利润(归属于母公司股东)人民币365.05亿元。</w:t>
      </w:r>
    </w:p>
    <w:p>
      <w:pPr>
        <w:pStyle w:val="BodyText"/>
        <w:spacing w:line="417" w:lineRule="auto"/>
        <w:ind w:left="400" w:right="208" w:firstLine="420"/>
      </w:pPr>
      <w:r>
        <w:rPr/>
        <w:t>交通银行总行设资产托管业务中心</w:t>
      </w:r>
      <w:r>
        <w:rPr>
          <w:spacing w:val="3"/>
        </w:rPr>
        <w:t>（</w:t>
      </w:r>
      <w:r>
        <w:rPr>
          <w:spacing w:val="-11"/>
        </w:rPr>
        <w:t>下文简称“托管中心”</w:t>
      </w:r>
      <w:r>
        <w:rPr>
          <w:spacing w:val="-103"/>
        </w:rPr>
        <w:t>）</w:t>
      </w:r>
      <w:r>
        <w:rPr/>
        <w:t>。现有员工具有多年基金、</w:t>
      </w:r>
      <w:r>
        <w:rPr>
          <w:spacing w:val="-7"/>
        </w:rPr>
        <w:t>证券和银行的从业经验，具备基金从业资格，以及经济师、会计师、工程师和律师等中高级 </w:t>
      </w:r>
      <w:r>
        <w:rPr>
          <w:spacing w:val="-6"/>
        </w:rPr>
        <w:t>专业技术职称，员工的学历层次较高，专业分布合理，职业技能优良，职业道德素质过硬， 是一支诚实勤勉、积极进取、开拓创新、奋发向上的资产托管从业人员队伍。</w:t>
      </w:r>
    </w:p>
    <w:p>
      <w:pPr>
        <w:pStyle w:val="BodyText"/>
        <w:spacing w:line="268" w:lineRule="exact"/>
      </w:pPr>
      <w:r>
        <w:rPr/>
        <w:t>2、主要人员情况</w:t>
      </w:r>
    </w:p>
    <w:p>
      <w:pPr>
        <w:pStyle w:val="BodyText"/>
        <w:spacing w:before="5"/>
        <w:ind w:left="0"/>
        <w:rPr>
          <w:sz w:val="15"/>
        </w:rPr>
      </w:pPr>
    </w:p>
    <w:p>
      <w:pPr>
        <w:pStyle w:val="BodyText"/>
        <w:spacing w:before="1"/>
        <w:ind w:left="955"/>
      </w:pPr>
      <w:r>
        <w:rPr/>
        <w:t>任德奇先生，董事长、执行董事，高级经济师。</w:t>
      </w:r>
    </w:p>
    <w:p>
      <w:pPr>
        <w:pStyle w:val="BodyText"/>
        <w:spacing w:before="6"/>
        <w:ind w:left="0"/>
        <w:rPr>
          <w:sz w:val="15"/>
        </w:rPr>
      </w:pPr>
    </w:p>
    <w:p>
      <w:pPr>
        <w:pStyle w:val="BodyText"/>
        <w:spacing w:line="417" w:lineRule="auto"/>
        <w:ind w:left="400" w:right="208" w:firstLine="555"/>
      </w:pPr>
      <w:r>
        <w:rPr>
          <w:spacing w:val="5"/>
        </w:rPr>
        <w:t>任先生</w:t>
      </w:r>
      <w:r>
        <w:rPr/>
        <w:t>2020</w:t>
      </w:r>
      <w:r>
        <w:rPr>
          <w:spacing w:val="5"/>
        </w:rPr>
        <w:t>年1月起任本行董事长（</w:t>
      </w:r>
      <w:r>
        <w:rPr>
          <w:spacing w:val="3"/>
        </w:rPr>
        <w:t>其中：</w:t>
      </w:r>
      <w:r>
        <w:rPr/>
        <w:t>2019</w:t>
      </w:r>
      <w:r>
        <w:rPr>
          <w:spacing w:val="5"/>
        </w:rPr>
        <w:t>年</w:t>
      </w:r>
      <w:r>
        <w:rPr>
          <w:spacing w:val="2"/>
        </w:rPr>
        <w:t>12</w:t>
      </w:r>
      <w:r>
        <w:rPr>
          <w:spacing w:val="5"/>
        </w:rPr>
        <w:t>月至</w:t>
      </w:r>
      <w:r>
        <w:rPr/>
        <w:t>2020</w:t>
      </w:r>
      <w:r>
        <w:rPr>
          <w:spacing w:val="5"/>
        </w:rPr>
        <w:t>年7</w:t>
      </w:r>
      <w:r>
        <w:rPr>
          <w:spacing w:val="4"/>
        </w:rPr>
        <w:t>月代为履行行长职 责</w:t>
      </w:r>
      <w:r>
        <w:rPr>
          <w:spacing w:val="-105"/>
        </w:rPr>
        <w:t>）</w:t>
      </w:r>
      <w:r>
        <w:rPr/>
        <w:t>、执行董事，2018年8月至2020年1月任本行副董事长（其中：2019年4月至2020年1月代 为履行董事长职责</w:t>
      </w:r>
      <w:r>
        <w:rPr>
          <w:spacing w:val="-105"/>
        </w:rPr>
        <w:t>）</w:t>
      </w:r>
      <w:r>
        <w:rPr/>
        <w:t>、执行董事，2018年8月至2019年12</w:t>
      </w:r>
      <w:r>
        <w:rPr>
          <w:spacing w:val="2"/>
        </w:rPr>
        <w:t>月任本行行长； </w:t>
      </w:r>
      <w:r>
        <w:rPr/>
        <w:t>2016年12月至2018 年</w:t>
      </w:r>
      <w:r>
        <w:rPr>
          <w:spacing w:val="3"/>
        </w:rPr>
        <w:t>6</w:t>
      </w:r>
      <w:r>
        <w:rPr/>
        <w:t>月任中国银行执行董事、副行长，其中：2015年10</w:t>
      </w:r>
      <w:r>
        <w:rPr>
          <w:spacing w:val="1"/>
        </w:rPr>
        <w:t>月至</w:t>
      </w:r>
      <w:r>
        <w:rPr/>
        <w:t>2018</w:t>
      </w:r>
      <w:r>
        <w:rPr>
          <w:spacing w:val="3"/>
        </w:rPr>
        <w:t>年</w:t>
      </w:r>
      <w:r>
        <w:rPr/>
        <w:t>6月兼任中银香港（</w:t>
      </w:r>
      <w:r>
        <w:rPr>
          <w:spacing w:val="1"/>
        </w:rPr>
        <w:t>控股</w:t>
      </w:r>
      <w:r>
        <w:rPr/>
        <w:t>）</w:t>
      </w:r>
    </w:p>
    <w:p>
      <w:pPr>
        <w:spacing w:after="0" w:line="417" w:lineRule="auto"/>
        <w:sectPr>
          <w:pgSz w:w="11910" w:h="16840"/>
          <w:pgMar w:header="0" w:footer="910" w:top="1400" w:bottom="1180" w:left="1400" w:right="1380"/>
        </w:sectPr>
      </w:pPr>
    </w:p>
    <w:p>
      <w:pPr>
        <w:pStyle w:val="BodyText"/>
        <w:spacing w:line="417" w:lineRule="auto" w:before="43"/>
        <w:ind w:left="400" w:right="208"/>
      </w:pPr>
      <w:r>
        <w:rPr/>
        <w:t>有限公司非执行董事，2016年</w:t>
      </w:r>
      <w:r>
        <w:rPr>
          <w:spacing w:val="5"/>
        </w:rPr>
        <w:t>9</w:t>
      </w:r>
      <w:r>
        <w:rPr/>
        <w:t>月至2018年</w:t>
      </w:r>
      <w:r>
        <w:rPr>
          <w:spacing w:val="5"/>
        </w:rPr>
        <w:t>6</w:t>
      </w:r>
      <w:r>
        <w:rPr/>
        <w:t>月兼任中国银行上海人民币交易业务总部总裁； 2014年7月至2016年11月任中国银行副行长，2003年8月至2014年5月历任中国建设银行信贷 </w:t>
      </w:r>
      <w:r>
        <w:rPr>
          <w:spacing w:val="-7"/>
        </w:rPr>
        <w:t>审批部副总经理、风险监控部总经理、授信管理部总经理、湖北省分行行长、风险管理部总 </w:t>
      </w:r>
      <w:r>
        <w:rPr>
          <w:spacing w:val="-22"/>
        </w:rPr>
        <w:t>经理；</w:t>
      </w:r>
      <w:r>
        <w:rPr>
          <w:spacing w:val="-10"/>
        </w:rPr>
        <w:t>1988</w:t>
      </w:r>
      <w:r>
        <w:rPr/>
        <w:t>年7月至2003年8月先后在中国建设银行岳阳长岭支行、岳阳市中心支行、岳阳分 </w:t>
      </w:r>
      <w:r>
        <w:rPr>
          <w:spacing w:val="-9"/>
        </w:rPr>
        <w:t>行，中国建设银行信贷管理委员会办公室、信贷风险管理部工作。任先生</w:t>
      </w:r>
      <w:r>
        <w:rPr/>
        <w:t>1988年于清华大学 获工学硕士学位。</w:t>
      </w:r>
    </w:p>
    <w:p>
      <w:pPr>
        <w:pStyle w:val="BodyText"/>
        <w:spacing w:line="268" w:lineRule="exact"/>
      </w:pPr>
      <w:r>
        <w:rPr/>
        <w:t>袁庆伟女士，资产托管业务中心总裁，高级经济师。</w:t>
      </w:r>
    </w:p>
    <w:p>
      <w:pPr>
        <w:pStyle w:val="BodyText"/>
        <w:spacing w:before="6"/>
        <w:ind w:left="0"/>
        <w:rPr>
          <w:sz w:val="15"/>
        </w:rPr>
      </w:pPr>
    </w:p>
    <w:p>
      <w:pPr>
        <w:pStyle w:val="BodyText"/>
        <w:spacing w:line="417" w:lineRule="auto" w:before="1"/>
        <w:ind w:left="400" w:right="417" w:firstLine="420"/>
        <w:jc w:val="both"/>
      </w:pPr>
      <w:r>
        <w:rPr/>
        <w:t>袁女士2015年8</w:t>
      </w:r>
      <w:r>
        <w:rPr>
          <w:spacing w:val="-5"/>
        </w:rPr>
        <w:t>月起任本行资产托管业务中心总裁；</w:t>
      </w:r>
      <w:r>
        <w:rPr>
          <w:spacing w:val="-10"/>
        </w:rPr>
        <w:t>2007</w:t>
      </w:r>
      <w:r>
        <w:rPr/>
        <w:t>年12月至2015年8</w:t>
      </w:r>
      <w:r>
        <w:rPr>
          <w:spacing w:val="-3"/>
        </w:rPr>
        <w:t>月，历任本行资产托管部总经理助理、副总经理，本行资产托管业务中心副总裁；</w:t>
      </w:r>
      <w:r>
        <w:rPr>
          <w:spacing w:val="-10"/>
        </w:rPr>
        <w:t>1999</w:t>
      </w:r>
      <w:r>
        <w:rPr/>
        <w:t>年12月至2007年</w:t>
      </w:r>
      <w:r>
        <w:rPr>
          <w:spacing w:val="-8"/>
        </w:rPr>
        <w:t>12 </w:t>
      </w:r>
      <w:r>
        <w:rPr>
          <w:spacing w:val="-10"/>
        </w:rPr>
        <w:t>月，历任本行乌鲁木齐分行财务会计部副科长、科长、处长助理、副处长，会计结算部高级</w:t>
      </w:r>
      <w:r>
        <w:rPr>
          <w:spacing w:val="-7"/>
        </w:rPr>
        <w:t>经理。袁女士</w:t>
      </w:r>
      <w:r>
        <w:rPr/>
        <w:t>1992</w:t>
      </w:r>
      <w:r>
        <w:rPr>
          <w:spacing w:val="-3"/>
        </w:rPr>
        <w:t>年毕业于中国石油大学计算机科学系，获得学士学位，</w:t>
      </w:r>
      <w:r>
        <w:rPr>
          <w:spacing w:val="-7"/>
        </w:rPr>
        <w:t>2005</w:t>
      </w:r>
      <w:r>
        <w:rPr>
          <w:spacing w:val="-3"/>
        </w:rPr>
        <w:t>年于新疆财经</w:t>
      </w:r>
      <w:r>
        <w:rPr/>
        <w:t>学院获硕士学位。</w:t>
      </w:r>
    </w:p>
    <w:p>
      <w:pPr>
        <w:pStyle w:val="BodyText"/>
        <w:spacing w:line="268" w:lineRule="exact"/>
      </w:pPr>
      <w:r>
        <w:rPr/>
        <w:t>3、基金托管业务经营情况</w:t>
      </w:r>
    </w:p>
    <w:p>
      <w:pPr>
        <w:pStyle w:val="BodyText"/>
        <w:spacing w:line="364" w:lineRule="auto" w:before="101"/>
        <w:ind w:left="400" w:right="208" w:firstLine="420"/>
      </w:pPr>
      <w:r>
        <w:rPr>
          <w:spacing w:val="-18"/>
        </w:rPr>
        <w:t>截至 </w:t>
      </w:r>
      <w:r>
        <w:rPr/>
        <w:t>2020</w:t>
      </w:r>
      <w:r>
        <w:rPr>
          <w:spacing w:val="-35"/>
        </w:rPr>
        <w:t> 年 </w:t>
      </w:r>
      <w:r>
        <w:rPr/>
        <w:t>6</w:t>
      </w:r>
      <w:r>
        <w:rPr>
          <w:spacing w:val="-35"/>
        </w:rPr>
        <w:t> 月 </w:t>
      </w:r>
      <w:r>
        <w:rPr/>
        <w:t>30</w:t>
      </w:r>
      <w:r>
        <w:rPr>
          <w:spacing w:val="-13"/>
        </w:rPr>
        <w:t> 日，交通银行共托管证券投资基金 </w:t>
      </w:r>
      <w:r>
        <w:rPr/>
        <w:t>478</w:t>
      </w:r>
      <w:r>
        <w:rPr>
          <w:spacing w:val="-12"/>
        </w:rPr>
        <w:t> 只。此外，交通银行还托管 </w:t>
      </w:r>
      <w:r>
        <w:rPr>
          <w:spacing w:val="-20"/>
        </w:rPr>
        <w:t>了基金公司特定客户资产管理计划、证券公司客户资产管理计划、银行理财产品、信托计划、</w:t>
      </w:r>
      <w:r>
        <w:rPr>
          <w:spacing w:val="-16"/>
        </w:rPr>
        <w:t>私募投资基金、保险资金、全国社保基金、养老保障管理基金、企业年金基金、职业年金基 </w:t>
      </w:r>
      <w:r>
        <w:rPr>
          <w:spacing w:val="3"/>
        </w:rPr>
        <w:t>金、</w:t>
      </w:r>
      <w:r>
        <w:rPr/>
        <w:t>QFII</w:t>
      </w:r>
      <w:r>
        <w:rPr>
          <w:spacing w:val="-5"/>
        </w:rPr>
        <w:t> 证券投资资产、</w:t>
      </w:r>
      <w:r>
        <w:rPr/>
        <w:t>RQFII</w:t>
      </w:r>
      <w:r>
        <w:rPr>
          <w:spacing w:val="-5"/>
        </w:rPr>
        <w:t> 证券投资资产、</w:t>
      </w:r>
      <w:r>
        <w:rPr/>
        <w:t>QDII</w:t>
      </w:r>
      <w:r>
        <w:rPr>
          <w:spacing w:val="-5"/>
        </w:rPr>
        <w:t> 证券投资资产、</w:t>
      </w:r>
      <w:r>
        <w:rPr/>
        <w:t>RQDII</w:t>
      </w:r>
      <w:r>
        <w:rPr>
          <w:spacing w:val="-6"/>
        </w:rPr>
        <w:t> 证券投资资产、QDIE</w:t>
      </w:r>
      <w:r>
        <w:rPr>
          <w:spacing w:val="-14"/>
        </w:rPr>
        <w:t> 资金、</w:t>
      </w:r>
      <w:r>
        <w:rPr/>
        <w:t>QDLP</w:t>
      </w:r>
      <w:r>
        <w:rPr>
          <w:spacing w:val="-22"/>
        </w:rPr>
        <w:t> 资金和 </w:t>
      </w:r>
      <w:r>
        <w:rPr/>
        <w:t>QFLP</w:t>
      </w:r>
      <w:r>
        <w:rPr>
          <w:spacing w:val="-9"/>
        </w:rPr>
        <w:t> 资金等产品。</w:t>
      </w:r>
    </w:p>
    <w:p>
      <w:pPr>
        <w:pStyle w:val="BodyText"/>
        <w:spacing w:line="267" w:lineRule="exact"/>
      </w:pPr>
      <w:r>
        <w:rPr/>
        <w:t>（二）基金托管人的内部控制制度</w:t>
      </w:r>
    </w:p>
    <w:p>
      <w:pPr>
        <w:pStyle w:val="BodyText"/>
        <w:spacing w:before="139"/>
      </w:pPr>
      <w:r>
        <w:rPr/>
        <w:t>1、内部控制目标</w:t>
      </w:r>
    </w:p>
    <w:p>
      <w:pPr>
        <w:pStyle w:val="BodyText"/>
        <w:spacing w:line="364" w:lineRule="auto" w:before="140"/>
        <w:ind w:left="400" w:right="208" w:firstLine="420"/>
      </w:pPr>
      <w:r>
        <w:rPr>
          <w:spacing w:val="-5"/>
        </w:rPr>
        <w:t>交通银行严格遵守国家法律法规、行业规章及行内相关管理规定，加强内部管理，托管 </w:t>
      </w:r>
      <w:r>
        <w:rPr>
          <w:spacing w:val="-4"/>
        </w:rPr>
        <w:t>中心业务制度健全并确保贯彻执行各项规章，通过对各种风险的识别、评估、控制及缓释， 有效地实现对各项业务的风险管控，确保业务稳健运行，保护基金持有人的合法权益。</w:t>
      </w:r>
    </w:p>
    <w:p>
      <w:pPr>
        <w:pStyle w:val="BodyText"/>
        <w:spacing w:line="268" w:lineRule="exact"/>
      </w:pPr>
      <w:r>
        <w:rPr/>
        <w:t>2、内部控制原则</w:t>
      </w:r>
    </w:p>
    <w:p>
      <w:pPr>
        <w:pStyle w:val="ListParagraph"/>
        <w:numPr>
          <w:ilvl w:val="1"/>
          <w:numId w:val="6"/>
        </w:numPr>
        <w:tabs>
          <w:tab w:pos="1137" w:val="left" w:leader="none"/>
        </w:tabs>
        <w:spacing w:line="364" w:lineRule="auto" w:before="139" w:after="0"/>
        <w:ind w:left="400" w:right="418" w:firstLine="420"/>
        <w:jc w:val="left"/>
        <w:rPr>
          <w:sz w:val="21"/>
        </w:rPr>
      </w:pPr>
      <w:r>
        <w:rPr>
          <w:sz w:val="21"/>
        </w:rPr>
        <w:t>合法性原则：托管中心制定的各项制度符合国家法律法规及监管机构的监管要求， 并贯穿于托管业务经营管理活动始终。</w:t>
      </w:r>
    </w:p>
    <w:p>
      <w:pPr>
        <w:pStyle w:val="ListParagraph"/>
        <w:numPr>
          <w:ilvl w:val="1"/>
          <w:numId w:val="6"/>
        </w:numPr>
        <w:tabs>
          <w:tab w:pos="1137" w:val="left" w:leader="none"/>
        </w:tabs>
        <w:spacing w:line="364" w:lineRule="auto" w:before="0" w:after="0"/>
        <w:ind w:left="400" w:right="417" w:firstLine="420"/>
        <w:jc w:val="both"/>
        <w:rPr>
          <w:sz w:val="21"/>
        </w:rPr>
      </w:pPr>
      <w:r>
        <w:rPr>
          <w:sz w:val="21"/>
        </w:rPr>
        <w:t>全面性原则：托管中心建立各二级部自我监控和风险合规部风险管控的内部控制机</w:t>
      </w:r>
      <w:r>
        <w:rPr>
          <w:spacing w:val="-11"/>
          <w:sz w:val="21"/>
        </w:rPr>
        <w:t>制，覆盖各项业务、各个部门和各级人员，并渗透到决策、执行、监督、反馈等各个经营环</w:t>
      </w:r>
      <w:r>
        <w:rPr>
          <w:sz w:val="21"/>
        </w:rPr>
        <w:t>节，建立全面的风险管理监督机制。</w:t>
      </w:r>
    </w:p>
    <w:p>
      <w:pPr>
        <w:pStyle w:val="ListParagraph"/>
        <w:numPr>
          <w:ilvl w:val="1"/>
          <w:numId w:val="6"/>
        </w:numPr>
        <w:tabs>
          <w:tab w:pos="1137" w:val="left" w:leader="none"/>
        </w:tabs>
        <w:spacing w:line="364" w:lineRule="auto" w:before="0" w:after="0"/>
        <w:ind w:left="400" w:right="418" w:firstLine="420"/>
        <w:jc w:val="left"/>
        <w:rPr>
          <w:sz w:val="21"/>
        </w:rPr>
      </w:pPr>
      <w:r>
        <w:rPr>
          <w:sz w:val="21"/>
        </w:rPr>
        <w:t>独立性原则：托管中心独立负责受托基金资产的保管，保证基金资产与交通银行的自有资产相互独立，对不同的受托基金资产分别设置账户，独立核算，分账管理。</w:t>
      </w:r>
    </w:p>
    <w:p>
      <w:pPr>
        <w:pStyle w:val="ListParagraph"/>
        <w:numPr>
          <w:ilvl w:val="1"/>
          <w:numId w:val="6"/>
        </w:numPr>
        <w:tabs>
          <w:tab w:pos="1137" w:val="left" w:leader="none"/>
        </w:tabs>
        <w:spacing w:line="268" w:lineRule="exact" w:before="0" w:after="0"/>
        <w:ind w:left="1136" w:right="0" w:hanging="317"/>
        <w:jc w:val="left"/>
        <w:rPr>
          <w:sz w:val="21"/>
        </w:rPr>
      </w:pPr>
      <w:r>
        <w:rPr>
          <w:sz w:val="21"/>
        </w:rPr>
        <w:t>制衡性原则：托管中心贯彻适当授权、相互制约的原则，从组织架构的设置上确保</w:t>
      </w:r>
    </w:p>
    <w:p>
      <w:pPr>
        <w:spacing w:after="0" w:line="268" w:lineRule="exact"/>
        <w:jc w:val="left"/>
        <w:rPr>
          <w:sz w:val="21"/>
        </w:rPr>
        <w:sectPr>
          <w:pgSz w:w="11910" w:h="16840"/>
          <w:pgMar w:header="0" w:footer="910" w:top="1480" w:bottom="1180" w:left="1400" w:right="1380"/>
        </w:sectPr>
      </w:pPr>
    </w:p>
    <w:p>
      <w:pPr>
        <w:pStyle w:val="BodyText"/>
        <w:spacing w:before="45"/>
        <w:ind w:left="400"/>
      </w:pPr>
      <w:r>
        <w:rPr/>
        <w:t>各二级部和各岗位权责分明、相互制约，并通过有效的相互制衡措施消除内部控制中的盲点。</w:t>
      </w:r>
    </w:p>
    <w:p>
      <w:pPr>
        <w:pStyle w:val="ListParagraph"/>
        <w:numPr>
          <w:ilvl w:val="1"/>
          <w:numId w:val="6"/>
        </w:numPr>
        <w:tabs>
          <w:tab w:pos="1137" w:val="left" w:leader="none"/>
        </w:tabs>
        <w:spacing w:line="364" w:lineRule="auto" w:before="139" w:after="0"/>
        <w:ind w:left="400" w:right="208" w:firstLine="420"/>
        <w:jc w:val="left"/>
        <w:rPr>
          <w:sz w:val="21"/>
        </w:rPr>
      </w:pPr>
      <w:r>
        <w:rPr>
          <w:sz w:val="21"/>
        </w:rPr>
        <w:t>有效性原则：托管中心在岗位、业务二级部和风险合规部三级内控管理模式的基础 上，形成科学合理的内部控制决策机制、执行机制和监督机制，通过行之有效的控制流程、控制措施，建立合理的内控程序，保障各项内控管理目标被有效执行。</w:t>
      </w:r>
    </w:p>
    <w:p>
      <w:pPr>
        <w:pStyle w:val="ListParagraph"/>
        <w:numPr>
          <w:ilvl w:val="1"/>
          <w:numId w:val="6"/>
        </w:numPr>
        <w:tabs>
          <w:tab w:pos="1137" w:val="left" w:leader="none"/>
        </w:tabs>
        <w:spacing w:line="364" w:lineRule="auto" w:before="0" w:after="0"/>
        <w:ind w:left="400" w:right="418" w:firstLine="420"/>
        <w:jc w:val="left"/>
        <w:rPr>
          <w:sz w:val="21"/>
        </w:rPr>
      </w:pPr>
      <w:r>
        <w:rPr>
          <w:sz w:val="21"/>
        </w:rPr>
        <w:t>效益性原则：托管中心内部控制与基金托管规模、业务范围和业务运作环节的风险控制要求相适应，尽量降低经营运作成本，以合理的控制成本实现最佳的内部控制目标。</w:t>
      </w:r>
    </w:p>
    <w:p>
      <w:pPr>
        <w:pStyle w:val="BodyText"/>
        <w:spacing w:line="268" w:lineRule="exact"/>
      </w:pPr>
      <w:r>
        <w:rPr/>
        <w:t>3、内部控制制度及措施</w:t>
      </w:r>
    </w:p>
    <w:p>
      <w:pPr>
        <w:pStyle w:val="BodyText"/>
        <w:spacing w:line="364" w:lineRule="auto" w:before="138"/>
        <w:ind w:left="400" w:right="220" w:firstLine="420"/>
      </w:pPr>
      <w:r>
        <w:rPr>
          <w:spacing w:val="-27"/>
        </w:rPr>
        <w:t>根据《证券投资基金法》、《中华人民共和国商业银行法》、《商业银行资产托管业务指引》</w:t>
      </w:r>
      <w:r>
        <w:rPr>
          <w:spacing w:val="-9"/>
        </w:rPr>
        <w:t>等法律法规，托管中心制定了一整套严密、完整的证券投资基金托管管理规章制度，确保基</w:t>
      </w:r>
      <w:r>
        <w:rPr>
          <w:spacing w:val="-20"/>
        </w:rPr>
        <w:t>金托管业务运行的规范、安全、高效，包括《交通银行资产托管业务管理办法》、《交通银行</w:t>
      </w:r>
      <w:r>
        <w:rPr>
          <w:spacing w:val="-29"/>
        </w:rPr>
        <w:t>资产托管业务风险管理办法》、《交通银行资产托管业务系统建设管理办法》、《交通银行资 </w:t>
      </w:r>
      <w:r>
        <w:rPr>
          <w:spacing w:val="-30"/>
        </w:rPr>
        <w:t>产托管部信息披露制度》、《交通银行资产托管业务商业秘密管理规定》、《交通银行资产托 </w:t>
      </w:r>
      <w:r>
        <w:rPr>
          <w:spacing w:val="-27"/>
        </w:rPr>
        <w:t>管业务从业人员行为规范》、《交通银行资产托管业务档案管理暂行办法》等，并根据市场变</w:t>
      </w:r>
      <w:r>
        <w:rPr>
          <w:spacing w:val="-24"/>
        </w:rPr>
        <w:t>化和基金业务的发展不断加以完善。做到业务分工科学合理，技术系统管理规范，业务管理制度健全，核心作业区实行封闭管理，落实各项安全隔离措施，相关信息披露由专人负责。</w:t>
      </w:r>
    </w:p>
    <w:p>
      <w:pPr>
        <w:pStyle w:val="BodyText"/>
        <w:spacing w:line="364" w:lineRule="auto"/>
        <w:ind w:left="400" w:right="220" w:firstLine="420"/>
      </w:pPr>
      <w:r>
        <w:rPr>
          <w:spacing w:val="-6"/>
        </w:rPr>
        <w:t>托管中心通过对基金托管业务各环节的事前揭示、事中控制和事后检查措施实现全流程、</w:t>
      </w:r>
      <w:r>
        <w:rPr>
          <w:spacing w:val="-10"/>
        </w:rPr>
        <w:t>全链条的风险管理，聘请国际著名会计师事务所对基金托管业务运行进行国际标准的内部控制评审。</w:t>
      </w:r>
    </w:p>
    <w:p>
      <w:pPr>
        <w:pStyle w:val="BodyText"/>
        <w:spacing w:line="268" w:lineRule="exact"/>
      </w:pPr>
      <w:r>
        <w:rPr/>
        <w:t>（三）基金托管人对基金管理人运作基金进行监督的方法和程序</w:t>
      </w:r>
    </w:p>
    <w:p>
      <w:pPr>
        <w:pStyle w:val="BodyText"/>
        <w:spacing w:line="364" w:lineRule="auto" w:before="136"/>
        <w:ind w:left="400" w:right="312" w:firstLine="420"/>
      </w:pPr>
      <w:r>
        <w:rPr>
          <w:spacing w:val="-17"/>
        </w:rPr>
        <w:t>交通银行作为基金托管人，根据《证券投资基金法》、《公开募集证券投资基金运作管理</w:t>
      </w:r>
      <w:r>
        <w:rPr>
          <w:spacing w:val="-12"/>
        </w:rPr>
        <w:t>办法》和有关证券法规的规定，对基金的投资对象、基金资产的投资组合比例、基金资产的</w:t>
      </w:r>
      <w:r>
        <w:rPr>
          <w:spacing w:val="-16"/>
        </w:rPr>
        <w:t>核算、基金资产净值的计算、基金管理人报酬的计提和支付、基金托管人报酬的计提和支付、</w:t>
      </w:r>
      <w:r>
        <w:rPr>
          <w:spacing w:val="-5"/>
        </w:rPr>
        <w:t>基金的申购资金的到账与赎回资金的划付、基金收益分配等行为的合法性、合规性进行监督和核查。</w:t>
      </w:r>
    </w:p>
    <w:p>
      <w:pPr>
        <w:pStyle w:val="BodyText"/>
        <w:spacing w:line="364" w:lineRule="auto"/>
        <w:ind w:left="400" w:right="313" w:firstLine="420"/>
      </w:pPr>
      <w:r>
        <w:rPr>
          <w:spacing w:val="-13"/>
        </w:rPr>
        <w:t>交通银行作为基金托管人，发现基金管理人有违反《证券投资基金法》、《公开募集证券</w:t>
      </w:r>
      <w:r>
        <w:rPr>
          <w:spacing w:val="-16"/>
        </w:rPr>
        <w:t>投资基金运作管理办法》等有关证券法规和《基金合同》的行为，及时通知基金管理人予以</w:t>
      </w:r>
      <w:r>
        <w:rPr>
          <w:spacing w:val="-17"/>
        </w:rPr>
        <w:t>纠正，基金管理人收到通知后及时核对确认并进行调整。交通银行有权对通知事项进行复查， </w:t>
      </w:r>
      <w:r>
        <w:rPr>
          <w:spacing w:val="-7"/>
        </w:rPr>
        <w:t>督促基金管理人改正。基金管理人对交通银行通知的违规事项未能及时纠正的，交通银行有权报告中国证监会。</w:t>
      </w:r>
    </w:p>
    <w:p>
      <w:pPr>
        <w:pStyle w:val="BodyText"/>
        <w:spacing w:line="364" w:lineRule="auto"/>
        <w:ind w:left="400" w:right="313" w:firstLine="420"/>
      </w:pPr>
      <w:r>
        <w:rPr>
          <w:spacing w:val="-14"/>
        </w:rPr>
        <w:t>交通银行作为基金托管人，发现基金管理人有重大违规行为，有权立即报告中国证监会， </w:t>
      </w:r>
      <w:r>
        <w:rPr/>
        <w:t>同时通知基金管理人限期纠正。</w:t>
      </w:r>
    </w:p>
    <w:p>
      <w:pPr>
        <w:pStyle w:val="BodyText"/>
        <w:spacing w:line="268" w:lineRule="exact"/>
      </w:pPr>
      <w:r>
        <w:rPr/>
        <w:t>（四）其他事项</w:t>
      </w:r>
    </w:p>
    <w:p>
      <w:pPr>
        <w:pStyle w:val="BodyText"/>
        <w:spacing w:line="364" w:lineRule="auto" w:before="135"/>
        <w:ind w:left="400" w:right="417" w:firstLine="420"/>
      </w:pPr>
      <w:r>
        <w:rPr>
          <w:spacing w:val="-4"/>
        </w:rPr>
        <w:t>最近一年内交通银行及其负责资产托管业务的高级管理人员无重大违法违规行为，未受</w:t>
      </w:r>
      <w:r>
        <w:rPr>
          <w:spacing w:val="-8"/>
        </w:rPr>
        <w:t>到中国人民银行、中国证监会、中国银保监会及其他有关机关的处罚。负责基金托管业务的</w:t>
      </w:r>
    </w:p>
    <w:p>
      <w:pPr>
        <w:spacing w:after="0" w:line="364" w:lineRule="auto"/>
        <w:sectPr>
          <w:pgSz w:w="11910" w:h="16840"/>
          <w:pgMar w:header="0" w:footer="910" w:top="1380" w:bottom="1180" w:left="1400" w:right="1380"/>
        </w:sectPr>
      </w:pPr>
    </w:p>
    <w:p>
      <w:pPr>
        <w:pStyle w:val="BodyText"/>
        <w:spacing w:before="45"/>
        <w:ind w:left="400"/>
      </w:pPr>
      <w:r>
        <w:rPr/>
        <w:t>高级管理人员在基金管理公司无兼职的情况。</w:t>
      </w:r>
    </w:p>
    <w:p>
      <w:pPr>
        <w:spacing w:after="0"/>
        <w:sectPr>
          <w:pgSz w:w="11910" w:h="16840"/>
          <w:pgMar w:header="0" w:footer="910" w:top="1380" w:bottom="1180" w:left="1400" w:right="1380"/>
        </w:sectPr>
      </w:pPr>
    </w:p>
    <w:p>
      <w:pPr>
        <w:pStyle w:val="BodyText"/>
        <w:spacing w:before="1"/>
        <w:ind w:left="0"/>
        <w:rPr>
          <w:sz w:val="8"/>
        </w:rPr>
      </w:pPr>
    </w:p>
    <w:p>
      <w:pPr>
        <w:pStyle w:val="Heading1"/>
        <w:spacing w:line="538" w:lineRule="exact"/>
      </w:pPr>
      <w:bookmarkStart w:name="_bookmark9" w:id="10"/>
      <w:bookmarkEnd w:id="10"/>
      <w:r>
        <w:rPr>
          <w:b w:val="0"/>
        </w:rPr>
      </w:r>
      <w:r>
        <w:rPr/>
        <w:t>五、相关服务机构</w:t>
      </w:r>
    </w:p>
    <w:p>
      <w:pPr>
        <w:pStyle w:val="Heading3"/>
        <w:spacing w:before="139"/>
      </w:pPr>
      <w:bookmarkStart w:name="_bookmark10" w:id="11"/>
      <w:bookmarkEnd w:id="11"/>
      <w:r>
        <w:rPr/>
      </w:r>
      <w:r>
        <w:rPr/>
        <w:t>（一）基金份额销售机构</w:t>
      </w:r>
    </w:p>
    <w:p>
      <w:pPr>
        <w:pStyle w:val="BodyText"/>
        <w:spacing w:before="185"/>
      </w:pPr>
      <w:r>
        <w:rPr/>
        <w:t>1、直销机构：易方达基金管理有限公司</w:t>
      </w:r>
    </w:p>
    <w:p>
      <w:pPr>
        <w:pStyle w:val="BodyText"/>
        <w:spacing w:line="364" w:lineRule="auto" w:before="139"/>
        <w:ind w:right="1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5"/>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5890"/>
      </w:pPr>
      <w:hyperlink r:id="rId8">
        <w:r>
          <w:rPr/>
          <w:t>网址：www.efunds.com.cn </w:t>
        </w:r>
      </w:hyperlink>
      <w:r>
        <w:rPr/>
        <w:t>直销机构网点信息：</w:t>
      </w:r>
    </w:p>
    <w:p>
      <w:pPr>
        <w:pStyle w:val="ListParagraph"/>
        <w:numPr>
          <w:ilvl w:val="0"/>
          <w:numId w:val="7"/>
        </w:numPr>
        <w:tabs>
          <w:tab w:pos="1346" w:val="left" w:leader="none"/>
        </w:tabs>
        <w:spacing w:line="268" w:lineRule="exact" w:before="0" w:after="0"/>
        <w:ind w:left="1346" w:right="0" w:hanging="526"/>
        <w:jc w:val="left"/>
        <w:rPr>
          <w:sz w:val="21"/>
        </w:rPr>
      </w:pPr>
      <w:r>
        <w:rPr>
          <w:sz w:val="21"/>
        </w:rPr>
        <w:t>易方达基金管理有限公司广州直销中心</w:t>
      </w:r>
    </w:p>
    <w:p>
      <w:pPr>
        <w:pStyle w:val="BodyText"/>
        <w:spacing w:line="364" w:lineRule="auto" w:before="139"/>
        <w:ind w:right="20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7"/>
        </w:numPr>
        <w:tabs>
          <w:tab w:pos="1346" w:val="left" w:leader="none"/>
        </w:tabs>
        <w:spacing w:line="240" w:lineRule="auto" w:before="140" w:after="0"/>
        <w:ind w:left="1346" w:right="0" w:hanging="526"/>
        <w:jc w:val="left"/>
        <w:rPr>
          <w:sz w:val="21"/>
        </w:rPr>
      </w:pPr>
      <w:r>
        <w:rPr>
          <w:sz w:val="21"/>
        </w:rPr>
        <w:t>易方达基金管理有限公司北京直销中心</w:t>
      </w:r>
    </w:p>
    <w:p>
      <w:pPr>
        <w:pStyle w:val="BodyText"/>
        <w:spacing w:line="364" w:lineRule="auto" w:before="139"/>
        <w:ind w:right="29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40"/>
      </w:pPr>
      <w:r>
        <w:rPr/>
        <w:t>联系人：刘蕾</w:t>
      </w:r>
    </w:p>
    <w:p>
      <w:pPr>
        <w:pStyle w:val="ListParagraph"/>
        <w:numPr>
          <w:ilvl w:val="0"/>
          <w:numId w:val="7"/>
        </w:numPr>
        <w:tabs>
          <w:tab w:pos="1346" w:val="left" w:leader="none"/>
        </w:tabs>
        <w:spacing w:line="240" w:lineRule="auto" w:before="139" w:after="0"/>
        <w:ind w:left="1346" w:right="0" w:hanging="526"/>
        <w:jc w:val="left"/>
        <w:rPr>
          <w:sz w:val="21"/>
        </w:rPr>
      </w:pPr>
      <w:r>
        <w:rPr>
          <w:sz w:val="21"/>
        </w:rPr>
        <w:t>易方达基金管理有限公司上海直销中心</w:t>
      </w:r>
    </w:p>
    <w:p>
      <w:pPr>
        <w:pStyle w:val="BodyText"/>
        <w:spacing w:line="364" w:lineRule="auto" w:before="140"/>
        <w:ind w:right="30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联系人：王程</w:t>
      </w:r>
    </w:p>
    <w:p>
      <w:pPr>
        <w:pStyle w:val="ListParagraph"/>
        <w:numPr>
          <w:ilvl w:val="0"/>
          <w:numId w:val="7"/>
        </w:numPr>
        <w:tabs>
          <w:tab w:pos="1346" w:val="left" w:leader="none"/>
        </w:tabs>
        <w:spacing w:line="364" w:lineRule="auto" w:before="139" w:after="0"/>
        <w:ind w:left="820" w:right="4210" w:firstLine="0"/>
        <w:jc w:val="left"/>
        <w:rPr>
          <w:sz w:val="21"/>
        </w:rPr>
      </w:pPr>
      <w:r>
        <w:rPr>
          <w:spacing w:val="-2"/>
          <w:sz w:val="21"/>
        </w:rPr>
        <w:t>易方达基金管理有限公司网上交易系统</w:t>
      </w:r>
      <w:hyperlink r:id="rId8">
        <w:r>
          <w:rPr>
            <w:sz w:val="21"/>
          </w:rPr>
          <w:t>网址：www.efunds.com.cn</w:t>
        </w:r>
      </w:hyperlink>
    </w:p>
    <w:p>
      <w:pPr>
        <w:pStyle w:val="BodyText"/>
        <w:spacing w:line="268" w:lineRule="exact"/>
      </w:pPr>
      <w:r>
        <w:rPr/>
        <w:t>2、非直销销售机构（以下排序不分先后）</w:t>
      </w:r>
    </w:p>
    <w:p>
      <w:pPr>
        <w:pStyle w:val="ListParagraph"/>
        <w:numPr>
          <w:ilvl w:val="0"/>
          <w:numId w:val="8"/>
        </w:numPr>
        <w:tabs>
          <w:tab w:pos="1346" w:val="left" w:leader="none"/>
        </w:tabs>
        <w:spacing w:line="240" w:lineRule="auto" w:before="140" w:after="0"/>
        <w:ind w:left="1346" w:right="0" w:hanging="526"/>
        <w:jc w:val="left"/>
        <w:rPr>
          <w:sz w:val="21"/>
        </w:rPr>
      </w:pPr>
      <w:r>
        <w:rPr>
          <w:sz w:val="21"/>
        </w:rPr>
        <w:t>交通银行股份有限公司</w:t>
      </w:r>
    </w:p>
    <w:p>
      <w:pPr>
        <w:pStyle w:val="BodyText"/>
        <w:spacing w:line="364" w:lineRule="auto" w:before="139"/>
        <w:ind w:left="925" w:right="4210" w:hanging="105"/>
      </w:pPr>
      <w:r>
        <w:rPr>
          <w:spacing w:val="-4"/>
        </w:rPr>
        <w:t>注册地址：上海市浦东新区银城中路 </w:t>
      </w:r>
      <w:r>
        <w:rPr/>
        <w:t>188</w:t>
      </w:r>
      <w:r>
        <w:rPr>
          <w:spacing w:val="-27"/>
        </w:rPr>
        <w:t> 号</w:t>
      </w:r>
      <w:r>
        <w:rPr>
          <w:spacing w:val="-29"/>
        </w:rPr>
        <w:t>办公地址：上海市浦东新区银城中路 </w:t>
      </w:r>
      <w:r>
        <w:rPr/>
        <w:t>188</w:t>
      </w:r>
      <w:r>
        <w:rPr>
          <w:spacing w:val="-36"/>
        </w:rPr>
        <w:t> 号</w:t>
      </w:r>
    </w:p>
    <w:p>
      <w:pPr>
        <w:spacing w:after="0" w:line="364" w:lineRule="auto"/>
        <w:sectPr>
          <w:pgSz w:w="11910" w:h="16840"/>
          <w:pgMar w:header="0" w:footer="910" w:top="1580" w:bottom="1180" w:left="1400" w:right="1380"/>
        </w:sectPr>
      </w:pPr>
    </w:p>
    <w:p>
      <w:pPr>
        <w:pStyle w:val="BodyText"/>
        <w:spacing w:line="364" w:lineRule="auto" w:before="45"/>
        <w:ind w:right="6415"/>
        <w:jc w:val="both"/>
      </w:pPr>
      <w:r>
        <w:rPr/>
        <w:t>法定代表人：任德奇电话：021-58781234 传真：021-58408483</w:t>
      </w:r>
    </w:p>
    <w:p>
      <w:pPr>
        <w:pStyle w:val="BodyText"/>
        <w:spacing w:line="268" w:lineRule="exact"/>
      </w:pPr>
      <w:r>
        <w:rPr/>
        <w:t>联系人：高天</w:t>
      </w:r>
    </w:p>
    <w:p>
      <w:pPr>
        <w:pStyle w:val="BodyText"/>
        <w:spacing w:before="139"/>
      </w:pPr>
      <w:r>
        <w:rPr/>
        <w:t>客服电话：95559</w:t>
      </w:r>
    </w:p>
    <w:p>
      <w:pPr>
        <w:pStyle w:val="BodyText"/>
        <w:spacing w:before="140"/>
      </w:pPr>
      <w:hyperlink r:id="rId9">
        <w:r>
          <w:rPr/>
          <w:t>公司网址：www.bankcomm.com</w:t>
        </w:r>
      </w:hyperlink>
    </w:p>
    <w:p>
      <w:pPr>
        <w:pStyle w:val="ListParagraph"/>
        <w:numPr>
          <w:ilvl w:val="1"/>
          <w:numId w:val="8"/>
        </w:numPr>
        <w:tabs>
          <w:tab w:pos="1345" w:val="left" w:leader="none"/>
        </w:tabs>
        <w:spacing w:line="240" w:lineRule="auto" w:before="139" w:after="0"/>
        <w:ind w:left="1345" w:right="0" w:hanging="420"/>
        <w:jc w:val="left"/>
        <w:rPr>
          <w:sz w:val="21"/>
        </w:rPr>
      </w:pPr>
      <w:r>
        <w:rPr>
          <w:sz w:val="21"/>
        </w:rPr>
        <w:t>渤海银行股份有限公司</w:t>
      </w:r>
    </w:p>
    <w:p>
      <w:pPr>
        <w:pStyle w:val="BodyText"/>
        <w:spacing w:before="140"/>
      </w:pPr>
      <w:r>
        <w:rPr/>
        <w:t>注册地址：天津市河东区海河东路 218 号</w:t>
      </w:r>
    </w:p>
    <w:p>
      <w:pPr>
        <w:pStyle w:val="BodyText"/>
        <w:spacing w:line="364" w:lineRule="auto" w:before="139"/>
        <w:ind w:right="32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310"/>
      </w:pPr>
      <w:r>
        <w:rPr/>
        <w:t>客户服务电话：95541 传真：022-58316569</w:t>
      </w:r>
    </w:p>
    <w:p>
      <w:pPr>
        <w:pStyle w:val="BodyText"/>
        <w:spacing w:line="268" w:lineRule="exact"/>
      </w:pPr>
      <w:hyperlink r:id="rId10">
        <w:r>
          <w:rPr/>
          <w:t>网址：www.cbhb.com.cn</w:t>
        </w:r>
      </w:hyperlink>
    </w:p>
    <w:p>
      <w:pPr>
        <w:pStyle w:val="ListParagraph"/>
        <w:numPr>
          <w:ilvl w:val="1"/>
          <w:numId w:val="8"/>
        </w:numPr>
        <w:tabs>
          <w:tab w:pos="1240" w:val="left" w:leader="none"/>
        </w:tabs>
        <w:spacing w:line="240" w:lineRule="auto" w:before="139" w:after="0"/>
        <w:ind w:left="1240" w:right="0" w:hanging="420"/>
        <w:jc w:val="both"/>
        <w:rPr>
          <w:sz w:val="21"/>
        </w:rPr>
      </w:pPr>
      <w:r>
        <w:rPr>
          <w:sz w:val="21"/>
        </w:rPr>
        <w:t>广发银行股份有限公司</w:t>
      </w:r>
    </w:p>
    <w:p>
      <w:pPr>
        <w:pStyle w:val="BodyText"/>
        <w:spacing w:line="364" w:lineRule="auto" w:before="140"/>
        <w:ind w:right="38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5575"/>
      </w:pPr>
      <w:r>
        <w:rPr/>
        <w:t>客户服务电话：400-830-8003 </w:t>
      </w:r>
      <w:hyperlink r:id="rId11">
        <w:r>
          <w:rPr/>
          <w:t>网址：www.cgbchina.com.cn</w:t>
        </w:r>
      </w:hyperlink>
    </w:p>
    <w:p>
      <w:pPr>
        <w:pStyle w:val="ListParagraph"/>
        <w:numPr>
          <w:ilvl w:val="1"/>
          <w:numId w:val="8"/>
        </w:numPr>
        <w:tabs>
          <w:tab w:pos="1240" w:val="left" w:leader="none"/>
        </w:tabs>
        <w:spacing w:line="268" w:lineRule="exact" w:before="0" w:after="0"/>
        <w:ind w:left="1240" w:right="0" w:hanging="420"/>
        <w:jc w:val="left"/>
        <w:rPr>
          <w:sz w:val="21"/>
        </w:rPr>
      </w:pPr>
      <w:r>
        <w:rPr>
          <w:sz w:val="21"/>
        </w:rPr>
        <w:t>恒丰银行股份有限公司</w:t>
      </w:r>
    </w:p>
    <w:p>
      <w:pPr>
        <w:pStyle w:val="BodyText"/>
        <w:spacing w:before="138"/>
      </w:pPr>
      <w:r>
        <w:rPr/>
        <w:t>注册地址：济南市历下区泺源大街 8 号</w:t>
      </w:r>
    </w:p>
    <w:p>
      <w:pPr>
        <w:pStyle w:val="BodyText"/>
        <w:spacing w:line="364" w:lineRule="auto" w:before="139"/>
        <w:ind w:right="2005"/>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40"/>
      </w:pPr>
      <w:r>
        <w:rPr/>
        <w:t>电话：021-63890179</w:t>
      </w:r>
    </w:p>
    <w:p>
      <w:pPr>
        <w:pStyle w:val="BodyText"/>
        <w:spacing w:line="364" w:lineRule="auto" w:before="139"/>
        <w:ind w:right="6310"/>
      </w:pPr>
      <w:r>
        <w:rPr/>
        <w:t>客户服务电话</w:t>
      </w:r>
      <w:r>
        <w:rPr>
          <w:spacing w:val="-4"/>
        </w:rPr>
        <w:t>：95395 </w:t>
      </w:r>
      <w:r>
        <w:rPr/>
        <w:t>传真：021-63890196</w:t>
      </w:r>
    </w:p>
    <w:p>
      <w:pPr>
        <w:pStyle w:val="BodyText"/>
        <w:spacing w:line="268" w:lineRule="exact"/>
      </w:pPr>
      <w:hyperlink r:id="rId12">
        <w:r>
          <w:rPr/>
          <w:t>网址：www.hfbank.com.cn</w:t>
        </w:r>
      </w:hyperlink>
    </w:p>
    <w:p>
      <w:pPr>
        <w:pStyle w:val="ListParagraph"/>
        <w:numPr>
          <w:ilvl w:val="1"/>
          <w:numId w:val="8"/>
        </w:numPr>
        <w:tabs>
          <w:tab w:pos="1240" w:val="left" w:leader="none"/>
        </w:tabs>
        <w:spacing w:line="240" w:lineRule="auto" w:before="140" w:after="0"/>
        <w:ind w:left="1240" w:right="0" w:hanging="420"/>
        <w:jc w:val="both"/>
        <w:rPr>
          <w:sz w:val="21"/>
        </w:rPr>
      </w:pPr>
      <w:r>
        <w:rPr>
          <w:sz w:val="21"/>
        </w:rPr>
        <w:t>华夏银行股份有限公司</w:t>
      </w:r>
    </w:p>
    <w:p>
      <w:pPr>
        <w:pStyle w:val="BodyText"/>
        <w:spacing w:before="139"/>
      </w:pPr>
      <w:r>
        <w:rPr/>
        <w:t>注册地址：北京市东城区建国门内大街 22 号</w:t>
      </w:r>
    </w:p>
    <w:p>
      <w:pPr>
        <w:pStyle w:val="BodyText"/>
        <w:spacing w:line="364" w:lineRule="auto" w:before="140"/>
        <w:ind w:right="2950"/>
      </w:pPr>
      <w:r>
        <w:rPr>
          <w:spacing w:val="-3"/>
        </w:rPr>
        <w:t>办公地址：北京市东城区建国门内大街 </w:t>
      </w:r>
      <w:r>
        <w:rPr/>
        <w:t>22</w:t>
      </w:r>
      <w:r>
        <w:rPr>
          <w:spacing w:val="-11"/>
        </w:rPr>
        <w:t> 号华夏银行大厦</w:t>
      </w:r>
      <w:r>
        <w:rPr/>
        <w:t>法定代表人：李民吉</w:t>
      </w:r>
    </w:p>
    <w:p>
      <w:pPr>
        <w:spacing w:after="0" w:line="364" w:lineRule="auto"/>
        <w:sectPr>
          <w:pgSz w:w="11910" w:h="16840"/>
          <w:pgMar w:header="0" w:footer="910" w:top="1380" w:bottom="1180" w:left="1400" w:right="1380"/>
        </w:sectPr>
      </w:pPr>
    </w:p>
    <w:p>
      <w:pPr>
        <w:pStyle w:val="BodyText"/>
        <w:spacing w:before="45"/>
      </w:pPr>
      <w:r>
        <w:rPr/>
        <w:t>联系人：刘湘波</w:t>
      </w:r>
    </w:p>
    <w:p>
      <w:pPr>
        <w:pStyle w:val="BodyText"/>
        <w:spacing w:line="364" w:lineRule="auto" w:before="139"/>
        <w:ind w:right="6205"/>
      </w:pPr>
      <w:r>
        <w:rPr/>
        <w:t>客户服务电话：95577 </w:t>
      </w:r>
      <w:hyperlink r:id="rId13">
        <w:r>
          <w:rPr/>
          <w:t>网址：www.hxb.com.cn</w:t>
        </w:r>
      </w:hyperlink>
    </w:p>
    <w:p>
      <w:pPr>
        <w:pStyle w:val="ListParagraph"/>
        <w:numPr>
          <w:ilvl w:val="1"/>
          <w:numId w:val="8"/>
        </w:numPr>
        <w:tabs>
          <w:tab w:pos="1240" w:val="left" w:leader="none"/>
        </w:tabs>
        <w:spacing w:line="268" w:lineRule="exact" w:before="0" w:after="0"/>
        <w:ind w:left="1240" w:right="0" w:hanging="420"/>
        <w:jc w:val="left"/>
        <w:rPr>
          <w:sz w:val="21"/>
        </w:rPr>
      </w:pPr>
      <w:r>
        <w:rPr>
          <w:sz w:val="21"/>
        </w:rPr>
        <w:t>平安银行股份有限公司</w:t>
      </w:r>
    </w:p>
    <w:p>
      <w:pPr>
        <w:pStyle w:val="BodyText"/>
        <w:spacing w:line="364" w:lineRule="auto" w:before="140"/>
        <w:ind w:right="37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100"/>
      </w:pPr>
      <w:r>
        <w:rPr/>
        <w:t>客户服务电话：95511-3 传真：021-50979507</w:t>
      </w:r>
    </w:p>
    <w:p>
      <w:pPr>
        <w:pStyle w:val="BodyText"/>
        <w:spacing w:line="268" w:lineRule="exact"/>
      </w:pPr>
      <w:r>
        <w:rPr/>
        <w:t>网址：bank.pingan.com</w:t>
      </w:r>
    </w:p>
    <w:p>
      <w:pPr>
        <w:pStyle w:val="ListParagraph"/>
        <w:numPr>
          <w:ilvl w:val="1"/>
          <w:numId w:val="8"/>
        </w:numPr>
        <w:tabs>
          <w:tab w:pos="1240" w:val="left" w:leader="none"/>
        </w:tabs>
        <w:spacing w:line="364" w:lineRule="auto" w:before="139" w:after="0"/>
        <w:ind w:left="820" w:right="4945"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pStyle w:val="BodyText"/>
        <w:spacing w:line="267" w:lineRule="exact"/>
      </w:pPr>
      <w:r>
        <w:rPr/>
        <w:t>联系人：赵守良</w:t>
      </w:r>
    </w:p>
    <w:p>
      <w:pPr>
        <w:pStyle w:val="BodyText"/>
        <w:spacing w:before="140"/>
      </w:pPr>
      <w:r>
        <w:rPr/>
        <w:t>联系电话：021-61618888</w:t>
      </w:r>
    </w:p>
    <w:p>
      <w:pPr>
        <w:pStyle w:val="BodyText"/>
        <w:spacing w:line="364" w:lineRule="auto" w:before="139"/>
        <w:ind w:right="6310"/>
      </w:pPr>
      <w:r>
        <w:rPr/>
        <w:t>客户服务电话：95528 传真：021-63604196</w:t>
      </w:r>
    </w:p>
    <w:p>
      <w:pPr>
        <w:pStyle w:val="BodyText"/>
        <w:spacing w:line="268" w:lineRule="exact"/>
      </w:pPr>
      <w:hyperlink r:id="rId14">
        <w:r>
          <w:rPr/>
          <w:t>网址：www.spdb.com.cn</w:t>
        </w:r>
      </w:hyperlink>
    </w:p>
    <w:p>
      <w:pPr>
        <w:pStyle w:val="ListParagraph"/>
        <w:numPr>
          <w:ilvl w:val="1"/>
          <w:numId w:val="8"/>
        </w:numPr>
        <w:tabs>
          <w:tab w:pos="1240" w:val="left" w:leader="none"/>
        </w:tabs>
        <w:spacing w:line="240" w:lineRule="auto" w:before="139" w:after="0"/>
        <w:ind w:left="1240" w:right="0" w:hanging="420"/>
        <w:jc w:val="both"/>
        <w:rPr>
          <w:sz w:val="21"/>
        </w:rPr>
      </w:pPr>
      <w:r>
        <w:rPr>
          <w:sz w:val="21"/>
        </w:rPr>
        <w:t>招商银行股份有限公司</w:t>
      </w:r>
    </w:p>
    <w:p>
      <w:pPr>
        <w:pStyle w:val="BodyText"/>
        <w:spacing w:line="364" w:lineRule="auto" w:before="140"/>
        <w:ind w:right="31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1"/>
          <w:numId w:val="8"/>
        </w:numPr>
        <w:tabs>
          <w:tab w:pos="1240" w:val="left" w:leader="none"/>
        </w:tabs>
        <w:spacing w:line="240" w:lineRule="auto" w:before="139" w:after="0"/>
        <w:ind w:left="1240" w:right="0" w:hanging="420"/>
        <w:jc w:val="left"/>
        <w:rPr>
          <w:sz w:val="21"/>
        </w:rPr>
      </w:pPr>
      <w:r>
        <w:rPr>
          <w:sz w:val="21"/>
        </w:rPr>
        <w:t>浙商银行股份有限公司</w:t>
      </w:r>
    </w:p>
    <w:p>
      <w:pPr>
        <w:pStyle w:val="BodyText"/>
        <w:spacing w:line="364" w:lineRule="auto" w:before="140"/>
        <w:ind w:right="40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415"/>
      </w:pPr>
      <w:r>
        <w:rPr/>
        <w:t>法定代表人：沈仁康联系人：沈崟杰</w:t>
      </w:r>
    </w:p>
    <w:p>
      <w:pPr>
        <w:pStyle w:val="BodyText"/>
        <w:spacing w:line="268" w:lineRule="exact"/>
      </w:pPr>
      <w:r>
        <w:rPr/>
        <w:t>联系电话：0571- 88261822</w:t>
      </w:r>
    </w:p>
    <w:p>
      <w:pPr>
        <w:spacing w:after="0" w:line="268" w:lineRule="exact"/>
        <w:sectPr>
          <w:pgSz w:w="11910" w:h="16840"/>
          <w:pgMar w:header="0" w:footer="910" w:top="1380" w:bottom="1180" w:left="1400" w:right="1380"/>
        </w:sectPr>
      </w:pPr>
    </w:p>
    <w:p>
      <w:pPr>
        <w:pStyle w:val="BodyText"/>
        <w:spacing w:line="364" w:lineRule="auto" w:before="45"/>
        <w:ind w:right="6310"/>
      </w:pPr>
      <w:r>
        <w:rPr/>
        <w:t>客户服务电话：95527 传真：0571-87659954</w:t>
      </w:r>
    </w:p>
    <w:p>
      <w:pPr>
        <w:pStyle w:val="BodyText"/>
        <w:spacing w:line="268" w:lineRule="exact"/>
      </w:pPr>
      <w:hyperlink r:id="rId16">
        <w:r>
          <w:rPr/>
          <w:t>网址：www.czbank.com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中国工商银行股份有限公司</w:t>
      </w:r>
    </w:p>
    <w:p>
      <w:pPr>
        <w:pStyle w:val="BodyText"/>
        <w:spacing w:line="364" w:lineRule="auto" w:before="140"/>
        <w:ind w:right="44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100"/>
      </w:pPr>
      <w:r>
        <w:rPr/>
        <w:t>客户服务电话：95588 </w:t>
      </w:r>
      <w:hyperlink r:id="rId17">
        <w:r>
          <w:rPr>
            <w:spacing w:val="-1"/>
          </w:rPr>
          <w:t>网址：www.icbc.com.cn</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中国光大银行股份有限公司</w:t>
      </w:r>
    </w:p>
    <w:p>
      <w:pPr>
        <w:pStyle w:val="BodyText"/>
        <w:spacing w:before="140"/>
      </w:pPr>
      <w:r>
        <w:rPr/>
        <w:t>注册地址：北京市西城区太平桥大街 25 号、甲 25 号中国光大中心</w:t>
      </w:r>
    </w:p>
    <w:p>
      <w:pPr>
        <w:pStyle w:val="BodyText"/>
        <w:spacing w:line="364" w:lineRule="auto" w:before="139"/>
        <w:ind w:right="137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310"/>
      </w:pPr>
      <w:r>
        <w:rPr/>
        <w:t>客户服务电话：95595 传真：010-63639709</w:t>
      </w:r>
    </w:p>
    <w:p>
      <w:pPr>
        <w:pStyle w:val="BodyText"/>
        <w:spacing w:line="268" w:lineRule="exact"/>
      </w:pPr>
      <w:hyperlink r:id="rId18">
        <w:r>
          <w:rPr/>
          <w:t>网址：www.cebbank.com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中国建设银行股份有限公司</w:t>
      </w:r>
    </w:p>
    <w:p>
      <w:pPr>
        <w:pStyle w:val="BodyText"/>
        <w:spacing w:before="140"/>
      </w:pPr>
      <w:r>
        <w:rPr/>
        <w:t>注册地址：北京市西城区金融大街 25 号</w:t>
      </w:r>
    </w:p>
    <w:p>
      <w:pPr>
        <w:pStyle w:val="BodyText"/>
        <w:spacing w:line="364" w:lineRule="auto" w:before="139"/>
        <w:ind w:right="36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310"/>
      </w:pPr>
      <w:r>
        <w:rPr/>
        <w:t>客户服务电话：95533 </w:t>
      </w:r>
      <w:hyperlink r:id="rId19">
        <w:r>
          <w:rPr/>
          <w:t>网址：www.ccb.com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中国民生银行股份有限公司</w:t>
      </w:r>
    </w:p>
    <w:p>
      <w:pPr>
        <w:pStyle w:val="BodyText"/>
        <w:spacing w:line="364" w:lineRule="auto" w:before="139"/>
        <w:ind w:right="43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法定代表人：高迎欣</w:t>
      </w:r>
    </w:p>
    <w:p>
      <w:pPr>
        <w:pStyle w:val="BodyText"/>
        <w:spacing w:line="268" w:lineRule="exact"/>
      </w:pPr>
      <w:r>
        <w:rPr/>
        <w:t>联系人：徐野</w:t>
      </w:r>
    </w:p>
    <w:p>
      <w:pPr>
        <w:pStyle w:val="BodyText"/>
        <w:spacing w:line="364" w:lineRule="auto" w:before="140"/>
        <w:ind w:right="6100"/>
      </w:pPr>
      <w:r>
        <w:rPr/>
        <w:t>客户服务电话：95568 </w:t>
      </w:r>
      <w:hyperlink r:id="rId20">
        <w:r>
          <w:rPr>
            <w:spacing w:val="-1"/>
          </w:rPr>
          <w:t>网址：www.cmbc.com.cn</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中国农业银行股份有限公司</w:t>
      </w:r>
    </w:p>
    <w:p>
      <w:pPr>
        <w:spacing w:after="0" w:line="268" w:lineRule="exact"/>
        <w:jc w:val="left"/>
        <w:rPr>
          <w:sz w:val="21"/>
        </w:rPr>
        <w:sectPr>
          <w:pgSz w:w="11910" w:h="16840"/>
          <w:pgMar w:header="0" w:footer="910" w:top="1380" w:bottom="1180" w:left="1400" w:right="1380"/>
        </w:sectPr>
      </w:pPr>
    </w:p>
    <w:p>
      <w:pPr>
        <w:pStyle w:val="BodyText"/>
        <w:spacing w:line="364" w:lineRule="auto" w:before="45"/>
        <w:ind w:right="42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39"/>
        <w:ind w:right="6310"/>
      </w:pPr>
      <w:r>
        <w:rPr/>
        <w:t>客户服务电话：95599 传真：010-85109219</w:t>
      </w:r>
    </w:p>
    <w:p>
      <w:pPr>
        <w:pStyle w:val="BodyText"/>
        <w:spacing w:line="268" w:lineRule="exact"/>
      </w:pPr>
      <w:hyperlink r:id="rId21">
        <w:r>
          <w:rPr/>
          <w:t>网址：www.abchina.com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中国银行股份有限公司</w:t>
      </w:r>
    </w:p>
    <w:p>
      <w:pPr>
        <w:pStyle w:val="BodyText"/>
        <w:spacing w:line="364" w:lineRule="auto" w:before="139"/>
        <w:ind w:right="431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310"/>
      </w:pPr>
      <w:r>
        <w:rPr/>
        <w:t>客户服务电话：95566 </w:t>
      </w:r>
      <w:hyperlink r:id="rId22">
        <w:r>
          <w:rPr/>
          <w:t>网址：www.boc.cn</w:t>
        </w:r>
      </w:hyperlink>
    </w:p>
    <w:p>
      <w:pPr>
        <w:pStyle w:val="ListParagraph"/>
        <w:numPr>
          <w:ilvl w:val="1"/>
          <w:numId w:val="8"/>
        </w:numPr>
        <w:tabs>
          <w:tab w:pos="1345" w:val="left" w:leader="none"/>
        </w:tabs>
        <w:spacing w:line="364" w:lineRule="auto" w:before="0" w:after="0"/>
        <w:ind w:left="820" w:right="4735" w:firstLine="0"/>
        <w:jc w:val="left"/>
        <w:rPr>
          <w:sz w:val="21"/>
        </w:rPr>
      </w:pPr>
      <w:r>
        <w:rPr>
          <w:sz w:val="21"/>
        </w:rPr>
        <w:t>中国邮政储蓄银行股份有限公司</w:t>
      </w:r>
      <w:r>
        <w:rPr>
          <w:spacing w:val="-4"/>
          <w:sz w:val="21"/>
        </w:rPr>
        <w:t>注册地址：北京市西城区金融大街 </w:t>
      </w:r>
      <w:r>
        <w:rPr>
          <w:sz w:val="21"/>
        </w:rPr>
        <w:t>3</w:t>
      </w:r>
      <w:r>
        <w:rPr>
          <w:spacing w:val="-36"/>
          <w:sz w:val="21"/>
        </w:rPr>
        <w:t> 号</w:t>
      </w:r>
      <w:r>
        <w:rPr>
          <w:spacing w:val="-4"/>
          <w:sz w:val="21"/>
        </w:rPr>
        <w:t>办公地址：北京市西城区金融大街 </w:t>
      </w:r>
      <w:r>
        <w:rPr>
          <w:sz w:val="21"/>
        </w:rPr>
        <w:t>3</w:t>
      </w:r>
      <w:r>
        <w:rPr>
          <w:spacing w:val="-36"/>
          <w:sz w:val="21"/>
        </w:rPr>
        <w:t> 号</w:t>
      </w:r>
      <w:r>
        <w:rPr>
          <w:sz w:val="21"/>
        </w:rPr>
        <w:t>法定代表人：张金良</w:t>
      </w:r>
    </w:p>
    <w:p>
      <w:pPr>
        <w:pStyle w:val="BodyText"/>
        <w:spacing w:line="267" w:lineRule="exact"/>
      </w:pPr>
      <w:r>
        <w:rPr/>
        <w:t>联系人：王硕</w:t>
      </w:r>
    </w:p>
    <w:p>
      <w:pPr>
        <w:pStyle w:val="BodyText"/>
        <w:spacing w:line="364" w:lineRule="auto" w:before="137"/>
        <w:ind w:right="6310"/>
      </w:pPr>
      <w:r>
        <w:rPr/>
        <w:t>客户服务电话</w:t>
      </w:r>
      <w:r>
        <w:rPr>
          <w:spacing w:val="-4"/>
        </w:rPr>
        <w:t>：95580 </w:t>
      </w:r>
      <w:r>
        <w:rPr/>
        <w:t>传真：010-68858057</w:t>
      </w:r>
    </w:p>
    <w:p>
      <w:pPr>
        <w:pStyle w:val="BodyText"/>
        <w:spacing w:line="268" w:lineRule="exact"/>
      </w:pPr>
      <w:hyperlink r:id="rId23">
        <w:r>
          <w:rPr/>
          <w:t>网址：www.psbc.com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中信银行股份有限公司</w:t>
      </w:r>
    </w:p>
    <w:p>
      <w:pPr>
        <w:pStyle w:val="BodyText"/>
        <w:spacing w:line="364" w:lineRule="auto" w:before="139"/>
        <w:ind w:right="2266"/>
        <w:jc w:val="both"/>
      </w:pPr>
      <w:r>
        <w:rPr>
          <w:spacing w:val="-4"/>
        </w:rPr>
        <w:t>注册地址：北京市朝阳区光华路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spacing w:val="-4"/>
        </w:rPr>
        <w:t>办公地址：北京市朝阳区光华路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t>法定代表人：李庆萍</w:t>
      </w:r>
    </w:p>
    <w:p>
      <w:pPr>
        <w:pStyle w:val="BodyText"/>
        <w:spacing w:line="268" w:lineRule="exact"/>
      </w:pPr>
      <w:r>
        <w:rPr/>
        <w:t>联系人：王晓琳</w:t>
      </w:r>
    </w:p>
    <w:p>
      <w:pPr>
        <w:pStyle w:val="BodyText"/>
        <w:spacing w:line="364" w:lineRule="auto" w:before="140"/>
        <w:ind w:right="6310"/>
      </w:pPr>
      <w:r>
        <w:rPr/>
        <w:t>客户服务电话：95558 传真：010-85230049</w:t>
      </w:r>
    </w:p>
    <w:p>
      <w:pPr>
        <w:pStyle w:val="BodyText"/>
        <w:spacing w:line="268" w:lineRule="exact"/>
      </w:pPr>
      <w:r>
        <w:rPr/>
        <w:t>网址：bank.ecitic.com</w:t>
      </w:r>
    </w:p>
    <w:p>
      <w:pPr>
        <w:pStyle w:val="ListParagraph"/>
        <w:numPr>
          <w:ilvl w:val="1"/>
          <w:numId w:val="8"/>
        </w:numPr>
        <w:tabs>
          <w:tab w:pos="1345" w:val="left" w:leader="none"/>
        </w:tabs>
        <w:spacing w:line="240" w:lineRule="auto" w:before="139" w:after="0"/>
        <w:ind w:left="1345" w:right="0" w:hanging="525"/>
        <w:jc w:val="both"/>
        <w:rPr>
          <w:sz w:val="21"/>
        </w:rPr>
      </w:pPr>
      <w:r>
        <w:rPr>
          <w:sz w:val="21"/>
        </w:rPr>
        <w:t>包商银行股份有限公司</w:t>
      </w:r>
    </w:p>
    <w:p>
      <w:pPr>
        <w:pStyle w:val="BodyText"/>
        <w:spacing w:line="364" w:lineRule="auto" w:before="140"/>
        <w:ind w:right="34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spacing w:after="0" w:line="268" w:lineRule="exact"/>
        <w:sectPr>
          <w:pgSz w:w="11910" w:h="16840"/>
          <w:pgMar w:header="0" w:footer="910" w:top="1380" w:bottom="1180" w:left="1400" w:right="1380"/>
        </w:sectPr>
      </w:pPr>
    </w:p>
    <w:p>
      <w:pPr>
        <w:pStyle w:val="BodyText"/>
        <w:spacing w:before="45"/>
      </w:pPr>
      <w:r>
        <w:rPr/>
        <w:t>联系电话：0472-5189165</w:t>
      </w:r>
    </w:p>
    <w:p>
      <w:pPr>
        <w:pStyle w:val="BodyText"/>
        <w:spacing w:line="364" w:lineRule="auto" w:before="139"/>
        <w:ind w:right="6310"/>
      </w:pPr>
      <w:r>
        <w:rPr/>
        <w:t>客户服务电话：95352 传真：010-84596546</w:t>
      </w:r>
    </w:p>
    <w:p>
      <w:pPr>
        <w:pStyle w:val="BodyText"/>
        <w:spacing w:line="268" w:lineRule="exact"/>
      </w:pPr>
      <w:hyperlink r:id="rId24">
        <w:r>
          <w:rPr/>
          <w:t>网址：www.bsb.com.cn</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北京银行股份有限公司</w:t>
      </w:r>
    </w:p>
    <w:p>
      <w:pPr>
        <w:pStyle w:val="BodyText"/>
        <w:spacing w:line="364" w:lineRule="auto" w:before="139"/>
        <w:ind w:right="40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415"/>
      </w:pPr>
      <w:r>
        <w:rPr/>
        <w:t>法定代表人：张东宁联系人：周黎</w:t>
      </w:r>
    </w:p>
    <w:p>
      <w:pPr>
        <w:pStyle w:val="BodyText"/>
        <w:spacing w:line="268" w:lineRule="exact"/>
      </w:pPr>
      <w:r>
        <w:rPr/>
        <w:t>客户服务电话：95526</w:t>
      </w:r>
    </w:p>
    <w:p>
      <w:pPr>
        <w:pStyle w:val="BodyText"/>
        <w:spacing w:before="139"/>
      </w:pPr>
      <w:hyperlink r:id="rId25">
        <w:r>
          <w:rPr/>
          <w:t>网址：www.bankofbeijing.com.cn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长安银行股份有限公司</w:t>
      </w:r>
    </w:p>
    <w:p>
      <w:pPr>
        <w:pStyle w:val="BodyText"/>
        <w:spacing w:line="364" w:lineRule="auto" w:before="140"/>
        <w:ind w:right="14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415"/>
      </w:pPr>
      <w:r>
        <w:rPr/>
        <w:t>法定代表人：赵永军联系人：闫石</w:t>
      </w:r>
    </w:p>
    <w:p>
      <w:pPr>
        <w:pStyle w:val="BodyText"/>
        <w:spacing w:line="364" w:lineRule="auto"/>
        <w:ind w:right="4105"/>
      </w:pPr>
      <w:r>
        <w:rPr/>
        <w:t>客户服务电话：400-05-96669；（029）96669 传真：029-88609566</w:t>
      </w:r>
    </w:p>
    <w:p>
      <w:pPr>
        <w:pStyle w:val="BodyText"/>
        <w:spacing w:line="268" w:lineRule="exact"/>
      </w:pPr>
      <w:hyperlink r:id="rId26">
        <w:r>
          <w:rPr/>
          <w:t>网址：http://www.ccabchina.com/</w:t>
        </w:r>
      </w:hyperlink>
    </w:p>
    <w:p>
      <w:pPr>
        <w:pStyle w:val="ListParagraph"/>
        <w:numPr>
          <w:ilvl w:val="1"/>
          <w:numId w:val="8"/>
        </w:numPr>
        <w:tabs>
          <w:tab w:pos="1345" w:val="left" w:leader="none"/>
        </w:tabs>
        <w:spacing w:line="240" w:lineRule="auto" w:before="137" w:after="0"/>
        <w:ind w:left="1345" w:right="0" w:hanging="525"/>
        <w:jc w:val="left"/>
        <w:rPr>
          <w:sz w:val="21"/>
        </w:rPr>
      </w:pPr>
      <w:r>
        <w:rPr>
          <w:sz w:val="21"/>
        </w:rPr>
        <w:t>长城华西银行股份有限公司</w:t>
      </w:r>
    </w:p>
    <w:p>
      <w:pPr>
        <w:pStyle w:val="BodyText"/>
        <w:spacing w:before="140"/>
      </w:pPr>
      <w:r>
        <w:rPr/>
        <w:t>注册地址：德阳市旌阳区蒙山街 14 号</w:t>
      </w:r>
    </w:p>
    <w:p>
      <w:pPr>
        <w:pStyle w:val="BodyText"/>
        <w:spacing w:line="364" w:lineRule="auto" w:before="139"/>
        <w:ind w:right="4210"/>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40"/>
      </w:pPr>
      <w:r>
        <w:rPr/>
        <w:t>电话：028-61963271</w:t>
      </w:r>
    </w:p>
    <w:p>
      <w:pPr>
        <w:pStyle w:val="BodyText"/>
        <w:spacing w:line="364" w:lineRule="auto" w:before="139"/>
        <w:ind w:right="5890"/>
      </w:pPr>
      <w:r>
        <w:rPr>
          <w:spacing w:val="-1"/>
        </w:rPr>
        <w:t>客户服务电话</w:t>
      </w:r>
      <w:r>
        <w:rPr/>
        <w:t>：028-96836 传真：0838-2371812</w:t>
      </w:r>
    </w:p>
    <w:p>
      <w:pPr>
        <w:pStyle w:val="BodyText"/>
        <w:spacing w:line="268" w:lineRule="exact"/>
      </w:pPr>
      <w:hyperlink r:id="rId27">
        <w:r>
          <w:rPr/>
          <w:t>网址：www.gwbank.com.cn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长春农村商业银行股份有限公司</w:t>
      </w:r>
    </w:p>
    <w:p>
      <w:pPr>
        <w:pStyle w:val="BodyText"/>
        <w:spacing w:line="364" w:lineRule="auto" w:before="140"/>
        <w:ind w:right="3790"/>
      </w:pPr>
      <w:r>
        <w:rPr>
          <w:spacing w:val="-3"/>
        </w:rPr>
        <w:t>注册地址：吉林省长春市二道区自由大路 </w:t>
      </w:r>
      <w:r>
        <w:rPr/>
        <w:t>5755</w:t>
      </w:r>
      <w:r>
        <w:rPr>
          <w:spacing w:val="-36"/>
        </w:rPr>
        <w:t> 号</w:t>
      </w:r>
      <w:r>
        <w:rPr>
          <w:spacing w:val="-3"/>
        </w:rPr>
        <w:t>办公地址：吉林省长春市绿园区正阳街 </w:t>
      </w:r>
      <w:r>
        <w:rPr/>
        <w:t>4288</w:t>
      </w:r>
      <w:r>
        <w:rPr>
          <w:spacing w:val="-17"/>
        </w:rPr>
        <w:t> 号法定代表人：马铁刚</w:t>
      </w:r>
    </w:p>
    <w:p>
      <w:pPr>
        <w:pStyle w:val="BodyText"/>
        <w:spacing w:line="268" w:lineRule="exact"/>
      </w:pPr>
      <w:r>
        <w:rPr/>
        <w:t>联系人：张俊峰</w:t>
      </w:r>
    </w:p>
    <w:p>
      <w:pPr>
        <w:pStyle w:val="BodyText"/>
        <w:spacing w:before="139"/>
      </w:pPr>
      <w:r>
        <w:rPr/>
        <w:t>客户服务电话：96888-1</w:t>
      </w:r>
    </w:p>
    <w:p>
      <w:pPr>
        <w:spacing w:after="0"/>
        <w:sectPr>
          <w:pgSz w:w="11910" w:h="16840"/>
          <w:pgMar w:header="0" w:footer="910" w:top="1380" w:bottom="1180" w:left="1400" w:right="1380"/>
        </w:sectPr>
      </w:pPr>
    </w:p>
    <w:p>
      <w:pPr>
        <w:pStyle w:val="BodyText"/>
        <w:spacing w:before="45"/>
      </w:pPr>
      <w:hyperlink r:id="rId28">
        <w:r>
          <w:rPr/>
          <w:t>网址：www.cccb.cn</w:t>
        </w:r>
      </w:hyperlink>
    </w:p>
    <w:p>
      <w:pPr>
        <w:pStyle w:val="ListParagraph"/>
        <w:numPr>
          <w:ilvl w:val="1"/>
          <w:numId w:val="8"/>
        </w:numPr>
        <w:tabs>
          <w:tab w:pos="1345" w:val="left" w:leader="none"/>
        </w:tabs>
        <w:spacing w:line="364" w:lineRule="auto" w:before="139" w:after="0"/>
        <w:ind w:left="820" w:right="4630" w:firstLine="0"/>
        <w:jc w:val="left"/>
        <w:rPr>
          <w:sz w:val="21"/>
        </w:rPr>
      </w:pPr>
      <w:r>
        <w:rPr>
          <w:sz w:val="21"/>
        </w:rPr>
        <w:t>成都农村商业银行股份有限公司 </w:t>
      </w:r>
      <w:r>
        <w:rPr>
          <w:spacing w:val="-4"/>
          <w:sz w:val="21"/>
        </w:rPr>
        <w:t>注册地址：成都市武侯区科华中路 </w:t>
      </w:r>
      <w:r>
        <w:rPr>
          <w:sz w:val="21"/>
        </w:rPr>
        <w:t>88</w:t>
      </w:r>
      <w:r>
        <w:rPr>
          <w:spacing w:val="-36"/>
          <w:sz w:val="21"/>
        </w:rPr>
        <w:t> 号</w:t>
      </w:r>
      <w:r>
        <w:rPr>
          <w:spacing w:val="-4"/>
          <w:sz w:val="21"/>
        </w:rPr>
        <w:t>办公地址：成都市武侯区科华中路 </w:t>
      </w:r>
      <w:r>
        <w:rPr>
          <w:sz w:val="21"/>
        </w:rPr>
        <w:t>88</w:t>
      </w:r>
      <w:r>
        <w:rPr>
          <w:spacing w:val="-36"/>
          <w:sz w:val="21"/>
        </w:rPr>
        <w:t> 号</w:t>
      </w:r>
      <w:r>
        <w:rPr>
          <w:sz w:val="21"/>
        </w:rPr>
        <w:t>法定代表人：陈萍</w:t>
      </w:r>
    </w:p>
    <w:p>
      <w:pPr>
        <w:pStyle w:val="BodyText"/>
        <w:spacing w:line="267" w:lineRule="exact"/>
      </w:pPr>
      <w:r>
        <w:rPr/>
        <w:t>联系人：杨琪</w:t>
      </w:r>
    </w:p>
    <w:p>
      <w:pPr>
        <w:pStyle w:val="BodyText"/>
        <w:spacing w:before="140"/>
      </w:pPr>
      <w:r>
        <w:rPr/>
        <w:t>联系电话：028-85315412</w:t>
      </w:r>
    </w:p>
    <w:p>
      <w:pPr>
        <w:pStyle w:val="BodyText"/>
        <w:tabs>
          <w:tab w:pos="3129" w:val="left" w:leader="none"/>
        </w:tabs>
        <w:spacing w:before="139"/>
      </w:pPr>
      <w:r>
        <w:rPr/>
        <w:t>客户服务电话：95392</w:t>
        <w:tab/>
        <w:t>4006-028-666</w:t>
      </w:r>
    </w:p>
    <w:p>
      <w:pPr>
        <w:pStyle w:val="BodyText"/>
        <w:spacing w:before="140"/>
      </w:pPr>
      <w:r>
        <w:rPr/>
        <w:t>传真：028-85390961</w:t>
      </w:r>
    </w:p>
    <w:p>
      <w:pPr>
        <w:pStyle w:val="BodyText"/>
        <w:spacing w:before="139"/>
      </w:pPr>
      <w:hyperlink r:id="rId29">
        <w:r>
          <w:rPr/>
          <w:t>网址：http://www.cdrcb.com</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大连银行股份有限公司</w:t>
      </w:r>
    </w:p>
    <w:p>
      <w:pPr>
        <w:pStyle w:val="BodyText"/>
        <w:spacing w:line="364" w:lineRule="auto" w:before="139"/>
        <w:ind w:right="42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415"/>
      </w:pPr>
      <w:r>
        <w:rPr/>
        <w:t>法定代表人：彭寿斌联系人：卜书慧</w:t>
      </w:r>
    </w:p>
    <w:p>
      <w:pPr>
        <w:pStyle w:val="BodyText"/>
        <w:spacing w:line="268" w:lineRule="exact"/>
      </w:pPr>
      <w:r>
        <w:rPr/>
        <w:t>联系电话：0411-82311936</w:t>
      </w:r>
    </w:p>
    <w:p>
      <w:pPr>
        <w:pStyle w:val="BodyText"/>
        <w:spacing w:line="364" w:lineRule="auto" w:before="139"/>
        <w:ind w:right="5575"/>
      </w:pPr>
      <w:r>
        <w:rPr/>
        <w:t>客户服务电话</w:t>
      </w:r>
      <w:r>
        <w:rPr>
          <w:spacing w:val="-2"/>
        </w:rPr>
        <w:t>：400-664-0099 </w:t>
      </w:r>
      <w:hyperlink r:id="rId30">
        <w:r>
          <w:rPr/>
          <w:t>网址：www.bankofdl.com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德州银行股份有限公司</w:t>
      </w:r>
    </w:p>
    <w:p>
      <w:pPr>
        <w:pStyle w:val="BodyText"/>
        <w:spacing w:line="364" w:lineRule="auto" w:before="139"/>
        <w:ind w:right="44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5575"/>
      </w:pPr>
      <w:r>
        <w:rPr/>
        <w:t>客户服务电话：400-01-96588 </w:t>
      </w:r>
      <w:hyperlink r:id="rId31">
        <w:r>
          <w:rPr/>
          <w:t>网址：www.dzbchina.com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东莞农村商业银行股份有限公司</w:t>
      </w:r>
    </w:p>
    <w:p>
      <w:pPr>
        <w:pStyle w:val="BodyText"/>
        <w:spacing w:before="139"/>
      </w:pPr>
      <w:r>
        <w:rPr/>
        <w:t>注册地址：广东省东莞市东城区鸿福东路 2 号</w:t>
      </w:r>
    </w:p>
    <w:p>
      <w:pPr>
        <w:pStyle w:val="BodyText"/>
        <w:spacing w:line="364" w:lineRule="auto" w:before="140"/>
        <w:ind w:right="24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680"/>
      </w:pPr>
      <w:r>
        <w:rPr/>
        <w:t>客户服务电话：0769-961122 </w:t>
      </w:r>
      <w:hyperlink r:id="rId32">
        <w:r>
          <w:rPr/>
          <w:t>网址：www.drcbank.com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东莞银行股份有限公司</w:t>
      </w:r>
    </w:p>
    <w:p>
      <w:pPr>
        <w:spacing w:after="0" w:line="268" w:lineRule="exact"/>
        <w:jc w:val="left"/>
        <w:rPr>
          <w:sz w:val="21"/>
        </w:rPr>
        <w:sectPr>
          <w:pgSz w:w="11910" w:h="16840"/>
          <w:pgMar w:header="0" w:footer="910" w:top="1380" w:bottom="1180" w:left="1400" w:right="1380"/>
        </w:sectPr>
      </w:pPr>
    </w:p>
    <w:p>
      <w:pPr>
        <w:pStyle w:val="BodyText"/>
        <w:spacing w:before="45"/>
      </w:pPr>
      <w:r>
        <w:rPr/>
        <w:t>注册地址：东莞市莞城区体育路 21 号</w:t>
      </w:r>
    </w:p>
    <w:p>
      <w:pPr>
        <w:pStyle w:val="BodyText"/>
        <w:spacing w:line="364" w:lineRule="auto" w:before="139"/>
        <w:ind w:right="35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40"/>
      </w:pPr>
      <w:hyperlink r:id="rId33">
        <w:r>
          <w:rPr/>
          <w:t>网址：www.dongguanbank.cn</w:t>
        </w:r>
      </w:hyperlink>
    </w:p>
    <w:p>
      <w:pPr>
        <w:pStyle w:val="ListParagraph"/>
        <w:numPr>
          <w:ilvl w:val="1"/>
          <w:numId w:val="8"/>
        </w:numPr>
        <w:tabs>
          <w:tab w:pos="1345" w:val="left" w:leader="none"/>
        </w:tabs>
        <w:spacing w:line="364" w:lineRule="auto" w:before="139" w:after="0"/>
        <w:ind w:left="820" w:right="4735" w:firstLine="0"/>
        <w:jc w:val="left"/>
        <w:rPr>
          <w:sz w:val="21"/>
        </w:rPr>
      </w:pPr>
      <w:r>
        <w:rPr>
          <w:sz w:val="21"/>
        </w:rPr>
        <w:t>佛山农村商业银行股份有限公司</w:t>
      </w:r>
      <w:r>
        <w:rPr>
          <w:spacing w:val="-4"/>
          <w:sz w:val="21"/>
        </w:rPr>
        <w:t>注册地址：佛山市禅城区华远东路 </w:t>
      </w:r>
      <w:r>
        <w:rPr>
          <w:sz w:val="21"/>
        </w:rPr>
        <w:t>5</w:t>
      </w:r>
      <w:r>
        <w:rPr>
          <w:spacing w:val="-36"/>
          <w:sz w:val="21"/>
        </w:rPr>
        <w:t> 号</w:t>
      </w:r>
      <w:r>
        <w:rPr>
          <w:spacing w:val="-4"/>
          <w:sz w:val="21"/>
        </w:rPr>
        <w:t>办公地址：佛山市禅城区华远东路 </w:t>
      </w:r>
      <w:r>
        <w:rPr>
          <w:sz w:val="21"/>
        </w:rPr>
        <w:t>5</w:t>
      </w:r>
      <w:r>
        <w:rPr>
          <w:spacing w:val="-36"/>
          <w:sz w:val="21"/>
        </w:rPr>
        <w:t> 号</w:t>
      </w:r>
      <w:r>
        <w:rPr>
          <w:sz w:val="21"/>
        </w:rPr>
        <w:t>法定代表人：李川</w:t>
      </w:r>
    </w:p>
    <w:p>
      <w:pPr>
        <w:pStyle w:val="BodyText"/>
        <w:spacing w:line="267" w:lineRule="exact"/>
      </w:pPr>
      <w:r>
        <w:rPr/>
        <w:t>联系人：陈棠熙</w:t>
      </w:r>
    </w:p>
    <w:p>
      <w:pPr>
        <w:pStyle w:val="BodyText"/>
        <w:spacing w:before="140"/>
      </w:pPr>
      <w:r>
        <w:rPr/>
        <w:t>客户服务电话：96138</w:t>
      </w:r>
    </w:p>
    <w:p>
      <w:pPr>
        <w:pStyle w:val="BodyText"/>
        <w:spacing w:before="139"/>
      </w:pPr>
      <w:hyperlink r:id="rId34">
        <w:r>
          <w:rPr/>
          <w:t>网址：www.foshanbank.cn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福建海峡银行股份有限公司</w:t>
      </w:r>
    </w:p>
    <w:p>
      <w:pPr>
        <w:pStyle w:val="BodyText"/>
        <w:spacing w:before="140"/>
      </w:pPr>
      <w:r>
        <w:rPr/>
        <w:t>注册地址：福建省福州市台江区江滨中大道 358 号海峡银行大厦</w:t>
      </w:r>
    </w:p>
    <w:p>
      <w:pPr>
        <w:pStyle w:val="BodyText"/>
        <w:spacing w:line="364" w:lineRule="auto" w:before="139"/>
        <w:ind w:right="20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5575"/>
      </w:pPr>
      <w:r>
        <w:rPr/>
        <w:t>客户服务电话：400-893-9999 传真：0591-87330926</w:t>
      </w:r>
    </w:p>
    <w:p>
      <w:pPr>
        <w:pStyle w:val="BodyText"/>
        <w:spacing w:line="268" w:lineRule="exact"/>
      </w:pPr>
      <w:hyperlink r:id="rId35">
        <w:r>
          <w:rPr/>
          <w:t>网址：www.fjhxbank.com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富滇银行股份有限公司</w:t>
      </w:r>
    </w:p>
    <w:p>
      <w:pPr>
        <w:pStyle w:val="BodyText"/>
        <w:spacing w:line="364" w:lineRule="auto" w:before="139"/>
        <w:ind w:right="4840"/>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40"/>
      </w:pPr>
      <w:r>
        <w:rPr/>
        <w:t>电话：0871-63140324</w:t>
      </w:r>
    </w:p>
    <w:p>
      <w:pPr>
        <w:pStyle w:val="BodyText"/>
        <w:spacing w:line="364" w:lineRule="auto" w:before="139"/>
        <w:ind w:right="5575"/>
      </w:pPr>
      <w:r>
        <w:rPr/>
        <w:t>客户服务电话</w:t>
      </w:r>
      <w:r>
        <w:rPr>
          <w:spacing w:val="-2"/>
        </w:rPr>
        <w:t>：400-88-96533 </w:t>
      </w:r>
      <w:r>
        <w:rPr/>
        <w:t>传真：0871-63194471</w:t>
      </w:r>
    </w:p>
    <w:p>
      <w:pPr>
        <w:pStyle w:val="BodyText"/>
        <w:spacing w:line="268" w:lineRule="exact"/>
      </w:pPr>
      <w:hyperlink r:id="rId36">
        <w:r>
          <w:rPr/>
          <w:t>网址：http://www.fudian-bank.com/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浙江富阳农村商业银行股份有限公司</w:t>
      </w:r>
    </w:p>
    <w:p>
      <w:pPr>
        <w:pStyle w:val="BodyText"/>
        <w:spacing w:before="140"/>
      </w:pPr>
      <w:r>
        <w:rPr/>
        <w:t>注册地址：杭州市富阳区鹿山街道依江路 501 号第 1 幢</w:t>
      </w:r>
    </w:p>
    <w:p>
      <w:pPr>
        <w:spacing w:after="0"/>
        <w:sectPr>
          <w:pgSz w:w="11910" w:h="16840"/>
          <w:pgMar w:header="0" w:footer="910" w:top="1380" w:bottom="1180" w:left="1400" w:right="1380"/>
        </w:sectPr>
      </w:pPr>
    </w:p>
    <w:p>
      <w:pPr>
        <w:pStyle w:val="BodyText"/>
        <w:spacing w:line="364" w:lineRule="auto" w:before="45"/>
        <w:ind w:right="3895"/>
      </w:pPr>
      <w:r>
        <w:rPr>
          <w:spacing w:val="-3"/>
        </w:rPr>
        <w:t>办公地址：杭州市富阳区鹿山街道依江路 </w:t>
      </w:r>
      <w:r>
        <w:rPr/>
        <w:t>501</w:t>
      </w:r>
      <w:r>
        <w:rPr>
          <w:spacing w:val="-36"/>
        </w:rPr>
        <w:t> 号</w:t>
      </w:r>
      <w:r>
        <w:rPr/>
        <w:t>法定代表人：丁松茂</w:t>
      </w:r>
    </w:p>
    <w:p>
      <w:pPr>
        <w:pStyle w:val="BodyText"/>
        <w:spacing w:line="268" w:lineRule="exact"/>
      </w:pPr>
      <w:r>
        <w:rPr/>
        <w:t>联系人：陈硕</w:t>
      </w:r>
    </w:p>
    <w:p>
      <w:pPr>
        <w:pStyle w:val="BodyText"/>
        <w:spacing w:before="139"/>
      </w:pPr>
      <w:r>
        <w:rPr/>
        <w:t>联系电话：0571-63280253</w:t>
      </w:r>
    </w:p>
    <w:p>
      <w:pPr>
        <w:pStyle w:val="BodyText"/>
        <w:spacing w:line="364" w:lineRule="auto" w:before="140"/>
        <w:ind w:right="5050"/>
      </w:pPr>
      <w:r>
        <w:rPr/>
        <w:t>客户服务电话：96596、4008896596 </w:t>
      </w:r>
      <w:hyperlink r:id="rId37">
        <w:r>
          <w:rPr/>
          <w:t>网址：www.fyrcbk.com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广东华兴银行股份有限公司</w:t>
      </w:r>
    </w:p>
    <w:p>
      <w:pPr>
        <w:pStyle w:val="BodyText"/>
        <w:spacing w:line="364" w:lineRule="auto" w:before="139"/>
        <w:ind w:right="37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415"/>
      </w:pPr>
      <w:r>
        <w:rPr/>
        <w:t>法定代表人：周泽荣联系人：许悦</w:t>
      </w:r>
    </w:p>
    <w:p>
      <w:pPr>
        <w:pStyle w:val="BodyText"/>
        <w:spacing w:line="268" w:lineRule="exact"/>
      </w:pPr>
      <w:r>
        <w:rPr/>
        <w:t>联系电话：020-38173552</w:t>
      </w:r>
    </w:p>
    <w:p>
      <w:pPr>
        <w:pStyle w:val="BodyText"/>
        <w:spacing w:line="364" w:lineRule="auto" w:before="139"/>
        <w:ind w:right="5575"/>
      </w:pPr>
      <w:r>
        <w:rPr/>
        <w:t>客户服务电话：400-830-8001 传真：020-38173857</w:t>
      </w:r>
    </w:p>
    <w:p>
      <w:pPr>
        <w:pStyle w:val="BodyText"/>
        <w:spacing w:line="268" w:lineRule="exact"/>
      </w:pPr>
      <w:hyperlink r:id="rId38">
        <w:r>
          <w:rPr/>
          <w:t>网址：www.ghbank.com.cn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广东南粤银行股份有限公司</w:t>
      </w:r>
    </w:p>
    <w:p>
      <w:pPr>
        <w:pStyle w:val="BodyText"/>
        <w:spacing w:line="364" w:lineRule="auto" w:before="140"/>
        <w:ind w:left="400" w:right="470" w:firstLine="420"/>
      </w:pPr>
      <w:r>
        <w:rPr>
          <w:spacing w:val="-14"/>
        </w:rPr>
        <w:t>注册地址：湛江经济技术开发区乐山路 </w:t>
      </w:r>
      <w:r>
        <w:rPr/>
        <w:t>27</w:t>
      </w:r>
      <w:r>
        <w:rPr>
          <w:spacing w:val="-13"/>
        </w:rPr>
        <w:t> 号财富汇金融中心 </w:t>
      </w:r>
      <w:r>
        <w:rPr/>
        <w:t>1</w:t>
      </w:r>
      <w:r>
        <w:rPr>
          <w:spacing w:val="-36"/>
        </w:rPr>
        <w:t> 层 </w:t>
      </w:r>
      <w:r>
        <w:rPr/>
        <w:t>01、02</w:t>
      </w:r>
      <w:r>
        <w:rPr>
          <w:spacing w:val="-12"/>
        </w:rPr>
        <w:t> 号商铺、</w:t>
      </w:r>
      <w:r>
        <w:rPr/>
        <w:t>2</w:t>
      </w:r>
      <w:r>
        <w:rPr>
          <w:spacing w:val="-33"/>
        </w:rPr>
        <w:t> 层</w:t>
      </w:r>
      <w:r>
        <w:rPr/>
        <w:t>01</w:t>
      </w:r>
      <w:r>
        <w:rPr>
          <w:spacing w:val="-12"/>
        </w:rPr>
        <w:t> 号商铺、</w:t>
      </w:r>
      <w:r>
        <w:rPr/>
        <w:t>3</w:t>
      </w:r>
      <w:r>
        <w:rPr>
          <w:spacing w:val="-36"/>
        </w:rPr>
        <w:t> 层 </w:t>
      </w:r>
      <w:r>
        <w:rPr/>
        <w:t>01</w:t>
      </w:r>
      <w:r>
        <w:rPr>
          <w:spacing w:val="-12"/>
        </w:rPr>
        <w:t> 号商铺、</w:t>
      </w:r>
      <w:r>
        <w:rPr/>
        <w:t>39-45</w:t>
      </w:r>
      <w:r>
        <w:rPr>
          <w:spacing w:val="-12"/>
        </w:rPr>
        <w:t> 层办公室</w:t>
      </w:r>
    </w:p>
    <w:p>
      <w:pPr>
        <w:pStyle w:val="BodyText"/>
        <w:spacing w:line="364" w:lineRule="auto"/>
        <w:ind w:left="400" w:right="470" w:firstLine="420"/>
      </w:pPr>
      <w:r>
        <w:rPr>
          <w:spacing w:val="-14"/>
        </w:rPr>
        <w:t>办公地址：湛江经济技术开发区乐山路 </w:t>
      </w:r>
      <w:r>
        <w:rPr/>
        <w:t>27</w:t>
      </w:r>
      <w:r>
        <w:rPr>
          <w:spacing w:val="-13"/>
        </w:rPr>
        <w:t> 号财富汇金融中心 </w:t>
      </w:r>
      <w:r>
        <w:rPr/>
        <w:t>1</w:t>
      </w:r>
      <w:r>
        <w:rPr>
          <w:spacing w:val="-36"/>
        </w:rPr>
        <w:t> 层 </w:t>
      </w:r>
      <w:r>
        <w:rPr/>
        <w:t>01、02</w:t>
      </w:r>
      <w:r>
        <w:rPr>
          <w:spacing w:val="-12"/>
        </w:rPr>
        <w:t> 号商铺、</w:t>
      </w:r>
      <w:r>
        <w:rPr/>
        <w:t>2</w:t>
      </w:r>
      <w:r>
        <w:rPr>
          <w:spacing w:val="-33"/>
        </w:rPr>
        <w:t> 层</w:t>
      </w:r>
      <w:r>
        <w:rPr/>
        <w:t>01</w:t>
      </w:r>
      <w:r>
        <w:rPr>
          <w:spacing w:val="-12"/>
        </w:rPr>
        <w:t> 号商铺、</w:t>
      </w:r>
      <w:r>
        <w:rPr/>
        <w:t>3</w:t>
      </w:r>
      <w:r>
        <w:rPr>
          <w:spacing w:val="-36"/>
        </w:rPr>
        <w:t> 层 </w:t>
      </w:r>
      <w:r>
        <w:rPr/>
        <w:t>01</w:t>
      </w:r>
      <w:r>
        <w:rPr>
          <w:spacing w:val="-12"/>
        </w:rPr>
        <w:t> 号商铺、</w:t>
      </w:r>
      <w:r>
        <w:rPr/>
        <w:t>39-45</w:t>
      </w:r>
      <w:r>
        <w:rPr>
          <w:spacing w:val="-12"/>
        </w:rPr>
        <w:t> 层办公室</w:t>
      </w:r>
    </w:p>
    <w:p>
      <w:pPr>
        <w:pStyle w:val="BodyText"/>
        <w:spacing w:line="364" w:lineRule="auto"/>
        <w:ind w:right="6625"/>
      </w:pPr>
      <w:r>
        <w:rPr/>
        <w:t>法定代表人：蒋丹联系人：陈静</w:t>
      </w:r>
    </w:p>
    <w:p>
      <w:pPr>
        <w:pStyle w:val="BodyText"/>
        <w:spacing w:line="268" w:lineRule="exact"/>
      </w:pPr>
      <w:r>
        <w:rPr/>
        <w:t>联系电话：020-28308757</w:t>
      </w:r>
    </w:p>
    <w:p>
      <w:pPr>
        <w:pStyle w:val="BodyText"/>
        <w:spacing w:line="364" w:lineRule="auto" w:before="137"/>
        <w:ind w:right="5680"/>
      </w:pPr>
      <w:r>
        <w:rPr/>
        <w:t>客户服务电话</w:t>
      </w:r>
      <w:r>
        <w:rPr>
          <w:spacing w:val="-2"/>
        </w:rPr>
        <w:t>：4000-961818 </w:t>
      </w:r>
      <w:hyperlink r:id="rId39">
        <w:r>
          <w:rPr/>
          <w:t>网址：www.gdnybank.com</w:t>
        </w:r>
      </w:hyperlink>
    </w:p>
    <w:p>
      <w:pPr>
        <w:pStyle w:val="ListParagraph"/>
        <w:numPr>
          <w:ilvl w:val="1"/>
          <w:numId w:val="8"/>
        </w:numPr>
        <w:tabs>
          <w:tab w:pos="1345" w:val="left" w:leader="none"/>
        </w:tabs>
        <w:spacing w:line="364" w:lineRule="auto" w:before="0" w:after="0"/>
        <w:ind w:left="820" w:right="4840" w:firstLine="0"/>
        <w:jc w:val="left"/>
        <w:rPr>
          <w:sz w:val="21"/>
        </w:rPr>
      </w:pPr>
      <w:r>
        <w:rPr>
          <w:spacing w:val="-2"/>
          <w:sz w:val="21"/>
        </w:rPr>
        <w:t>广州农村商业银行股份有限公司</w:t>
      </w:r>
      <w:r>
        <w:rPr>
          <w:spacing w:val="-4"/>
          <w:sz w:val="21"/>
        </w:rPr>
        <w:t>注册地址：广州市黄埔区映日路 </w:t>
      </w:r>
      <w:r>
        <w:rPr>
          <w:sz w:val="21"/>
        </w:rPr>
        <w:t>9</w:t>
      </w:r>
      <w:r>
        <w:rPr>
          <w:spacing w:val="-27"/>
          <w:sz w:val="21"/>
        </w:rPr>
        <w:t> 号</w:t>
      </w:r>
    </w:p>
    <w:p>
      <w:pPr>
        <w:pStyle w:val="BodyText"/>
        <w:spacing w:line="364" w:lineRule="auto"/>
        <w:ind w:right="41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8"/>
      </w:pPr>
      <w:r>
        <w:rPr/>
        <w:t>联系电话：020-22389067</w:t>
      </w:r>
    </w:p>
    <w:p>
      <w:pPr>
        <w:pStyle w:val="BodyText"/>
        <w:spacing w:line="364" w:lineRule="auto" w:before="139"/>
        <w:ind w:right="6310"/>
      </w:pPr>
      <w:r>
        <w:rPr/>
        <w:t>客户服务电话：95313 传真：020-22389031</w:t>
      </w:r>
    </w:p>
    <w:p>
      <w:pPr>
        <w:pStyle w:val="BodyText"/>
        <w:spacing w:line="268" w:lineRule="exact"/>
      </w:pPr>
      <w:hyperlink r:id="rId40">
        <w:r>
          <w:rPr/>
          <w:t>网址：www.grcbank.com</w:t>
        </w:r>
      </w:hyperlink>
    </w:p>
    <w:p>
      <w:pPr>
        <w:spacing w:after="0" w:line="268" w:lineRule="exact"/>
        <w:sectPr>
          <w:pgSz w:w="11910" w:h="16840"/>
          <w:pgMar w:header="0" w:footer="910" w:top="1380" w:bottom="1180" w:left="1400" w:right="1380"/>
        </w:sectPr>
      </w:pPr>
    </w:p>
    <w:p>
      <w:pPr>
        <w:pStyle w:val="ListParagraph"/>
        <w:numPr>
          <w:ilvl w:val="1"/>
          <w:numId w:val="8"/>
        </w:numPr>
        <w:tabs>
          <w:tab w:pos="1345" w:val="left" w:leader="none"/>
        </w:tabs>
        <w:spacing w:line="240" w:lineRule="auto" w:before="45" w:after="0"/>
        <w:ind w:left="1345" w:right="0" w:hanging="525"/>
        <w:jc w:val="left"/>
        <w:rPr>
          <w:sz w:val="21"/>
        </w:rPr>
      </w:pPr>
      <w:r>
        <w:rPr>
          <w:sz w:val="21"/>
        </w:rPr>
        <w:t>广州银行股份有限公司</w:t>
      </w:r>
    </w:p>
    <w:p>
      <w:pPr>
        <w:pStyle w:val="BodyText"/>
        <w:spacing w:before="139"/>
      </w:pPr>
      <w:r>
        <w:rPr/>
        <w:t>注册地址：广州市天河区珠江东路 30 号</w:t>
      </w:r>
    </w:p>
    <w:p>
      <w:pPr>
        <w:pStyle w:val="BodyText"/>
        <w:spacing w:line="364" w:lineRule="auto" w:before="140"/>
        <w:ind w:right="33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370"/>
      </w:pPr>
      <w:r>
        <w:rPr/>
        <w:t>客户服务电话：96699（广东）400-83-96699（全国） </w:t>
      </w:r>
      <w:hyperlink r:id="rId41">
        <w:r>
          <w:rPr/>
          <w:t>网址：www.gzcb.com.cn</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贵阳银行股份有限公司</w:t>
      </w:r>
    </w:p>
    <w:p>
      <w:pPr>
        <w:pStyle w:val="BodyText"/>
        <w:spacing w:line="364" w:lineRule="auto" w:before="140"/>
        <w:ind w:right="640"/>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6310"/>
      </w:pPr>
      <w:r>
        <w:rPr/>
        <w:t>法定代表人： 张正海联系人：何西</w:t>
      </w:r>
    </w:p>
    <w:p>
      <w:pPr>
        <w:pStyle w:val="BodyText"/>
        <w:spacing w:line="268" w:lineRule="exact"/>
      </w:pPr>
      <w:r>
        <w:rPr/>
        <w:t>电话：0851-86858673</w:t>
      </w:r>
    </w:p>
    <w:p>
      <w:pPr>
        <w:pStyle w:val="BodyText"/>
        <w:spacing w:line="364" w:lineRule="auto" w:before="138"/>
        <w:ind w:right="5680"/>
      </w:pPr>
      <w:r>
        <w:rPr/>
        <w:t>客户服务电话</w:t>
      </w:r>
      <w:r>
        <w:rPr>
          <w:spacing w:val="-2"/>
        </w:rPr>
        <w:t>：40011-96033 </w:t>
      </w:r>
      <w:r>
        <w:rPr/>
        <w:t>传真：0851-86858673</w:t>
      </w:r>
    </w:p>
    <w:p>
      <w:pPr>
        <w:pStyle w:val="BodyText"/>
        <w:spacing w:line="268" w:lineRule="exact"/>
      </w:pPr>
      <w:hyperlink r:id="rId42">
        <w:r>
          <w:rPr/>
          <w:t>网址：http://www.96033.cn</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哈尔滨银行股份有限公司</w:t>
      </w:r>
    </w:p>
    <w:p>
      <w:pPr>
        <w:pStyle w:val="BodyText"/>
        <w:spacing w:line="364" w:lineRule="auto" w:before="139"/>
        <w:ind w:right="43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联系人：贾琳娜</w:t>
      </w:r>
    </w:p>
    <w:p>
      <w:pPr>
        <w:pStyle w:val="BodyText"/>
        <w:spacing w:before="140"/>
      </w:pPr>
      <w:r>
        <w:rPr/>
        <w:t>电话：0451-86779669</w:t>
      </w:r>
    </w:p>
    <w:p>
      <w:pPr>
        <w:pStyle w:val="BodyText"/>
        <w:spacing w:line="364" w:lineRule="auto" w:before="139"/>
        <w:ind w:right="6310"/>
      </w:pPr>
      <w:r>
        <w:rPr/>
        <w:t>客户服务电话</w:t>
      </w:r>
      <w:r>
        <w:rPr>
          <w:spacing w:val="-4"/>
        </w:rPr>
        <w:t>：95537 </w:t>
      </w:r>
      <w:r>
        <w:rPr>
          <w:spacing w:val="-2"/>
        </w:rPr>
        <w:t>传真：0451-87792682</w:t>
      </w:r>
    </w:p>
    <w:p>
      <w:pPr>
        <w:pStyle w:val="BodyText"/>
        <w:spacing w:line="268" w:lineRule="exact"/>
      </w:pPr>
      <w:hyperlink r:id="rId43">
        <w:r>
          <w:rPr/>
          <w:t>网址：www.hrbb.com.cn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汉口银行股份有限公司</w:t>
      </w:r>
    </w:p>
    <w:p>
      <w:pPr>
        <w:pStyle w:val="BodyText"/>
        <w:spacing w:line="364" w:lineRule="auto" w:before="140"/>
        <w:ind w:right="2845"/>
      </w:pPr>
      <w:r>
        <w:rPr>
          <w:spacing w:val="-4"/>
        </w:rPr>
        <w:t>注册地址：武汉市江汉区建设大道 </w:t>
      </w:r>
      <w:r>
        <w:rPr/>
        <w:t>933</w:t>
      </w:r>
      <w:r>
        <w:rPr>
          <w:spacing w:val="-9"/>
        </w:rPr>
        <w:t> 号武汉商业银行大厦</w:t>
      </w:r>
      <w:r>
        <w:rPr>
          <w:spacing w:val="-4"/>
        </w:rPr>
        <w:t>办公地址：武汉市江汉区建设大道 </w:t>
      </w:r>
      <w:r>
        <w:rPr/>
        <w:t>933</w:t>
      </w:r>
      <w:r>
        <w:rPr>
          <w:spacing w:val="-27"/>
        </w:rPr>
        <w:t> 号</w:t>
      </w:r>
    </w:p>
    <w:p>
      <w:pPr>
        <w:pStyle w:val="BodyText"/>
        <w:spacing w:line="364" w:lineRule="auto"/>
        <w:ind w:right="6415"/>
      </w:pPr>
      <w:r>
        <w:rPr/>
        <w:t>法定代表人：陈新民联系人：周田</w:t>
      </w:r>
    </w:p>
    <w:p>
      <w:pPr>
        <w:pStyle w:val="BodyText"/>
        <w:spacing w:line="268" w:lineRule="exact"/>
      </w:pPr>
      <w:r>
        <w:rPr/>
        <w:t>联系电话：027-82656785</w:t>
      </w:r>
    </w:p>
    <w:p>
      <w:pPr>
        <w:pStyle w:val="BodyText"/>
        <w:spacing w:line="364" w:lineRule="auto" w:before="138"/>
        <w:ind w:right="5785"/>
      </w:pPr>
      <w:r>
        <w:rPr/>
        <w:t>客户服务电话：4006096558 传真：027-82656213</w:t>
      </w:r>
    </w:p>
    <w:p>
      <w:pPr>
        <w:pStyle w:val="BodyText"/>
        <w:spacing w:line="268" w:lineRule="exact"/>
      </w:pPr>
      <w:hyperlink r:id="rId44">
        <w:r>
          <w:rPr/>
          <w:t>网址：http://www.hkbchina.com</w:t>
        </w:r>
      </w:hyperlink>
    </w:p>
    <w:p>
      <w:pPr>
        <w:spacing w:after="0" w:line="268" w:lineRule="exact"/>
        <w:sectPr>
          <w:pgSz w:w="11910" w:h="16840"/>
          <w:pgMar w:header="0" w:footer="910" w:top="1380" w:bottom="1180" w:left="1400" w:right="1380"/>
        </w:sectPr>
      </w:pPr>
    </w:p>
    <w:p>
      <w:pPr>
        <w:pStyle w:val="ListParagraph"/>
        <w:numPr>
          <w:ilvl w:val="1"/>
          <w:numId w:val="8"/>
        </w:numPr>
        <w:tabs>
          <w:tab w:pos="1345" w:val="left" w:leader="none"/>
        </w:tabs>
        <w:spacing w:line="240" w:lineRule="auto" w:before="45" w:after="0"/>
        <w:ind w:left="1345" w:right="0" w:hanging="525"/>
        <w:jc w:val="left"/>
        <w:rPr>
          <w:sz w:val="21"/>
        </w:rPr>
      </w:pPr>
      <w:r>
        <w:rPr>
          <w:sz w:val="21"/>
        </w:rPr>
        <w:t>杭州联合农村商业银行股份有限公司</w:t>
      </w:r>
    </w:p>
    <w:p>
      <w:pPr>
        <w:pStyle w:val="BodyText"/>
        <w:spacing w:line="364" w:lineRule="auto" w:before="139"/>
        <w:ind w:right="40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415"/>
      </w:pPr>
      <w:r>
        <w:rPr/>
        <w:t>法定代表人：张海林联系人：吴徐立</w:t>
      </w:r>
    </w:p>
    <w:p>
      <w:pPr>
        <w:pStyle w:val="BodyText"/>
        <w:spacing w:line="268" w:lineRule="exact"/>
      </w:pPr>
      <w:r>
        <w:rPr/>
        <w:t>联系电话：0571-87923324</w:t>
      </w:r>
    </w:p>
    <w:p>
      <w:pPr>
        <w:pStyle w:val="BodyText"/>
        <w:spacing w:line="364" w:lineRule="auto" w:before="139"/>
        <w:ind w:right="6310"/>
      </w:pPr>
      <w:r>
        <w:rPr/>
        <w:t>客户服务电话</w:t>
      </w:r>
      <w:r>
        <w:rPr>
          <w:spacing w:val="-4"/>
        </w:rPr>
        <w:t>：96596 </w:t>
      </w:r>
      <w:r>
        <w:rPr>
          <w:spacing w:val="-2"/>
        </w:rPr>
        <w:t>传真：0571-87923214</w:t>
      </w:r>
    </w:p>
    <w:p>
      <w:pPr>
        <w:pStyle w:val="BodyText"/>
        <w:spacing w:line="268" w:lineRule="exact"/>
      </w:pPr>
      <w:hyperlink r:id="rId45">
        <w:r>
          <w:rPr/>
          <w:t>网址：www.urcb.com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杭州银行股份有限公司</w:t>
      </w:r>
    </w:p>
    <w:p>
      <w:pPr>
        <w:pStyle w:val="BodyText"/>
        <w:spacing w:before="140"/>
      </w:pPr>
      <w:r>
        <w:rPr>
          <w:spacing w:val="-3"/>
        </w:rPr>
        <w:t>注册地址：浙江省杭州市下城区庆春路 </w:t>
      </w:r>
      <w:r>
        <w:rPr/>
        <w:t>46</w:t>
      </w:r>
      <w:r>
        <w:rPr>
          <w:spacing w:val="-27"/>
        </w:rPr>
        <w:t> 号</w:t>
      </w:r>
    </w:p>
    <w:p>
      <w:pPr>
        <w:pStyle w:val="BodyText"/>
        <w:spacing w:line="364" w:lineRule="auto" w:before="139"/>
        <w:ind w:right="35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40"/>
      </w:pPr>
      <w:r>
        <w:rPr/>
        <w:t>联系电话：0571-85120718</w:t>
      </w:r>
    </w:p>
    <w:p>
      <w:pPr>
        <w:pStyle w:val="BodyText"/>
        <w:spacing w:line="364" w:lineRule="auto" w:before="139"/>
        <w:ind w:right="6310"/>
      </w:pPr>
      <w:r>
        <w:rPr/>
        <w:t>客户服务电话：95398 传真：0571-85106576</w:t>
      </w:r>
    </w:p>
    <w:p>
      <w:pPr>
        <w:pStyle w:val="BodyText"/>
        <w:spacing w:line="268" w:lineRule="exact"/>
      </w:pPr>
      <w:hyperlink r:id="rId46">
        <w:r>
          <w:rPr/>
          <w:t>网址：www.hzbank.com.cn</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河北银行股份有限公司</w:t>
      </w:r>
    </w:p>
    <w:p>
      <w:pPr>
        <w:pStyle w:val="BodyText"/>
        <w:spacing w:line="364" w:lineRule="auto" w:before="139"/>
        <w:ind w:right="48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575"/>
      </w:pPr>
      <w:r>
        <w:rPr/>
        <w:t>客户服务电话：400-612-9999 传真：0311-67806407</w:t>
      </w:r>
    </w:p>
    <w:p>
      <w:pPr>
        <w:pStyle w:val="BodyText"/>
        <w:spacing w:line="268" w:lineRule="exact"/>
      </w:pPr>
      <w:hyperlink r:id="rId47">
        <w:r>
          <w:rPr/>
          <w:t>网址：www.hebbank.com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华融湘江银行股份有限公司</w:t>
      </w:r>
    </w:p>
    <w:p>
      <w:pPr>
        <w:pStyle w:val="BodyText"/>
        <w:spacing w:before="140"/>
      </w:pPr>
      <w:r>
        <w:rPr/>
        <w:t>注册地址：长沙市天心区芙蓉南路一段 828 号杰座大厦</w:t>
      </w:r>
    </w:p>
    <w:p>
      <w:pPr>
        <w:pStyle w:val="BodyText"/>
        <w:spacing w:line="364" w:lineRule="auto" w:before="139"/>
        <w:ind w:right="242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40"/>
      </w:pPr>
      <w:r>
        <w:rPr/>
        <w:t>联系电话：0731-89828182</w:t>
      </w:r>
    </w:p>
    <w:p>
      <w:pPr>
        <w:pStyle w:val="BodyText"/>
        <w:spacing w:before="139"/>
      </w:pPr>
      <w:r>
        <w:rPr/>
        <w:t>客户服务电话：0731-96599</w:t>
      </w:r>
    </w:p>
    <w:p>
      <w:pPr>
        <w:spacing w:after="0"/>
        <w:sectPr>
          <w:pgSz w:w="11910" w:h="16840"/>
          <w:pgMar w:header="0" w:footer="910" w:top="1380" w:bottom="1180" w:left="1400" w:right="1380"/>
        </w:sectPr>
      </w:pPr>
    </w:p>
    <w:p>
      <w:pPr>
        <w:pStyle w:val="BodyText"/>
        <w:spacing w:before="45"/>
      </w:pPr>
      <w:r>
        <w:rPr/>
        <w:t>传真：0731-89828806</w:t>
      </w:r>
    </w:p>
    <w:p>
      <w:pPr>
        <w:pStyle w:val="BodyText"/>
        <w:spacing w:before="139"/>
      </w:pPr>
      <w:hyperlink r:id="rId48">
        <w:r>
          <w:rPr/>
          <w:t>网址：www.hrxjbank.com.cn</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吉林银行股份有限公司</w:t>
      </w:r>
    </w:p>
    <w:p>
      <w:pPr>
        <w:pStyle w:val="BodyText"/>
        <w:spacing w:line="364" w:lineRule="auto" w:before="139"/>
        <w:ind w:right="27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5575"/>
      </w:pPr>
      <w:r>
        <w:rPr/>
        <w:t>客户服务电话：400-88-96666 传真：0431-84992649</w:t>
      </w:r>
    </w:p>
    <w:p>
      <w:pPr>
        <w:pStyle w:val="BodyText"/>
        <w:spacing w:line="268" w:lineRule="exact"/>
      </w:pPr>
      <w:hyperlink r:id="rId49">
        <w:r>
          <w:rPr/>
          <w:t>网址：www.jlbank.com.cn</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嘉兴银行股份有限公司</w:t>
      </w:r>
    </w:p>
    <w:p>
      <w:pPr>
        <w:pStyle w:val="BodyText"/>
        <w:spacing w:line="364" w:lineRule="auto" w:before="139"/>
        <w:ind w:right="44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5680"/>
      </w:pPr>
      <w:r>
        <w:rPr/>
        <w:t>客户服务电话：0573-96528 </w:t>
      </w:r>
      <w:hyperlink r:id="rId50">
        <w:r>
          <w:rPr/>
          <w:t>网址：http://www.bojx.com</w:t>
        </w:r>
      </w:hyperlink>
    </w:p>
    <w:p>
      <w:pPr>
        <w:pStyle w:val="ListParagraph"/>
        <w:numPr>
          <w:ilvl w:val="1"/>
          <w:numId w:val="8"/>
        </w:numPr>
        <w:tabs>
          <w:tab w:pos="1345" w:val="left" w:leader="none"/>
        </w:tabs>
        <w:spacing w:line="364" w:lineRule="auto" w:before="0" w:after="0"/>
        <w:ind w:left="820" w:right="4420" w:firstLine="0"/>
        <w:jc w:val="left"/>
        <w:rPr>
          <w:sz w:val="21"/>
        </w:rPr>
      </w:pPr>
      <w:r>
        <w:rPr>
          <w:spacing w:val="-2"/>
          <w:sz w:val="21"/>
        </w:rPr>
        <w:t>江苏江南农村商业银行股份有限公司</w:t>
      </w:r>
      <w:r>
        <w:rPr>
          <w:spacing w:val="-5"/>
          <w:sz w:val="21"/>
        </w:rPr>
        <w:t>注册地址：常州市和平中路 </w:t>
      </w:r>
      <w:r>
        <w:rPr>
          <w:sz w:val="21"/>
        </w:rPr>
        <w:t>413</w:t>
      </w:r>
      <w:r>
        <w:rPr>
          <w:spacing w:val="-27"/>
          <w:sz w:val="21"/>
        </w:rPr>
        <w:t> 号</w:t>
      </w:r>
    </w:p>
    <w:p>
      <w:pPr>
        <w:pStyle w:val="BodyText"/>
        <w:spacing w:line="364" w:lineRule="auto"/>
        <w:ind w:right="5155"/>
      </w:pP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7"/>
      </w:pPr>
      <w:r>
        <w:rPr/>
        <w:t>电话：0519-80585939</w:t>
      </w:r>
    </w:p>
    <w:p>
      <w:pPr>
        <w:pStyle w:val="BodyText"/>
        <w:spacing w:line="364" w:lineRule="auto" w:before="140"/>
        <w:ind w:right="5785"/>
      </w:pPr>
      <w:r>
        <w:rPr>
          <w:spacing w:val="-1"/>
        </w:rPr>
        <w:t>客户服务电话</w:t>
      </w:r>
      <w:r>
        <w:rPr/>
        <w:t>：0519-96005 传真：0519-89995170</w:t>
      </w:r>
    </w:p>
    <w:p>
      <w:pPr>
        <w:pStyle w:val="BodyText"/>
        <w:spacing w:line="268" w:lineRule="exact"/>
      </w:pPr>
      <w:hyperlink r:id="rId51">
        <w:r>
          <w:rPr/>
          <w:t>网址：http://www.jnbank.com.cn</w:t>
        </w:r>
      </w:hyperlink>
    </w:p>
    <w:p>
      <w:pPr>
        <w:pStyle w:val="ListParagraph"/>
        <w:numPr>
          <w:ilvl w:val="1"/>
          <w:numId w:val="8"/>
        </w:numPr>
        <w:tabs>
          <w:tab w:pos="1345" w:val="left" w:leader="none"/>
        </w:tabs>
        <w:spacing w:line="364" w:lineRule="auto" w:before="139" w:after="0"/>
        <w:ind w:left="820" w:right="5470" w:firstLine="0"/>
        <w:jc w:val="left"/>
        <w:rPr>
          <w:sz w:val="21"/>
        </w:rPr>
      </w:pPr>
      <w:r>
        <w:rPr>
          <w:sz w:val="21"/>
        </w:rPr>
        <w:t>江苏银行股份有限公司 </w:t>
      </w:r>
      <w:r>
        <w:rPr>
          <w:spacing w:val="-5"/>
          <w:sz w:val="21"/>
        </w:rPr>
        <w:t>注册地址：南京市中华路 </w:t>
      </w:r>
      <w:r>
        <w:rPr>
          <w:sz w:val="21"/>
        </w:rPr>
        <w:t>26</w:t>
      </w:r>
      <w:r>
        <w:rPr>
          <w:spacing w:val="-36"/>
          <w:sz w:val="21"/>
        </w:rPr>
        <w:t> 号</w:t>
      </w:r>
      <w:r>
        <w:rPr>
          <w:spacing w:val="-5"/>
          <w:sz w:val="21"/>
        </w:rPr>
        <w:t>办公地址：南京市中华路 </w:t>
      </w:r>
      <w:r>
        <w:rPr>
          <w:sz w:val="21"/>
        </w:rPr>
        <w:t>26</w:t>
      </w:r>
      <w:r>
        <w:rPr>
          <w:spacing w:val="-36"/>
          <w:sz w:val="21"/>
        </w:rPr>
        <w:t> 号</w:t>
      </w:r>
      <w:r>
        <w:rPr>
          <w:sz w:val="21"/>
        </w:rPr>
        <w:t>法定代表人：夏平</w:t>
      </w:r>
    </w:p>
    <w:p>
      <w:pPr>
        <w:pStyle w:val="BodyText"/>
        <w:spacing w:line="267" w:lineRule="exact"/>
      </w:pPr>
      <w:r>
        <w:rPr/>
        <w:t>联系人：展海军</w:t>
      </w:r>
    </w:p>
    <w:p>
      <w:pPr>
        <w:pStyle w:val="BodyText"/>
        <w:spacing w:before="140"/>
      </w:pPr>
      <w:r>
        <w:rPr/>
        <w:t>联系电话：025-58587039</w:t>
      </w:r>
    </w:p>
    <w:p>
      <w:pPr>
        <w:spacing w:after="0"/>
        <w:sectPr>
          <w:pgSz w:w="11910" w:h="16840"/>
          <w:pgMar w:header="0" w:footer="910" w:top="1380" w:bottom="1180" w:left="1400" w:right="1380"/>
        </w:sectPr>
      </w:pPr>
    </w:p>
    <w:p>
      <w:pPr>
        <w:pStyle w:val="BodyText"/>
        <w:spacing w:line="364" w:lineRule="auto" w:before="45"/>
        <w:ind w:right="6310"/>
      </w:pPr>
      <w:r>
        <w:rPr/>
        <w:t>客户服务电话：95319 传真：025-58587820</w:t>
      </w:r>
    </w:p>
    <w:p>
      <w:pPr>
        <w:pStyle w:val="BodyText"/>
        <w:spacing w:line="268" w:lineRule="exact"/>
      </w:pPr>
      <w:hyperlink r:id="rId52">
        <w:r>
          <w:rPr/>
          <w:t>网址：www.jsbchina.cn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江西银行股份有限公司</w:t>
      </w:r>
    </w:p>
    <w:p>
      <w:pPr>
        <w:pStyle w:val="BodyText"/>
        <w:spacing w:line="364" w:lineRule="auto" w:before="140"/>
        <w:ind w:right="34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205"/>
      </w:pPr>
      <w:r>
        <w:rPr/>
        <w:t>客户服务电话：956055 传真：0791-86790795</w:t>
      </w:r>
    </w:p>
    <w:p>
      <w:pPr>
        <w:pStyle w:val="BodyText"/>
        <w:spacing w:line="268" w:lineRule="exact"/>
      </w:pPr>
      <w:hyperlink r:id="rId53">
        <w:r>
          <w:rPr/>
          <w:t>网址：www.jx-bank.com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金华银行股份有限公司</w:t>
      </w:r>
    </w:p>
    <w:p>
      <w:pPr>
        <w:pStyle w:val="BodyText"/>
        <w:spacing w:before="140"/>
      </w:pPr>
      <w:r>
        <w:rPr/>
        <w:t>注册地址：浙江省金华市丹溪路 1388 号</w:t>
      </w:r>
    </w:p>
    <w:p>
      <w:pPr>
        <w:pStyle w:val="BodyText"/>
        <w:spacing w:line="364" w:lineRule="auto" w:before="139"/>
        <w:ind w:right="41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5575"/>
      </w:pPr>
      <w:r>
        <w:rPr/>
        <w:t>客户服务电话：400-711-6668 传真：0579-82178321</w:t>
      </w:r>
    </w:p>
    <w:p>
      <w:pPr>
        <w:pStyle w:val="BodyText"/>
        <w:spacing w:line="268" w:lineRule="exact"/>
      </w:pPr>
      <w:hyperlink r:id="rId54">
        <w:r>
          <w:rPr/>
          <w:t>网址：www.jhccb.com.cn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锦州银行股份有限公司</w:t>
      </w:r>
    </w:p>
    <w:p>
      <w:pPr>
        <w:pStyle w:val="BodyText"/>
        <w:spacing w:line="364" w:lineRule="auto" w:before="140"/>
        <w:ind w:right="48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5575"/>
      </w:pPr>
      <w:r>
        <w:rPr/>
        <w:t>客户服务电话：400-66-96178 </w:t>
      </w:r>
      <w:hyperlink r:id="rId55">
        <w:r>
          <w:rPr/>
          <w:t>网址：www.jinzhoubank.com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晋商银行股份有限公司</w:t>
      </w:r>
    </w:p>
    <w:p>
      <w:pPr>
        <w:pStyle w:val="BodyText"/>
        <w:spacing w:line="364" w:lineRule="auto" w:before="140"/>
        <w:ind w:right="42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spacing w:after="0"/>
        <w:sectPr>
          <w:pgSz w:w="11910" w:h="16840"/>
          <w:pgMar w:header="0" w:footer="910" w:top="1380" w:bottom="1180" w:left="1400" w:right="1380"/>
        </w:sectPr>
      </w:pPr>
    </w:p>
    <w:p>
      <w:pPr>
        <w:pStyle w:val="BodyText"/>
        <w:spacing w:line="364" w:lineRule="auto" w:before="45"/>
        <w:ind w:right="5890"/>
      </w:pPr>
      <w:r>
        <w:rPr/>
        <w:t>客户服务电话：9510-5588 传真：0351-6819926</w:t>
      </w:r>
    </w:p>
    <w:p>
      <w:pPr>
        <w:pStyle w:val="BodyText"/>
        <w:spacing w:line="268" w:lineRule="exact"/>
      </w:pPr>
      <w:hyperlink r:id="rId56">
        <w:r>
          <w:rPr/>
          <w:t>网址：www.jshbank.com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吉林九台农村商业银行股份有限公司</w:t>
      </w:r>
    </w:p>
    <w:p>
      <w:pPr>
        <w:pStyle w:val="BodyText"/>
        <w:spacing w:before="140"/>
      </w:pPr>
      <w:r>
        <w:rPr/>
        <w:t>注册地址：吉林省长春市九台区新华大街 504 号</w:t>
      </w:r>
    </w:p>
    <w:p>
      <w:pPr>
        <w:pStyle w:val="BodyText"/>
        <w:spacing w:line="364" w:lineRule="auto" w:before="139"/>
        <w:ind w:right="3580"/>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40"/>
        <w:ind w:right="5365"/>
      </w:pPr>
      <w:r>
        <w:rPr/>
        <w:t>客户服务电话：0431-96888-0-2 </w:t>
      </w:r>
      <w:hyperlink r:id="rId57">
        <w:r>
          <w:rPr/>
          <w:t>网址：http://www.jtnsh.com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昆仑银行股份有限公司</w:t>
      </w:r>
    </w:p>
    <w:p>
      <w:pPr>
        <w:pStyle w:val="BodyText"/>
        <w:spacing w:line="364" w:lineRule="auto" w:before="139"/>
        <w:ind w:right="43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6310"/>
      </w:pPr>
      <w:r>
        <w:rPr/>
        <w:t>客户服务电话：95379 传真：010-89025421</w:t>
      </w:r>
    </w:p>
    <w:p>
      <w:pPr>
        <w:pStyle w:val="BodyText"/>
        <w:spacing w:line="268" w:lineRule="exact"/>
      </w:pPr>
      <w:hyperlink r:id="rId58">
        <w:r>
          <w:rPr/>
          <w:t>网址：www.klb.cn</w:t>
        </w:r>
      </w:hyperlink>
    </w:p>
    <w:p>
      <w:pPr>
        <w:pStyle w:val="ListParagraph"/>
        <w:numPr>
          <w:ilvl w:val="1"/>
          <w:numId w:val="8"/>
        </w:numPr>
        <w:tabs>
          <w:tab w:pos="1345" w:val="left" w:leader="none"/>
        </w:tabs>
        <w:spacing w:line="364" w:lineRule="auto" w:before="139" w:after="0"/>
        <w:ind w:left="820" w:right="4420" w:firstLine="0"/>
        <w:jc w:val="left"/>
        <w:rPr>
          <w:sz w:val="21"/>
        </w:rPr>
      </w:pPr>
      <w:r>
        <w:rPr>
          <w:spacing w:val="-2"/>
          <w:sz w:val="21"/>
        </w:rPr>
        <w:t>江苏昆山农村商业银行股份有限公司</w:t>
      </w:r>
      <w:r>
        <w:rPr>
          <w:spacing w:val="-4"/>
          <w:sz w:val="21"/>
        </w:rPr>
        <w:t>注册地址：江苏省昆山市前进东路 </w:t>
      </w:r>
      <w:r>
        <w:rPr>
          <w:sz w:val="21"/>
        </w:rPr>
        <w:t>828</w:t>
      </w:r>
      <w:r>
        <w:rPr>
          <w:spacing w:val="-27"/>
          <w:sz w:val="21"/>
        </w:rPr>
        <w:t> 号</w:t>
      </w:r>
      <w:r>
        <w:rPr>
          <w:spacing w:val="-29"/>
          <w:sz w:val="21"/>
        </w:rPr>
        <w:t>办公地址：江苏省昆山市前进东路 </w:t>
      </w:r>
      <w:r>
        <w:rPr>
          <w:sz w:val="21"/>
        </w:rPr>
        <w:t>828</w:t>
      </w:r>
      <w:r>
        <w:rPr>
          <w:spacing w:val="-27"/>
          <w:sz w:val="21"/>
        </w:rPr>
        <w:t> 号法定代表人：张哲清</w:t>
      </w:r>
    </w:p>
    <w:p>
      <w:pPr>
        <w:pStyle w:val="BodyText"/>
        <w:spacing w:line="267" w:lineRule="exact"/>
      </w:pPr>
      <w:r>
        <w:rPr/>
        <w:t>联系人：黄怡</w:t>
      </w:r>
    </w:p>
    <w:p>
      <w:pPr>
        <w:pStyle w:val="BodyText"/>
        <w:spacing w:line="364" w:lineRule="auto" w:before="140"/>
        <w:ind w:right="5785"/>
      </w:pPr>
      <w:r>
        <w:rPr/>
        <w:t>客户服务电话：0512-96079 </w:t>
      </w:r>
      <w:hyperlink r:id="rId59">
        <w:r>
          <w:rPr/>
          <w:t>网址：www.ksrcb.com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浙江乐清农村商业银行股份有限公司</w:t>
      </w:r>
    </w:p>
    <w:p>
      <w:pPr>
        <w:pStyle w:val="BodyText"/>
        <w:spacing w:line="364" w:lineRule="auto" w:before="139"/>
        <w:ind w:right="37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40"/>
      </w:pPr>
      <w:r>
        <w:rPr/>
        <w:t>联系电话：0577-61566028</w:t>
      </w:r>
    </w:p>
    <w:p>
      <w:pPr>
        <w:pStyle w:val="BodyText"/>
        <w:spacing w:line="364" w:lineRule="auto" w:before="139"/>
        <w:ind w:right="5785"/>
      </w:pPr>
      <w:r>
        <w:rPr/>
        <w:t>客户服务电话：4008896596 传真：0577-61566063</w:t>
      </w:r>
    </w:p>
    <w:p>
      <w:pPr>
        <w:spacing w:after="0" w:line="364" w:lineRule="auto"/>
        <w:sectPr>
          <w:pgSz w:w="11910" w:h="16840"/>
          <w:pgMar w:header="0" w:footer="910" w:top="1380" w:bottom="1180" w:left="1400" w:right="1380"/>
        </w:sectPr>
      </w:pPr>
    </w:p>
    <w:p>
      <w:pPr>
        <w:pStyle w:val="BodyText"/>
        <w:spacing w:before="45"/>
      </w:pPr>
      <w:hyperlink r:id="rId60">
        <w:r>
          <w:rPr/>
          <w:t>网址：www.yqbank.com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龙江银行股份有限公司</w:t>
      </w:r>
    </w:p>
    <w:p>
      <w:pPr>
        <w:pStyle w:val="BodyText"/>
        <w:spacing w:line="364" w:lineRule="auto" w:before="140"/>
        <w:ind w:right="36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575"/>
      </w:pPr>
      <w:r>
        <w:rPr/>
        <w:t>客户服务电话：400-645-8888 传真：0451-85706036</w:t>
      </w:r>
    </w:p>
    <w:p>
      <w:pPr>
        <w:pStyle w:val="BodyText"/>
        <w:spacing w:line="268" w:lineRule="exact"/>
      </w:pPr>
      <w:hyperlink r:id="rId61">
        <w:r>
          <w:rPr/>
          <w:t>网址：http://www.lj-bank.com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浙江温州龙湾农村商业银行股份有限公司</w:t>
      </w:r>
    </w:p>
    <w:p>
      <w:pPr>
        <w:pStyle w:val="BodyText"/>
        <w:spacing w:line="364" w:lineRule="auto" w:before="140"/>
        <w:ind w:right="30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39"/>
        <w:ind w:right="5785"/>
      </w:pPr>
      <w:r>
        <w:rPr>
          <w:spacing w:val="-1"/>
        </w:rPr>
        <w:t>客户服务电话</w:t>
      </w:r>
      <w:r>
        <w:rPr/>
        <w:t>：4008296596 传真：0577-86921250</w:t>
      </w:r>
    </w:p>
    <w:p>
      <w:pPr>
        <w:pStyle w:val="BodyText"/>
        <w:spacing w:line="268" w:lineRule="exact"/>
      </w:pPr>
      <w:hyperlink r:id="rId62">
        <w:r>
          <w:rPr/>
          <w:t>网址：www.lwrcb.com</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浙江温州鹿城农村商业银行股份有限公司</w:t>
      </w:r>
    </w:p>
    <w:p>
      <w:pPr>
        <w:pStyle w:val="BodyText"/>
        <w:spacing w:line="364" w:lineRule="auto" w:before="139"/>
        <w:ind w:right="31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415"/>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63">
        <w:r>
          <w:rPr/>
          <w:t>网址：http://www.lcrcbank.com/</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洛阳银行股份有限公司</w:t>
      </w:r>
    </w:p>
    <w:p>
      <w:pPr>
        <w:pStyle w:val="BodyText"/>
        <w:spacing w:line="364" w:lineRule="auto" w:before="139"/>
        <w:ind w:right="3475"/>
      </w:pPr>
      <w:r>
        <w:rPr/>
        <w:t>注册地址：洛阳市洛阳新区开元大道与通济街交叉口办公地址：河南省洛阳市开元大道 256 号</w:t>
      </w:r>
    </w:p>
    <w:p>
      <w:pPr>
        <w:pStyle w:val="BodyText"/>
        <w:spacing w:line="364" w:lineRule="auto"/>
        <w:ind w:right="6415"/>
      </w:pPr>
      <w:r>
        <w:rPr/>
        <w:t>法定代表人：王建甫联系人：郭文博</w:t>
      </w:r>
    </w:p>
    <w:p>
      <w:pPr>
        <w:pStyle w:val="BodyText"/>
        <w:spacing w:line="268" w:lineRule="exact"/>
      </w:pPr>
      <w:r>
        <w:rPr/>
        <w:t>联系电话：0379-65921977</w:t>
      </w:r>
    </w:p>
    <w:p>
      <w:pPr>
        <w:pStyle w:val="BodyText"/>
        <w:spacing w:before="139"/>
      </w:pPr>
      <w:r>
        <w:rPr/>
        <w:t>客户服务电话：0379-96699</w:t>
      </w:r>
    </w:p>
    <w:p>
      <w:pPr>
        <w:spacing w:after="0"/>
        <w:sectPr>
          <w:pgSz w:w="11910" w:h="16840"/>
          <w:pgMar w:header="0" w:footer="910" w:top="1380" w:bottom="1180" w:left="1400" w:right="1380"/>
        </w:sectPr>
      </w:pPr>
    </w:p>
    <w:p>
      <w:pPr>
        <w:pStyle w:val="BodyText"/>
        <w:spacing w:before="45"/>
      </w:pPr>
      <w:r>
        <w:rPr/>
        <w:t>传真：0379-65938595</w:t>
      </w:r>
    </w:p>
    <w:p>
      <w:pPr>
        <w:pStyle w:val="BodyText"/>
        <w:spacing w:before="139"/>
      </w:pPr>
      <w:hyperlink r:id="rId64">
        <w:r>
          <w:rPr/>
          <w:t>网址：www.bankofluoyang.com.cn/</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广东南海农村商业银行股份有限公司</w:t>
      </w:r>
    </w:p>
    <w:p>
      <w:pPr>
        <w:pStyle w:val="BodyText"/>
        <w:spacing w:before="139"/>
      </w:pPr>
      <w:r>
        <w:rPr>
          <w:spacing w:val="-3"/>
        </w:rPr>
        <w:t>注册地址：广东省佛山市南海区桂城街道南海大道北 </w:t>
      </w:r>
      <w:r>
        <w:rPr/>
        <w:t>26</w:t>
      </w:r>
      <w:r>
        <w:rPr>
          <w:spacing w:val="-27"/>
        </w:rPr>
        <w:t> 号</w:t>
      </w:r>
    </w:p>
    <w:p>
      <w:pPr>
        <w:pStyle w:val="BodyText"/>
        <w:spacing w:line="364" w:lineRule="auto" w:before="140"/>
        <w:ind w:right="1690"/>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40"/>
        <w:ind w:right="6310"/>
      </w:pPr>
      <w:r>
        <w:rPr/>
        <w:t>客户服务电话</w:t>
      </w:r>
      <w:r>
        <w:rPr>
          <w:spacing w:val="-4"/>
        </w:rPr>
        <w:t>：96138 </w:t>
      </w:r>
      <w:r>
        <w:rPr>
          <w:spacing w:val="-2"/>
        </w:rPr>
        <w:t>传真：0757-86250627</w:t>
      </w:r>
    </w:p>
    <w:p>
      <w:pPr>
        <w:pStyle w:val="BodyText"/>
        <w:spacing w:line="268" w:lineRule="exact"/>
      </w:pPr>
      <w:hyperlink r:id="rId65">
        <w:r>
          <w:rPr/>
          <w:t>网址：www.nanhaibank.com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南洋商业银行（中国）有限公司</w:t>
      </w:r>
    </w:p>
    <w:p>
      <w:pPr>
        <w:pStyle w:val="BodyText"/>
        <w:spacing w:line="364" w:lineRule="auto" w:before="139"/>
        <w:ind w:left="400" w:right="418" w:firstLine="420"/>
      </w:pPr>
      <w:r>
        <w:rPr>
          <w:spacing w:val="-15"/>
        </w:rPr>
        <w:t>注册地址：中国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left="400" w:right="418" w:firstLine="420"/>
      </w:pPr>
      <w:r>
        <w:rPr>
          <w:spacing w:val="-15"/>
        </w:rPr>
        <w:t>办公地址：中国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right="6415"/>
      </w:pPr>
      <w:r>
        <w:rPr/>
        <w:t>法定代表人：陈孝周联系人：马小明</w:t>
      </w:r>
    </w:p>
    <w:p>
      <w:pPr>
        <w:pStyle w:val="BodyText"/>
        <w:spacing w:line="268" w:lineRule="exact"/>
      </w:pPr>
      <w:r>
        <w:rPr/>
        <w:t>联系电话：021-38566452</w:t>
      </w:r>
    </w:p>
    <w:p>
      <w:pPr>
        <w:pStyle w:val="BodyText"/>
        <w:spacing w:before="138"/>
      </w:pPr>
      <w:r>
        <w:rPr>
          <w:spacing w:val="3"/>
        </w:rPr>
        <w:t>客户服务电话：</w:t>
      </w:r>
      <w:r>
        <w:rPr/>
        <w:t>8008207898（</w:t>
      </w:r>
      <w:r>
        <w:rPr>
          <w:spacing w:val="3"/>
        </w:rPr>
        <w:t>内地固话用户</w:t>
      </w:r>
      <w:r>
        <w:rPr>
          <w:spacing w:val="-102"/>
        </w:rPr>
        <w:t>）</w:t>
      </w:r>
      <w:r>
        <w:rPr>
          <w:spacing w:val="4"/>
        </w:rPr>
        <w:t>、</w:t>
      </w:r>
      <w:r>
        <w:rPr/>
        <w:t>4008207898（</w:t>
      </w:r>
      <w:r>
        <w:rPr>
          <w:spacing w:val="4"/>
        </w:rPr>
        <w:t>内地手机用户</w:t>
      </w:r>
      <w:r>
        <w:rPr>
          <w:spacing w:val="-101"/>
        </w:rPr>
        <w:t>）、</w:t>
      </w:r>
      <w:r>
        <w:rPr/>
        <w:t>（86551）</w:t>
      </w:r>
    </w:p>
    <w:p>
      <w:pPr>
        <w:pStyle w:val="BodyText"/>
        <w:spacing w:line="364" w:lineRule="auto" w:before="139"/>
        <w:ind w:right="6205" w:hanging="420"/>
      </w:pPr>
      <w:r>
        <w:rPr/>
        <w:t>64360499（港澳台及境外） 传真：021-38566400</w:t>
      </w:r>
    </w:p>
    <w:p>
      <w:pPr>
        <w:pStyle w:val="BodyText"/>
        <w:spacing w:line="268" w:lineRule="exact"/>
      </w:pPr>
      <w:hyperlink r:id="rId66">
        <w:r>
          <w:rPr/>
          <w:t>网址：http://www.ncbchina.cn/cn/index.html</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宁波银行股份有限公司</w:t>
      </w:r>
    </w:p>
    <w:p>
      <w:pPr>
        <w:pStyle w:val="BodyText"/>
        <w:spacing w:line="364" w:lineRule="auto" w:before="139"/>
        <w:ind w:right="41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联系人：陈佳瑜</w:t>
      </w:r>
    </w:p>
    <w:p>
      <w:pPr>
        <w:pStyle w:val="BodyText"/>
        <w:spacing w:line="364" w:lineRule="auto" w:before="140"/>
        <w:ind w:right="6100"/>
      </w:pPr>
      <w:r>
        <w:rPr/>
        <w:t>客户服务电话：95574 </w:t>
      </w:r>
      <w:hyperlink r:id="rId67">
        <w:r>
          <w:rPr>
            <w:spacing w:val="-1"/>
          </w:rPr>
          <w:t>网址：www.nbcb.com.cn</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齐商银行股份有限公司</w:t>
      </w:r>
    </w:p>
    <w:p>
      <w:pPr>
        <w:pStyle w:val="BodyText"/>
        <w:spacing w:before="139"/>
      </w:pPr>
      <w:r>
        <w:rPr/>
        <w:t>注册地址：淄博市张店区中心路 105 号</w:t>
      </w:r>
    </w:p>
    <w:p>
      <w:pPr>
        <w:pStyle w:val="BodyText"/>
        <w:spacing w:line="364" w:lineRule="auto" w:before="140"/>
        <w:ind w:right="3895"/>
      </w:pPr>
      <w:r>
        <w:rPr>
          <w:spacing w:val="-3"/>
        </w:rPr>
        <w:t>办公地址：山东省淄博市张店区金晶大道 </w:t>
      </w:r>
      <w:r>
        <w:rPr/>
        <w:t>105</w:t>
      </w:r>
      <w:r>
        <w:rPr>
          <w:spacing w:val="-36"/>
        </w:rPr>
        <w:t> 号</w:t>
      </w:r>
      <w:r>
        <w:rPr/>
        <w:t>法定代表人：杲传勇</w:t>
      </w:r>
    </w:p>
    <w:p>
      <w:pPr>
        <w:spacing w:after="0" w:line="364" w:lineRule="auto"/>
        <w:sectPr>
          <w:pgSz w:w="11910" w:h="16840"/>
          <w:pgMar w:header="0" w:footer="910" w:top="1380" w:bottom="1180" w:left="1400" w:right="1380"/>
        </w:sectPr>
      </w:pPr>
    </w:p>
    <w:p>
      <w:pPr>
        <w:pStyle w:val="BodyText"/>
        <w:spacing w:before="45"/>
      </w:pPr>
      <w:r>
        <w:rPr/>
        <w:t>联系人：焦浦</w:t>
      </w:r>
    </w:p>
    <w:p>
      <w:pPr>
        <w:pStyle w:val="BodyText"/>
        <w:spacing w:before="139"/>
      </w:pPr>
      <w:r>
        <w:rPr/>
        <w:t>联系电话：0533-2178888-9907</w:t>
      </w:r>
    </w:p>
    <w:p>
      <w:pPr>
        <w:pStyle w:val="BodyText"/>
        <w:spacing w:line="364" w:lineRule="auto" w:before="140"/>
        <w:ind w:right="5575"/>
      </w:pPr>
      <w:r>
        <w:rPr/>
        <w:t>客户服务电话</w:t>
      </w:r>
      <w:r>
        <w:rPr>
          <w:spacing w:val="-2"/>
        </w:rPr>
        <w:t>：400-86-96588 </w:t>
      </w:r>
      <w:r>
        <w:rPr/>
        <w:t>传真：0533-2180303</w:t>
      </w:r>
    </w:p>
    <w:p>
      <w:pPr>
        <w:pStyle w:val="BodyText"/>
        <w:spacing w:line="268" w:lineRule="exact"/>
      </w:pPr>
      <w:hyperlink r:id="rId68">
        <w:r>
          <w:rPr/>
          <w:t>网址：www.qsbank.cc</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青岛农村商业银行股份有限公司</w:t>
      </w:r>
    </w:p>
    <w:p>
      <w:pPr>
        <w:pStyle w:val="BodyText"/>
        <w:spacing w:line="364" w:lineRule="auto" w:before="140"/>
        <w:ind w:right="36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415"/>
      </w:pPr>
      <w:r>
        <w:rPr/>
        <w:t>法定代表人：刘仲生联系人：严菲</w:t>
      </w:r>
    </w:p>
    <w:p>
      <w:pPr>
        <w:pStyle w:val="BodyText"/>
        <w:spacing w:line="268" w:lineRule="exact"/>
      </w:pPr>
      <w:r>
        <w:rPr/>
        <w:t>联系电话：0532-66957360</w:t>
      </w:r>
    </w:p>
    <w:p>
      <w:pPr>
        <w:pStyle w:val="BodyText"/>
        <w:spacing w:line="364" w:lineRule="auto" w:before="138"/>
        <w:ind w:right="5785"/>
      </w:pPr>
      <w:r>
        <w:rPr/>
        <w:t>客户服务电话：0532-96668 传真：0532-66957229</w:t>
      </w:r>
    </w:p>
    <w:p>
      <w:pPr>
        <w:pStyle w:val="BodyText"/>
        <w:spacing w:line="268" w:lineRule="exact"/>
      </w:pPr>
      <w:hyperlink r:id="rId69">
        <w:r>
          <w:rPr/>
          <w:t>网址：www.qrcb.com.cn</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青岛银行股份有限公司</w:t>
      </w:r>
    </w:p>
    <w:p>
      <w:pPr>
        <w:pStyle w:val="BodyText"/>
        <w:spacing w:line="364" w:lineRule="auto" w:before="139"/>
        <w:ind w:right="36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联系电话：0532-68629956</w:t>
      </w:r>
    </w:p>
    <w:p>
      <w:pPr>
        <w:pStyle w:val="BodyText"/>
        <w:spacing w:line="364" w:lineRule="auto" w:before="139"/>
        <w:ind w:right="3370"/>
      </w:pPr>
      <w:r>
        <w:rPr/>
        <w:t>客户服务电话：96588（青岛）400-66-96588（全国） </w:t>
      </w:r>
      <w:hyperlink r:id="rId70">
        <w:r>
          <w:rPr/>
          <w:t>网址：http://www.qdccb.com/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青海银行股份有限公司</w:t>
      </w:r>
    </w:p>
    <w:p>
      <w:pPr>
        <w:pStyle w:val="BodyText"/>
        <w:spacing w:line="364" w:lineRule="auto" w:before="139"/>
        <w:ind w:right="3265"/>
      </w:pPr>
      <w:r>
        <w:rPr>
          <w:spacing w:val="-3"/>
        </w:rPr>
        <w:t>注册地址：青海省西宁市城西区西关大街 </w:t>
      </w:r>
      <w:r>
        <w:rPr/>
        <w:t>130</w:t>
      </w:r>
      <w:r>
        <w:rPr>
          <w:spacing w:val="-36"/>
        </w:rPr>
        <w:t> 号 </w:t>
      </w:r>
      <w:r>
        <w:rPr/>
        <w:t>1</w:t>
      </w:r>
      <w:r>
        <w:rPr>
          <w:spacing w:val="-24"/>
        </w:rPr>
        <w:t> 号楼</w:t>
      </w:r>
      <w:r>
        <w:rPr>
          <w:spacing w:val="-4"/>
        </w:rPr>
        <w:t>办公地址：青海省西宁市黄河路 </w:t>
      </w:r>
      <w:r>
        <w:rPr/>
        <w:t>36</w:t>
      </w:r>
      <w:r>
        <w:rPr>
          <w:spacing w:val="-27"/>
        </w:rPr>
        <w:t> 号</w:t>
      </w:r>
    </w:p>
    <w:p>
      <w:pPr>
        <w:pStyle w:val="BodyText"/>
        <w:spacing w:line="364" w:lineRule="auto"/>
        <w:ind w:right="6415"/>
      </w:pPr>
      <w:r>
        <w:rPr/>
        <w:t>法定代表人：李锦军联系人：李万芳</w:t>
      </w:r>
    </w:p>
    <w:p>
      <w:pPr>
        <w:pStyle w:val="BodyText"/>
        <w:spacing w:line="268" w:lineRule="exact"/>
      </w:pPr>
      <w:r>
        <w:rPr/>
        <w:t>联系电话：0971-6111792</w:t>
      </w:r>
    </w:p>
    <w:p>
      <w:pPr>
        <w:pStyle w:val="BodyText"/>
        <w:spacing w:line="364" w:lineRule="auto" w:before="139"/>
        <w:ind w:right="5785"/>
      </w:pPr>
      <w:r>
        <w:rPr/>
        <w:t>客户服务电话：0971-96399 传真：0971-6111792</w:t>
      </w:r>
    </w:p>
    <w:p>
      <w:pPr>
        <w:pStyle w:val="BodyText"/>
        <w:spacing w:line="268" w:lineRule="exact"/>
      </w:pPr>
      <w:hyperlink r:id="rId71">
        <w:r>
          <w:rPr/>
          <w:t>网址：www.bankqh.com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泉州银行股份有限公司</w:t>
      </w:r>
    </w:p>
    <w:p>
      <w:pPr>
        <w:pStyle w:val="BodyText"/>
        <w:spacing w:line="364" w:lineRule="auto" w:before="140"/>
        <w:ind w:right="4945"/>
      </w:pPr>
      <w:r>
        <w:rPr>
          <w:spacing w:val="-4"/>
        </w:rPr>
        <w:t>注册地址：泉州市丰泽区云鹿路 </w:t>
      </w:r>
      <w:r>
        <w:rPr/>
        <w:t>3</w:t>
      </w:r>
      <w:r>
        <w:rPr>
          <w:spacing w:val="-36"/>
        </w:rPr>
        <w:t> 号</w:t>
      </w:r>
      <w:r>
        <w:rPr>
          <w:spacing w:val="-4"/>
        </w:rPr>
        <w:t>办公地址：泉州市丰泽区云鹿路 </w:t>
      </w:r>
      <w:r>
        <w:rPr/>
        <w:t>3</w:t>
      </w:r>
      <w:r>
        <w:rPr>
          <w:spacing w:val="-36"/>
        </w:rPr>
        <w:t> 号</w:t>
      </w:r>
    </w:p>
    <w:p>
      <w:pPr>
        <w:spacing w:after="0" w:line="364" w:lineRule="auto"/>
        <w:sectPr>
          <w:pgSz w:w="11910" w:h="16840"/>
          <w:pgMar w:header="0" w:footer="910" w:top="1380" w:bottom="1180" w:left="1400" w:right="1380"/>
        </w:sectPr>
      </w:pPr>
    </w:p>
    <w:p>
      <w:pPr>
        <w:pStyle w:val="BodyText"/>
        <w:spacing w:line="364" w:lineRule="auto" w:before="45"/>
        <w:ind w:right="6415"/>
      </w:pPr>
      <w:r>
        <w:rPr/>
        <w:t>法定代表人：傅子能联系人：董培姗</w:t>
      </w:r>
    </w:p>
    <w:p>
      <w:pPr>
        <w:pStyle w:val="BodyText"/>
        <w:spacing w:line="268" w:lineRule="exact"/>
      </w:pPr>
      <w:r>
        <w:rPr/>
        <w:t>联系电话：0595-22551071</w:t>
      </w:r>
    </w:p>
    <w:p>
      <w:pPr>
        <w:pStyle w:val="BodyText"/>
        <w:spacing w:line="364" w:lineRule="auto" w:before="139"/>
        <w:ind w:right="5575"/>
      </w:pPr>
      <w:r>
        <w:rPr/>
        <w:t>客户服务电话：400-88-96312 传真：0595-22578871</w:t>
      </w:r>
    </w:p>
    <w:p>
      <w:pPr>
        <w:pStyle w:val="BodyText"/>
        <w:spacing w:line="268" w:lineRule="exact"/>
      </w:pPr>
      <w:hyperlink r:id="rId72">
        <w:r>
          <w:rPr/>
          <w:t>网址：http://www.qzccbank.com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日照银行股份有限公司</w:t>
      </w:r>
    </w:p>
    <w:p>
      <w:pPr>
        <w:pStyle w:val="BodyText"/>
        <w:spacing w:line="364" w:lineRule="auto" w:before="139"/>
        <w:ind w:right="47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联系人：邱丽萍</w:t>
      </w:r>
    </w:p>
    <w:p>
      <w:pPr>
        <w:pStyle w:val="BodyText"/>
        <w:spacing w:before="140"/>
      </w:pPr>
      <w:r>
        <w:rPr/>
        <w:t>联系电话：0633-8081619</w:t>
      </w:r>
    </w:p>
    <w:p>
      <w:pPr>
        <w:pStyle w:val="BodyText"/>
        <w:spacing w:line="364" w:lineRule="auto" w:before="139"/>
        <w:ind w:right="27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3">
        <w:r>
          <w:rPr/>
          <w:t>网址：http://www.bankofrizhao.com.cn/</w:t>
        </w:r>
      </w:hyperlink>
    </w:p>
    <w:p>
      <w:pPr>
        <w:pStyle w:val="ListParagraph"/>
        <w:numPr>
          <w:ilvl w:val="1"/>
          <w:numId w:val="8"/>
        </w:numPr>
        <w:tabs>
          <w:tab w:pos="1345" w:val="left" w:leader="none"/>
        </w:tabs>
        <w:spacing w:line="364" w:lineRule="auto" w:before="140" w:after="0"/>
        <w:ind w:left="820" w:right="4315" w:firstLine="0"/>
        <w:jc w:val="left"/>
        <w:rPr>
          <w:sz w:val="21"/>
        </w:rPr>
      </w:pPr>
      <w:r>
        <w:rPr>
          <w:sz w:val="21"/>
        </w:rPr>
        <w:t>浙江瑞安农村商业银行股份有限公司</w:t>
      </w:r>
      <w:r>
        <w:rPr>
          <w:spacing w:val="-4"/>
          <w:sz w:val="21"/>
        </w:rPr>
        <w:t>注册地址：瑞安市安阳街道万松东路 </w:t>
      </w:r>
      <w:r>
        <w:rPr>
          <w:sz w:val="21"/>
        </w:rPr>
        <w:t>148</w:t>
      </w:r>
      <w:r>
        <w:rPr>
          <w:spacing w:val="-36"/>
          <w:sz w:val="21"/>
        </w:rPr>
        <w:t> 号</w:t>
      </w:r>
      <w:r>
        <w:rPr>
          <w:spacing w:val="-4"/>
          <w:sz w:val="21"/>
        </w:rPr>
        <w:t>办公地址：瑞安市安阳街道万松东路 </w:t>
      </w:r>
      <w:r>
        <w:rPr>
          <w:sz w:val="21"/>
        </w:rPr>
        <w:t>148</w:t>
      </w:r>
      <w:r>
        <w:rPr>
          <w:spacing w:val="-36"/>
          <w:sz w:val="21"/>
        </w:rPr>
        <w:t> 号</w:t>
      </w:r>
      <w:r>
        <w:rPr>
          <w:sz w:val="21"/>
        </w:rPr>
        <w:t>法定代表人：王光领</w:t>
      </w:r>
    </w:p>
    <w:p>
      <w:pPr>
        <w:pStyle w:val="BodyText"/>
        <w:spacing w:line="267" w:lineRule="exact"/>
      </w:pPr>
      <w:r>
        <w:rPr/>
        <w:t>联系人：吴小娜</w:t>
      </w:r>
    </w:p>
    <w:p>
      <w:pPr>
        <w:pStyle w:val="BodyText"/>
        <w:spacing w:before="139"/>
      </w:pPr>
      <w:r>
        <w:rPr/>
        <w:t>联系电话：0577-66681245</w:t>
      </w:r>
    </w:p>
    <w:p>
      <w:pPr>
        <w:pStyle w:val="BodyText"/>
        <w:spacing w:before="139"/>
      </w:pPr>
      <w:r>
        <w:rPr/>
        <w:t>客户服务电话：4008057702</w:t>
      </w:r>
    </w:p>
    <w:p>
      <w:pPr>
        <w:pStyle w:val="ListParagraph"/>
        <w:numPr>
          <w:ilvl w:val="1"/>
          <w:numId w:val="8"/>
        </w:numPr>
        <w:tabs>
          <w:tab w:pos="1345" w:val="left" w:leader="none"/>
        </w:tabs>
        <w:spacing w:line="364" w:lineRule="auto" w:before="140" w:after="0"/>
        <w:ind w:left="820" w:right="4000" w:firstLine="0"/>
        <w:jc w:val="both"/>
        <w:rPr>
          <w:sz w:val="21"/>
        </w:rPr>
      </w:pPr>
      <w:r>
        <w:rPr>
          <w:spacing w:val="-2"/>
          <w:sz w:val="21"/>
        </w:rPr>
        <w:t>浙江绍兴瑞丰农村商业银行股份有限公司</w:t>
      </w:r>
      <w:r>
        <w:rPr>
          <w:spacing w:val="-3"/>
          <w:sz w:val="21"/>
        </w:rPr>
        <w:t>注册地址：浙江省绍兴市柯桥区笛扬路 </w:t>
      </w:r>
      <w:r>
        <w:rPr>
          <w:sz w:val="21"/>
        </w:rPr>
        <w:t>1363</w:t>
      </w:r>
      <w:r>
        <w:rPr>
          <w:spacing w:val="-36"/>
          <w:sz w:val="21"/>
        </w:rPr>
        <w:t> 号</w:t>
      </w:r>
      <w:r>
        <w:rPr>
          <w:spacing w:val="-3"/>
          <w:sz w:val="21"/>
        </w:rPr>
        <w:t>办公地址：浙江省绍兴市柯桥区笛扬路 </w:t>
      </w:r>
      <w:r>
        <w:rPr>
          <w:sz w:val="21"/>
        </w:rPr>
        <w:t>1363</w:t>
      </w:r>
      <w:r>
        <w:rPr>
          <w:spacing w:val="-36"/>
          <w:sz w:val="21"/>
        </w:rPr>
        <w:t> 号</w:t>
      </w:r>
      <w:r>
        <w:rPr>
          <w:sz w:val="21"/>
        </w:rPr>
        <w:t>法定代表人：章伟东</w:t>
      </w:r>
    </w:p>
    <w:p>
      <w:pPr>
        <w:pStyle w:val="BodyText"/>
        <w:spacing w:line="267" w:lineRule="exact"/>
      </w:pPr>
      <w:r>
        <w:rPr/>
        <w:t>联系人：孟建潮</w:t>
      </w:r>
    </w:p>
    <w:p>
      <w:pPr>
        <w:pStyle w:val="BodyText"/>
        <w:spacing w:before="139"/>
      </w:pPr>
      <w:r>
        <w:rPr/>
        <w:t>联系电话：0575-81105323</w:t>
      </w:r>
    </w:p>
    <w:p>
      <w:pPr>
        <w:pStyle w:val="BodyText"/>
        <w:spacing w:line="364" w:lineRule="auto" w:before="140"/>
        <w:ind w:right="5575"/>
      </w:pPr>
      <w:r>
        <w:rPr/>
        <w:t>客户服务电话：400-88-96596 传真：0575-84788134</w:t>
      </w:r>
    </w:p>
    <w:p>
      <w:pPr>
        <w:pStyle w:val="BodyText"/>
        <w:spacing w:line="268" w:lineRule="exact"/>
      </w:pPr>
      <w:hyperlink r:id="rId74">
        <w:r>
          <w:rPr/>
          <w:t>网址：www.borf.cn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上海农村商业银行股份有限公司</w:t>
      </w:r>
    </w:p>
    <w:p>
      <w:pPr>
        <w:pStyle w:val="BodyText"/>
        <w:spacing w:before="140"/>
      </w:pPr>
      <w:r>
        <w:rPr/>
        <w:t>注册地址：上海市黄浦区中山东二路 70 号</w:t>
      </w:r>
    </w:p>
    <w:p>
      <w:pPr>
        <w:pStyle w:val="BodyText"/>
        <w:spacing w:before="139"/>
      </w:pPr>
      <w:r>
        <w:rPr/>
        <w:t>办公地址：上海市黄浦区中山东二路 70 号上海农商银行大厦</w:t>
      </w:r>
    </w:p>
    <w:p>
      <w:pPr>
        <w:spacing w:after="0"/>
        <w:sectPr>
          <w:pgSz w:w="11910" w:h="16840"/>
          <w:pgMar w:header="0" w:footer="910" w:top="1380" w:bottom="1180" w:left="1400" w:right="1380"/>
        </w:sectPr>
      </w:pPr>
    </w:p>
    <w:p>
      <w:pPr>
        <w:pStyle w:val="BodyText"/>
        <w:spacing w:line="364" w:lineRule="auto" w:before="45"/>
        <w:ind w:right="6625"/>
      </w:pPr>
      <w:r>
        <w:rPr/>
        <w:t>法定代表人：徐力联系人：童彤</w:t>
      </w:r>
    </w:p>
    <w:p>
      <w:pPr>
        <w:pStyle w:val="BodyText"/>
        <w:spacing w:line="268" w:lineRule="exact"/>
      </w:pPr>
      <w:r>
        <w:rPr/>
        <w:t>联系电话：021-61899999</w:t>
      </w:r>
    </w:p>
    <w:p>
      <w:pPr>
        <w:pStyle w:val="BodyText"/>
        <w:spacing w:before="139"/>
      </w:pPr>
      <w:r>
        <w:rPr/>
        <w:t>客户服务电话：021-962999、4006962999</w:t>
      </w:r>
    </w:p>
    <w:p>
      <w:pPr>
        <w:pStyle w:val="BodyText"/>
        <w:spacing w:before="140"/>
      </w:pPr>
      <w:hyperlink r:id="rId75">
        <w:r>
          <w:rPr/>
          <w:t>网址：www.srcb.com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上海银行股份有限公司</w:t>
      </w:r>
    </w:p>
    <w:p>
      <w:pPr>
        <w:pStyle w:val="BodyText"/>
        <w:spacing w:line="364" w:lineRule="auto" w:before="140"/>
        <w:ind w:right="305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625"/>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76">
        <w:r>
          <w:rPr/>
          <w:t>网址：http://www.bosc.cn/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广东顺德农村商业银行股份有限公司</w:t>
      </w:r>
    </w:p>
    <w:p>
      <w:pPr>
        <w:pStyle w:val="BodyText"/>
        <w:spacing w:line="364" w:lineRule="auto" w:before="140"/>
        <w:ind w:right="30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5890"/>
      </w:pPr>
      <w:r>
        <w:rPr/>
        <w:t>联系人：杨素苗、区敏欣联系电话：0757-22382524</w:t>
      </w:r>
    </w:p>
    <w:p>
      <w:pPr>
        <w:pStyle w:val="BodyText"/>
        <w:spacing w:line="364" w:lineRule="auto"/>
        <w:ind w:right="5470"/>
      </w:pPr>
      <w:r>
        <w:rPr/>
        <w:t>客户服务电话：0757-22223388 传真：0757-22388235</w:t>
      </w:r>
    </w:p>
    <w:p>
      <w:pPr>
        <w:pStyle w:val="BodyText"/>
        <w:spacing w:line="268" w:lineRule="exact"/>
      </w:pPr>
      <w:hyperlink r:id="rId77">
        <w:r>
          <w:rPr/>
          <w:t>网址：www.sdebank.com</w:t>
        </w:r>
      </w:hyperlink>
    </w:p>
    <w:p>
      <w:pPr>
        <w:pStyle w:val="ListParagraph"/>
        <w:numPr>
          <w:ilvl w:val="1"/>
          <w:numId w:val="8"/>
        </w:numPr>
        <w:tabs>
          <w:tab w:pos="1345" w:val="left" w:leader="none"/>
        </w:tabs>
        <w:spacing w:line="240" w:lineRule="auto" w:before="137" w:after="0"/>
        <w:ind w:left="1345" w:right="0" w:hanging="525"/>
        <w:jc w:val="both"/>
        <w:rPr>
          <w:sz w:val="21"/>
        </w:rPr>
      </w:pPr>
      <w:r>
        <w:rPr>
          <w:sz w:val="21"/>
        </w:rPr>
        <w:t>江苏苏州农村商业银行股份有限公司</w:t>
      </w:r>
    </w:p>
    <w:p>
      <w:pPr>
        <w:pStyle w:val="BodyText"/>
        <w:spacing w:line="364" w:lineRule="auto" w:before="139"/>
        <w:ind w:right="37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24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78">
        <w:r>
          <w:rPr/>
          <w:t>网址：www.szrcb.com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苏州银行股份有限公司</w:t>
      </w:r>
    </w:p>
    <w:p>
      <w:pPr>
        <w:pStyle w:val="BodyText"/>
        <w:spacing w:line="364" w:lineRule="auto" w:before="140"/>
        <w:ind w:right="3895"/>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p>
    <w:p>
      <w:pPr>
        <w:spacing w:after="0" w:line="364" w:lineRule="auto"/>
        <w:sectPr>
          <w:pgSz w:w="11910" w:h="16840"/>
          <w:pgMar w:header="0" w:footer="910" w:top="1380" w:bottom="1180" w:left="1400" w:right="1380"/>
        </w:sectPr>
      </w:pPr>
    </w:p>
    <w:p>
      <w:pPr>
        <w:pStyle w:val="BodyText"/>
        <w:spacing w:line="364" w:lineRule="auto" w:before="45"/>
        <w:ind w:right="6415"/>
      </w:pPr>
      <w:r>
        <w:rPr/>
        <w:t>法定代表人：王兰凤联系人：吴骏</w:t>
      </w:r>
    </w:p>
    <w:p>
      <w:pPr>
        <w:pStyle w:val="BodyText"/>
        <w:spacing w:line="268" w:lineRule="exact"/>
      </w:pPr>
      <w:r>
        <w:rPr/>
        <w:t>联系电话：0512-69868373</w:t>
      </w:r>
    </w:p>
    <w:p>
      <w:pPr>
        <w:pStyle w:val="BodyText"/>
        <w:spacing w:line="364" w:lineRule="auto" w:before="139"/>
        <w:ind w:right="6310"/>
      </w:pPr>
      <w:r>
        <w:rPr/>
        <w:t>客户服务电话：96067 传真：0512-69868373</w:t>
      </w:r>
    </w:p>
    <w:p>
      <w:pPr>
        <w:pStyle w:val="BodyText"/>
        <w:spacing w:line="268" w:lineRule="exact"/>
      </w:pPr>
      <w:hyperlink r:id="rId79">
        <w:r>
          <w:rPr/>
          <w:t>网址：www.suzhoubank.com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天津银行股份有限公司</w:t>
      </w:r>
    </w:p>
    <w:p>
      <w:pPr>
        <w:pStyle w:val="BodyText"/>
        <w:spacing w:line="364" w:lineRule="auto" w:before="139"/>
        <w:ind w:right="48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205"/>
      </w:pPr>
      <w:r>
        <w:rPr/>
        <w:t>客户服务电话：956056 传真：022-28405631</w:t>
      </w:r>
    </w:p>
    <w:p>
      <w:pPr>
        <w:pStyle w:val="BodyText"/>
        <w:spacing w:line="268" w:lineRule="exact"/>
      </w:pPr>
      <w:hyperlink r:id="rId80">
        <w:r>
          <w:rPr/>
          <w:t>网址：www.bank-of-tianjin.com.cn</w:t>
        </w:r>
      </w:hyperlink>
    </w:p>
    <w:p>
      <w:pPr>
        <w:pStyle w:val="ListParagraph"/>
        <w:numPr>
          <w:ilvl w:val="1"/>
          <w:numId w:val="8"/>
        </w:numPr>
        <w:tabs>
          <w:tab w:pos="1345" w:val="left" w:leader="none"/>
        </w:tabs>
        <w:spacing w:line="364" w:lineRule="auto" w:before="140" w:after="0"/>
        <w:ind w:left="820" w:right="5050" w:firstLine="0"/>
        <w:jc w:val="left"/>
        <w:rPr>
          <w:sz w:val="21"/>
        </w:rPr>
      </w:pPr>
      <w:r>
        <w:rPr>
          <w:spacing w:val="-2"/>
          <w:sz w:val="21"/>
        </w:rPr>
        <w:t>威海市商业银行股份有限公司</w:t>
      </w:r>
      <w:r>
        <w:rPr>
          <w:spacing w:val="-5"/>
          <w:sz w:val="21"/>
        </w:rPr>
        <w:t>注册地址：威海市宝泉路 </w:t>
      </w:r>
      <w:r>
        <w:rPr>
          <w:sz w:val="21"/>
        </w:rPr>
        <w:t>9</w:t>
      </w:r>
      <w:r>
        <w:rPr>
          <w:spacing w:val="-27"/>
          <w:sz w:val="21"/>
        </w:rPr>
        <w:t> 号</w:t>
      </w:r>
    </w:p>
    <w:p>
      <w:pPr>
        <w:pStyle w:val="BodyText"/>
        <w:spacing w:line="364" w:lineRule="auto"/>
        <w:ind w:right="47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8"/>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39"/>
      </w:pPr>
      <w:hyperlink r:id="rId81">
        <w:r>
          <w:rPr/>
          <w:t>网址：www.whccb.com</w:t>
        </w:r>
      </w:hyperlink>
      <w:r>
        <w:rPr/>
        <w:t>，</w:t>
      </w:r>
      <w:hyperlink r:id="rId82">
        <w:r>
          <w:rPr/>
          <w:t>www.whccb.com.cn</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深圳前海微众银行股份有限公司</w:t>
      </w:r>
    </w:p>
    <w:p>
      <w:pPr>
        <w:pStyle w:val="BodyText"/>
        <w:spacing w:line="364" w:lineRule="auto" w:before="139"/>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27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9"/>
      </w:pPr>
      <w:hyperlink r:id="rId83">
        <w:r>
          <w:rPr/>
          <w:t>网址：http://www.webank.com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潍坊银行股份有限公司</w:t>
      </w:r>
    </w:p>
    <w:p>
      <w:pPr>
        <w:pStyle w:val="BodyText"/>
        <w:spacing w:line="364" w:lineRule="auto" w:before="140"/>
        <w:ind w:right="3790"/>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p>
    <w:p>
      <w:pPr>
        <w:spacing w:after="0" w:line="364" w:lineRule="auto"/>
        <w:sectPr>
          <w:pgSz w:w="11910" w:h="16840"/>
          <w:pgMar w:header="0" w:footer="910" w:top="1380" w:bottom="1180" w:left="1400" w:right="1380"/>
        </w:sectPr>
      </w:pPr>
    </w:p>
    <w:p>
      <w:pPr>
        <w:pStyle w:val="BodyText"/>
        <w:spacing w:line="364" w:lineRule="auto" w:before="45"/>
        <w:ind w:right="6415"/>
      </w:pPr>
      <w:r>
        <w:rPr/>
        <w:t>法定代表人：郭虎英联系人：井靖</w:t>
      </w:r>
    </w:p>
    <w:p>
      <w:pPr>
        <w:pStyle w:val="BodyText"/>
        <w:spacing w:line="268" w:lineRule="exact"/>
      </w:pPr>
      <w:r>
        <w:rPr/>
        <w:t>联系电话：0536-8051904</w:t>
      </w:r>
    </w:p>
    <w:p>
      <w:pPr>
        <w:pStyle w:val="BodyText"/>
        <w:spacing w:line="364" w:lineRule="auto" w:before="139"/>
        <w:ind w:right="5575"/>
      </w:pPr>
      <w:r>
        <w:rPr/>
        <w:t>客户服务电话</w:t>
      </w:r>
      <w:r>
        <w:rPr>
          <w:spacing w:val="-2"/>
        </w:rPr>
        <w:t>：400-61-96588 </w:t>
      </w:r>
      <w:r>
        <w:rPr/>
        <w:t>传真：0536-8056061</w:t>
      </w:r>
    </w:p>
    <w:p>
      <w:pPr>
        <w:pStyle w:val="BodyText"/>
        <w:spacing w:line="268" w:lineRule="exact"/>
      </w:pPr>
      <w:hyperlink r:id="rId84">
        <w:r>
          <w:rPr/>
          <w:t>网址：www.wfccb.com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武汉农村商业银行股份有限公司</w:t>
      </w:r>
    </w:p>
    <w:p>
      <w:pPr>
        <w:pStyle w:val="BodyText"/>
        <w:spacing w:line="364" w:lineRule="auto" w:before="139"/>
        <w:ind w:right="3895"/>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40"/>
      </w:pPr>
      <w:r>
        <w:rPr/>
        <w:t>电话：027-85497270</w:t>
      </w:r>
    </w:p>
    <w:p>
      <w:pPr>
        <w:pStyle w:val="BodyText"/>
        <w:spacing w:line="364" w:lineRule="auto" w:before="139"/>
        <w:ind w:right="6310"/>
      </w:pPr>
      <w:r>
        <w:rPr/>
        <w:t>客户服务电话</w:t>
      </w:r>
      <w:r>
        <w:rPr>
          <w:spacing w:val="-4"/>
        </w:rPr>
        <w:t>：95367 </w:t>
      </w:r>
      <w:r>
        <w:rPr/>
        <w:t>传真：027-85497270</w:t>
      </w:r>
    </w:p>
    <w:p>
      <w:pPr>
        <w:pStyle w:val="BodyText"/>
        <w:spacing w:line="268" w:lineRule="exact"/>
      </w:pPr>
      <w:hyperlink r:id="rId85">
        <w:r>
          <w:rPr/>
          <w:t>网址：http://www.whrcbank.com/</w:t>
        </w:r>
      </w:hyperlink>
    </w:p>
    <w:p>
      <w:pPr>
        <w:pStyle w:val="ListParagraph"/>
        <w:numPr>
          <w:ilvl w:val="1"/>
          <w:numId w:val="8"/>
        </w:numPr>
        <w:tabs>
          <w:tab w:pos="1345" w:val="left" w:leader="none"/>
        </w:tabs>
        <w:spacing w:line="364" w:lineRule="auto" w:before="140" w:after="0"/>
        <w:ind w:left="820" w:right="4420" w:firstLine="0"/>
        <w:jc w:val="left"/>
        <w:rPr>
          <w:sz w:val="21"/>
        </w:rPr>
      </w:pPr>
      <w:r>
        <w:rPr>
          <w:spacing w:val="-2"/>
          <w:sz w:val="21"/>
        </w:rPr>
        <w:t>浙江萧山农村商业银行股份有限公司</w:t>
      </w:r>
      <w:r>
        <w:rPr>
          <w:spacing w:val="-5"/>
          <w:sz w:val="21"/>
        </w:rPr>
        <w:t>注册地址：萧山区人民路 </w:t>
      </w:r>
      <w:r>
        <w:rPr>
          <w:sz w:val="21"/>
        </w:rPr>
        <w:t>258</w:t>
      </w:r>
      <w:r>
        <w:rPr>
          <w:spacing w:val="-27"/>
          <w:sz w:val="21"/>
        </w:rPr>
        <w:t> 号</w:t>
      </w:r>
    </w:p>
    <w:p>
      <w:pPr>
        <w:pStyle w:val="BodyText"/>
        <w:spacing w:line="364" w:lineRule="auto"/>
        <w:ind w:right="41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8"/>
      </w:pPr>
      <w:r>
        <w:rPr/>
        <w:t>联系电话：0571-82739513</w:t>
      </w:r>
    </w:p>
    <w:p>
      <w:pPr>
        <w:pStyle w:val="BodyText"/>
        <w:spacing w:before="140"/>
      </w:pPr>
      <w:r>
        <w:rPr/>
        <w:t>客户服务电话：96596</w:t>
      </w:r>
    </w:p>
    <w:p>
      <w:pPr>
        <w:pStyle w:val="BodyText"/>
        <w:spacing w:before="139"/>
      </w:pPr>
      <w:hyperlink r:id="rId86">
        <w:r>
          <w:rPr/>
          <w:t>网址：http://www.zjxsbank.com/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浙江新昌农村商业银行股份有限公司</w:t>
      </w:r>
    </w:p>
    <w:p>
      <w:pPr>
        <w:pStyle w:val="BodyText"/>
        <w:spacing w:line="364" w:lineRule="auto" w:before="140"/>
        <w:ind w:right="3370"/>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pStyle w:val="BodyText"/>
        <w:spacing w:line="268" w:lineRule="exact"/>
      </w:pPr>
      <w:r>
        <w:rPr/>
        <w:t>联系人：陈春华</w:t>
      </w:r>
    </w:p>
    <w:p>
      <w:pPr>
        <w:pStyle w:val="BodyText"/>
        <w:spacing w:before="139"/>
      </w:pPr>
      <w:r>
        <w:rPr/>
        <w:t>联系电话：0575-86266991</w:t>
      </w:r>
    </w:p>
    <w:p>
      <w:pPr>
        <w:pStyle w:val="BodyText"/>
        <w:spacing w:line="364" w:lineRule="auto" w:before="140"/>
        <w:ind w:right="4210"/>
      </w:pPr>
      <w:r>
        <w:rPr/>
        <w:t>客户服务电话：4008896596、0575-86266928 传真：0575-86383121</w:t>
      </w:r>
    </w:p>
    <w:p>
      <w:pPr>
        <w:pStyle w:val="BodyText"/>
        <w:spacing w:line="268" w:lineRule="exact"/>
      </w:pPr>
      <w:hyperlink r:id="rId87">
        <w:r>
          <w:rPr/>
          <w:t>网址：http://xcbank.com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烟台银行股份有限公司</w:t>
      </w:r>
    </w:p>
    <w:p>
      <w:pPr>
        <w:pStyle w:val="BodyText"/>
        <w:spacing w:before="140"/>
      </w:pPr>
      <w:r>
        <w:rPr>
          <w:spacing w:val="-3"/>
        </w:rPr>
        <w:t>注册地址：山东省烟台市芝罘区海港路 </w:t>
      </w:r>
      <w:r>
        <w:rPr/>
        <w:t>25</w:t>
      </w:r>
      <w:r>
        <w:rPr>
          <w:spacing w:val="-27"/>
        </w:rPr>
        <w:t> 号</w:t>
      </w:r>
    </w:p>
    <w:p>
      <w:pPr>
        <w:spacing w:after="0"/>
        <w:sectPr>
          <w:pgSz w:w="11910" w:h="16840"/>
          <w:pgMar w:header="0" w:footer="910" w:top="1380" w:bottom="1180" w:left="1400" w:right="1380"/>
        </w:sectPr>
      </w:pPr>
    </w:p>
    <w:p>
      <w:pPr>
        <w:pStyle w:val="BodyText"/>
        <w:spacing w:line="364" w:lineRule="auto" w:before="45"/>
        <w:ind w:right="4210"/>
      </w:pP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575"/>
      </w:pPr>
      <w:r>
        <w:rPr/>
        <w:t>客户服务电话：4008-311-777 传真：0535-6699884</w:t>
      </w:r>
    </w:p>
    <w:p>
      <w:pPr>
        <w:pStyle w:val="BodyText"/>
        <w:spacing w:line="268" w:lineRule="exact"/>
      </w:pPr>
      <w:hyperlink r:id="rId88">
        <w:r>
          <w:rPr/>
          <w:t>网址：www.yantaibank.net</w:t>
        </w:r>
      </w:hyperlink>
    </w:p>
    <w:p>
      <w:pPr>
        <w:pStyle w:val="ListParagraph"/>
        <w:numPr>
          <w:ilvl w:val="1"/>
          <w:numId w:val="8"/>
        </w:numPr>
        <w:tabs>
          <w:tab w:pos="1345" w:val="left" w:leader="none"/>
        </w:tabs>
        <w:spacing w:line="364" w:lineRule="auto" w:before="139" w:after="0"/>
        <w:ind w:left="820" w:right="4420" w:firstLine="0"/>
        <w:jc w:val="left"/>
        <w:rPr>
          <w:sz w:val="21"/>
        </w:rPr>
      </w:pPr>
      <w:r>
        <w:rPr>
          <w:spacing w:val="-2"/>
          <w:sz w:val="21"/>
        </w:rPr>
        <w:t>宁波鄞州农村商业银行股份有限公司</w:t>
      </w:r>
      <w:r>
        <w:rPr>
          <w:spacing w:val="-4"/>
          <w:sz w:val="21"/>
        </w:rPr>
        <w:t>注册地址：宁波市鄞州区民惠西路 </w:t>
      </w:r>
      <w:r>
        <w:rPr>
          <w:sz w:val="21"/>
        </w:rPr>
        <w:t>88</w:t>
      </w:r>
      <w:r>
        <w:rPr>
          <w:spacing w:val="-17"/>
          <w:sz w:val="21"/>
        </w:rPr>
        <w:t> 号办</w:t>
      </w:r>
      <w:r>
        <w:rPr>
          <w:spacing w:val="-20"/>
          <w:sz w:val="21"/>
        </w:rPr>
        <w:t>公地址：宁波市鄞州区民惠西路 </w:t>
      </w:r>
      <w:r>
        <w:rPr>
          <w:sz w:val="21"/>
        </w:rPr>
        <w:t>88</w:t>
      </w:r>
      <w:r>
        <w:rPr>
          <w:spacing w:val="-13"/>
          <w:sz w:val="21"/>
        </w:rPr>
        <w:t> 号法定代表人：周建斌</w:t>
      </w:r>
    </w:p>
    <w:p>
      <w:pPr>
        <w:pStyle w:val="BodyText"/>
        <w:spacing w:line="267" w:lineRule="exact"/>
      </w:pPr>
      <w:r>
        <w:rPr/>
        <w:t>联系人：朱霓虹</w:t>
      </w:r>
    </w:p>
    <w:p>
      <w:pPr>
        <w:pStyle w:val="BodyText"/>
        <w:spacing w:before="140"/>
      </w:pPr>
      <w:r>
        <w:rPr/>
        <w:t>联系电话：0574-87412569</w:t>
      </w:r>
    </w:p>
    <w:p>
      <w:pPr>
        <w:pStyle w:val="BodyText"/>
        <w:spacing w:line="364" w:lineRule="auto" w:before="139"/>
        <w:ind w:right="6100"/>
      </w:pPr>
      <w:r>
        <w:rPr/>
        <w:t>客户服务电话：956058 </w:t>
      </w:r>
      <w:hyperlink r:id="rId89">
        <w:r>
          <w:rPr/>
          <w:t>网址：www.beeb.com.cn</w:t>
        </w:r>
      </w:hyperlink>
    </w:p>
    <w:p>
      <w:pPr>
        <w:pStyle w:val="ListParagraph"/>
        <w:numPr>
          <w:ilvl w:val="1"/>
          <w:numId w:val="8"/>
        </w:numPr>
        <w:tabs>
          <w:tab w:pos="1345" w:val="left" w:leader="none"/>
        </w:tabs>
        <w:spacing w:line="364" w:lineRule="auto" w:before="0" w:after="0"/>
        <w:ind w:left="820" w:right="4000" w:firstLine="0"/>
        <w:jc w:val="both"/>
        <w:rPr>
          <w:sz w:val="21"/>
        </w:rPr>
      </w:pPr>
      <w:r>
        <w:rPr>
          <w:spacing w:val="-2"/>
          <w:sz w:val="21"/>
        </w:rPr>
        <w:t>浙江杭州余杭农村商业银行股份有限公司</w:t>
      </w:r>
      <w:r>
        <w:rPr>
          <w:spacing w:val="-3"/>
          <w:sz w:val="21"/>
        </w:rPr>
        <w:t>注册地址：杭州市余杭区南苑街道南大街 </w:t>
      </w:r>
      <w:r>
        <w:rPr>
          <w:sz w:val="21"/>
        </w:rPr>
        <w:t>72</w:t>
      </w:r>
      <w:r>
        <w:rPr>
          <w:spacing w:val="-36"/>
          <w:sz w:val="21"/>
        </w:rPr>
        <w:t> 号</w:t>
      </w:r>
      <w:r>
        <w:rPr>
          <w:spacing w:val="-3"/>
          <w:sz w:val="21"/>
        </w:rPr>
        <w:t>办公地址：杭州市余杭区南苑街道南大街 </w:t>
      </w:r>
      <w:r>
        <w:rPr>
          <w:sz w:val="21"/>
        </w:rPr>
        <w:t>72</w:t>
      </w:r>
      <w:r>
        <w:rPr>
          <w:spacing w:val="-36"/>
          <w:sz w:val="21"/>
        </w:rPr>
        <w:t> 号</w:t>
      </w:r>
      <w:r>
        <w:rPr>
          <w:sz w:val="21"/>
        </w:rPr>
        <w:t>法定代表人：来煜标</w:t>
      </w:r>
    </w:p>
    <w:p>
      <w:pPr>
        <w:pStyle w:val="BodyText"/>
        <w:spacing w:line="267" w:lineRule="exact"/>
      </w:pPr>
      <w:r>
        <w:rPr/>
        <w:t>联系人：蔡亮</w:t>
      </w:r>
    </w:p>
    <w:p>
      <w:pPr>
        <w:pStyle w:val="BodyText"/>
        <w:spacing w:before="139"/>
      </w:pPr>
      <w:r>
        <w:rPr/>
        <w:t>联系电话：0571-86209980</w:t>
      </w:r>
    </w:p>
    <w:p>
      <w:pPr>
        <w:pStyle w:val="BodyText"/>
        <w:spacing w:line="364" w:lineRule="auto" w:before="139"/>
        <w:ind w:right="5050"/>
      </w:pPr>
      <w:r>
        <w:rPr/>
        <w:t>客户服务电话：96596，4008896596 </w:t>
      </w:r>
      <w:hyperlink r:id="rId90">
        <w:r>
          <w:rPr/>
          <w:t>网址：www.yhrcb.com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云南红塔银行股份有限公司</w:t>
      </w:r>
    </w:p>
    <w:p>
      <w:pPr>
        <w:pStyle w:val="BodyText"/>
        <w:spacing w:before="140"/>
      </w:pPr>
      <w:r>
        <w:rPr/>
        <w:t>注册地址：云南省玉溪市东风南路 2 号</w:t>
      </w:r>
    </w:p>
    <w:p>
      <w:pPr>
        <w:pStyle w:val="BodyText"/>
        <w:spacing w:line="364" w:lineRule="auto" w:before="139"/>
        <w:ind w:right="34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5785"/>
      </w:pPr>
      <w:r>
        <w:rPr>
          <w:spacing w:val="-1"/>
        </w:rPr>
        <w:t>客户服务电话</w:t>
      </w:r>
      <w:r>
        <w:rPr/>
        <w:t>：0877-96522 </w:t>
      </w:r>
      <w:hyperlink r:id="rId91">
        <w:r>
          <w:rPr/>
          <w:t>网址：www.ynhtbank.com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渣打银行（中国）有限公司</w:t>
      </w:r>
    </w:p>
    <w:p>
      <w:pPr>
        <w:pStyle w:val="BodyText"/>
        <w:spacing w:before="139"/>
      </w:pPr>
      <w:r>
        <w:rPr>
          <w:spacing w:val="-4"/>
        </w:rPr>
        <w:t>注册地址：上海市浦东新区世纪大道 </w:t>
      </w:r>
      <w:r>
        <w:rPr/>
        <w:t>201</w:t>
      </w:r>
      <w:r>
        <w:rPr>
          <w:spacing w:val="-13"/>
        </w:rPr>
        <w:t> 号渣打银行大厦 </w:t>
      </w:r>
      <w:r>
        <w:rPr/>
        <w:t>16</w:t>
      </w:r>
      <w:r>
        <w:rPr>
          <w:spacing w:val="-27"/>
        </w:rPr>
        <w:t> 层</w:t>
      </w:r>
      <w:r>
        <w:rPr/>
        <w:t>（</w:t>
      </w:r>
      <w:r>
        <w:rPr>
          <w:spacing w:val="-11"/>
        </w:rPr>
        <w:t>实际楼层 </w:t>
      </w:r>
      <w:r>
        <w:rPr/>
        <w:t>15</w:t>
      </w:r>
      <w:r>
        <w:rPr>
          <w:spacing w:val="-27"/>
        </w:rPr>
        <w:t> 层</w:t>
      </w:r>
      <w:r>
        <w:rPr>
          <w:spacing w:val="-105"/>
        </w:rPr>
        <w:t>）</w:t>
      </w:r>
      <w:r>
        <w:rPr/>
        <w:t>、17</w:t>
      </w:r>
    </w:p>
    <w:p>
      <w:pPr>
        <w:pStyle w:val="BodyText"/>
        <w:spacing w:before="140"/>
        <w:ind w:left="400"/>
      </w:pPr>
      <w:r>
        <w:rPr>
          <w:spacing w:val="-25"/>
        </w:rPr>
        <w:t>层 </w:t>
      </w:r>
      <w:r>
        <w:rPr>
          <w:spacing w:val="3"/>
        </w:rPr>
        <w:t>1</w:t>
      </w:r>
      <w:r>
        <w:rPr>
          <w:spacing w:val="4"/>
        </w:rPr>
        <w:t>、</w:t>
      </w:r>
      <w:r>
        <w:rPr>
          <w:spacing w:val="3"/>
        </w:rPr>
        <w:t>2</w:t>
      </w:r>
      <w:r>
        <w:rPr>
          <w:spacing w:val="4"/>
        </w:rPr>
        <w:t>、</w:t>
      </w:r>
      <w:r>
        <w:rPr/>
        <w:t>4</w:t>
      </w:r>
      <w:r>
        <w:rPr>
          <w:spacing w:val="-23"/>
        </w:rPr>
        <w:t> 室</w:t>
      </w:r>
      <w:r>
        <w:rPr>
          <w:spacing w:val="4"/>
        </w:rPr>
        <w:t>（</w:t>
      </w:r>
      <w:r>
        <w:rPr>
          <w:spacing w:val="-8"/>
        </w:rPr>
        <w:t>实际楼层 </w:t>
      </w:r>
      <w:r>
        <w:rPr/>
        <w:t>16</w:t>
      </w:r>
      <w:r>
        <w:rPr>
          <w:spacing w:val="-33"/>
        </w:rPr>
        <w:t> 层 </w:t>
      </w:r>
      <w:r>
        <w:rPr>
          <w:spacing w:val="4"/>
        </w:rPr>
        <w:t>1、2、</w:t>
      </w:r>
      <w:r>
        <w:rPr/>
        <w:t>4</w:t>
      </w:r>
      <w:r>
        <w:rPr>
          <w:spacing w:val="-23"/>
        </w:rPr>
        <w:t> 室</w:t>
      </w:r>
      <w:r>
        <w:rPr>
          <w:spacing w:val="-101"/>
        </w:rPr>
        <w:t>）</w:t>
      </w:r>
      <w:r>
        <w:rPr>
          <w:spacing w:val="4"/>
        </w:rPr>
        <w:t>、</w:t>
      </w:r>
      <w:r>
        <w:rPr/>
        <w:t>18</w:t>
      </w:r>
      <w:r>
        <w:rPr>
          <w:spacing w:val="-33"/>
        </w:rPr>
        <w:t> 层 </w:t>
      </w:r>
      <w:r>
        <w:rPr>
          <w:spacing w:val="3"/>
        </w:rPr>
        <w:t>1</w:t>
      </w:r>
      <w:r>
        <w:rPr>
          <w:spacing w:val="4"/>
        </w:rPr>
        <w:t>、</w:t>
      </w:r>
      <w:r>
        <w:rPr>
          <w:spacing w:val="3"/>
        </w:rPr>
        <w:t>2</w:t>
      </w:r>
      <w:r>
        <w:rPr>
          <w:spacing w:val="4"/>
        </w:rPr>
        <w:t>、</w:t>
      </w:r>
      <w:r>
        <w:rPr/>
        <w:t>3</w:t>
      </w:r>
      <w:r>
        <w:rPr>
          <w:spacing w:val="-23"/>
        </w:rPr>
        <w:t> 室</w:t>
      </w:r>
      <w:r>
        <w:rPr>
          <w:spacing w:val="4"/>
        </w:rPr>
        <w:t>（</w:t>
      </w:r>
      <w:r>
        <w:rPr>
          <w:spacing w:val="-8"/>
        </w:rPr>
        <w:t>实际楼层 </w:t>
      </w:r>
      <w:r>
        <w:rPr/>
        <w:t>17</w:t>
      </w:r>
      <w:r>
        <w:rPr>
          <w:spacing w:val="-33"/>
        </w:rPr>
        <w:t> 层 </w:t>
      </w:r>
      <w:r>
        <w:rPr>
          <w:spacing w:val="4"/>
        </w:rPr>
        <w:t>1、2、</w:t>
      </w:r>
      <w:r>
        <w:rPr/>
        <w:t>3</w:t>
      </w:r>
    </w:p>
    <w:p>
      <w:pPr>
        <w:spacing w:after="0"/>
        <w:sectPr>
          <w:pgSz w:w="11910" w:h="16840"/>
          <w:pgMar w:header="0" w:footer="910" w:top="1380" w:bottom="1180" w:left="1400" w:right="1380"/>
        </w:sectPr>
      </w:pPr>
    </w:p>
    <w:p>
      <w:pPr>
        <w:pStyle w:val="BodyText"/>
        <w:spacing w:line="364" w:lineRule="auto" w:before="45"/>
        <w:ind w:left="400" w:right="418"/>
      </w:pPr>
      <w:r>
        <w:rPr/>
        <w:t>室</w:t>
      </w:r>
      <w:r>
        <w:rPr>
          <w:spacing w:val="-104"/>
        </w:rPr>
        <w:t>）</w:t>
      </w:r>
      <w:r>
        <w:rPr/>
        <w:t>、19</w:t>
      </w:r>
      <w:r>
        <w:rPr>
          <w:spacing w:val="-25"/>
        </w:rPr>
        <w:t> 层</w:t>
      </w:r>
      <w:r>
        <w:rPr/>
        <w:t>（</w:t>
      </w:r>
      <w:r>
        <w:rPr>
          <w:spacing w:val="-10"/>
        </w:rPr>
        <w:t>实际楼层 </w:t>
      </w:r>
      <w:r>
        <w:rPr/>
        <w:t>18</w:t>
      </w:r>
      <w:r>
        <w:rPr>
          <w:spacing w:val="-24"/>
        </w:rPr>
        <w:t> 层</w:t>
      </w:r>
      <w:r>
        <w:rPr>
          <w:spacing w:val="-104"/>
        </w:rPr>
        <w:t>）</w:t>
      </w:r>
      <w:r>
        <w:rPr/>
        <w:t>、22</w:t>
      </w:r>
      <w:r>
        <w:rPr>
          <w:spacing w:val="-33"/>
        </w:rPr>
        <w:t> 层 </w:t>
      </w:r>
      <w:r>
        <w:rPr/>
        <w:t>1、2</w:t>
      </w:r>
      <w:r>
        <w:rPr>
          <w:spacing w:val="-24"/>
        </w:rPr>
        <w:t> 室</w:t>
      </w:r>
      <w:r>
        <w:rPr/>
        <w:t>（</w:t>
      </w:r>
      <w:r>
        <w:rPr>
          <w:spacing w:val="-10"/>
        </w:rPr>
        <w:t>实际楼层 </w:t>
      </w:r>
      <w:r>
        <w:rPr/>
        <w:t>21</w:t>
      </w:r>
      <w:r>
        <w:rPr>
          <w:spacing w:val="-34"/>
        </w:rPr>
        <w:t> 层 </w:t>
      </w:r>
      <w:r>
        <w:rPr/>
        <w:t>1、2</w:t>
      </w:r>
      <w:r>
        <w:rPr>
          <w:spacing w:val="-24"/>
        </w:rPr>
        <w:t> 室</w:t>
      </w:r>
      <w:r>
        <w:rPr>
          <w:spacing w:val="-104"/>
        </w:rPr>
        <w:t>）</w:t>
      </w:r>
      <w:r>
        <w:rPr/>
        <w:t>、23</w:t>
      </w:r>
      <w:r>
        <w:rPr>
          <w:spacing w:val="-33"/>
        </w:rPr>
        <w:t> 层 </w:t>
      </w:r>
      <w:r>
        <w:rPr/>
        <w:t>1</w:t>
      </w:r>
      <w:r>
        <w:rPr>
          <w:spacing w:val="-24"/>
        </w:rPr>
        <w:t> 室</w:t>
      </w:r>
      <w:r>
        <w:rPr/>
        <w:t>（实际</w:t>
      </w:r>
      <w:r>
        <w:rPr>
          <w:spacing w:val="-18"/>
        </w:rPr>
        <w:t>楼层 </w:t>
      </w:r>
      <w:r>
        <w:rPr/>
        <w:t>22</w:t>
      </w:r>
      <w:r>
        <w:rPr>
          <w:spacing w:val="-36"/>
        </w:rPr>
        <w:t> 层 </w:t>
      </w:r>
      <w:r>
        <w:rPr/>
        <w:t>1</w:t>
      </w:r>
      <w:r>
        <w:rPr>
          <w:spacing w:val="-27"/>
        </w:rPr>
        <w:t> 室</w:t>
      </w:r>
      <w:r>
        <w:rPr>
          <w:spacing w:val="-105"/>
        </w:rPr>
        <w:t>）</w:t>
      </w:r>
      <w:r>
        <w:rPr/>
        <w:t>、25</w:t>
      </w:r>
      <w:r>
        <w:rPr>
          <w:spacing w:val="-36"/>
        </w:rPr>
        <w:t> 层 </w:t>
      </w:r>
      <w:r>
        <w:rPr/>
        <w:t>1</w:t>
      </w:r>
      <w:r>
        <w:rPr>
          <w:spacing w:val="-27"/>
        </w:rPr>
        <w:t> 室</w:t>
      </w:r>
      <w:r>
        <w:rPr/>
        <w:t>（</w:t>
      </w:r>
      <w:r>
        <w:rPr>
          <w:spacing w:val="-11"/>
        </w:rPr>
        <w:t>实际楼层 </w:t>
      </w:r>
      <w:r>
        <w:rPr/>
        <w:t>23</w:t>
      </w:r>
      <w:r>
        <w:rPr>
          <w:spacing w:val="-36"/>
        </w:rPr>
        <w:t> 层 </w:t>
      </w:r>
      <w:r>
        <w:rPr/>
        <w:t>1</w:t>
      </w:r>
      <w:r>
        <w:rPr>
          <w:spacing w:val="-27"/>
        </w:rPr>
        <w:t> 室</w:t>
      </w:r>
      <w:r>
        <w:rPr>
          <w:spacing w:val="-105"/>
        </w:rPr>
        <w:t>）</w:t>
      </w:r>
      <w:r>
        <w:rPr/>
        <w:t>、28</w:t>
      </w:r>
      <w:r>
        <w:rPr>
          <w:spacing w:val="-27"/>
        </w:rPr>
        <w:t> 层</w:t>
      </w:r>
      <w:r>
        <w:rPr/>
        <w:t>（</w:t>
      </w:r>
      <w:r>
        <w:rPr>
          <w:spacing w:val="-11"/>
        </w:rPr>
        <w:t>实际楼层 </w:t>
      </w:r>
      <w:r>
        <w:rPr/>
        <w:t>26</w:t>
      </w:r>
      <w:r>
        <w:rPr>
          <w:spacing w:val="-27"/>
        </w:rPr>
        <w:t> 层</w:t>
      </w:r>
      <w:r>
        <w:rPr/>
        <w:t>）</w:t>
      </w:r>
    </w:p>
    <w:p>
      <w:pPr>
        <w:pStyle w:val="BodyText"/>
        <w:spacing w:line="364" w:lineRule="auto"/>
        <w:ind w:right="2740"/>
      </w:pPr>
      <w:r>
        <w:rPr>
          <w:spacing w:val="-4"/>
        </w:rPr>
        <w:t>办公地址：上海市浦东新区福山路 </w:t>
      </w:r>
      <w:r>
        <w:rPr/>
        <w:t>500</w:t>
      </w:r>
      <w:r>
        <w:rPr>
          <w:spacing w:val="-13"/>
        </w:rPr>
        <w:t> 号城建国际中心 </w:t>
      </w:r>
      <w:r>
        <w:rPr/>
        <w:t>23</w:t>
      </w:r>
      <w:r>
        <w:rPr>
          <w:spacing w:val="-35"/>
        </w:rPr>
        <w:t> 楼</w:t>
      </w:r>
      <w:r>
        <w:rPr/>
        <w:t>法定代表人：张晓蕾</w:t>
      </w:r>
    </w:p>
    <w:p>
      <w:pPr>
        <w:pStyle w:val="BodyText"/>
        <w:spacing w:line="268" w:lineRule="exact"/>
      </w:pPr>
      <w:r>
        <w:rPr/>
        <w:t>联系人：闵成</w:t>
      </w:r>
    </w:p>
    <w:p>
      <w:pPr>
        <w:pStyle w:val="BodyText"/>
        <w:spacing w:before="138"/>
      </w:pPr>
      <w:r>
        <w:rPr/>
        <w:t>联系电话： 021-50162375</w:t>
      </w:r>
    </w:p>
    <w:p>
      <w:pPr>
        <w:pStyle w:val="BodyText"/>
        <w:spacing w:line="364" w:lineRule="auto" w:before="140"/>
        <w:ind w:right="955"/>
      </w:pPr>
      <w:r>
        <w:rPr/>
        <w:t>客户服务电话：400-888-8083、(86-755) 2589-2333（港、澳、台及海外地区） 传真：021-58769989</w:t>
      </w:r>
    </w:p>
    <w:p>
      <w:pPr>
        <w:pStyle w:val="BodyText"/>
        <w:spacing w:line="268" w:lineRule="exact"/>
      </w:pPr>
      <w:hyperlink r:id="rId92">
        <w:r>
          <w:rPr/>
          <w:t>网址： www.sc.com/cn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浙江稠州商业银行股份有限公司</w:t>
      </w:r>
    </w:p>
    <w:p>
      <w:pPr>
        <w:pStyle w:val="BodyText"/>
        <w:spacing w:line="364" w:lineRule="auto" w:before="140"/>
        <w:ind w:right="38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5785"/>
      </w:pPr>
      <w:r>
        <w:rPr/>
        <w:t>客户服务电话：0571-96527 传真：0571-87117607</w:t>
      </w:r>
    </w:p>
    <w:p>
      <w:pPr>
        <w:pStyle w:val="BodyText"/>
        <w:spacing w:line="268" w:lineRule="exact"/>
      </w:pPr>
      <w:hyperlink r:id="rId93">
        <w:r>
          <w:rPr/>
          <w:t>网址：http://www.czcb.com.cn/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浙江泰隆商业银行股份有限公司</w:t>
      </w:r>
    </w:p>
    <w:p>
      <w:pPr>
        <w:pStyle w:val="BodyText"/>
        <w:spacing w:line="364" w:lineRule="auto" w:before="140"/>
        <w:ind w:right="38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39"/>
        <w:ind w:right="6205"/>
      </w:pPr>
      <w:r>
        <w:rPr/>
        <w:t>客户服务电话：95347 </w:t>
      </w:r>
      <w:hyperlink r:id="rId94">
        <w:r>
          <w:rPr/>
          <w:t>网址：www.zjtlcb.com</w:t>
        </w:r>
      </w:hyperlink>
    </w:p>
    <w:p>
      <w:pPr>
        <w:pStyle w:val="ListParagraph"/>
        <w:numPr>
          <w:ilvl w:val="1"/>
          <w:numId w:val="8"/>
        </w:numPr>
        <w:tabs>
          <w:tab w:pos="1345" w:val="left" w:leader="none"/>
        </w:tabs>
        <w:spacing w:line="268" w:lineRule="exact" w:before="0" w:after="0"/>
        <w:ind w:left="1345" w:right="0" w:hanging="525"/>
        <w:jc w:val="left"/>
        <w:rPr>
          <w:sz w:val="21"/>
        </w:rPr>
      </w:pPr>
      <w:r>
        <w:rPr>
          <w:sz w:val="21"/>
        </w:rPr>
        <w:t>郑州银行股份有限公司</w:t>
      </w:r>
    </w:p>
    <w:p>
      <w:pPr>
        <w:pStyle w:val="BodyText"/>
        <w:spacing w:line="364" w:lineRule="auto" w:before="140"/>
        <w:ind w:right="3580"/>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联系人：庞骏</w:t>
      </w:r>
    </w:p>
    <w:p>
      <w:pPr>
        <w:pStyle w:val="BodyText"/>
        <w:spacing w:before="139"/>
      </w:pPr>
      <w:r>
        <w:rPr/>
        <w:t>联系电话：0371-67009917</w:t>
      </w:r>
    </w:p>
    <w:p>
      <w:pPr>
        <w:pStyle w:val="BodyText"/>
        <w:spacing w:line="364" w:lineRule="auto" w:before="140"/>
        <w:ind w:right="6310"/>
      </w:pPr>
      <w:r>
        <w:rPr/>
        <w:t>客户服务电话：95097 传真：0371-67009097</w:t>
      </w:r>
    </w:p>
    <w:p>
      <w:pPr>
        <w:spacing w:after="0" w:line="364" w:lineRule="auto"/>
        <w:sectPr>
          <w:pgSz w:w="11910" w:h="16840"/>
          <w:pgMar w:header="0" w:footer="910" w:top="1380" w:bottom="1180" w:left="1400" w:right="1380"/>
        </w:sectPr>
      </w:pPr>
    </w:p>
    <w:p>
      <w:pPr>
        <w:pStyle w:val="BodyText"/>
        <w:spacing w:before="45"/>
      </w:pPr>
      <w:hyperlink r:id="rId95">
        <w:r>
          <w:rPr/>
          <w:t>网址：http://www.zzbank.cn/</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中原银行股份有限公司</w:t>
      </w:r>
    </w:p>
    <w:p>
      <w:pPr>
        <w:pStyle w:val="BodyText"/>
        <w:spacing w:line="364" w:lineRule="auto" w:before="140"/>
        <w:ind w:right="19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96">
        <w:r>
          <w:rPr/>
          <w:t>网址：www.zybank.com.cn</w:t>
        </w:r>
      </w:hyperlink>
    </w:p>
    <w:p>
      <w:pPr>
        <w:pStyle w:val="ListParagraph"/>
        <w:numPr>
          <w:ilvl w:val="1"/>
          <w:numId w:val="8"/>
        </w:numPr>
        <w:tabs>
          <w:tab w:pos="1345" w:val="left" w:leader="none"/>
        </w:tabs>
        <w:spacing w:line="364" w:lineRule="auto" w:before="140" w:after="0"/>
        <w:ind w:left="820" w:right="4630" w:firstLine="0"/>
        <w:jc w:val="left"/>
        <w:rPr>
          <w:sz w:val="21"/>
        </w:rPr>
      </w:pPr>
      <w:r>
        <w:rPr>
          <w:sz w:val="21"/>
        </w:rPr>
        <w:t>重庆农村商业银行股份有限公司 </w:t>
      </w:r>
      <w:r>
        <w:rPr>
          <w:spacing w:val="-4"/>
          <w:sz w:val="21"/>
        </w:rPr>
        <w:t>注册地址：重庆市江北区金沙门路 </w:t>
      </w:r>
      <w:r>
        <w:rPr>
          <w:sz w:val="21"/>
        </w:rPr>
        <w:t>36</w:t>
      </w:r>
      <w:r>
        <w:rPr>
          <w:spacing w:val="-36"/>
          <w:sz w:val="21"/>
        </w:rPr>
        <w:t> 号</w:t>
      </w:r>
      <w:r>
        <w:rPr>
          <w:spacing w:val="-4"/>
          <w:sz w:val="21"/>
        </w:rPr>
        <w:t>办公地址：重庆市江北区金沙门路 </w:t>
      </w:r>
      <w:r>
        <w:rPr>
          <w:sz w:val="21"/>
        </w:rPr>
        <w:t>36</w:t>
      </w:r>
      <w:r>
        <w:rPr>
          <w:spacing w:val="-36"/>
          <w:sz w:val="21"/>
        </w:rPr>
        <w:t> 号</w:t>
      </w:r>
      <w:r>
        <w:rPr>
          <w:sz w:val="21"/>
        </w:rPr>
        <w:t>法定代表人：刘建忠</w:t>
      </w:r>
    </w:p>
    <w:p>
      <w:pPr>
        <w:pStyle w:val="BodyText"/>
        <w:spacing w:line="267" w:lineRule="exact"/>
      </w:pPr>
      <w:r>
        <w:rPr/>
        <w:t>联系人：范亮</w:t>
      </w:r>
    </w:p>
    <w:p>
      <w:pPr>
        <w:pStyle w:val="BodyText"/>
        <w:spacing w:before="139"/>
      </w:pPr>
      <w:r>
        <w:rPr/>
        <w:t>联系电话：023-61110146</w:t>
      </w:r>
    </w:p>
    <w:p>
      <w:pPr>
        <w:pStyle w:val="BodyText"/>
        <w:spacing w:line="364" w:lineRule="auto" w:before="139"/>
        <w:ind w:right="6310"/>
      </w:pPr>
      <w:r>
        <w:rPr/>
        <w:t>客户服务电话</w:t>
      </w:r>
      <w:r>
        <w:rPr>
          <w:spacing w:val="-4"/>
        </w:rPr>
        <w:t>：95389 </w:t>
      </w:r>
      <w:r>
        <w:rPr/>
        <w:t>传真：023-61110146</w:t>
      </w:r>
    </w:p>
    <w:p>
      <w:pPr>
        <w:pStyle w:val="BodyText"/>
        <w:spacing w:line="268" w:lineRule="exact"/>
      </w:pPr>
      <w:hyperlink r:id="rId97">
        <w:r>
          <w:rPr/>
          <w:t>网址：www.cqrcb.com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珠海华润银行股份有限公司</w:t>
      </w:r>
    </w:p>
    <w:p>
      <w:pPr>
        <w:pStyle w:val="BodyText"/>
        <w:spacing w:before="139"/>
      </w:pPr>
      <w:r>
        <w:rPr>
          <w:spacing w:val="-3"/>
        </w:rPr>
        <w:t>注册地址：广东省珠海市吉大九洲大道东 </w:t>
      </w:r>
      <w:r>
        <w:rPr/>
        <w:t>1346</w:t>
      </w:r>
      <w:r>
        <w:rPr>
          <w:spacing w:val="-27"/>
        </w:rPr>
        <w:t> 号</w:t>
      </w:r>
    </w:p>
    <w:p>
      <w:pPr>
        <w:pStyle w:val="BodyText"/>
        <w:spacing w:line="364" w:lineRule="auto" w:before="140"/>
        <w:ind w:right="21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98">
        <w:r>
          <w:rPr/>
          <w:t>网址：www.crbank.com.cn</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安信证券股份有限公司</w:t>
      </w:r>
    </w:p>
    <w:p>
      <w:pPr>
        <w:pStyle w:val="BodyText"/>
        <w:spacing w:line="364" w:lineRule="auto" w:before="139"/>
        <w:ind w:right="17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pPr>
      <w:r>
        <w:rPr/>
        <w:t>联系人：陈剑虹</w:t>
      </w:r>
    </w:p>
    <w:p>
      <w:pPr>
        <w:pStyle w:val="BodyText"/>
        <w:spacing w:before="138"/>
      </w:pPr>
      <w:r>
        <w:rPr/>
        <w:t>联系电话：0755-82825551</w:t>
      </w:r>
    </w:p>
    <w:p>
      <w:pPr>
        <w:pStyle w:val="BodyText"/>
        <w:spacing w:before="140"/>
      </w:pPr>
      <w:r>
        <w:rPr/>
        <w:t>客户服务电话：95517</w:t>
      </w:r>
    </w:p>
    <w:p>
      <w:pPr>
        <w:spacing w:after="0"/>
        <w:sectPr>
          <w:pgSz w:w="11910" w:h="16840"/>
          <w:pgMar w:header="0" w:footer="910" w:top="1380" w:bottom="1180" w:left="1400" w:right="1380"/>
        </w:sectPr>
      </w:pPr>
    </w:p>
    <w:p>
      <w:pPr>
        <w:pStyle w:val="BodyText"/>
        <w:spacing w:before="45"/>
      </w:pPr>
      <w:r>
        <w:rPr/>
        <w:t>传真：0755-82558355</w:t>
      </w:r>
    </w:p>
    <w:p>
      <w:pPr>
        <w:pStyle w:val="BodyText"/>
        <w:spacing w:before="139"/>
      </w:pPr>
      <w:hyperlink r:id="rId99">
        <w:r>
          <w:rPr/>
          <w:t>网址：www.essence.com.cn</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渤海证券股份有限公司</w:t>
      </w:r>
    </w:p>
    <w:p>
      <w:pPr>
        <w:pStyle w:val="BodyText"/>
        <w:spacing w:line="364" w:lineRule="auto" w:before="139"/>
        <w:ind w:right="25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15"/>
      </w:pPr>
      <w:r>
        <w:rPr/>
        <w:t>法定代表人：安志勇联系人：王星</w:t>
      </w:r>
    </w:p>
    <w:p>
      <w:pPr>
        <w:pStyle w:val="BodyText"/>
        <w:spacing w:line="268" w:lineRule="exact"/>
      </w:pPr>
      <w:r>
        <w:rPr/>
        <w:t>联系电话：022-28451922</w:t>
      </w:r>
    </w:p>
    <w:p>
      <w:pPr>
        <w:pStyle w:val="BodyText"/>
        <w:spacing w:line="364" w:lineRule="auto" w:before="139"/>
        <w:ind w:right="5575"/>
      </w:pPr>
      <w:r>
        <w:rPr/>
        <w:t>客户服务电话：400-651-5988 传真：022-28451892</w:t>
      </w:r>
    </w:p>
    <w:p>
      <w:pPr>
        <w:pStyle w:val="BodyText"/>
        <w:spacing w:line="268" w:lineRule="exact"/>
      </w:pPr>
      <w:hyperlink r:id="rId100">
        <w:r>
          <w:rPr/>
          <w:t>网址：www.ewww.com.cn</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财达证券股份有限公司</w:t>
      </w:r>
    </w:p>
    <w:p>
      <w:pPr>
        <w:pStyle w:val="BodyText"/>
        <w:spacing w:before="140"/>
      </w:pPr>
      <w:r>
        <w:rPr/>
        <w:t>注册地址：河北省石家庄市桥西区自强路 35 号</w:t>
      </w:r>
    </w:p>
    <w:p>
      <w:pPr>
        <w:pStyle w:val="BodyText"/>
        <w:spacing w:line="364" w:lineRule="auto" w:before="139"/>
        <w:ind w:right="19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6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01">
        <w:r>
          <w:rPr/>
          <w:t>网址：www.s10000.com</w:t>
        </w:r>
      </w:hyperlink>
    </w:p>
    <w:p>
      <w:pPr>
        <w:pStyle w:val="ListParagraph"/>
        <w:numPr>
          <w:ilvl w:val="1"/>
          <w:numId w:val="8"/>
        </w:numPr>
        <w:tabs>
          <w:tab w:pos="1345" w:val="left" w:leader="none"/>
        </w:tabs>
        <w:spacing w:line="240" w:lineRule="auto" w:before="139" w:after="0"/>
        <w:ind w:left="1345" w:right="0" w:hanging="525"/>
        <w:jc w:val="both"/>
        <w:rPr>
          <w:sz w:val="21"/>
        </w:rPr>
      </w:pPr>
      <w:r>
        <w:rPr>
          <w:sz w:val="21"/>
        </w:rPr>
        <w:t>财通证券股份有限公司</w:t>
      </w:r>
    </w:p>
    <w:p>
      <w:pPr>
        <w:pStyle w:val="BodyText"/>
        <w:spacing w:line="364" w:lineRule="auto" w:before="140"/>
        <w:ind w:right="45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39"/>
        <w:ind w:right="5785"/>
      </w:pPr>
      <w:r>
        <w:rPr>
          <w:spacing w:val="-1"/>
        </w:rPr>
        <w:t>联系电话</w:t>
      </w:r>
      <w:r>
        <w:rPr/>
        <w:t>：0571－87789160 客户服务电话：95336</w:t>
      </w:r>
    </w:p>
    <w:p>
      <w:pPr>
        <w:pStyle w:val="BodyText"/>
        <w:spacing w:line="268" w:lineRule="exact"/>
      </w:pPr>
      <w:hyperlink r:id="rId102">
        <w:r>
          <w:rPr/>
          <w:t>网址：www.ctsec.com</w:t>
        </w:r>
      </w:hyperlink>
    </w:p>
    <w:p>
      <w:pPr>
        <w:pStyle w:val="ListParagraph"/>
        <w:numPr>
          <w:ilvl w:val="1"/>
          <w:numId w:val="8"/>
        </w:numPr>
        <w:tabs>
          <w:tab w:pos="1345" w:val="left" w:leader="none"/>
        </w:tabs>
        <w:spacing w:line="240" w:lineRule="auto" w:before="140" w:after="0"/>
        <w:ind w:left="1345" w:right="0" w:hanging="525"/>
        <w:jc w:val="both"/>
        <w:rPr>
          <w:sz w:val="21"/>
        </w:rPr>
      </w:pPr>
      <w:r>
        <w:rPr>
          <w:sz w:val="21"/>
        </w:rPr>
        <w:t>财信证券有限责任公司</w:t>
      </w:r>
    </w:p>
    <w:p>
      <w:pPr>
        <w:pStyle w:val="BodyText"/>
        <w:spacing w:before="139"/>
      </w:pPr>
      <w:r>
        <w:rPr/>
        <w:t>注册地址：长沙市芙蓉中路二段 80 号顺天国际财富中心 26 层</w:t>
      </w:r>
    </w:p>
    <w:p>
      <w:pPr>
        <w:pStyle w:val="BodyText"/>
        <w:spacing w:line="364" w:lineRule="auto" w:before="140"/>
        <w:ind w:right="23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spacing w:after="0"/>
        <w:sectPr>
          <w:pgSz w:w="11910" w:h="16840"/>
          <w:pgMar w:header="0" w:footer="910" w:top="1380" w:bottom="1180" w:left="1400" w:right="1380"/>
        </w:sectPr>
      </w:pPr>
    </w:p>
    <w:p>
      <w:pPr>
        <w:pStyle w:val="BodyText"/>
        <w:spacing w:line="364" w:lineRule="auto" w:before="45"/>
        <w:ind w:right="6310"/>
      </w:pPr>
      <w:r>
        <w:rPr/>
        <w:t>客户服务电话</w:t>
      </w:r>
      <w:r>
        <w:rPr>
          <w:spacing w:val="-4"/>
        </w:rPr>
        <w:t>：95317 </w:t>
      </w:r>
      <w:r>
        <w:rPr>
          <w:spacing w:val="-2"/>
        </w:rPr>
        <w:t>传真：0731-84403439</w:t>
      </w:r>
    </w:p>
    <w:p>
      <w:pPr>
        <w:pStyle w:val="BodyText"/>
        <w:spacing w:line="268" w:lineRule="exact"/>
      </w:pPr>
      <w:hyperlink r:id="rId103">
        <w:r>
          <w:rPr/>
          <w:t>网址：www.cfzq.com</w:t>
        </w:r>
      </w:hyperlink>
    </w:p>
    <w:p>
      <w:pPr>
        <w:pStyle w:val="ListParagraph"/>
        <w:numPr>
          <w:ilvl w:val="1"/>
          <w:numId w:val="8"/>
        </w:numPr>
        <w:tabs>
          <w:tab w:pos="1345" w:val="left" w:leader="none"/>
        </w:tabs>
        <w:spacing w:line="240" w:lineRule="auto" w:before="139" w:after="0"/>
        <w:ind w:left="1345" w:right="0" w:hanging="525"/>
        <w:jc w:val="left"/>
        <w:rPr>
          <w:sz w:val="21"/>
        </w:rPr>
      </w:pPr>
      <w:r>
        <w:rPr>
          <w:sz w:val="21"/>
        </w:rPr>
        <w:t>长城国瑞证券有限公司</w:t>
      </w:r>
    </w:p>
    <w:p>
      <w:pPr>
        <w:pStyle w:val="BodyText"/>
        <w:spacing w:before="140"/>
      </w:pPr>
      <w:r>
        <w:rPr/>
        <w:t>注册地址：厦门市思明区莲前西路 2 号莲富大厦 17 楼</w:t>
      </w:r>
    </w:p>
    <w:p>
      <w:pPr>
        <w:pStyle w:val="BodyText"/>
        <w:spacing w:line="364" w:lineRule="auto" w:before="139"/>
        <w:ind w:right="30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5575"/>
      </w:pPr>
      <w:r>
        <w:rPr/>
        <w:t>客户服务电话</w:t>
      </w:r>
      <w:r>
        <w:rPr>
          <w:spacing w:val="-2"/>
        </w:rPr>
        <w:t>：400-0099-886 </w:t>
      </w:r>
      <w:r>
        <w:rPr/>
        <w:t>传真：0592-2079602</w:t>
      </w:r>
    </w:p>
    <w:p>
      <w:pPr>
        <w:pStyle w:val="BodyText"/>
        <w:spacing w:line="268" w:lineRule="exact"/>
      </w:pPr>
      <w:hyperlink r:id="rId104">
        <w:r>
          <w:rPr/>
          <w:t>网址：www.gwgsc.com</w:t>
        </w:r>
      </w:hyperlink>
    </w:p>
    <w:p>
      <w:pPr>
        <w:pStyle w:val="ListParagraph"/>
        <w:numPr>
          <w:ilvl w:val="1"/>
          <w:numId w:val="8"/>
        </w:numPr>
        <w:tabs>
          <w:tab w:pos="1345" w:val="left" w:leader="none"/>
        </w:tabs>
        <w:spacing w:line="240" w:lineRule="auto" w:before="140" w:after="0"/>
        <w:ind w:left="1345" w:right="0" w:hanging="525"/>
        <w:jc w:val="left"/>
        <w:rPr>
          <w:sz w:val="21"/>
        </w:rPr>
      </w:pPr>
      <w:r>
        <w:rPr>
          <w:sz w:val="21"/>
        </w:rPr>
        <w:t>长城证券股份有限公司</w:t>
      </w:r>
    </w:p>
    <w:p>
      <w:pPr>
        <w:pStyle w:val="BodyText"/>
        <w:spacing w:before="139"/>
      </w:pPr>
      <w:r>
        <w:rPr/>
        <w:t>注册地址：深圳市福田区福田街道金田路 2026 号能源大厦南塔楼 10-19 层</w:t>
      </w:r>
    </w:p>
    <w:p>
      <w:pPr>
        <w:pStyle w:val="BodyText"/>
        <w:spacing w:line="364" w:lineRule="auto" w:before="139"/>
        <w:ind w:right="6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105">
        <w:r>
          <w:rPr/>
          <w:t>网址：www.cgws.com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长江证券股份有限公司</w:t>
      </w:r>
    </w:p>
    <w:p>
      <w:pPr>
        <w:pStyle w:val="BodyText"/>
        <w:spacing w:line="364" w:lineRule="auto" w:before="139"/>
        <w:ind w:right="47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39"/>
      </w:pPr>
      <w:r>
        <w:rPr/>
        <w:t>传真：027-85481900</w:t>
      </w:r>
    </w:p>
    <w:p>
      <w:pPr>
        <w:pStyle w:val="BodyText"/>
        <w:spacing w:before="140"/>
      </w:pPr>
      <w:hyperlink r:id="rId106">
        <w:r>
          <w:rPr/>
          <w:t>网址：www.95579.com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川财证券有限责任公司</w:t>
      </w:r>
    </w:p>
    <w:p>
      <w:pPr>
        <w:pStyle w:val="BodyText"/>
        <w:spacing w:before="140"/>
      </w:pPr>
      <w:r>
        <w:rPr/>
        <w:t>注册地址：中国（四川）自由贸易试验区成都高新区交子大道 177 号中海国际中心 B</w:t>
      </w:r>
    </w:p>
    <w:p>
      <w:pPr>
        <w:pStyle w:val="BodyText"/>
        <w:spacing w:before="139"/>
        <w:ind w:left="400"/>
      </w:pPr>
      <w:r>
        <w:rPr/>
        <w:t>座 17 楼</w:t>
      </w:r>
    </w:p>
    <w:p>
      <w:pPr>
        <w:pStyle w:val="BodyText"/>
        <w:spacing w:before="140"/>
      </w:pPr>
      <w:r>
        <w:rPr/>
        <w:t>办公地址：四川省成都高新区交子大道 177 号中海国际中心 B 座 17 楼</w:t>
      </w:r>
    </w:p>
    <w:p>
      <w:pPr>
        <w:spacing w:after="0"/>
        <w:sectPr>
          <w:pgSz w:w="11910" w:h="16840"/>
          <w:pgMar w:header="0" w:footer="910" w:top="1380" w:bottom="1180" w:left="1400" w:right="1380"/>
        </w:sectPr>
      </w:pPr>
    </w:p>
    <w:p>
      <w:pPr>
        <w:pStyle w:val="BodyText"/>
        <w:spacing w:line="364" w:lineRule="auto" w:before="45"/>
        <w:ind w:right="6415"/>
      </w:pPr>
      <w:r>
        <w:rPr/>
        <w:t>法定代表人：金树成联系人：匡婷</w:t>
      </w:r>
    </w:p>
    <w:p>
      <w:pPr>
        <w:pStyle w:val="BodyText"/>
        <w:spacing w:line="268" w:lineRule="exact"/>
      </w:pPr>
      <w:r>
        <w:rPr/>
        <w:t>联系电话：028-86583053</w:t>
      </w:r>
    </w:p>
    <w:p>
      <w:pPr>
        <w:pStyle w:val="BodyText"/>
        <w:spacing w:line="364" w:lineRule="auto" w:before="139"/>
        <w:ind w:right="5785"/>
      </w:pPr>
      <w:r>
        <w:rPr/>
        <w:t>客户服务电话：028-962708 </w:t>
      </w:r>
      <w:hyperlink r:id="rId107">
        <w:r>
          <w:rPr/>
          <w:t>网址：www.cczq.com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大通证券股份有限公司</w:t>
      </w:r>
    </w:p>
    <w:p>
      <w:pPr>
        <w:pStyle w:val="BodyText"/>
        <w:spacing w:before="140"/>
      </w:pPr>
      <w:r>
        <w:rPr/>
        <w:t>注册地址：辽宁省大连市沙河口区会展路129 号大连国际金融中心A 座-大连期货大厦38、</w:t>
      </w:r>
    </w:p>
    <w:p>
      <w:pPr>
        <w:pStyle w:val="BodyText"/>
        <w:spacing w:before="139"/>
        <w:ind w:left="400"/>
      </w:pPr>
      <w:r>
        <w:rPr/>
        <w:t>39 层</w:t>
      </w:r>
    </w:p>
    <w:p>
      <w:pPr>
        <w:pStyle w:val="BodyText"/>
        <w:spacing w:before="140"/>
      </w:pPr>
      <w:r>
        <w:rPr/>
        <w:t>办公地址：辽宁省大连市沙河口区会展路129 号大连国际金融中心A 座-大连期货大厦38、</w:t>
      </w:r>
    </w:p>
    <w:p>
      <w:pPr>
        <w:pStyle w:val="BodyText"/>
        <w:spacing w:before="139"/>
        <w:ind w:left="400"/>
      </w:pPr>
      <w:r>
        <w:rPr/>
        <w:t>39 层</w:t>
      </w:r>
    </w:p>
    <w:p>
      <w:pPr>
        <w:pStyle w:val="BodyText"/>
        <w:spacing w:line="364" w:lineRule="auto" w:before="140"/>
        <w:ind w:right="6625"/>
      </w:pPr>
      <w:r>
        <w:rPr/>
        <w:t>法定代表人：赵玺联系人：谢立军</w:t>
      </w:r>
    </w:p>
    <w:p>
      <w:pPr>
        <w:pStyle w:val="BodyText"/>
        <w:spacing w:line="268" w:lineRule="exact"/>
      </w:pPr>
      <w:r>
        <w:rPr/>
        <w:t>联系电话：0411-39991807</w:t>
      </w:r>
    </w:p>
    <w:p>
      <w:pPr>
        <w:pStyle w:val="BodyText"/>
        <w:spacing w:line="364" w:lineRule="auto" w:before="139"/>
        <w:ind w:right="5575"/>
      </w:pPr>
      <w:r>
        <w:rPr/>
        <w:t>客户服务电话：4008-169-169 传真：0411-39673214</w:t>
      </w:r>
    </w:p>
    <w:p>
      <w:pPr>
        <w:pStyle w:val="BodyText"/>
        <w:spacing w:line="268" w:lineRule="exact"/>
      </w:pPr>
      <w:hyperlink r:id="rId108">
        <w:r>
          <w:rPr/>
          <w:t>网址：www.daton.com.cn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大同证券有限责任公司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6625"/>
      </w:pPr>
      <w:r>
        <w:rPr/>
        <w:t>法定代表人：董祥联系人：薛津</w:t>
      </w:r>
    </w:p>
    <w:p>
      <w:pPr>
        <w:pStyle w:val="BodyText"/>
        <w:spacing w:line="268" w:lineRule="exact"/>
      </w:pPr>
      <w:r>
        <w:rPr/>
        <w:t>联系电话：0351-4130322</w:t>
      </w:r>
    </w:p>
    <w:p>
      <w:pPr>
        <w:pStyle w:val="BodyText"/>
        <w:spacing w:line="364" w:lineRule="auto" w:before="139"/>
        <w:ind w:right="5785"/>
      </w:pPr>
      <w:r>
        <w:rPr/>
        <w:t>客户服务电话：4007121212 传真：0351-7219891</w:t>
      </w:r>
    </w:p>
    <w:p>
      <w:pPr>
        <w:pStyle w:val="BodyText"/>
        <w:spacing w:line="268" w:lineRule="exact"/>
      </w:pPr>
      <w:hyperlink r:id="rId109">
        <w:r>
          <w:rPr/>
          <w:t>网址：www.dtsbc.com.cn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德邦证券股份有限公司</w:t>
      </w:r>
    </w:p>
    <w:p>
      <w:pPr>
        <w:pStyle w:val="BodyText"/>
        <w:spacing w:line="364" w:lineRule="auto" w:before="139"/>
        <w:ind w:right="35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575"/>
      </w:pPr>
      <w:r>
        <w:rPr/>
        <w:t>客户服务电话：400-8888-128 传真：021-68767880</w:t>
      </w:r>
    </w:p>
    <w:p>
      <w:pPr>
        <w:pStyle w:val="BodyText"/>
        <w:spacing w:line="268" w:lineRule="exact"/>
      </w:pPr>
      <w:hyperlink r:id="rId110">
        <w:r>
          <w:rPr/>
          <w:t>网址：http://www.tebon.com.cn</w:t>
        </w:r>
      </w:hyperlink>
    </w:p>
    <w:p>
      <w:pPr>
        <w:spacing w:after="0" w:line="268" w:lineRule="exact"/>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both"/>
        <w:rPr>
          <w:sz w:val="21"/>
        </w:rPr>
      </w:pPr>
      <w:r>
        <w:rPr>
          <w:sz w:val="21"/>
        </w:rPr>
        <w:t>第一创业证券股份有限公司</w:t>
      </w:r>
    </w:p>
    <w:p>
      <w:pPr>
        <w:pStyle w:val="BodyText"/>
        <w:spacing w:line="364" w:lineRule="auto" w:before="139"/>
        <w:ind w:right="31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11">
        <w:r>
          <w:rPr/>
          <w:t>网址：www.firstcapital.com.cn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东北证券股份有限公司</w:t>
      </w:r>
    </w:p>
    <w:p>
      <w:pPr>
        <w:pStyle w:val="BodyText"/>
        <w:spacing w:line="364" w:lineRule="auto" w:before="140"/>
        <w:ind w:right="50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39"/>
        <w:ind w:right="6310"/>
      </w:pPr>
      <w:r>
        <w:rPr/>
        <w:t>客户服务电话：95360 传真：0431-85096795</w:t>
      </w:r>
    </w:p>
    <w:p>
      <w:pPr>
        <w:pStyle w:val="BodyText"/>
        <w:spacing w:line="268" w:lineRule="exact"/>
      </w:pPr>
      <w:hyperlink r:id="rId112">
        <w:r>
          <w:rPr/>
          <w:t>网址：www.nesc.cn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东方证券股份有限公司</w:t>
      </w:r>
    </w:p>
    <w:p>
      <w:pPr>
        <w:pStyle w:val="BodyText"/>
        <w:spacing w:before="139"/>
      </w:pPr>
      <w:r>
        <w:rPr/>
        <w:t>注册地址：上海市黄浦区中山南路 119 号东方证券大厦</w:t>
      </w:r>
    </w:p>
    <w:p>
      <w:pPr>
        <w:pStyle w:val="BodyText"/>
        <w:spacing w:line="364" w:lineRule="auto" w:before="140"/>
        <w:ind w:right="2056"/>
      </w:pP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310"/>
      </w:pPr>
      <w:r>
        <w:rPr/>
        <w:t>客户服务电话：95503 传真：021-63326729</w:t>
      </w:r>
    </w:p>
    <w:p>
      <w:pPr>
        <w:pStyle w:val="BodyText"/>
        <w:spacing w:line="268" w:lineRule="exact"/>
      </w:pPr>
      <w:hyperlink r:id="rId113">
        <w:r>
          <w:rPr/>
          <w:t>网址：http://www.dfzq.com.cn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东莞证券股份有限公司</w:t>
      </w:r>
    </w:p>
    <w:p>
      <w:pPr>
        <w:pStyle w:val="BodyText"/>
        <w:spacing w:before="140"/>
      </w:pPr>
      <w:r>
        <w:rPr/>
        <w:t>注册地址：东莞市莞城区可园南路一号</w:t>
      </w:r>
    </w:p>
    <w:p>
      <w:pPr>
        <w:pStyle w:val="BodyText"/>
        <w:spacing w:line="364" w:lineRule="auto" w:before="139"/>
        <w:ind w:right="33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310"/>
      </w:pPr>
      <w:r>
        <w:rPr/>
        <w:t>客户服务电话：95328 传真：0769-22115712</w:t>
      </w:r>
    </w:p>
    <w:p>
      <w:pPr>
        <w:spacing w:after="0" w:line="364" w:lineRule="auto"/>
        <w:sectPr>
          <w:pgSz w:w="11910" w:h="16840"/>
          <w:pgMar w:header="0" w:footer="910" w:top="1380" w:bottom="1180" w:left="1400" w:right="1380"/>
        </w:sectPr>
      </w:pPr>
    </w:p>
    <w:p>
      <w:pPr>
        <w:pStyle w:val="BodyText"/>
        <w:spacing w:before="45"/>
      </w:pPr>
      <w:hyperlink r:id="rId114">
        <w:r>
          <w:rPr/>
          <w:t>网址：www.dgzq.com.cn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东海证券股份有限公司</w:t>
      </w:r>
    </w:p>
    <w:p>
      <w:pPr>
        <w:pStyle w:val="BodyText"/>
        <w:spacing w:line="364" w:lineRule="auto" w:before="140"/>
        <w:ind w:right="31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4840"/>
      </w:pPr>
      <w:r>
        <w:rPr/>
        <w:t>客户服务电话：95531、400-8888-588 传真：021-50498825</w:t>
      </w:r>
    </w:p>
    <w:p>
      <w:pPr>
        <w:pStyle w:val="BodyText"/>
        <w:spacing w:line="268" w:lineRule="exact"/>
      </w:pPr>
      <w:hyperlink r:id="rId115">
        <w:r>
          <w:rPr/>
          <w:t>网址：www.longone.com.cn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东吴证券股份有限公司</w:t>
      </w:r>
    </w:p>
    <w:p>
      <w:pPr>
        <w:pStyle w:val="BodyText"/>
        <w:spacing w:line="364" w:lineRule="auto" w:before="140"/>
        <w:ind w:right="49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39"/>
        <w:ind w:right="6310"/>
      </w:pPr>
      <w:r>
        <w:rPr/>
        <w:t>客户服务电话：95330 传真：0512-65588021</w:t>
      </w:r>
    </w:p>
    <w:p>
      <w:pPr>
        <w:pStyle w:val="BodyText"/>
        <w:spacing w:line="268" w:lineRule="exact"/>
      </w:pPr>
      <w:hyperlink r:id="rId116">
        <w:r>
          <w:rPr/>
          <w:t>网址：www.dwzq.com.cn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东兴证券股份有限公司</w:t>
      </w:r>
    </w:p>
    <w:p>
      <w:pPr>
        <w:pStyle w:val="BodyText"/>
        <w:spacing w:before="139"/>
      </w:pPr>
      <w:r>
        <w:rPr/>
        <w:t>注册地址：北京市西城区金融大街 5 号（新盛大厦）12、15 层</w:t>
      </w:r>
    </w:p>
    <w:p>
      <w:pPr>
        <w:pStyle w:val="BodyText"/>
        <w:spacing w:line="364" w:lineRule="auto" w:before="140"/>
        <w:ind w:right="15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6310"/>
      </w:pPr>
      <w:r>
        <w:rPr/>
        <w:t>客户服务电话</w:t>
      </w:r>
      <w:r>
        <w:rPr>
          <w:spacing w:val="-4"/>
        </w:rPr>
        <w:t>：95309 </w:t>
      </w:r>
      <w:r>
        <w:rPr/>
        <w:t>传真：010-66555133</w:t>
      </w:r>
    </w:p>
    <w:p>
      <w:pPr>
        <w:pStyle w:val="BodyText"/>
        <w:spacing w:line="268" w:lineRule="exact"/>
      </w:pPr>
      <w:hyperlink r:id="rId117">
        <w:r>
          <w:rPr/>
          <w:t>网址：www.dxzq.net</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方正证券股份有限公司</w:t>
      </w:r>
    </w:p>
    <w:p>
      <w:pPr>
        <w:pStyle w:val="BodyText"/>
        <w:spacing w:before="140"/>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39"/>
        <w:ind w:right="6625"/>
      </w:pPr>
      <w:r>
        <w:rPr/>
        <w:t>法定代表人：施华联系人：丁敏</w:t>
      </w:r>
    </w:p>
    <w:p>
      <w:pPr>
        <w:pStyle w:val="BodyText"/>
        <w:spacing w:line="268" w:lineRule="exact"/>
      </w:pPr>
      <w:r>
        <w:rPr/>
        <w:t>联系电话：010-59355997</w:t>
      </w:r>
    </w:p>
    <w:p>
      <w:pPr>
        <w:spacing w:after="0" w:line="268" w:lineRule="exact"/>
        <w:sectPr>
          <w:pgSz w:w="11910" w:h="16840"/>
          <w:pgMar w:header="0" w:footer="910" w:top="1380" w:bottom="1180" w:left="1400" w:right="1380"/>
        </w:sectPr>
      </w:pPr>
    </w:p>
    <w:p>
      <w:pPr>
        <w:pStyle w:val="BodyText"/>
        <w:spacing w:line="364" w:lineRule="auto" w:before="45"/>
        <w:ind w:right="6310"/>
      </w:pPr>
      <w:r>
        <w:rPr/>
        <w:t>客户服务电话：95571 传真：010-56437030</w:t>
      </w:r>
    </w:p>
    <w:p>
      <w:pPr>
        <w:pStyle w:val="BodyText"/>
        <w:spacing w:line="268" w:lineRule="exact"/>
      </w:pPr>
      <w:hyperlink r:id="rId118">
        <w:r>
          <w:rPr/>
          <w:t>网址：www.foundersc.com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光大证券股份有限公司</w:t>
      </w:r>
    </w:p>
    <w:p>
      <w:pPr>
        <w:pStyle w:val="BodyText"/>
        <w:spacing w:line="364" w:lineRule="auto" w:before="140"/>
        <w:ind w:right="46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310"/>
      </w:pPr>
      <w:r>
        <w:rPr/>
        <w:t>客户服务电话：95525 </w:t>
      </w:r>
      <w:hyperlink r:id="rId119">
        <w:r>
          <w:rPr/>
          <w:t>网址：www.ebscn.com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广发证券股份有限公司</w:t>
      </w:r>
    </w:p>
    <w:p>
      <w:pPr>
        <w:pStyle w:val="BodyText"/>
        <w:spacing w:line="364" w:lineRule="auto" w:before="139"/>
        <w:ind w:right="20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15"/>
      </w:pPr>
      <w:r>
        <w:rPr/>
        <w:t>法定代表人：孙树明联系人：黄岚</w:t>
      </w:r>
    </w:p>
    <w:p>
      <w:pPr>
        <w:pStyle w:val="BodyText"/>
        <w:spacing w:line="268" w:lineRule="exact"/>
      </w:pPr>
      <w:r>
        <w:rPr/>
        <w:t>客户服务电话：95575 或 02095575</w:t>
      </w:r>
    </w:p>
    <w:p>
      <w:pPr>
        <w:pStyle w:val="BodyText"/>
        <w:spacing w:before="139"/>
      </w:pPr>
      <w:hyperlink r:id="rId120">
        <w:r>
          <w:rPr/>
          <w:t>网址：www.gf.com.cn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国都证券股份有限公司</w:t>
      </w:r>
    </w:p>
    <w:p>
      <w:pPr>
        <w:pStyle w:val="BodyText"/>
        <w:spacing w:line="364" w:lineRule="auto" w:before="140"/>
        <w:ind w:right="21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39"/>
        <w:ind w:right="5575"/>
      </w:pPr>
      <w:r>
        <w:rPr/>
        <w:t>客户服务电话</w:t>
      </w:r>
      <w:r>
        <w:rPr>
          <w:spacing w:val="-2"/>
        </w:rPr>
        <w:t>：400-818-8118 </w:t>
      </w:r>
      <w:r>
        <w:rPr/>
        <w:t>传真：010-84183311-3122</w:t>
      </w:r>
    </w:p>
    <w:p>
      <w:pPr>
        <w:pStyle w:val="BodyText"/>
        <w:spacing w:line="268" w:lineRule="exact"/>
      </w:pPr>
      <w:hyperlink r:id="rId121">
        <w:r>
          <w:rPr/>
          <w:t>网址：www.guodu.com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国海证券股份有限公司</w:t>
      </w:r>
    </w:p>
    <w:p>
      <w:pPr>
        <w:pStyle w:val="BodyText"/>
        <w:spacing w:before="139"/>
      </w:pPr>
      <w:r>
        <w:rPr/>
        <w:t>注册地址：广西桂林市辅星路 13 号</w:t>
      </w:r>
    </w:p>
    <w:p>
      <w:pPr>
        <w:pStyle w:val="BodyText"/>
        <w:spacing w:line="364" w:lineRule="auto" w:before="140"/>
        <w:ind w:right="326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spacing w:after="0"/>
        <w:sectPr>
          <w:pgSz w:w="11910" w:h="16840"/>
          <w:pgMar w:header="0" w:footer="910" w:top="1380" w:bottom="1180" w:left="1400" w:right="1380"/>
        </w:sectPr>
      </w:pPr>
    </w:p>
    <w:p>
      <w:pPr>
        <w:pStyle w:val="BodyText"/>
        <w:spacing w:before="45"/>
      </w:pPr>
      <w:hyperlink r:id="rId122">
        <w:r>
          <w:rPr/>
          <w:t>网址：www.ghzq.com.cn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国金证券股份有限公司</w:t>
      </w:r>
    </w:p>
    <w:p>
      <w:pPr>
        <w:pStyle w:val="BodyText"/>
        <w:spacing w:before="140"/>
      </w:pPr>
      <w:r>
        <w:rPr/>
        <w:t>注册地址：成都市青羊区东城根上街 95 号</w:t>
      </w:r>
    </w:p>
    <w:p>
      <w:pPr>
        <w:pStyle w:val="BodyText"/>
        <w:spacing w:line="364" w:lineRule="auto" w:before="139"/>
        <w:ind w:right="3580"/>
      </w:pPr>
      <w:r>
        <w:rPr>
          <w:spacing w:val="-4"/>
        </w:rPr>
        <w:t>办公地址：成都市青羊区东城根上街 </w:t>
      </w:r>
      <w:r>
        <w:rPr/>
        <w:t>95</w:t>
      </w:r>
      <w:r>
        <w:rPr>
          <w:spacing w:val="-13"/>
        </w:rPr>
        <w:t> 号成证大厦</w:t>
      </w:r>
      <w:r>
        <w:rPr/>
        <w:t>法定代表人：冉云</w:t>
      </w:r>
    </w:p>
    <w:p>
      <w:pPr>
        <w:pStyle w:val="BodyText"/>
        <w:spacing w:line="364" w:lineRule="auto"/>
        <w:ind w:right="5995"/>
      </w:pPr>
      <w:r>
        <w:rPr/>
        <w:t>联系人：杜晶、黎建平 联系电话</w:t>
      </w:r>
      <w:r>
        <w:rPr>
          <w:spacing w:val="-2"/>
        </w:rPr>
        <w:t>：028-86690057</w:t>
      </w:r>
    </w:p>
    <w:p>
      <w:pPr>
        <w:pStyle w:val="BodyText"/>
        <w:spacing w:line="364" w:lineRule="auto"/>
        <w:ind w:right="6310"/>
      </w:pPr>
      <w:r>
        <w:rPr/>
        <w:t>客户服务电话：95310 传真：028-86690126</w:t>
      </w:r>
    </w:p>
    <w:p>
      <w:pPr>
        <w:pStyle w:val="BodyText"/>
        <w:spacing w:line="268" w:lineRule="exact"/>
      </w:pPr>
      <w:hyperlink r:id="rId123">
        <w:r>
          <w:rPr/>
          <w:t>网址：www.gjzq.com.cn</w:t>
        </w:r>
      </w:hyperlink>
    </w:p>
    <w:p>
      <w:pPr>
        <w:pStyle w:val="ListParagraph"/>
        <w:numPr>
          <w:ilvl w:val="1"/>
          <w:numId w:val="8"/>
        </w:numPr>
        <w:tabs>
          <w:tab w:pos="1450" w:val="left" w:leader="none"/>
        </w:tabs>
        <w:spacing w:line="240" w:lineRule="auto" w:before="138" w:after="0"/>
        <w:ind w:left="1450" w:right="0" w:hanging="630"/>
        <w:jc w:val="left"/>
        <w:rPr>
          <w:sz w:val="21"/>
        </w:rPr>
      </w:pPr>
      <w:r>
        <w:rPr>
          <w:sz w:val="21"/>
        </w:rPr>
        <w:t>国联证券股份有限公司</w:t>
      </w:r>
    </w:p>
    <w:p>
      <w:pPr>
        <w:pStyle w:val="BodyText"/>
        <w:spacing w:before="139"/>
      </w:pPr>
      <w:r>
        <w:rPr/>
        <w:t>注册地址：江苏省无锡市太湖新城金融一街 8 号</w:t>
      </w:r>
    </w:p>
    <w:p>
      <w:pPr>
        <w:pStyle w:val="BodyText"/>
        <w:spacing w:line="364" w:lineRule="auto" w:before="140"/>
        <w:ind w:right="26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310"/>
      </w:pPr>
      <w:r>
        <w:rPr/>
        <w:t>客户服务电话：95570 传真：0510-82830162</w:t>
      </w:r>
    </w:p>
    <w:p>
      <w:pPr>
        <w:pStyle w:val="BodyText"/>
        <w:spacing w:line="268" w:lineRule="exact"/>
      </w:pPr>
      <w:hyperlink r:id="rId124">
        <w:r>
          <w:rPr/>
          <w:t>网址：www.glsc.com.cn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国融证券股份有限公司</w:t>
      </w:r>
    </w:p>
    <w:p>
      <w:pPr>
        <w:pStyle w:val="BodyText"/>
        <w:spacing w:line="364" w:lineRule="auto" w:before="139"/>
        <w:ind w:right="25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6310"/>
      </w:pPr>
      <w:r>
        <w:rPr/>
        <w:t>客户服务电话</w:t>
      </w:r>
      <w:r>
        <w:rPr>
          <w:spacing w:val="-4"/>
        </w:rPr>
        <w:t>：95385 </w:t>
      </w:r>
      <w:r>
        <w:rPr/>
        <w:t>传真：010-66412537</w:t>
      </w:r>
    </w:p>
    <w:p>
      <w:pPr>
        <w:pStyle w:val="BodyText"/>
        <w:spacing w:line="268" w:lineRule="exact"/>
      </w:pPr>
      <w:hyperlink r:id="rId125">
        <w:r>
          <w:rPr/>
          <w:t>网址：www.grzq.com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国盛证券有限责任公司</w:t>
      </w:r>
    </w:p>
    <w:p>
      <w:pPr>
        <w:pStyle w:val="BodyText"/>
        <w:spacing w:before="139"/>
      </w:pPr>
      <w:r>
        <w:rPr>
          <w:spacing w:val="-3"/>
        </w:rPr>
        <w:t>注册地址：江西省南昌市新建区子实路 </w:t>
      </w:r>
      <w:r>
        <w:rPr/>
        <w:t>1589</w:t>
      </w:r>
      <w:r>
        <w:rPr>
          <w:spacing w:val="-27"/>
        </w:rPr>
        <w:t> 号</w:t>
      </w:r>
    </w:p>
    <w:p>
      <w:pPr>
        <w:pStyle w:val="BodyText"/>
        <w:spacing w:line="364" w:lineRule="auto" w:before="140"/>
        <w:ind w:right="1900"/>
      </w:pPr>
      <w:r>
        <w:rPr>
          <w:spacing w:val="-3"/>
        </w:rPr>
        <w:t>办公地址：江西省南昌市红谷滩新区凤凰中大道 </w:t>
      </w:r>
      <w:r>
        <w:rPr/>
        <w:t>1115</w:t>
      </w:r>
      <w:r>
        <w:rPr>
          <w:spacing w:val="-11"/>
        </w:rPr>
        <w:t> 号北京银行大厦</w:t>
      </w:r>
      <w:r>
        <w:rPr/>
        <w:t>法定代表人：周军</w:t>
      </w:r>
    </w:p>
    <w:p>
      <w:pPr>
        <w:pStyle w:val="BodyText"/>
        <w:spacing w:line="268" w:lineRule="exact"/>
      </w:pPr>
      <w:r>
        <w:rPr/>
        <w:t>联系人：占文驰</w:t>
      </w:r>
    </w:p>
    <w:p>
      <w:pPr>
        <w:pStyle w:val="BodyText"/>
        <w:spacing w:before="139"/>
      </w:pPr>
      <w:r>
        <w:rPr/>
        <w:t>联系电话：0791-88250812</w:t>
      </w:r>
    </w:p>
    <w:p>
      <w:pPr>
        <w:spacing w:after="0"/>
        <w:sectPr>
          <w:pgSz w:w="11910" w:h="16840"/>
          <w:pgMar w:header="0" w:footer="910" w:top="1380" w:bottom="1180" w:left="1400" w:right="1380"/>
        </w:sectPr>
      </w:pPr>
    </w:p>
    <w:p>
      <w:pPr>
        <w:pStyle w:val="BodyText"/>
        <w:spacing w:line="364" w:lineRule="auto" w:before="45"/>
        <w:ind w:right="6205"/>
      </w:pPr>
      <w:r>
        <w:rPr/>
        <w:t>客户服务电话</w:t>
      </w:r>
      <w:r>
        <w:rPr>
          <w:spacing w:val="-3"/>
        </w:rPr>
        <w:t>：956080 </w:t>
      </w:r>
      <w:r>
        <w:rPr/>
        <w:t>传真：0791-86281305</w:t>
      </w:r>
    </w:p>
    <w:p>
      <w:pPr>
        <w:pStyle w:val="BodyText"/>
        <w:spacing w:line="268" w:lineRule="exact"/>
      </w:pPr>
      <w:hyperlink r:id="rId126">
        <w:r>
          <w:rPr/>
          <w:t>网址：www.gszq.com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国泰君安证券股份有限公司</w:t>
      </w:r>
    </w:p>
    <w:p>
      <w:pPr>
        <w:pStyle w:val="BodyText"/>
        <w:spacing w:line="364" w:lineRule="auto" w:before="140"/>
        <w:ind w:right="32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6310"/>
      </w:pPr>
      <w:r>
        <w:rPr/>
        <w:t>客户服务电话</w:t>
      </w:r>
      <w:r>
        <w:rPr>
          <w:spacing w:val="-4"/>
        </w:rPr>
        <w:t>：95521 </w:t>
      </w:r>
      <w:r>
        <w:rPr/>
        <w:t>传真：021-38670666</w:t>
      </w:r>
    </w:p>
    <w:p>
      <w:pPr>
        <w:pStyle w:val="BodyText"/>
        <w:spacing w:line="268" w:lineRule="exact"/>
      </w:pPr>
      <w:hyperlink r:id="rId127">
        <w:r>
          <w:rPr/>
          <w:t>网址：www.gtja.com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国信证券股份有限公司</w:t>
      </w:r>
    </w:p>
    <w:p>
      <w:pPr>
        <w:pStyle w:val="BodyText"/>
        <w:spacing w:line="364" w:lineRule="auto" w:before="139"/>
        <w:ind w:right="14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pStyle w:val="BodyText"/>
        <w:spacing w:line="364" w:lineRule="auto" w:before="139"/>
        <w:ind w:right="6310"/>
      </w:pPr>
      <w:r>
        <w:rPr/>
        <w:t>客户服务电话：95536 传真：0755-82133952</w:t>
      </w:r>
    </w:p>
    <w:p>
      <w:pPr>
        <w:pStyle w:val="BodyText"/>
        <w:spacing w:line="268" w:lineRule="exact"/>
      </w:pPr>
      <w:hyperlink r:id="rId128">
        <w:r>
          <w:rPr/>
          <w:t>网址：www.guosen.com.cn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国元证券股份有限公司</w:t>
      </w:r>
    </w:p>
    <w:p>
      <w:pPr>
        <w:pStyle w:val="BodyText"/>
        <w:spacing w:before="140"/>
      </w:pPr>
      <w:r>
        <w:rPr/>
        <w:t>注册地址：安徽省合肥市梅山路 18 号</w:t>
      </w:r>
    </w:p>
    <w:p>
      <w:pPr>
        <w:pStyle w:val="BodyText"/>
        <w:spacing w:line="364" w:lineRule="auto" w:before="139"/>
        <w:ind w:right="19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联系人：汪先哲</w:t>
      </w:r>
    </w:p>
    <w:p>
      <w:pPr>
        <w:pStyle w:val="BodyText"/>
        <w:spacing w:before="140"/>
      </w:pPr>
      <w:r>
        <w:rPr/>
        <w:t>联系电话：0551-62207400</w:t>
      </w:r>
    </w:p>
    <w:p>
      <w:pPr>
        <w:pStyle w:val="BodyText"/>
        <w:spacing w:line="364" w:lineRule="auto" w:before="139"/>
        <w:ind w:right="6310"/>
      </w:pPr>
      <w:r>
        <w:rPr/>
        <w:t>客户服务电话：95578 传真：0551-2272100</w:t>
      </w:r>
    </w:p>
    <w:p>
      <w:pPr>
        <w:pStyle w:val="BodyText"/>
        <w:spacing w:line="268" w:lineRule="exact"/>
      </w:pPr>
      <w:hyperlink r:id="rId129">
        <w:r>
          <w:rPr/>
          <w:t>网址：www.gyzq.com.cn</w:t>
        </w:r>
      </w:hyperlink>
    </w:p>
    <w:p>
      <w:pPr>
        <w:pStyle w:val="ListParagraph"/>
        <w:numPr>
          <w:ilvl w:val="1"/>
          <w:numId w:val="8"/>
        </w:numPr>
        <w:tabs>
          <w:tab w:pos="1450" w:val="left" w:leader="none"/>
        </w:tabs>
        <w:spacing w:line="364" w:lineRule="auto" w:before="140" w:after="0"/>
        <w:ind w:left="820" w:right="5365" w:firstLine="0"/>
        <w:jc w:val="left"/>
        <w:rPr>
          <w:sz w:val="21"/>
        </w:rPr>
      </w:pPr>
      <w:r>
        <w:rPr>
          <w:sz w:val="21"/>
        </w:rPr>
        <w:t>海通证券股份有限公司 </w:t>
      </w:r>
      <w:r>
        <w:rPr>
          <w:spacing w:val="-5"/>
          <w:sz w:val="21"/>
        </w:rPr>
        <w:t>注册地址：上海市广东路 </w:t>
      </w:r>
      <w:r>
        <w:rPr>
          <w:sz w:val="21"/>
        </w:rPr>
        <w:t>689</w:t>
      </w:r>
      <w:r>
        <w:rPr>
          <w:spacing w:val="-36"/>
          <w:sz w:val="21"/>
        </w:rPr>
        <w:t> 号</w:t>
      </w:r>
      <w:r>
        <w:rPr>
          <w:spacing w:val="-5"/>
          <w:sz w:val="21"/>
        </w:rPr>
        <w:t>办公地址：上海市广东路 </w:t>
      </w:r>
      <w:r>
        <w:rPr>
          <w:sz w:val="21"/>
        </w:rPr>
        <w:t>689</w:t>
      </w:r>
      <w:r>
        <w:rPr>
          <w:spacing w:val="-36"/>
          <w:sz w:val="21"/>
        </w:rPr>
        <w:t> 号</w:t>
      </w:r>
      <w:r>
        <w:rPr>
          <w:sz w:val="21"/>
        </w:rPr>
        <w:t>法定代表人：周杰</w:t>
      </w:r>
    </w:p>
    <w:p>
      <w:pPr>
        <w:pStyle w:val="BodyText"/>
        <w:spacing w:line="267" w:lineRule="exact"/>
      </w:pPr>
      <w:r>
        <w:rPr/>
        <w:t>联系人：金芸、李笑鸣</w:t>
      </w:r>
    </w:p>
    <w:p>
      <w:pPr>
        <w:spacing w:after="0" w:line="267" w:lineRule="exact"/>
        <w:sectPr>
          <w:pgSz w:w="11910" w:h="16840"/>
          <w:pgMar w:header="0" w:footer="910" w:top="1380" w:bottom="1180" w:left="1400" w:right="1380"/>
        </w:sectPr>
      </w:pPr>
    </w:p>
    <w:p>
      <w:pPr>
        <w:pStyle w:val="BodyText"/>
        <w:spacing w:before="45"/>
      </w:pPr>
      <w:r>
        <w:rPr/>
        <w:t>联系电话：021-23219000</w:t>
      </w:r>
    </w:p>
    <w:p>
      <w:pPr>
        <w:pStyle w:val="BodyText"/>
        <w:spacing w:line="364" w:lineRule="auto" w:before="139"/>
        <w:ind w:right="6310"/>
      </w:pPr>
      <w:r>
        <w:rPr/>
        <w:t>客户服务电话</w:t>
      </w:r>
      <w:r>
        <w:rPr>
          <w:spacing w:val="-4"/>
        </w:rPr>
        <w:t>：95553 </w:t>
      </w:r>
      <w:r>
        <w:rPr/>
        <w:t>传真：021-23219100</w:t>
      </w:r>
    </w:p>
    <w:p>
      <w:pPr>
        <w:pStyle w:val="BodyText"/>
        <w:spacing w:line="268" w:lineRule="exact"/>
      </w:pPr>
      <w:hyperlink r:id="rId130">
        <w:r>
          <w:rPr/>
          <w:t>网址：www.htsec.com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红塔证券股份有限公司</w:t>
      </w:r>
    </w:p>
    <w:p>
      <w:pPr>
        <w:pStyle w:val="BodyText"/>
        <w:spacing w:line="364" w:lineRule="auto" w:before="139"/>
        <w:ind w:right="4105"/>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pStyle w:val="BodyText"/>
        <w:spacing w:line="364" w:lineRule="auto" w:before="139"/>
        <w:ind w:right="6205"/>
      </w:pPr>
      <w:r>
        <w:rPr/>
        <w:t>客户服务电话：956060 传真：0871-63578827</w:t>
      </w:r>
    </w:p>
    <w:p>
      <w:pPr>
        <w:pStyle w:val="BodyText"/>
        <w:spacing w:line="268" w:lineRule="exact"/>
      </w:pPr>
      <w:hyperlink r:id="rId131">
        <w:r>
          <w:rPr/>
          <w:t>网址：http://www.hongtastock.com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华安证券股份有限公司</w:t>
      </w:r>
    </w:p>
    <w:p>
      <w:pPr>
        <w:pStyle w:val="BodyText"/>
        <w:spacing w:line="364" w:lineRule="auto" w:before="139"/>
        <w:ind w:right="32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310"/>
      </w:pPr>
      <w:r>
        <w:rPr/>
        <w:t>客户服务电话</w:t>
      </w:r>
      <w:r>
        <w:rPr>
          <w:spacing w:val="-4"/>
        </w:rPr>
        <w:t>：95318 </w:t>
      </w:r>
      <w:r>
        <w:rPr>
          <w:spacing w:val="-2"/>
        </w:rPr>
        <w:t>传真：0551-65161825</w:t>
      </w:r>
    </w:p>
    <w:p>
      <w:pPr>
        <w:pStyle w:val="BodyText"/>
        <w:spacing w:line="268" w:lineRule="exact"/>
      </w:pPr>
      <w:hyperlink r:id="rId132">
        <w:r>
          <w:rPr/>
          <w:t>网址：www.hazq.com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华宝证券有限责任公司</w:t>
      </w:r>
    </w:p>
    <w:p>
      <w:pPr>
        <w:pStyle w:val="BodyText"/>
        <w:spacing w:line="364" w:lineRule="auto" w:before="140"/>
        <w:ind w:right="253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5575"/>
      </w:pPr>
      <w:r>
        <w:rPr/>
        <w:t>客户服务电话：400-820-9898 传真：021-20515593</w:t>
      </w:r>
    </w:p>
    <w:p>
      <w:pPr>
        <w:pStyle w:val="BodyText"/>
        <w:spacing w:line="268" w:lineRule="exact"/>
      </w:pPr>
      <w:hyperlink r:id="rId133">
        <w:r>
          <w:rPr/>
          <w:t>网址：www.cnhbstock.com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华福证券有限责任公司</w:t>
      </w:r>
    </w:p>
    <w:p>
      <w:pPr>
        <w:pStyle w:val="BodyText"/>
        <w:spacing w:before="140"/>
      </w:pPr>
      <w:r>
        <w:rPr/>
        <w:t>注册地址：福建省福州市鼓楼区鼓屏路 27 号 1#楼 3 层、4 层、5 层</w:t>
      </w:r>
    </w:p>
    <w:p>
      <w:pPr>
        <w:pStyle w:val="BodyText"/>
        <w:spacing w:before="139"/>
      </w:pPr>
      <w:r>
        <w:rPr/>
        <w:t>办公地址：上海市浦东新区陆家嘴环路 1088 号招行上海大厦 18 层、19 层、29 层</w:t>
      </w:r>
    </w:p>
    <w:p>
      <w:pPr>
        <w:spacing w:after="0"/>
        <w:sectPr>
          <w:pgSz w:w="11910" w:h="16840"/>
          <w:pgMar w:header="0" w:footer="910" w:top="1380" w:bottom="1180" w:left="1400" w:right="1380"/>
        </w:sectPr>
      </w:pPr>
    </w:p>
    <w:p>
      <w:pPr>
        <w:pStyle w:val="BodyText"/>
        <w:spacing w:line="364" w:lineRule="auto" w:before="45"/>
        <w:ind w:right="6415"/>
      </w:pPr>
      <w:r>
        <w:rPr/>
        <w:t>法定代表人：黄金琳联系人：王虹</w:t>
      </w:r>
    </w:p>
    <w:p>
      <w:pPr>
        <w:pStyle w:val="BodyText"/>
        <w:spacing w:line="268" w:lineRule="exact"/>
      </w:pPr>
      <w:r>
        <w:rPr/>
        <w:t>联系电话：021-20655183</w:t>
      </w:r>
    </w:p>
    <w:p>
      <w:pPr>
        <w:pStyle w:val="BodyText"/>
        <w:spacing w:line="364" w:lineRule="auto" w:before="139"/>
        <w:ind w:right="6310"/>
      </w:pPr>
      <w:r>
        <w:rPr/>
        <w:t>客户服务电话：95547 传真：021-20655196</w:t>
      </w:r>
    </w:p>
    <w:p>
      <w:pPr>
        <w:pStyle w:val="BodyText"/>
        <w:spacing w:line="268" w:lineRule="exact"/>
      </w:pPr>
      <w:hyperlink r:id="rId134">
        <w:r>
          <w:rPr/>
          <w:t>网址：www.hfzq.com.cn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华林证券股份有限公司</w:t>
      </w:r>
    </w:p>
    <w:p>
      <w:pPr>
        <w:pStyle w:val="BodyText"/>
        <w:spacing w:line="364" w:lineRule="auto" w:before="139"/>
        <w:ind w:right="33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5575"/>
      </w:pPr>
      <w:r>
        <w:rPr/>
        <w:t>客户服务电话</w:t>
      </w:r>
      <w:r>
        <w:rPr>
          <w:spacing w:val="-2"/>
        </w:rPr>
        <w:t>：400-188-3888 </w:t>
      </w:r>
      <w:hyperlink r:id="rId135">
        <w:r>
          <w:rPr/>
          <w:t>网址：www.chinalin.com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华龙证券股份有限公司</w:t>
      </w:r>
    </w:p>
    <w:p>
      <w:pPr>
        <w:pStyle w:val="BodyText"/>
        <w:spacing w:line="364" w:lineRule="auto" w:before="140"/>
        <w:ind w:right="27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15"/>
      </w:pPr>
      <w:r>
        <w:rPr/>
        <w:t>法定代表人：陈牧原联系人：范坤</w:t>
      </w:r>
    </w:p>
    <w:p>
      <w:pPr>
        <w:pStyle w:val="BodyText"/>
        <w:spacing w:line="268" w:lineRule="exact"/>
      </w:pPr>
      <w:r>
        <w:rPr/>
        <w:t>联系电话：0931-4890208</w:t>
      </w:r>
    </w:p>
    <w:p>
      <w:pPr>
        <w:pStyle w:val="BodyText"/>
        <w:spacing w:line="364" w:lineRule="auto" w:before="138"/>
        <w:ind w:right="4840"/>
      </w:pPr>
      <w:r>
        <w:rPr/>
        <w:t>客户服务电话：95368、</w:t>
      </w:r>
      <w:r>
        <w:rPr>
          <w:spacing w:val="-2"/>
        </w:rPr>
        <w:t>400-689-8888 </w:t>
      </w:r>
      <w:r>
        <w:rPr/>
        <w:t>传真：0931-4890628</w:t>
      </w:r>
    </w:p>
    <w:p>
      <w:pPr>
        <w:pStyle w:val="BodyText"/>
        <w:spacing w:line="268" w:lineRule="exact"/>
      </w:pPr>
      <w:hyperlink r:id="rId136">
        <w:r>
          <w:rPr/>
          <w:t>网址：www.hlzq.com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华融证券股份有限公司</w:t>
      </w:r>
    </w:p>
    <w:p>
      <w:pPr>
        <w:pStyle w:val="BodyText"/>
        <w:spacing w:before="139"/>
      </w:pPr>
      <w:r>
        <w:rPr/>
        <w:t>注册地址：北京市西城区金融大街 8 号</w:t>
      </w:r>
    </w:p>
    <w:p>
      <w:pPr>
        <w:pStyle w:val="BodyText"/>
        <w:spacing w:line="364" w:lineRule="auto" w:before="139"/>
        <w:ind w:right="14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310"/>
      </w:pPr>
      <w:r>
        <w:rPr/>
        <w:t>客户服务电话：95390 传真：010-85556088</w:t>
      </w:r>
    </w:p>
    <w:p>
      <w:pPr>
        <w:pStyle w:val="BodyText"/>
        <w:spacing w:line="268" w:lineRule="exact"/>
      </w:pPr>
      <w:hyperlink r:id="rId137">
        <w:r>
          <w:rPr/>
          <w:t>网址：www.hrsec.com.cn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华泰证券股份有限公司</w:t>
      </w:r>
    </w:p>
    <w:p>
      <w:pPr>
        <w:pStyle w:val="BodyText"/>
        <w:spacing w:before="139"/>
      </w:pPr>
      <w:r>
        <w:rPr/>
        <w:t>注册地址：南京市江东中路 228 号</w:t>
      </w:r>
    </w:p>
    <w:p>
      <w:pPr>
        <w:spacing w:after="0"/>
        <w:sectPr>
          <w:pgSz w:w="11910" w:h="16840"/>
          <w:pgMar w:header="0" w:footer="910" w:top="1380" w:bottom="1180" w:left="1400" w:right="1380"/>
        </w:sectPr>
      </w:pPr>
    </w:p>
    <w:p>
      <w:pPr>
        <w:pStyle w:val="BodyText"/>
        <w:spacing w:line="364" w:lineRule="auto" w:before="45"/>
        <w:ind w:right="32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310"/>
      </w:pPr>
      <w:r>
        <w:rPr/>
        <w:t>客户服务电话：95597 传真：025-83387523</w:t>
      </w:r>
    </w:p>
    <w:p>
      <w:pPr>
        <w:pStyle w:val="BodyText"/>
        <w:spacing w:line="268" w:lineRule="exact"/>
      </w:pPr>
      <w:hyperlink r:id="rId138">
        <w:r>
          <w:rPr/>
          <w:t>网址：www.htsc.com.cn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华西证券股份有限公司</w:t>
      </w:r>
    </w:p>
    <w:p>
      <w:pPr>
        <w:pStyle w:val="BodyText"/>
        <w:spacing w:before="140"/>
      </w:pPr>
      <w:r>
        <w:rPr/>
        <w:t>注册地址：四川省成都市高新区天府二街 198 号</w:t>
      </w:r>
    </w:p>
    <w:p>
      <w:pPr>
        <w:pStyle w:val="BodyText"/>
        <w:spacing w:line="364" w:lineRule="auto" w:before="139"/>
        <w:ind w:right="26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6310"/>
      </w:pPr>
      <w:r>
        <w:rPr/>
        <w:t>客户服务电话：95584 传真：028-86150040</w:t>
      </w:r>
    </w:p>
    <w:p>
      <w:pPr>
        <w:pStyle w:val="BodyText"/>
        <w:spacing w:line="268" w:lineRule="exact"/>
      </w:pPr>
      <w:hyperlink r:id="rId139">
        <w:r>
          <w:rPr/>
          <w:t>网址：www.hx168.com.cn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华鑫证券有限责任公司</w:t>
      </w:r>
    </w:p>
    <w:p>
      <w:pPr>
        <w:pStyle w:val="BodyText"/>
        <w:spacing w:before="140"/>
      </w:pPr>
      <w:r>
        <w:rPr/>
        <w:t>注册地址：深圳市福田区莲花街道福中社区深南大道 2008 号中国凤凰大厦 1 栋 20C-1</w:t>
      </w:r>
    </w:p>
    <w:p>
      <w:pPr>
        <w:pStyle w:val="BodyText"/>
        <w:spacing w:line="364" w:lineRule="auto" w:before="139"/>
        <w:ind w:right="4735"/>
      </w:pPr>
      <w:r>
        <w:rPr>
          <w:spacing w:val="-4"/>
        </w:rPr>
        <w:t>办公地址：上海市徐汇区宛平南路 </w:t>
      </w:r>
      <w:r>
        <w:rPr/>
        <w:t>8</w:t>
      </w:r>
      <w:r>
        <w:rPr>
          <w:spacing w:val="-36"/>
        </w:rPr>
        <w:t> 号</w:t>
      </w:r>
      <w:r>
        <w:rPr/>
        <w:t>法定代表人：俞洋</w:t>
      </w:r>
    </w:p>
    <w:p>
      <w:pPr>
        <w:pStyle w:val="BodyText"/>
        <w:spacing w:line="268" w:lineRule="exact"/>
      </w:pPr>
      <w:r>
        <w:rPr/>
        <w:t>联系人：刘熠</w:t>
      </w:r>
    </w:p>
    <w:p>
      <w:pPr>
        <w:pStyle w:val="BodyText"/>
        <w:spacing w:before="140"/>
      </w:pPr>
      <w:r>
        <w:rPr/>
        <w:t>联系电话：021-54967656</w:t>
      </w:r>
    </w:p>
    <w:p>
      <w:pPr>
        <w:pStyle w:val="BodyText"/>
        <w:spacing w:line="364" w:lineRule="auto" w:before="139"/>
        <w:ind w:right="10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40">
        <w:r>
          <w:rPr/>
          <w:t>网址：www.cfsc.com.cn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上海华信证券有限责任公司</w:t>
      </w:r>
    </w:p>
    <w:p>
      <w:pPr>
        <w:pStyle w:val="BodyText"/>
        <w:spacing w:line="364" w:lineRule="auto" w:before="139"/>
        <w:ind w:right="28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15"/>
      </w:pPr>
      <w:r>
        <w:rPr/>
        <w:t>法定代表人：陈灿辉联系人：徐璐</w:t>
      </w:r>
    </w:p>
    <w:p>
      <w:pPr>
        <w:pStyle w:val="BodyText"/>
        <w:spacing w:line="268" w:lineRule="exact"/>
      </w:pPr>
      <w:r>
        <w:rPr/>
        <w:t>联系电话：021-63898952</w:t>
      </w:r>
    </w:p>
    <w:p>
      <w:pPr>
        <w:pStyle w:val="BodyText"/>
        <w:spacing w:line="364" w:lineRule="auto" w:before="139"/>
        <w:ind w:right="5575"/>
      </w:pPr>
      <w:r>
        <w:rPr/>
        <w:t>客户服务电话：400-820-5999 传真：021-68776977 转 8952</w:t>
      </w:r>
    </w:p>
    <w:p>
      <w:pPr>
        <w:pStyle w:val="BodyText"/>
        <w:spacing w:line="268" w:lineRule="exact"/>
      </w:pPr>
      <w:hyperlink r:id="rId141">
        <w:r>
          <w:rPr/>
          <w:t>网址：www.shhxzq.com</w:t>
        </w:r>
      </w:hyperlink>
    </w:p>
    <w:p>
      <w:pPr>
        <w:spacing w:after="0" w:line="268" w:lineRule="exact"/>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left"/>
        <w:rPr>
          <w:sz w:val="21"/>
        </w:rPr>
      </w:pPr>
      <w:r>
        <w:rPr>
          <w:sz w:val="21"/>
        </w:rPr>
        <w:t>江海证券有限公司</w:t>
      </w:r>
    </w:p>
    <w:p>
      <w:pPr>
        <w:pStyle w:val="BodyText"/>
        <w:spacing w:before="139"/>
      </w:pPr>
      <w:r>
        <w:rPr/>
        <w:t>注册地址：黑龙江省哈尔滨市香坊区赣水路 56 号</w:t>
      </w:r>
    </w:p>
    <w:p>
      <w:pPr>
        <w:pStyle w:val="BodyText"/>
        <w:spacing w:line="364" w:lineRule="auto" w:before="140"/>
        <w:ind w:right="34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205"/>
      </w:pPr>
      <w:r>
        <w:rPr/>
        <w:t>客户服务电话：956007 传真：0451-82337279</w:t>
      </w:r>
    </w:p>
    <w:p>
      <w:pPr>
        <w:pStyle w:val="BodyText"/>
        <w:spacing w:line="268" w:lineRule="exact"/>
      </w:pPr>
      <w:hyperlink r:id="rId142">
        <w:r>
          <w:rPr/>
          <w:t>网址：www.jhzq.com.cn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金元证券股份有限公司</w:t>
      </w:r>
    </w:p>
    <w:p>
      <w:pPr>
        <w:pStyle w:val="BodyText"/>
        <w:spacing w:before="140"/>
      </w:pPr>
      <w:r>
        <w:rPr/>
        <w:t>注册地址：海口市南宝路 36 号证券大厦 4 楼</w:t>
      </w:r>
    </w:p>
    <w:p>
      <w:pPr>
        <w:pStyle w:val="BodyText"/>
        <w:spacing w:line="364" w:lineRule="auto" w:before="139"/>
        <w:ind w:right="28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10"/>
      </w:pPr>
      <w:r>
        <w:rPr/>
        <w:t>客户服务电话：95372 传真：0755-83025625</w:t>
      </w:r>
    </w:p>
    <w:p>
      <w:pPr>
        <w:pStyle w:val="BodyText"/>
        <w:spacing w:line="268" w:lineRule="exact"/>
      </w:pPr>
      <w:hyperlink r:id="rId143">
        <w:r>
          <w:rPr/>
          <w:t>网址：www.jyzq.cn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九州证券股份有限公司</w:t>
      </w:r>
    </w:p>
    <w:p>
      <w:pPr>
        <w:pStyle w:val="BodyText"/>
        <w:spacing w:before="140"/>
      </w:pPr>
      <w:r>
        <w:rPr/>
        <w:t>注册地址：青海省西宁市南川工业园区创业路 108 号</w:t>
      </w:r>
    </w:p>
    <w:p>
      <w:pPr>
        <w:pStyle w:val="BodyText"/>
        <w:spacing w:line="364" w:lineRule="auto" w:before="139"/>
        <w:ind w:right="27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310"/>
      </w:pPr>
      <w:r>
        <w:rPr/>
        <w:t>客户服务电话：95305 </w:t>
      </w:r>
      <w:hyperlink r:id="rId144">
        <w:r>
          <w:rPr/>
          <w:t>网址：www.jzsec.com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开源证券股份有限公司</w:t>
      </w:r>
    </w:p>
    <w:p>
      <w:pPr>
        <w:pStyle w:val="BodyText"/>
        <w:spacing w:line="364" w:lineRule="auto" w:before="140"/>
        <w:ind w:right="26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39"/>
        <w:ind w:right="6310"/>
      </w:pPr>
      <w:r>
        <w:rPr/>
        <w:t>客户服务电话：95325 </w:t>
      </w:r>
      <w:hyperlink r:id="rId145">
        <w:r>
          <w:rPr/>
          <w:t>网址：www.kysec.cn</w:t>
        </w:r>
      </w:hyperlink>
    </w:p>
    <w:p>
      <w:pPr>
        <w:spacing w:after="0" w:line="364" w:lineRule="auto"/>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left"/>
        <w:rPr>
          <w:sz w:val="21"/>
        </w:rPr>
      </w:pPr>
      <w:r>
        <w:rPr>
          <w:sz w:val="21"/>
        </w:rPr>
        <w:t>联储证券有限责任公司</w:t>
      </w:r>
    </w:p>
    <w:p>
      <w:pPr>
        <w:pStyle w:val="BodyText"/>
        <w:spacing w:line="364" w:lineRule="auto" w:before="139"/>
        <w:ind w:right="7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15"/>
      </w:pPr>
      <w:r>
        <w:rPr/>
        <w:t>法定代表人：吕春卫联系人：张婉婷</w:t>
      </w:r>
    </w:p>
    <w:p>
      <w:pPr>
        <w:pStyle w:val="BodyText"/>
        <w:spacing w:line="268" w:lineRule="exact"/>
      </w:pPr>
      <w:r>
        <w:rPr/>
        <w:t>联系电话：010-86499765</w:t>
      </w:r>
    </w:p>
    <w:p>
      <w:pPr>
        <w:pStyle w:val="BodyText"/>
        <w:spacing w:line="364" w:lineRule="auto" w:before="139"/>
        <w:ind w:right="5575"/>
      </w:pPr>
      <w:r>
        <w:rPr/>
        <w:t>客户服务电话：400-620-6868 </w:t>
      </w:r>
      <w:hyperlink r:id="rId146">
        <w:r>
          <w:rPr/>
          <w:t>网址：www.lczq.com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南京证券股份有限公司</w:t>
      </w:r>
    </w:p>
    <w:p>
      <w:pPr>
        <w:pStyle w:val="BodyText"/>
        <w:spacing w:line="364" w:lineRule="auto" w:before="139"/>
        <w:ind w:right="51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310"/>
      </w:pPr>
      <w:r>
        <w:rPr/>
        <w:t>客户服务电话：95386 传真：025-83369725</w:t>
      </w:r>
    </w:p>
    <w:p>
      <w:pPr>
        <w:pStyle w:val="BodyText"/>
        <w:spacing w:line="268" w:lineRule="exact"/>
      </w:pPr>
      <w:hyperlink r:id="rId147">
        <w:r>
          <w:rPr/>
          <w:t>网址：www.njzq.com.cn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平安证券股份有限公司</w:t>
      </w:r>
    </w:p>
    <w:p>
      <w:pPr>
        <w:pStyle w:val="BodyText"/>
        <w:spacing w:line="364" w:lineRule="auto" w:before="139"/>
        <w:ind w:right="10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15"/>
      </w:pPr>
      <w:r>
        <w:rPr/>
        <w:t>法定代表人：何之江联系人：周驰</w:t>
      </w:r>
    </w:p>
    <w:p>
      <w:pPr>
        <w:pStyle w:val="BodyText"/>
        <w:spacing w:line="268" w:lineRule="exact"/>
      </w:pPr>
      <w:r>
        <w:rPr/>
        <w:t>联系电话：021-38643230</w:t>
      </w:r>
    </w:p>
    <w:p>
      <w:pPr>
        <w:pStyle w:val="BodyText"/>
        <w:spacing w:line="364" w:lineRule="auto" w:before="139"/>
        <w:ind w:right="6100"/>
      </w:pPr>
      <w:r>
        <w:rPr/>
        <w:t>客户服务电话：95511-8 传真：021-58991896</w:t>
      </w:r>
    </w:p>
    <w:p>
      <w:pPr>
        <w:pStyle w:val="BodyText"/>
        <w:spacing w:line="268" w:lineRule="exact"/>
      </w:pPr>
      <w:r>
        <w:rPr/>
        <w:t>网址：stock.pingan.com</w:t>
      </w:r>
    </w:p>
    <w:p>
      <w:pPr>
        <w:pStyle w:val="ListParagraph"/>
        <w:numPr>
          <w:ilvl w:val="1"/>
          <w:numId w:val="8"/>
        </w:numPr>
        <w:tabs>
          <w:tab w:pos="1450" w:val="left" w:leader="none"/>
        </w:tabs>
        <w:spacing w:line="240" w:lineRule="auto" w:before="139" w:after="0"/>
        <w:ind w:left="1450" w:right="0" w:hanging="630"/>
        <w:jc w:val="both"/>
        <w:rPr>
          <w:sz w:val="21"/>
        </w:rPr>
      </w:pPr>
      <w:r>
        <w:rPr>
          <w:sz w:val="21"/>
        </w:rPr>
        <w:t>瑞银证券有限责任公司</w:t>
      </w:r>
    </w:p>
    <w:p>
      <w:pPr>
        <w:pStyle w:val="BodyText"/>
        <w:spacing w:line="364" w:lineRule="auto" w:before="139"/>
        <w:ind w:right="18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5575"/>
      </w:pPr>
      <w:r>
        <w:rPr/>
        <w:t>客户服务电话：400-887-8827 传真：010-58328170</w:t>
      </w:r>
    </w:p>
    <w:p>
      <w:pPr>
        <w:spacing w:after="0" w:line="364" w:lineRule="auto"/>
        <w:sectPr>
          <w:pgSz w:w="11910" w:h="16840"/>
          <w:pgMar w:header="0" w:footer="910" w:top="1380" w:bottom="1180" w:left="1400" w:right="1380"/>
        </w:sectPr>
      </w:pPr>
    </w:p>
    <w:p>
      <w:pPr>
        <w:pStyle w:val="BodyText"/>
        <w:spacing w:before="45"/>
      </w:pPr>
      <w:hyperlink r:id="rId148">
        <w:r>
          <w:rPr/>
          <w:t>网址：https://www.ubs.com/ubssecurities</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山西证券股份有限公司</w:t>
      </w:r>
    </w:p>
    <w:p>
      <w:pPr>
        <w:pStyle w:val="BodyText"/>
        <w:spacing w:line="364" w:lineRule="auto" w:before="140"/>
        <w:ind w:right="31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49">
        <w:r>
          <w:rPr/>
          <w:t>网址：www.i618.com.cn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上海证券有限责任公司</w:t>
      </w:r>
    </w:p>
    <w:p>
      <w:pPr>
        <w:pStyle w:val="BodyText"/>
        <w:spacing w:before="139"/>
      </w:pPr>
      <w:r>
        <w:rPr>
          <w:spacing w:val="-4"/>
        </w:rPr>
        <w:t>注册地址：上海市黄浦区四川中路 </w:t>
      </w:r>
      <w:r>
        <w:rPr/>
        <w:t>213</w:t>
      </w:r>
      <w:r>
        <w:rPr>
          <w:spacing w:val="-36"/>
        </w:rPr>
        <w:t> 号 </w:t>
      </w:r>
      <w:r>
        <w:rPr/>
        <w:t>7</w:t>
      </w:r>
      <w:r>
        <w:rPr>
          <w:spacing w:val="-27"/>
        </w:rPr>
        <w:t> 楼</w:t>
      </w:r>
    </w:p>
    <w:p>
      <w:pPr>
        <w:pStyle w:val="BodyText"/>
        <w:spacing w:line="364" w:lineRule="auto" w:before="140"/>
        <w:ind w:right="34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传真：021-53686100-7008，021-53686200-7008</w:t>
      </w:r>
    </w:p>
    <w:p>
      <w:pPr>
        <w:pStyle w:val="BodyText"/>
        <w:spacing w:before="140"/>
      </w:pPr>
      <w:hyperlink r:id="rId150">
        <w:r>
          <w:rPr/>
          <w:t>网址：https://www.shzq.com/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申万宏源西部证券有限公司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0"/>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00"/>
      </w:pPr>
      <w:r>
        <w:rPr/>
        <w:t>室</w:t>
      </w:r>
    </w:p>
    <w:p>
      <w:pPr>
        <w:pStyle w:val="BodyText"/>
        <w:spacing w:line="364" w:lineRule="auto" w:before="139"/>
        <w:ind w:right="6625"/>
      </w:pPr>
      <w:r>
        <w:rPr/>
        <w:t>法定代表人：李琦联系人：王怀春</w:t>
      </w:r>
    </w:p>
    <w:p>
      <w:pPr>
        <w:pStyle w:val="BodyText"/>
        <w:spacing w:line="268" w:lineRule="exact"/>
      </w:pPr>
      <w:r>
        <w:rPr/>
        <w:t>联系电话：0991-2307105</w:t>
      </w:r>
    </w:p>
    <w:p>
      <w:pPr>
        <w:pStyle w:val="BodyText"/>
        <w:spacing w:line="364" w:lineRule="auto" w:before="140"/>
        <w:ind w:right="5575"/>
      </w:pPr>
      <w:r>
        <w:rPr/>
        <w:t>客户服务电话</w:t>
      </w:r>
      <w:r>
        <w:rPr>
          <w:spacing w:val="-2"/>
        </w:rPr>
        <w:t>：4008-000-562 </w:t>
      </w:r>
      <w:r>
        <w:rPr/>
        <w:t>传真：010-88085195</w:t>
      </w:r>
    </w:p>
    <w:p>
      <w:pPr>
        <w:pStyle w:val="BodyText"/>
        <w:spacing w:line="268" w:lineRule="exact"/>
      </w:pPr>
      <w:hyperlink r:id="rId151">
        <w:r>
          <w:rPr/>
          <w:t>网址：www.hysec.com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申万宏源证券有限公司</w:t>
      </w:r>
    </w:p>
    <w:p>
      <w:pPr>
        <w:pStyle w:val="BodyText"/>
        <w:spacing w:before="140"/>
      </w:pPr>
      <w:r>
        <w:rPr/>
        <w:t>注册地址：上海市徐汇区长乐路 989 号 45 层</w:t>
      </w:r>
    </w:p>
    <w:p>
      <w:pPr>
        <w:pStyle w:val="BodyText"/>
        <w:spacing w:line="364" w:lineRule="auto" w:before="139"/>
        <w:ind w:right="2950"/>
      </w:pPr>
      <w:r>
        <w:rPr>
          <w:spacing w:val="-4"/>
        </w:rPr>
        <w:t>办公地址：上海市徐汇区长乐路 </w:t>
      </w:r>
      <w:r>
        <w:rPr/>
        <w:t>989</w:t>
      </w:r>
      <w:r>
        <w:rPr>
          <w:spacing w:val="-13"/>
        </w:rPr>
        <w:t> 号世纪商贸广场 </w:t>
      </w:r>
      <w:r>
        <w:rPr/>
        <w:t>45</w:t>
      </w:r>
      <w:r>
        <w:rPr>
          <w:spacing w:val="-35"/>
        </w:rPr>
        <w:t> 层</w:t>
      </w:r>
      <w:r>
        <w:rPr/>
        <w:t>法定代表人：杨玉成</w:t>
      </w:r>
    </w:p>
    <w:p>
      <w:pPr>
        <w:spacing w:after="0" w:line="364" w:lineRule="auto"/>
        <w:sectPr>
          <w:pgSz w:w="11910" w:h="16840"/>
          <w:pgMar w:header="0" w:footer="910" w:top="1380" w:bottom="1180" w:left="1400" w:right="1380"/>
        </w:sectPr>
      </w:pPr>
    </w:p>
    <w:p>
      <w:pPr>
        <w:pStyle w:val="BodyText"/>
        <w:spacing w:before="45"/>
      </w:pPr>
      <w:r>
        <w:rPr/>
        <w:t>联系人：胡馨文</w:t>
      </w:r>
    </w:p>
    <w:p>
      <w:pPr>
        <w:pStyle w:val="BodyText"/>
        <w:spacing w:before="139"/>
      </w:pPr>
      <w:r>
        <w:rPr/>
        <w:t>联系电话：021-33388252</w:t>
      </w:r>
    </w:p>
    <w:p>
      <w:pPr>
        <w:pStyle w:val="BodyText"/>
        <w:spacing w:line="364" w:lineRule="auto" w:before="140"/>
        <w:ind w:right="5050"/>
      </w:pPr>
      <w:r>
        <w:rPr/>
        <w:t>客户服务电话：95523、4008895523 传真：021-33388224</w:t>
      </w:r>
    </w:p>
    <w:p>
      <w:pPr>
        <w:pStyle w:val="BodyText"/>
        <w:spacing w:line="268" w:lineRule="exact"/>
      </w:pPr>
      <w:hyperlink r:id="rId152">
        <w:r>
          <w:rPr/>
          <w:t>网址：www.swhysc.com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世纪证券有限责任公司</w:t>
      </w:r>
    </w:p>
    <w:p>
      <w:pPr>
        <w:pStyle w:val="BodyText"/>
        <w:spacing w:line="364" w:lineRule="auto" w:before="140"/>
        <w:ind w:left="400" w:right="41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0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8"/>
      </w:pPr>
      <w:r>
        <w:rPr/>
        <w:t>联系电话：0755-83199553</w:t>
      </w:r>
    </w:p>
    <w:p>
      <w:pPr>
        <w:pStyle w:val="BodyText"/>
        <w:spacing w:line="364" w:lineRule="auto" w:before="140"/>
        <w:ind w:right="5785"/>
      </w:pPr>
      <w:r>
        <w:rPr/>
        <w:t>客户服务电话：4008323000 </w:t>
      </w:r>
      <w:hyperlink r:id="rId153">
        <w:r>
          <w:rPr/>
          <w:t>网址：www.csco.com.cn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首创证券股份有限公司</w:t>
      </w:r>
    </w:p>
    <w:p>
      <w:pPr>
        <w:pStyle w:val="BodyText"/>
        <w:spacing w:line="364" w:lineRule="auto" w:before="139"/>
        <w:ind w:right="28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6310"/>
      </w:pPr>
      <w:r>
        <w:rPr/>
        <w:t>客户服务电话：95381 传真：010-59366238</w:t>
      </w:r>
    </w:p>
    <w:p>
      <w:pPr>
        <w:pStyle w:val="BodyText"/>
        <w:spacing w:line="268" w:lineRule="exact"/>
      </w:pPr>
      <w:hyperlink r:id="rId154">
        <w:r>
          <w:rPr/>
          <w:t>网址：www.sczq.com.cn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天风证券股份有限公司</w:t>
      </w:r>
    </w:p>
    <w:p>
      <w:pPr>
        <w:pStyle w:val="BodyText"/>
        <w:spacing w:line="364" w:lineRule="auto" w:before="140"/>
        <w:ind w:right="17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25"/>
      </w:pPr>
      <w:r>
        <w:rPr/>
        <w:t>法定代表人：余磊联系人：王雅薇</w:t>
      </w:r>
    </w:p>
    <w:p>
      <w:pPr>
        <w:pStyle w:val="BodyText"/>
        <w:spacing w:line="268" w:lineRule="exact"/>
      </w:pPr>
      <w:r>
        <w:rPr/>
        <w:t>联系电话：027-87617017</w:t>
      </w:r>
    </w:p>
    <w:p>
      <w:pPr>
        <w:pStyle w:val="BodyText"/>
        <w:spacing w:line="364" w:lineRule="auto" w:before="138"/>
        <w:ind w:right="4945"/>
      </w:pPr>
      <w:r>
        <w:rPr/>
        <w:t>客户服务电话：95391/400-800-5000 传真：027-87618863</w:t>
      </w:r>
    </w:p>
    <w:p>
      <w:pPr>
        <w:pStyle w:val="BodyText"/>
        <w:spacing w:line="268" w:lineRule="exact"/>
      </w:pPr>
      <w:hyperlink r:id="rId155">
        <w:r>
          <w:rPr/>
          <w:t>网址：http://www.tfzq.com/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万联证券股份有限公司</w:t>
      </w:r>
    </w:p>
    <w:p>
      <w:pPr>
        <w:pStyle w:val="BodyText"/>
        <w:spacing w:before="139"/>
      </w:pPr>
      <w:r>
        <w:rPr/>
        <w:t>注册地址：广州市天河区珠江东路 11 号 18、19 楼全层</w:t>
      </w:r>
    </w:p>
    <w:p>
      <w:pPr>
        <w:spacing w:after="0"/>
        <w:sectPr>
          <w:pgSz w:w="11910" w:h="16840"/>
          <w:pgMar w:header="0" w:footer="910" w:top="1380" w:bottom="1180" w:left="1400" w:right="1380"/>
        </w:sectPr>
      </w:pPr>
    </w:p>
    <w:p>
      <w:pPr>
        <w:pStyle w:val="BodyText"/>
        <w:spacing w:line="364" w:lineRule="auto" w:before="45"/>
        <w:ind w:right="24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310"/>
      </w:pPr>
      <w:r>
        <w:rPr/>
        <w:t>客户服务电话</w:t>
      </w:r>
      <w:r>
        <w:rPr>
          <w:spacing w:val="-4"/>
        </w:rPr>
        <w:t>：95322 </w:t>
      </w:r>
      <w:r>
        <w:rPr/>
        <w:t>传真：020-38286588</w:t>
      </w:r>
    </w:p>
    <w:p>
      <w:pPr>
        <w:pStyle w:val="BodyText"/>
        <w:spacing w:line="268" w:lineRule="exact"/>
      </w:pPr>
      <w:hyperlink r:id="rId156">
        <w:r>
          <w:rPr/>
          <w:t>网址：www.wlzq.cn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西部证券股份有限公司</w:t>
      </w:r>
    </w:p>
    <w:p>
      <w:pPr>
        <w:pStyle w:val="BodyText"/>
        <w:spacing w:line="364" w:lineRule="auto" w:before="140"/>
        <w:ind w:right="28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联系人：张吉安</w:t>
      </w:r>
    </w:p>
    <w:p>
      <w:pPr>
        <w:pStyle w:val="BodyText"/>
        <w:spacing w:before="139"/>
      </w:pPr>
      <w:r>
        <w:rPr/>
        <w:t>联系电话：029-87211668</w:t>
      </w:r>
    </w:p>
    <w:p>
      <w:pPr>
        <w:pStyle w:val="BodyText"/>
        <w:spacing w:line="364" w:lineRule="auto" w:before="140"/>
        <w:ind w:right="6310"/>
      </w:pPr>
      <w:r>
        <w:rPr/>
        <w:t>客户服务电话：95582 传真：029-87211478</w:t>
      </w:r>
    </w:p>
    <w:p>
      <w:pPr>
        <w:pStyle w:val="BodyText"/>
        <w:spacing w:line="268" w:lineRule="exact"/>
      </w:pPr>
      <w:hyperlink r:id="rId157">
        <w:r>
          <w:rPr/>
          <w:t>网址：www.westsecu.com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西南证券股份有限公司</w:t>
      </w:r>
    </w:p>
    <w:p>
      <w:pPr>
        <w:pStyle w:val="BodyText"/>
        <w:spacing w:before="139"/>
      </w:pPr>
      <w:r>
        <w:rPr/>
        <w:t>注册地址：重庆市江北区桥北苑 8 号</w:t>
      </w:r>
    </w:p>
    <w:p>
      <w:pPr>
        <w:pStyle w:val="BodyText"/>
        <w:spacing w:line="364" w:lineRule="auto" w:before="140"/>
        <w:ind w:right="36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58">
        <w:r>
          <w:rPr/>
          <w:t>网址：www.swsc.com.cn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湘财证券股份有限公司</w:t>
      </w:r>
    </w:p>
    <w:p>
      <w:pPr>
        <w:pStyle w:val="BodyText"/>
        <w:spacing w:line="364" w:lineRule="auto" w:before="140"/>
        <w:ind w:right="14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法定代表人：高振营</w:t>
      </w:r>
    </w:p>
    <w:p>
      <w:pPr>
        <w:pStyle w:val="BodyText"/>
        <w:spacing w:line="268" w:lineRule="exact"/>
      </w:pPr>
      <w:r>
        <w:rPr/>
        <w:t>联系人：江恩前</w:t>
      </w:r>
    </w:p>
    <w:p>
      <w:pPr>
        <w:pStyle w:val="BodyText"/>
        <w:spacing w:before="139"/>
      </w:pPr>
      <w:r>
        <w:rPr/>
        <w:t>联系电话：021-38784580-8920</w:t>
      </w:r>
    </w:p>
    <w:p>
      <w:pPr>
        <w:pStyle w:val="BodyText"/>
        <w:spacing w:line="364" w:lineRule="auto" w:before="139"/>
        <w:ind w:right="6310"/>
      </w:pPr>
      <w:r>
        <w:rPr/>
        <w:t>客户服务电话</w:t>
      </w:r>
      <w:r>
        <w:rPr>
          <w:spacing w:val="-4"/>
        </w:rPr>
        <w:t>：95351 </w:t>
      </w:r>
      <w:r>
        <w:rPr/>
        <w:t>传真：021-68865680</w:t>
      </w:r>
    </w:p>
    <w:p>
      <w:pPr>
        <w:pStyle w:val="BodyText"/>
        <w:spacing w:line="268" w:lineRule="exact"/>
      </w:pPr>
      <w:hyperlink r:id="rId159">
        <w:r>
          <w:rPr/>
          <w:t>网址：www.xcsc.com</w:t>
        </w:r>
      </w:hyperlink>
    </w:p>
    <w:p>
      <w:pPr>
        <w:spacing w:after="0" w:line="268" w:lineRule="exact"/>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both"/>
        <w:rPr>
          <w:sz w:val="21"/>
        </w:rPr>
      </w:pPr>
      <w:r>
        <w:rPr>
          <w:sz w:val="21"/>
        </w:rPr>
        <w:t>新时代证券股份有限公司</w:t>
      </w:r>
    </w:p>
    <w:p>
      <w:pPr>
        <w:pStyle w:val="BodyText"/>
        <w:spacing w:line="364" w:lineRule="auto" w:before="139"/>
        <w:ind w:right="25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法定代表人：林雯</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310"/>
      </w:pPr>
      <w:r>
        <w:rPr/>
        <w:t>客户服务电话：95399 </w:t>
      </w:r>
      <w:hyperlink r:id="rId160">
        <w:r>
          <w:rPr/>
          <w:t>网址：www.xsdzq.cn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信达证券股份有限公司</w:t>
      </w:r>
    </w:p>
    <w:p>
      <w:pPr>
        <w:pStyle w:val="BodyText"/>
        <w:spacing w:line="364" w:lineRule="auto" w:before="140"/>
        <w:ind w:right="36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联系人：王薇安</w:t>
      </w:r>
    </w:p>
    <w:p>
      <w:pPr>
        <w:pStyle w:val="BodyText"/>
        <w:spacing w:before="139"/>
      </w:pPr>
      <w:r>
        <w:rPr/>
        <w:t>联系电话：010-83252170</w:t>
      </w:r>
    </w:p>
    <w:p>
      <w:pPr>
        <w:pStyle w:val="BodyText"/>
        <w:spacing w:line="364" w:lineRule="auto" w:before="140"/>
        <w:ind w:right="6310"/>
      </w:pPr>
      <w:r>
        <w:rPr/>
        <w:t>客户服务电话：95321 传真：010-63080978</w:t>
      </w:r>
    </w:p>
    <w:p>
      <w:pPr>
        <w:pStyle w:val="BodyText"/>
        <w:spacing w:line="268" w:lineRule="exact"/>
      </w:pPr>
      <w:hyperlink r:id="rId161">
        <w:r>
          <w:rPr/>
          <w:t>网址：www.cindasc.com</w:t>
        </w:r>
      </w:hyperlink>
    </w:p>
    <w:p>
      <w:pPr>
        <w:pStyle w:val="ListParagraph"/>
        <w:numPr>
          <w:ilvl w:val="1"/>
          <w:numId w:val="8"/>
        </w:numPr>
        <w:tabs>
          <w:tab w:pos="1450" w:val="left" w:leader="none"/>
        </w:tabs>
        <w:spacing w:line="364" w:lineRule="auto" w:before="139" w:after="0"/>
        <w:ind w:left="820" w:right="5365" w:firstLine="0"/>
        <w:jc w:val="left"/>
        <w:rPr>
          <w:sz w:val="21"/>
        </w:rPr>
      </w:pPr>
      <w:r>
        <w:rPr>
          <w:sz w:val="21"/>
        </w:rPr>
        <w:t>兴业证券股份有限公司 </w:t>
      </w:r>
      <w:r>
        <w:rPr>
          <w:spacing w:val="-5"/>
          <w:sz w:val="21"/>
        </w:rPr>
        <w:t>注册地址：福州市湖东路 </w:t>
      </w:r>
      <w:r>
        <w:rPr>
          <w:sz w:val="21"/>
        </w:rPr>
        <w:t>268</w:t>
      </w:r>
      <w:r>
        <w:rPr>
          <w:spacing w:val="-36"/>
          <w:sz w:val="21"/>
        </w:rPr>
        <w:t> 号</w:t>
      </w:r>
    </w:p>
    <w:p>
      <w:pPr>
        <w:pStyle w:val="BodyText"/>
        <w:spacing w:line="364" w:lineRule="auto"/>
        <w:ind w:right="30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39"/>
        <w:ind w:right="6100"/>
      </w:pPr>
      <w:r>
        <w:rPr/>
        <w:t>客户服务电话：95562 </w:t>
      </w:r>
      <w:hyperlink r:id="rId162">
        <w:r>
          <w:rPr>
            <w:spacing w:val="-1"/>
          </w:rPr>
          <w:t>网址：www.xyzq.com.cn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中国银河证券股份有限公司</w:t>
      </w:r>
    </w:p>
    <w:p>
      <w:pPr>
        <w:pStyle w:val="BodyText"/>
        <w:spacing w:before="139"/>
      </w:pPr>
      <w:r>
        <w:rPr/>
        <w:t>注册地址：北京市西城区金融大街 35 号 2-6 层</w:t>
      </w:r>
    </w:p>
    <w:p>
      <w:pPr>
        <w:pStyle w:val="BodyText"/>
        <w:spacing w:line="364" w:lineRule="auto" w:before="140"/>
        <w:ind w:right="29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63">
        <w:r>
          <w:rPr/>
          <w:t>网址：www.chinastock.com.cn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粤开证券股份有限公司</w:t>
      </w:r>
    </w:p>
    <w:p>
      <w:pPr>
        <w:spacing w:after="0" w:line="240" w:lineRule="auto"/>
        <w:jc w:val="both"/>
        <w:rPr>
          <w:sz w:val="21"/>
        </w:rPr>
        <w:sectPr>
          <w:pgSz w:w="11910" w:h="16840"/>
          <w:pgMar w:header="0" w:footer="910" w:top="1380" w:bottom="1180" w:left="1400" w:right="1380"/>
        </w:sectPr>
      </w:pPr>
    </w:p>
    <w:p>
      <w:pPr>
        <w:pStyle w:val="BodyText"/>
        <w:spacing w:line="364" w:lineRule="auto" w:before="45"/>
        <w:ind w:right="1165"/>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415"/>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64">
        <w:r>
          <w:rPr/>
          <w:t>公司网址：http://www.ykzq.com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招商证券股份有限公司</w:t>
      </w:r>
    </w:p>
    <w:p>
      <w:pPr>
        <w:pStyle w:val="BodyText"/>
        <w:spacing w:line="364" w:lineRule="auto" w:before="140"/>
        <w:ind w:right="36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4840"/>
      </w:pPr>
      <w:r>
        <w:rPr/>
        <w:t>客户服务电话：95565、400-8888-111 传真：0755-82943636</w:t>
      </w:r>
    </w:p>
    <w:p>
      <w:pPr>
        <w:pStyle w:val="BodyText"/>
        <w:spacing w:line="268" w:lineRule="exact"/>
      </w:pPr>
      <w:hyperlink r:id="rId165">
        <w:r>
          <w:rPr/>
          <w:t>网址：www.newone.com.cn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浙商证券股份有限公司</w:t>
      </w:r>
    </w:p>
    <w:p>
      <w:pPr>
        <w:pStyle w:val="BodyText"/>
        <w:spacing w:before="140"/>
      </w:pPr>
      <w:r>
        <w:rPr>
          <w:spacing w:val="-3"/>
        </w:rPr>
        <w:t>注册地址：浙江省杭州市江干区五星路 </w:t>
      </w:r>
      <w:r>
        <w:rPr/>
        <w:t>201</w:t>
      </w:r>
      <w:r>
        <w:rPr>
          <w:spacing w:val="-27"/>
        </w:rPr>
        <w:t> 号</w:t>
      </w:r>
    </w:p>
    <w:p>
      <w:pPr>
        <w:pStyle w:val="BodyText"/>
        <w:spacing w:line="364" w:lineRule="auto" w:before="139"/>
        <w:ind w:right="24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310"/>
      </w:pPr>
      <w:r>
        <w:rPr/>
        <w:t>客户服务电话：95345 传真：0571-87901913</w:t>
      </w:r>
    </w:p>
    <w:p>
      <w:pPr>
        <w:pStyle w:val="BodyText"/>
        <w:spacing w:line="268" w:lineRule="exact"/>
      </w:pPr>
      <w:hyperlink r:id="rId166">
        <w:r>
          <w:rPr/>
          <w:t>网址：www.stocke.com.cn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中航证券有限公司</w:t>
      </w:r>
    </w:p>
    <w:p>
      <w:pPr>
        <w:pStyle w:val="BodyText"/>
        <w:spacing w:line="364" w:lineRule="auto" w:before="140"/>
        <w:ind w:right="5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法定代表人：丛中</w:t>
      </w:r>
    </w:p>
    <w:p>
      <w:pPr>
        <w:pStyle w:val="BodyText"/>
        <w:spacing w:line="268" w:lineRule="exact"/>
      </w:pPr>
      <w:r>
        <w:rPr/>
        <w:t>联系人：王紫雯</w:t>
      </w:r>
    </w:p>
    <w:p>
      <w:pPr>
        <w:pStyle w:val="BodyText"/>
        <w:spacing w:before="139"/>
      </w:pPr>
      <w:r>
        <w:rPr/>
        <w:t>联系电话：010-59562468</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167">
        <w:r>
          <w:rPr/>
          <w:t>网址：www.avicsec.com</w:t>
        </w:r>
      </w:hyperlink>
    </w:p>
    <w:p>
      <w:pPr>
        <w:spacing w:after="0"/>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left"/>
        <w:rPr>
          <w:sz w:val="21"/>
        </w:rPr>
      </w:pPr>
      <w:r>
        <w:rPr>
          <w:sz w:val="21"/>
        </w:rPr>
        <w:t>中国中金财富证券有限公司</w:t>
      </w:r>
    </w:p>
    <w:p>
      <w:pPr>
        <w:pStyle w:val="BodyText"/>
        <w:spacing w:before="139"/>
      </w:pPr>
      <w:r>
        <w:rPr/>
        <w:t>注册地址：深圳市福田区益田路与福中路交界处荣超商务中心 A 栋第 18-21 层及第 04</w:t>
      </w:r>
    </w:p>
    <w:p>
      <w:pPr>
        <w:pStyle w:val="BodyText"/>
        <w:spacing w:before="140"/>
        <w:ind w:left="400"/>
      </w:pPr>
      <w:r>
        <w:rPr/>
        <w:t>层 01.02.03.05.11.12.13.15.16.18.19.20.21.22.23 单元</w:t>
      </w:r>
    </w:p>
    <w:p>
      <w:pPr>
        <w:pStyle w:val="BodyText"/>
        <w:spacing w:line="364" w:lineRule="auto" w:before="139"/>
        <w:ind w:right="17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68">
        <w:r>
          <w:rPr/>
          <w:t>网址：https://www.ciccwm.com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中国国际金融股份有限公司</w:t>
      </w:r>
    </w:p>
    <w:p>
      <w:pPr>
        <w:pStyle w:val="BodyText"/>
        <w:spacing w:line="364" w:lineRule="auto" w:before="139"/>
        <w:ind w:right="17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15"/>
      </w:pPr>
      <w:r>
        <w:rPr/>
        <w:t>法定代表人：沈如军联系人：杨涵宇</w:t>
      </w:r>
    </w:p>
    <w:p>
      <w:pPr>
        <w:pStyle w:val="BodyText"/>
        <w:spacing w:line="268" w:lineRule="exact"/>
      </w:pPr>
      <w:r>
        <w:rPr/>
        <w:t>联系电话：010-65051166</w:t>
      </w:r>
    </w:p>
    <w:p>
      <w:pPr>
        <w:pStyle w:val="BodyText"/>
        <w:spacing w:line="364" w:lineRule="auto" w:before="139"/>
        <w:ind w:right="5785"/>
      </w:pPr>
      <w:r>
        <w:rPr>
          <w:spacing w:val="-1"/>
        </w:rPr>
        <w:t>客户服务电话</w:t>
      </w:r>
      <w:r>
        <w:rPr/>
        <w:t>：4009101166 </w:t>
      </w:r>
      <w:hyperlink r:id="rId169">
        <w:r>
          <w:rPr/>
          <w:t>网址：www.cicc.com.cn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中山证券有限责任公司</w:t>
      </w:r>
    </w:p>
    <w:p>
      <w:pPr>
        <w:pStyle w:val="BodyText"/>
        <w:spacing w:line="364" w:lineRule="auto" w:before="139"/>
        <w:ind w:right="4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415"/>
      </w:pPr>
      <w:r>
        <w:rPr/>
        <w:t>法定代表人：林炳城联系人：罗艺琳</w:t>
      </w:r>
    </w:p>
    <w:p>
      <w:pPr>
        <w:pStyle w:val="BodyText"/>
        <w:spacing w:line="364" w:lineRule="auto"/>
        <w:ind w:right="6310"/>
      </w:pPr>
      <w:r>
        <w:rPr>
          <w:spacing w:val="-1"/>
        </w:rPr>
        <w:t>电话：0755-82943755 </w:t>
      </w:r>
      <w:r>
        <w:rPr>
          <w:spacing w:val="-2"/>
        </w:rPr>
        <w:t>传真：0755-82960582</w:t>
      </w:r>
    </w:p>
    <w:p>
      <w:pPr>
        <w:pStyle w:val="BodyText"/>
        <w:spacing w:line="364" w:lineRule="auto"/>
        <w:ind w:right="6310"/>
      </w:pPr>
      <w:r>
        <w:rPr/>
        <w:t>客户服务电话</w:t>
      </w:r>
      <w:r>
        <w:rPr>
          <w:spacing w:val="-4"/>
        </w:rPr>
        <w:t>：95329 </w:t>
      </w:r>
      <w:hyperlink r:id="rId170">
        <w:r>
          <w:rPr/>
          <w:t>网址：www.zszq.com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中泰证券股份有限公司</w:t>
      </w:r>
    </w:p>
    <w:p>
      <w:pPr>
        <w:pStyle w:val="BodyText"/>
        <w:spacing w:line="364" w:lineRule="auto" w:before="137"/>
        <w:ind w:right="48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310"/>
      </w:pPr>
      <w:r>
        <w:rPr/>
        <w:t>客户服务电话：95538 传真：0531-68889095</w:t>
      </w:r>
    </w:p>
    <w:p>
      <w:pPr>
        <w:spacing w:after="0" w:line="364" w:lineRule="auto"/>
        <w:sectPr>
          <w:pgSz w:w="11910" w:h="16840"/>
          <w:pgMar w:header="0" w:footer="910" w:top="1380" w:bottom="1180" w:left="1400" w:right="1380"/>
        </w:sectPr>
      </w:pPr>
    </w:p>
    <w:p>
      <w:pPr>
        <w:pStyle w:val="BodyText"/>
        <w:spacing w:before="45"/>
      </w:pPr>
      <w:hyperlink r:id="rId171">
        <w:r>
          <w:rPr/>
          <w:t>网址：www.zts.com.cn</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中天证券股份有限公司</w:t>
      </w:r>
    </w:p>
    <w:p>
      <w:pPr>
        <w:pStyle w:val="BodyText"/>
        <w:spacing w:line="364" w:lineRule="auto" w:before="140"/>
        <w:ind w:right="42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5890"/>
      </w:pPr>
      <w:r>
        <w:rPr>
          <w:spacing w:val="-1"/>
        </w:rPr>
        <w:t>客户服务电话</w:t>
      </w:r>
      <w:r>
        <w:rPr/>
        <w:t>：024-95346 传真：024-23255606</w:t>
      </w:r>
    </w:p>
    <w:p>
      <w:pPr>
        <w:pStyle w:val="BodyText"/>
        <w:spacing w:line="268" w:lineRule="exact"/>
      </w:pPr>
      <w:hyperlink r:id="rId172">
        <w:r>
          <w:rPr/>
          <w:t>网址：www.iztzq.com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中信建投证券股份有限公司</w:t>
      </w:r>
    </w:p>
    <w:p>
      <w:pPr>
        <w:pStyle w:val="BodyText"/>
        <w:spacing w:line="364" w:lineRule="auto" w:before="140"/>
        <w:ind w:right="42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15"/>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73">
        <w:r>
          <w:rPr/>
          <w:t>网址：http://www.csc108.com/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中信证券股份有限公司</w:t>
      </w:r>
    </w:p>
    <w:p>
      <w:pPr>
        <w:pStyle w:val="BodyText"/>
        <w:spacing w:line="364" w:lineRule="auto" w:before="139"/>
        <w:ind w:right="15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15"/>
      </w:pPr>
      <w:r>
        <w:rPr/>
        <w:t>法定代表人：张佑君联系人：王一通</w:t>
      </w:r>
    </w:p>
    <w:p>
      <w:pPr>
        <w:pStyle w:val="BodyText"/>
        <w:spacing w:line="268" w:lineRule="exact"/>
      </w:pPr>
      <w:r>
        <w:rPr/>
        <w:t>联系电话：010-60838888</w:t>
      </w:r>
    </w:p>
    <w:p>
      <w:pPr>
        <w:pStyle w:val="BodyText"/>
        <w:spacing w:line="364" w:lineRule="auto" w:before="139"/>
        <w:ind w:right="6310"/>
      </w:pPr>
      <w:r>
        <w:rPr/>
        <w:t>客户服务电话：95548 传真：010-60836029</w:t>
      </w:r>
    </w:p>
    <w:p>
      <w:pPr>
        <w:pStyle w:val="BodyText"/>
        <w:spacing w:line="268" w:lineRule="exact"/>
      </w:pPr>
      <w:hyperlink r:id="rId174">
        <w:r>
          <w:rPr/>
          <w:t>网址：www.cs.ecitic.com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中信证券华南股份有限公司</w:t>
      </w:r>
    </w:p>
    <w:p>
      <w:pPr>
        <w:pStyle w:val="BodyText"/>
        <w:spacing w:before="140"/>
      </w:pPr>
      <w:r>
        <w:rPr/>
        <w:t>注册地址：广州市天河区珠江西路 5 号 501 房</w:t>
      </w:r>
    </w:p>
    <w:p>
      <w:pPr>
        <w:pStyle w:val="BodyText"/>
        <w:spacing w:line="364" w:lineRule="auto" w:before="139"/>
        <w:ind w:right="1426"/>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before="139"/>
      </w:pPr>
      <w:r>
        <w:rPr/>
        <w:t>客户服务电话：95548</w:t>
      </w:r>
    </w:p>
    <w:p>
      <w:pPr>
        <w:spacing w:after="0"/>
        <w:sectPr>
          <w:pgSz w:w="11910" w:h="16840"/>
          <w:pgMar w:header="0" w:footer="910" w:top="1380" w:bottom="1180" w:left="1400" w:right="1380"/>
        </w:sectPr>
      </w:pPr>
    </w:p>
    <w:p>
      <w:pPr>
        <w:pStyle w:val="BodyText"/>
        <w:spacing w:before="45"/>
      </w:pPr>
      <w:r>
        <w:rPr/>
        <w:t>传真：020-88836984</w:t>
      </w:r>
    </w:p>
    <w:p>
      <w:pPr>
        <w:pStyle w:val="BodyText"/>
        <w:spacing w:before="139"/>
      </w:pPr>
      <w:hyperlink r:id="rId175">
        <w:r>
          <w:rPr/>
          <w:t>网址：www.gzs.com.cn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中信证券（山东）有限责任公司</w:t>
      </w:r>
    </w:p>
    <w:p>
      <w:pPr>
        <w:pStyle w:val="BodyText"/>
        <w:spacing w:before="139"/>
      </w:pPr>
      <w:r>
        <w:rPr/>
        <w:t>注册地址：青岛市崂山区深圳路 222 号 1 号楼 2001</w:t>
      </w:r>
    </w:p>
    <w:p>
      <w:pPr>
        <w:pStyle w:val="BodyText"/>
        <w:spacing w:line="364" w:lineRule="auto" w:before="140"/>
        <w:ind w:right="29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310"/>
      </w:pPr>
      <w:r>
        <w:rPr/>
        <w:t>客户服务电话：95548 传真：0532-85022605</w:t>
      </w:r>
    </w:p>
    <w:p>
      <w:pPr>
        <w:pStyle w:val="BodyText"/>
        <w:spacing w:line="268" w:lineRule="exact"/>
      </w:pPr>
      <w:hyperlink r:id="rId176">
        <w:r>
          <w:rPr/>
          <w:t>网址：http://sd.citics.com/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中银国际证券股份有限公司</w:t>
      </w:r>
    </w:p>
    <w:p>
      <w:pPr>
        <w:pStyle w:val="BodyText"/>
        <w:spacing w:before="139"/>
      </w:pPr>
      <w:r>
        <w:rPr/>
        <w:t>注册地址：上海市浦东新区银城中路 200 号中银大厦 39 层</w:t>
      </w:r>
    </w:p>
    <w:p>
      <w:pPr>
        <w:pStyle w:val="BodyText"/>
        <w:spacing w:line="364" w:lineRule="auto" w:before="140"/>
        <w:ind w:right="26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575"/>
      </w:pPr>
      <w:r>
        <w:rPr/>
        <w:t>客户服务电话：400-620-8888 传真：021-50372474</w:t>
      </w:r>
    </w:p>
    <w:p>
      <w:pPr>
        <w:pStyle w:val="BodyText"/>
        <w:spacing w:line="268" w:lineRule="exact"/>
      </w:pPr>
      <w:hyperlink r:id="rId177">
        <w:r>
          <w:rPr/>
          <w:t>网址：www.bocichina.com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中邮证券有限责任公司</w:t>
      </w:r>
    </w:p>
    <w:p>
      <w:pPr>
        <w:pStyle w:val="BodyText"/>
        <w:spacing w:line="364" w:lineRule="auto" w:before="139"/>
        <w:ind w:right="21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415"/>
      </w:pPr>
      <w:r>
        <w:rPr/>
        <w:t>法定代表人：丁奇文联系人：岳帅</w:t>
      </w:r>
    </w:p>
    <w:p>
      <w:pPr>
        <w:pStyle w:val="BodyText"/>
        <w:spacing w:line="268" w:lineRule="exact"/>
      </w:pPr>
      <w:r>
        <w:rPr/>
        <w:t>联系电话: 010-67017788-6068</w:t>
      </w:r>
    </w:p>
    <w:p>
      <w:pPr>
        <w:pStyle w:val="BodyText"/>
        <w:spacing w:line="364" w:lineRule="auto" w:before="139"/>
        <w:ind w:right="5575"/>
      </w:pPr>
      <w:r>
        <w:rPr/>
        <w:t>客户服务电话：4008-888-005 传真：010-67017788-9696</w:t>
      </w:r>
    </w:p>
    <w:p>
      <w:pPr>
        <w:pStyle w:val="BodyText"/>
        <w:spacing w:line="268" w:lineRule="exact"/>
      </w:pPr>
      <w:hyperlink r:id="rId178">
        <w:r>
          <w:rPr/>
          <w:t>网址：www.cnpsec.com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中原证券股份有限公司</w:t>
      </w:r>
    </w:p>
    <w:p>
      <w:pPr>
        <w:pStyle w:val="BodyText"/>
        <w:spacing w:before="140"/>
      </w:pPr>
      <w:r>
        <w:rPr/>
        <w:t>注册地址：郑州市郑东新区商务外环路 10 号</w:t>
      </w:r>
    </w:p>
    <w:p>
      <w:pPr>
        <w:pStyle w:val="BodyText"/>
        <w:spacing w:line="364" w:lineRule="auto" w:before="139"/>
        <w:ind w:right="13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499" w:val="left" w:leader="none"/>
        </w:tabs>
        <w:spacing w:line="364" w:lineRule="auto"/>
        <w:ind w:right="5470"/>
      </w:pPr>
      <w:r>
        <w:rPr/>
        <w:t>联系人：程月艳</w:t>
        <w:tab/>
        <w:t>李盼盼 党</w:t>
      </w:r>
      <w:r>
        <w:rPr>
          <w:spacing w:val="-18"/>
        </w:rPr>
        <w:t>静</w:t>
      </w:r>
      <w:r>
        <w:rPr/>
        <w:t>联系电话：0371-69099882</w:t>
      </w:r>
    </w:p>
    <w:p>
      <w:pPr>
        <w:spacing w:after="0" w:line="364" w:lineRule="auto"/>
        <w:sectPr>
          <w:pgSz w:w="11910" w:h="16840"/>
          <w:pgMar w:header="0" w:footer="910" w:top="1380" w:bottom="1180" w:left="1400" w:right="1380"/>
        </w:sectPr>
      </w:pPr>
    </w:p>
    <w:p>
      <w:pPr>
        <w:pStyle w:val="BodyText"/>
        <w:spacing w:line="364" w:lineRule="auto" w:before="45"/>
        <w:ind w:right="6310"/>
      </w:pPr>
      <w:r>
        <w:rPr/>
        <w:t>客户服务电话</w:t>
      </w:r>
      <w:r>
        <w:rPr>
          <w:spacing w:val="-4"/>
        </w:rPr>
        <w:t>：95377 </w:t>
      </w:r>
      <w:r>
        <w:rPr>
          <w:spacing w:val="-2"/>
        </w:rPr>
        <w:t>传真：0371-65585899</w:t>
      </w:r>
    </w:p>
    <w:p>
      <w:pPr>
        <w:pStyle w:val="BodyText"/>
        <w:spacing w:line="268" w:lineRule="exact"/>
      </w:pPr>
      <w:hyperlink r:id="rId179">
        <w:r>
          <w:rPr/>
          <w:t>网址：www.ccnew.com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上海长量基金销售有限公司</w:t>
      </w:r>
    </w:p>
    <w:p>
      <w:pPr>
        <w:pStyle w:val="BodyText"/>
        <w:spacing w:before="140"/>
      </w:pPr>
      <w:r>
        <w:rPr/>
        <w:t>注册地址：上海市浦东新区高翔路 526 号 2 幢 220 室</w:t>
      </w:r>
    </w:p>
    <w:p>
      <w:pPr>
        <w:pStyle w:val="BodyText"/>
        <w:spacing w:line="364" w:lineRule="auto" w:before="139"/>
        <w:ind w:right="15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联系人：孙娅雯</w:t>
      </w:r>
    </w:p>
    <w:p>
      <w:pPr>
        <w:pStyle w:val="BodyText"/>
        <w:spacing w:before="140"/>
      </w:pPr>
      <w:r>
        <w:rPr/>
        <w:t>联系电话：021-20691819</w:t>
      </w:r>
    </w:p>
    <w:p>
      <w:pPr>
        <w:pStyle w:val="BodyText"/>
        <w:spacing w:line="364" w:lineRule="auto" w:before="139"/>
        <w:ind w:right="5575"/>
      </w:pPr>
      <w:r>
        <w:rPr/>
        <w:t>客户服务电话：400-820-2899 传真：021-20691861</w:t>
      </w:r>
    </w:p>
    <w:p>
      <w:pPr>
        <w:pStyle w:val="BodyText"/>
        <w:spacing w:line="268" w:lineRule="exact"/>
      </w:pPr>
      <w:hyperlink r:id="rId180">
        <w:r>
          <w:rPr/>
          <w:t>网址：www.erichfund.com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上海朝阳永续基金销售有限公司</w:t>
      </w:r>
    </w:p>
    <w:p>
      <w:pPr>
        <w:pStyle w:val="BodyText"/>
        <w:spacing w:before="139"/>
      </w:pPr>
      <w:r>
        <w:rPr/>
        <w:t>注册地址：浦东新区上丰路 977 号 1 幢 B 座 812 室</w:t>
      </w:r>
    </w:p>
    <w:p>
      <w:pPr>
        <w:pStyle w:val="BodyText"/>
        <w:spacing w:line="364" w:lineRule="auto" w:before="139"/>
        <w:ind w:right="31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5575"/>
      </w:pPr>
      <w:r>
        <w:rPr/>
        <w:t>客户服务电话：400-699-1888 </w:t>
      </w:r>
      <w:hyperlink r:id="rId181">
        <w:r>
          <w:rPr/>
          <w:t>网址：www.998fund.com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北京创金启富基金销售有限公司</w:t>
      </w:r>
    </w:p>
    <w:p>
      <w:pPr>
        <w:pStyle w:val="BodyText"/>
        <w:spacing w:line="364" w:lineRule="auto" w:before="140"/>
        <w:ind w:right="30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5575"/>
      </w:pPr>
      <w:r>
        <w:rPr/>
        <w:t>客户服务电话：400-6262-818 传真：010-63583991</w:t>
      </w:r>
    </w:p>
    <w:p>
      <w:pPr>
        <w:pStyle w:val="BodyText"/>
        <w:spacing w:line="268" w:lineRule="exact"/>
      </w:pPr>
      <w:hyperlink r:id="rId182">
        <w:r>
          <w:rPr/>
          <w:t>网址：www.5irich.com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大泰金石基金销售有限公司</w:t>
      </w:r>
    </w:p>
    <w:p>
      <w:pPr>
        <w:pStyle w:val="BodyText"/>
        <w:spacing w:before="140"/>
      </w:pPr>
      <w:r>
        <w:rPr/>
        <w:t>注册地址：南京市建邺区江东中路 102 号 708 室</w:t>
      </w:r>
    </w:p>
    <w:p>
      <w:pPr>
        <w:pStyle w:val="BodyText"/>
        <w:spacing w:line="364" w:lineRule="auto" w:before="139"/>
        <w:ind w:right="27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spacing w:after="0" w:line="268" w:lineRule="exact"/>
        <w:sectPr>
          <w:pgSz w:w="11910" w:h="16840"/>
          <w:pgMar w:header="0" w:footer="910" w:top="1380" w:bottom="1180" w:left="1400" w:right="1380"/>
        </w:sectPr>
      </w:pPr>
    </w:p>
    <w:p>
      <w:pPr>
        <w:pStyle w:val="BodyText"/>
        <w:spacing w:before="45"/>
      </w:pPr>
      <w:r>
        <w:rPr/>
        <w:t>联系电话：021-20324176</w:t>
      </w:r>
    </w:p>
    <w:p>
      <w:pPr>
        <w:pStyle w:val="BodyText"/>
        <w:spacing w:line="364" w:lineRule="auto" w:before="139"/>
        <w:ind w:right="5575"/>
      </w:pPr>
      <w:r>
        <w:rPr/>
        <w:t>客户服务电话：400-995-9220 传真：021-20324199</w:t>
      </w:r>
    </w:p>
    <w:p>
      <w:pPr>
        <w:pStyle w:val="BodyText"/>
        <w:spacing w:line="268" w:lineRule="exact"/>
      </w:pPr>
      <w:hyperlink r:id="rId183">
        <w:r>
          <w:rPr/>
          <w:t>网址：www.dtfunds.com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上海大智慧基金销售有限公司</w:t>
      </w:r>
    </w:p>
    <w:p>
      <w:pPr>
        <w:pStyle w:val="BodyText"/>
        <w:spacing w:line="364" w:lineRule="auto" w:before="139"/>
        <w:ind w:right="14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575"/>
      </w:pPr>
      <w:r>
        <w:rPr/>
        <w:t>客户服务电话：021-20292031 传真：021-20219923</w:t>
      </w:r>
    </w:p>
    <w:p>
      <w:pPr>
        <w:pStyle w:val="BodyText"/>
        <w:spacing w:line="268" w:lineRule="exact"/>
      </w:pPr>
      <w:hyperlink r:id="rId184">
        <w:r>
          <w:rPr/>
          <w:t>网址：https://www.wg.com.cn/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北京蛋卷基金销售有限公司</w:t>
      </w:r>
    </w:p>
    <w:p>
      <w:pPr>
        <w:pStyle w:val="BodyText"/>
        <w:spacing w:before="139"/>
      </w:pPr>
      <w:r>
        <w:rPr/>
        <w:t>注册地址：北京市朝阳区创远路 34 号院 6 号楼 15 层 1501 室</w:t>
      </w:r>
    </w:p>
    <w:p>
      <w:pPr>
        <w:pStyle w:val="BodyText"/>
        <w:spacing w:line="364" w:lineRule="auto" w:before="139"/>
        <w:ind w:right="2425"/>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5365"/>
      </w:pPr>
      <w:r>
        <w:rPr/>
        <w:t>客户服务电话：400-159-9288 </w:t>
      </w:r>
      <w:r>
        <w:rPr>
          <w:spacing w:val="-1"/>
        </w:rPr>
        <w:t>网址：https://danjuanapp.com</w:t>
      </w:r>
    </w:p>
    <w:p>
      <w:pPr>
        <w:pStyle w:val="ListParagraph"/>
        <w:numPr>
          <w:ilvl w:val="1"/>
          <w:numId w:val="8"/>
        </w:numPr>
        <w:tabs>
          <w:tab w:pos="1450" w:val="left" w:leader="none"/>
        </w:tabs>
        <w:spacing w:line="268" w:lineRule="exact" w:before="0" w:after="0"/>
        <w:ind w:left="1450" w:right="0" w:hanging="630"/>
        <w:jc w:val="left"/>
        <w:rPr>
          <w:sz w:val="21"/>
        </w:rPr>
      </w:pPr>
      <w:r>
        <w:rPr>
          <w:sz w:val="21"/>
        </w:rPr>
        <w:t>鼎信汇金（北京）投资管理有限公司</w:t>
      </w:r>
    </w:p>
    <w:p>
      <w:pPr>
        <w:pStyle w:val="BodyText"/>
        <w:spacing w:line="364" w:lineRule="auto" w:before="140"/>
        <w:ind w:right="2950"/>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5575"/>
      </w:pPr>
      <w:r>
        <w:rPr/>
        <w:t>客户服务电话：400-158-5050 传真：010-82086110</w:t>
      </w:r>
    </w:p>
    <w:p>
      <w:pPr>
        <w:pStyle w:val="BodyText"/>
        <w:spacing w:line="268" w:lineRule="exact"/>
      </w:pPr>
      <w:hyperlink r:id="rId185">
        <w:r>
          <w:rPr/>
          <w:t>网址：www.9ifund.com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上海东证期货有限公司</w:t>
      </w:r>
    </w:p>
    <w:p>
      <w:pPr>
        <w:pStyle w:val="BodyText"/>
        <w:spacing w:line="364" w:lineRule="auto" w:before="140"/>
        <w:ind w:right="14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268" w:lineRule="exact"/>
      </w:pPr>
      <w:r>
        <w:rPr/>
        <w:t>法定代表人：卢大印</w:t>
      </w:r>
    </w:p>
    <w:p>
      <w:pPr>
        <w:spacing w:after="0" w:line="268" w:lineRule="exact"/>
        <w:sectPr>
          <w:pgSz w:w="11910" w:h="16840"/>
          <w:pgMar w:header="0" w:footer="910" w:top="1380" w:bottom="1180" w:left="1400" w:right="1380"/>
        </w:sectPr>
      </w:pPr>
    </w:p>
    <w:p>
      <w:pPr>
        <w:pStyle w:val="BodyText"/>
        <w:spacing w:before="45"/>
      </w:pPr>
      <w:r>
        <w:rPr/>
        <w:t>联系人：张敏圆</w:t>
      </w:r>
    </w:p>
    <w:p>
      <w:pPr>
        <w:pStyle w:val="BodyText"/>
        <w:spacing w:before="139"/>
      </w:pPr>
      <w:r>
        <w:rPr/>
        <w:t>联系电话：021-63325888-4259</w:t>
      </w:r>
    </w:p>
    <w:p>
      <w:pPr>
        <w:pStyle w:val="BodyText"/>
        <w:spacing w:line="364" w:lineRule="auto" w:before="140"/>
        <w:ind w:right="5785"/>
      </w:pPr>
      <w:r>
        <w:rPr/>
        <w:t>客户服务电话：4008859999 传真：021-63326752</w:t>
      </w:r>
    </w:p>
    <w:p>
      <w:pPr>
        <w:pStyle w:val="BodyText"/>
        <w:spacing w:line="268" w:lineRule="exact"/>
      </w:pPr>
      <w:hyperlink r:id="rId186">
        <w:r>
          <w:rPr/>
          <w:t>网址：www.dzqh.com.cn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北京度小满基金销售有限公司</w:t>
      </w:r>
    </w:p>
    <w:p>
      <w:pPr>
        <w:pStyle w:val="BodyText"/>
        <w:spacing w:line="364" w:lineRule="auto" w:before="140"/>
        <w:ind w:right="21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25"/>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87">
        <w:r>
          <w:rPr/>
          <w:t>网址：www.baiyingfund.com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泛华普益基金销售有限公司</w:t>
      </w:r>
    </w:p>
    <w:p>
      <w:pPr>
        <w:pStyle w:val="BodyText"/>
        <w:spacing w:before="140"/>
      </w:pPr>
      <w:r>
        <w:rPr/>
        <w:t>注册地址：四川省成都市成华区建设路 9 号高地中心 1101 室</w:t>
      </w:r>
    </w:p>
    <w:p>
      <w:pPr>
        <w:pStyle w:val="BodyText"/>
        <w:spacing w:line="364" w:lineRule="auto" w:before="139"/>
        <w:ind w:right="6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5575"/>
      </w:pPr>
      <w:r>
        <w:rPr/>
        <w:t>客户服务电话</w:t>
      </w:r>
      <w:r>
        <w:rPr>
          <w:spacing w:val="-2"/>
        </w:rPr>
        <w:t>：400-080-3388 </w:t>
      </w:r>
      <w:hyperlink r:id="rId188">
        <w:r>
          <w:rPr/>
          <w:t>网址：www.puyifund.com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深圳富济基金销售有限公司</w:t>
      </w:r>
    </w:p>
    <w:p>
      <w:pPr>
        <w:pStyle w:val="BodyText"/>
        <w:spacing w:line="364" w:lineRule="auto" w:before="139"/>
        <w:ind w:right="10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470"/>
      </w:pPr>
      <w:r>
        <w:rPr/>
        <w:t>客户服务电话：0755-83999907 传真：0755-83999926</w:t>
      </w:r>
    </w:p>
    <w:p>
      <w:pPr>
        <w:pStyle w:val="BodyText"/>
        <w:spacing w:line="268" w:lineRule="exact"/>
      </w:pPr>
      <w:hyperlink r:id="rId189">
        <w:r>
          <w:rPr/>
          <w:t>网址：www.fujifund.cn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海银基金销售有限公司</w:t>
      </w:r>
    </w:p>
    <w:p>
      <w:pPr>
        <w:pStyle w:val="BodyText"/>
        <w:spacing w:line="364" w:lineRule="auto" w:before="139"/>
        <w:ind w:right="26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spacing w:after="0" w:line="364" w:lineRule="auto"/>
        <w:sectPr>
          <w:pgSz w:w="11910" w:h="16840"/>
          <w:pgMar w:header="0" w:footer="910" w:top="1380" w:bottom="1180" w:left="1400" w:right="1380"/>
        </w:sectPr>
      </w:pPr>
    </w:p>
    <w:p>
      <w:pPr>
        <w:pStyle w:val="BodyText"/>
        <w:spacing w:before="45"/>
      </w:pPr>
      <w:r>
        <w:rPr/>
        <w:t>联系人：毛林</w:t>
      </w:r>
    </w:p>
    <w:p>
      <w:pPr>
        <w:pStyle w:val="BodyText"/>
        <w:spacing w:before="139"/>
      </w:pPr>
      <w:r>
        <w:rPr/>
        <w:t>联系电话：021-80133597</w:t>
      </w:r>
    </w:p>
    <w:p>
      <w:pPr>
        <w:pStyle w:val="BodyText"/>
        <w:spacing w:line="364" w:lineRule="auto" w:before="140"/>
        <w:ind w:right="5575"/>
      </w:pPr>
      <w:r>
        <w:rPr/>
        <w:t>客户服务电话：400-808-1016 传真：021-80133413</w:t>
      </w:r>
    </w:p>
    <w:p>
      <w:pPr>
        <w:pStyle w:val="BodyText"/>
        <w:spacing w:line="268" w:lineRule="exact"/>
      </w:pPr>
      <w:hyperlink r:id="rId190">
        <w:r>
          <w:rPr/>
          <w:t>网址：www.fundhaiyin.com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上海好买基金销售有限公司</w:t>
      </w:r>
    </w:p>
    <w:p>
      <w:pPr>
        <w:pStyle w:val="BodyText"/>
        <w:spacing w:before="140"/>
      </w:pPr>
      <w:r>
        <w:rPr/>
        <w:t>注册地址：上海市虹口区欧阳路 196 号 26 号楼 2 楼 41 号</w:t>
      </w:r>
    </w:p>
    <w:p>
      <w:pPr>
        <w:pStyle w:val="BodyText"/>
        <w:spacing w:line="364" w:lineRule="auto" w:before="139"/>
        <w:ind w:right="22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575"/>
      </w:pPr>
      <w:r>
        <w:rPr/>
        <w:t>客户服务电话：400-700-9665 传真：021-68596919</w:t>
      </w:r>
    </w:p>
    <w:p>
      <w:pPr>
        <w:pStyle w:val="BodyText"/>
        <w:spacing w:line="268" w:lineRule="exact"/>
      </w:pPr>
      <w:hyperlink r:id="rId191">
        <w:r>
          <w:rPr/>
          <w:t>网址：www.ehowbuy.com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和讯信息科技有限公司</w:t>
      </w:r>
    </w:p>
    <w:p>
      <w:pPr>
        <w:pStyle w:val="BodyText"/>
        <w:spacing w:before="140"/>
      </w:pPr>
      <w:r>
        <w:rPr/>
        <w:t>注册地址：北京市朝阳区朝外大街 22 号 1002 室</w:t>
      </w:r>
    </w:p>
    <w:p>
      <w:pPr>
        <w:pStyle w:val="BodyText"/>
        <w:spacing w:line="364" w:lineRule="auto" w:before="139"/>
        <w:ind w:right="32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575"/>
      </w:pPr>
      <w:r>
        <w:rPr/>
        <w:t>客户服务电话：400-920-0022 传真：010-65884788</w:t>
      </w:r>
    </w:p>
    <w:p>
      <w:pPr>
        <w:pStyle w:val="BodyText"/>
        <w:spacing w:line="268" w:lineRule="exact"/>
      </w:pPr>
      <w:hyperlink r:id="rId192">
        <w:r>
          <w:rPr/>
          <w:t>网址：http://licaike.hexun.com/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北京恒天明泽基金销售有限公司</w:t>
      </w:r>
    </w:p>
    <w:p>
      <w:pPr>
        <w:pStyle w:val="BodyText"/>
        <w:spacing w:before="139"/>
      </w:pPr>
      <w:r>
        <w:rPr/>
        <w:t>注册地址：北京市经济技术开发区宏达北路 10 号五层 5122 室</w:t>
      </w:r>
    </w:p>
    <w:p>
      <w:pPr>
        <w:pStyle w:val="BodyText"/>
        <w:spacing w:line="364" w:lineRule="auto" w:before="140"/>
        <w:ind w:right="15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联系人：侯艳红</w:t>
      </w:r>
    </w:p>
    <w:p>
      <w:pPr>
        <w:pStyle w:val="BodyText"/>
        <w:spacing w:before="139"/>
      </w:pPr>
      <w:r>
        <w:rPr/>
        <w:t>联系电话：010-59313555</w:t>
      </w:r>
    </w:p>
    <w:p>
      <w:pPr>
        <w:pStyle w:val="BodyText"/>
        <w:spacing w:line="364" w:lineRule="auto" w:before="139"/>
        <w:ind w:right="5575"/>
      </w:pPr>
      <w:r>
        <w:rPr/>
        <w:t>客户服务电话</w:t>
      </w:r>
      <w:r>
        <w:rPr>
          <w:spacing w:val="-2"/>
        </w:rPr>
        <w:t>：400-8980-618 </w:t>
      </w:r>
      <w:r>
        <w:rPr/>
        <w:t>传真：010-59313586</w:t>
      </w:r>
    </w:p>
    <w:p>
      <w:pPr>
        <w:pStyle w:val="BodyText"/>
        <w:spacing w:line="268" w:lineRule="exact"/>
      </w:pPr>
      <w:hyperlink r:id="rId193">
        <w:r>
          <w:rPr/>
          <w:t>网址：www.chtwm.com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弘业期货股份有限公司</w:t>
      </w:r>
    </w:p>
    <w:p>
      <w:pPr>
        <w:pStyle w:val="BodyText"/>
        <w:spacing w:before="139"/>
      </w:pPr>
      <w:r>
        <w:rPr/>
        <w:t>注册地址：江苏省南京市秦淮区中华路 50 号</w:t>
      </w:r>
    </w:p>
    <w:p>
      <w:pPr>
        <w:spacing w:after="0"/>
        <w:sectPr>
          <w:pgSz w:w="11910" w:h="16840"/>
          <w:pgMar w:header="0" w:footer="910" w:top="1380" w:bottom="1180" w:left="1400" w:right="1380"/>
        </w:sectPr>
      </w:pPr>
    </w:p>
    <w:p>
      <w:pPr>
        <w:pStyle w:val="BodyText"/>
        <w:spacing w:line="364" w:lineRule="auto" w:before="45"/>
        <w:ind w:right="29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575"/>
      </w:pPr>
      <w:r>
        <w:rPr/>
        <w:t>客户服务电话</w:t>
      </w:r>
      <w:r>
        <w:rPr>
          <w:spacing w:val="-2"/>
        </w:rPr>
        <w:t>：400-828-1288 </w:t>
      </w:r>
      <w:hyperlink r:id="rId194">
        <w:r>
          <w:rPr/>
          <w:t>网址：www.ftol.com.cn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北京虹点基金销售有限公司</w:t>
      </w:r>
    </w:p>
    <w:p>
      <w:pPr>
        <w:pStyle w:val="BodyText"/>
        <w:spacing w:line="364" w:lineRule="auto" w:before="139"/>
        <w:ind w:right="31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5575"/>
      </w:pPr>
      <w:r>
        <w:rPr/>
        <w:t>客户服务电话：400-618-0707 </w:t>
      </w:r>
      <w:hyperlink r:id="rId195">
        <w:r>
          <w:rPr/>
          <w:t>网址：www.hongdianfund.com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华瑞保险销售有限公司</w:t>
      </w:r>
    </w:p>
    <w:p>
      <w:pPr>
        <w:pStyle w:val="BodyText"/>
        <w:spacing w:line="364" w:lineRule="auto" w:before="140"/>
        <w:ind w:right="64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625"/>
      </w:pPr>
      <w:r>
        <w:rPr/>
        <w:t>法定代表人：路昊联系人：茆勇强</w:t>
      </w:r>
    </w:p>
    <w:p>
      <w:pPr>
        <w:pStyle w:val="BodyText"/>
        <w:spacing w:line="268" w:lineRule="exact"/>
      </w:pPr>
      <w:r>
        <w:rPr/>
        <w:t>联系电话：021-68595698</w:t>
      </w:r>
    </w:p>
    <w:p>
      <w:pPr>
        <w:pStyle w:val="BodyText"/>
        <w:spacing w:line="364" w:lineRule="auto" w:before="138"/>
        <w:ind w:right="6205"/>
      </w:pPr>
      <w:r>
        <w:rPr/>
        <w:t>客户服务电话：952303 传真：021-68595766</w:t>
      </w:r>
    </w:p>
    <w:p>
      <w:pPr>
        <w:pStyle w:val="BodyText"/>
        <w:spacing w:line="268" w:lineRule="exact"/>
      </w:pPr>
      <w:hyperlink r:id="rId196">
        <w:r>
          <w:rPr/>
          <w:t>网址：www.huaruisales.com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上海华夏财富投资管理有限公司</w:t>
      </w:r>
    </w:p>
    <w:p>
      <w:pPr>
        <w:pStyle w:val="BodyText"/>
        <w:spacing w:line="364" w:lineRule="auto" w:before="139"/>
        <w:ind w:right="29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联系电话：010-88066326</w:t>
      </w:r>
    </w:p>
    <w:p>
      <w:pPr>
        <w:pStyle w:val="BodyText"/>
        <w:spacing w:line="364" w:lineRule="auto" w:before="140"/>
        <w:ind w:right="5575"/>
      </w:pPr>
      <w:r>
        <w:rPr/>
        <w:t>客户服务电话：400-817-5666 传真：010-63136184</w:t>
      </w:r>
    </w:p>
    <w:p>
      <w:pPr>
        <w:pStyle w:val="BodyText"/>
        <w:spacing w:line="268" w:lineRule="exact"/>
      </w:pPr>
      <w:hyperlink r:id="rId197">
        <w:r>
          <w:rPr/>
          <w:t>网址：www.amcfortune.com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徽商期货有限责任公司</w:t>
      </w:r>
    </w:p>
    <w:p>
      <w:pPr>
        <w:pStyle w:val="BodyText"/>
        <w:spacing w:before="140"/>
      </w:pPr>
      <w:r>
        <w:rPr/>
        <w:t>注册地址：安徽省合肥市芜湖路 258 号 3 号楼 6-7 层，6 号楼 1-2 层</w:t>
      </w:r>
    </w:p>
    <w:p>
      <w:pPr>
        <w:spacing w:after="0"/>
        <w:sectPr>
          <w:pgSz w:w="11910" w:h="16840"/>
          <w:pgMar w:header="0" w:footer="910" w:top="1380" w:bottom="1180" w:left="1400" w:right="1380"/>
        </w:sectPr>
      </w:pPr>
    </w:p>
    <w:p>
      <w:pPr>
        <w:pStyle w:val="BodyText"/>
        <w:spacing w:line="364" w:lineRule="auto" w:before="45"/>
        <w:ind w:right="5365"/>
      </w:pPr>
      <w:r>
        <w:rPr>
          <w:spacing w:val="-5"/>
        </w:rPr>
        <w:t>办公地址：合肥市芜湖路 </w:t>
      </w:r>
      <w:r>
        <w:rPr/>
        <w:t>258</w:t>
      </w:r>
      <w:r>
        <w:rPr>
          <w:spacing w:val="-36"/>
        </w:rPr>
        <w:t> 号</w:t>
      </w:r>
      <w:r>
        <w:rPr/>
        <w:t>法人代表：吴国华</w:t>
      </w:r>
    </w:p>
    <w:p>
      <w:pPr>
        <w:pStyle w:val="BodyText"/>
        <w:spacing w:line="268" w:lineRule="exact"/>
      </w:pPr>
      <w:r>
        <w:rPr/>
        <w:t>联系人：申倩倩</w:t>
      </w:r>
    </w:p>
    <w:p>
      <w:pPr>
        <w:pStyle w:val="BodyText"/>
        <w:spacing w:before="139"/>
      </w:pPr>
      <w:r>
        <w:rPr/>
        <w:t>联系电话：0551-62865215</w:t>
      </w:r>
    </w:p>
    <w:p>
      <w:pPr>
        <w:pStyle w:val="BodyText"/>
        <w:spacing w:line="364" w:lineRule="auto" w:before="140"/>
        <w:ind w:right="5575"/>
      </w:pPr>
      <w:r>
        <w:rPr/>
        <w:t>客户服务电话：400-887-8707 </w:t>
      </w:r>
      <w:hyperlink r:id="rId198">
        <w:r>
          <w:rPr/>
          <w:t>网址：www.hsqh.net</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北京汇成基金销售有限公司</w:t>
      </w:r>
    </w:p>
    <w:p>
      <w:pPr>
        <w:pStyle w:val="BodyText"/>
        <w:spacing w:line="364" w:lineRule="auto" w:before="139"/>
        <w:ind w:right="2371"/>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8" w:lineRule="exact"/>
      </w:pPr>
      <w:r>
        <w:rPr/>
        <w:t>联系人：王骁骁</w:t>
      </w:r>
    </w:p>
    <w:p>
      <w:pPr>
        <w:pStyle w:val="BodyText"/>
        <w:spacing w:before="140"/>
      </w:pPr>
      <w:r>
        <w:rPr/>
        <w:t>联系电话：010-56251471</w:t>
      </w:r>
    </w:p>
    <w:p>
      <w:pPr>
        <w:pStyle w:val="BodyText"/>
        <w:spacing w:line="364" w:lineRule="auto" w:before="139"/>
        <w:ind w:right="5575"/>
      </w:pPr>
      <w:r>
        <w:rPr/>
        <w:t>客户服务电话</w:t>
      </w:r>
      <w:r>
        <w:rPr>
          <w:spacing w:val="-2"/>
        </w:rPr>
        <w:t>：400-619-9059 </w:t>
      </w:r>
      <w:hyperlink r:id="rId199">
        <w:r>
          <w:rPr/>
          <w:t>网址：www.hcfunds.com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上海汇付基金销售有限公司</w:t>
      </w:r>
    </w:p>
    <w:p>
      <w:pPr>
        <w:pStyle w:val="BodyText"/>
        <w:spacing w:before="140"/>
      </w:pPr>
      <w:r>
        <w:rPr/>
        <w:t>注册地址：上海市黄浦区黄河路 333 号 201 室 A 区 056 单元</w:t>
      </w:r>
    </w:p>
    <w:p>
      <w:pPr>
        <w:pStyle w:val="BodyText"/>
        <w:spacing w:line="364" w:lineRule="auto" w:before="139"/>
        <w:ind w:right="5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575"/>
      </w:pPr>
      <w:r>
        <w:rPr/>
        <w:t>客户服务电话：021-34013999 传真：021-33323837</w:t>
      </w:r>
    </w:p>
    <w:p>
      <w:pPr>
        <w:pStyle w:val="BodyText"/>
        <w:spacing w:line="268" w:lineRule="exact"/>
      </w:pPr>
      <w:hyperlink r:id="rId200">
        <w:r>
          <w:rPr/>
          <w:t>网址：www.hotjijin.com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济安财富（北京）基金销售有限公司</w:t>
      </w:r>
    </w:p>
    <w:p>
      <w:pPr>
        <w:pStyle w:val="BodyText"/>
        <w:spacing w:before="140"/>
      </w:pPr>
      <w:r>
        <w:rPr>
          <w:spacing w:val="-4"/>
        </w:rPr>
        <w:t>注册地址：北京市朝阳区太阳宫中路 </w:t>
      </w:r>
      <w:r>
        <w:rPr/>
        <w:t>16</w:t>
      </w:r>
      <w:r>
        <w:rPr>
          <w:spacing w:val="-27"/>
        </w:rPr>
        <w:t> 号院 </w:t>
      </w:r>
      <w:r>
        <w:rPr/>
        <w:t>1</w:t>
      </w:r>
      <w:r>
        <w:rPr>
          <w:spacing w:val="-27"/>
        </w:rPr>
        <w:t> 号楼 </w:t>
      </w:r>
      <w:r>
        <w:rPr/>
        <w:t>3</w:t>
      </w:r>
      <w:r>
        <w:rPr>
          <w:spacing w:val="-36"/>
        </w:rPr>
        <w:t> 层 </w:t>
      </w:r>
      <w:r>
        <w:rPr/>
        <w:t>307</w:t>
      </w:r>
    </w:p>
    <w:p>
      <w:pPr>
        <w:pStyle w:val="BodyText"/>
        <w:spacing w:line="364" w:lineRule="auto" w:before="139"/>
        <w:ind w:right="14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spacing w:line="364" w:lineRule="auto" w:before="139"/>
        <w:ind w:right="5575"/>
      </w:pPr>
      <w:r>
        <w:rPr/>
        <w:t>客户服务电话：400-673-7010 传真：010-65330699</w:t>
      </w:r>
    </w:p>
    <w:p>
      <w:pPr>
        <w:pStyle w:val="BodyText"/>
        <w:spacing w:line="268" w:lineRule="exact"/>
      </w:pPr>
      <w:hyperlink r:id="rId201">
        <w:r>
          <w:rPr/>
          <w:t>网址：www.jianfortune.com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北京加和基金销售有限公司</w:t>
      </w:r>
    </w:p>
    <w:p>
      <w:pPr>
        <w:pStyle w:val="BodyText"/>
        <w:spacing w:before="139"/>
      </w:pPr>
      <w:r>
        <w:rPr/>
        <w:t>注册地址：北京市西城区德胜门外大街 13 号院 1 号楼 5 层 505 室</w:t>
      </w:r>
    </w:p>
    <w:p>
      <w:pPr>
        <w:spacing w:after="0"/>
        <w:sectPr>
          <w:pgSz w:w="11910" w:h="16840"/>
          <w:pgMar w:header="0" w:footer="910" w:top="1380" w:bottom="1180" w:left="1400" w:right="1380"/>
        </w:sectPr>
      </w:pPr>
    </w:p>
    <w:p>
      <w:pPr>
        <w:pStyle w:val="BodyText"/>
        <w:spacing w:line="364" w:lineRule="auto" w:before="45"/>
        <w:ind w:right="2320"/>
      </w:pP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575"/>
      </w:pPr>
      <w:r>
        <w:rPr/>
        <w:t>客户服务电话：400-803-1188 传真：010-80456278</w:t>
      </w:r>
    </w:p>
    <w:p>
      <w:pPr>
        <w:pStyle w:val="BodyText"/>
        <w:spacing w:line="268" w:lineRule="exact"/>
      </w:pPr>
      <w:hyperlink r:id="rId202">
        <w:r>
          <w:rPr/>
          <w:t>网址：www.bzfunds.com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嘉实财富管理有限公司</w:t>
      </w:r>
    </w:p>
    <w:p>
      <w:pPr>
        <w:pStyle w:val="BodyText"/>
        <w:spacing w:line="364" w:lineRule="auto" w:before="140"/>
        <w:ind w:left="400" w:right="470" w:firstLine="420"/>
      </w:pPr>
      <w:r>
        <w:rPr>
          <w:spacing w:val="-7"/>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364" w:lineRule="auto"/>
        <w:ind w:right="1165"/>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5575"/>
      </w:pPr>
      <w:r>
        <w:rPr/>
        <w:t>客户服务电话：400-021-8850 传真：010-85712195</w:t>
      </w:r>
    </w:p>
    <w:p>
      <w:pPr>
        <w:pStyle w:val="BodyText"/>
        <w:spacing w:line="268" w:lineRule="exact"/>
      </w:pPr>
      <w:hyperlink r:id="rId203">
        <w:r>
          <w:rPr/>
          <w:t>网址：www.harvestwm.cn</w:t>
        </w:r>
      </w:hyperlink>
    </w:p>
    <w:p>
      <w:pPr>
        <w:pStyle w:val="ListParagraph"/>
        <w:numPr>
          <w:ilvl w:val="1"/>
          <w:numId w:val="8"/>
        </w:numPr>
        <w:tabs>
          <w:tab w:pos="1450" w:val="left" w:leader="none"/>
        </w:tabs>
        <w:spacing w:line="364" w:lineRule="auto" w:before="139" w:after="0"/>
        <w:ind w:left="820" w:right="4525" w:firstLine="0"/>
        <w:jc w:val="left"/>
        <w:rPr>
          <w:sz w:val="21"/>
        </w:rPr>
      </w:pPr>
      <w:r>
        <w:rPr>
          <w:spacing w:val="-2"/>
          <w:sz w:val="21"/>
        </w:rPr>
        <w:t>江苏金百临投资咨询股份有限公司</w:t>
      </w:r>
      <w:r>
        <w:rPr>
          <w:spacing w:val="-4"/>
          <w:sz w:val="21"/>
        </w:rPr>
        <w:t>注册地址：无锡市滨湖区锦溪路 </w:t>
      </w:r>
      <w:r>
        <w:rPr>
          <w:sz w:val="21"/>
        </w:rPr>
        <w:t>99</w:t>
      </w:r>
      <w:r>
        <w:rPr>
          <w:spacing w:val="-27"/>
          <w:sz w:val="21"/>
        </w:rPr>
        <w:t> 号</w:t>
      </w:r>
    </w:p>
    <w:p>
      <w:pPr>
        <w:pStyle w:val="BodyText"/>
        <w:spacing w:line="364" w:lineRule="auto"/>
        <w:ind w:right="32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39"/>
        <w:ind w:right="5575"/>
      </w:pPr>
      <w:r>
        <w:rPr/>
        <w:t>客户服务电话：0510-9688988 </w:t>
      </w:r>
      <w:hyperlink r:id="rId204">
        <w:r>
          <w:rPr/>
          <w:t>网址：www.jsjbl.com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浙江金观诚基金销售有限公司</w:t>
      </w:r>
    </w:p>
    <w:p>
      <w:pPr>
        <w:pStyle w:val="BodyText"/>
        <w:spacing w:line="364" w:lineRule="auto" w:before="139"/>
        <w:ind w:right="13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415"/>
      </w:pPr>
      <w:r>
        <w:rPr/>
        <w:t>法定代表人：蒋雪琦联系人：来舒岚</w:t>
      </w:r>
    </w:p>
    <w:p>
      <w:pPr>
        <w:pStyle w:val="BodyText"/>
        <w:spacing w:line="268" w:lineRule="exact"/>
      </w:pPr>
      <w:r>
        <w:rPr/>
        <w:t>联系电话：0571-88337888</w:t>
      </w:r>
    </w:p>
    <w:p>
      <w:pPr>
        <w:pStyle w:val="BodyText"/>
        <w:spacing w:line="364" w:lineRule="auto" w:before="139"/>
        <w:ind w:right="5785"/>
      </w:pPr>
      <w:r>
        <w:rPr/>
        <w:t>客户服务电话：4000680058 传真：0571-88337666</w:t>
      </w:r>
    </w:p>
    <w:p>
      <w:pPr>
        <w:pStyle w:val="BodyText"/>
        <w:spacing w:line="268" w:lineRule="exact"/>
      </w:pPr>
      <w:hyperlink r:id="rId205">
        <w:r>
          <w:rPr/>
          <w:t>网址：http://www.jincheng-fund.com/</w:t>
        </w:r>
      </w:hyperlink>
    </w:p>
    <w:p>
      <w:pPr>
        <w:spacing w:after="0" w:line="268" w:lineRule="exact"/>
        <w:sectPr>
          <w:pgSz w:w="11910" w:h="16840"/>
          <w:pgMar w:header="0" w:footer="910" w:top="1380" w:bottom="1180" w:left="1400" w:right="1380"/>
        </w:sectPr>
      </w:pPr>
    </w:p>
    <w:p>
      <w:pPr>
        <w:pStyle w:val="ListParagraph"/>
        <w:numPr>
          <w:ilvl w:val="1"/>
          <w:numId w:val="8"/>
        </w:numPr>
        <w:tabs>
          <w:tab w:pos="1450" w:val="left" w:leader="none"/>
        </w:tabs>
        <w:spacing w:line="240" w:lineRule="auto" w:before="45" w:after="0"/>
        <w:ind w:left="1450" w:right="0" w:hanging="630"/>
        <w:jc w:val="both"/>
        <w:rPr>
          <w:sz w:val="21"/>
        </w:rPr>
      </w:pPr>
      <w:r>
        <w:rPr>
          <w:sz w:val="21"/>
        </w:rPr>
        <w:t>京东肯特瑞基金销售有限公司</w:t>
      </w:r>
    </w:p>
    <w:p>
      <w:pPr>
        <w:pStyle w:val="BodyText"/>
        <w:spacing w:before="139"/>
      </w:pPr>
      <w:r>
        <w:rPr/>
        <w:t>注册地址：北京市海淀区西三旗建材城中路 12 号 17 号平房 157</w:t>
      </w:r>
    </w:p>
    <w:p>
      <w:pPr>
        <w:pStyle w:val="BodyText"/>
        <w:spacing w:before="140"/>
      </w:pPr>
      <w:r>
        <w:rPr/>
        <w:t>办公地址：北京市通州区亦庄经济技术开发区科创十一街 18 号院京东集团总部 A 座 17</w:t>
      </w:r>
    </w:p>
    <w:p>
      <w:pPr>
        <w:pStyle w:val="BodyText"/>
        <w:spacing w:before="139"/>
        <w:ind w:left="400"/>
      </w:pPr>
      <w:r>
        <w:rPr/>
        <w:t>层</w:t>
      </w:r>
    </w:p>
    <w:p>
      <w:pPr>
        <w:pStyle w:val="BodyText"/>
        <w:spacing w:line="364" w:lineRule="auto" w:before="140"/>
        <w:ind w:right="6415"/>
      </w:pPr>
      <w:r>
        <w:rPr/>
        <w:t>法定代表人：王苏宁联系人：邢锦超</w:t>
      </w:r>
    </w:p>
    <w:p>
      <w:pPr>
        <w:pStyle w:val="BodyText"/>
        <w:spacing w:line="364" w:lineRule="auto"/>
        <w:ind w:right="6100"/>
      </w:pPr>
      <w:r>
        <w:rPr/>
        <w:t>客户服务电话：95118 </w:t>
      </w:r>
      <w:r>
        <w:rPr>
          <w:spacing w:val="-1"/>
        </w:rPr>
        <w:t>网址：kenterui.jd.com</w:t>
      </w:r>
    </w:p>
    <w:p>
      <w:pPr>
        <w:pStyle w:val="ListParagraph"/>
        <w:numPr>
          <w:ilvl w:val="1"/>
          <w:numId w:val="8"/>
        </w:numPr>
        <w:tabs>
          <w:tab w:pos="1450" w:val="left" w:leader="none"/>
        </w:tabs>
        <w:spacing w:line="268" w:lineRule="exact" w:before="0" w:after="0"/>
        <w:ind w:left="1450" w:right="0" w:hanging="630"/>
        <w:jc w:val="left"/>
        <w:rPr>
          <w:sz w:val="21"/>
        </w:rPr>
      </w:pPr>
      <w:r>
        <w:rPr>
          <w:sz w:val="21"/>
        </w:rPr>
        <w:t>上海久富财富基金销售有限公司</w:t>
      </w:r>
    </w:p>
    <w:p>
      <w:pPr>
        <w:pStyle w:val="BodyText"/>
        <w:spacing w:before="138"/>
      </w:pPr>
      <w:r>
        <w:rPr/>
        <w:t>注册地址：上海市浦东新区莱阳路 2819 号 1 幢 109 室</w:t>
      </w:r>
    </w:p>
    <w:p>
      <w:pPr>
        <w:pStyle w:val="BodyText"/>
        <w:spacing w:line="364" w:lineRule="auto" w:before="140"/>
        <w:ind w:right="24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575"/>
      </w:pPr>
      <w:r>
        <w:rPr/>
        <w:t>客户服务电话</w:t>
      </w:r>
      <w:r>
        <w:rPr>
          <w:spacing w:val="-2"/>
        </w:rPr>
        <w:t>：400-102-1813 </w:t>
      </w:r>
      <w:r>
        <w:rPr/>
        <w:t>传真：021-68682297</w:t>
      </w:r>
    </w:p>
    <w:p>
      <w:pPr>
        <w:pStyle w:val="BodyText"/>
        <w:spacing w:line="268" w:lineRule="exact"/>
      </w:pPr>
      <w:hyperlink r:id="rId206">
        <w:r>
          <w:rPr/>
          <w:t>网址：www.jfcta.com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上海凯石财富基金销售有限公司</w:t>
      </w:r>
    </w:p>
    <w:p>
      <w:pPr>
        <w:pStyle w:val="BodyText"/>
        <w:spacing w:line="364" w:lineRule="auto" w:before="139"/>
        <w:ind w:right="34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575"/>
      </w:pPr>
      <w:r>
        <w:rPr/>
        <w:t>客户服务电话：4006-433-389 传真：021-63333390</w:t>
      </w:r>
    </w:p>
    <w:p>
      <w:pPr>
        <w:pStyle w:val="BodyText"/>
        <w:spacing w:line="268" w:lineRule="exact"/>
      </w:pPr>
      <w:hyperlink r:id="rId207">
        <w:r>
          <w:rPr/>
          <w:t>网址：www.vstonewealth.com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上海利得基金销售有限公司</w:t>
      </w:r>
    </w:p>
    <w:p>
      <w:pPr>
        <w:pStyle w:val="BodyText"/>
        <w:spacing w:before="139"/>
      </w:pPr>
      <w:r>
        <w:rPr/>
        <w:t>注册地址：上海市宝山区蕴川路 5475 号 1033 室</w:t>
      </w:r>
    </w:p>
    <w:p>
      <w:pPr>
        <w:pStyle w:val="BodyText"/>
        <w:spacing w:line="364" w:lineRule="auto" w:before="140"/>
        <w:ind w:right="22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before="139"/>
      </w:pPr>
      <w:r>
        <w:rPr/>
        <w:t>客户服务电话：400 032 5885</w:t>
      </w:r>
    </w:p>
    <w:p>
      <w:pPr>
        <w:pStyle w:val="BodyText"/>
        <w:spacing w:before="140"/>
      </w:pPr>
      <w:r>
        <w:rPr/>
        <w:t>传真：86-21-61101630</w:t>
      </w:r>
    </w:p>
    <w:p>
      <w:pPr>
        <w:spacing w:after="0"/>
        <w:sectPr>
          <w:pgSz w:w="11910" w:h="16840"/>
          <w:pgMar w:header="0" w:footer="910" w:top="1380" w:bottom="1180" w:left="1400" w:right="1380"/>
        </w:sectPr>
      </w:pPr>
    </w:p>
    <w:p>
      <w:pPr>
        <w:pStyle w:val="BodyText"/>
        <w:spacing w:before="45"/>
      </w:pPr>
      <w:hyperlink r:id="rId208">
        <w:r>
          <w:rPr/>
          <w:t>网址：www.leadfund.com.cn</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上海联泰基金销售有限公司</w:t>
      </w:r>
    </w:p>
    <w:p>
      <w:pPr>
        <w:pStyle w:val="BodyText"/>
        <w:spacing w:line="364" w:lineRule="auto" w:before="140"/>
        <w:ind w:right="20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15"/>
      </w:pPr>
      <w:r>
        <w:rPr/>
        <w:t>法定代表人：尹彬彬联系人：陈东</w:t>
      </w:r>
    </w:p>
    <w:p>
      <w:pPr>
        <w:pStyle w:val="BodyText"/>
        <w:spacing w:line="268" w:lineRule="exact"/>
      </w:pPr>
      <w:r>
        <w:rPr/>
        <w:t>联系电话：021-52822063</w:t>
      </w:r>
    </w:p>
    <w:p>
      <w:pPr>
        <w:pStyle w:val="BodyText"/>
        <w:spacing w:line="364" w:lineRule="auto" w:before="138"/>
        <w:ind w:right="5575"/>
      </w:pPr>
      <w:r>
        <w:rPr/>
        <w:t>客户服务电话：400-118-1188 传真：021-52975270</w:t>
      </w:r>
    </w:p>
    <w:p>
      <w:pPr>
        <w:pStyle w:val="BodyText"/>
        <w:spacing w:line="268" w:lineRule="exact"/>
      </w:pPr>
      <w:hyperlink r:id="rId209">
        <w:r>
          <w:rPr/>
          <w:t>网址：www.66zichan.com</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上海陆金所基金销售有限公司</w:t>
      </w:r>
    </w:p>
    <w:p>
      <w:pPr>
        <w:pStyle w:val="BodyText"/>
        <w:spacing w:line="364" w:lineRule="auto" w:before="139"/>
        <w:ind w:right="14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5785"/>
      </w:pPr>
      <w:r>
        <w:rPr/>
        <w:t>客户服务电话：4008219031 传真：021-22066653</w:t>
      </w:r>
    </w:p>
    <w:p>
      <w:pPr>
        <w:pStyle w:val="BodyText"/>
        <w:spacing w:line="268" w:lineRule="exact"/>
      </w:pPr>
      <w:hyperlink r:id="rId210">
        <w:r>
          <w:rPr/>
          <w:t>网址：www.lufunds.com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蚂蚁（杭州）基金销售有限公司</w:t>
      </w:r>
    </w:p>
    <w:p>
      <w:pPr>
        <w:pStyle w:val="BodyText"/>
        <w:spacing w:line="364" w:lineRule="auto" w:before="139"/>
        <w:ind w:right="15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15"/>
      </w:pPr>
      <w:r>
        <w:rPr/>
        <w:t>法定代表人：祖国明联系人：韩爱彬</w:t>
      </w:r>
    </w:p>
    <w:p>
      <w:pPr>
        <w:pStyle w:val="BodyText"/>
        <w:spacing w:line="268" w:lineRule="exact"/>
      </w:pPr>
      <w:r>
        <w:rPr/>
        <w:t>联系电话：0571-26888888</w:t>
      </w:r>
    </w:p>
    <w:p>
      <w:pPr>
        <w:pStyle w:val="BodyText"/>
        <w:spacing w:line="364" w:lineRule="auto" w:before="138"/>
        <w:ind w:right="5365"/>
      </w:pPr>
      <w:r>
        <w:rPr/>
        <w:t>客户服务电话：4000-766-123 </w:t>
      </w:r>
      <w:hyperlink r:id="rId211">
        <w:r>
          <w:rPr>
            <w:spacing w:val="-1"/>
          </w:rPr>
          <w:t>网址：http://www.fund123.cn/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民商基金销售（上海）有限公司</w:t>
      </w:r>
    </w:p>
    <w:p>
      <w:pPr>
        <w:pStyle w:val="BodyText"/>
        <w:spacing w:line="364" w:lineRule="auto" w:before="140"/>
        <w:ind w:right="22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415"/>
      </w:pPr>
      <w:r>
        <w:rPr/>
        <w:t>法定代表人：贲惠琴联系人：林志枫</w:t>
      </w:r>
    </w:p>
    <w:p>
      <w:pPr>
        <w:pStyle w:val="BodyText"/>
        <w:spacing w:line="268" w:lineRule="exact"/>
      </w:pPr>
      <w:r>
        <w:rPr/>
        <w:t>联系电话：021-50206003</w:t>
      </w:r>
    </w:p>
    <w:p>
      <w:pPr>
        <w:pStyle w:val="BodyText"/>
        <w:spacing w:before="138"/>
      </w:pPr>
      <w:r>
        <w:rPr/>
        <w:t>客户服务电话：021-50206003</w:t>
      </w:r>
    </w:p>
    <w:p>
      <w:pPr>
        <w:spacing w:after="0"/>
        <w:sectPr>
          <w:pgSz w:w="11910" w:h="16840"/>
          <w:pgMar w:header="0" w:footer="910" w:top="1380" w:bottom="1180" w:left="1400" w:right="1380"/>
        </w:sectPr>
      </w:pPr>
    </w:p>
    <w:p>
      <w:pPr>
        <w:pStyle w:val="BodyText"/>
        <w:spacing w:before="45"/>
      </w:pPr>
      <w:r>
        <w:rPr/>
        <w:t>传真：021-50206001</w:t>
      </w:r>
    </w:p>
    <w:p>
      <w:pPr>
        <w:pStyle w:val="BodyText"/>
        <w:spacing w:before="139"/>
      </w:pPr>
      <w:hyperlink r:id="rId212">
        <w:r>
          <w:rPr/>
          <w:t>网址：http://www.msftec.com/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诺亚正行基金销售有限公司</w:t>
      </w:r>
    </w:p>
    <w:p>
      <w:pPr>
        <w:pStyle w:val="BodyText"/>
        <w:spacing w:line="364" w:lineRule="auto" w:before="139"/>
        <w:ind w:right="33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line="364" w:lineRule="auto" w:before="139"/>
        <w:ind w:right="5575"/>
      </w:pPr>
      <w:r>
        <w:rPr/>
        <w:t>客户服务电话：400-821-5399 传真：021-38509777</w:t>
      </w:r>
    </w:p>
    <w:p>
      <w:pPr>
        <w:pStyle w:val="BodyText"/>
        <w:spacing w:line="268" w:lineRule="exact"/>
      </w:pPr>
      <w:hyperlink r:id="rId213">
        <w:r>
          <w:rPr/>
          <w:t>网址：www.noah-fund.com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浦领基金销售有限公司</w:t>
      </w:r>
    </w:p>
    <w:p>
      <w:pPr>
        <w:pStyle w:val="BodyText"/>
        <w:spacing w:line="364" w:lineRule="auto" w:before="139"/>
        <w:ind w:right="2320"/>
      </w:pPr>
      <w:r>
        <w:rPr>
          <w:spacing w:val="-3"/>
        </w:rPr>
        <w:t>注册地址：北京市朝阳区望京东园四区 </w:t>
      </w:r>
      <w:r>
        <w:rPr/>
        <w:t>2</w:t>
      </w:r>
      <w:r>
        <w:rPr>
          <w:spacing w:val="-27"/>
        </w:rPr>
        <w:t> 号楼 </w:t>
      </w:r>
      <w:r>
        <w:rPr/>
        <w:t>10</w:t>
      </w:r>
      <w:r>
        <w:rPr>
          <w:spacing w:val="-36"/>
        </w:rPr>
        <w:t> 层 </w:t>
      </w:r>
      <w:r>
        <w:rPr/>
        <w:t>1001</w:t>
      </w:r>
      <w:r>
        <w:rPr>
          <w:spacing w:val="-36"/>
        </w:rPr>
        <w:t> 号 </w:t>
      </w:r>
      <w:r>
        <w:rPr/>
        <w:t>04</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15"/>
      </w:pPr>
      <w:r>
        <w:rPr/>
        <w:t>法定代表人：聂婉君联系人：李艳</w:t>
      </w:r>
    </w:p>
    <w:p>
      <w:pPr>
        <w:pStyle w:val="BodyText"/>
        <w:spacing w:line="268" w:lineRule="exact"/>
      </w:pPr>
      <w:r>
        <w:rPr/>
        <w:t>联系电话：010-59497361</w:t>
      </w:r>
    </w:p>
    <w:p>
      <w:pPr>
        <w:pStyle w:val="BodyText"/>
        <w:spacing w:line="364" w:lineRule="auto" w:before="139"/>
        <w:ind w:right="5575"/>
      </w:pPr>
      <w:r>
        <w:rPr/>
        <w:t>客户服务电话：400-012-5899 传真：010-64788016</w:t>
      </w:r>
    </w:p>
    <w:p>
      <w:pPr>
        <w:pStyle w:val="BodyText"/>
        <w:spacing w:line="268" w:lineRule="exact"/>
      </w:pPr>
      <w:hyperlink r:id="rId214">
        <w:r>
          <w:rPr/>
          <w:t>网址：www.zscffund.com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北京钱景基金销售有限公司</w:t>
      </w:r>
    </w:p>
    <w:p>
      <w:pPr>
        <w:pStyle w:val="BodyText"/>
        <w:spacing w:line="364" w:lineRule="auto" w:before="139"/>
        <w:ind w:right="24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40"/>
      </w:pPr>
      <w:r>
        <w:rPr/>
        <w:t>联系电话：010-59422766</w:t>
      </w:r>
    </w:p>
    <w:p>
      <w:pPr>
        <w:pStyle w:val="BodyText"/>
        <w:spacing w:line="364" w:lineRule="auto" w:before="139"/>
        <w:ind w:right="5575"/>
      </w:pPr>
      <w:r>
        <w:rPr/>
        <w:t>客户服务电话：400-893-6885 传真：010-62565181</w:t>
      </w:r>
    </w:p>
    <w:p>
      <w:pPr>
        <w:pStyle w:val="BodyText"/>
        <w:spacing w:line="268" w:lineRule="exact"/>
      </w:pPr>
      <w:hyperlink r:id="rId215">
        <w:r>
          <w:rPr/>
          <w:t>网址：www.qianjing.com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深圳市新兰德证券投资咨询有限公司</w:t>
      </w:r>
    </w:p>
    <w:p>
      <w:pPr>
        <w:pStyle w:val="BodyText"/>
        <w:spacing w:before="139"/>
      </w:pPr>
      <w:r>
        <w:rPr/>
        <w:t>注册地址：深圳市福田区福田街道民田路 178 号华融大厦 27 层 2704</w:t>
      </w:r>
    </w:p>
    <w:p>
      <w:pPr>
        <w:pStyle w:val="BodyText"/>
        <w:spacing w:line="364" w:lineRule="auto" w:before="140"/>
        <w:ind w:right="25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spacing w:after="0" w:line="268" w:lineRule="exact"/>
        <w:sectPr>
          <w:pgSz w:w="11910" w:h="16840"/>
          <w:pgMar w:header="0" w:footer="910" w:top="1380" w:bottom="1180" w:left="1400" w:right="1380"/>
        </w:sectPr>
      </w:pPr>
    </w:p>
    <w:p>
      <w:pPr>
        <w:pStyle w:val="BodyText"/>
        <w:spacing w:before="45"/>
      </w:pPr>
      <w:r>
        <w:rPr/>
        <w:t>联系电话：010-83363099</w:t>
      </w:r>
    </w:p>
    <w:p>
      <w:pPr>
        <w:pStyle w:val="BodyText"/>
        <w:spacing w:line="364" w:lineRule="auto" w:before="139"/>
        <w:ind w:right="5575"/>
      </w:pPr>
      <w:r>
        <w:rPr/>
        <w:t>客户服务电话：400-166-1188 传真：010-83363010</w:t>
      </w:r>
    </w:p>
    <w:p>
      <w:pPr>
        <w:pStyle w:val="BodyText"/>
        <w:spacing w:line="268" w:lineRule="exact"/>
      </w:pPr>
      <w:hyperlink r:id="rId216">
        <w:r>
          <w:rPr/>
          <w:t>网址：http://8.jrj.com.cn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北京晟视天下基金销售有限公司</w:t>
      </w:r>
    </w:p>
    <w:p>
      <w:pPr>
        <w:pStyle w:val="BodyText"/>
        <w:spacing w:before="139"/>
      </w:pPr>
      <w:r>
        <w:rPr/>
        <w:t>注册地址：北京市怀柔区九渡河镇黄坎村 735 号 03 室</w:t>
      </w:r>
    </w:p>
    <w:p>
      <w:pPr>
        <w:pStyle w:val="BodyText"/>
        <w:spacing w:line="364" w:lineRule="auto" w:before="140"/>
        <w:ind w:right="27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575"/>
      </w:pPr>
      <w:r>
        <w:rPr/>
        <w:t>客户服务电话：010-58170761 传真：010-58170800</w:t>
      </w:r>
    </w:p>
    <w:p>
      <w:pPr>
        <w:pStyle w:val="BodyText"/>
        <w:spacing w:line="268" w:lineRule="exact"/>
      </w:pPr>
      <w:hyperlink r:id="rId217">
        <w:r>
          <w:rPr/>
          <w:t>网址：www.shengshiview.com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南京苏宁基金销售有限公司</w:t>
      </w:r>
    </w:p>
    <w:p>
      <w:pPr>
        <w:pStyle w:val="BodyText"/>
        <w:spacing w:line="364" w:lineRule="auto" w:before="139"/>
        <w:ind w:right="45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6100"/>
      </w:pPr>
      <w:r>
        <w:rPr/>
        <w:t>客户服务电话：95177 </w:t>
      </w:r>
      <w:hyperlink r:id="rId218">
        <w:r>
          <w:rPr>
            <w:spacing w:val="-1"/>
          </w:rPr>
          <w:t>网址：www.snjijin.com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腾安基金销售（深圳）有限公司</w:t>
      </w:r>
    </w:p>
    <w:p>
      <w:pPr>
        <w:pStyle w:val="BodyText"/>
        <w:spacing w:line="364" w:lineRule="auto" w:before="140"/>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84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8"/>
        <w:ind w:right="4471"/>
      </w:pPr>
      <w:r>
        <w:rPr/>
        <w:t>客户服务电话：95017（</w:t>
      </w:r>
      <w:r>
        <w:rPr>
          <w:spacing w:val="-11"/>
        </w:rPr>
        <w:t>拨通后转 </w:t>
      </w:r>
      <w:r>
        <w:rPr/>
        <w:t>1</w:t>
      </w:r>
      <w:r>
        <w:rPr>
          <w:spacing w:val="-36"/>
        </w:rPr>
        <w:t> 转 </w:t>
      </w:r>
      <w:r>
        <w:rPr>
          <w:spacing w:val="-8"/>
        </w:rPr>
        <w:t>8） </w:t>
      </w:r>
      <w:hyperlink r:id="rId219">
        <w:r>
          <w:rPr/>
          <w:t>公司网址：https://www.txfund.com/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上海天天基金销售有限公司</w:t>
      </w:r>
    </w:p>
    <w:p>
      <w:pPr>
        <w:pStyle w:val="BodyText"/>
        <w:spacing w:before="140"/>
      </w:pPr>
      <w:r>
        <w:rPr>
          <w:spacing w:val="-4"/>
        </w:rPr>
        <w:t>注册地址：上海市徐汇区龙田路 </w:t>
      </w:r>
      <w:r>
        <w:rPr/>
        <w:t>190</w:t>
      </w:r>
      <w:r>
        <w:rPr>
          <w:spacing w:val="-36"/>
        </w:rPr>
        <w:t> 号 </w:t>
      </w:r>
      <w:r>
        <w:rPr/>
        <w:t>2</w:t>
      </w:r>
      <w:r>
        <w:rPr>
          <w:spacing w:val="-27"/>
        </w:rPr>
        <w:t> 号楼 </w:t>
      </w:r>
      <w:r>
        <w:rPr/>
        <w:t>2</w:t>
      </w:r>
      <w:r>
        <w:rPr>
          <w:spacing w:val="-27"/>
        </w:rPr>
        <w:t> 层</w:t>
      </w:r>
    </w:p>
    <w:p>
      <w:pPr>
        <w:pStyle w:val="BodyText"/>
        <w:spacing w:line="364" w:lineRule="auto" w:before="139"/>
        <w:ind w:right="33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spacing w:after="0" w:line="268" w:lineRule="exact"/>
        <w:sectPr>
          <w:pgSz w:w="11910" w:h="16840"/>
          <w:pgMar w:header="0" w:footer="910" w:top="1380" w:bottom="1180" w:left="1400" w:right="1380"/>
        </w:sectPr>
      </w:pPr>
    </w:p>
    <w:p>
      <w:pPr>
        <w:pStyle w:val="BodyText"/>
        <w:spacing w:before="45"/>
      </w:pPr>
      <w:r>
        <w:rPr/>
        <w:t>联系电话：021-54509977</w:t>
      </w:r>
    </w:p>
    <w:p>
      <w:pPr>
        <w:pStyle w:val="BodyText"/>
        <w:spacing w:line="364" w:lineRule="auto" w:before="139"/>
        <w:ind w:right="6310"/>
      </w:pPr>
      <w:r>
        <w:rPr/>
        <w:t>客户服务电话：95021 传真：021-64385308</w:t>
      </w:r>
    </w:p>
    <w:p>
      <w:pPr>
        <w:pStyle w:val="BodyText"/>
        <w:spacing w:line="268" w:lineRule="exact"/>
      </w:pPr>
      <w:hyperlink r:id="rId220">
        <w:r>
          <w:rPr/>
          <w:t>网址：www.1234567.com.cn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通华财富（上海）基金销售有限公司</w:t>
      </w:r>
    </w:p>
    <w:p>
      <w:pPr>
        <w:pStyle w:val="BodyText"/>
        <w:spacing w:before="139"/>
      </w:pPr>
      <w:r>
        <w:rPr/>
        <w:t>注册地址：上海市虹口区同丰路 667 弄 107 号 201 室</w:t>
      </w:r>
    </w:p>
    <w:p>
      <w:pPr>
        <w:pStyle w:val="BodyText"/>
        <w:spacing w:line="364" w:lineRule="auto" w:before="140"/>
        <w:ind w:right="29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95"/>
      </w:pPr>
      <w:r>
        <w:rPr/>
        <w:t>联系人：杨涛、庄洁茹 联系电话</w:t>
      </w:r>
      <w:r>
        <w:rPr>
          <w:spacing w:val="-2"/>
        </w:rPr>
        <w:t>：021-60810586</w:t>
      </w:r>
    </w:p>
    <w:p>
      <w:pPr>
        <w:pStyle w:val="BodyText"/>
        <w:spacing w:line="364" w:lineRule="auto"/>
        <w:ind w:right="5575"/>
      </w:pPr>
      <w:r>
        <w:rPr/>
        <w:t>客户服务电话：400-101-9301 传真：021-60810695</w:t>
      </w:r>
    </w:p>
    <w:p>
      <w:pPr>
        <w:pStyle w:val="BodyText"/>
        <w:spacing w:line="268" w:lineRule="exact"/>
      </w:pPr>
      <w:hyperlink r:id="rId221">
        <w:r>
          <w:rPr/>
          <w:t>网址：www.tonghuafund.com</w:t>
        </w:r>
      </w:hyperlink>
    </w:p>
    <w:p>
      <w:pPr>
        <w:pStyle w:val="ListParagraph"/>
        <w:numPr>
          <w:ilvl w:val="1"/>
          <w:numId w:val="8"/>
        </w:numPr>
        <w:tabs>
          <w:tab w:pos="1450" w:val="left" w:leader="none"/>
        </w:tabs>
        <w:spacing w:line="240" w:lineRule="auto" w:before="137" w:after="0"/>
        <w:ind w:left="1450" w:right="0" w:hanging="630"/>
        <w:jc w:val="left"/>
        <w:rPr>
          <w:sz w:val="21"/>
        </w:rPr>
      </w:pPr>
      <w:r>
        <w:rPr>
          <w:sz w:val="21"/>
        </w:rPr>
        <w:t>浙江同花顺基金销售有限公司</w:t>
      </w:r>
    </w:p>
    <w:p>
      <w:pPr>
        <w:pStyle w:val="BodyText"/>
        <w:spacing w:before="140"/>
      </w:pPr>
      <w:r>
        <w:rPr/>
        <w:t>注册地址：浙江省杭州市文二西路 1 号 903 室</w:t>
      </w:r>
    </w:p>
    <w:p>
      <w:pPr>
        <w:pStyle w:val="BodyText"/>
        <w:spacing w:line="364" w:lineRule="auto" w:before="139"/>
        <w:ind w:right="25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205"/>
      </w:pPr>
      <w:r>
        <w:rPr/>
        <w:t>客户服务电话</w:t>
      </w:r>
      <w:r>
        <w:rPr>
          <w:spacing w:val="-3"/>
        </w:rPr>
        <w:t>：952555 </w:t>
      </w:r>
      <w:r>
        <w:rPr/>
        <w:t>传真：0571-86800423</w:t>
      </w:r>
    </w:p>
    <w:p>
      <w:pPr>
        <w:pStyle w:val="BodyText"/>
        <w:spacing w:line="268" w:lineRule="exact"/>
      </w:pPr>
      <w:hyperlink r:id="rId222">
        <w:r>
          <w:rPr/>
          <w:t>网址：www.5ifund.com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南京途牛基金销售有限公司</w:t>
      </w:r>
    </w:p>
    <w:p>
      <w:pPr>
        <w:pStyle w:val="BodyText"/>
        <w:spacing w:line="364" w:lineRule="auto" w:before="140"/>
        <w:ind w:right="35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223">
        <w:r>
          <w:rPr/>
          <w:t>网址：http://jr.tuniu.com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上海挖财基金销售有限公司</w:t>
      </w:r>
    </w:p>
    <w:p>
      <w:pPr>
        <w:pStyle w:val="BodyText"/>
        <w:spacing w:before="139"/>
      </w:pPr>
      <w:r>
        <w:rPr/>
        <w:t>注册地址：中国（上海）自由贸易试验区杨高南路 759 号 18 层 03 单元</w:t>
      </w:r>
    </w:p>
    <w:p>
      <w:pPr>
        <w:pStyle w:val="BodyText"/>
        <w:spacing w:line="364" w:lineRule="auto" w:before="140"/>
        <w:ind w:right="8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spacing w:after="0" w:line="364" w:lineRule="auto"/>
        <w:sectPr>
          <w:pgSz w:w="11910" w:h="16840"/>
          <w:pgMar w:header="0" w:footer="910" w:top="1380" w:bottom="1180" w:left="1400" w:right="1380"/>
        </w:sectPr>
      </w:pPr>
    </w:p>
    <w:p>
      <w:pPr>
        <w:pStyle w:val="BodyText"/>
        <w:spacing w:before="45"/>
      </w:pPr>
      <w:r>
        <w:rPr/>
        <w:t>联系人：曾芸</w:t>
      </w:r>
    </w:p>
    <w:p>
      <w:pPr>
        <w:pStyle w:val="BodyText"/>
        <w:spacing w:before="139"/>
      </w:pPr>
      <w:r>
        <w:rPr/>
        <w:t>联系电话：021-50810687</w:t>
      </w:r>
    </w:p>
    <w:p>
      <w:pPr>
        <w:pStyle w:val="BodyText"/>
        <w:spacing w:line="364" w:lineRule="auto" w:before="140"/>
        <w:ind w:right="5575"/>
      </w:pPr>
      <w:r>
        <w:rPr/>
        <w:t>客户服务电话：021-50810673 </w:t>
      </w:r>
      <w:hyperlink r:id="rId224">
        <w:r>
          <w:rPr/>
          <w:t>网址：www.wacaijijin.com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上海万得基金销售有限公司</w:t>
      </w:r>
    </w:p>
    <w:p>
      <w:pPr>
        <w:pStyle w:val="BodyText"/>
        <w:spacing w:line="364" w:lineRule="auto" w:before="139"/>
        <w:ind w:right="24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25"/>
      </w:pPr>
      <w:r>
        <w:rPr/>
        <w:t>法定代表人：黄祎联系人：徐亚丹</w:t>
      </w:r>
    </w:p>
    <w:p>
      <w:pPr>
        <w:pStyle w:val="BodyText"/>
        <w:spacing w:line="268" w:lineRule="exact"/>
      </w:pPr>
      <w:r>
        <w:rPr/>
        <w:t>联系电话：021-50712782</w:t>
      </w:r>
    </w:p>
    <w:p>
      <w:pPr>
        <w:pStyle w:val="BodyText"/>
        <w:spacing w:line="364" w:lineRule="auto" w:before="139"/>
        <w:ind w:right="5575"/>
      </w:pPr>
      <w:r>
        <w:rPr/>
        <w:t>客户服务电话：400-799-1888 </w:t>
      </w:r>
      <w:hyperlink r:id="rId225">
        <w:r>
          <w:rPr/>
          <w:t>网址：www.520fund.com.cn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万家财富基金销售（天津）有限公司</w:t>
      </w:r>
    </w:p>
    <w:p>
      <w:pPr>
        <w:pStyle w:val="BodyText"/>
        <w:spacing w:line="364" w:lineRule="auto" w:before="139"/>
        <w:ind w:right="5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25"/>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26">
        <w:r>
          <w:rPr/>
          <w:t>网址：http://www.wanjiawealth.com/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北京新浪仓石基金销售有限公司</w:t>
      </w:r>
    </w:p>
    <w:p>
      <w:pPr>
        <w:pStyle w:val="BodyText"/>
        <w:spacing w:line="364" w:lineRule="auto" w:before="139"/>
        <w:ind w:left="400" w:right="418" w:firstLine="420"/>
      </w:pPr>
      <w:r>
        <w:rPr/>
        <w:t>注册地址：北京市海淀区东北旺西路中关村软件园二期（西扩）N-1、N-2 地块新浪总部科研楼 5 层 518 室</w:t>
      </w:r>
    </w:p>
    <w:p>
      <w:pPr>
        <w:pStyle w:val="BodyText"/>
        <w:spacing w:line="364" w:lineRule="auto"/>
        <w:ind w:right="19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5575"/>
      </w:pPr>
      <w:r>
        <w:rPr/>
        <w:t>客户服务电话：010-62675369 传真：010-62676582</w:t>
      </w:r>
    </w:p>
    <w:p>
      <w:pPr>
        <w:pStyle w:val="BodyText"/>
        <w:spacing w:line="268" w:lineRule="exact"/>
      </w:pPr>
      <w:hyperlink r:id="rId227">
        <w:r>
          <w:rPr/>
          <w:t>网址：www.xincai.com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厦门市鑫鼎盛控股有限公司</w:t>
      </w:r>
    </w:p>
    <w:p>
      <w:pPr>
        <w:pStyle w:val="BodyText"/>
        <w:spacing w:line="364" w:lineRule="auto" w:before="140"/>
        <w:ind w:right="20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spacing w:after="0" w:line="364" w:lineRule="auto"/>
        <w:jc w:val="both"/>
        <w:sectPr>
          <w:pgSz w:w="11910" w:h="16840"/>
          <w:pgMar w:header="0" w:footer="910" w:top="1380" w:bottom="1180" w:left="1400" w:right="1380"/>
        </w:sectPr>
      </w:pPr>
    </w:p>
    <w:p>
      <w:pPr>
        <w:pStyle w:val="BodyText"/>
        <w:spacing w:before="45"/>
      </w:pPr>
      <w:r>
        <w:rPr/>
        <w:t>联系人：梁云波</w:t>
      </w:r>
    </w:p>
    <w:p>
      <w:pPr>
        <w:pStyle w:val="BodyText"/>
        <w:spacing w:before="139"/>
      </w:pPr>
      <w:r>
        <w:rPr/>
        <w:t>联系电话：0592-3122757</w:t>
      </w:r>
    </w:p>
    <w:p>
      <w:pPr>
        <w:pStyle w:val="BodyText"/>
        <w:spacing w:line="364" w:lineRule="auto" w:before="140"/>
        <w:ind w:right="5575"/>
      </w:pPr>
      <w:r>
        <w:rPr/>
        <w:t>客户服务电话：400-6533-789 </w:t>
      </w:r>
      <w:hyperlink r:id="rId228">
        <w:r>
          <w:rPr/>
          <w:t>网址：www.xds.com.cn</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阳光人寿保险股份有限公司</w:t>
      </w:r>
    </w:p>
    <w:p>
      <w:pPr>
        <w:pStyle w:val="BodyText"/>
        <w:spacing w:before="139"/>
      </w:pPr>
      <w:r>
        <w:rPr/>
        <w:t>注册地址：海南省三亚市迎宾路 360-1 号三亚阳光金融广场 16 层</w:t>
      </w:r>
    </w:p>
    <w:p>
      <w:pPr>
        <w:pStyle w:val="BodyText"/>
        <w:spacing w:line="364" w:lineRule="auto" w:before="140"/>
        <w:ind w:right="15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40"/>
        <w:ind w:right="6310"/>
      </w:pPr>
      <w:r>
        <w:rPr/>
        <w:t>客户服务电话：95510 传真：010-85632773</w:t>
      </w:r>
    </w:p>
    <w:p>
      <w:pPr>
        <w:pStyle w:val="BodyText"/>
        <w:spacing w:line="268" w:lineRule="exact"/>
      </w:pPr>
      <w:hyperlink r:id="rId229">
        <w:r>
          <w:rPr/>
          <w:t>网址：http://fund.sinosig.com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一路财富（北京）基金销售有限公司</w:t>
      </w:r>
    </w:p>
    <w:p>
      <w:pPr>
        <w:pStyle w:val="BodyText"/>
        <w:spacing w:before="139"/>
      </w:pPr>
      <w:r>
        <w:rPr>
          <w:spacing w:val="-4"/>
        </w:rPr>
        <w:t>注册地址：北京市海淀区宝盛南路 </w:t>
      </w:r>
      <w:r>
        <w:rPr/>
        <w:t>1</w:t>
      </w:r>
      <w:r>
        <w:rPr>
          <w:spacing w:val="-27"/>
        </w:rPr>
        <w:t> 号院 </w:t>
      </w:r>
      <w:r>
        <w:rPr/>
        <w:t>20</w:t>
      </w:r>
      <w:r>
        <w:rPr>
          <w:spacing w:val="-27"/>
        </w:rPr>
        <w:t> 号楼 </w:t>
      </w:r>
      <w:r>
        <w:rPr/>
        <w:t>9</w:t>
      </w:r>
      <w:r>
        <w:rPr>
          <w:spacing w:val="-36"/>
        </w:rPr>
        <w:t> 层 </w:t>
      </w:r>
      <w:r>
        <w:rPr/>
        <w:t>101-14</w:t>
      </w:r>
    </w:p>
    <w:p>
      <w:pPr>
        <w:pStyle w:val="BodyText"/>
        <w:spacing w:line="364" w:lineRule="auto" w:before="140"/>
        <w:ind w:right="21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5575"/>
      </w:pPr>
      <w:r>
        <w:rPr/>
        <w:t>客户服务电话：400-001-1566 传真：010-88312099</w:t>
      </w:r>
    </w:p>
    <w:p>
      <w:pPr>
        <w:pStyle w:val="BodyText"/>
        <w:spacing w:line="268" w:lineRule="exact"/>
      </w:pPr>
      <w:hyperlink r:id="rId230">
        <w:r>
          <w:rPr/>
          <w:t>网址：www.yilucaifu.com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深圳宜投基金销售有限公司</w:t>
      </w:r>
    </w:p>
    <w:p>
      <w:pPr>
        <w:pStyle w:val="BodyText"/>
        <w:spacing w:line="364" w:lineRule="auto" w:before="140"/>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7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5575"/>
      </w:pPr>
      <w:r>
        <w:rPr/>
        <w:t>客户服务电话：4008-955-811 </w:t>
      </w:r>
      <w:hyperlink r:id="rId231">
        <w:r>
          <w:rPr/>
          <w:t>网址：www.yitfund.com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宜信普泽（北京）基金销售有限公司</w:t>
      </w:r>
    </w:p>
    <w:p>
      <w:pPr>
        <w:pStyle w:val="BodyText"/>
        <w:spacing w:before="139"/>
      </w:pPr>
      <w:r>
        <w:rPr>
          <w:spacing w:val="-4"/>
        </w:rPr>
        <w:t>注册地址：北京市朝阳区西大望路 </w:t>
      </w:r>
      <w:r>
        <w:rPr/>
        <w:t>1</w:t>
      </w:r>
      <w:r>
        <w:rPr>
          <w:spacing w:val="-36"/>
        </w:rPr>
        <w:t> 号 </w:t>
      </w:r>
      <w:r>
        <w:rPr/>
        <w:t>9</w:t>
      </w:r>
      <w:r>
        <w:rPr>
          <w:spacing w:val="-22"/>
        </w:rPr>
        <w:t> 层公寓 </w:t>
      </w:r>
      <w:r>
        <w:rPr/>
        <w:t>1008</w:t>
      </w:r>
    </w:p>
    <w:p>
      <w:pPr>
        <w:pStyle w:val="BodyText"/>
        <w:spacing w:before="139"/>
      </w:pPr>
      <w:r>
        <w:rPr>
          <w:spacing w:val="-4"/>
        </w:rPr>
        <w:t>办公地址：北京市朝阳区西大望路 </w:t>
      </w:r>
      <w:r>
        <w:rPr/>
        <w:t>1</w:t>
      </w:r>
      <w:r>
        <w:rPr>
          <w:spacing w:val="-36"/>
        </w:rPr>
        <w:t> 号 </w:t>
      </w:r>
      <w:r>
        <w:rPr/>
        <w:t>9</w:t>
      </w:r>
      <w:r>
        <w:rPr>
          <w:spacing w:val="-22"/>
        </w:rPr>
        <w:t> 层公寓 </w:t>
      </w:r>
      <w:r>
        <w:rPr/>
        <w:t>1008</w:t>
      </w:r>
    </w:p>
    <w:p>
      <w:pPr>
        <w:spacing w:after="0"/>
        <w:sectPr>
          <w:pgSz w:w="11910" w:h="16840"/>
          <w:pgMar w:header="0" w:footer="910" w:top="1380" w:bottom="1180" w:left="1400" w:right="1380"/>
        </w:sectPr>
      </w:pPr>
    </w:p>
    <w:p>
      <w:pPr>
        <w:pStyle w:val="BodyText"/>
        <w:spacing w:line="364" w:lineRule="auto" w:before="45"/>
        <w:ind w:right="6415"/>
      </w:pPr>
      <w:r>
        <w:rPr/>
        <w:t>法定代表人：才殿阳联系人：魏晨</w:t>
      </w:r>
    </w:p>
    <w:p>
      <w:pPr>
        <w:pStyle w:val="BodyText"/>
        <w:spacing w:line="268" w:lineRule="exact"/>
      </w:pPr>
      <w:r>
        <w:rPr/>
        <w:t>联系电话：010-52413385</w:t>
      </w:r>
    </w:p>
    <w:p>
      <w:pPr>
        <w:pStyle w:val="BodyText"/>
        <w:spacing w:line="364" w:lineRule="auto" w:before="139"/>
        <w:ind w:right="5575"/>
      </w:pPr>
      <w:r>
        <w:rPr/>
        <w:t>客户服务电话：400-6099-200 传真：010-85800047</w:t>
      </w:r>
    </w:p>
    <w:p>
      <w:pPr>
        <w:pStyle w:val="BodyText"/>
        <w:spacing w:line="268" w:lineRule="exact"/>
      </w:pPr>
      <w:hyperlink r:id="rId232">
        <w:r>
          <w:rPr/>
          <w:t>网址：www.yixinfund.com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奕丰基金销售有限公司</w:t>
      </w:r>
    </w:p>
    <w:p>
      <w:pPr>
        <w:pStyle w:val="BodyText"/>
        <w:spacing w:line="364" w:lineRule="auto" w:before="139"/>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2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575"/>
      </w:pPr>
      <w:r>
        <w:rPr/>
        <w:t>客户服务电话：400-684-0500 传真：0755-21674453</w:t>
      </w:r>
    </w:p>
    <w:p>
      <w:pPr>
        <w:pStyle w:val="BodyText"/>
        <w:spacing w:line="268" w:lineRule="exact"/>
      </w:pPr>
      <w:hyperlink r:id="rId233">
        <w:r>
          <w:rPr/>
          <w:t>网址：www.ifastps.com.cn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珠海盈米基金销售有限公司</w:t>
      </w:r>
    </w:p>
    <w:p>
      <w:pPr>
        <w:pStyle w:val="BodyText"/>
        <w:spacing w:before="139"/>
      </w:pPr>
      <w:r>
        <w:rPr/>
        <w:t>注册地址：珠海市横琴新区宝华路 6 号 105 室-3491（集中办公区）</w:t>
      </w:r>
    </w:p>
    <w:p>
      <w:pPr>
        <w:pStyle w:val="BodyText"/>
        <w:spacing w:line="364" w:lineRule="auto" w:before="140"/>
        <w:ind w:right="13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5575"/>
      </w:pPr>
      <w:r>
        <w:rPr/>
        <w:t>客户服务电话</w:t>
      </w:r>
      <w:r>
        <w:rPr>
          <w:spacing w:val="-2"/>
        </w:rPr>
        <w:t>：020-89629066 </w:t>
      </w:r>
      <w:r>
        <w:rPr/>
        <w:t>传真：020-89629011</w:t>
      </w:r>
    </w:p>
    <w:p>
      <w:pPr>
        <w:pStyle w:val="BodyText"/>
        <w:spacing w:line="268" w:lineRule="exact"/>
      </w:pPr>
      <w:hyperlink r:id="rId234">
        <w:r>
          <w:rPr/>
          <w:t>网址：www.yingmi.cn</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上海云湾基金销售有限公司</w:t>
      </w:r>
    </w:p>
    <w:p>
      <w:pPr>
        <w:pStyle w:val="BodyText"/>
        <w:spacing w:before="139"/>
      </w:pPr>
      <w:r>
        <w:rPr/>
        <w:t>注册地址：中国（上海）自由贸易试验区新金桥路 27 号、明月路 1257 号 1 幢 1 层</w:t>
      </w:r>
    </w:p>
    <w:p>
      <w:pPr>
        <w:pStyle w:val="BodyText"/>
        <w:spacing w:before="140"/>
        <w:ind w:left="400"/>
      </w:pPr>
      <w:r>
        <w:rPr/>
        <w:t>103-1、103-2 办公区</w:t>
      </w:r>
    </w:p>
    <w:p>
      <w:pPr>
        <w:pStyle w:val="BodyText"/>
        <w:spacing w:line="364" w:lineRule="auto" w:before="139"/>
        <w:ind w:right="37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575"/>
      </w:pPr>
      <w:r>
        <w:rPr/>
        <w:t>客户服务电话：400-820-1515 传真：021-20539999</w:t>
      </w:r>
    </w:p>
    <w:p>
      <w:pPr>
        <w:spacing w:after="0" w:line="364" w:lineRule="auto"/>
        <w:sectPr>
          <w:pgSz w:w="11910" w:h="16840"/>
          <w:pgMar w:header="0" w:footer="910" w:top="1380" w:bottom="1180" w:left="1400" w:right="1380"/>
        </w:sectPr>
      </w:pPr>
    </w:p>
    <w:p>
      <w:pPr>
        <w:pStyle w:val="BodyText"/>
        <w:spacing w:before="45"/>
      </w:pPr>
      <w:hyperlink r:id="rId235">
        <w:r>
          <w:rPr/>
          <w:t>网址：http://www.zhengtongfunds.com/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北京增财基金销售有限公司</w:t>
      </w:r>
    </w:p>
    <w:p>
      <w:pPr>
        <w:pStyle w:val="BodyText"/>
        <w:spacing w:before="140"/>
      </w:pPr>
      <w:r>
        <w:rPr/>
        <w:t>注册地址：北京市西城区南礼士路 66 号建威大厦 1208 室</w:t>
      </w:r>
    </w:p>
    <w:p>
      <w:pPr>
        <w:pStyle w:val="BodyText"/>
        <w:spacing w:line="364" w:lineRule="auto" w:before="139"/>
        <w:ind w:right="25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5575"/>
      </w:pPr>
      <w:r>
        <w:rPr/>
        <w:t>客户服务电话</w:t>
      </w:r>
      <w:r>
        <w:rPr>
          <w:spacing w:val="-2"/>
        </w:rPr>
        <w:t>：010-67000988 </w:t>
      </w:r>
      <w:r>
        <w:rPr/>
        <w:t>传真：010-67000988-6000</w:t>
      </w:r>
    </w:p>
    <w:p>
      <w:pPr>
        <w:pStyle w:val="BodyText"/>
        <w:spacing w:line="268" w:lineRule="exact"/>
      </w:pPr>
      <w:hyperlink r:id="rId236">
        <w:r>
          <w:rPr/>
          <w:t>网址：www.zcvc.com.cn</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北京展恒基金销售股份有限公司</w:t>
      </w:r>
    </w:p>
    <w:p>
      <w:pPr>
        <w:pStyle w:val="BodyText"/>
        <w:spacing w:line="364" w:lineRule="auto" w:before="139"/>
        <w:ind w:right="31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line="364" w:lineRule="auto" w:before="140"/>
        <w:ind w:right="5575"/>
      </w:pPr>
      <w:r>
        <w:rPr/>
        <w:t>客户服务电话：400-818-8000 传真：0351-4110714</w:t>
      </w:r>
    </w:p>
    <w:p>
      <w:pPr>
        <w:pStyle w:val="BodyText"/>
        <w:spacing w:line="268" w:lineRule="exact"/>
      </w:pPr>
      <w:hyperlink r:id="rId237">
        <w:r>
          <w:rPr/>
          <w:t>网址：www.myfund.com</w:t>
        </w:r>
      </w:hyperlink>
    </w:p>
    <w:p>
      <w:pPr>
        <w:pStyle w:val="ListParagraph"/>
        <w:numPr>
          <w:ilvl w:val="1"/>
          <w:numId w:val="8"/>
        </w:numPr>
        <w:tabs>
          <w:tab w:pos="1450" w:val="left" w:leader="none"/>
        </w:tabs>
        <w:spacing w:line="240" w:lineRule="auto" w:before="139" w:after="0"/>
        <w:ind w:left="1450" w:right="0" w:hanging="630"/>
        <w:jc w:val="both"/>
        <w:rPr>
          <w:sz w:val="21"/>
        </w:rPr>
      </w:pPr>
      <w:r>
        <w:rPr>
          <w:sz w:val="21"/>
        </w:rPr>
        <w:t>中国国际期货股份有限公司</w:t>
      </w:r>
    </w:p>
    <w:p>
      <w:pPr>
        <w:pStyle w:val="BodyText"/>
        <w:spacing w:before="140"/>
      </w:pPr>
      <w:r>
        <w:rPr/>
        <w:t>注册地址：北京市朝阳区建国门外光华路 14 号 1 幢 6 层 609 号、610 号</w:t>
      </w:r>
    </w:p>
    <w:p>
      <w:pPr>
        <w:pStyle w:val="BodyText"/>
        <w:spacing w:line="364" w:lineRule="auto" w:before="139"/>
        <w:ind w:right="6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310"/>
      </w:pPr>
      <w:r>
        <w:rPr/>
        <w:t>客户服务电话：95162 传真：010-59539806</w:t>
      </w:r>
    </w:p>
    <w:p>
      <w:pPr>
        <w:pStyle w:val="BodyText"/>
        <w:spacing w:line="268" w:lineRule="exact"/>
      </w:pPr>
      <w:hyperlink r:id="rId238">
        <w:r>
          <w:rPr/>
          <w:t>网址：http://www.cifco.net/</w:t>
        </w:r>
      </w:hyperlink>
    </w:p>
    <w:p>
      <w:pPr>
        <w:pStyle w:val="ListParagraph"/>
        <w:numPr>
          <w:ilvl w:val="1"/>
          <w:numId w:val="8"/>
        </w:numPr>
        <w:tabs>
          <w:tab w:pos="1450" w:val="left" w:leader="none"/>
        </w:tabs>
        <w:spacing w:line="240" w:lineRule="auto" w:before="140" w:after="0"/>
        <w:ind w:left="1450" w:right="0" w:hanging="630"/>
        <w:jc w:val="both"/>
        <w:rPr>
          <w:sz w:val="21"/>
        </w:rPr>
      </w:pPr>
      <w:r>
        <w:rPr>
          <w:sz w:val="21"/>
        </w:rPr>
        <w:t>中国人寿保险股份有限公司</w:t>
      </w:r>
    </w:p>
    <w:p>
      <w:pPr>
        <w:pStyle w:val="BodyText"/>
        <w:spacing w:line="364" w:lineRule="auto" w:before="139"/>
        <w:ind w:right="4630"/>
        <w:jc w:val="both"/>
      </w:pPr>
      <w:r>
        <w:rPr>
          <w:spacing w:val="-4"/>
        </w:rPr>
        <w:t>注册地址：北京市西城区金融大街 </w:t>
      </w:r>
      <w:r>
        <w:rPr/>
        <w:t>16</w:t>
      </w:r>
      <w:r>
        <w:rPr>
          <w:spacing w:val="-36"/>
        </w:rPr>
        <w:t> 号</w:t>
      </w:r>
      <w:r>
        <w:rPr>
          <w:spacing w:val="-4"/>
        </w:rPr>
        <w:t>办公地址：北京市西城区金融大街 </w:t>
      </w:r>
      <w:r>
        <w:rPr/>
        <w:t>16</w:t>
      </w:r>
      <w:r>
        <w:rPr>
          <w:spacing w:val="-36"/>
        </w:rPr>
        <w:t> 号</w:t>
      </w:r>
      <w:r>
        <w:rPr/>
        <w:t>法定代表人：王滨</w:t>
      </w:r>
    </w:p>
    <w:p>
      <w:pPr>
        <w:pStyle w:val="BodyText"/>
        <w:spacing w:line="268" w:lineRule="exact"/>
      </w:pPr>
      <w:r>
        <w:rPr/>
        <w:t>联系人：杨子彤</w:t>
      </w:r>
    </w:p>
    <w:p>
      <w:pPr>
        <w:pStyle w:val="BodyText"/>
        <w:spacing w:before="139"/>
      </w:pPr>
      <w:r>
        <w:rPr/>
        <w:t>联系电话：010-63631752</w:t>
      </w:r>
    </w:p>
    <w:p>
      <w:pPr>
        <w:spacing w:after="0"/>
        <w:sectPr>
          <w:pgSz w:w="11910" w:h="16840"/>
          <w:pgMar w:header="0" w:footer="910" w:top="1380" w:bottom="1180" w:left="1400" w:right="1380"/>
        </w:sectPr>
      </w:pPr>
    </w:p>
    <w:p>
      <w:pPr>
        <w:pStyle w:val="BodyText"/>
        <w:spacing w:before="45"/>
      </w:pPr>
      <w:r>
        <w:rPr/>
        <w:t>客户服务电话：95519</w:t>
      </w:r>
    </w:p>
    <w:p>
      <w:pPr>
        <w:pStyle w:val="BodyText"/>
        <w:spacing w:before="139"/>
      </w:pPr>
      <w:hyperlink r:id="rId239">
        <w:r>
          <w:rPr/>
          <w:t>网址：www.e-chinalife.com</w:t>
        </w:r>
      </w:hyperlink>
    </w:p>
    <w:p>
      <w:pPr>
        <w:pStyle w:val="ListParagraph"/>
        <w:numPr>
          <w:ilvl w:val="1"/>
          <w:numId w:val="8"/>
        </w:numPr>
        <w:tabs>
          <w:tab w:pos="1450" w:val="left" w:leader="none"/>
        </w:tabs>
        <w:spacing w:line="240" w:lineRule="auto" w:before="140" w:after="0"/>
        <w:ind w:left="1450" w:right="0" w:hanging="630"/>
        <w:jc w:val="left"/>
        <w:rPr>
          <w:sz w:val="21"/>
        </w:rPr>
      </w:pPr>
      <w:r>
        <w:rPr>
          <w:sz w:val="21"/>
        </w:rPr>
        <w:t>北京中期时代基金销售有限公司</w:t>
      </w:r>
    </w:p>
    <w:p>
      <w:pPr>
        <w:pStyle w:val="BodyText"/>
        <w:spacing w:line="364" w:lineRule="auto" w:before="139"/>
        <w:ind w:right="23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415"/>
      </w:pPr>
      <w:r>
        <w:rPr/>
        <w:t>法定代表人：田宏莉联系人：尹庆</w:t>
      </w:r>
    </w:p>
    <w:p>
      <w:pPr>
        <w:pStyle w:val="BodyText"/>
        <w:spacing w:line="268" w:lineRule="exact"/>
      </w:pPr>
      <w:r>
        <w:rPr/>
        <w:t>联系电话：010-65807865</w:t>
      </w:r>
    </w:p>
    <w:p>
      <w:pPr>
        <w:pStyle w:val="BodyText"/>
        <w:spacing w:line="364" w:lineRule="auto" w:before="139"/>
        <w:ind w:right="6310"/>
      </w:pPr>
      <w:r>
        <w:rPr/>
        <w:t>客户服务电话</w:t>
      </w:r>
      <w:r>
        <w:rPr>
          <w:spacing w:val="-4"/>
        </w:rPr>
        <w:t>：95162 </w:t>
      </w:r>
      <w:r>
        <w:rPr/>
        <w:t>传真：010-65807864</w:t>
      </w:r>
    </w:p>
    <w:p>
      <w:pPr>
        <w:pStyle w:val="BodyText"/>
        <w:spacing w:line="268" w:lineRule="exact"/>
      </w:pPr>
      <w:hyperlink r:id="rId240">
        <w:r>
          <w:rPr/>
          <w:t>网址：www.jrtoo.com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中信建投期货有限公司</w:t>
      </w:r>
    </w:p>
    <w:p>
      <w:pPr>
        <w:pStyle w:val="BodyText"/>
        <w:spacing w:line="364" w:lineRule="auto" w:before="140"/>
        <w:ind w:left="400" w:right="418" w:firstLine="420"/>
      </w:pPr>
      <w:r>
        <w:rPr/>
        <w:t>注册地址：重庆市渝中区中山三路 107 号上站大楼平街 11-B，名义层 11-A，8-B4， 9-B、C</w:t>
      </w:r>
    </w:p>
    <w:p>
      <w:pPr>
        <w:pStyle w:val="BodyText"/>
        <w:spacing w:line="364" w:lineRule="auto"/>
        <w:ind w:right="31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5575"/>
      </w:pPr>
      <w:r>
        <w:rPr/>
        <w:t>客户服务电话：400-8877-780 传真：023-86769629</w:t>
      </w:r>
    </w:p>
    <w:p>
      <w:pPr>
        <w:pStyle w:val="BodyText"/>
        <w:spacing w:line="268" w:lineRule="exact"/>
      </w:pPr>
      <w:hyperlink r:id="rId241">
        <w:r>
          <w:rPr/>
          <w:t>网址：www.cfc108.com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中信期货有限公司</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ind w:left="400"/>
      </w:pPr>
      <w:r>
        <w:rPr/>
        <w:t>室、14 层</w:t>
      </w:r>
    </w:p>
    <w:p>
      <w:pPr>
        <w:pStyle w:val="BodyText"/>
        <w:spacing w:before="139"/>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18"/>
        </w:rPr>
        <w:t> 室、</w:t>
      </w:r>
    </w:p>
    <w:p>
      <w:pPr>
        <w:pStyle w:val="BodyText"/>
        <w:spacing w:before="140"/>
        <w:ind w:left="400"/>
      </w:pPr>
      <w:r>
        <w:rPr/>
        <w:t>14 层</w:t>
      </w:r>
    </w:p>
    <w:p>
      <w:pPr>
        <w:pStyle w:val="BodyText"/>
        <w:spacing w:line="364" w:lineRule="auto" w:before="139"/>
        <w:ind w:right="6625"/>
      </w:pPr>
      <w:r>
        <w:rPr/>
        <w:t>法定代表人：张皓联系人：刘宏莹</w:t>
      </w:r>
    </w:p>
    <w:p>
      <w:pPr>
        <w:pStyle w:val="BodyText"/>
        <w:spacing w:line="268" w:lineRule="exact"/>
      </w:pPr>
      <w:r>
        <w:rPr/>
        <w:t>联系电话：010-6083 3754</w:t>
      </w:r>
    </w:p>
    <w:p>
      <w:pPr>
        <w:pStyle w:val="BodyText"/>
        <w:spacing w:line="364" w:lineRule="auto" w:before="140"/>
        <w:ind w:right="5575"/>
      </w:pPr>
      <w:r>
        <w:rPr/>
        <w:t>客户服务电话：400-990-8826 传真：021-60819988</w:t>
      </w:r>
    </w:p>
    <w:p>
      <w:pPr>
        <w:pStyle w:val="BodyText"/>
        <w:spacing w:line="268" w:lineRule="exact"/>
      </w:pPr>
      <w:hyperlink r:id="rId242">
        <w:r>
          <w:rPr/>
          <w:t>网址：www.citicsf.com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上海中正达广基金销售有限公司</w:t>
      </w:r>
    </w:p>
    <w:p>
      <w:pPr>
        <w:pStyle w:val="BodyText"/>
        <w:spacing w:before="140"/>
      </w:pPr>
      <w:r>
        <w:rPr/>
        <w:t>注册地址：上海市徐汇区龙腾大道 2815 号 302 室</w:t>
      </w:r>
    </w:p>
    <w:p>
      <w:pPr>
        <w:spacing w:after="0"/>
        <w:sectPr>
          <w:pgSz w:w="11910" w:h="16840"/>
          <w:pgMar w:header="0" w:footer="910" w:top="1380" w:bottom="1180" w:left="1400" w:right="1380"/>
        </w:sectPr>
      </w:pPr>
    </w:p>
    <w:p>
      <w:pPr>
        <w:pStyle w:val="BodyText"/>
        <w:spacing w:line="364" w:lineRule="auto" w:before="45"/>
        <w:ind w:right="3790"/>
      </w:pP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5575"/>
      </w:pPr>
      <w:r>
        <w:rPr/>
        <w:t>客户服务电话</w:t>
      </w:r>
      <w:r>
        <w:rPr>
          <w:spacing w:val="-2"/>
        </w:rPr>
        <w:t>：400-6767-523 </w:t>
      </w:r>
      <w:r>
        <w:rPr/>
        <w:t>传真：021-33768132-802</w:t>
      </w:r>
    </w:p>
    <w:p>
      <w:pPr>
        <w:pStyle w:val="BodyText"/>
        <w:spacing w:line="268" w:lineRule="exact"/>
      </w:pPr>
      <w:hyperlink r:id="rId243">
        <w:r>
          <w:rPr/>
          <w:t>网址：www.zhongzhengfund.com</w:t>
        </w:r>
      </w:hyperlink>
    </w:p>
    <w:p>
      <w:pPr>
        <w:pStyle w:val="ListParagraph"/>
        <w:numPr>
          <w:ilvl w:val="1"/>
          <w:numId w:val="8"/>
        </w:numPr>
        <w:tabs>
          <w:tab w:pos="1450" w:val="left" w:leader="none"/>
        </w:tabs>
        <w:spacing w:line="240" w:lineRule="auto" w:before="139" w:after="0"/>
        <w:ind w:left="1450" w:right="0" w:hanging="630"/>
        <w:jc w:val="left"/>
        <w:rPr>
          <w:sz w:val="21"/>
        </w:rPr>
      </w:pPr>
      <w:r>
        <w:rPr>
          <w:sz w:val="21"/>
        </w:rPr>
        <w:t>中证金牛（北京）投资咨询有限公司</w:t>
      </w:r>
    </w:p>
    <w:p>
      <w:pPr>
        <w:pStyle w:val="BodyText"/>
        <w:spacing w:before="140"/>
      </w:pPr>
      <w:r>
        <w:rPr/>
        <w:t>注册地址：北京市丰台区东管头 1 号 2 号楼 2-45 室</w:t>
      </w:r>
    </w:p>
    <w:p>
      <w:pPr>
        <w:pStyle w:val="BodyText"/>
        <w:spacing w:line="364" w:lineRule="auto" w:before="139"/>
        <w:ind w:right="20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5575"/>
      </w:pPr>
      <w:r>
        <w:rPr/>
        <w:t>客户服务电话：4008-909-998 </w:t>
      </w:r>
      <w:hyperlink r:id="rId244">
        <w:r>
          <w:rPr/>
          <w:t>网址：www.jnlc.com</w:t>
        </w:r>
      </w:hyperlink>
    </w:p>
    <w:p>
      <w:pPr>
        <w:pStyle w:val="ListParagraph"/>
        <w:numPr>
          <w:ilvl w:val="1"/>
          <w:numId w:val="8"/>
        </w:numPr>
        <w:tabs>
          <w:tab w:pos="1450" w:val="left" w:leader="none"/>
        </w:tabs>
        <w:spacing w:line="268" w:lineRule="exact" w:before="0" w:after="0"/>
        <w:ind w:left="1450" w:right="0" w:hanging="630"/>
        <w:jc w:val="left"/>
        <w:rPr>
          <w:sz w:val="21"/>
        </w:rPr>
      </w:pPr>
      <w:r>
        <w:rPr>
          <w:sz w:val="21"/>
        </w:rPr>
        <w:t>深圳众禄基金销售股份有限公司</w:t>
      </w:r>
    </w:p>
    <w:p>
      <w:pPr>
        <w:pStyle w:val="BodyText"/>
        <w:spacing w:line="364" w:lineRule="auto" w:before="139"/>
        <w:ind w:right="640"/>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5"/>
        </w:rPr>
        <w:t> 室</w:t>
      </w:r>
      <w:r>
        <w:rPr/>
        <w:t>法定代表人：薛峰</w:t>
      </w:r>
    </w:p>
    <w:p>
      <w:pPr>
        <w:pStyle w:val="BodyText"/>
        <w:spacing w:line="268" w:lineRule="exact"/>
      </w:pPr>
      <w:r>
        <w:rPr/>
        <w:t>联系人：龚江江</w:t>
      </w:r>
    </w:p>
    <w:p>
      <w:pPr>
        <w:pStyle w:val="BodyText"/>
        <w:spacing w:before="140"/>
      </w:pPr>
      <w:r>
        <w:rPr/>
        <w:t>联系电话：0755-33227950</w:t>
      </w:r>
    </w:p>
    <w:p>
      <w:pPr>
        <w:pStyle w:val="BodyText"/>
        <w:spacing w:line="364" w:lineRule="auto" w:before="139"/>
        <w:ind w:right="5575"/>
      </w:pPr>
      <w:r>
        <w:rPr/>
        <w:t>客户服务电话：4006-788-887 传真：0755-33227951</w:t>
      </w:r>
    </w:p>
    <w:p>
      <w:pPr>
        <w:pStyle w:val="BodyText"/>
        <w:tabs>
          <w:tab w:pos="3234" w:val="left" w:leader="none"/>
        </w:tabs>
        <w:spacing w:line="268" w:lineRule="exact"/>
      </w:pPr>
      <w:hyperlink r:id="rId245">
        <w:r>
          <w:rPr/>
          <w:t>网址：www.zlfund.cn</w:t>
        </w:r>
      </w:hyperlink>
      <w:r>
        <w:rPr/>
        <w:tab/>
      </w:r>
      <w:hyperlink r:id="rId246">
        <w:r>
          <w:rPr/>
          <w:t>www.jjmmw.com</w:t>
        </w:r>
      </w:hyperlink>
    </w:p>
    <w:p>
      <w:pPr>
        <w:pStyle w:val="BodyText"/>
        <w:ind w:left="0"/>
        <w:rPr>
          <w:sz w:val="20"/>
        </w:rPr>
      </w:pPr>
    </w:p>
    <w:p>
      <w:pPr>
        <w:pStyle w:val="BodyText"/>
        <w:ind w:left="0"/>
        <w:rPr>
          <w:sz w:val="20"/>
        </w:rPr>
      </w:pPr>
    </w:p>
    <w:p>
      <w:pPr>
        <w:pStyle w:val="Heading3"/>
        <w:spacing w:before="173"/>
      </w:pPr>
      <w:bookmarkStart w:name="_bookmark11" w:id="12"/>
      <w:bookmarkEnd w:id="12"/>
      <w:r>
        <w:rPr/>
      </w:r>
      <w:r>
        <w:rPr/>
        <w:t>（二）基金注册登记机构</w:t>
      </w:r>
    </w:p>
    <w:p>
      <w:pPr>
        <w:pStyle w:val="BodyText"/>
        <w:spacing w:before="185"/>
      </w:pPr>
      <w:r>
        <w:rPr/>
        <w:t>基金注册登记机构：易方达基金管理有限公司</w:t>
      </w:r>
    </w:p>
    <w:p>
      <w:pPr>
        <w:pStyle w:val="BodyText"/>
        <w:spacing w:line="364" w:lineRule="auto" w:before="139"/>
        <w:ind w:right="1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5"/>
      </w:pPr>
      <w:r>
        <w:rPr/>
        <w:t>法定代表人：刘晓艳电 话 ：4008818088 传真：020-38799249</w:t>
      </w:r>
    </w:p>
    <w:p>
      <w:pPr>
        <w:pStyle w:val="BodyText"/>
        <w:spacing w:line="268" w:lineRule="exact"/>
      </w:pPr>
      <w:r>
        <w:rPr/>
        <w:t>联系人：余贤高</w:t>
      </w:r>
    </w:p>
    <w:p>
      <w:pPr>
        <w:spacing w:after="0" w:line="268" w:lineRule="exact"/>
        <w:sectPr>
          <w:pgSz w:w="11910" w:h="16840"/>
          <w:pgMar w:header="0" w:footer="910" w:top="1380" w:bottom="1180" w:left="1400" w:right="1380"/>
        </w:sectPr>
      </w:pPr>
    </w:p>
    <w:p>
      <w:pPr>
        <w:pStyle w:val="Heading3"/>
        <w:spacing w:before="46"/>
      </w:pPr>
      <w:bookmarkStart w:name="_bookmark12" w:id="13"/>
      <w:bookmarkEnd w:id="13"/>
      <w:r>
        <w:rPr/>
      </w:r>
      <w:r>
        <w:rPr/>
        <w:t>（三）律师事务所和经办律师</w:t>
      </w:r>
    </w:p>
    <w:p>
      <w:pPr>
        <w:pStyle w:val="BodyText"/>
        <w:spacing w:before="185"/>
      </w:pPr>
      <w:r>
        <w:rPr/>
        <w:t>名称：上海源泰律师事务所</w:t>
      </w:r>
    </w:p>
    <w:p>
      <w:pPr>
        <w:pStyle w:val="BodyText"/>
        <w:spacing w:line="364" w:lineRule="auto" w:before="139"/>
        <w:ind w:right="2950"/>
      </w:pPr>
      <w:r>
        <w:rPr>
          <w:spacing w:val="-4"/>
        </w:rPr>
        <w:t>住所：上海市浦东新区浦东南路 </w:t>
      </w:r>
      <w:r>
        <w:rPr/>
        <w:t>256</w:t>
      </w:r>
      <w:r>
        <w:rPr>
          <w:spacing w:val="-13"/>
        </w:rPr>
        <w:t> 号华夏银行大厦 </w:t>
      </w:r>
      <w:r>
        <w:rPr/>
        <w:t>14</w:t>
      </w:r>
      <w:r>
        <w:rPr>
          <w:spacing w:val="-35"/>
        </w:rPr>
        <w:t> 层</w:t>
      </w:r>
      <w:r>
        <w:rPr/>
        <w:t>负责人：廖海</w:t>
      </w:r>
    </w:p>
    <w:p>
      <w:pPr>
        <w:pStyle w:val="BodyText"/>
        <w:spacing w:line="364" w:lineRule="auto"/>
        <w:ind w:right="5680"/>
      </w:pPr>
      <w:r>
        <w:rPr/>
        <w:t>联系电话：（021）51150298 传真：（021）51150398</w:t>
      </w:r>
    </w:p>
    <w:p>
      <w:pPr>
        <w:pStyle w:val="BodyText"/>
        <w:spacing w:line="268" w:lineRule="exact"/>
      </w:pPr>
      <w:r>
        <w:rPr/>
        <w:t>联系人：廖海</w:t>
      </w:r>
    </w:p>
    <w:p>
      <w:pPr>
        <w:pStyle w:val="BodyText"/>
        <w:spacing w:before="139"/>
      </w:pPr>
      <w:r>
        <w:rPr/>
        <w:t>经办律师：廖海、田卫红</w:t>
      </w:r>
    </w:p>
    <w:p>
      <w:pPr>
        <w:pStyle w:val="Heading3"/>
        <w:spacing w:before="140"/>
      </w:pPr>
      <w:bookmarkStart w:name="_bookmark13" w:id="14"/>
      <w:bookmarkEnd w:id="14"/>
      <w:r>
        <w:rPr/>
      </w:r>
      <w:r>
        <w:rPr/>
        <w:t>（四）会计师事务所和经办注册会计师</w:t>
      </w:r>
    </w:p>
    <w:p>
      <w:pPr>
        <w:pStyle w:val="BodyText"/>
        <w:spacing w:before="185"/>
      </w:pPr>
      <w:r>
        <w:rPr/>
        <w:t>会计师事务所：安永华明会计师事务所（特殊普通合伙）</w:t>
      </w:r>
    </w:p>
    <w:p>
      <w:pPr>
        <w:pStyle w:val="BodyText"/>
        <w:spacing w:line="364" w:lineRule="auto" w:before="140"/>
        <w:ind w:right="12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right="6415"/>
      </w:pPr>
      <w:r>
        <w:rPr/>
        <w:t>电话：010-58153000 传真：010-85188298</w:t>
      </w:r>
    </w:p>
    <w:p>
      <w:pPr>
        <w:pStyle w:val="BodyText"/>
        <w:spacing w:line="364" w:lineRule="auto"/>
        <w:ind w:right="5575"/>
      </w:pPr>
      <w:r>
        <w:rPr/>
        <w:t>经办注册会计师：昌华、马婧联系人：昌华</w:t>
      </w:r>
    </w:p>
    <w:p>
      <w:pPr>
        <w:spacing w:after="0" w:line="364" w:lineRule="auto"/>
        <w:sectPr>
          <w:pgSz w:w="11910" w:h="16840"/>
          <w:pgMar w:header="0" w:footer="910" w:top="1380" w:bottom="1180" w:left="1400" w:right="1380"/>
        </w:sectPr>
      </w:pPr>
    </w:p>
    <w:p>
      <w:pPr>
        <w:pStyle w:val="Heading1"/>
      </w:pPr>
      <w:bookmarkStart w:name="_bookmark14" w:id="15"/>
      <w:bookmarkEnd w:id="15"/>
      <w:r>
        <w:rPr>
          <w:b w:val="0"/>
        </w:rPr>
      </w:r>
      <w:r>
        <w:rPr/>
        <w:t>六、基金的历史沿革</w:t>
      </w:r>
    </w:p>
    <w:p>
      <w:pPr>
        <w:pStyle w:val="BodyText"/>
        <w:spacing w:before="138"/>
        <w:ind w:left="935"/>
      </w:pPr>
      <w:r>
        <w:rPr/>
        <w:t>本基金由科讯证券投资基金（</w:t>
      </w:r>
      <w:r>
        <w:rPr>
          <w:spacing w:val="-11"/>
        </w:rPr>
        <w:t>以下简称“科讯基金”</w:t>
      </w:r>
      <w:r>
        <w:rPr/>
        <w:t>）转型而来。</w:t>
      </w:r>
    </w:p>
    <w:p>
      <w:pPr>
        <w:pStyle w:val="BodyText"/>
        <w:spacing w:line="364" w:lineRule="auto" w:before="139"/>
        <w:ind w:left="577" w:right="417" w:firstLine="357"/>
        <w:jc w:val="both"/>
      </w:pPr>
      <w:r>
        <w:rPr>
          <w:spacing w:val="-12"/>
        </w:rPr>
        <w:t>科讯证券投资基金是按照《证券投资基金管理暂行办法》、原有投资基金清理规范的有</w:t>
      </w:r>
      <w:r>
        <w:rPr>
          <w:spacing w:val="1"/>
        </w:rPr>
        <w:t>关要求和《关于广东省原有投资基金清理规范补充方案的批复》</w:t>
      </w:r>
      <w:r>
        <w:rPr>
          <w:spacing w:val="5"/>
        </w:rPr>
        <w:t>（证监基金字</w:t>
      </w:r>
      <w:r>
        <w:rPr/>
        <w:t>[2000]19 号</w:t>
      </w:r>
      <w:r>
        <w:rPr>
          <w:spacing w:val="-63"/>
        </w:rPr>
        <w:t>）</w:t>
      </w:r>
      <w:r>
        <w:rPr>
          <w:spacing w:val="-13"/>
        </w:rPr>
        <w:t>，并经广发基金一期、广信基金 </w:t>
      </w:r>
      <w:r>
        <w:rPr/>
        <w:t>2000</w:t>
      </w:r>
      <w:r>
        <w:rPr>
          <w:spacing w:val="-11"/>
        </w:rPr>
        <w:t> 年临时持有人大会通过，由原广发投资基金一期</w:t>
      </w:r>
      <w:r>
        <w:rPr>
          <w:spacing w:val="1"/>
        </w:rPr>
        <w:t>和广信基金清理规范合并而成的契约型封闭式投资基金，基金存续期为 </w:t>
      </w:r>
      <w:r>
        <w:rPr/>
        <w:t>10</w:t>
      </w:r>
      <w:r>
        <w:rPr>
          <w:spacing w:val="-23"/>
        </w:rPr>
        <w:t> 年</w:t>
      </w:r>
      <w:r>
        <w:rPr>
          <w:spacing w:val="4"/>
        </w:rPr>
        <w:t>（</w:t>
      </w:r>
      <w:r>
        <w:rPr>
          <w:spacing w:val="-25"/>
        </w:rPr>
        <w:t>自 </w:t>
      </w:r>
      <w:r>
        <w:rPr/>
        <w:t>1993 </w:t>
      </w:r>
      <w:r>
        <w:rPr>
          <w:spacing w:val="-27"/>
        </w:rPr>
        <w:t>年 </w:t>
      </w:r>
      <w:r>
        <w:rPr/>
        <w:t>1</w:t>
      </w:r>
      <w:r>
        <w:rPr>
          <w:spacing w:val="-36"/>
        </w:rPr>
        <w:t> 月 </w:t>
      </w:r>
      <w:r>
        <w:rPr/>
        <w:t>12</w:t>
      </w:r>
      <w:r>
        <w:rPr>
          <w:spacing w:val="-27"/>
        </w:rPr>
        <w:t> 日至 </w:t>
      </w:r>
      <w:r>
        <w:rPr/>
        <w:t>2003</w:t>
      </w:r>
      <w:r>
        <w:rPr>
          <w:spacing w:val="-36"/>
        </w:rPr>
        <w:t> 年 </w:t>
      </w:r>
      <w:r>
        <w:rPr/>
        <w:t>1</w:t>
      </w:r>
      <w:r>
        <w:rPr>
          <w:spacing w:val="-36"/>
        </w:rPr>
        <w:t> 月 </w:t>
      </w:r>
      <w:r>
        <w:rPr/>
        <w:t>11</w:t>
      </w:r>
      <w:r>
        <w:rPr>
          <w:spacing w:val="-27"/>
        </w:rPr>
        <w:t> 日</w:t>
      </w:r>
      <w:r>
        <w:rPr>
          <w:spacing w:val="-105"/>
        </w:rPr>
        <w:t>）</w:t>
      </w:r>
      <w:r>
        <w:rPr>
          <w:spacing w:val="-11"/>
        </w:rPr>
        <w:t>。当时基金总份额为 </w:t>
      </w:r>
      <w:r>
        <w:rPr/>
        <w:t>207,250,331</w:t>
      </w:r>
      <w:r>
        <w:rPr>
          <w:spacing w:val="-10"/>
        </w:rPr>
        <w:t> 份基金单位。基金发</w:t>
      </w:r>
      <w:r>
        <w:rPr>
          <w:spacing w:val="-13"/>
        </w:rPr>
        <w:t>起人为广发证券有限责任公司和易方达基金管理有限公司；基金管理人为易方达基金管理</w:t>
      </w:r>
      <w:r>
        <w:rPr/>
        <w:t>有限公司；基金托管人为交通银行。</w:t>
      </w:r>
    </w:p>
    <w:p>
      <w:pPr>
        <w:pStyle w:val="BodyText"/>
        <w:spacing w:line="364" w:lineRule="auto"/>
        <w:ind w:left="577" w:right="417" w:firstLine="357"/>
        <w:jc w:val="both"/>
      </w:pPr>
      <w:r>
        <w:rPr/>
        <w:t>2001</w:t>
      </w:r>
      <w:r>
        <w:rPr>
          <w:spacing w:val="-36"/>
        </w:rPr>
        <w:t> 年 </w:t>
      </w:r>
      <w:r>
        <w:rPr/>
        <w:t>6</w:t>
      </w:r>
      <w:r>
        <w:rPr>
          <w:spacing w:val="-11"/>
        </w:rPr>
        <w:t> 月，根据中国证监会《关于同意科汇、科讯、科翔证券投资基金上市、扩募</w:t>
      </w:r>
      <w:r>
        <w:rPr>
          <w:spacing w:val="3"/>
        </w:rPr>
        <w:t>和续期的批复》</w:t>
      </w:r>
      <w:r>
        <w:rPr/>
        <w:t>（ 证监基金字[2001]11</w:t>
      </w:r>
      <w:r>
        <w:rPr>
          <w:spacing w:val="-8"/>
        </w:rPr>
        <w:t> 号</w:t>
      </w:r>
      <w:r>
        <w:rPr/>
        <w:t>）</w:t>
      </w:r>
      <w:r>
        <w:rPr>
          <w:spacing w:val="-1"/>
        </w:rPr>
        <w:t> 的批复， 经上海证券交易所</w:t>
      </w:r>
      <w:r>
        <w:rPr/>
        <w:t>（</w:t>
      </w:r>
      <w:r>
        <w:rPr>
          <w:spacing w:val="-7"/>
        </w:rPr>
        <w:t> 上证上字[2001]88</w:t>
      </w:r>
      <w:r>
        <w:rPr>
          <w:spacing w:val="-18"/>
        </w:rPr>
        <w:t> 号文</w:t>
      </w:r>
      <w:r>
        <w:rPr/>
        <w:t>）批准，科讯证券投资基金在上海证券交易所挂牌交易。</w:t>
      </w:r>
    </w:p>
    <w:p>
      <w:pPr>
        <w:pStyle w:val="BodyText"/>
        <w:spacing w:line="364" w:lineRule="auto"/>
        <w:ind w:left="577" w:right="417" w:firstLine="357"/>
        <w:jc w:val="both"/>
      </w:pPr>
      <w:r>
        <w:rPr/>
        <w:t>2001</w:t>
      </w:r>
      <w:r>
        <w:rPr>
          <w:spacing w:val="-36"/>
        </w:rPr>
        <w:t> 年 </w:t>
      </w:r>
      <w:r>
        <w:rPr/>
        <w:t>7</w:t>
      </w:r>
      <w:r>
        <w:rPr>
          <w:spacing w:val="-14"/>
        </w:rPr>
        <w:t> 月，本基金由原来的 </w:t>
      </w:r>
      <w:r>
        <w:rPr/>
        <w:t>207,250,331</w:t>
      </w:r>
      <w:r>
        <w:rPr>
          <w:spacing w:val="-13"/>
        </w:rPr>
        <w:t> 份基金单位扩募至 </w:t>
      </w:r>
      <w:r>
        <w:rPr/>
        <w:t>8</w:t>
      </w:r>
      <w:r>
        <w:rPr>
          <w:spacing w:val="-12"/>
        </w:rPr>
        <w:t> 亿份基金单位，基金</w:t>
      </w:r>
      <w:r>
        <w:rPr>
          <w:spacing w:val="-9"/>
        </w:rPr>
        <w:t>存续期延长 </w:t>
      </w:r>
      <w:r>
        <w:rPr/>
        <w:t>5</w:t>
      </w:r>
      <w:r>
        <w:rPr>
          <w:spacing w:val="-43"/>
        </w:rPr>
        <w:t> 年</w:t>
      </w:r>
      <w:r>
        <w:rPr/>
        <w:t>（</w:t>
      </w:r>
      <w:r>
        <w:rPr>
          <w:spacing w:val="-27"/>
        </w:rPr>
        <w:t>至 </w:t>
      </w:r>
      <w:r>
        <w:rPr/>
        <w:t>2008</w:t>
      </w:r>
      <w:r>
        <w:rPr>
          <w:spacing w:val="-36"/>
        </w:rPr>
        <w:t> 年 </w:t>
      </w:r>
      <w:r>
        <w:rPr/>
        <w:t>1</w:t>
      </w:r>
      <w:r>
        <w:rPr>
          <w:spacing w:val="-36"/>
        </w:rPr>
        <w:t> 月 </w:t>
      </w:r>
      <w:r>
        <w:rPr/>
        <w:t>11</w:t>
      </w:r>
      <w:r>
        <w:rPr>
          <w:spacing w:val="-27"/>
        </w:rPr>
        <w:t> 日</w:t>
      </w:r>
      <w:r>
        <w:rPr>
          <w:spacing w:val="-68"/>
        </w:rPr>
        <w:t>）</w:t>
      </w:r>
      <w:r>
        <w:rPr>
          <w:spacing w:val="-16"/>
        </w:rPr>
        <w:t>，扩募配售份额于 </w:t>
      </w:r>
      <w:r>
        <w:rPr/>
        <w:t>2001</w:t>
      </w:r>
      <w:r>
        <w:rPr>
          <w:spacing w:val="-36"/>
        </w:rPr>
        <w:t> 年 </w:t>
      </w:r>
      <w:r>
        <w:rPr/>
        <w:t>8</w:t>
      </w:r>
      <w:r>
        <w:rPr>
          <w:spacing w:val="-8"/>
        </w:rPr>
        <w:t> 月在上海证券交易所上市交易。</w:t>
      </w:r>
    </w:p>
    <w:p>
      <w:pPr>
        <w:pStyle w:val="BodyText"/>
        <w:spacing w:line="364" w:lineRule="auto"/>
        <w:ind w:left="577" w:right="312" w:firstLine="357"/>
      </w:pPr>
      <w:r>
        <w:rPr/>
        <w:t>2007</w:t>
      </w:r>
      <w:r>
        <w:rPr>
          <w:spacing w:val="-33"/>
        </w:rPr>
        <w:t> 年 </w:t>
      </w:r>
      <w:r>
        <w:rPr/>
        <w:t>11</w:t>
      </w:r>
      <w:r>
        <w:rPr>
          <w:spacing w:val="-32"/>
        </w:rPr>
        <w:t> 月 </w:t>
      </w:r>
      <w:r>
        <w:rPr/>
        <w:t>9</w:t>
      </w:r>
      <w:r>
        <w:rPr>
          <w:spacing w:val="-7"/>
        </w:rPr>
        <w:t> 日，科讯基金基金份额持有人大会以现场方式召开，大会通过了科讯</w:t>
      </w:r>
      <w:r>
        <w:rPr>
          <w:spacing w:val="-10"/>
        </w:rPr>
        <w:t>基金转型议案，内容包括科讯基金由封闭式基金转为开放式基金、调整存续期限、终止上</w:t>
      </w:r>
      <w:r>
        <w:rPr>
          <w:spacing w:val="-9"/>
        </w:rPr>
        <w:t>市、调整投资目标、投资范围、投资策略、收益分配政策以及修订基金合同等。依据中国</w:t>
      </w:r>
      <w:r>
        <w:rPr>
          <w:spacing w:val="-21"/>
        </w:rPr>
        <w:t>证监会 </w:t>
      </w:r>
      <w:r>
        <w:rPr/>
        <w:t>2007</w:t>
      </w:r>
      <w:r>
        <w:rPr>
          <w:spacing w:val="-36"/>
        </w:rPr>
        <w:t> 年 </w:t>
      </w:r>
      <w:r>
        <w:rPr/>
        <w:t>12</w:t>
      </w:r>
      <w:r>
        <w:rPr>
          <w:spacing w:val="-37"/>
        </w:rPr>
        <w:t> 月 </w:t>
      </w:r>
      <w:r>
        <w:rPr/>
        <w:t>6</w:t>
      </w:r>
      <w:r>
        <w:rPr>
          <w:spacing w:val="-9"/>
        </w:rPr>
        <w:t> 日证监基金字</w:t>
      </w:r>
      <w:r>
        <w:rPr/>
        <w:t>[2007]330</w:t>
      </w:r>
      <w:r>
        <w:rPr>
          <w:spacing w:val="-14"/>
        </w:rPr>
        <w:t> 号文核准，基金份额持有人大会决议生效。</w:t>
      </w:r>
      <w:r>
        <w:rPr>
          <w:spacing w:val="-4"/>
        </w:rPr>
        <w:t>依据基金份额持有人大会决议，基金管理人向上海证券交易所申请基金终止上市，自基金</w:t>
      </w:r>
      <w:r>
        <w:rPr>
          <w:spacing w:val="-8"/>
        </w:rPr>
        <w:t>终止上市之日起，原《科讯证券投资基金基金合同》失效，《易方达科讯股票型证券投资</w:t>
      </w:r>
      <w:r>
        <w:rPr>
          <w:spacing w:val="-11"/>
        </w:rPr>
        <w:t>基金基金合同》生效，基金正式转型为开放式基金，存续期限调整为无限期，基金投资目</w:t>
      </w:r>
      <w:r>
        <w:rPr>
          <w:spacing w:val="2"/>
        </w:rPr>
        <w:t>标、范围和策略等内容进行相应调整，同时基金更名为“易方达科讯股票型证券投资基</w:t>
      </w:r>
      <w:r>
        <w:rPr>
          <w:spacing w:val="-35"/>
        </w:rPr>
        <w:t>金”。</w:t>
      </w:r>
    </w:p>
    <w:p>
      <w:pPr>
        <w:pStyle w:val="BodyText"/>
        <w:spacing w:line="364" w:lineRule="auto"/>
        <w:ind w:left="400" w:right="418" w:firstLine="420"/>
      </w:pPr>
      <w:r>
        <w:rPr/>
        <w:t>2015</w:t>
      </w:r>
      <w:r>
        <w:rPr>
          <w:spacing w:val="-36"/>
        </w:rPr>
        <w:t> 年 </w:t>
      </w:r>
      <w:r>
        <w:rPr/>
        <w:t>7</w:t>
      </w:r>
      <w:r>
        <w:rPr>
          <w:spacing w:val="-36"/>
        </w:rPr>
        <w:t> 月 </w:t>
      </w:r>
      <w:r>
        <w:rPr/>
        <w:t>25</w:t>
      </w:r>
      <w:r>
        <w:rPr>
          <w:spacing w:val="-10"/>
        </w:rPr>
        <w:t> 日，根据《运作办法》的规定，本基金变更基金类别并由“易方达科讯</w:t>
      </w:r>
      <w:r>
        <w:rPr>
          <w:spacing w:val="-4"/>
        </w:rPr>
        <w:t>股票型证券投资基金”更名为“易方达科讯混合型证券投资基金”。</w:t>
      </w:r>
    </w:p>
    <w:p>
      <w:pPr>
        <w:spacing w:after="0" w:line="364" w:lineRule="auto"/>
        <w:sectPr>
          <w:pgSz w:w="11910" w:h="16840"/>
          <w:pgMar w:header="0" w:footer="910" w:top="1400" w:bottom="1180" w:left="1400" w:right="1380"/>
        </w:sectPr>
      </w:pPr>
    </w:p>
    <w:p>
      <w:pPr>
        <w:pStyle w:val="Heading1"/>
      </w:pPr>
      <w:bookmarkStart w:name="_bookmark15" w:id="16"/>
      <w:bookmarkEnd w:id="16"/>
      <w:r>
        <w:rPr>
          <w:b w:val="0"/>
        </w:rPr>
      </w:r>
      <w:r>
        <w:rPr/>
        <w:t>七、基金的存续</w:t>
      </w:r>
    </w:p>
    <w:p>
      <w:pPr>
        <w:pStyle w:val="Heading4"/>
        <w:spacing w:before="68"/>
      </w:pPr>
      <w:bookmarkStart w:name="_bookmark16" w:id="17"/>
      <w:bookmarkEnd w:id="17"/>
      <w:r>
        <w:rPr>
          <w:b w:val="0"/>
        </w:rPr>
      </w:r>
      <w:r>
        <w:rPr/>
        <w:t>（一）基金份额的变更登记</w:t>
      </w:r>
    </w:p>
    <w:p>
      <w:pPr>
        <w:pStyle w:val="BodyText"/>
        <w:spacing w:line="364" w:lineRule="auto" w:before="92"/>
        <w:ind w:left="400" w:right="418" w:firstLine="359"/>
        <w:jc w:val="both"/>
      </w:pPr>
      <w:r>
        <w:rPr>
          <w:spacing w:val="-5"/>
        </w:rPr>
        <w:t>科讯基金终止上市后，基金管理人向中国证券登记结算有限责任公司申请办理基金份额</w:t>
      </w:r>
      <w:r>
        <w:rPr>
          <w:spacing w:val="-11"/>
        </w:rPr>
        <w:t>的变更登记。基金管理人向中国证券登记结算有限责任公司上海分公司取得终止上市权益登</w:t>
      </w:r>
      <w:r>
        <w:rPr>
          <w:spacing w:val="-8"/>
        </w:rPr>
        <w:t>记日的基金份额持有人名册之后，将投资者权益数据转登记到易方达基金管理有限公司的注</w:t>
      </w:r>
      <w:r>
        <w:rPr>
          <w:spacing w:val="-10"/>
        </w:rPr>
        <w:t>册登记系统，进行投资者持有基金份额的初始登记，并进行基金份额更名以及必要的信息变</w:t>
      </w:r>
      <w:r>
        <w:rPr/>
        <w:t>更。</w:t>
      </w:r>
    </w:p>
    <w:p>
      <w:pPr>
        <w:pStyle w:val="Heading4"/>
        <w:spacing w:line="314" w:lineRule="exact"/>
      </w:pPr>
      <w:bookmarkStart w:name="_bookmark17" w:id="18"/>
      <w:bookmarkEnd w:id="18"/>
      <w:r>
        <w:rPr>
          <w:b w:val="0"/>
        </w:rPr>
      </w:r>
      <w:r>
        <w:rPr/>
        <w:t>（二）基金存续期内的基金份额持有人数量和资产规模</w:t>
      </w:r>
    </w:p>
    <w:p>
      <w:pPr>
        <w:pStyle w:val="BodyText"/>
        <w:spacing w:line="364" w:lineRule="auto" w:before="92"/>
        <w:ind w:left="400" w:right="41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ind w:left="935"/>
      </w:pPr>
      <w:r>
        <w:rPr/>
        <w:t>法律法规另有规定时，从其规定。</w:t>
      </w:r>
    </w:p>
    <w:p>
      <w:pPr>
        <w:spacing w:after="0" w:line="267" w:lineRule="exact"/>
        <w:sectPr>
          <w:pgSz w:w="11910" w:h="16840"/>
          <w:pgMar w:header="0" w:footer="910" w:top="1400" w:bottom="1180" w:left="1400" w:right="1380"/>
        </w:sectPr>
      </w:pPr>
    </w:p>
    <w:p>
      <w:pPr>
        <w:pStyle w:val="Heading1"/>
      </w:pPr>
      <w:bookmarkStart w:name="_bookmark18" w:id="19"/>
      <w:bookmarkEnd w:id="19"/>
      <w:r>
        <w:rPr>
          <w:b w:val="0"/>
        </w:rPr>
      </w:r>
      <w:r>
        <w:rPr/>
        <w:t>八、基金的集中申购</w:t>
      </w:r>
    </w:p>
    <w:p>
      <w:pPr>
        <w:pStyle w:val="BodyText"/>
        <w:spacing w:before="138"/>
        <w:jc w:val="both"/>
      </w:pPr>
      <w:r>
        <w:rPr/>
        <w:t>本基金集中申购期为 2007 年 12 月 24 日至 2008 年 1 月 4 日。</w:t>
      </w:r>
    </w:p>
    <w:p>
      <w:pPr>
        <w:pStyle w:val="BodyText"/>
        <w:spacing w:line="364" w:lineRule="auto" w:before="139"/>
        <w:ind w:left="400" w:right="418" w:firstLine="420"/>
        <w:jc w:val="both"/>
      </w:pPr>
      <w:r>
        <w:rPr>
          <w:spacing w:val="-4"/>
        </w:rPr>
        <w:t>本基金最终有效净集中申购金额为 </w:t>
      </w:r>
      <w:r>
        <w:rPr/>
        <w:t>11,830,863,816.12</w:t>
      </w:r>
      <w:r>
        <w:rPr>
          <w:spacing w:val="-15"/>
        </w:rPr>
        <w:t> 元人民币，有效集中申购申请金</w:t>
      </w:r>
      <w:r>
        <w:rPr>
          <w:spacing w:val="-5"/>
        </w:rPr>
        <w:t>额产生的银行利息共计 </w:t>
      </w:r>
      <w:r>
        <w:rPr/>
        <w:t>2,048,261.03</w:t>
      </w:r>
      <w:r>
        <w:rPr>
          <w:spacing w:val="-8"/>
        </w:rPr>
        <w:t> 元人民币。本次集中申购有效净申购资金及其产生的</w:t>
      </w:r>
      <w:r>
        <w:rPr>
          <w:spacing w:val="-12"/>
        </w:rPr>
        <w:t>银行利息已全额划入本基金在基金托管人交通银行股份有限公司开立的托管专户。本次集中</w:t>
      </w:r>
      <w:r>
        <w:rPr>
          <w:spacing w:val="-6"/>
        </w:rPr>
        <w:t>申购有效申购户数为 </w:t>
      </w:r>
      <w:r>
        <w:rPr/>
        <w:t>327,220</w:t>
      </w:r>
      <w:r>
        <w:rPr>
          <w:spacing w:val="-11"/>
        </w:rPr>
        <w:t> 户，按照每份基金份额发售面值 </w:t>
      </w:r>
      <w:r>
        <w:rPr/>
        <w:t>1.0000</w:t>
      </w:r>
      <w:r>
        <w:rPr>
          <w:spacing w:val="-8"/>
        </w:rPr>
        <w:t> 元人民币计算，本次</w:t>
      </w:r>
      <w:r>
        <w:rPr>
          <w:spacing w:val="-10"/>
        </w:rPr>
        <w:t>集中申购有效净申购资金及其产生的利息结转的基金份额共计 </w:t>
      </w:r>
      <w:r>
        <w:rPr/>
        <w:t>11,832,912,077.15</w:t>
      </w:r>
      <w:r>
        <w:rPr>
          <w:spacing w:val="-34"/>
        </w:rPr>
        <w:t> 份，已分</w:t>
      </w:r>
      <w:r>
        <w:rPr>
          <w:spacing w:val="-5"/>
        </w:rPr>
        <w:t>别计入参加集中申购的各基金份额持有人的基金账户，归参加集中申购的各基金份额持有人</w:t>
      </w:r>
      <w:r>
        <w:rPr/>
        <w:t>所有。</w:t>
      </w:r>
    </w:p>
    <w:p>
      <w:pPr>
        <w:spacing w:after="0" w:line="364" w:lineRule="auto"/>
        <w:jc w:val="both"/>
        <w:sectPr>
          <w:pgSz w:w="11910" w:h="16840"/>
          <w:pgMar w:header="0" w:footer="910" w:top="1400" w:bottom="1180" w:left="1400" w:right="1380"/>
        </w:sectPr>
      </w:pPr>
    </w:p>
    <w:p>
      <w:pPr>
        <w:pStyle w:val="Heading1"/>
      </w:pPr>
      <w:bookmarkStart w:name="_bookmark19" w:id="20"/>
      <w:bookmarkEnd w:id="20"/>
      <w:r>
        <w:rPr>
          <w:b w:val="0"/>
        </w:rPr>
      </w:r>
      <w:r>
        <w:rPr/>
        <w:t>九、基金份额的申购、赎回</w:t>
      </w:r>
    </w:p>
    <w:p>
      <w:pPr>
        <w:pStyle w:val="Heading3"/>
        <w:spacing w:before="139"/>
      </w:pPr>
      <w:bookmarkStart w:name="_bookmark20" w:id="21"/>
      <w:bookmarkEnd w:id="21"/>
      <w:r>
        <w:rPr/>
      </w:r>
      <w:r>
        <w:rPr/>
        <w:t>（一）申购与赎回办理的场所</w:t>
      </w:r>
    </w:p>
    <w:p>
      <w:pPr>
        <w:pStyle w:val="BodyText"/>
        <w:spacing w:before="185"/>
      </w:pPr>
      <w:r>
        <w:rPr/>
        <w:t>本基金的销售机构包括基金管理人和基金管理人委托的非直销销售机构。</w:t>
      </w:r>
    </w:p>
    <w:p>
      <w:pPr>
        <w:pStyle w:val="BodyText"/>
        <w:spacing w:line="364" w:lineRule="auto" w:before="139"/>
        <w:ind w:left="400" w:right="313" w:firstLine="420"/>
      </w:pPr>
      <w:r>
        <w:rPr>
          <w:spacing w:val="2"/>
        </w:rPr>
        <w:t>投资人可以在销售机构办理基金销售业务的营业场所或按销售机构提供的其他方式办</w:t>
      </w:r>
      <w:r>
        <w:rPr>
          <w:spacing w:val="-14"/>
        </w:rPr>
        <w:t>理基金的申购与赎回。基金管理人可根据情况变更基金销售机构，并在基金管理人网站公示。</w:t>
      </w:r>
    </w:p>
    <w:p>
      <w:pPr>
        <w:pStyle w:val="BodyText"/>
        <w:spacing w:line="364" w:lineRule="auto"/>
        <w:ind w:left="400" w:right="418" w:firstLine="420"/>
      </w:pPr>
      <w:r>
        <w:rPr>
          <w:spacing w:val="2"/>
        </w:rPr>
        <w:t>投资者还可通过基金管理人或者指定的基金销售机构以电话或互联网或其他电子交易</w:t>
      </w:r>
      <w:r>
        <w:rPr/>
        <w:t>方式进行申购、赎回，具体办法详见销售机构公告。</w:t>
      </w:r>
    </w:p>
    <w:p>
      <w:pPr>
        <w:pStyle w:val="Heading3"/>
      </w:pPr>
      <w:bookmarkStart w:name="_bookmark21" w:id="22"/>
      <w:bookmarkEnd w:id="22"/>
      <w:r>
        <w:rPr/>
      </w:r>
      <w:r>
        <w:rPr/>
        <w:t>（二）申购与赎回办理的开放日及时间</w:t>
      </w:r>
    </w:p>
    <w:p>
      <w:pPr>
        <w:pStyle w:val="BodyText"/>
        <w:spacing w:before="184"/>
        <w:ind w:left="400"/>
      </w:pPr>
      <w:r>
        <w:rPr/>
        <w:t>1、开放日及业务办理时间</w:t>
      </w:r>
    </w:p>
    <w:p>
      <w:pPr>
        <w:pStyle w:val="BodyText"/>
        <w:spacing w:line="364" w:lineRule="auto" w:before="140"/>
        <w:ind w:left="400" w:right="417" w:firstLine="420"/>
        <w:jc w:val="both"/>
      </w:pPr>
      <w:r>
        <w:rPr>
          <w:spacing w:val="-6"/>
        </w:rPr>
        <w:t>本基金的开放日是指为投资人办理基金申购、赎回等业务的上海、深圳证券交易所交易</w:t>
      </w:r>
      <w:r>
        <w:rPr>
          <w:spacing w:val="-10"/>
        </w:rPr>
        <w:t>日。但基金管理人根据法律法规、中国证监会的要求或本基金合同的规定公告暂停申购、赎</w:t>
      </w:r>
      <w:r>
        <w:rPr/>
        <w:t>回时除外。开放日的具体业务办理时间为上海证券交易所、深圳证券交易所的交易时间。</w:t>
      </w:r>
    </w:p>
    <w:p>
      <w:pPr>
        <w:pStyle w:val="BodyText"/>
        <w:spacing w:line="364" w:lineRule="auto"/>
        <w:ind w:left="400" w:right="418" w:firstLine="420"/>
      </w:pPr>
      <w:r>
        <w:rPr>
          <w:spacing w:val="-5"/>
        </w:rPr>
        <w:t>若出现新的证券交易市场或交易所交易时间更改或其他特殊情况，基金管理人将视情况</w:t>
      </w:r>
      <w:r>
        <w:rPr/>
        <w:t>对前述开放日及具体业务办理时间进行相应的调整并提前公告。</w:t>
      </w:r>
    </w:p>
    <w:p>
      <w:pPr>
        <w:pStyle w:val="BodyText"/>
        <w:spacing w:line="268" w:lineRule="exact"/>
      </w:pPr>
      <w:r>
        <w:rPr/>
        <w:t>2、申购与赎回的开始时间</w:t>
      </w:r>
    </w:p>
    <w:p>
      <w:pPr>
        <w:pStyle w:val="BodyText"/>
        <w:spacing w:line="364" w:lineRule="auto" w:before="138"/>
        <w:ind w:left="400" w:right="418" w:firstLine="420"/>
      </w:pPr>
      <w:r>
        <w:rPr>
          <w:spacing w:val="-9"/>
        </w:rPr>
        <w:t>本基金已于 </w:t>
      </w:r>
      <w:r>
        <w:rPr/>
        <w:t>2008</w:t>
      </w:r>
      <w:r>
        <w:rPr>
          <w:spacing w:val="-36"/>
        </w:rPr>
        <w:t> 年 </w:t>
      </w:r>
      <w:r>
        <w:rPr/>
        <w:t>2</w:t>
      </w:r>
      <w:r>
        <w:rPr>
          <w:spacing w:val="-36"/>
        </w:rPr>
        <w:t> 月 </w:t>
      </w:r>
      <w:r>
        <w:rPr/>
        <w:t>4</w:t>
      </w:r>
      <w:r>
        <w:rPr>
          <w:spacing w:val="-11"/>
        </w:rPr>
        <w:t> 日开始办理日常赎回业务，于 </w:t>
      </w:r>
      <w:r>
        <w:rPr/>
        <w:t>2008</w:t>
      </w:r>
      <w:r>
        <w:rPr>
          <w:spacing w:val="-36"/>
        </w:rPr>
        <w:t> 年 </w:t>
      </w:r>
      <w:r>
        <w:rPr/>
        <w:t>6</w:t>
      </w:r>
      <w:r>
        <w:rPr>
          <w:spacing w:val="-36"/>
        </w:rPr>
        <w:t> 月 </w:t>
      </w:r>
      <w:r>
        <w:rPr/>
        <w:t>19</w:t>
      </w:r>
      <w:r>
        <w:rPr>
          <w:spacing w:val="-9"/>
        </w:rPr>
        <w:t> 日开始办理日常申购业务。</w:t>
      </w:r>
    </w:p>
    <w:p>
      <w:pPr>
        <w:pStyle w:val="Heading3"/>
      </w:pPr>
      <w:bookmarkStart w:name="_bookmark22" w:id="23"/>
      <w:bookmarkEnd w:id="23"/>
      <w:r>
        <w:rPr/>
      </w:r>
      <w:r>
        <w:rPr/>
        <w:t>（三）申购与赎回的原则</w:t>
      </w:r>
    </w:p>
    <w:p>
      <w:pPr>
        <w:pStyle w:val="BodyText"/>
        <w:spacing w:line="364" w:lineRule="auto" w:before="184"/>
        <w:ind w:left="400" w:right="418" w:firstLine="420"/>
      </w:pPr>
      <w:r>
        <w:rPr/>
        <w:t>1、“未知价原则”，即本基金的申购与赎回价格以受理申请当日收市后计算的基金份额净值为基准进行计算；</w:t>
      </w:r>
    </w:p>
    <w:p>
      <w:pPr>
        <w:pStyle w:val="BodyText"/>
        <w:spacing w:line="268" w:lineRule="exact"/>
      </w:pPr>
      <w:r>
        <w:rPr/>
        <w:t>2、本基金采用金额申购、份额赎回原则，即申购以金额申请，赎回以份额申请；</w:t>
      </w:r>
    </w:p>
    <w:p>
      <w:pPr>
        <w:pStyle w:val="BodyText"/>
        <w:spacing w:line="364" w:lineRule="auto" w:before="140"/>
        <w:ind w:left="400" w:right="208" w:firstLine="420"/>
      </w:pPr>
      <w:r>
        <w:rPr/>
        <w:t>3、基金份额持有人在赎回基金份额时，除指定赎回外，基金管理人按先进先出的原则， </w:t>
      </w:r>
      <w:r>
        <w:rPr>
          <w:spacing w:val="-4"/>
        </w:rPr>
        <w:t>即对该持有人账户在该销售机构托管的基金份额进行赎回处理时，注册日期在先的基金份额 先赎回，注册日期在后的基金份额后赎回，以确定所适用的赎回费率；</w:t>
      </w:r>
    </w:p>
    <w:p>
      <w:pPr>
        <w:pStyle w:val="BodyText"/>
        <w:spacing w:line="268" w:lineRule="exact"/>
      </w:pPr>
      <w:r>
        <w:rPr/>
        <w:t>4、当日的申购与赎回申请可以在交易时间结束前撤销，在交易时间结束后不得撤销；</w:t>
      </w:r>
    </w:p>
    <w:p>
      <w:pPr>
        <w:pStyle w:val="BodyText"/>
        <w:spacing w:line="364" w:lineRule="auto" w:before="139"/>
        <w:ind w:left="400" w:right="418" w:firstLine="420"/>
      </w:pPr>
      <w:r>
        <w:rPr/>
        <w:t>5、基金管理人根据基金运作的实际情况可依法更改上述原则，但最迟应在新的原则实施 2 日前在指定媒介予以公告。</w:t>
      </w:r>
    </w:p>
    <w:p>
      <w:pPr>
        <w:pStyle w:val="Heading3"/>
        <w:spacing w:before="1"/>
      </w:pPr>
      <w:bookmarkStart w:name="_bookmark23" w:id="24"/>
      <w:bookmarkEnd w:id="24"/>
      <w:r>
        <w:rPr/>
      </w:r>
      <w:r>
        <w:rPr/>
        <w:t>（四）申购与赎回的程序</w:t>
      </w:r>
    </w:p>
    <w:p>
      <w:pPr>
        <w:pStyle w:val="BodyText"/>
        <w:spacing w:before="184"/>
      </w:pPr>
      <w:r>
        <w:rPr/>
        <w:t>1、申购与赎回申请的提出</w:t>
      </w:r>
    </w:p>
    <w:p>
      <w:pPr>
        <w:pStyle w:val="BodyText"/>
        <w:spacing w:line="364" w:lineRule="auto" w:before="140"/>
        <w:ind w:right="220"/>
      </w:pPr>
      <w:r>
        <w:rPr>
          <w:spacing w:val="-8"/>
        </w:rPr>
        <w:t>基金投资人须按销售机构规定的程序，在开放日的业务办理时间提出申购或赎回的申请。</w:t>
      </w:r>
      <w:r>
        <w:rPr>
          <w:spacing w:val="-4"/>
        </w:rPr>
        <w:t>投资人在提交申购申请时须按销售机构规定的方式备足申购资金，投资人在提交赎回申</w:t>
      </w:r>
    </w:p>
    <w:p>
      <w:pPr>
        <w:pStyle w:val="BodyText"/>
        <w:spacing w:line="268" w:lineRule="exact"/>
        <w:ind w:left="400"/>
      </w:pPr>
      <w:r>
        <w:rPr/>
        <w:t>请时须持有足够的基金份额余额，否则所提交的申购、赎回申请无效。</w:t>
      </w:r>
    </w:p>
    <w:p>
      <w:pPr>
        <w:spacing w:after="0" w:line="268" w:lineRule="exact"/>
        <w:sectPr>
          <w:pgSz w:w="11910" w:h="16840"/>
          <w:pgMar w:header="0" w:footer="910" w:top="1400" w:bottom="1180" w:left="1400" w:right="1380"/>
        </w:sectPr>
      </w:pPr>
    </w:p>
    <w:p>
      <w:pPr>
        <w:pStyle w:val="BodyText"/>
        <w:spacing w:before="45"/>
      </w:pPr>
      <w:r>
        <w:rPr/>
        <w:t>2、申购与赎回申请的确认</w:t>
      </w:r>
    </w:p>
    <w:p>
      <w:pPr>
        <w:pStyle w:val="BodyText"/>
        <w:spacing w:line="364" w:lineRule="auto" w:before="139"/>
        <w:ind w:left="400" w:right="208" w:firstLine="420"/>
      </w:pPr>
      <w:r>
        <w:rPr>
          <w:spacing w:val="4"/>
        </w:rPr>
        <w:t>以销售机构交易时间结束前收到申购和赎回申请的当日作为申购或赎回申请日</w:t>
      </w:r>
      <w:r>
        <w:rPr/>
        <w:t>(T</w:t>
      </w:r>
      <w:r>
        <w:rPr>
          <w:spacing w:val="-11"/>
        </w:rPr>
        <w:t> 日)， </w:t>
      </w:r>
      <w:r>
        <w:rPr>
          <w:spacing w:val="-13"/>
        </w:rPr>
        <w:t>除非招募说明书另有规定，正常情况下,本基金注册登记人在 </w:t>
      </w:r>
      <w:r>
        <w:rPr/>
        <w:t>T+1</w:t>
      </w:r>
      <w:r>
        <w:rPr>
          <w:spacing w:val="-7"/>
        </w:rPr>
        <w:t> 日内对该交易的有效性进行</w:t>
      </w:r>
      <w:r>
        <w:rPr>
          <w:spacing w:val="-12"/>
        </w:rPr>
        <w:t>确认。</w:t>
      </w:r>
      <w:r>
        <w:rPr/>
        <w:t>T</w:t>
      </w:r>
      <w:r>
        <w:rPr>
          <w:spacing w:val="-13"/>
        </w:rPr>
        <w:t> 日提交的有效申请，投资人可自 </w:t>
      </w:r>
      <w:r>
        <w:rPr/>
        <w:t>T+2</w:t>
      </w:r>
      <w:r>
        <w:rPr>
          <w:spacing w:val="-8"/>
        </w:rPr>
        <w:t> 日起到销售网点柜台或以销售机构规定的其他方式查询申请的确认情况。</w:t>
      </w:r>
    </w:p>
    <w:p>
      <w:pPr>
        <w:pStyle w:val="BodyText"/>
        <w:spacing w:line="267" w:lineRule="exact"/>
      </w:pPr>
      <w:r>
        <w:rPr/>
        <w:t>3、申购与赎回申请的款项支付</w:t>
      </w:r>
    </w:p>
    <w:p>
      <w:pPr>
        <w:pStyle w:val="BodyText"/>
        <w:spacing w:line="364" w:lineRule="auto" w:before="140"/>
        <w:ind w:left="400" w:right="417" w:firstLine="420"/>
        <w:jc w:val="both"/>
      </w:pPr>
      <w:r>
        <w:rPr>
          <w:spacing w:val="-10"/>
        </w:rPr>
        <w:t>申购时，采用全额缴款方式，若申购资金在规定时间内未全额到账则申购无效。若申购</w:t>
      </w:r>
      <w:r>
        <w:rPr>
          <w:spacing w:val="-12"/>
        </w:rPr>
        <w:t>无效，基金管理人或基金管理人指定的销售机构将投资人已缴付的申购款项本金退还给投资</w:t>
      </w:r>
      <w:r>
        <w:rPr/>
        <w:t>人。</w:t>
      </w:r>
    </w:p>
    <w:p>
      <w:pPr>
        <w:pStyle w:val="BodyText"/>
        <w:spacing w:line="364" w:lineRule="auto"/>
        <w:ind w:left="400" w:right="418" w:firstLine="420"/>
        <w:jc w:val="both"/>
      </w:pPr>
      <w:r>
        <w:rPr>
          <w:spacing w:val="-2"/>
        </w:rPr>
        <w:t>赎回时，当投资人赎回申请成功后，基金管理人将指示基金托管人按有关规定在 </w:t>
      </w:r>
      <w:r>
        <w:rPr/>
        <w:t>T＋7 </w:t>
      </w:r>
      <w:r>
        <w:rPr>
          <w:spacing w:val="-7"/>
        </w:rPr>
        <w:t>日(包括该日)内支付赎回款项。在发生巨额赎回时，款项的支付办法按照本基金合同有关条</w:t>
      </w:r>
      <w:r>
        <w:rPr/>
        <w:t>款处理。</w:t>
      </w:r>
    </w:p>
    <w:p>
      <w:pPr>
        <w:pStyle w:val="Heading3"/>
        <w:spacing w:line="358" w:lineRule="exact"/>
      </w:pPr>
      <w:bookmarkStart w:name="_bookmark24" w:id="25"/>
      <w:bookmarkEnd w:id="25"/>
      <w:r>
        <w:rPr/>
      </w:r>
      <w:r>
        <w:rPr/>
        <w:t>（五）申购、赎回的数额限制</w:t>
      </w:r>
    </w:p>
    <w:p>
      <w:pPr>
        <w:pStyle w:val="BodyText"/>
        <w:spacing w:before="183"/>
      </w:pPr>
      <w:r>
        <w:rPr/>
        <w:t>1、申购基金的金额限制</w:t>
      </w:r>
    </w:p>
    <w:p>
      <w:pPr>
        <w:pStyle w:val="BodyText"/>
        <w:spacing w:line="364" w:lineRule="auto" w:before="140"/>
        <w:ind w:left="400" w:right="418" w:firstLine="420"/>
        <w:jc w:val="both"/>
      </w:pPr>
      <w:r>
        <w:rPr/>
        <w:t>投资者通过非直销销售机构或本公司网上交易系统首次申购的单笔最低限额为 1</w:t>
      </w:r>
      <w:r>
        <w:rPr>
          <w:spacing w:val="-16"/>
        </w:rPr>
        <w:t> 元人</w:t>
      </w:r>
      <w:r>
        <w:rPr>
          <w:spacing w:val="-19"/>
        </w:rPr>
        <w:t>民币，追加申购单笔最低限额为 </w:t>
      </w:r>
      <w:r>
        <w:rPr/>
        <w:t>1</w:t>
      </w:r>
      <w:r>
        <w:rPr>
          <w:spacing w:val="-15"/>
        </w:rPr>
        <w:t> 元人民币；通过本公司直销中心首次申购的单笔最低限额</w:t>
      </w:r>
      <w:r>
        <w:rPr>
          <w:spacing w:val="-27"/>
        </w:rPr>
        <w:t>为 </w:t>
      </w:r>
      <w:r>
        <w:rPr/>
        <w:t>50,000</w:t>
      </w:r>
      <w:r>
        <w:rPr>
          <w:spacing w:val="-11"/>
        </w:rPr>
        <w:t> 元人民币，追加申购单笔最低限额为 </w:t>
      </w:r>
      <w:r>
        <w:rPr/>
        <w:t>1,000</w:t>
      </w:r>
      <w:r>
        <w:rPr>
          <w:spacing w:val="-8"/>
        </w:rPr>
        <w:t> 元人民币。在符合法律法规规定的前提下，各销售机构对最低申购限额及交易级差有其他规定的,需同时遵循该销售机构的相关规定。（以上金额均含申购费）</w:t>
      </w:r>
    </w:p>
    <w:p>
      <w:pPr>
        <w:pStyle w:val="BodyText"/>
        <w:spacing w:line="364" w:lineRule="auto"/>
        <w:ind w:left="400" w:right="418" w:firstLine="420"/>
      </w:pPr>
      <w:r>
        <w:rPr>
          <w:spacing w:val="-4"/>
        </w:rPr>
        <w:t>投资者将当期分配的基金收益转购基金份额或采用定期定额投资计划时，不受最低申购</w:t>
      </w:r>
      <w:r>
        <w:rPr/>
        <w:t>金额的限制。</w:t>
      </w:r>
    </w:p>
    <w:p>
      <w:pPr>
        <w:pStyle w:val="BodyText"/>
        <w:spacing w:line="364" w:lineRule="auto"/>
        <w:ind w:left="400" w:right="208" w:firstLine="420"/>
      </w:pPr>
      <w:r>
        <w:rPr>
          <w:spacing w:val="-8"/>
        </w:rPr>
        <w:t>投资者可多次申购，对单个投资者累计持有份额不设上限限制。但对于可能导致单一投 </w:t>
      </w:r>
      <w:r>
        <w:rPr>
          <w:spacing w:val="-10"/>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购、暂停基金申购等措施，切实保护存量基金份额持有人的合法权益,具体请参见相关公告。法律法规、中国证监会另有规定的除外。</w:t>
      </w:r>
    </w:p>
    <w:p>
      <w:pPr>
        <w:pStyle w:val="BodyText"/>
        <w:spacing w:line="266" w:lineRule="exact"/>
      </w:pPr>
      <w:r>
        <w:rPr/>
        <w:t>2、赎回的份额限制</w:t>
      </w:r>
    </w:p>
    <w:p>
      <w:pPr>
        <w:pStyle w:val="BodyText"/>
        <w:spacing w:before="136"/>
        <w:jc w:val="both"/>
      </w:pPr>
      <w:r>
        <w:rPr/>
        <w:t>投资者可将其全部或部分基金份额赎回。单笔赎回或转换不得少于 1 份(如该账户在该</w:t>
      </w:r>
    </w:p>
    <w:p>
      <w:pPr>
        <w:pStyle w:val="BodyText"/>
        <w:spacing w:line="364" w:lineRule="auto" w:before="139"/>
        <w:ind w:left="400" w:right="418"/>
        <w:jc w:val="both"/>
      </w:pPr>
      <w:r>
        <w:rPr>
          <w:spacing w:val="-4"/>
        </w:rPr>
        <w:t>销售机构托管的该基金余额不足 </w:t>
      </w:r>
      <w:r>
        <w:rPr/>
        <w:t>1</w:t>
      </w:r>
      <w:r>
        <w:rPr>
          <w:spacing w:val="-8"/>
        </w:rPr>
        <w:t> 份，则必须一次性赎回或转出该基金全部份额)；若某笔</w:t>
      </w:r>
      <w:r>
        <w:rPr>
          <w:spacing w:val="-10"/>
        </w:rPr>
        <w:t>赎回将导致投资者在该销售机构托管的该基金余额不足 </w:t>
      </w:r>
      <w:r>
        <w:rPr/>
        <w:t>1</w:t>
      </w:r>
      <w:r>
        <w:rPr>
          <w:spacing w:val="-15"/>
        </w:rPr>
        <w:t> 份时，基金管理人有权将投资者在</w:t>
      </w:r>
      <w:r>
        <w:rPr>
          <w:spacing w:val="-6"/>
        </w:rPr>
        <w:t>该销售机构托管的该基金剩余份额一次性全部赎回。在符合法律法规规定的前提下，各销售</w:t>
      </w:r>
      <w:r>
        <w:rPr/>
        <w:t>机构对赎回份额限制有其他规定的，需同时遵循该销售机构的相关规定。</w:t>
      </w:r>
    </w:p>
    <w:p>
      <w:pPr>
        <w:pStyle w:val="BodyText"/>
        <w:spacing w:line="267" w:lineRule="exact"/>
      </w:pPr>
      <w:r>
        <w:rPr/>
        <w:t>3、基金管理人可根据市场情况制定或调整上述申购、赎回的程序及有关限制，或者新</w:t>
      </w:r>
    </w:p>
    <w:p>
      <w:pPr>
        <w:spacing w:after="0" w:line="267" w:lineRule="exact"/>
        <w:sectPr>
          <w:pgSz w:w="11910" w:h="16840"/>
          <w:pgMar w:header="0" w:footer="910" w:top="1380" w:bottom="1180" w:left="1400" w:right="1380"/>
        </w:sectPr>
      </w:pPr>
    </w:p>
    <w:p>
      <w:pPr>
        <w:pStyle w:val="BodyText"/>
        <w:spacing w:before="45"/>
        <w:ind w:left="400"/>
      </w:pPr>
      <w:r>
        <w:rPr/>
        <w:t>增基金规模控制措施，但应在调整生效前 2 日在指定媒介公告。</w:t>
      </w:r>
    </w:p>
    <w:p>
      <w:pPr>
        <w:pStyle w:val="Heading3"/>
        <w:spacing w:before="141"/>
      </w:pPr>
      <w:bookmarkStart w:name="_bookmark25" w:id="26"/>
      <w:bookmarkEnd w:id="26"/>
      <w:r>
        <w:rPr/>
      </w:r>
      <w:r>
        <w:rPr/>
        <w:t>（六）申购、赎回的费率</w:t>
      </w:r>
    </w:p>
    <w:p>
      <w:pPr>
        <w:pStyle w:val="BodyText"/>
        <w:spacing w:before="184"/>
      </w:pPr>
      <w:r>
        <w:rPr/>
        <w:t>1、本基金的日常申购、赎回费率</w:t>
      </w:r>
    </w:p>
    <w:p>
      <w:pPr>
        <w:pStyle w:val="BodyText"/>
        <w:spacing w:line="364" w:lineRule="auto" w:before="140"/>
        <w:ind w:right="3895"/>
      </w:pPr>
      <w:r>
        <w:rPr/>
        <w:t>本基金的日常申购、赎回费率设置如下表所示： 日常申购费率为：</w:t>
      </w:r>
    </w:p>
    <w:p>
      <w:pPr>
        <w:pStyle w:val="BodyText"/>
        <w:spacing w:line="364" w:lineRule="auto"/>
        <w:ind w:left="400" w:right="418" w:firstLine="420"/>
      </w:pPr>
      <w:r>
        <w:rPr/>
        <w:t>本基金对通过本公司直销中心申购的特定投资群体与除此之外的其他投资者实施差别的申购费率。</w:t>
      </w:r>
    </w:p>
    <w:p>
      <w:pPr>
        <w:pStyle w:val="BodyText"/>
        <w:spacing w:line="364" w:lineRule="auto"/>
        <w:ind w:left="400" w:right="4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37"/>
        </w:rPr>
        <w:t>）</w:t>
      </w:r>
      <w:r>
        <w:rPr>
          <w:spacing w:val="-8"/>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pPr>
      <w:r>
        <w:rPr/>
        <w:t>通过基金管理人的直销中心申购本基金的特定投资群体申购费率为：</w:t>
      </w:r>
    </w:p>
    <w:p>
      <w:pPr>
        <w:pStyle w:val="BodyText"/>
        <w:spacing w:before="6"/>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4215"/>
      </w:tblGrid>
      <w:tr>
        <w:trPr>
          <w:trHeight w:val="408" w:hRule="atLeast"/>
        </w:trPr>
        <w:tc>
          <w:tcPr>
            <w:tcW w:w="3870" w:type="dxa"/>
          </w:tcPr>
          <w:p>
            <w:pPr>
              <w:pStyle w:val="TableParagraph"/>
              <w:spacing w:before="3"/>
              <w:ind w:left="759" w:right="330"/>
              <w:jc w:val="center"/>
              <w:rPr>
                <w:sz w:val="21"/>
              </w:rPr>
            </w:pPr>
            <w:r>
              <w:rPr>
                <w:sz w:val="21"/>
              </w:rPr>
              <w:t>申购金额 M(元)（含申购费）</w:t>
            </w:r>
          </w:p>
        </w:tc>
        <w:tc>
          <w:tcPr>
            <w:tcW w:w="4215" w:type="dxa"/>
          </w:tcPr>
          <w:p>
            <w:pPr>
              <w:pStyle w:val="TableParagraph"/>
              <w:spacing w:before="3"/>
              <w:ind w:left="1247" w:right="818"/>
              <w:jc w:val="center"/>
              <w:rPr>
                <w:sz w:val="21"/>
              </w:rPr>
            </w:pPr>
            <w:r>
              <w:rPr>
                <w:sz w:val="21"/>
              </w:rPr>
              <w:t>申购费率</w:t>
            </w:r>
          </w:p>
        </w:tc>
      </w:tr>
      <w:tr>
        <w:trPr>
          <w:trHeight w:val="408" w:hRule="atLeast"/>
        </w:trPr>
        <w:tc>
          <w:tcPr>
            <w:tcW w:w="3870" w:type="dxa"/>
          </w:tcPr>
          <w:p>
            <w:pPr>
              <w:pStyle w:val="TableParagraph"/>
              <w:spacing w:before="3"/>
              <w:ind w:left="759" w:right="330"/>
              <w:jc w:val="center"/>
              <w:rPr>
                <w:sz w:val="21"/>
              </w:rPr>
            </w:pPr>
            <w:r>
              <w:rPr>
                <w:sz w:val="21"/>
              </w:rPr>
              <w:t>M≥1000 万</w:t>
            </w:r>
          </w:p>
        </w:tc>
        <w:tc>
          <w:tcPr>
            <w:tcW w:w="4215" w:type="dxa"/>
          </w:tcPr>
          <w:p>
            <w:pPr>
              <w:pStyle w:val="TableParagraph"/>
              <w:spacing w:before="3"/>
              <w:ind w:left="1247" w:right="818"/>
              <w:jc w:val="center"/>
              <w:rPr>
                <w:sz w:val="21"/>
              </w:rPr>
            </w:pPr>
            <w:r>
              <w:rPr>
                <w:sz w:val="21"/>
              </w:rPr>
              <w:t>按笔收取，1000 元/笔</w:t>
            </w:r>
          </w:p>
        </w:tc>
      </w:tr>
      <w:tr>
        <w:trPr>
          <w:trHeight w:val="408" w:hRule="atLeast"/>
        </w:trPr>
        <w:tc>
          <w:tcPr>
            <w:tcW w:w="3870" w:type="dxa"/>
          </w:tcPr>
          <w:p>
            <w:pPr>
              <w:pStyle w:val="TableParagraph"/>
              <w:spacing w:before="3"/>
              <w:ind w:left="759" w:right="329"/>
              <w:jc w:val="center"/>
              <w:rPr>
                <w:sz w:val="21"/>
              </w:rPr>
            </w:pPr>
            <w:r>
              <w:rPr>
                <w:sz w:val="21"/>
              </w:rPr>
              <w:t>500 万≤M＜1000 万</w:t>
            </w:r>
          </w:p>
        </w:tc>
        <w:tc>
          <w:tcPr>
            <w:tcW w:w="4215" w:type="dxa"/>
          </w:tcPr>
          <w:p>
            <w:pPr>
              <w:pStyle w:val="TableParagraph"/>
              <w:spacing w:before="3"/>
              <w:ind w:left="1247" w:right="818"/>
              <w:jc w:val="center"/>
              <w:rPr>
                <w:sz w:val="21"/>
              </w:rPr>
            </w:pPr>
            <w:r>
              <w:rPr>
                <w:sz w:val="21"/>
              </w:rPr>
              <w:t>0.03%</w:t>
            </w:r>
          </w:p>
        </w:tc>
      </w:tr>
      <w:tr>
        <w:trPr>
          <w:trHeight w:val="408" w:hRule="atLeast"/>
        </w:trPr>
        <w:tc>
          <w:tcPr>
            <w:tcW w:w="3870" w:type="dxa"/>
          </w:tcPr>
          <w:p>
            <w:pPr>
              <w:pStyle w:val="TableParagraph"/>
              <w:spacing w:before="3"/>
              <w:ind w:left="759" w:right="330"/>
              <w:jc w:val="center"/>
              <w:rPr>
                <w:sz w:val="21"/>
              </w:rPr>
            </w:pPr>
            <w:r>
              <w:rPr>
                <w:sz w:val="21"/>
              </w:rPr>
              <w:t>100 万≤M＜500 万</w:t>
            </w:r>
          </w:p>
        </w:tc>
        <w:tc>
          <w:tcPr>
            <w:tcW w:w="4215" w:type="dxa"/>
          </w:tcPr>
          <w:p>
            <w:pPr>
              <w:pStyle w:val="TableParagraph"/>
              <w:spacing w:before="3"/>
              <w:ind w:left="1247" w:right="818"/>
              <w:jc w:val="center"/>
              <w:rPr>
                <w:sz w:val="21"/>
              </w:rPr>
            </w:pPr>
            <w:r>
              <w:rPr>
                <w:sz w:val="21"/>
              </w:rPr>
              <w:t>0.12%</w:t>
            </w:r>
          </w:p>
        </w:tc>
      </w:tr>
      <w:tr>
        <w:trPr>
          <w:trHeight w:val="408" w:hRule="atLeast"/>
        </w:trPr>
        <w:tc>
          <w:tcPr>
            <w:tcW w:w="3870" w:type="dxa"/>
          </w:tcPr>
          <w:p>
            <w:pPr>
              <w:pStyle w:val="TableParagraph"/>
              <w:spacing w:before="3"/>
              <w:ind w:left="759" w:right="330"/>
              <w:jc w:val="center"/>
              <w:rPr>
                <w:sz w:val="21"/>
              </w:rPr>
            </w:pPr>
            <w:r>
              <w:rPr>
                <w:sz w:val="21"/>
              </w:rPr>
              <w:t>M＜100 万</w:t>
            </w:r>
          </w:p>
        </w:tc>
        <w:tc>
          <w:tcPr>
            <w:tcW w:w="4215" w:type="dxa"/>
          </w:tcPr>
          <w:p>
            <w:pPr>
              <w:pStyle w:val="TableParagraph"/>
              <w:spacing w:before="3"/>
              <w:ind w:left="1247" w:right="818"/>
              <w:jc w:val="center"/>
              <w:rPr>
                <w:sz w:val="21"/>
              </w:rPr>
            </w:pPr>
            <w:r>
              <w:rPr>
                <w:sz w:val="21"/>
              </w:rPr>
              <w:t>0.15%</w:t>
            </w:r>
          </w:p>
        </w:tc>
      </w:tr>
    </w:tbl>
    <w:p>
      <w:pPr>
        <w:pStyle w:val="BodyText"/>
        <w:spacing w:before="3"/>
        <w:ind w:left="400"/>
      </w:pPr>
      <w:r>
        <w:rPr/>
        <w:t>其他投资者申购本基金的申购费率为：</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4215"/>
      </w:tblGrid>
      <w:tr>
        <w:trPr>
          <w:trHeight w:val="408" w:hRule="atLeast"/>
        </w:trPr>
        <w:tc>
          <w:tcPr>
            <w:tcW w:w="3870" w:type="dxa"/>
          </w:tcPr>
          <w:p>
            <w:pPr>
              <w:pStyle w:val="TableParagraph"/>
              <w:spacing w:before="3"/>
              <w:ind w:left="759" w:right="330"/>
              <w:jc w:val="center"/>
              <w:rPr>
                <w:sz w:val="21"/>
              </w:rPr>
            </w:pPr>
            <w:r>
              <w:rPr>
                <w:sz w:val="21"/>
              </w:rPr>
              <w:t>申购金额 M(元)（含申购费）</w:t>
            </w:r>
          </w:p>
        </w:tc>
        <w:tc>
          <w:tcPr>
            <w:tcW w:w="4215" w:type="dxa"/>
          </w:tcPr>
          <w:p>
            <w:pPr>
              <w:pStyle w:val="TableParagraph"/>
              <w:spacing w:before="3"/>
              <w:ind w:left="1247" w:right="818"/>
              <w:jc w:val="center"/>
              <w:rPr>
                <w:sz w:val="21"/>
              </w:rPr>
            </w:pPr>
            <w:r>
              <w:rPr>
                <w:sz w:val="21"/>
              </w:rPr>
              <w:t>申购费率</w:t>
            </w:r>
          </w:p>
        </w:tc>
      </w:tr>
      <w:tr>
        <w:trPr>
          <w:trHeight w:val="408" w:hRule="atLeast"/>
        </w:trPr>
        <w:tc>
          <w:tcPr>
            <w:tcW w:w="3870" w:type="dxa"/>
          </w:tcPr>
          <w:p>
            <w:pPr>
              <w:pStyle w:val="TableParagraph"/>
              <w:spacing w:before="3"/>
              <w:ind w:left="759" w:right="330"/>
              <w:jc w:val="center"/>
              <w:rPr>
                <w:sz w:val="21"/>
              </w:rPr>
            </w:pPr>
            <w:r>
              <w:rPr>
                <w:sz w:val="21"/>
              </w:rPr>
              <w:t>M≥1000 万</w:t>
            </w:r>
          </w:p>
        </w:tc>
        <w:tc>
          <w:tcPr>
            <w:tcW w:w="4215" w:type="dxa"/>
          </w:tcPr>
          <w:p>
            <w:pPr>
              <w:pStyle w:val="TableParagraph"/>
              <w:spacing w:before="3"/>
              <w:ind w:left="1247" w:right="818"/>
              <w:jc w:val="center"/>
              <w:rPr>
                <w:sz w:val="21"/>
              </w:rPr>
            </w:pPr>
            <w:r>
              <w:rPr>
                <w:sz w:val="21"/>
              </w:rPr>
              <w:t>按笔收取，1000 元/笔</w:t>
            </w:r>
          </w:p>
        </w:tc>
      </w:tr>
      <w:tr>
        <w:trPr>
          <w:trHeight w:val="408" w:hRule="atLeast"/>
        </w:trPr>
        <w:tc>
          <w:tcPr>
            <w:tcW w:w="3870" w:type="dxa"/>
          </w:tcPr>
          <w:p>
            <w:pPr>
              <w:pStyle w:val="TableParagraph"/>
              <w:spacing w:before="3"/>
              <w:ind w:left="759" w:right="329"/>
              <w:jc w:val="center"/>
              <w:rPr>
                <w:sz w:val="21"/>
              </w:rPr>
            </w:pPr>
            <w:r>
              <w:rPr>
                <w:sz w:val="21"/>
              </w:rPr>
              <w:t>500 万≤M＜1000 万</w:t>
            </w:r>
          </w:p>
        </w:tc>
        <w:tc>
          <w:tcPr>
            <w:tcW w:w="4215" w:type="dxa"/>
          </w:tcPr>
          <w:p>
            <w:pPr>
              <w:pStyle w:val="TableParagraph"/>
              <w:spacing w:before="3"/>
              <w:ind w:left="1247" w:right="818"/>
              <w:jc w:val="center"/>
              <w:rPr>
                <w:sz w:val="21"/>
              </w:rPr>
            </w:pPr>
            <w:r>
              <w:rPr>
                <w:sz w:val="21"/>
              </w:rPr>
              <w:t>0.3%</w:t>
            </w:r>
          </w:p>
        </w:tc>
      </w:tr>
      <w:tr>
        <w:trPr>
          <w:trHeight w:val="408" w:hRule="atLeast"/>
        </w:trPr>
        <w:tc>
          <w:tcPr>
            <w:tcW w:w="3870" w:type="dxa"/>
          </w:tcPr>
          <w:p>
            <w:pPr>
              <w:pStyle w:val="TableParagraph"/>
              <w:spacing w:before="3"/>
              <w:ind w:left="759" w:right="330"/>
              <w:jc w:val="center"/>
              <w:rPr>
                <w:sz w:val="21"/>
              </w:rPr>
            </w:pPr>
            <w:r>
              <w:rPr>
                <w:sz w:val="21"/>
              </w:rPr>
              <w:t>100 万≤M＜500 万</w:t>
            </w:r>
          </w:p>
        </w:tc>
        <w:tc>
          <w:tcPr>
            <w:tcW w:w="4215" w:type="dxa"/>
          </w:tcPr>
          <w:p>
            <w:pPr>
              <w:pStyle w:val="TableParagraph"/>
              <w:spacing w:before="3"/>
              <w:ind w:left="1247" w:right="818"/>
              <w:jc w:val="center"/>
              <w:rPr>
                <w:sz w:val="21"/>
              </w:rPr>
            </w:pPr>
            <w:r>
              <w:rPr>
                <w:sz w:val="21"/>
              </w:rPr>
              <w:t>1.2%</w:t>
            </w:r>
          </w:p>
        </w:tc>
      </w:tr>
      <w:tr>
        <w:trPr>
          <w:trHeight w:val="408" w:hRule="atLeast"/>
        </w:trPr>
        <w:tc>
          <w:tcPr>
            <w:tcW w:w="3870" w:type="dxa"/>
          </w:tcPr>
          <w:p>
            <w:pPr>
              <w:pStyle w:val="TableParagraph"/>
              <w:spacing w:before="3"/>
              <w:ind w:left="759" w:right="330"/>
              <w:jc w:val="center"/>
              <w:rPr>
                <w:sz w:val="21"/>
              </w:rPr>
            </w:pPr>
            <w:r>
              <w:rPr>
                <w:sz w:val="21"/>
              </w:rPr>
              <w:t>M＜100 万</w:t>
            </w:r>
          </w:p>
        </w:tc>
        <w:tc>
          <w:tcPr>
            <w:tcW w:w="4215" w:type="dxa"/>
          </w:tcPr>
          <w:p>
            <w:pPr>
              <w:pStyle w:val="TableParagraph"/>
              <w:spacing w:before="3"/>
              <w:ind w:left="1247" w:right="818"/>
              <w:jc w:val="center"/>
              <w:rPr>
                <w:sz w:val="21"/>
              </w:rPr>
            </w:pPr>
            <w:r>
              <w:rPr>
                <w:sz w:val="21"/>
              </w:rPr>
              <w:t>1.5%</w:t>
            </w:r>
          </w:p>
        </w:tc>
      </w:tr>
    </w:tbl>
    <w:p>
      <w:pPr>
        <w:pStyle w:val="BodyText"/>
        <w:spacing w:before="3"/>
      </w:pPr>
      <w:r>
        <w:rPr/>
        <w:t>日常赎回费率为：</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4215"/>
      </w:tblGrid>
      <w:tr>
        <w:trPr>
          <w:trHeight w:val="408" w:hRule="atLeast"/>
        </w:trPr>
        <w:tc>
          <w:tcPr>
            <w:tcW w:w="3870" w:type="dxa"/>
          </w:tcPr>
          <w:p>
            <w:pPr>
              <w:pStyle w:val="TableParagraph"/>
              <w:spacing w:before="3"/>
              <w:ind w:left="759" w:right="330"/>
              <w:jc w:val="center"/>
              <w:rPr>
                <w:sz w:val="21"/>
              </w:rPr>
            </w:pPr>
            <w:r>
              <w:rPr>
                <w:sz w:val="21"/>
              </w:rPr>
              <w:t>持有时间（天）</w:t>
            </w:r>
          </w:p>
        </w:tc>
        <w:tc>
          <w:tcPr>
            <w:tcW w:w="4215" w:type="dxa"/>
          </w:tcPr>
          <w:p>
            <w:pPr>
              <w:pStyle w:val="TableParagraph"/>
              <w:spacing w:before="3"/>
              <w:ind w:left="1247" w:right="818"/>
              <w:jc w:val="center"/>
              <w:rPr>
                <w:sz w:val="21"/>
              </w:rPr>
            </w:pPr>
            <w:r>
              <w:rPr>
                <w:sz w:val="21"/>
              </w:rPr>
              <w:t>赎回费率</w:t>
            </w:r>
          </w:p>
        </w:tc>
      </w:tr>
      <w:tr>
        <w:trPr>
          <w:trHeight w:val="408" w:hRule="atLeast"/>
        </w:trPr>
        <w:tc>
          <w:tcPr>
            <w:tcW w:w="3870" w:type="dxa"/>
          </w:tcPr>
          <w:p>
            <w:pPr>
              <w:pStyle w:val="TableParagraph"/>
              <w:spacing w:before="3"/>
              <w:ind w:left="759" w:right="330"/>
              <w:jc w:val="center"/>
              <w:rPr>
                <w:sz w:val="21"/>
              </w:rPr>
            </w:pPr>
            <w:r>
              <w:rPr>
                <w:sz w:val="21"/>
              </w:rPr>
              <w:t>0-6</w:t>
            </w:r>
          </w:p>
        </w:tc>
        <w:tc>
          <w:tcPr>
            <w:tcW w:w="4215" w:type="dxa"/>
          </w:tcPr>
          <w:p>
            <w:pPr>
              <w:pStyle w:val="TableParagraph"/>
              <w:spacing w:before="3"/>
              <w:ind w:left="1247" w:right="818"/>
              <w:jc w:val="center"/>
              <w:rPr>
                <w:sz w:val="21"/>
              </w:rPr>
            </w:pPr>
            <w:r>
              <w:rPr>
                <w:sz w:val="21"/>
              </w:rPr>
              <w:t>1.50%</w:t>
            </w:r>
          </w:p>
        </w:tc>
      </w:tr>
      <w:tr>
        <w:trPr>
          <w:trHeight w:val="408" w:hRule="atLeast"/>
        </w:trPr>
        <w:tc>
          <w:tcPr>
            <w:tcW w:w="3870" w:type="dxa"/>
          </w:tcPr>
          <w:p>
            <w:pPr>
              <w:pStyle w:val="TableParagraph"/>
              <w:spacing w:before="3"/>
              <w:ind w:left="759" w:right="330"/>
              <w:jc w:val="center"/>
              <w:rPr>
                <w:sz w:val="21"/>
              </w:rPr>
            </w:pPr>
            <w:r>
              <w:rPr>
                <w:sz w:val="21"/>
              </w:rPr>
              <w:t>7-364</w:t>
            </w:r>
          </w:p>
        </w:tc>
        <w:tc>
          <w:tcPr>
            <w:tcW w:w="4215" w:type="dxa"/>
          </w:tcPr>
          <w:p>
            <w:pPr>
              <w:pStyle w:val="TableParagraph"/>
              <w:spacing w:before="3"/>
              <w:ind w:left="1247" w:right="818"/>
              <w:jc w:val="center"/>
              <w:rPr>
                <w:sz w:val="21"/>
              </w:rPr>
            </w:pPr>
            <w:r>
              <w:rPr>
                <w:sz w:val="21"/>
              </w:rPr>
              <w:t>0.50%</w:t>
            </w:r>
          </w:p>
        </w:tc>
      </w:tr>
      <w:tr>
        <w:trPr>
          <w:trHeight w:val="408" w:hRule="atLeast"/>
        </w:trPr>
        <w:tc>
          <w:tcPr>
            <w:tcW w:w="3870" w:type="dxa"/>
          </w:tcPr>
          <w:p>
            <w:pPr>
              <w:pStyle w:val="TableParagraph"/>
              <w:spacing w:before="3"/>
              <w:ind w:left="759" w:right="330"/>
              <w:jc w:val="center"/>
              <w:rPr>
                <w:sz w:val="21"/>
              </w:rPr>
            </w:pPr>
            <w:r>
              <w:rPr>
                <w:sz w:val="21"/>
              </w:rPr>
              <w:t>365-729</w:t>
            </w:r>
          </w:p>
        </w:tc>
        <w:tc>
          <w:tcPr>
            <w:tcW w:w="4215" w:type="dxa"/>
          </w:tcPr>
          <w:p>
            <w:pPr>
              <w:pStyle w:val="TableParagraph"/>
              <w:spacing w:before="3"/>
              <w:ind w:left="1247" w:right="818"/>
              <w:jc w:val="center"/>
              <w:rPr>
                <w:sz w:val="21"/>
              </w:rPr>
            </w:pPr>
            <w:r>
              <w:rPr>
                <w:sz w:val="21"/>
              </w:rPr>
              <w:t>0.25%</w:t>
            </w:r>
          </w:p>
        </w:tc>
      </w:tr>
      <w:tr>
        <w:trPr>
          <w:trHeight w:val="408" w:hRule="atLeast"/>
        </w:trPr>
        <w:tc>
          <w:tcPr>
            <w:tcW w:w="3870" w:type="dxa"/>
          </w:tcPr>
          <w:p>
            <w:pPr>
              <w:pStyle w:val="TableParagraph"/>
              <w:spacing w:before="3"/>
              <w:ind w:left="759" w:right="330"/>
              <w:jc w:val="center"/>
              <w:rPr>
                <w:sz w:val="21"/>
              </w:rPr>
            </w:pPr>
            <w:r>
              <w:rPr>
                <w:sz w:val="21"/>
              </w:rPr>
              <w:t>730 及以上</w:t>
            </w:r>
          </w:p>
        </w:tc>
        <w:tc>
          <w:tcPr>
            <w:tcW w:w="4215" w:type="dxa"/>
          </w:tcPr>
          <w:p>
            <w:pPr>
              <w:pStyle w:val="TableParagraph"/>
              <w:spacing w:before="3"/>
              <w:ind w:left="1247" w:right="818"/>
              <w:jc w:val="center"/>
              <w:rPr>
                <w:sz w:val="21"/>
              </w:rPr>
            </w:pPr>
            <w:r>
              <w:rPr>
                <w:sz w:val="21"/>
              </w:rPr>
              <w:t>0.00%</w:t>
            </w:r>
          </w:p>
        </w:tc>
      </w:tr>
    </w:tbl>
    <w:p>
      <w:pPr>
        <w:pStyle w:val="BodyText"/>
        <w:spacing w:line="364" w:lineRule="auto" w:before="3"/>
        <w:ind w:left="400" w:right="418" w:firstLine="420"/>
        <w:jc w:val="both"/>
      </w:pPr>
      <w:r>
        <w:rPr>
          <w:spacing w:val="-12"/>
        </w:rPr>
        <w:t>注：对于投资者在基金退市前持有的原科讯基金份额，持有期限自集中申购最后一日的</w:t>
      </w:r>
      <w:r>
        <w:rPr>
          <w:spacing w:val="-8"/>
        </w:rPr>
        <w:t>次一工作日起开始计算。对于集中申购所得的基金份额，持有期限自集中申购结束后注册登</w:t>
      </w:r>
      <w:r>
        <w:rPr/>
        <w:t>记机构确认登记之日起计算。</w:t>
      </w:r>
    </w:p>
    <w:p>
      <w:pPr>
        <w:spacing w:after="0" w:line="364" w:lineRule="auto"/>
        <w:jc w:val="both"/>
        <w:sectPr>
          <w:pgSz w:w="11910" w:h="16840"/>
          <w:pgMar w:header="0" w:footer="910" w:top="1380" w:bottom="1180" w:left="1400" w:right="1380"/>
        </w:sectPr>
      </w:pPr>
    </w:p>
    <w:p>
      <w:pPr>
        <w:pStyle w:val="BodyText"/>
        <w:spacing w:line="364" w:lineRule="auto" w:before="45"/>
        <w:ind w:left="400" w:right="418" w:firstLine="420"/>
      </w:pPr>
      <w:r>
        <w:rPr/>
        <w:t>2、在申购费按金额分档的情况下，如果投资者多次申购，申购费适用单笔申购金额所对应的费率。</w:t>
      </w:r>
    </w:p>
    <w:p>
      <w:pPr>
        <w:pStyle w:val="BodyText"/>
        <w:spacing w:line="364" w:lineRule="auto"/>
        <w:ind w:left="400" w:right="418" w:firstLine="420"/>
        <w:jc w:val="both"/>
      </w:pPr>
      <w:r>
        <w:rPr/>
        <w:t>3、基金管理人可以在基金合同规定的范围内调整申购费率和赎回费率，调整后的申购</w:t>
      </w:r>
      <w:r>
        <w:rPr>
          <w:spacing w:val="-8"/>
        </w:rPr>
        <w:t>费率和赎回费率在《更新的招募说明书》中列示。费率如发生变更，基金管理人应在调整实</w:t>
      </w:r>
      <w:r>
        <w:rPr>
          <w:spacing w:val="-27"/>
        </w:rPr>
        <w:t>施 </w:t>
      </w:r>
      <w:r>
        <w:rPr/>
        <w:t>2</w:t>
      </w:r>
      <w:r>
        <w:rPr>
          <w:spacing w:val="-8"/>
        </w:rPr>
        <w:t> 日前在指定媒介上刊登公告。</w:t>
      </w:r>
    </w:p>
    <w:p>
      <w:pPr>
        <w:pStyle w:val="BodyText"/>
        <w:spacing w:line="364" w:lineRule="auto"/>
        <w:ind w:left="400" w:right="208" w:firstLine="420"/>
      </w:pPr>
      <w:r>
        <w:rPr/>
        <w:t>4、基金管理人可以在不违反法律法规规定及基金合同约定的情况下根据市场情况制定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Heading3"/>
        <w:spacing w:line="358" w:lineRule="exact"/>
      </w:pPr>
      <w:bookmarkStart w:name="_bookmark26" w:id="27"/>
      <w:bookmarkEnd w:id="27"/>
      <w:r>
        <w:rPr/>
      </w:r>
      <w:r>
        <w:rPr/>
        <w:t>（七）申购份额、赎回金额的计算方式</w:t>
      </w:r>
    </w:p>
    <w:p>
      <w:pPr>
        <w:pStyle w:val="BodyText"/>
        <w:spacing w:before="182"/>
      </w:pPr>
      <w:r>
        <w:rPr/>
        <w:t>1、申购份额的计算</w:t>
      </w:r>
    </w:p>
    <w:p>
      <w:pPr>
        <w:pStyle w:val="BodyText"/>
        <w:spacing w:line="364" w:lineRule="auto" w:before="140"/>
        <w:ind w:right="3265"/>
      </w:pPr>
      <w:r>
        <w:rPr/>
        <w:t>本基金的申购金额包括申购费用和净申购金额，其中： 净申购金额＝申购金额/（1＋申购费率）</w:t>
      </w:r>
    </w:p>
    <w:p>
      <w:pPr>
        <w:pStyle w:val="BodyText"/>
        <w:spacing w:line="268" w:lineRule="exact"/>
      </w:pPr>
      <w:r>
        <w:rPr/>
        <w:t>申购费用＝申购金额－净申购金额</w:t>
      </w:r>
    </w:p>
    <w:p>
      <w:pPr>
        <w:pStyle w:val="BodyText"/>
        <w:spacing w:line="364" w:lineRule="auto" w:before="139"/>
        <w:ind w:right="4000"/>
      </w:pPr>
      <w:r>
        <w:rPr/>
        <w:t>申购份额＝净申购金额/申购当日基金份额净值举例说明：</w:t>
      </w:r>
    </w:p>
    <w:p>
      <w:pPr>
        <w:pStyle w:val="BodyText"/>
        <w:spacing w:line="268" w:lineRule="exact"/>
      </w:pPr>
      <w:r>
        <w:rPr/>
        <w:t>例：某投资者（非特定投资群体）申购本基金：</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1134"/>
        <w:gridCol w:w="1417"/>
        <w:gridCol w:w="1417"/>
        <w:gridCol w:w="1660"/>
        <w:gridCol w:w="1422"/>
      </w:tblGrid>
      <w:tr>
        <w:trPr>
          <w:trHeight w:val="408" w:hRule="atLeast"/>
        </w:trPr>
        <w:tc>
          <w:tcPr>
            <w:tcW w:w="1581" w:type="dxa"/>
          </w:tcPr>
          <w:p>
            <w:pPr>
              <w:pStyle w:val="TableParagraph"/>
              <w:spacing w:before="3"/>
              <w:ind w:left="370"/>
              <w:rPr>
                <w:sz w:val="21"/>
              </w:rPr>
            </w:pPr>
            <w:r>
              <w:rPr>
                <w:sz w:val="21"/>
              </w:rPr>
              <w:t>申购金额</w:t>
            </w:r>
          </w:p>
        </w:tc>
        <w:tc>
          <w:tcPr>
            <w:tcW w:w="1134" w:type="dxa"/>
          </w:tcPr>
          <w:p>
            <w:pPr>
              <w:pStyle w:val="TableParagraph"/>
              <w:spacing w:before="3"/>
              <w:ind w:left="147"/>
              <w:rPr>
                <w:sz w:val="21"/>
              </w:rPr>
            </w:pPr>
            <w:r>
              <w:rPr>
                <w:sz w:val="21"/>
              </w:rPr>
              <w:t>申购费率</w:t>
            </w:r>
          </w:p>
        </w:tc>
        <w:tc>
          <w:tcPr>
            <w:tcW w:w="1417" w:type="dxa"/>
          </w:tcPr>
          <w:p>
            <w:pPr>
              <w:pStyle w:val="TableParagraph"/>
              <w:spacing w:before="3"/>
              <w:ind w:left="183"/>
              <w:rPr>
                <w:sz w:val="21"/>
              </w:rPr>
            </w:pPr>
            <w:r>
              <w:rPr>
                <w:sz w:val="21"/>
              </w:rPr>
              <w:t>净申购金额</w:t>
            </w:r>
          </w:p>
        </w:tc>
        <w:tc>
          <w:tcPr>
            <w:tcW w:w="1417" w:type="dxa"/>
          </w:tcPr>
          <w:p>
            <w:pPr>
              <w:pStyle w:val="TableParagraph"/>
              <w:spacing w:before="3"/>
              <w:ind w:left="288"/>
              <w:rPr>
                <w:sz w:val="21"/>
              </w:rPr>
            </w:pPr>
            <w:r>
              <w:rPr>
                <w:sz w:val="21"/>
              </w:rPr>
              <w:t>申购费用</w:t>
            </w:r>
          </w:p>
        </w:tc>
        <w:tc>
          <w:tcPr>
            <w:tcW w:w="1660" w:type="dxa"/>
          </w:tcPr>
          <w:p>
            <w:pPr>
              <w:pStyle w:val="TableParagraph"/>
              <w:spacing w:before="3"/>
              <w:ind w:left="200"/>
              <w:rPr>
                <w:sz w:val="21"/>
              </w:rPr>
            </w:pPr>
            <w:r>
              <w:rPr>
                <w:sz w:val="21"/>
              </w:rPr>
              <w:t>基金份额净值</w:t>
            </w:r>
          </w:p>
        </w:tc>
        <w:tc>
          <w:tcPr>
            <w:tcW w:w="1422" w:type="dxa"/>
          </w:tcPr>
          <w:p>
            <w:pPr>
              <w:pStyle w:val="TableParagraph"/>
              <w:spacing w:before="3"/>
              <w:ind w:left="291"/>
              <w:rPr>
                <w:sz w:val="21"/>
              </w:rPr>
            </w:pPr>
            <w:r>
              <w:rPr>
                <w:sz w:val="21"/>
              </w:rPr>
              <w:t>申购份数</w:t>
            </w:r>
          </w:p>
        </w:tc>
      </w:tr>
      <w:tr>
        <w:trPr>
          <w:trHeight w:val="408" w:hRule="atLeast"/>
        </w:trPr>
        <w:tc>
          <w:tcPr>
            <w:tcW w:w="1581" w:type="dxa"/>
          </w:tcPr>
          <w:p>
            <w:pPr>
              <w:pStyle w:val="TableParagraph"/>
              <w:spacing w:before="3"/>
              <w:ind w:left="108"/>
              <w:rPr>
                <w:sz w:val="21"/>
              </w:rPr>
            </w:pPr>
            <w:r>
              <w:rPr>
                <w:sz w:val="21"/>
              </w:rPr>
              <w:t>10,000 元</w:t>
            </w:r>
          </w:p>
        </w:tc>
        <w:tc>
          <w:tcPr>
            <w:tcW w:w="1134" w:type="dxa"/>
          </w:tcPr>
          <w:p>
            <w:pPr>
              <w:pStyle w:val="TableParagraph"/>
              <w:spacing w:before="3"/>
              <w:ind w:left="108"/>
              <w:rPr>
                <w:sz w:val="21"/>
              </w:rPr>
            </w:pPr>
            <w:r>
              <w:rPr>
                <w:sz w:val="21"/>
              </w:rPr>
              <w:t>1.5%</w:t>
            </w:r>
          </w:p>
        </w:tc>
        <w:tc>
          <w:tcPr>
            <w:tcW w:w="1417" w:type="dxa"/>
          </w:tcPr>
          <w:p>
            <w:pPr>
              <w:pStyle w:val="TableParagraph"/>
              <w:spacing w:before="3"/>
              <w:ind w:left="108"/>
              <w:rPr>
                <w:sz w:val="21"/>
              </w:rPr>
            </w:pPr>
            <w:r>
              <w:rPr>
                <w:sz w:val="21"/>
              </w:rPr>
              <w:t>9,852.22 元</w:t>
            </w:r>
          </w:p>
        </w:tc>
        <w:tc>
          <w:tcPr>
            <w:tcW w:w="1417" w:type="dxa"/>
          </w:tcPr>
          <w:p>
            <w:pPr>
              <w:pStyle w:val="TableParagraph"/>
              <w:spacing w:before="3"/>
              <w:ind w:left="108"/>
              <w:rPr>
                <w:sz w:val="21"/>
              </w:rPr>
            </w:pPr>
            <w:r>
              <w:rPr>
                <w:sz w:val="21"/>
              </w:rPr>
              <w:t>147.78 元</w:t>
            </w:r>
          </w:p>
        </w:tc>
        <w:tc>
          <w:tcPr>
            <w:tcW w:w="1660" w:type="dxa"/>
          </w:tcPr>
          <w:p>
            <w:pPr>
              <w:pStyle w:val="TableParagraph"/>
              <w:spacing w:before="3"/>
              <w:ind w:left="108"/>
              <w:rPr>
                <w:sz w:val="21"/>
              </w:rPr>
            </w:pPr>
            <w:r>
              <w:rPr>
                <w:sz w:val="21"/>
              </w:rPr>
              <w:t>1.0000 元</w:t>
            </w:r>
          </w:p>
        </w:tc>
        <w:tc>
          <w:tcPr>
            <w:tcW w:w="1422" w:type="dxa"/>
          </w:tcPr>
          <w:p>
            <w:pPr>
              <w:pStyle w:val="TableParagraph"/>
              <w:spacing w:before="3"/>
              <w:ind w:left="108"/>
              <w:rPr>
                <w:sz w:val="21"/>
              </w:rPr>
            </w:pPr>
            <w:r>
              <w:rPr>
                <w:sz w:val="21"/>
              </w:rPr>
              <w:t>9,852.22 份</w:t>
            </w:r>
          </w:p>
        </w:tc>
      </w:tr>
      <w:tr>
        <w:trPr>
          <w:trHeight w:val="408" w:hRule="atLeast"/>
        </w:trPr>
        <w:tc>
          <w:tcPr>
            <w:tcW w:w="1581" w:type="dxa"/>
          </w:tcPr>
          <w:p>
            <w:pPr>
              <w:pStyle w:val="TableParagraph"/>
              <w:spacing w:before="3"/>
              <w:ind w:left="108"/>
              <w:rPr>
                <w:sz w:val="21"/>
              </w:rPr>
            </w:pPr>
            <w:r>
              <w:rPr>
                <w:sz w:val="21"/>
              </w:rPr>
              <w:t>10,000,000 元</w:t>
            </w:r>
          </w:p>
        </w:tc>
        <w:tc>
          <w:tcPr>
            <w:tcW w:w="1134" w:type="dxa"/>
          </w:tcPr>
          <w:p>
            <w:pPr>
              <w:pStyle w:val="TableParagraph"/>
              <w:spacing w:before="3"/>
              <w:ind w:left="108"/>
              <w:rPr>
                <w:sz w:val="21"/>
              </w:rPr>
            </w:pPr>
            <w:r>
              <w:rPr>
                <w:sz w:val="21"/>
              </w:rPr>
              <w:t>1000 元</w:t>
            </w:r>
          </w:p>
        </w:tc>
        <w:tc>
          <w:tcPr>
            <w:tcW w:w="1417" w:type="dxa"/>
          </w:tcPr>
          <w:p>
            <w:pPr>
              <w:pStyle w:val="TableParagraph"/>
              <w:spacing w:before="3"/>
              <w:ind w:left="108"/>
              <w:rPr>
                <w:sz w:val="21"/>
              </w:rPr>
            </w:pPr>
            <w:r>
              <w:rPr>
                <w:sz w:val="21"/>
              </w:rPr>
              <w:t>9,999,000 元</w:t>
            </w:r>
          </w:p>
        </w:tc>
        <w:tc>
          <w:tcPr>
            <w:tcW w:w="1417" w:type="dxa"/>
          </w:tcPr>
          <w:p>
            <w:pPr>
              <w:pStyle w:val="TableParagraph"/>
              <w:spacing w:before="3"/>
              <w:ind w:left="108"/>
              <w:rPr>
                <w:sz w:val="21"/>
              </w:rPr>
            </w:pPr>
            <w:r>
              <w:rPr>
                <w:sz w:val="21"/>
              </w:rPr>
              <w:t>1000 元</w:t>
            </w:r>
          </w:p>
        </w:tc>
        <w:tc>
          <w:tcPr>
            <w:tcW w:w="1660" w:type="dxa"/>
          </w:tcPr>
          <w:p>
            <w:pPr>
              <w:pStyle w:val="TableParagraph"/>
              <w:spacing w:before="3"/>
              <w:ind w:left="108"/>
              <w:rPr>
                <w:sz w:val="21"/>
              </w:rPr>
            </w:pPr>
            <w:r>
              <w:rPr>
                <w:sz w:val="21"/>
              </w:rPr>
              <w:t>1.0000 元</w:t>
            </w:r>
          </w:p>
        </w:tc>
        <w:tc>
          <w:tcPr>
            <w:tcW w:w="1422" w:type="dxa"/>
          </w:tcPr>
          <w:p>
            <w:pPr>
              <w:pStyle w:val="TableParagraph"/>
              <w:spacing w:before="3"/>
              <w:ind w:left="108"/>
              <w:rPr>
                <w:sz w:val="21"/>
              </w:rPr>
            </w:pPr>
            <w:r>
              <w:rPr>
                <w:sz w:val="21"/>
              </w:rPr>
              <w:t>9,999,000 份</w:t>
            </w:r>
          </w:p>
        </w:tc>
      </w:tr>
    </w:tbl>
    <w:p>
      <w:pPr>
        <w:pStyle w:val="BodyText"/>
        <w:spacing w:before="3"/>
      </w:pPr>
      <w:r>
        <w:rPr/>
        <w:t>例：某投资者（特定投资群体）通过基金管理人的直销中心申购本基金：</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1134"/>
        <w:gridCol w:w="1417"/>
        <w:gridCol w:w="1417"/>
        <w:gridCol w:w="1660"/>
        <w:gridCol w:w="1422"/>
      </w:tblGrid>
      <w:tr>
        <w:trPr>
          <w:trHeight w:val="408" w:hRule="atLeast"/>
        </w:trPr>
        <w:tc>
          <w:tcPr>
            <w:tcW w:w="1581" w:type="dxa"/>
          </w:tcPr>
          <w:p>
            <w:pPr>
              <w:pStyle w:val="TableParagraph"/>
              <w:spacing w:before="3"/>
              <w:ind w:left="370"/>
              <w:rPr>
                <w:sz w:val="21"/>
              </w:rPr>
            </w:pPr>
            <w:r>
              <w:rPr>
                <w:sz w:val="21"/>
              </w:rPr>
              <w:t>申购金额</w:t>
            </w:r>
          </w:p>
        </w:tc>
        <w:tc>
          <w:tcPr>
            <w:tcW w:w="1134" w:type="dxa"/>
          </w:tcPr>
          <w:p>
            <w:pPr>
              <w:pStyle w:val="TableParagraph"/>
              <w:spacing w:before="3"/>
              <w:ind w:left="147"/>
              <w:rPr>
                <w:sz w:val="21"/>
              </w:rPr>
            </w:pPr>
            <w:r>
              <w:rPr>
                <w:sz w:val="21"/>
              </w:rPr>
              <w:t>申购费率</w:t>
            </w:r>
          </w:p>
        </w:tc>
        <w:tc>
          <w:tcPr>
            <w:tcW w:w="1417" w:type="dxa"/>
          </w:tcPr>
          <w:p>
            <w:pPr>
              <w:pStyle w:val="TableParagraph"/>
              <w:spacing w:before="3"/>
              <w:ind w:right="171"/>
              <w:jc w:val="right"/>
              <w:rPr>
                <w:sz w:val="21"/>
              </w:rPr>
            </w:pPr>
            <w:r>
              <w:rPr>
                <w:sz w:val="21"/>
              </w:rPr>
              <w:t>净申购金额</w:t>
            </w:r>
          </w:p>
        </w:tc>
        <w:tc>
          <w:tcPr>
            <w:tcW w:w="1417" w:type="dxa"/>
          </w:tcPr>
          <w:p>
            <w:pPr>
              <w:pStyle w:val="TableParagraph"/>
              <w:spacing w:before="3"/>
              <w:ind w:left="288"/>
              <w:rPr>
                <w:sz w:val="21"/>
              </w:rPr>
            </w:pPr>
            <w:r>
              <w:rPr>
                <w:sz w:val="21"/>
              </w:rPr>
              <w:t>申购费用</w:t>
            </w:r>
          </w:p>
        </w:tc>
        <w:tc>
          <w:tcPr>
            <w:tcW w:w="1660" w:type="dxa"/>
          </w:tcPr>
          <w:p>
            <w:pPr>
              <w:pStyle w:val="TableParagraph"/>
              <w:spacing w:before="3"/>
              <w:ind w:left="200"/>
              <w:rPr>
                <w:sz w:val="21"/>
              </w:rPr>
            </w:pPr>
            <w:r>
              <w:rPr>
                <w:sz w:val="21"/>
              </w:rPr>
              <w:t>基金份额净值</w:t>
            </w:r>
          </w:p>
        </w:tc>
        <w:tc>
          <w:tcPr>
            <w:tcW w:w="1422" w:type="dxa"/>
          </w:tcPr>
          <w:p>
            <w:pPr>
              <w:pStyle w:val="TableParagraph"/>
              <w:spacing w:before="3"/>
              <w:ind w:left="61" w:right="51"/>
              <w:jc w:val="center"/>
              <w:rPr>
                <w:sz w:val="21"/>
              </w:rPr>
            </w:pPr>
            <w:r>
              <w:rPr>
                <w:sz w:val="21"/>
              </w:rPr>
              <w:t>申购份数</w:t>
            </w:r>
          </w:p>
        </w:tc>
      </w:tr>
      <w:tr>
        <w:trPr>
          <w:trHeight w:val="408" w:hRule="atLeast"/>
        </w:trPr>
        <w:tc>
          <w:tcPr>
            <w:tcW w:w="1581" w:type="dxa"/>
          </w:tcPr>
          <w:p>
            <w:pPr>
              <w:pStyle w:val="TableParagraph"/>
              <w:spacing w:before="3"/>
              <w:ind w:left="108"/>
              <w:rPr>
                <w:sz w:val="21"/>
              </w:rPr>
            </w:pPr>
            <w:r>
              <w:rPr>
                <w:sz w:val="21"/>
              </w:rPr>
              <w:t>50,000 元</w:t>
            </w:r>
          </w:p>
        </w:tc>
        <w:tc>
          <w:tcPr>
            <w:tcW w:w="1134" w:type="dxa"/>
          </w:tcPr>
          <w:p>
            <w:pPr>
              <w:pStyle w:val="TableParagraph"/>
              <w:spacing w:before="3"/>
              <w:ind w:left="108"/>
              <w:rPr>
                <w:sz w:val="21"/>
              </w:rPr>
            </w:pPr>
            <w:r>
              <w:rPr>
                <w:sz w:val="21"/>
              </w:rPr>
              <w:t>0.15%</w:t>
            </w:r>
          </w:p>
        </w:tc>
        <w:tc>
          <w:tcPr>
            <w:tcW w:w="1417" w:type="dxa"/>
          </w:tcPr>
          <w:p>
            <w:pPr>
              <w:pStyle w:val="TableParagraph"/>
              <w:spacing w:before="3"/>
              <w:ind w:right="96"/>
              <w:jc w:val="right"/>
              <w:rPr>
                <w:sz w:val="21"/>
              </w:rPr>
            </w:pPr>
            <w:r>
              <w:rPr>
                <w:sz w:val="21"/>
              </w:rPr>
              <w:t>49,925.11 元</w:t>
            </w:r>
          </w:p>
        </w:tc>
        <w:tc>
          <w:tcPr>
            <w:tcW w:w="1417" w:type="dxa"/>
          </w:tcPr>
          <w:p>
            <w:pPr>
              <w:pStyle w:val="TableParagraph"/>
              <w:spacing w:before="3"/>
              <w:ind w:left="108"/>
              <w:rPr>
                <w:sz w:val="21"/>
              </w:rPr>
            </w:pPr>
            <w:r>
              <w:rPr>
                <w:sz w:val="21"/>
              </w:rPr>
              <w:t>74.89 元</w:t>
            </w:r>
          </w:p>
        </w:tc>
        <w:tc>
          <w:tcPr>
            <w:tcW w:w="1660" w:type="dxa"/>
          </w:tcPr>
          <w:p>
            <w:pPr>
              <w:pStyle w:val="TableParagraph"/>
              <w:spacing w:before="3"/>
              <w:ind w:left="108"/>
              <w:rPr>
                <w:sz w:val="21"/>
              </w:rPr>
            </w:pPr>
            <w:r>
              <w:rPr>
                <w:sz w:val="21"/>
              </w:rPr>
              <w:t>1.0000 元</w:t>
            </w:r>
          </w:p>
        </w:tc>
        <w:tc>
          <w:tcPr>
            <w:tcW w:w="1422" w:type="dxa"/>
          </w:tcPr>
          <w:p>
            <w:pPr>
              <w:pStyle w:val="TableParagraph"/>
              <w:spacing w:before="3"/>
              <w:ind w:left="61" w:right="51"/>
              <w:jc w:val="center"/>
              <w:rPr>
                <w:sz w:val="21"/>
              </w:rPr>
            </w:pPr>
            <w:r>
              <w:rPr>
                <w:sz w:val="21"/>
              </w:rPr>
              <w:t>49,925.11 份</w:t>
            </w:r>
          </w:p>
        </w:tc>
      </w:tr>
      <w:tr>
        <w:trPr>
          <w:trHeight w:val="408" w:hRule="atLeast"/>
        </w:trPr>
        <w:tc>
          <w:tcPr>
            <w:tcW w:w="1581" w:type="dxa"/>
          </w:tcPr>
          <w:p>
            <w:pPr>
              <w:pStyle w:val="TableParagraph"/>
              <w:spacing w:before="3"/>
              <w:ind w:left="108"/>
              <w:rPr>
                <w:sz w:val="21"/>
              </w:rPr>
            </w:pPr>
            <w:r>
              <w:rPr>
                <w:sz w:val="21"/>
              </w:rPr>
              <w:t>10,000,000 元</w:t>
            </w:r>
          </w:p>
        </w:tc>
        <w:tc>
          <w:tcPr>
            <w:tcW w:w="1134" w:type="dxa"/>
          </w:tcPr>
          <w:p>
            <w:pPr>
              <w:pStyle w:val="TableParagraph"/>
              <w:spacing w:before="3"/>
              <w:ind w:left="108"/>
              <w:rPr>
                <w:sz w:val="21"/>
              </w:rPr>
            </w:pPr>
            <w:r>
              <w:rPr>
                <w:sz w:val="21"/>
              </w:rPr>
              <w:t>1000 元</w:t>
            </w:r>
          </w:p>
        </w:tc>
        <w:tc>
          <w:tcPr>
            <w:tcW w:w="1417" w:type="dxa"/>
          </w:tcPr>
          <w:p>
            <w:pPr>
              <w:pStyle w:val="TableParagraph"/>
              <w:spacing w:before="3"/>
              <w:ind w:right="96"/>
              <w:jc w:val="right"/>
              <w:rPr>
                <w:sz w:val="21"/>
              </w:rPr>
            </w:pPr>
            <w:r>
              <w:rPr>
                <w:sz w:val="21"/>
              </w:rPr>
              <w:t>9,999,000 元</w:t>
            </w:r>
          </w:p>
        </w:tc>
        <w:tc>
          <w:tcPr>
            <w:tcW w:w="1417" w:type="dxa"/>
          </w:tcPr>
          <w:p>
            <w:pPr>
              <w:pStyle w:val="TableParagraph"/>
              <w:spacing w:before="3"/>
              <w:ind w:left="108"/>
              <w:rPr>
                <w:sz w:val="21"/>
              </w:rPr>
            </w:pPr>
            <w:r>
              <w:rPr>
                <w:sz w:val="21"/>
              </w:rPr>
              <w:t>1000 元</w:t>
            </w:r>
          </w:p>
        </w:tc>
        <w:tc>
          <w:tcPr>
            <w:tcW w:w="1660" w:type="dxa"/>
          </w:tcPr>
          <w:p>
            <w:pPr>
              <w:pStyle w:val="TableParagraph"/>
              <w:spacing w:before="3"/>
              <w:ind w:left="108"/>
              <w:rPr>
                <w:sz w:val="21"/>
              </w:rPr>
            </w:pPr>
            <w:r>
              <w:rPr>
                <w:sz w:val="21"/>
              </w:rPr>
              <w:t>1.0000 元</w:t>
            </w:r>
          </w:p>
        </w:tc>
        <w:tc>
          <w:tcPr>
            <w:tcW w:w="1422" w:type="dxa"/>
          </w:tcPr>
          <w:p>
            <w:pPr>
              <w:pStyle w:val="TableParagraph"/>
              <w:spacing w:before="3"/>
              <w:ind w:left="61" w:right="51"/>
              <w:jc w:val="center"/>
              <w:rPr>
                <w:sz w:val="21"/>
              </w:rPr>
            </w:pPr>
            <w:r>
              <w:rPr>
                <w:sz w:val="21"/>
              </w:rPr>
              <w:t>9,999,000 份</w:t>
            </w:r>
          </w:p>
        </w:tc>
      </w:tr>
    </w:tbl>
    <w:p>
      <w:pPr>
        <w:pStyle w:val="BodyText"/>
        <w:spacing w:line="364" w:lineRule="auto" w:before="3"/>
        <w:ind w:left="400" w:right="418" w:firstLine="420"/>
      </w:pPr>
      <w:r>
        <w:rPr>
          <w:spacing w:val="-6"/>
        </w:rPr>
        <w:t>申购份额以申请当日基金份额净值为基准计算，计算结果以四舍五入的方式保留到小数</w:t>
      </w:r>
      <w:r>
        <w:rPr>
          <w:spacing w:val="-18"/>
        </w:rPr>
        <w:t>点后 </w:t>
      </w:r>
      <w:r>
        <w:rPr/>
        <w:t>2</w:t>
      </w:r>
      <w:r>
        <w:rPr>
          <w:spacing w:val="-8"/>
        </w:rPr>
        <w:t> 位。由此误差产生的损失由基金财产承担，产生的收益归基金财产所有。</w:t>
      </w:r>
    </w:p>
    <w:p>
      <w:pPr>
        <w:pStyle w:val="BodyText"/>
        <w:spacing w:line="268" w:lineRule="exact"/>
      </w:pPr>
      <w:r>
        <w:rPr/>
        <w:t>2、基金赎回金额的计算</w:t>
      </w:r>
    </w:p>
    <w:p>
      <w:pPr>
        <w:pStyle w:val="BodyText"/>
        <w:spacing w:line="362" w:lineRule="auto" w:before="139"/>
        <w:ind w:right="3475"/>
      </w:pPr>
      <w:r>
        <w:rPr/>
        <w:t>本基金的赎回金额为赎回总额扣减赎回费用，其中： 赎回总额=赎回数量</w:t>
      </w:r>
      <w:r>
        <w:rPr>
          <w:rFonts w:ascii="Symbol" w:hAnsi="Symbol" w:eastAsia="Symbol"/>
        </w:rPr>
        <w:t></w:t>
      </w:r>
      <w:r>
        <w:rPr/>
        <w:t>T 日基金份额资产净值</w:t>
      </w:r>
    </w:p>
    <w:p>
      <w:pPr>
        <w:pStyle w:val="BodyText"/>
        <w:spacing w:line="362" w:lineRule="auto" w:before="3" w:after="2"/>
        <w:ind w:right="5563"/>
        <w:jc w:val="both"/>
      </w:pPr>
      <w:r>
        <w:rPr/>
        <w:t>赎回费用=赎回总额</w:t>
      </w:r>
      <w:r>
        <w:rPr>
          <w:rFonts w:ascii="Symbol" w:hAnsi="Symbol" w:eastAsia="Symbol"/>
        </w:rPr>
        <w:t></w:t>
      </w:r>
      <w:r>
        <w:rPr/>
        <w:t>赎回费率赎回金额=赎回总额</w:t>
      </w:r>
      <w:r>
        <w:rPr>
          <w:rFonts w:ascii="Symbol" w:hAnsi="Symbol" w:eastAsia="Symbol"/>
        </w:rPr>
        <w:t></w:t>
      </w:r>
      <w:r>
        <w:rPr/>
        <w:t>赎回费用举例说明：</w:t>
      </w: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08" w:hRule="atLeast"/>
        </w:trPr>
        <w:tc>
          <w:tcPr>
            <w:tcW w:w="1243" w:type="dxa"/>
          </w:tcPr>
          <w:p>
            <w:pPr>
              <w:pStyle w:val="TableParagraph"/>
              <w:spacing w:before="3"/>
              <w:ind w:left="201"/>
              <w:rPr>
                <w:sz w:val="21"/>
              </w:rPr>
            </w:pPr>
            <w:r>
              <w:rPr>
                <w:sz w:val="21"/>
              </w:rPr>
              <w:t>赎回份额</w:t>
            </w:r>
          </w:p>
        </w:tc>
        <w:tc>
          <w:tcPr>
            <w:tcW w:w="1650" w:type="dxa"/>
          </w:tcPr>
          <w:p>
            <w:pPr>
              <w:pStyle w:val="TableParagraph"/>
              <w:spacing w:before="3"/>
              <w:ind w:left="195"/>
              <w:rPr>
                <w:sz w:val="21"/>
              </w:rPr>
            </w:pPr>
            <w:r>
              <w:rPr>
                <w:sz w:val="21"/>
              </w:rPr>
              <w:t>基金份额净值</w:t>
            </w:r>
          </w:p>
        </w:tc>
        <w:tc>
          <w:tcPr>
            <w:tcW w:w="1436" w:type="dxa"/>
          </w:tcPr>
          <w:p>
            <w:pPr>
              <w:pStyle w:val="TableParagraph"/>
              <w:spacing w:before="3"/>
              <w:ind w:left="297"/>
              <w:rPr>
                <w:sz w:val="21"/>
              </w:rPr>
            </w:pPr>
            <w:r>
              <w:rPr>
                <w:sz w:val="21"/>
              </w:rPr>
              <w:t>持有时间</w:t>
            </w:r>
          </w:p>
        </w:tc>
        <w:tc>
          <w:tcPr>
            <w:tcW w:w="1437" w:type="dxa"/>
          </w:tcPr>
          <w:p>
            <w:pPr>
              <w:pStyle w:val="TableParagraph"/>
              <w:spacing w:before="3"/>
              <w:ind w:left="298"/>
              <w:rPr>
                <w:sz w:val="21"/>
              </w:rPr>
            </w:pPr>
            <w:r>
              <w:rPr>
                <w:sz w:val="21"/>
              </w:rPr>
              <w:t>赎回费率</w:t>
            </w:r>
          </w:p>
        </w:tc>
        <w:tc>
          <w:tcPr>
            <w:tcW w:w="1409" w:type="dxa"/>
          </w:tcPr>
          <w:p>
            <w:pPr>
              <w:pStyle w:val="TableParagraph"/>
              <w:spacing w:before="3"/>
              <w:ind w:left="284"/>
              <w:rPr>
                <w:sz w:val="21"/>
              </w:rPr>
            </w:pPr>
            <w:r>
              <w:rPr>
                <w:sz w:val="21"/>
              </w:rPr>
              <w:t>赎回费用</w:t>
            </w:r>
          </w:p>
        </w:tc>
        <w:tc>
          <w:tcPr>
            <w:tcW w:w="1457" w:type="dxa"/>
          </w:tcPr>
          <w:p>
            <w:pPr>
              <w:pStyle w:val="TableParagraph"/>
              <w:spacing w:before="3"/>
              <w:ind w:left="308"/>
              <w:rPr>
                <w:sz w:val="21"/>
              </w:rPr>
            </w:pPr>
            <w:r>
              <w:rPr>
                <w:sz w:val="21"/>
              </w:rPr>
              <w:t>赎回金额</w:t>
            </w:r>
          </w:p>
        </w:tc>
      </w:tr>
    </w:tbl>
    <w:p>
      <w:pPr>
        <w:spacing w:after="0"/>
        <w:rPr>
          <w:sz w:val="21"/>
        </w:rPr>
        <w:sectPr>
          <w:pgSz w:w="11910" w:h="16840"/>
          <w:pgMar w:header="0" w:footer="910" w:top="1380" w:bottom="1180" w:left="1400" w:right="1380"/>
        </w:sect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08" w:hRule="atLeast"/>
        </w:trPr>
        <w:tc>
          <w:tcPr>
            <w:tcW w:w="1243" w:type="dxa"/>
          </w:tcPr>
          <w:p>
            <w:pPr>
              <w:pStyle w:val="TableParagraph"/>
              <w:spacing w:before="3"/>
              <w:ind w:left="108"/>
              <w:rPr>
                <w:sz w:val="21"/>
              </w:rPr>
            </w:pPr>
            <w:r>
              <w:rPr>
                <w:sz w:val="21"/>
              </w:rPr>
              <w:t>10,000</w:t>
            </w:r>
          </w:p>
        </w:tc>
        <w:tc>
          <w:tcPr>
            <w:tcW w:w="1650" w:type="dxa"/>
          </w:tcPr>
          <w:p>
            <w:pPr>
              <w:pStyle w:val="TableParagraph"/>
              <w:spacing w:before="3"/>
              <w:ind w:left="108"/>
              <w:rPr>
                <w:sz w:val="21"/>
              </w:rPr>
            </w:pPr>
            <w:r>
              <w:rPr>
                <w:sz w:val="21"/>
              </w:rPr>
              <w:t>1.0000 元</w:t>
            </w:r>
          </w:p>
        </w:tc>
        <w:tc>
          <w:tcPr>
            <w:tcW w:w="1436" w:type="dxa"/>
          </w:tcPr>
          <w:p>
            <w:pPr>
              <w:pStyle w:val="TableParagraph"/>
              <w:spacing w:before="3"/>
              <w:ind w:left="107"/>
              <w:rPr>
                <w:sz w:val="21"/>
              </w:rPr>
            </w:pPr>
            <w:r>
              <w:rPr>
                <w:sz w:val="21"/>
              </w:rPr>
              <w:t>100 天</w:t>
            </w:r>
          </w:p>
        </w:tc>
        <w:tc>
          <w:tcPr>
            <w:tcW w:w="1437" w:type="dxa"/>
          </w:tcPr>
          <w:p>
            <w:pPr>
              <w:pStyle w:val="TableParagraph"/>
              <w:spacing w:before="3"/>
              <w:ind w:left="107"/>
              <w:rPr>
                <w:sz w:val="21"/>
              </w:rPr>
            </w:pPr>
            <w:r>
              <w:rPr>
                <w:sz w:val="21"/>
              </w:rPr>
              <w:t>0.5%</w:t>
            </w:r>
          </w:p>
        </w:tc>
        <w:tc>
          <w:tcPr>
            <w:tcW w:w="1409" w:type="dxa"/>
          </w:tcPr>
          <w:p>
            <w:pPr>
              <w:pStyle w:val="TableParagraph"/>
              <w:spacing w:before="3"/>
              <w:ind w:left="107"/>
              <w:rPr>
                <w:sz w:val="21"/>
              </w:rPr>
            </w:pPr>
            <w:r>
              <w:rPr>
                <w:sz w:val="21"/>
              </w:rPr>
              <w:t>50 元</w:t>
            </w:r>
          </w:p>
        </w:tc>
        <w:tc>
          <w:tcPr>
            <w:tcW w:w="1457" w:type="dxa"/>
          </w:tcPr>
          <w:p>
            <w:pPr>
              <w:pStyle w:val="TableParagraph"/>
              <w:spacing w:before="3"/>
              <w:ind w:left="108"/>
              <w:rPr>
                <w:sz w:val="21"/>
              </w:rPr>
            </w:pPr>
            <w:r>
              <w:rPr>
                <w:sz w:val="21"/>
              </w:rPr>
              <w:t>9,950 元</w:t>
            </w:r>
          </w:p>
        </w:tc>
      </w:tr>
      <w:tr>
        <w:trPr>
          <w:trHeight w:val="408" w:hRule="atLeast"/>
        </w:trPr>
        <w:tc>
          <w:tcPr>
            <w:tcW w:w="1243" w:type="dxa"/>
          </w:tcPr>
          <w:p>
            <w:pPr>
              <w:pStyle w:val="TableParagraph"/>
              <w:spacing w:before="3"/>
              <w:ind w:left="108"/>
              <w:rPr>
                <w:sz w:val="21"/>
              </w:rPr>
            </w:pPr>
            <w:r>
              <w:rPr>
                <w:sz w:val="21"/>
              </w:rPr>
              <w:t>10,000</w:t>
            </w:r>
          </w:p>
        </w:tc>
        <w:tc>
          <w:tcPr>
            <w:tcW w:w="1650" w:type="dxa"/>
          </w:tcPr>
          <w:p>
            <w:pPr>
              <w:pStyle w:val="TableParagraph"/>
              <w:spacing w:before="3"/>
              <w:ind w:left="108"/>
              <w:rPr>
                <w:sz w:val="21"/>
              </w:rPr>
            </w:pPr>
            <w:r>
              <w:rPr>
                <w:sz w:val="21"/>
              </w:rPr>
              <w:t>1.0000 元</w:t>
            </w:r>
          </w:p>
        </w:tc>
        <w:tc>
          <w:tcPr>
            <w:tcW w:w="1436" w:type="dxa"/>
          </w:tcPr>
          <w:p>
            <w:pPr>
              <w:pStyle w:val="TableParagraph"/>
              <w:spacing w:before="3"/>
              <w:ind w:left="107"/>
              <w:rPr>
                <w:sz w:val="21"/>
              </w:rPr>
            </w:pPr>
            <w:r>
              <w:rPr>
                <w:sz w:val="21"/>
              </w:rPr>
              <w:t>500 天</w:t>
            </w:r>
          </w:p>
        </w:tc>
        <w:tc>
          <w:tcPr>
            <w:tcW w:w="1437" w:type="dxa"/>
          </w:tcPr>
          <w:p>
            <w:pPr>
              <w:pStyle w:val="TableParagraph"/>
              <w:spacing w:before="3"/>
              <w:ind w:left="107"/>
              <w:rPr>
                <w:sz w:val="21"/>
              </w:rPr>
            </w:pPr>
            <w:r>
              <w:rPr>
                <w:sz w:val="21"/>
              </w:rPr>
              <w:t>0.25%</w:t>
            </w:r>
          </w:p>
        </w:tc>
        <w:tc>
          <w:tcPr>
            <w:tcW w:w="1409" w:type="dxa"/>
          </w:tcPr>
          <w:p>
            <w:pPr>
              <w:pStyle w:val="TableParagraph"/>
              <w:spacing w:before="3"/>
              <w:ind w:left="107"/>
              <w:rPr>
                <w:sz w:val="21"/>
              </w:rPr>
            </w:pPr>
            <w:r>
              <w:rPr>
                <w:sz w:val="21"/>
              </w:rPr>
              <w:t>25 元</w:t>
            </w:r>
          </w:p>
        </w:tc>
        <w:tc>
          <w:tcPr>
            <w:tcW w:w="1457" w:type="dxa"/>
          </w:tcPr>
          <w:p>
            <w:pPr>
              <w:pStyle w:val="TableParagraph"/>
              <w:spacing w:before="3"/>
              <w:ind w:left="108"/>
              <w:rPr>
                <w:sz w:val="21"/>
              </w:rPr>
            </w:pPr>
            <w:r>
              <w:rPr>
                <w:sz w:val="21"/>
              </w:rPr>
              <w:t>9,975 元</w:t>
            </w:r>
          </w:p>
        </w:tc>
      </w:tr>
      <w:tr>
        <w:trPr>
          <w:trHeight w:val="408" w:hRule="atLeast"/>
        </w:trPr>
        <w:tc>
          <w:tcPr>
            <w:tcW w:w="1243" w:type="dxa"/>
          </w:tcPr>
          <w:p>
            <w:pPr>
              <w:pStyle w:val="TableParagraph"/>
              <w:spacing w:before="3"/>
              <w:ind w:left="108"/>
              <w:rPr>
                <w:sz w:val="21"/>
              </w:rPr>
            </w:pPr>
            <w:r>
              <w:rPr>
                <w:sz w:val="21"/>
              </w:rPr>
              <w:t>10,000</w:t>
            </w:r>
          </w:p>
        </w:tc>
        <w:tc>
          <w:tcPr>
            <w:tcW w:w="1650" w:type="dxa"/>
          </w:tcPr>
          <w:p>
            <w:pPr>
              <w:pStyle w:val="TableParagraph"/>
              <w:spacing w:before="3"/>
              <w:ind w:left="108"/>
              <w:rPr>
                <w:sz w:val="21"/>
              </w:rPr>
            </w:pPr>
            <w:r>
              <w:rPr>
                <w:sz w:val="21"/>
              </w:rPr>
              <w:t>1.0000 元</w:t>
            </w:r>
          </w:p>
        </w:tc>
        <w:tc>
          <w:tcPr>
            <w:tcW w:w="1436" w:type="dxa"/>
          </w:tcPr>
          <w:p>
            <w:pPr>
              <w:pStyle w:val="TableParagraph"/>
              <w:spacing w:before="3"/>
              <w:ind w:left="107"/>
              <w:rPr>
                <w:sz w:val="21"/>
              </w:rPr>
            </w:pPr>
            <w:r>
              <w:rPr>
                <w:sz w:val="21"/>
              </w:rPr>
              <w:t>800 天</w:t>
            </w:r>
          </w:p>
        </w:tc>
        <w:tc>
          <w:tcPr>
            <w:tcW w:w="1437" w:type="dxa"/>
          </w:tcPr>
          <w:p>
            <w:pPr>
              <w:pStyle w:val="TableParagraph"/>
              <w:spacing w:before="3"/>
              <w:ind w:left="107"/>
              <w:rPr>
                <w:sz w:val="21"/>
              </w:rPr>
            </w:pPr>
            <w:r>
              <w:rPr>
                <w:sz w:val="21"/>
              </w:rPr>
              <w:t>0%</w:t>
            </w:r>
          </w:p>
        </w:tc>
        <w:tc>
          <w:tcPr>
            <w:tcW w:w="1409" w:type="dxa"/>
          </w:tcPr>
          <w:p>
            <w:pPr>
              <w:pStyle w:val="TableParagraph"/>
              <w:spacing w:before="3"/>
              <w:ind w:left="107"/>
              <w:rPr>
                <w:sz w:val="21"/>
              </w:rPr>
            </w:pPr>
            <w:r>
              <w:rPr>
                <w:sz w:val="21"/>
              </w:rPr>
              <w:t>0</w:t>
            </w:r>
          </w:p>
        </w:tc>
        <w:tc>
          <w:tcPr>
            <w:tcW w:w="1457" w:type="dxa"/>
          </w:tcPr>
          <w:p>
            <w:pPr>
              <w:pStyle w:val="TableParagraph"/>
              <w:spacing w:before="3"/>
              <w:ind w:left="108"/>
              <w:rPr>
                <w:sz w:val="21"/>
              </w:rPr>
            </w:pPr>
            <w:r>
              <w:rPr>
                <w:sz w:val="21"/>
              </w:rPr>
              <w:t>10,000 元</w:t>
            </w:r>
          </w:p>
        </w:tc>
      </w:tr>
    </w:tbl>
    <w:p>
      <w:pPr>
        <w:pStyle w:val="BodyText"/>
        <w:spacing w:line="364" w:lineRule="auto" w:before="3"/>
        <w:ind w:left="400" w:right="418" w:firstLine="420"/>
      </w:pPr>
      <w:r>
        <w:rPr>
          <w:spacing w:val="-6"/>
        </w:rPr>
        <w:t>赎回金额的计算结果均按四舍五入方法，保留到小数点后两位。由此误差产生的收益或</w:t>
      </w:r>
      <w:r>
        <w:rPr/>
        <w:t>损失由基金财产承担，产生的收益归基金财产所有。</w:t>
      </w:r>
    </w:p>
    <w:p>
      <w:pPr>
        <w:pStyle w:val="BodyText"/>
        <w:spacing w:line="364" w:lineRule="auto"/>
        <w:ind w:left="400" w:right="418" w:firstLine="420"/>
      </w:pPr>
      <w:r>
        <w:rPr/>
        <w:t>3、T</w:t>
      </w:r>
      <w:r>
        <w:rPr>
          <w:spacing w:val="-6"/>
        </w:rPr>
        <w:t> 日的基金份额净值在当日收市后计算，并在次日公告。遇特殊情况，可以适当延迟计算或公告。其计算公式为：</w:t>
      </w:r>
    </w:p>
    <w:p>
      <w:pPr>
        <w:pStyle w:val="BodyText"/>
        <w:spacing w:line="268" w:lineRule="exact"/>
      </w:pPr>
      <w:r>
        <w:rPr/>
        <w:t>计算日基金份额净值=计算日基金资产净值÷计算日基金总份额</w:t>
      </w:r>
    </w:p>
    <w:p>
      <w:pPr>
        <w:pStyle w:val="BodyText"/>
        <w:spacing w:line="364" w:lineRule="auto" w:before="138"/>
        <w:ind w:left="400" w:right="418" w:firstLine="420"/>
        <w:jc w:val="both"/>
      </w:pPr>
      <w:r>
        <w:rPr/>
        <w:t>T</w:t>
      </w:r>
      <w:r>
        <w:rPr>
          <w:spacing w:val="-10"/>
        </w:rPr>
        <w:t> 日的基金份额净值精确到 </w:t>
      </w:r>
      <w:r>
        <w:rPr/>
        <w:t>0.0001</w:t>
      </w:r>
      <w:r>
        <w:rPr>
          <w:spacing w:val="-7"/>
        </w:rPr>
        <w:t> 元，小数点后第五位四舍五入，由此误差产生的损失由基金财产承担，产生的收益归基金财产所有。</w:t>
      </w:r>
    </w:p>
    <w:p>
      <w:pPr>
        <w:pStyle w:val="BodyText"/>
        <w:spacing w:line="364" w:lineRule="auto"/>
        <w:ind w:left="400" w:right="418" w:firstLine="420"/>
        <w:jc w:val="both"/>
      </w:pPr>
      <w:r>
        <w:rPr/>
        <w:t>4、申购费用由申购基金份额的基金投资人承担，不列入基金财产，用于本基金的市场</w:t>
      </w:r>
      <w:r>
        <w:rPr>
          <w:spacing w:val="-11"/>
        </w:rPr>
        <w:t>推广、销售、注册登记等各项费用。本基金的赎回费由赎回人承担，对于持有期大于或等于</w:t>
      </w:r>
      <w:r>
        <w:rPr/>
        <w:t>7</w:t>
      </w:r>
      <w:r>
        <w:rPr>
          <w:spacing w:val="-11"/>
        </w:rPr>
        <w:t> 天的基金份额所收取赎回费的 </w:t>
      </w:r>
      <w:r>
        <w:rPr/>
        <w:t>25%归基金财产，其余用于支付注册登记费和其他必要的手</w:t>
      </w:r>
      <w:r>
        <w:rPr>
          <w:spacing w:val="-5"/>
        </w:rPr>
        <w:t>续费；对于持有期少于 </w:t>
      </w:r>
      <w:r>
        <w:rPr/>
        <w:t>7</w:t>
      </w:r>
      <w:r>
        <w:rPr>
          <w:spacing w:val="-8"/>
        </w:rPr>
        <w:t> 天的基金份额所收取赎回费全额计入基金财产。</w:t>
      </w:r>
    </w:p>
    <w:p>
      <w:pPr>
        <w:pStyle w:val="Heading3"/>
        <w:spacing w:line="358" w:lineRule="exact"/>
      </w:pPr>
      <w:bookmarkStart w:name="_bookmark27" w:id="28"/>
      <w:bookmarkEnd w:id="28"/>
      <w:r>
        <w:rPr/>
      </w:r>
      <w:r>
        <w:rPr/>
        <w:t>（八）申购、赎回的注册登记</w:t>
      </w:r>
    </w:p>
    <w:p>
      <w:pPr>
        <w:pStyle w:val="BodyText"/>
        <w:spacing w:line="364" w:lineRule="auto" w:before="184"/>
        <w:ind w:left="400" w:right="418" w:firstLine="420"/>
      </w:pPr>
      <w:r>
        <w:rPr/>
        <w:t>1</w:t>
      </w:r>
      <w:r>
        <w:rPr>
          <w:spacing w:val="-2"/>
        </w:rPr>
        <w:t>、投资人申购基金成功后，正常情况下,基金注册登记人在 </w:t>
      </w:r>
      <w:r>
        <w:rPr/>
        <w:t>T＋1</w:t>
      </w:r>
      <w:r>
        <w:rPr>
          <w:spacing w:val="-8"/>
        </w:rPr>
        <w:t> 日为投资人增加权益</w:t>
      </w:r>
      <w:r>
        <w:rPr>
          <w:spacing w:val="-11"/>
        </w:rPr>
        <w:t>并办理注册登记手续，投资人自 </w:t>
      </w:r>
      <w:r>
        <w:rPr/>
        <w:t>T＋2</w:t>
      </w:r>
      <w:r>
        <w:rPr>
          <w:spacing w:val="-8"/>
        </w:rPr>
        <w:t> 日起有权赎回该部分基金份额。</w:t>
      </w:r>
    </w:p>
    <w:p>
      <w:pPr>
        <w:pStyle w:val="BodyText"/>
        <w:spacing w:line="364" w:lineRule="auto"/>
        <w:ind w:left="400" w:right="418" w:firstLine="420"/>
      </w:pPr>
      <w:r>
        <w:rPr/>
        <w:t>2</w:t>
      </w:r>
      <w:r>
        <w:rPr>
          <w:spacing w:val="-2"/>
        </w:rPr>
        <w:t>、投资人赎回基金成功后，正常情况下,基金注册登记人在 </w:t>
      </w:r>
      <w:r>
        <w:rPr/>
        <w:t>T＋1</w:t>
      </w:r>
      <w:r>
        <w:rPr>
          <w:spacing w:val="-8"/>
        </w:rPr>
        <w:t> 日为投资人扣除权益并办理相应的注册登记手续。</w:t>
      </w:r>
    </w:p>
    <w:p>
      <w:pPr>
        <w:pStyle w:val="BodyText"/>
        <w:spacing w:line="364" w:lineRule="auto"/>
        <w:ind w:left="400" w:right="418" w:firstLine="420"/>
      </w:pPr>
      <w:r>
        <w:rPr/>
        <w:t>3、基金管理人可在法律法规允许的范围内，对上述注册登记办理时间进行调整，并最迟于开始实施 2 日前在指定媒介予以公告。</w:t>
      </w:r>
    </w:p>
    <w:p>
      <w:pPr>
        <w:pStyle w:val="Heading3"/>
      </w:pPr>
      <w:bookmarkStart w:name="_bookmark28" w:id="29"/>
      <w:bookmarkEnd w:id="29"/>
      <w:r>
        <w:rPr/>
      </w:r>
      <w:r>
        <w:rPr/>
        <w:t>（九）巨额赎回的认定及处理方式</w:t>
      </w:r>
    </w:p>
    <w:p>
      <w:pPr>
        <w:pStyle w:val="BodyText"/>
        <w:spacing w:before="183"/>
      </w:pPr>
      <w:r>
        <w:rPr/>
        <w:t>1、巨额赎回的认定</w:t>
      </w:r>
    </w:p>
    <w:p>
      <w:pPr>
        <w:pStyle w:val="BodyText"/>
        <w:spacing w:line="364" w:lineRule="auto" w:before="140"/>
        <w:ind w:left="400" w:right="418" w:firstLine="420"/>
        <w:jc w:val="both"/>
      </w:pPr>
      <w:r>
        <w:rPr>
          <w:spacing w:val="-6"/>
        </w:rPr>
        <w:t>巨额赎回是指在单个开放日内，本基金中基金净赎回申请份额</w:t>
      </w:r>
      <w:r>
        <w:rPr/>
        <w:t>（</w:t>
      </w:r>
      <w:r>
        <w:rPr>
          <w:spacing w:val="-2"/>
        </w:rPr>
        <w:t>基金赎回申请总份额扣</w:t>
      </w:r>
      <w:r>
        <w:rPr/>
        <w:t>除申购申请总份额之余额</w:t>
      </w:r>
      <w:r>
        <w:rPr>
          <w:spacing w:val="-48"/>
        </w:rPr>
        <w:t>）</w:t>
      </w:r>
      <w:r>
        <w:rPr>
          <w:spacing w:val="-4"/>
        </w:rPr>
        <w:t>与基金转换净转出申请份额</w:t>
      </w:r>
      <w:r>
        <w:rPr/>
        <w:t>（</w:t>
      </w:r>
      <w:r>
        <w:rPr>
          <w:spacing w:val="-2"/>
        </w:rPr>
        <w:t>基金转出申请总份额扣除转入申请</w:t>
      </w:r>
      <w:r>
        <w:rPr/>
        <w:t>总份额之余额）</w:t>
      </w:r>
      <w:r>
        <w:rPr>
          <w:spacing w:val="-4"/>
        </w:rPr>
        <w:t>之和超过上一开放日基金总份额 </w:t>
      </w:r>
      <w:r>
        <w:rPr/>
        <w:t>10%的情形。</w:t>
      </w:r>
    </w:p>
    <w:p>
      <w:pPr>
        <w:pStyle w:val="BodyText"/>
        <w:spacing w:line="268" w:lineRule="exact"/>
      </w:pPr>
      <w:r>
        <w:rPr/>
        <w:t>2、巨额赎回的处理方式</w:t>
      </w:r>
    </w:p>
    <w:p>
      <w:pPr>
        <w:pStyle w:val="BodyText"/>
        <w:spacing w:line="364" w:lineRule="auto" w:before="139"/>
        <w:ind w:left="400" w:right="418" w:firstLine="420"/>
      </w:pPr>
      <w:r>
        <w:rPr>
          <w:spacing w:val="-11"/>
        </w:rPr>
        <w:t>出现巨额赎回时，基金管理人可以根据本基金当时的资产组合状况决定接受全额赎回或</w:t>
      </w:r>
      <w:r>
        <w:rPr/>
        <w:t>部分延期赎回。</w:t>
      </w:r>
    </w:p>
    <w:p>
      <w:pPr>
        <w:pStyle w:val="ListParagraph"/>
        <w:numPr>
          <w:ilvl w:val="0"/>
          <w:numId w:val="9"/>
        </w:numPr>
        <w:tabs>
          <w:tab w:pos="1347" w:val="left" w:leader="none"/>
        </w:tabs>
        <w:spacing w:line="364" w:lineRule="auto" w:before="0" w:after="0"/>
        <w:ind w:left="400" w:right="418" w:firstLine="420"/>
        <w:jc w:val="left"/>
        <w:rPr>
          <w:sz w:val="21"/>
        </w:rPr>
      </w:pPr>
      <w:r>
        <w:rPr>
          <w:sz w:val="21"/>
        </w:rPr>
        <w:t>接受全额赎回：当基金管理人认为有能力兑付投资人的全部赎回申请和基金间转换时，按正常赎回程序执行。</w:t>
      </w:r>
    </w:p>
    <w:p>
      <w:pPr>
        <w:pStyle w:val="ListParagraph"/>
        <w:numPr>
          <w:ilvl w:val="0"/>
          <w:numId w:val="9"/>
        </w:numPr>
        <w:tabs>
          <w:tab w:pos="1347" w:val="left" w:leader="none"/>
        </w:tabs>
        <w:spacing w:line="364" w:lineRule="auto" w:before="0" w:after="0"/>
        <w:ind w:left="400" w:right="418" w:firstLine="420"/>
        <w:jc w:val="left"/>
        <w:rPr>
          <w:sz w:val="21"/>
        </w:rPr>
      </w:pPr>
      <w:r>
        <w:rPr>
          <w:sz w:val="21"/>
        </w:rPr>
        <w:t>部分延期赎回：当基金管理人认为支付投资人的赎回申请有困难或认为支付投资</w:t>
      </w:r>
      <w:r>
        <w:rPr>
          <w:spacing w:val="-5"/>
          <w:sz w:val="21"/>
        </w:rPr>
        <w:t>人的赎回申请可能会对基金的资产净值造成较大波动时，基金管理人在当日接受赎回比例不</w:t>
      </w:r>
    </w:p>
    <w:p>
      <w:pPr>
        <w:spacing w:after="0" w:line="364" w:lineRule="auto"/>
        <w:jc w:val="left"/>
        <w:rPr>
          <w:sz w:val="21"/>
        </w:rPr>
        <w:sectPr>
          <w:pgSz w:w="11910" w:h="16840"/>
          <w:pgMar w:header="0" w:footer="910" w:top="1420" w:bottom="1180" w:left="1400" w:right="1380"/>
        </w:sectPr>
      </w:pPr>
    </w:p>
    <w:p>
      <w:pPr>
        <w:pStyle w:val="BodyText"/>
        <w:spacing w:line="364" w:lineRule="auto" w:before="45"/>
        <w:ind w:left="400" w:right="417"/>
        <w:jc w:val="both"/>
      </w:pPr>
      <w:r>
        <w:rPr>
          <w:spacing w:val="-5"/>
        </w:rPr>
        <w:t>低于上一日基金总份额的 </w:t>
      </w:r>
      <w:r>
        <w:rPr/>
        <w:t>10%</w:t>
      </w:r>
      <w:r>
        <w:rPr>
          <w:spacing w:val="-7"/>
        </w:rPr>
        <w:t>的前提下，对其余赎回申请延期予以办理。对于单个基金份额</w:t>
      </w:r>
      <w:r>
        <w:rPr>
          <w:spacing w:val="-9"/>
        </w:rPr>
        <w:t>持有人的赎回申请，应当按照其申请赎回份额占当日申请赎回总份额的比例，确定该单个基</w:t>
      </w:r>
      <w:r>
        <w:rPr>
          <w:spacing w:val="-8"/>
        </w:rPr>
        <w:t>金份额持有人当日办理的赎回份额；投资者未能赎回部分，除投资者在提交赎回申请时选择</w:t>
      </w:r>
      <w:r>
        <w:rPr>
          <w:spacing w:val="-7"/>
        </w:rPr>
        <w:t>将当日未获办理部分予以撤销外，延迟至下一个开放日办理，赎回价格为下一个开放日的价</w:t>
      </w:r>
      <w:r>
        <w:rPr>
          <w:spacing w:val="-9"/>
        </w:rPr>
        <w:t>格。依照上述规定转入下一个开放日的赎回不享有赎回优先权，并以此类推，直到全部赎回</w:t>
      </w:r>
      <w:r>
        <w:rPr/>
        <w:t>为止。部分顺延赎回不受单笔赎回最低份额的限制。</w:t>
      </w:r>
    </w:p>
    <w:p>
      <w:pPr>
        <w:pStyle w:val="BodyText"/>
        <w:spacing w:line="364" w:lineRule="auto"/>
        <w:ind w:left="400" w:right="4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BodyText"/>
        <w:spacing w:line="364" w:lineRule="auto"/>
        <w:ind w:left="400" w:right="418" w:firstLine="420"/>
        <w:jc w:val="both"/>
      </w:pPr>
      <w:r>
        <w:rPr>
          <w:spacing w:val="-8"/>
        </w:rPr>
        <w:t>当发生巨额赎回并延期办理时，基金管理人应当通过邮寄、传真等方式在 </w:t>
      </w:r>
      <w:r>
        <w:rPr/>
        <w:t>3</w:t>
      </w:r>
      <w:r>
        <w:rPr>
          <w:spacing w:val="-13"/>
        </w:rPr>
        <w:t> 个交易日内</w:t>
      </w:r>
      <w:r>
        <w:rPr>
          <w:spacing w:val="-3"/>
        </w:rPr>
        <w:t>通知基金份额持有人，说明有关处理方法，并在 </w:t>
      </w:r>
      <w:r>
        <w:rPr/>
        <w:t>2</w:t>
      </w:r>
      <w:r>
        <w:rPr>
          <w:spacing w:val="-8"/>
        </w:rPr>
        <w:t> 日内编制临时报告书予以公告。</w:t>
      </w:r>
    </w:p>
    <w:p>
      <w:pPr>
        <w:pStyle w:val="BodyText"/>
        <w:spacing w:line="364" w:lineRule="auto"/>
        <w:ind w:left="400" w:right="418" w:firstLine="420"/>
        <w:jc w:val="both"/>
      </w:pPr>
      <w:r>
        <w:rPr/>
        <w:t>3</w:t>
      </w:r>
      <w:r>
        <w:rPr>
          <w:spacing w:val="-4"/>
        </w:rPr>
        <w:t>、暂停接受和延缓支付：本基金连续 </w:t>
      </w:r>
      <w:r>
        <w:rPr/>
        <w:t>2</w:t>
      </w:r>
      <w:r>
        <w:rPr>
          <w:spacing w:val="-8"/>
        </w:rPr>
        <w:t> 个开放日以上发生巨额赎回，如基金管理人认</w:t>
      </w:r>
      <w:r>
        <w:rPr>
          <w:spacing w:val="-15"/>
        </w:rPr>
        <w:t>为有必要，可暂停接受赎回申请；已经接受的赎回申请可以延缓支付赎回款项，但延缓期限</w:t>
      </w:r>
      <w:r>
        <w:rPr>
          <w:spacing w:val="-11"/>
        </w:rPr>
        <w:t>不得超过 </w:t>
      </w:r>
      <w:r>
        <w:rPr/>
        <w:t>20</w:t>
      </w:r>
      <w:r>
        <w:rPr>
          <w:spacing w:val="-10"/>
        </w:rPr>
        <w:t> 个工作日。连续发生巨额赎回并暂停接受赎回申请时，基金管理人应当在 </w:t>
      </w:r>
      <w:r>
        <w:rPr/>
        <w:t>2</w:t>
      </w:r>
      <w:r>
        <w:rPr>
          <w:spacing w:val="-27"/>
        </w:rPr>
        <w:t> 日</w:t>
      </w:r>
      <w:r>
        <w:rPr>
          <w:spacing w:val="-19"/>
        </w:rPr>
        <w:t>内编制临时报告书，予以公告，并在公开披露日分别报中国证监会和基金管理人主要办公场</w:t>
      </w:r>
      <w:r>
        <w:rPr/>
        <w:t>所所在地中国证监会派出机构备案。</w:t>
      </w:r>
    </w:p>
    <w:p>
      <w:pPr>
        <w:pStyle w:val="Heading3"/>
        <w:spacing w:line="357" w:lineRule="exact"/>
      </w:pPr>
      <w:bookmarkStart w:name="_bookmark29" w:id="30"/>
      <w:bookmarkEnd w:id="30"/>
      <w:r>
        <w:rPr/>
      </w:r>
      <w:r>
        <w:rPr/>
        <w:t>（十）拒绝或暂停申购、赎回的情形及处理方式</w:t>
      </w:r>
    </w:p>
    <w:p>
      <w:pPr>
        <w:pStyle w:val="BodyText"/>
        <w:spacing w:before="180"/>
      </w:pPr>
      <w:r>
        <w:rPr/>
        <w:t>1、在如下情况下，基金管理人可以拒绝或暂停接受投资人的申购申请：</w:t>
      </w:r>
    </w:p>
    <w:p>
      <w:pPr>
        <w:pStyle w:val="ListParagraph"/>
        <w:numPr>
          <w:ilvl w:val="0"/>
          <w:numId w:val="10"/>
        </w:numPr>
        <w:tabs>
          <w:tab w:pos="1346" w:val="left" w:leader="none"/>
        </w:tabs>
        <w:spacing w:line="240" w:lineRule="auto" w:before="139" w:after="0"/>
        <w:ind w:left="1346" w:right="0" w:hanging="526"/>
        <w:jc w:val="left"/>
        <w:rPr>
          <w:sz w:val="21"/>
        </w:rPr>
      </w:pPr>
      <w:r>
        <w:rPr>
          <w:sz w:val="21"/>
        </w:rPr>
        <w:t>因不可抗力导致基金管理人无法接受投资人的申购申请；</w:t>
      </w:r>
    </w:p>
    <w:p>
      <w:pPr>
        <w:pStyle w:val="ListParagraph"/>
        <w:numPr>
          <w:ilvl w:val="0"/>
          <w:numId w:val="10"/>
        </w:numPr>
        <w:tabs>
          <w:tab w:pos="1347" w:val="left" w:leader="none"/>
        </w:tabs>
        <w:spacing w:line="364" w:lineRule="auto" w:before="139" w:after="0"/>
        <w:ind w:left="400" w:right="418" w:firstLine="420"/>
        <w:jc w:val="left"/>
        <w:rPr>
          <w:sz w:val="21"/>
        </w:rPr>
      </w:pPr>
      <w:r>
        <w:rPr>
          <w:sz w:val="21"/>
        </w:rPr>
        <w:t>证券交易场所在交易时间内非正常停市，导致基金管理人无法计算当日基金资产净值；</w:t>
      </w:r>
    </w:p>
    <w:p>
      <w:pPr>
        <w:pStyle w:val="ListParagraph"/>
        <w:numPr>
          <w:ilvl w:val="0"/>
          <w:numId w:val="10"/>
        </w:numPr>
        <w:tabs>
          <w:tab w:pos="1346" w:val="left" w:leader="none"/>
        </w:tabs>
        <w:spacing w:line="268" w:lineRule="exact" w:before="0" w:after="0"/>
        <w:ind w:left="1346" w:right="0" w:hanging="526"/>
        <w:jc w:val="left"/>
        <w:rPr>
          <w:sz w:val="21"/>
        </w:rPr>
      </w:pPr>
      <w:r>
        <w:rPr>
          <w:sz w:val="21"/>
        </w:rPr>
        <w:t>发生本基金合同规定的暂停基金资产估值情况；</w:t>
      </w:r>
    </w:p>
    <w:p>
      <w:pPr>
        <w:pStyle w:val="ListParagraph"/>
        <w:numPr>
          <w:ilvl w:val="0"/>
          <w:numId w:val="10"/>
        </w:numPr>
        <w:tabs>
          <w:tab w:pos="1347" w:val="left" w:leader="none"/>
        </w:tabs>
        <w:spacing w:line="364" w:lineRule="auto" w:before="140" w:after="0"/>
        <w:ind w:left="400" w:right="418" w:firstLine="420"/>
        <w:jc w:val="left"/>
        <w:rPr>
          <w:sz w:val="21"/>
        </w:rPr>
      </w:pPr>
      <w:r>
        <w:rPr>
          <w:sz w:val="21"/>
        </w:rPr>
        <w:t>基金财产规模过大，使基金管理人无法找到合适的投资品种，或其他可能对基金业绩产生负面影响，从而损害现有基金份额持有人的利益的情形；</w:t>
      </w:r>
    </w:p>
    <w:p>
      <w:pPr>
        <w:pStyle w:val="ListParagraph"/>
        <w:numPr>
          <w:ilvl w:val="0"/>
          <w:numId w:val="10"/>
        </w:numPr>
        <w:tabs>
          <w:tab w:pos="1347" w:val="left" w:leader="none"/>
        </w:tabs>
        <w:spacing w:line="364" w:lineRule="auto" w:before="0" w:after="0"/>
        <w:ind w:left="400" w:right="418" w:firstLine="420"/>
        <w:jc w:val="left"/>
        <w:rPr>
          <w:sz w:val="21"/>
        </w:rPr>
      </w:pPr>
      <w:r>
        <w:rPr>
          <w:sz w:val="21"/>
        </w:rPr>
        <w:t>基金管理人有正当理由认为接受某笔或某些申购申请可能会影响或损害其他基金份额持有人利益时；</w:t>
      </w:r>
    </w:p>
    <w:p>
      <w:pPr>
        <w:pStyle w:val="ListParagraph"/>
        <w:numPr>
          <w:ilvl w:val="0"/>
          <w:numId w:val="10"/>
        </w:numPr>
        <w:tabs>
          <w:tab w:pos="1347" w:val="left" w:leader="none"/>
        </w:tabs>
        <w:spacing w:line="364" w:lineRule="auto" w:before="0" w:after="0"/>
        <w:ind w:left="400" w:right="4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0"/>
        </w:numPr>
        <w:tabs>
          <w:tab w:pos="1347" w:val="left" w:leader="none"/>
        </w:tabs>
        <w:spacing w:line="364" w:lineRule="auto" w:before="0" w:after="0"/>
        <w:ind w:left="400" w:right="2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0"/>
        </w:numPr>
        <w:tabs>
          <w:tab w:pos="1351" w:val="left" w:leader="none"/>
        </w:tabs>
        <w:spacing w:line="364" w:lineRule="auto" w:before="0" w:after="0"/>
        <w:ind w:left="400" w:right="418" w:firstLine="420"/>
        <w:jc w:val="left"/>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p>
    <w:p>
      <w:pPr>
        <w:spacing w:after="0" w:line="364" w:lineRule="auto"/>
        <w:jc w:val="left"/>
        <w:rPr>
          <w:sz w:val="21"/>
        </w:rPr>
        <w:sectPr>
          <w:pgSz w:w="11910" w:h="16840"/>
          <w:pgMar w:header="0" w:footer="910" w:top="1380" w:bottom="1180" w:left="1400" w:right="1380"/>
        </w:sectPr>
      </w:pPr>
    </w:p>
    <w:p>
      <w:pPr>
        <w:pStyle w:val="BodyText"/>
        <w:spacing w:before="45"/>
        <w:ind w:left="400"/>
      </w:pPr>
      <w:r>
        <w:rPr/>
        <w:t>当采取暂停接受基金申购申请的措施。</w:t>
      </w:r>
    </w:p>
    <w:p>
      <w:pPr>
        <w:pStyle w:val="ListParagraph"/>
        <w:numPr>
          <w:ilvl w:val="0"/>
          <w:numId w:val="10"/>
        </w:numPr>
        <w:tabs>
          <w:tab w:pos="1346" w:val="left" w:leader="none"/>
        </w:tabs>
        <w:spacing w:line="240" w:lineRule="auto" w:before="139" w:after="0"/>
        <w:ind w:left="1346" w:right="0" w:hanging="526"/>
        <w:jc w:val="left"/>
        <w:rPr>
          <w:sz w:val="21"/>
        </w:rPr>
      </w:pPr>
      <w:r>
        <w:rPr>
          <w:sz w:val="21"/>
        </w:rPr>
        <w:t>法律、法规规定或中国证监会认定的其他情形。</w:t>
      </w:r>
    </w:p>
    <w:p>
      <w:pPr>
        <w:pStyle w:val="BodyText"/>
        <w:spacing w:line="364" w:lineRule="auto" w:before="140"/>
        <w:ind w:left="400" w:right="418" w:firstLine="420"/>
      </w:pPr>
      <w:r>
        <w:rPr/>
        <w:t>发生上述</w:t>
      </w:r>
      <w:r>
        <w:rPr>
          <w:spacing w:val="-7"/>
        </w:rPr>
        <w:t>（1）</w:t>
      </w:r>
      <w:r>
        <w:rPr/>
        <w:t>、</w:t>
      </w:r>
      <w:r>
        <w:rPr>
          <w:spacing w:val="-7"/>
        </w:rPr>
        <w:t>（2）</w:t>
      </w:r>
      <w:r>
        <w:rPr/>
        <w:t>、</w:t>
      </w:r>
      <w:r>
        <w:rPr>
          <w:spacing w:val="-7"/>
        </w:rPr>
        <w:t>（3）</w:t>
      </w:r>
      <w:r>
        <w:rPr/>
        <w:t>、</w:t>
      </w:r>
      <w:r>
        <w:rPr>
          <w:spacing w:val="-7"/>
        </w:rPr>
        <w:t>（4）</w:t>
      </w:r>
      <w:r>
        <w:rPr/>
        <w:t>、</w:t>
      </w:r>
      <w:r>
        <w:rPr>
          <w:spacing w:val="-7"/>
        </w:rPr>
        <w:t>（7）</w:t>
      </w:r>
      <w:r>
        <w:rPr/>
        <w:t>、（8）</w:t>
      </w:r>
      <w:r>
        <w:rPr>
          <w:spacing w:val="-2"/>
        </w:rPr>
        <w:t>项情形时，基金管理人应根据有</w:t>
      </w:r>
      <w:r>
        <w:rPr/>
        <w:t>关规定在指定媒介上刊登暂停申购公告。</w:t>
      </w:r>
    </w:p>
    <w:p>
      <w:pPr>
        <w:pStyle w:val="BodyText"/>
        <w:spacing w:line="364" w:lineRule="auto"/>
        <w:ind w:right="2005"/>
        <w:jc w:val="both"/>
      </w:pPr>
      <w:r>
        <w:rPr/>
        <w:t>如果投资人的申购申请被拒绝，被拒绝的申购款项将退还给投资人。在暂停申购的情况消除时，基金管理人应及时恢复申购业务的办理。2、在如下情况下，基金管理人可以暂停接受投资人的赎回申请：</w:t>
      </w:r>
    </w:p>
    <w:p>
      <w:pPr>
        <w:pStyle w:val="ListParagraph"/>
        <w:numPr>
          <w:ilvl w:val="0"/>
          <w:numId w:val="11"/>
        </w:numPr>
        <w:tabs>
          <w:tab w:pos="1346" w:val="left" w:leader="none"/>
        </w:tabs>
        <w:spacing w:line="268" w:lineRule="exact" w:before="0" w:after="0"/>
        <w:ind w:left="1346" w:right="0" w:hanging="526"/>
        <w:jc w:val="left"/>
        <w:rPr>
          <w:sz w:val="21"/>
        </w:rPr>
      </w:pPr>
      <w:r>
        <w:rPr>
          <w:sz w:val="21"/>
        </w:rPr>
        <w:t>因不可抗力导致基金管理人不能支付赎回款项；</w:t>
      </w:r>
    </w:p>
    <w:p>
      <w:pPr>
        <w:pStyle w:val="ListParagraph"/>
        <w:numPr>
          <w:ilvl w:val="0"/>
          <w:numId w:val="11"/>
        </w:numPr>
        <w:tabs>
          <w:tab w:pos="1347" w:val="left" w:leader="none"/>
        </w:tabs>
        <w:spacing w:line="364" w:lineRule="auto" w:before="138" w:after="0"/>
        <w:ind w:left="400" w:right="418" w:firstLine="420"/>
        <w:jc w:val="left"/>
        <w:rPr>
          <w:sz w:val="21"/>
        </w:rPr>
      </w:pPr>
      <w:r>
        <w:rPr>
          <w:sz w:val="21"/>
        </w:rPr>
        <w:t>证券交易场所在交易时间内非正常停市，导致基金管理人无法计算当日基金资产净值；</w:t>
      </w:r>
    </w:p>
    <w:p>
      <w:pPr>
        <w:pStyle w:val="ListParagraph"/>
        <w:numPr>
          <w:ilvl w:val="0"/>
          <w:numId w:val="11"/>
        </w:numPr>
        <w:tabs>
          <w:tab w:pos="1346" w:val="left" w:leader="none"/>
        </w:tabs>
        <w:spacing w:line="268" w:lineRule="exact" w:before="0" w:after="0"/>
        <w:ind w:left="1346" w:right="0" w:hanging="526"/>
        <w:jc w:val="left"/>
        <w:rPr>
          <w:sz w:val="21"/>
        </w:rPr>
      </w:pPr>
      <w:r>
        <w:rPr>
          <w:sz w:val="21"/>
        </w:rPr>
        <w:t>发生巨额赎回，根据本基金合同规定，可以暂停接受赎回申请的情况；</w:t>
      </w:r>
    </w:p>
    <w:p>
      <w:pPr>
        <w:pStyle w:val="ListParagraph"/>
        <w:numPr>
          <w:ilvl w:val="0"/>
          <w:numId w:val="11"/>
        </w:numPr>
        <w:tabs>
          <w:tab w:pos="1346" w:val="left" w:leader="none"/>
        </w:tabs>
        <w:spacing w:line="240" w:lineRule="auto" w:before="140" w:after="0"/>
        <w:ind w:left="1346" w:right="0" w:hanging="526"/>
        <w:jc w:val="left"/>
        <w:rPr>
          <w:sz w:val="21"/>
        </w:rPr>
      </w:pPr>
      <w:r>
        <w:rPr>
          <w:sz w:val="21"/>
        </w:rPr>
        <w:t>发生本基金合同规定的暂停基金资产估值情况；</w:t>
      </w:r>
    </w:p>
    <w:p>
      <w:pPr>
        <w:pStyle w:val="ListParagraph"/>
        <w:numPr>
          <w:ilvl w:val="0"/>
          <w:numId w:val="11"/>
        </w:numPr>
        <w:tabs>
          <w:tab w:pos="1351" w:val="left" w:leader="none"/>
        </w:tabs>
        <w:spacing w:line="364" w:lineRule="auto" w:before="139" w:after="0"/>
        <w:ind w:left="400" w:right="4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1"/>
        </w:numPr>
        <w:tabs>
          <w:tab w:pos="1346" w:val="left" w:leader="none"/>
        </w:tabs>
        <w:spacing w:line="268" w:lineRule="exact" w:before="0" w:after="0"/>
        <w:ind w:left="1346" w:right="0" w:hanging="526"/>
        <w:jc w:val="left"/>
        <w:rPr>
          <w:sz w:val="21"/>
        </w:rPr>
      </w:pPr>
      <w:r>
        <w:rPr>
          <w:sz w:val="21"/>
        </w:rPr>
        <w:t>法律、法规规定或中国证监会认定的其他情形。</w:t>
      </w:r>
    </w:p>
    <w:p>
      <w:pPr>
        <w:pStyle w:val="BodyText"/>
        <w:spacing w:before="140"/>
      </w:pPr>
      <w:r>
        <w:rPr/>
        <w:t>发生上述情形时，基金管理人应当在当日立即向中国证监会备案并予以公告。</w:t>
      </w:r>
    </w:p>
    <w:p>
      <w:pPr>
        <w:pStyle w:val="BodyText"/>
        <w:spacing w:line="364" w:lineRule="auto" w:before="139"/>
        <w:ind w:left="400" w:right="418" w:firstLine="420"/>
        <w:jc w:val="both"/>
      </w:pPr>
      <w:r>
        <w:rPr>
          <w:spacing w:val="-7"/>
        </w:rPr>
        <w:t>已经确认的赎回申请，基金管理人应当足额支付；如暂时不能足额支付，应当按单个赎</w:t>
      </w:r>
      <w:r>
        <w:rPr>
          <w:spacing w:val="-4"/>
        </w:rPr>
        <w:t>回申请人已被接受的赎回申请量占已接受的赎回申请总量的比例分配给赎回申请人，其余部</w:t>
      </w:r>
      <w:r>
        <w:rPr/>
        <w:t>分在后续开放日予以支付。</w:t>
      </w:r>
    </w:p>
    <w:p>
      <w:pPr>
        <w:pStyle w:val="BodyText"/>
        <w:spacing w:line="268" w:lineRule="exact"/>
      </w:pPr>
      <w:r>
        <w:rPr/>
        <w:t>在暂停赎回的情况消除时，基金管理人应及时恢复赎回业务的办理。</w:t>
      </w:r>
    </w:p>
    <w:p>
      <w:pPr>
        <w:pStyle w:val="BodyText"/>
        <w:spacing w:line="364" w:lineRule="auto" w:before="140"/>
        <w:ind w:left="400" w:right="418" w:firstLine="420"/>
      </w:pPr>
      <w:r>
        <w:rPr/>
        <w:t>3、暂停期间结束，基金重新开放申购或赎回时，基金管理人应按规定公告并报中国证监会备案。</w:t>
      </w:r>
    </w:p>
    <w:p>
      <w:pPr>
        <w:pStyle w:val="ListParagraph"/>
        <w:numPr>
          <w:ilvl w:val="0"/>
          <w:numId w:val="12"/>
        </w:numPr>
        <w:tabs>
          <w:tab w:pos="1347" w:val="left" w:leader="none"/>
        </w:tabs>
        <w:spacing w:line="364" w:lineRule="auto" w:before="0" w:after="0"/>
        <w:ind w:left="400" w:right="418" w:firstLine="420"/>
        <w:jc w:val="left"/>
        <w:rPr>
          <w:sz w:val="21"/>
        </w:rPr>
      </w:pPr>
      <w:r>
        <w:rPr>
          <w:spacing w:val="-5"/>
          <w:sz w:val="21"/>
        </w:rPr>
        <w:t>如果发生暂停的时间为 </w:t>
      </w:r>
      <w:r>
        <w:rPr>
          <w:sz w:val="21"/>
        </w:rPr>
        <w:t>1</w:t>
      </w:r>
      <w:r>
        <w:rPr>
          <w:spacing w:val="-8"/>
          <w:sz w:val="21"/>
        </w:rPr>
        <w:t> 日，基金管理人应于重新开放申购或赎回日在指定媒介上刊登基金重新开放申购或赎回的公告，并公告最近一个开放日的基金份额净值；</w:t>
      </w:r>
    </w:p>
    <w:p>
      <w:pPr>
        <w:pStyle w:val="ListParagraph"/>
        <w:numPr>
          <w:ilvl w:val="0"/>
          <w:numId w:val="12"/>
        </w:numPr>
        <w:tabs>
          <w:tab w:pos="1347" w:val="left" w:leader="none"/>
        </w:tabs>
        <w:spacing w:line="364" w:lineRule="auto" w:before="0" w:after="0"/>
        <w:ind w:left="400" w:right="418" w:firstLine="420"/>
        <w:jc w:val="both"/>
        <w:rPr>
          <w:sz w:val="21"/>
        </w:rPr>
      </w:pPr>
      <w:r>
        <w:rPr>
          <w:spacing w:val="-5"/>
          <w:sz w:val="21"/>
        </w:rPr>
        <w:t>如果发生暂停的时间超过 </w:t>
      </w:r>
      <w:r>
        <w:rPr>
          <w:sz w:val="21"/>
        </w:rPr>
        <w:t>1</w:t>
      </w:r>
      <w:r>
        <w:rPr>
          <w:spacing w:val="-19"/>
          <w:sz w:val="21"/>
        </w:rPr>
        <w:t> 日但少于 </w:t>
      </w:r>
      <w:r>
        <w:rPr>
          <w:sz w:val="21"/>
        </w:rPr>
        <w:t>2</w:t>
      </w:r>
      <w:r>
        <w:rPr>
          <w:spacing w:val="-8"/>
          <w:sz w:val="21"/>
        </w:rPr>
        <w:t> 周，基金管理人应于重新开放申购或赎回</w:t>
      </w:r>
      <w:r>
        <w:rPr>
          <w:spacing w:val="-20"/>
          <w:sz w:val="21"/>
        </w:rPr>
        <w:t>日的前 </w:t>
      </w:r>
      <w:r>
        <w:rPr>
          <w:sz w:val="21"/>
        </w:rPr>
        <w:t>1</w:t>
      </w:r>
      <w:r>
        <w:rPr>
          <w:spacing w:val="-13"/>
          <w:sz w:val="21"/>
        </w:rPr>
        <w:t> 个工作日在指定媒介上刊登基金重新开放申购或赎回的公告，并于重新开放申购或</w:t>
      </w:r>
      <w:r>
        <w:rPr>
          <w:sz w:val="21"/>
        </w:rPr>
        <w:t>赎回日公告最近一个开放日的基金份额净值；</w:t>
      </w:r>
    </w:p>
    <w:p>
      <w:pPr>
        <w:pStyle w:val="ListParagraph"/>
        <w:numPr>
          <w:ilvl w:val="0"/>
          <w:numId w:val="12"/>
        </w:numPr>
        <w:tabs>
          <w:tab w:pos="1347" w:val="left" w:leader="none"/>
        </w:tabs>
        <w:spacing w:line="364" w:lineRule="auto" w:before="0" w:after="0"/>
        <w:ind w:left="400" w:right="418" w:firstLine="420"/>
        <w:jc w:val="both"/>
        <w:rPr>
          <w:sz w:val="21"/>
        </w:rPr>
      </w:pPr>
      <w:r>
        <w:rPr>
          <w:spacing w:val="-5"/>
          <w:sz w:val="21"/>
        </w:rPr>
        <w:t>如果发生暂停的时间超过 </w:t>
      </w:r>
      <w:r>
        <w:rPr>
          <w:sz w:val="21"/>
        </w:rPr>
        <w:t>2</w:t>
      </w:r>
      <w:r>
        <w:rPr>
          <w:spacing w:val="-8"/>
          <w:sz w:val="21"/>
        </w:rPr>
        <w:t> 周，基金管理人应在暂停期间每两周至少重复刊登暂</w:t>
      </w:r>
      <w:r>
        <w:rPr>
          <w:spacing w:val="-14"/>
          <w:sz w:val="21"/>
        </w:rPr>
        <w:t>停公告一次。暂停结束基金重新开放申购或赎回时，基金管理人应最迟提前 </w:t>
      </w:r>
      <w:r>
        <w:rPr>
          <w:sz w:val="21"/>
        </w:rPr>
        <w:t>2</w:t>
      </w:r>
      <w:r>
        <w:rPr>
          <w:spacing w:val="-11"/>
          <w:sz w:val="21"/>
        </w:rPr>
        <w:t> 日在指定媒介</w:t>
      </w:r>
      <w:r>
        <w:rPr>
          <w:spacing w:val="-7"/>
          <w:sz w:val="21"/>
        </w:rPr>
        <w:t>上刊登基金重新开放申购或赎回的公告，并在重新开放申购或赎回日公告最近一个开放日的</w:t>
      </w:r>
      <w:r>
        <w:rPr>
          <w:sz w:val="21"/>
        </w:rPr>
        <w:t>基金份额净值。</w:t>
      </w:r>
    </w:p>
    <w:p>
      <w:pPr>
        <w:spacing w:after="0" w:line="364" w:lineRule="auto"/>
        <w:jc w:val="both"/>
        <w:rPr>
          <w:sz w:val="21"/>
        </w:rPr>
        <w:sectPr>
          <w:pgSz w:w="11910" w:h="16840"/>
          <w:pgMar w:header="0" w:footer="910" w:top="1380" w:bottom="1180" w:left="1400" w:right="1380"/>
        </w:sectPr>
      </w:pPr>
    </w:p>
    <w:p>
      <w:pPr>
        <w:pStyle w:val="Heading1"/>
      </w:pPr>
      <w:bookmarkStart w:name="_bookmark30" w:id="31"/>
      <w:bookmarkEnd w:id="31"/>
      <w:r>
        <w:rPr>
          <w:b w:val="0"/>
        </w:rPr>
      </w:r>
      <w:r>
        <w:rPr/>
        <w:t>十、基金转换</w:t>
      </w:r>
    </w:p>
    <w:p>
      <w:pPr>
        <w:pStyle w:val="BodyText"/>
        <w:spacing w:line="364" w:lineRule="auto" w:before="138"/>
        <w:ind w:left="400" w:right="418" w:firstLine="420"/>
      </w:pPr>
      <w:r>
        <w:rPr/>
        <w:t>基金转换是指基金份额持有人按基金管理人规定的条件将其持有的某一基金的基金份额转为同一基金管理人管理的另一只基金的基金份额的行为。</w:t>
      </w:r>
    </w:p>
    <w:p>
      <w:pPr>
        <w:pStyle w:val="Heading3"/>
      </w:pPr>
      <w:bookmarkStart w:name="_bookmark31" w:id="32"/>
      <w:bookmarkEnd w:id="32"/>
      <w:r>
        <w:rPr/>
      </w:r>
      <w:r>
        <w:rPr/>
        <w:t>（一）基金转换的开放日及时间</w:t>
      </w:r>
    </w:p>
    <w:p>
      <w:pPr>
        <w:pStyle w:val="BodyText"/>
        <w:spacing w:before="185"/>
        <w:jc w:val="both"/>
      </w:pPr>
      <w:r>
        <w:rPr/>
        <w:t>本基金已于 2008 年 6 月 27 日开始办理转换业务。</w:t>
      </w:r>
    </w:p>
    <w:p>
      <w:pPr>
        <w:pStyle w:val="BodyText"/>
        <w:spacing w:line="364" w:lineRule="auto" w:before="139"/>
        <w:ind w:left="400" w:right="418" w:firstLine="420"/>
        <w:jc w:val="both"/>
      </w:pPr>
      <w:r>
        <w:rPr>
          <w:spacing w:val="-5"/>
        </w:rPr>
        <w:t>转换业务的开放日为上海证券交易所和深圳证券交易所交易日。但基金管理人根据法律</w:t>
      </w:r>
      <w:r>
        <w:rPr>
          <w:spacing w:val="-10"/>
        </w:rPr>
        <w:t>法规、中国证监会的要求或本基金合同的规定公告暂停转换时除外。具体业务办理时间为上</w:t>
      </w:r>
      <w:r>
        <w:rPr>
          <w:spacing w:val="-11"/>
        </w:rPr>
        <w:t>海证券交易所、深圳证券交易所的交易时间。若出现新的证券交易市场或交易所交易时间更改或其他特殊情况，基金管理人将视情况对前述开放日及具体业务办理时间进行相应的调整</w:t>
      </w:r>
      <w:r>
        <w:rPr/>
        <w:t>并提前公告。</w:t>
      </w:r>
    </w:p>
    <w:p>
      <w:pPr>
        <w:pStyle w:val="Heading3"/>
        <w:spacing w:line="357" w:lineRule="exact"/>
      </w:pPr>
      <w:bookmarkStart w:name="_bookmark32" w:id="33"/>
      <w:bookmarkEnd w:id="33"/>
      <w:r>
        <w:rPr/>
      </w:r>
      <w:r>
        <w:rPr/>
        <w:t>（二）基金转换业务规则</w:t>
      </w:r>
    </w:p>
    <w:p>
      <w:pPr>
        <w:pStyle w:val="BodyText"/>
        <w:spacing w:before="185"/>
      </w:pPr>
      <w:r>
        <w:rPr/>
        <w:t>1、基金转换以份额为单位进行申请；</w:t>
      </w:r>
    </w:p>
    <w:p>
      <w:pPr>
        <w:pStyle w:val="BodyText"/>
        <w:spacing w:line="364" w:lineRule="auto" w:before="139"/>
        <w:ind w:left="400" w:right="418" w:firstLine="420"/>
      </w:pPr>
      <w:r>
        <w:rPr/>
        <w:t>2、当日的转换申请可以在当日交易结束时间前撤销，在当日的交易时间结束后不得撤销；</w:t>
      </w:r>
    </w:p>
    <w:p>
      <w:pPr>
        <w:pStyle w:val="BodyText"/>
        <w:spacing w:line="364" w:lineRule="auto"/>
        <w:ind w:left="400" w:right="418" w:firstLine="420"/>
      </w:pPr>
      <w:r>
        <w:rPr/>
        <w:t>3、基金转换采取未知价法，即基金的转换价格以转换申请受理当日各转出、转入基金的份额净值为基准进行计算；</w:t>
      </w:r>
    </w:p>
    <w:p>
      <w:pPr>
        <w:pStyle w:val="BodyText"/>
        <w:spacing w:line="364" w:lineRule="auto"/>
        <w:ind w:left="400" w:right="418" w:firstLine="420"/>
      </w:pPr>
      <w:r>
        <w:rPr/>
        <w:t>4、基金份额在转换后，转入的基金份额的持有期将自转入的基金份额被确认之日起重新开始计算；</w:t>
      </w:r>
    </w:p>
    <w:p>
      <w:pPr>
        <w:pStyle w:val="BodyText"/>
        <w:spacing w:line="364" w:lineRule="auto"/>
        <w:ind w:left="400" w:right="418" w:firstLine="420"/>
        <w:jc w:val="both"/>
      </w:pPr>
      <w:r>
        <w:rPr/>
        <w:t>5、除非有特别说明，投资者可在同时销售拟转出基金及转入基金的销售机构处办理基</w:t>
      </w:r>
      <w:r>
        <w:rPr>
          <w:spacing w:val="-10"/>
        </w:rPr>
        <w:t>金转换业务。基金转换只能在同一销售机构进行。转换的两只基金必须都是该销售机构销售</w:t>
      </w:r>
      <w:r>
        <w:rPr/>
        <w:t>的同一基金管理人管理的、在同一基金注册登记机构处注册的基金；</w:t>
      </w:r>
    </w:p>
    <w:p>
      <w:pPr>
        <w:pStyle w:val="BodyText"/>
        <w:spacing w:line="364" w:lineRule="auto"/>
        <w:ind w:left="400" w:right="418" w:firstLine="420"/>
      </w:pPr>
      <w:r>
        <w:rPr/>
        <w:t>6、投资者办理基金转换业务时，转出方的基金必须处于可赎回状态，转入方的基金必须处于可申购状态；</w:t>
      </w:r>
    </w:p>
    <w:p>
      <w:pPr>
        <w:pStyle w:val="BodyText"/>
        <w:spacing w:line="364" w:lineRule="auto"/>
        <w:ind w:left="400" w:right="417" w:firstLine="420"/>
        <w:jc w:val="both"/>
      </w:pPr>
      <w:r>
        <w:rPr/>
        <w:t>7、转换业务遵循“先进先出”的业务规则，即份额注册日期在前的先转换出，份额注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400" w:right="418" w:firstLine="420"/>
        <w:jc w:val="both"/>
      </w:pPr>
      <w:r>
        <w:rPr/>
        <w:t>8、基金管理人可在不损害基金份额持有人权益的情况下更改上述原则，但应最迟在新的原则实施前 2 日予以公告。</w:t>
      </w:r>
    </w:p>
    <w:p>
      <w:pPr>
        <w:pStyle w:val="Heading3"/>
      </w:pPr>
      <w:bookmarkStart w:name="_bookmark33" w:id="34"/>
      <w:bookmarkEnd w:id="34"/>
      <w:r>
        <w:rPr/>
      </w:r>
      <w:r>
        <w:rPr/>
        <w:t>（三）基金转换的程序</w:t>
      </w:r>
    </w:p>
    <w:p>
      <w:pPr>
        <w:pStyle w:val="BodyText"/>
        <w:spacing w:before="179"/>
      </w:pPr>
      <w:r>
        <w:rPr/>
        <w:t>1、基金转换的申请方式</w:t>
      </w:r>
    </w:p>
    <w:p>
      <w:pPr>
        <w:pStyle w:val="BodyText"/>
        <w:spacing w:line="364" w:lineRule="auto" w:before="139"/>
        <w:ind w:left="400" w:right="418" w:firstLine="420"/>
      </w:pPr>
      <w:r>
        <w:rPr>
          <w:spacing w:val="-5"/>
        </w:rPr>
        <w:t>基金投资者必须根据基金管理人和基金销售机构规定的手续，在开放日的业务办理时间</w:t>
      </w:r>
      <w:r>
        <w:rPr/>
        <w:t>提出转换的申请。</w:t>
      </w:r>
    </w:p>
    <w:p>
      <w:pPr>
        <w:spacing w:after="0" w:line="364" w:lineRule="auto"/>
        <w:sectPr>
          <w:pgSz w:w="11910" w:h="16840"/>
          <w:pgMar w:header="0" w:footer="910" w:top="1400" w:bottom="1180" w:left="1400" w:right="1380"/>
        </w:sectPr>
      </w:pPr>
    </w:p>
    <w:p>
      <w:pPr>
        <w:pStyle w:val="BodyText"/>
        <w:spacing w:before="45"/>
      </w:pPr>
      <w:r>
        <w:rPr/>
        <w:t>提交基金转换申请时，帐户中必须有足够可用的转出基金份额余额。</w:t>
      </w:r>
    </w:p>
    <w:p>
      <w:pPr>
        <w:pStyle w:val="BodyText"/>
        <w:spacing w:before="139"/>
      </w:pPr>
      <w:r>
        <w:rPr/>
        <w:t>2、基金转换申请的确认</w:t>
      </w:r>
    </w:p>
    <w:p>
      <w:pPr>
        <w:pStyle w:val="BodyText"/>
        <w:spacing w:line="364" w:lineRule="auto" w:before="140"/>
        <w:ind w:left="400" w:right="4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pStyle w:val="Heading3"/>
        <w:spacing w:line="358" w:lineRule="exact"/>
      </w:pPr>
      <w:bookmarkStart w:name="_bookmark34" w:id="35"/>
      <w:bookmarkEnd w:id="35"/>
      <w:r>
        <w:rPr/>
      </w:r>
      <w:r>
        <w:rPr/>
        <w:t>（四）基金转换的数额限制</w:t>
      </w:r>
    </w:p>
    <w:p>
      <w:pPr>
        <w:pStyle w:val="BodyText"/>
        <w:spacing w:line="364" w:lineRule="auto" w:before="185"/>
        <w:ind w:left="400" w:right="418" w:firstLine="420"/>
        <w:jc w:val="both"/>
      </w:pPr>
      <w:r>
        <w:rPr>
          <w:spacing w:val="-5"/>
        </w:rPr>
        <w:t>基金份额持有人可将其全部或部分基金份额转换成另一只基金，本基金单笔转出申请不</w:t>
      </w:r>
      <w:r>
        <w:rPr>
          <w:spacing w:val="-14"/>
        </w:rPr>
        <w:t>得少于 </w:t>
      </w:r>
      <w:r>
        <w:rPr/>
        <w:t>1</w:t>
      </w:r>
      <w:r>
        <w:rPr>
          <w:spacing w:val="-51"/>
        </w:rPr>
        <w:t> 份</w:t>
      </w:r>
      <w:r>
        <w:rPr/>
        <w:t>（</w:t>
      </w:r>
      <w:r>
        <w:rPr>
          <w:spacing w:val="-3"/>
        </w:rPr>
        <w:t>如该账户在该销售机构托管的该基金余额不足 </w:t>
      </w:r>
      <w:r>
        <w:rPr/>
        <w:t>1</w:t>
      </w:r>
      <w:r>
        <w:rPr>
          <w:spacing w:val="-12"/>
        </w:rPr>
        <w:t> 份，则必须一次性赎回或转出</w:t>
      </w:r>
      <w:r>
        <w:rPr/>
        <w:t>该基金全部份额</w:t>
      </w:r>
      <w:r>
        <w:rPr>
          <w:spacing w:val="-105"/>
        </w:rPr>
        <w:t>）</w:t>
      </w:r>
      <w:r>
        <w:rPr>
          <w:spacing w:val="-2"/>
        </w:rPr>
        <w:t>；若某笔转换导致投资者在该销售机构托管的该基金余额不足 </w:t>
      </w:r>
      <w:r>
        <w:rPr/>
        <w:t>1</w:t>
      </w:r>
      <w:r>
        <w:rPr>
          <w:spacing w:val="-12"/>
        </w:rPr>
        <w:t> 份时，基金管理人有权将投资者在该销售机构托管的该基金剩余份额一次性全部赎回。</w:t>
      </w:r>
    </w:p>
    <w:p>
      <w:pPr>
        <w:pStyle w:val="BodyText"/>
        <w:spacing w:line="364" w:lineRule="auto"/>
        <w:ind w:left="400" w:right="418" w:firstLine="420"/>
        <w:jc w:val="both"/>
      </w:pPr>
      <w:r>
        <w:rPr>
          <w:spacing w:val="-4"/>
        </w:rPr>
        <w:t>基金管理人可根据市场情况制定或调整上述基金转换的程序及有关限制，但应最迟在调</w:t>
      </w:r>
      <w:r>
        <w:rPr>
          <w:spacing w:val="-11"/>
        </w:rPr>
        <w:t>整生效前 </w:t>
      </w:r>
      <w:r>
        <w:rPr/>
        <w:t>2</w:t>
      </w:r>
      <w:r>
        <w:rPr>
          <w:spacing w:val="-8"/>
        </w:rPr>
        <w:t> 日在指定媒介公告。</w:t>
      </w:r>
    </w:p>
    <w:p>
      <w:pPr>
        <w:pStyle w:val="Heading3"/>
      </w:pPr>
      <w:bookmarkStart w:name="_bookmark35" w:id="36"/>
      <w:bookmarkEnd w:id="36"/>
      <w:r>
        <w:rPr/>
      </w:r>
      <w:r>
        <w:rPr/>
        <w:t>（五）基金转换费率</w:t>
      </w:r>
    </w:p>
    <w:p>
      <w:pPr>
        <w:pStyle w:val="BodyText"/>
        <w:spacing w:before="183"/>
      </w:pPr>
      <w:r>
        <w:rPr/>
        <w:t>基金转换费率详见相关公告。</w:t>
      </w:r>
    </w:p>
    <w:p>
      <w:pPr>
        <w:pStyle w:val="BodyText"/>
        <w:spacing w:line="364" w:lineRule="auto" w:before="139"/>
        <w:ind w:left="400" w:right="418" w:firstLine="420"/>
        <w:jc w:val="both"/>
      </w:pPr>
      <w:r>
        <w:rPr/>
        <w:t>基金管理人可以根据市场情况在不违背有关法律、法规和基金合同的规定之前提下,调整收费方式和费率水平,但最迟应于新收费办法开始实施日前 2 日在指定媒介上公告。</w:t>
      </w:r>
    </w:p>
    <w:p>
      <w:pPr>
        <w:pStyle w:val="BodyText"/>
        <w:spacing w:line="364" w:lineRule="auto"/>
        <w:ind w:left="400" w:right="4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3"/>
        <w:spacing w:line="358" w:lineRule="exact"/>
      </w:pPr>
      <w:bookmarkStart w:name="_bookmark36" w:id="37"/>
      <w:bookmarkEnd w:id="37"/>
      <w:r>
        <w:rPr/>
      </w:r>
      <w:r>
        <w:rPr/>
        <w:t>（六）基金转换份额的计算方式</w:t>
      </w:r>
    </w:p>
    <w:p>
      <w:pPr>
        <w:pStyle w:val="BodyText"/>
        <w:spacing w:before="184"/>
      </w:pPr>
      <w:r>
        <w:rPr/>
        <w:t>计算公式：</w:t>
      </w:r>
    </w:p>
    <w:p>
      <w:pPr>
        <w:pStyle w:val="BodyText"/>
        <w:spacing w:line="364" w:lineRule="auto" w:before="140"/>
        <w:ind w:right="5140"/>
      </w:pPr>
      <w:r>
        <w:rPr/>
        <w:t>A＝［B×C×(1-D)/（1+G）+F］/E H＝B×C×D</w:t>
      </w:r>
    </w:p>
    <w:p>
      <w:pPr>
        <w:pStyle w:val="BodyText"/>
        <w:spacing w:line="268" w:lineRule="exact"/>
      </w:pPr>
      <w:r>
        <w:rPr/>
        <w:t>J＝[B×C×(1-D)/(1+G)]×G</w:t>
      </w:r>
    </w:p>
    <w:p>
      <w:pPr>
        <w:pStyle w:val="BodyText"/>
        <w:spacing w:line="364" w:lineRule="auto" w:before="139"/>
        <w:ind w:left="400" w:right="4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6"/>
        </w:rPr>
        <w:t>仅</w:t>
      </w: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场基金、易方达天天增利货币市场基金、易方达龙宝货币市场基金、易方达增金宝货币市场基金、易方达现金增利货币市场基金、易方达天天发货币市场基金、易方达易理财货币市场</w:t>
      </w:r>
      <w:r>
        <w:rPr/>
        <w:t>基金</w:t>
      </w:r>
      <w:r>
        <w:rPr>
          <w:spacing w:val="-48"/>
        </w:rPr>
        <w:t>）</w:t>
      </w:r>
      <w:r>
        <w:rPr>
          <w:spacing w:val="-3"/>
        </w:rPr>
        <w:t>或者短期理财基金转出时对应的累计未付收益</w:t>
      </w:r>
      <w:r>
        <w:rPr/>
        <w:t>（</w:t>
      </w:r>
      <w:r>
        <w:rPr>
          <w:spacing w:val="-1"/>
        </w:rPr>
        <w:t>转出基金为易方达月月利理财债券型</w:t>
      </w:r>
      <w:r>
        <w:rPr/>
        <w:t>基金和易方达掌柜季季盈理财债券型基金）；H</w:t>
      </w:r>
      <w:r>
        <w:rPr>
          <w:spacing w:val="-8"/>
        </w:rPr>
        <w:t> 为转出基金赎回费</w:t>
      </w:r>
      <w:r>
        <w:rPr/>
        <w:t>；J</w:t>
      </w:r>
      <w:r>
        <w:rPr>
          <w:spacing w:val="-8"/>
        </w:rPr>
        <w:t> 为申购补差费。</w:t>
      </w:r>
    </w:p>
    <w:p>
      <w:pPr>
        <w:spacing w:after="0" w:line="364" w:lineRule="auto"/>
        <w:jc w:val="both"/>
        <w:sectPr>
          <w:pgSz w:w="11910" w:h="16840"/>
          <w:pgMar w:header="0" w:footer="910" w:top="1380" w:bottom="1180" w:left="1400" w:right="1380"/>
        </w:sectPr>
      </w:pPr>
    </w:p>
    <w:p>
      <w:pPr>
        <w:pStyle w:val="BodyText"/>
        <w:spacing w:line="364" w:lineRule="auto" w:before="45"/>
        <w:ind w:left="400" w:right="4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BodyText"/>
        <w:spacing w:before="139"/>
      </w:pPr>
      <w:r>
        <w:rPr/>
        <w:t>1、每笔基金转换视为一笔赎回和一笔申购。</w:t>
      </w:r>
    </w:p>
    <w:p>
      <w:pPr>
        <w:pStyle w:val="BodyText"/>
        <w:spacing w:line="364" w:lineRule="auto" w:before="140"/>
        <w:ind w:left="400" w:right="418" w:firstLine="420"/>
        <w:jc w:val="both"/>
      </w:pPr>
      <w:r>
        <w:rPr/>
        <w:t>2、转入基金时，从申购费用低的基金向申购费用高的基金转换时，每次收取申购补差费用；从申购费用高的基金向申购费用低的基金转换时,不收取申购补差费用（注：对通过</w:t>
      </w:r>
      <w:r>
        <w:rPr>
          <w:spacing w:val="-5"/>
        </w:rPr>
        <w:t>直销中心申购实施差别申购费率的特定投资群体基金份额的申购费，以除通过直销中心申购</w:t>
      </w:r>
      <w:r>
        <w:rPr/>
        <w:t>的特定投资群体之外的其他投资者申购费为比较标准）</w:t>
      </w:r>
      <w:r>
        <w:rPr>
          <w:spacing w:val="-12"/>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400" w:right="208" w:firstLine="420"/>
      </w:pPr>
      <w:r>
        <w:rPr/>
        <w:t>3、转出基金时，如涉及的转出基金有赎回费用，收取该基金的赎回费用。收取的赎回 费按照各基金的基金合同、更新的招募说明书及最新的相关公告约定的比例归入基金财产， 其余部分用于支付注册登记费等相关手续费。</w:t>
      </w:r>
    </w:p>
    <w:p>
      <w:pPr>
        <w:pStyle w:val="BodyText"/>
        <w:spacing w:line="364" w:lineRule="auto"/>
        <w:ind w:left="400" w:right="418" w:firstLine="420"/>
      </w:pPr>
      <w:r>
        <w:rPr/>
        <w:t>4、转换费用以人民币元为单位，计算结果按照四舍五入方法，保留小数点后两位。投资者可以发起多次基金转换业务，基金转换费用按每笔申请单独计算。</w:t>
      </w:r>
    </w:p>
    <w:p>
      <w:pPr>
        <w:pStyle w:val="BodyText"/>
        <w:spacing w:line="364" w:lineRule="auto"/>
        <w:ind w:left="400" w:right="418" w:firstLine="420"/>
        <w:jc w:val="both"/>
      </w:pPr>
      <w:r>
        <w:rPr>
          <w:spacing w:val="-5"/>
        </w:rPr>
        <w:t>举例说明：假定某投资者在 </w:t>
      </w:r>
      <w:r>
        <w:rPr/>
        <w:t>T</w:t>
      </w:r>
      <w:r>
        <w:rPr>
          <w:spacing w:val="-22"/>
        </w:rPr>
        <w:t> 日转出 </w:t>
      </w:r>
      <w:r>
        <w:rPr/>
        <w:t>10,000</w:t>
      </w:r>
      <w:r>
        <w:rPr>
          <w:spacing w:val="-8"/>
        </w:rPr>
        <w:t> 份易方达科讯混合型基金至易方达策略成</w:t>
      </w:r>
      <w:r>
        <w:rPr>
          <w:spacing w:val="-11"/>
        </w:rPr>
        <w:t>长二号混合型基金份额，转出基金 </w:t>
      </w:r>
      <w:r>
        <w:rPr/>
        <w:t>T</w:t>
      </w:r>
      <w:r>
        <w:rPr>
          <w:spacing w:val="-13"/>
        </w:rPr>
        <w:t> 日的基金份额净值为 </w:t>
      </w:r>
      <w:r>
        <w:rPr/>
        <w:t>1.1000</w:t>
      </w:r>
      <w:r>
        <w:rPr>
          <w:spacing w:val="-8"/>
        </w:rPr>
        <w:t> 元，转入易方达策略成长</w:t>
      </w:r>
      <w:r>
        <w:rPr>
          <w:spacing w:val="-13"/>
        </w:rPr>
        <w:t>二号混合型基金 </w:t>
      </w:r>
      <w:r>
        <w:rPr/>
        <w:t>T</w:t>
      </w:r>
      <w:r>
        <w:rPr>
          <w:spacing w:val="-11"/>
        </w:rPr>
        <w:t> 日的基金份额净值为 </w:t>
      </w:r>
      <w:r>
        <w:rPr/>
        <w:t>1.020</w:t>
      </w:r>
      <w:r>
        <w:rPr>
          <w:spacing w:val="-10"/>
        </w:rPr>
        <w:t> 元，假设该转出基金的赎回费率为 </w:t>
      </w:r>
      <w:r>
        <w:rPr/>
        <w:t>0.5%，申</w:t>
      </w:r>
      <w:r>
        <w:rPr>
          <w:spacing w:val="-5"/>
        </w:rPr>
        <w:t>购补差费率为 </w:t>
      </w:r>
      <w:r>
        <w:rPr/>
        <w:t>0.5%，则可获得转入基金的易方达策略成长二号混合型基金基金份额计算如下：</w:t>
      </w:r>
    </w:p>
    <w:p>
      <w:pPr>
        <w:pStyle w:val="BodyText"/>
        <w:spacing w:line="364" w:lineRule="auto"/>
        <w:ind w:right="628"/>
      </w:pPr>
      <w:r>
        <w:rPr/>
        <w:t>转换金额＝转出基金申请份额×转出基金份额净值=10,000×1.1000＝11,000.00 元转出基金赎回费＝转换金额×转出基金赎回费率=11,000.00×0.5%=55.00 元</w:t>
      </w:r>
    </w:p>
    <w:p>
      <w:pPr>
        <w:pStyle w:val="BodyText"/>
        <w:spacing w:line="268" w:lineRule="exact"/>
      </w:pPr>
      <w:r>
        <w:rPr/>
        <w:t>申购补差费=（转换金额—转出基金赎回费）×申购补差费率÷（１＋申购补差费率）=</w:t>
      </w:r>
    </w:p>
    <w:p>
      <w:pPr>
        <w:pStyle w:val="BodyText"/>
        <w:spacing w:before="132"/>
        <w:ind w:left="400"/>
      </w:pPr>
      <w:r>
        <w:rPr/>
        <w:t>（11,000.00-55.00）×0.5%÷(1+0.5%)=54.45 元</w:t>
      </w:r>
    </w:p>
    <w:p>
      <w:pPr>
        <w:pStyle w:val="BodyText"/>
        <w:spacing w:line="364" w:lineRule="auto" w:before="139"/>
        <w:ind w:right="2413"/>
      </w:pPr>
      <w:r>
        <w:rPr/>
        <w:t>转换费＝转出基金赎回费+申购补差费=55.00+54.45＝109.45 元转入金额=转换金额—转换费=11,000.00-109.45=10,890.55 元</w:t>
      </w:r>
    </w:p>
    <w:p>
      <w:pPr>
        <w:pStyle w:val="BodyText"/>
        <w:spacing w:line="268" w:lineRule="exact"/>
      </w:pPr>
      <w:r>
        <w:rPr/>
        <w:t>转入份额=转入金额÷转入基金份额净值=10,890.55÷1.020=10,677.01 份</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
        <w:gridCol w:w="789"/>
        <w:gridCol w:w="1263"/>
        <w:gridCol w:w="1104"/>
        <w:gridCol w:w="948"/>
        <w:gridCol w:w="1263"/>
        <w:gridCol w:w="1040"/>
        <w:gridCol w:w="1168"/>
      </w:tblGrid>
      <w:tr>
        <w:trPr>
          <w:trHeight w:val="412" w:hRule="atLeast"/>
        </w:trPr>
        <w:tc>
          <w:tcPr>
            <w:tcW w:w="947" w:type="dxa"/>
            <w:vMerge w:val="restart"/>
          </w:tcPr>
          <w:p>
            <w:pPr>
              <w:pStyle w:val="TableParagraph"/>
              <w:spacing w:before="3"/>
              <w:ind w:left="65"/>
              <w:rPr>
                <w:sz w:val="21"/>
              </w:rPr>
            </w:pPr>
            <w:r>
              <w:rPr>
                <w:sz w:val="21"/>
              </w:rPr>
              <w:t>转出份额</w:t>
            </w:r>
          </w:p>
        </w:tc>
        <w:tc>
          <w:tcPr>
            <w:tcW w:w="789" w:type="dxa"/>
            <w:vMerge w:val="restart"/>
          </w:tcPr>
          <w:p>
            <w:pPr>
              <w:pStyle w:val="TableParagraph"/>
              <w:spacing w:line="364" w:lineRule="auto" w:before="3"/>
              <w:ind w:left="91" w:right="56"/>
              <w:rPr>
                <w:sz w:val="21"/>
              </w:rPr>
            </w:pPr>
            <w:r>
              <w:rPr>
                <w:spacing w:val="-7"/>
                <w:sz w:val="21"/>
              </w:rPr>
              <w:t>转出基金份额</w:t>
            </w:r>
          </w:p>
          <w:p>
            <w:pPr>
              <w:pStyle w:val="TableParagraph"/>
              <w:spacing w:line="268" w:lineRule="exact"/>
              <w:ind w:left="196"/>
              <w:rPr>
                <w:sz w:val="21"/>
              </w:rPr>
            </w:pPr>
            <w:r>
              <w:rPr>
                <w:sz w:val="21"/>
              </w:rPr>
              <w:t>净值</w:t>
            </w:r>
          </w:p>
        </w:tc>
        <w:tc>
          <w:tcPr>
            <w:tcW w:w="1263" w:type="dxa"/>
            <w:vMerge w:val="restart"/>
          </w:tcPr>
          <w:p>
            <w:pPr>
              <w:pStyle w:val="TableParagraph"/>
              <w:spacing w:before="3"/>
              <w:ind w:left="224"/>
              <w:rPr>
                <w:sz w:val="21"/>
              </w:rPr>
            </w:pPr>
            <w:r>
              <w:rPr>
                <w:sz w:val="21"/>
              </w:rPr>
              <w:t>转换金额</w:t>
            </w:r>
          </w:p>
        </w:tc>
        <w:tc>
          <w:tcPr>
            <w:tcW w:w="2052" w:type="dxa"/>
            <w:gridSpan w:val="2"/>
          </w:tcPr>
          <w:p>
            <w:pPr>
              <w:pStyle w:val="TableParagraph"/>
              <w:spacing w:before="3"/>
              <w:ind w:left="703" w:right="669"/>
              <w:jc w:val="center"/>
              <w:rPr>
                <w:sz w:val="21"/>
              </w:rPr>
            </w:pPr>
            <w:r>
              <w:rPr>
                <w:sz w:val="21"/>
              </w:rPr>
              <w:t>转换费</w:t>
            </w:r>
          </w:p>
        </w:tc>
        <w:tc>
          <w:tcPr>
            <w:tcW w:w="1263" w:type="dxa"/>
            <w:vMerge w:val="restart"/>
          </w:tcPr>
          <w:p>
            <w:pPr>
              <w:pStyle w:val="TableParagraph"/>
              <w:spacing w:before="3"/>
              <w:ind w:left="224"/>
              <w:rPr>
                <w:sz w:val="21"/>
              </w:rPr>
            </w:pPr>
            <w:r>
              <w:rPr>
                <w:sz w:val="21"/>
              </w:rPr>
              <w:t>转入金额</w:t>
            </w:r>
          </w:p>
        </w:tc>
        <w:tc>
          <w:tcPr>
            <w:tcW w:w="1040" w:type="dxa"/>
            <w:vMerge w:val="restart"/>
          </w:tcPr>
          <w:p>
            <w:pPr>
              <w:pStyle w:val="TableParagraph"/>
              <w:spacing w:line="364" w:lineRule="auto" w:before="3"/>
              <w:ind w:left="112" w:right="75"/>
              <w:rPr>
                <w:sz w:val="21"/>
              </w:rPr>
            </w:pPr>
            <w:r>
              <w:rPr>
                <w:sz w:val="21"/>
              </w:rPr>
              <w:t>转入基金份额净值</w:t>
            </w:r>
          </w:p>
        </w:tc>
        <w:tc>
          <w:tcPr>
            <w:tcW w:w="1168" w:type="dxa"/>
            <w:vMerge w:val="restart"/>
          </w:tcPr>
          <w:p>
            <w:pPr>
              <w:pStyle w:val="TableParagraph"/>
              <w:spacing w:before="3"/>
              <w:ind w:left="176"/>
              <w:rPr>
                <w:sz w:val="21"/>
              </w:rPr>
            </w:pPr>
            <w:r>
              <w:rPr>
                <w:sz w:val="21"/>
              </w:rPr>
              <w:t>转入份额</w:t>
            </w:r>
          </w:p>
        </w:tc>
      </w:tr>
      <w:tr>
        <w:trPr>
          <w:trHeight w:val="817" w:hRule="atLeast"/>
        </w:trPr>
        <w:tc>
          <w:tcPr>
            <w:tcW w:w="947" w:type="dxa"/>
            <w:vMerge/>
            <w:tcBorders>
              <w:top w:val="nil"/>
            </w:tcBorders>
          </w:tcPr>
          <w:p>
            <w:pPr>
              <w:rPr>
                <w:sz w:val="2"/>
                <w:szCs w:val="2"/>
              </w:rPr>
            </w:pPr>
          </w:p>
        </w:tc>
        <w:tc>
          <w:tcPr>
            <w:tcW w:w="789" w:type="dxa"/>
            <w:vMerge/>
            <w:tcBorders>
              <w:top w:val="nil"/>
            </w:tcBorders>
          </w:tcPr>
          <w:p>
            <w:pPr>
              <w:rPr>
                <w:sz w:val="2"/>
                <w:szCs w:val="2"/>
              </w:rPr>
            </w:pPr>
          </w:p>
        </w:tc>
        <w:tc>
          <w:tcPr>
            <w:tcW w:w="1263" w:type="dxa"/>
            <w:vMerge/>
            <w:tcBorders>
              <w:top w:val="nil"/>
            </w:tcBorders>
          </w:tcPr>
          <w:p>
            <w:pPr>
              <w:rPr>
                <w:sz w:val="2"/>
                <w:szCs w:val="2"/>
              </w:rPr>
            </w:pPr>
          </w:p>
        </w:tc>
        <w:tc>
          <w:tcPr>
            <w:tcW w:w="1104" w:type="dxa"/>
          </w:tcPr>
          <w:p>
            <w:pPr>
              <w:pStyle w:val="TableParagraph"/>
              <w:spacing w:before="3"/>
              <w:ind w:left="34"/>
              <w:jc w:val="center"/>
              <w:rPr>
                <w:sz w:val="21"/>
              </w:rPr>
            </w:pPr>
            <w:r>
              <w:rPr>
                <w:sz w:val="21"/>
              </w:rPr>
              <w:t>转出基金赎</w:t>
            </w:r>
          </w:p>
          <w:p>
            <w:pPr>
              <w:pStyle w:val="TableParagraph"/>
              <w:spacing w:before="139"/>
              <w:ind w:left="34"/>
              <w:jc w:val="center"/>
              <w:rPr>
                <w:sz w:val="21"/>
              </w:rPr>
            </w:pPr>
            <w:r>
              <w:rPr>
                <w:sz w:val="21"/>
              </w:rPr>
              <w:t>回费</w:t>
            </w:r>
          </w:p>
        </w:tc>
        <w:tc>
          <w:tcPr>
            <w:tcW w:w="948" w:type="dxa"/>
          </w:tcPr>
          <w:p>
            <w:pPr>
              <w:pStyle w:val="TableParagraph"/>
              <w:spacing w:before="3"/>
              <w:ind w:left="46" w:right="12"/>
              <w:jc w:val="center"/>
              <w:rPr>
                <w:sz w:val="21"/>
              </w:rPr>
            </w:pPr>
            <w:r>
              <w:rPr>
                <w:sz w:val="21"/>
              </w:rPr>
              <w:t>申购补差</w:t>
            </w:r>
          </w:p>
          <w:p>
            <w:pPr>
              <w:pStyle w:val="TableParagraph"/>
              <w:spacing w:before="139"/>
              <w:ind w:left="34"/>
              <w:jc w:val="center"/>
              <w:rPr>
                <w:sz w:val="21"/>
              </w:rPr>
            </w:pPr>
            <w:r>
              <w:rPr>
                <w:sz w:val="21"/>
              </w:rPr>
              <w:t>费</w:t>
            </w:r>
          </w:p>
        </w:tc>
        <w:tc>
          <w:tcPr>
            <w:tcW w:w="1263" w:type="dxa"/>
            <w:vMerge/>
            <w:tcBorders>
              <w:top w:val="nil"/>
            </w:tcBorders>
          </w:tcPr>
          <w:p>
            <w:pPr>
              <w:rPr>
                <w:sz w:val="2"/>
                <w:szCs w:val="2"/>
              </w:rPr>
            </w:pPr>
          </w:p>
        </w:tc>
        <w:tc>
          <w:tcPr>
            <w:tcW w:w="1040" w:type="dxa"/>
            <w:vMerge/>
            <w:tcBorders>
              <w:top w:val="nil"/>
            </w:tcBorders>
          </w:tcPr>
          <w:p>
            <w:pPr>
              <w:rPr>
                <w:sz w:val="2"/>
                <w:szCs w:val="2"/>
              </w:rPr>
            </w:pPr>
          </w:p>
        </w:tc>
        <w:tc>
          <w:tcPr>
            <w:tcW w:w="1168" w:type="dxa"/>
            <w:vMerge/>
            <w:tcBorders>
              <w:top w:val="nil"/>
            </w:tcBorders>
          </w:tcPr>
          <w:p>
            <w:pPr>
              <w:rPr>
                <w:sz w:val="2"/>
                <w:szCs w:val="2"/>
              </w:rPr>
            </w:pPr>
          </w:p>
        </w:tc>
      </w:tr>
      <w:tr>
        <w:trPr>
          <w:trHeight w:val="408" w:hRule="atLeast"/>
        </w:trPr>
        <w:tc>
          <w:tcPr>
            <w:tcW w:w="947" w:type="dxa"/>
          </w:tcPr>
          <w:p>
            <w:pPr>
              <w:pStyle w:val="TableParagraph"/>
              <w:spacing w:before="3"/>
              <w:ind w:left="39"/>
              <w:rPr>
                <w:sz w:val="21"/>
              </w:rPr>
            </w:pPr>
            <w:r>
              <w:rPr>
                <w:sz w:val="21"/>
              </w:rPr>
              <w:t>10,000</w:t>
            </w:r>
            <w:r>
              <w:rPr>
                <w:spacing w:val="-34"/>
                <w:sz w:val="21"/>
              </w:rPr>
              <w:t> 份</w:t>
            </w:r>
          </w:p>
        </w:tc>
        <w:tc>
          <w:tcPr>
            <w:tcW w:w="789" w:type="dxa"/>
          </w:tcPr>
          <w:p>
            <w:pPr>
              <w:pStyle w:val="TableParagraph"/>
              <w:spacing w:before="3"/>
              <w:ind w:left="65"/>
              <w:rPr>
                <w:sz w:val="21"/>
              </w:rPr>
            </w:pPr>
            <w:r>
              <w:rPr>
                <w:sz w:val="21"/>
              </w:rPr>
              <w:t>1.1000</w:t>
            </w:r>
          </w:p>
        </w:tc>
        <w:tc>
          <w:tcPr>
            <w:tcW w:w="1263" w:type="dxa"/>
          </w:tcPr>
          <w:p>
            <w:pPr>
              <w:pStyle w:val="TableParagraph"/>
              <w:spacing w:before="3"/>
              <w:ind w:left="40"/>
              <w:rPr>
                <w:sz w:val="21"/>
              </w:rPr>
            </w:pPr>
            <w:r>
              <w:rPr>
                <w:sz w:val="21"/>
              </w:rPr>
              <w:t>11,000.00</w:t>
            </w:r>
            <w:r>
              <w:rPr>
                <w:spacing w:val="-34"/>
                <w:sz w:val="21"/>
              </w:rPr>
              <w:t> 元</w:t>
            </w:r>
          </w:p>
        </w:tc>
        <w:tc>
          <w:tcPr>
            <w:tcW w:w="1104" w:type="dxa"/>
          </w:tcPr>
          <w:p>
            <w:pPr>
              <w:pStyle w:val="TableParagraph"/>
              <w:spacing w:before="3"/>
              <w:ind w:left="170"/>
              <w:rPr>
                <w:sz w:val="21"/>
              </w:rPr>
            </w:pPr>
            <w:r>
              <w:rPr>
                <w:sz w:val="21"/>
              </w:rPr>
              <w:t>55.00 元</w:t>
            </w:r>
          </w:p>
        </w:tc>
        <w:tc>
          <w:tcPr>
            <w:tcW w:w="948" w:type="dxa"/>
          </w:tcPr>
          <w:p>
            <w:pPr>
              <w:pStyle w:val="TableParagraph"/>
              <w:spacing w:before="3"/>
              <w:ind w:left="92"/>
              <w:rPr>
                <w:sz w:val="21"/>
              </w:rPr>
            </w:pPr>
            <w:r>
              <w:rPr>
                <w:sz w:val="21"/>
              </w:rPr>
              <w:t>54.45 元</w:t>
            </w:r>
          </w:p>
        </w:tc>
        <w:tc>
          <w:tcPr>
            <w:tcW w:w="1263" w:type="dxa"/>
          </w:tcPr>
          <w:p>
            <w:pPr>
              <w:pStyle w:val="TableParagraph"/>
              <w:spacing w:before="3"/>
              <w:ind w:left="40"/>
              <w:rPr>
                <w:sz w:val="21"/>
              </w:rPr>
            </w:pPr>
            <w:r>
              <w:rPr>
                <w:sz w:val="21"/>
              </w:rPr>
              <w:t>10,890.55</w:t>
            </w:r>
            <w:r>
              <w:rPr>
                <w:spacing w:val="-34"/>
                <w:sz w:val="21"/>
              </w:rPr>
              <w:t> 元</w:t>
            </w:r>
          </w:p>
        </w:tc>
        <w:tc>
          <w:tcPr>
            <w:tcW w:w="1040" w:type="dxa"/>
          </w:tcPr>
          <w:p>
            <w:pPr>
              <w:pStyle w:val="TableParagraph"/>
              <w:spacing w:before="3"/>
              <w:ind w:left="138"/>
              <w:rPr>
                <w:sz w:val="21"/>
              </w:rPr>
            </w:pPr>
            <w:r>
              <w:rPr>
                <w:sz w:val="21"/>
              </w:rPr>
              <w:t>1.020 元</w:t>
            </w:r>
          </w:p>
        </w:tc>
        <w:tc>
          <w:tcPr>
            <w:tcW w:w="1168" w:type="dxa"/>
          </w:tcPr>
          <w:p>
            <w:pPr>
              <w:pStyle w:val="TableParagraph"/>
              <w:spacing w:before="3"/>
              <w:ind w:left="97"/>
              <w:rPr>
                <w:sz w:val="21"/>
              </w:rPr>
            </w:pPr>
            <w:r>
              <w:rPr>
                <w:sz w:val="21"/>
              </w:rPr>
              <w:t>10,677.01</w:t>
            </w:r>
          </w:p>
        </w:tc>
      </w:tr>
    </w:tbl>
    <w:p>
      <w:pPr>
        <w:spacing w:after="0"/>
        <w:rPr>
          <w:sz w:val="21"/>
        </w:rPr>
        <w:sectPr>
          <w:pgSz w:w="11910" w:h="16840"/>
          <w:pgMar w:header="0" w:footer="910" w:top="1380" w:bottom="1180" w:left="1400" w:right="1380"/>
        </w:sect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
        <w:gridCol w:w="789"/>
        <w:gridCol w:w="1263"/>
        <w:gridCol w:w="1104"/>
        <w:gridCol w:w="948"/>
        <w:gridCol w:w="1263"/>
        <w:gridCol w:w="1040"/>
        <w:gridCol w:w="1168"/>
      </w:tblGrid>
      <w:tr>
        <w:trPr>
          <w:trHeight w:val="408" w:hRule="atLeast"/>
        </w:trPr>
        <w:tc>
          <w:tcPr>
            <w:tcW w:w="947" w:type="dxa"/>
          </w:tcPr>
          <w:p>
            <w:pPr>
              <w:pStyle w:val="TableParagraph"/>
              <w:rPr>
                <w:rFonts w:ascii="Times New Roman"/>
                <w:sz w:val="20"/>
              </w:rPr>
            </w:pPr>
          </w:p>
        </w:tc>
        <w:tc>
          <w:tcPr>
            <w:tcW w:w="789" w:type="dxa"/>
          </w:tcPr>
          <w:p>
            <w:pPr>
              <w:pStyle w:val="TableParagraph"/>
              <w:spacing w:before="3"/>
              <w:ind w:left="34"/>
              <w:jc w:val="center"/>
              <w:rPr>
                <w:sz w:val="21"/>
              </w:rPr>
            </w:pPr>
            <w:r>
              <w:rPr>
                <w:sz w:val="21"/>
              </w:rPr>
              <w:t>元</w:t>
            </w:r>
          </w:p>
        </w:tc>
        <w:tc>
          <w:tcPr>
            <w:tcW w:w="1263" w:type="dxa"/>
          </w:tcPr>
          <w:p>
            <w:pPr>
              <w:pStyle w:val="TableParagraph"/>
              <w:rPr>
                <w:rFonts w:ascii="Times New Roman"/>
                <w:sz w:val="20"/>
              </w:rPr>
            </w:pPr>
          </w:p>
        </w:tc>
        <w:tc>
          <w:tcPr>
            <w:tcW w:w="1104" w:type="dxa"/>
          </w:tcPr>
          <w:p>
            <w:pPr>
              <w:pStyle w:val="TableParagraph"/>
              <w:rPr>
                <w:rFonts w:ascii="Times New Roman"/>
                <w:sz w:val="20"/>
              </w:rPr>
            </w:pPr>
          </w:p>
        </w:tc>
        <w:tc>
          <w:tcPr>
            <w:tcW w:w="948" w:type="dxa"/>
          </w:tcPr>
          <w:p>
            <w:pPr>
              <w:pStyle w:val="TableParagraph"/>
              <w:rPr>
                <w:rFonts w:ascii="Times New Roman"/>
                <w:sz w:val="20"/>
              </w:rPr>
            </w:pPr>
          </w:p>
        </w:tc>
        <w:tc>
          <w:tcPr>
            <w:tcW w:w="1263" w:type="dxa"/>
          </w:tcPr>
          <w:p>
            <w:pPr>
              <w:pStyle w:val="TableParagraph"/>
              <w:rPr>
                <w:rFonts w:ascii="Times New Roman"/>
                <w:sz w:val="20"/>
              </w:rPr>
            </w:pPr>
          </w:p>
        </w:tc>
        <w:tc>
          <w:tcPr>
            <w:tcW w:w="1040" w:type="dxa"/>
          </w:tcPr>
          <w:p>
            <w:pPr>
              <w:pStyle w:val="TableParagraph"/>
              <w:rPr>
                <w:rFonts w:ascii="Times New Roman"/>
                <w:sz w:val="20"/>
              </w:rPr>
            </w:pPr>
          </w:p>
        </w:tc>
        <w:tc>
          <w:tcPr>
            <w:tcW w:w="1168" w:type="dxa"/>
          </w:tcPr>
          <w:p>
            <w:pPr>
              <w:pStyle w:val="TableParagraph"/>
              <w:spacing w:before="3"/>
              <w:ind w:left="35"/>
              <w:jc w:val="center"/>
              <w:rPr>
                <w:sz w:val="21"/>
              </w:rPr>
            </w:pPr>
            <w:r>
              <w:rPr>
                <w:sz w:val="21"/>
              </w:rPr>
              <w:t>份</w:t>
            </w:r>
          </w:p>
        </w:tc>
      </w:tr>
    </w:tbl>
    <w:p>
      <w:pPr>
        <w:pStyle w:val="BodyText"/>
        <w:spacing w:line="364" w:lineRule="auto" w:before="3"/>
        <w:ind w:left="400" w:right="208" w:firstLine="420"/>
      </w:pPr>
      <w:r>
        <w:rPr/>
        <w:t>注：本基金开通与易方达旗下其它开放式基金</w:t>
      </w:r>
      <w:r>
        <w:rPr>
          <w:spacing w:val="3"/>
        </w:rPr>
        <w:t>（</w:t>
      </w:r>
      <w:r>
        <w:rPr/>
        <w:t>由同一注册登记机构办理注册登记的、且已公告开通基金转换业务</w:t>
      </w:r>
      <w:r>
        <w:rPr>
          <w:spacing w:val="-48"/>
        </w:rPr>
        <w:t>）</w:t>
      </w:r>
      <w:r>
        <w:rPr>
          <w:spacing w:val="-6"/>
        </w:rPr>
        <w:t>之间的转换业务，各基金转换业务的开放状态及交易限制详见 </w:t>
      </w:r>
      <w:r>
        <w:rPr>
          <w:spacing w:val="-12"/>
        </w:rPr>
        <w:t>各基金相关公告。投资者需到同时销售拟转出和转入两只基金的同一销售机构办理基金的转 换业务，具体的业务流程、办理时间和办理方式以销售机构的规定为准。转入本基金时转入 </w:t>
      </w:r>
      <w:r>
        <w:rPr>
          <w:spacing w:val="-16"/>
        </w:rPr>
        <w:t>份额的计算结果保留到小数点后两位，小数点后两位以后的部分四舍五入，由此误差产生的 损失由基金财产承担，产生的收益归基金财产所有。</w:t>
      </w:r>
    </w:p>
    <w:p>
      <w:pPr>
        <w:pStyle w:val="Heading3"/>
        <w:spacing w:line="357" w:lineRule="exact"/>
      </w:pPr>
      <w:bookmarkStart w:name="_bookmark37" w:id="38"/>
      <w:bookmarkEnd w:id="38"/>
      <w:r>
        <w:rPr/>
      </w:r>
      <w:r>
        <w:rPr/>
        <w:t>（七）基金转换的注册登记</w:t>
      </w:r>
    </w:p>
    <w:p>
      <w:pPr>
        <w:pStyle w:val="BodyText"/>
        <w:spacing w:line="364" w:lineRule="auto" w:before="185"/>
        <w:ind w:left="400" w:right="4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364" w:lineRule="auto"/>
        <w:ind w:left="400" w:right="418" w:firstLine="420"/>
        <w:jc w:val="both"/>
      </w:pPr>
      <w:r>
        <w:rPr>
          <w:spacing w:val="-6"/>
        </w:rPr>
        <w:t>基金管理人可在法律法规允许的范围内，对上述注册登记办理时间进行调整，并最迟于</w:t>
      </w:r>
      <w:r>
        <w:rPr>
          <w:spacing w:val="-9"/>
        </w:rPr>
        <w:t>开始实施前 </w:t>
      </w:r>
      <w:r>
        <w:rPr/>
        <w:t>2</w:t>
      </w:r>
      <w:r>
        <w:rPr>
          <w:spacing w:val="-9"/>
        </w:rPr>
        <w:t> 日予以公告。</w:t>
      </w:r>
    </w:p>
    <w:p>
      <w:pPr>
        <w:pStyle w:val="Heading3"/>
      </w:pPr>
      <w:bookmarkStart w:name="_bookmark38" w:id="39"/>
      <w:bookmarkEnd w:id="39"/>
      <w:r>
        <w:rPr/>
      </w:r>
      <w:r>
        <w:rPr/>
        <w:t>（八）基金转换与巨额赎回</w:t>
      </w:r>
    </w:p>
    <w:p>
      <w:pPr>
        <w:pStyle w:val="BodyText"/>
        <w:spacing w:line="364" w:lineRule="auto" w:before="183"/>
        <w:ind w:left="400" w:right="417" w:firstLine="420"/>
        <w:jc w:val="both"/>
      </w:pPr>
      <w:r>
        <w:rPr>
          <w:spacing w:val="-9"/>
        </w:rPr>
        <w:t>发生巨额赎回时，基金转出与基金赎回具有相同的优先级，基金管理人可根据基金资产</w:t>
      </w:r>
      <w:r>
        <w:rPr>
          <w:spacing w:val="-10"/>
        </w:rPr>
        <w:t>组合情况，决定全额转出或部分转出，并且对于基金转出和基金赎回，将采取相同的比例确</w:t>
      </w:r>
      <w:r>
        <w:rPr/>
        <w:t>认（另有公告的除外</w:t>
      </w:r>
      <w:r>
        <w:rPr>
          <w:spacing w:val="-105"/>
        </w:rPr>
        <w:t>）</w:t>
      </w:r>
      <w:r>
        <w:rPr/>
        <w:t>；在转出申请得到部分确认的情况下，未确认的转出申请将不予以顺延。</w:t>
      </w:r>
    </w:p>
    <w:p>
      <w:pPr>
        <w:pStyle w:val="Heading3"/>
        <w:spacing w:line="358" w:lineRule="exact"/>
      </w:pPr>
      <w:bookmarkStart w:name="_bookmark39" w:id="40"/>
      <w:bookmarkEnd w:id="40"/>
      <w:r>
        <w:rPr/>
      </w:r>
      <w:r>
        <w:rPr/>
        <w:t>（九）暂停基金转换的情形</w:t>
      </w:r>
    </w:p>
    <w:p>
      <w:pPr>
        <w:pStyle w:val="BodyText"/>
        <w:spacing w:before="185"/>
      </w:pPr>
      <w:r>
        <w:rPr/>
        <w:t>出现下列情况之一时,基金管理人可以暂停接受基金份额持有人的基金转换申请：</w:t>
      </w:r>
    </w:p>
    <w:p>
      <w:pPr>
        <w:pStyle w:val="BodyText"/>
        <w:spacing w:before="140"/>
      </w:pPr>
      <w:r>
        <w:rPr/>
        <w:t>1、不可抗力的原因导致基金无法正常运作；</w:t>
      </w:r>
    </w:p>
    <w:p>
      <w:pPr>
        <w:pStyle w:val="BodyText"/>
        <w:spacing w:line="364" w:lineRule="auto" w:before="139"/>
        <w:ind w:left="400" w:right="418" w:firstLine="420"/>
      </w:pPr>
      <w:r>
        <w:rPr/>
        <w:t>2、证券交易场所在交易时间非正常停市或证券交易场所依法决定临时停市，导致当日基金资产净值无法计算；</w:t>
      </w:r>
    </w:p>
    <w:p>
      <w:pPr>
        <w:pStyle w:val="BodyText"/>
        <w:spacing w:line="268" w:lineRule="exact"/>
      </w:pPr>
      <w:r>
        <w:rPr/>
        <w:t>3、因市场剧烈波动或其它原因而出现连续巨额赎回，导致本基金的现金支付出现困难；</w:t>
      </w:r>
    </w:p>
    <w:p>
      <w:pPr>
        <w:pStyle w:val="BodyText"/>
        <w:spacing w:before="140"/>
      </w:pPr>
      <w:r>
        <w:rPr/>
        <w:t>4、基金管理人认为会有损于现有基金份额持有人利益的某笔转入或某笔转出；</w:t>
      </w:r>
    </w:p>
    <w:p>
      <w:pPr>
        <w:pStyle w:val="BodyText"/>
        <w:spacing w:before="139"/>
      </w:pPr>
      <w:r>
        <w:rPr/>
        <w:t>5、发生基金合同规定的暂停基金资产估值情况；</w:t>
      </w:r>
    </w:p>
    <w:p>
      <w:pPr>
        <w:pStyle w:val="BodyText"/>
        <w:spacing w:line="364" w:lineRule="auto" w:before="139"/>
        <w:ind w:left="400" w:right="418" w:firstLine="420"/>
      </w:pPr>
      <w:r>
        <w:rPr/>
        <w:t>6、基金资产规模过大，使基金管理人无法找到合适的投资品种，或可能对基金业绩产生负面影响，从而损害现有基金份额持有人的利益；</w:t>
      </w:r>
    </w:p>
    <w:p>
      <w:pPr>
        <w:pStyle w:val="BodyText"/>
        <w:spacing w:line="364" w:lineRule="auto"/>
        <w:ind w:left="400" w:right="418" w:firstLine="420"/>
      </w:pPr>
      <w:r>
        <w:rPr/>
        <w:t>7、基金管理人接受某笔或者某些转换转入申请有可能导致单一投资者持有基金份额的比例达到或者超过 50%，或者变相规避 50%集中度的情形时；</w:t>
      </w:r>
    </w:p>
    <w:p>
      <w:pPr>
        <w:pStyle w:val="BodyText"/>
        <w:spacing w:line="364" w:lineRule="auto"/>
        <w:ind w:left="400" w:right="271" w:firstLine="420"/>
      </w:pPr>
      <w:r>
        <w:rPr/>
        <w:t>8、当一笔新的转换转入申请被确认成功，使本基金总规模超过基金管理人规定的本基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w:t>
      </w:r>
    </w:p>
    <w:p>
      <w:pPr>
        <w:spacing w:after="0" w:line="364" w:lineRule="auto"/>
        <w:sectPr>
          <w:pgSz w:w="11910" w:h="16840"/>
          <w:pgMar w:header="0" w:footer="910" w:top="1420" w:bottom="1180" w:left="1400" w:right="1380"/>
        </w:sectPr>
      </w:pPr>
    </w:p>
    <w:p>
      <w:pPr>
        <w:pStyle w:val="BodyText"/>
        <w:spacing w:before="45"/>
        <w:ind w:left="400"/>
      </w:pPr>
      <w:r>
        <w:rPr/>
        <w:t>或该投资人当日申购金额超过单个投资人单日或单笔申购金额上限时；</w:t>
      </w:r>
    </w:p>
    <w:p>
      <w:pPr>
        <w:pStyle w:val="BodyText"/>
        <w:spacing w:line="364" w:lineRule="auto" w:before="139"/>
        <w:ind w:left="400" w:right="418" w:firstLine="420"/>
        <w:jc w:val="both"/>
      </w:pPr>
      <w:r>
        <w:rPr/>
        <w:t>9</w:t>
      </w:r>
      <w:r>
        <w:rPr>
          <w:spacing w:val="-3"/>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10、法律、法规规定或中国证监会认定的其他情形。</w:t>
      </w:r>
    </w:p>
    <w:p>
      <w:pPr>
        <w:pStyle w:val="BodyText"/>
        <w:spacing w:line="364" w:lineRule="auto" w:before="140"/>
        <w:ind w:left="400" w:right="418" w:firstLine="420"/>
      </w:pPr>
      <w:r>
        <w:rPr/>
        <w:t>11</w:t>
      </w:r>
      <w:r>
        <w:rPr>
          <w:spacing w:val="-12"/>
        </w:rPr>
        <w:t>、发生基金合同或《招募说明书》中未予载明的事项，但基金管理人有正当理由认为</w:t>
      </w:r>
      <w:r>
        <w:rPr/>
        <w:t>需要暂停接受基金转换申请的，应当报经中国证监会批准。</w:t>
      </w:r>
    </w:p>
    <w:p>
      <w:pPr>
        <w:pStyle w:val="BodyText"/>
        <w:spacing w:line="268" w:lineRule="exact"/>
      </w:pPr>
      <w:r>
        <w:rPr/>
        <w:t>12、基金暂停转换或暂停后重新开放转换时，基金管理人应在指定媒介上公告。</w:t>
      </w:r>
    </w:p>
    <w:p>
      <w:pPr>
        <w:spacing w:after="0" w:line="268" w:lineRule="exact"/>
        <w:sectPr>
          <w:pgSz w:w="11910" w:h="16840"/>
          <w:pgMar w:header="0" w:footer="910" w:top="1380" w:bottom="1180" w:left="1400" w:right="1380"/>
        </w:sectPr>
      </w:pPr>
    </w:p>
    <w:p>
      <w:pPr>
        <w:pStyle w:val="Heading1"/>
        <w:ind w:left="618" w:right="0"/>
      </w:pPr>
      <w:bookmarkStart w:name="_bookmark40" w:id="41"/>
      <w:bookmarkEnd w:id="41"/>
      <w:r>
        <w:rPr>
          <w:b w:val="0"/>
        </w:rPr>
      </w:r>
      <w:r>
        <w:rPr/>
        <w:t>十一、基金的非交易过户、转托管、冻结与质押</w:t>
      </w:r>
    </w:p>
    <w:p>
      <w:pPr>
        <w:pStyle w:val="BodyText"/>
        <w:spacing w:line="364" w:lineRule="auto" w:before="138"/>
        <w:ind w:left="400" w:right="325" w:firstLine="420"/>
        <w:jc w:val="both"/>
      </w:pPr>
      <w:r>
        <w:rPr/>
        <w:t>（一）</w:t>
      </w:r>
      <w:r>
        <w:rPr>
          <w:spacing w:val="-6"/>
        </w:rPr>
        <w:t> 非交易过户是指不采用申购、赎回等基金交易方式，将一定数量的基金份额按</w:t>
      </w:r>
      <w:r>
        <w:rPr>
          <w:spacing w:val="-9"/>
        </w:rPr>
        <w:t>照一定规则从某一投资者基金账户转移到另一投资者基金账户的行为，包括继承、捐赠、强</w:t>
      </w:r>
      <w:r>
        <w:rPr>
          <w:spacing w:val="-12"/>
        </w:rPr>
        <w:t>制执行及基金注册登记机构认可的其它情况下的非交易过户。无论在上述何种情况下，接受</w:t>
      </w:r>
      <w:r>
        <w:rPr>
          <w:spacing w:val="-13"/>
        </w:rPr>
        <w:t>划转的主体应符合相关法律法规和基金合同规定的持有本基金份额的投资者的条件。其中：</w:t>
      </w:r>
    </w:p>
    <w:p>
      <w:pPr>
        <w:pStyle w:val="BodyText"/>
        <w:spacing w:line="364" w:lineRule="auto"/>
        <w:ind w:left="400" w:right="418" w:firstLine="420"/>
      </w:pPr>
      <w:r>
        <w:rPr>
          <w:spacing w:val="-11"/>
        </w:rPr>
        <w:t>“继承”是指基金份额持有人死亡，其持有的基金份额由其合法的继承人或受遗赠人继</w:t>
      </w:r>
      <w:r>
        <w:rPr/>
        <w:t>承；</w:t>
      </w:r>
    </w:p>
    <w:p>
      <w:pPr>
        <w:pStyle w:val="BodyText"/>
        <w:spacing w:line="364" w:lineRule="auto"/>
        <w:ind w:left="400" w:right="418" w:firstLine="420"/>
      </w:pPr>
      <w:r>
        <w:rPr>
          <w:spacing w:val="-12"/>
        </w:rPr>
        <w:t>“捐赠”仅指基金份额持有人将其合法持有的基金份额捐赠给福利性质的基金会或其他</w:t>
      </w:r>
      <w:r>
        <w:rPr/>
        <w:t>具有社会公益性质的社会团体；</w:t>
      </w:r>
    </w:p>
    <w:p>
      <w:pPr>
        <w:pStyle w:val="BodyText"/>
        <w:spacing w:line="364" w:lineRule="auto"/>
        <w:ind w:left="400" w:right="418" w:firstLine="420"/>
      </w:pPr>
      <w:r>
        <w:rPr>
          <w:spacing w:val="-11"/>
        </w:rPr>
        <w:t>“强制执行”是指国家有权机关依据生效的法律文书将基金份额持有人持有的基金份额</w:t>
      </w:r>
      <w:r>
        <w:rPr/>
        <w:t>强制执行划转给其他自然人、法人、社会团体或其他组织。</w:t>
      </w:r>
    </w:p>
    <w:p>
      <w:pPr>
        <w:pStyle w:val="BodyText"/>
        <w:spacing w:line="268" w:lineRule="exact"/>
      </w:pPr>
      <w:r>
        <w:rPr/>
        <w:t>基金注册登记人可以办理的非交易过户情形，以其公告的业务规则为准。</w:t>
      </w:r>
    </w:p>
    <w:p>
      <w:pPr>
        <w:pStyle w:val="BodyText"/>
        <w:spacing w:line="364" w:lineRule="auto" w:before="135"/>
        <w:ind w:left="400" w:right="418" w:firstLine="420"/>
        <w:jc w:val="both"/>
      </w:pPr>
      <w:r>
        <w:rPr/>
        <w:t>（二</w:t>
      </w:r>
      <w:r>
        <w:rPr>
          <w:spacing w:val="-48"/>
        </w:rPr>
        <w:t>）</w:t>
      </w:r>
      <w:r>
        <w:rPr>
          <w:spacing w:val="-3"/>
        </w:rPr>
        <w:t>办理非交易过户业务必须提供基金注册登记机构规定的相关资料，注册登记机构</w:t>
      </w:r>
      <w:r>
        <w:rPr>
          <w:spacing w:val="-7"/>
        </w:rPr>
        <w:t>办理上述情况下的非交易过户，其他销售机构可代为受理投资者的申请材料，但不得办理该</w:t>
      </w:r>
      <w:r>
        <w:rPr/>
        <w:t>项业务。</w:t>
      </w:r>
    </w:p>
    <w:p>
      <w:pPr>
        <w:pStyle w:val="BodyText"/>
        <w:spacing w:line="364" w:lineRule="auto"/>
        <w:ind w:left="400" w:right="418" w:firstLine="420"/>
        <w:jc w:val="both"/>
      </w:pPr>
      <w:r>
        <w:rPr/>
        <w:t>（三） 符合条件的非交易过户申请自申请受理日起，两个月内办理；申请人按基金注册登记机构规定的标准缴纳过户费用。</w:t>
      </w:r>
    </w:p>
    <w:p>
      <w:pPr>
        <w:pStyle w:val="BodyText"/>
        <w:spacing w:line="364" w:lineRule="auto"/>
        <w:ind w:left="400" w:right="418" w:firstLine="420"/>
        <w:jc w:val="both"/>
      </w:pPr>
      <w:r>
        <w:rPr/>
        <w:t>（四</w:t>
      </w:r>
      <w:r>
        <w:rPr>
          <w:spacing w:val="-24"/>
        </w:rPr>
        <w:t>）</w:t>
      </w:r>
      <w:r>
        <w:rPr>
          <w:spacing w:val="-1"/>
        </w:rPr>
        <w:t>基金份额持有人在变更办理基金申购与赎回等业务的销售机构</w:t>
      </w:r>
      <w:r>
        <w:rPr/>
        <w:t>（网点</w:t>
      </w:r>
      <w:r>
        <w:rPr>
          <w:spacing w:val="-24"/>
        </w:rPr>
        <w:t>）</w:t>
      </w:r>
      <w:r>
        <w:rPr>
          <w:spacing w:val="-10"/>
        </w:rPr>
        <w:t>时，可根</w:t>
      </w:r>
      <w:r>
        <w:rPr>
          <w:spacing w:val="-5"/>
        </w:rPr>
        <w:t>据各销售机构的实际情况办理已持有基金份额的转托管。基金销售机构可以按照其业务规则</w:t>
      </w:r>
      <w:r>
        <w:rPr/>
        <w:t>规定的标准收取转托管费。</w:t>
      </w:r>
    </w:p>
    <w:p>
      <w:pPr>
        <w:pStyle w:val="BodyText"/>
        <w:spacing w:line="364" w:lineRule="auto"/>
        <w:ind w:left="400" w:right="417" w:firstLine="420"/>
        <w:jc w:val="both"/>
      </w:pPr>
      <w:r>
        <w:rPr/>
        <w:t>（五）</w:t>
      </w:r>
      <w:r>
        <w:rPr>
          <w:spacing w:val="2"/>
        </w:rPr>
        <w:t> 基金注册登记机构只受理国家有权机关依法要求以及注册登记机构认可的其</w:t>
      </w:r>
      <w:r>
        <w:rPr>
          <w:spacing w:val="-4"/>
        </w:rPr>
        <w:t>他情况下的基金账户或基金份额的冻结与解冻。基金账户或基金份额被冻结的，被冻结部分</w:t>
      </w:r>
      <w:r>
        <w:rPr>
          <w:spacing w:val="-7"/>
        </w:rPr>
        <w:t>产生的权益</w:t>
      </w:r>
      <w:r>
        <w:rPr/>
        <w:t>（包括现金分红和红利再投资</w:t>
      </w:r>
      <w:r>
        <w:rPr>
          <w:spacing w:val="-32"/>
        </w:rPr>
        <w:t>）</w:t>
      </w:r>
      <w:r>
        <w:rPr>
          <w:spacing w:val="-7"/>
        </w:rPr>
        <w:t>一并冻结，被冻结部分份额仍然参与收益分配与</w:t>
      </w:r>
      <w:r>
        <w:rPr/>
        <w:t>支付。</w:t>
      </w:r>
    </w:p>
    <w:p>
      <w:pPr>
        <w:pStyle w:val="BodyText"/>
        <w:spacing w:line="364" w:lineRule="auto"/>
        <w:ind w:left="400" w:right="418" w:firstLine="420"/>
      </w:pPr>
      <w:r>
        <w:rPr/>
        <w:t>（六</w:t>
      </w:r>
      <w:r>
        <w:rPr>
          <w:spacing w:val="-48"/>
        </w:rPr>
        <w:t>）</w:t>
      </w:r>
      <w:r>
        <w:rPr>
          <w:spacing w:val="-4"/>
        </w:rPr>
        <w:t>在不违反届时有效的法律法规的条件下，基金管理人将可以办理基金份额的质押</w:t>
      </w:r>
      <w:r>
        <w:rPr/>
        <w:t>业务或其他基金业务，并制定和实施相应的业务规则。</w:t>
      </w:r>
    </w:p>
    <w:p>
      <w:pPr>
        <w:spacing w:after="0" w:line="364" w:lineRule="auto"/>
        <w:sectPr>
          <w:pgSz w:w="11910" w:h="16840"/>
          <w:pgMar w:header="0" w:footer="910" w:top="1400" w:bottom="1180" w:left="1400" w:right="1380"/>
        </w:sectPr>
      </w:pPr>
    </w:p>
    <w:p>
      <w:pPr>
        <w:pStyle w:val="Heading1"/>
      </w:pPr>
      <w:bookmarkStart w:name="_bookmark41" w:id="42"/>
      <w:bookmarkEnd w:id="42"/>
      <w:r>
        <w:rPr>
          <w:b w:val="0"/>
        </w:rPr>
      </w:r>
      <w:r>
        <w:rPr/>
        <w:t>十二、基金的投资</w:t>
      </w:r>
    </w:p>
    <w:p>
      <w:pPr>
        <w:pStyle w:val="Heading3"/>
        <w:spacing w:before="139"/>
      </w:pPr>
      <w:bookmarkStart w:name="_bookmark42" w:id="43"/>
      <w:bookmarkEnd w:id="43"/>
      <w:r>
        <w:rPr/>
      </w:r>
      <w:r>
        <w:rPr/>
        <w:t>（一）投资目标</w:t>
      </w:r>
    </w:p>
    <w:p>
      <w:pPr>
        <w:pStyle w:val="BodyText"/>
        <w:spacing w:before="185"/>
      </w:pPr>
      <w:r>
        <w:rPr/>
        <w:t>根据市场环境变化，综合运用多种投资策略，追求基金资产的长期稳健增值。</w:t>
      </w:r>
    </w:p>
    <w:p>
      <w:pPr>
        <w:pStyle w:val="Heading3"/>
        <w:spacing w:before="140"/>
      </w:pPr>
      <w:bookmarkStart w:name="_bookmark43" w:id="44"/>
      <w:bookmarkEnd w:id="44"/>
      <w:r>
        <w:rPr/>
      </w:r>
      <w:r>
        <w:rPr/>
        <w:t>（二）投资范围</w:t>
      </w:r>
    </w:p>
    <w:p>
      <w:pPr>
        <w:pStyle w:val="BodyText"/>
        <w:spacing w:line="364" w:lineRule="auto" w:before="185"/>
        <w:ind w:left="400" w:right="417" w:firstLine="420"/>
        <w:jc w:val="both"/>
      </w:pPr>
      <w:r>
        <w:rPr>
          <w:spacing w:val="-4"/>
        </w:rPr>
        <w:t>本基金的投资范围为具有良好流动性的金融工具，包括国内依法发行、上市的股票</w:t>
      </w:r>
      <w:r>
        <w:rPr/>
        <w:t>（</w:t>
      </w:r>
      <w:r>
        <w:rPr>
          <w:spacing w:val="-15"/>
        </w:rPr>
        <w:t>含</w:t>
      </w:r>
      <w:r>
        <w:rPr/>
        <w:t>存托凭证</w:t>
      </w:r>
      <w:r>
        <w:rPr>
          <w:spacing w:val="-105"/>
        </w:rPr>
        <w:t>）</w:t>
      </w:r>
      <w:r>
        <w:rPr/>
        <w:t>、债券、权证、资产支持证券、货币市场工具及法律法规或中国证监会允许基金</w:t>
      </w:r>
      <w:r>
        <w:rPr>
          <w:spacing w:val="-8"/>
        </w:rPr>
        <w:t>投资的其他金融工具。如法律法规或监管机构以后允许基金投资其它品种，基金管理人在履</w:t>
      </w:r>
      <w:r>
        <w:rPr/>
        <w:t>行适当程序后，可以将其纳入投资范围。</w:t>
      </w:r>
    </w:p>
    <w:p>
      <w:pPr>
        <w:pStyle w:val="BodyText"/>
        <w:spacing w:line="364" w:lineRule="auto"/>
        <w:ind w:left="400" w:right="297" w:firstLine="420"/>
      </w:pPr>
      <w:r>
        <w:rPr>
          <w:spacing w:val="-2"/>
        </w:rPr>
        <w:t>本基金各类资产的投资比例为：股票资产占基金资产的 </w:t>
      </w:r>
      <w:r>
        <w:rPr/>
        <w:t>60%—95%；债券、资产支持证</w:t>
      </w:r>
      <w:r>
        <w:rPr>
          <w:spacing w:val="-15"/>
        </w:rPr>
        <w:t>券、权证、货币市场工具以及中国证监会允许基金投资的其他证券品种占基金资产的</w:t>
      </w:r>
      <w:r>
        <w:rPr>
          <w:spacing w:val="-3"/>
        </w:rPr>
        <w:t>5%-40%， </w:t>
      </w:r>
      <w:r>
        <w:rPr>
          <w:spacing w:val="-2"/>
        </w:rPr>
        <w:t>其中，基金持有全部权证的市值不得超过基金资产净值的 </w:t>
      </w:r>
      <w:r>
        <w:rPr/>
        <w:t>3%，基金保留的现金以及投资于</w:t>
      </w:r>
      <w:r>
        <w:rPr>
          <w:spacing w:val="-2"/>
        </w:rPr>
        <w:t>到期日在一年以内的政府债券的比例合计不低于基金资产净值的 </w:t>
      </w:r>
      <w:r>
        <w:rPr/>
        <w:t>5%，现金不包括结算备付金、存出保证金、应收申购款等。</w:t>
      </w:r>
    </w:p>
    <w:p>
      <w:pPr>
        <w:pStyle w:val="Heading3"/>
        <w:spacing w:line="357" w:lineRule="exact"/>
      </w:pPr>
      <w:bookmarkStart w:name="_bookmark44" w:id="45"/>
      <w:bookmarkEnd w:id="45"/>
      <w:r>
        <w:rPr/>
      </w:r>
      <w:r>
        <w:rPr/>
        <w:t>（三）投资理念</w:t>
      </w:r>
    </w:p>
    <w:p>
      <w:pPr>
        <w:pStyle w:val="BodyText"/>
        <w:spacing w:line="364" w:lineRule="auto" w:before="183"/>
        <w:ind w:left="400" w:right="312" w:firstLine="420"/>
      </w:pPr>
      <w:r>
        <w:rPr>
          <w:spacing w:val="-15"/>
        </w:rPr>
        <w:t>市场环境复杂，综合运用多种投资策略，有助于把握多种投资机会，并有利于分散风险， </w:t>
      </w:r>
      <w:r>
        <w:rPr/>
        <w:t>给投资者更稳健的回报。</w:t>
      </w:r>
    </w:p>
    <w:p>
      <w:pPr>
        <w:pStyle w:val="Heading3"/>
      </w:pPr>
      <w:bookmarkStart w:name="_bookmark45" w:id="46"/>
      <w:bookmarkEnd w:id="46"/>
      <w:r>
        <w:rPr/>
      </w:r>
      <w:r>
        <w:rPr/>
        <w:t>（四）投资策略</w:t>
      </w:r>
    </w:p>
    <w:p>
      <w:pPr>
        <w:pStyle w:val="BodyText"/>
        <w:spacing w:before="185"/>
      </w:pPr>
      <w:r>
        <w:rPr/>
        <w:t>1、资产配置策略</w:t>
      </w:r>
    </w:p>
    <w:p>
      <w:pPr>
        <w:pStyle w:val="BodyText"/>
        <w:spacing w:line="364" w:lineRule="auto" w:before="139"/>
        <w:ind w:left="400" w:right="417" w:firstLine="420"/>
        <w:jc w:val="right"/>
      </w:pPr>
      <w:r>
        <w:rPr>
          <w:spacing w:val="-1"/>
        </w:rPr>
        <w:t>本基金为混合基金，基金各类资产的投资比例为：股票资产占基金资产的 </w:t>
      </w:r>
      <w:r>
        <w:rPr/>
        <w:t>60%—95%；</w:t>
      </w:r>
      <w:r>
        <w:rPr>
          <w:spacing w:val="-12"/>
        </w:rPr>
        <w:t>债券、资产支持证券、权证、货币市场工具以及中国证监会允许基金投资的其他证券品种占</w:t>
      </w:r>
      <w:r>
        <w:rPr>
          <w:spacing w:val="-9"/>
        </w:rPr>
        <w:t>基金资产的 </w:t>
      </w:r>
      <w:r>
        <w:rPr/>
        <w:t>5%-40%，</w:t>
      </w:r>
      <w:r>
        <w:rPr>
          <w:spacing w:val="-3"/>
        </w:rPr>
        <w:t>其中，基金持有全部权证的市值不得超过基金资产净值的 </w:t>
      </w:r>
      <w:r>
        <w:rPr/>
        <w:t>3%，基金保</w:t>
      </w:r>
      <w:r>
        <w:rPr>
          <w:spacing w:val="-2"/>
        </w:rPr>
        <w:t>留的现金以及投资于到期日在一年以内的政府债券的比例合计不低于基金资产净值的 </w:t>
      </w:r>
      <w:r>
        <w:rPr/>
        <w:t>5%。</w:t>
      </w:r>
      <w:r>
        <w:rPr>
          <w:spacing w:val="-6"/>
        </w:rPr>
        <w:t>在以上战略性资产配置的基础上，本基金基于定量与定性相结合的宏观及市场分析，进</w:t>
      </w:r>
    </w:p>
    <w:p>
      <w:pPr>
        <w:pStyle w:val="BodyText"/>
        <w:spacing w:line="364" w:lineRule="auto"/>
        <w:ind w:left="400" w:right="418"/>
      </w:pPr>
      <w:r>
        <w:rPr>
          <w:spacing w:val="-8"/>
        </w:rPr>
        <w:t>行战术性资产配置，确定组合中股票、债券、货币市场工具及其他金融工具的比例，追求更</w:t>
      </w:r>
      <w:r>
        <w:rPr/>
        <w:t>高收益，回避市场风险。</w:t>
      </w:r>
    </w:p>
    <w:p>
      <w:pPr>
        <w:pStyle w:val="BodyText"/>
        <w:spacing w:line="364" w:lineRule="auto"/>
        <w:ind w:left="400" w:right="208" w:firstLine="420"/>
      </w:pPr>
      <w:r>
        <w:rPr>
          <w:spacing w:val="3"/>
        </w:rPr>
        <w:t>在资产配置中，本基金主要考虑（1）</w:t>
      </w:r>
      <w:r>
        <w:rPr>
          <w:spacing w:val="-4"/>
        </w:rPr>
        <w:t>宏观经济因素，包括 </w:t>
      </w:r>
      <w:r>
        <w:rPr/>
        <w:t>GDP</w:t>
      </w:r>
      <w:r>
        <w:rPr>
          <w:spacing w:val="-5"/>
        </w:rPr>
        <w:t> 增长率及其构成、</w:t>
      </w:r>
      <w:r>
        <w:rPr/>
        <w:t>CPI、市场利率水平变化、货币政策等，以判断经济周期对市场的影响；（2）微观经济因素，包 括各行业主要企业的盈利变化情况及其盈利预期；（3）市场因素，包括股票及债券市场的 </w:t>
      </w:r>
      <w:r>
        <w:rPr>
          <w:spacing w:val="-10"/>
        </w:rPr>
        <w:t>涨跌、市场整体估值水平、大类资产的预期收益率水平及其历史比较、市场资金供求关系及 其变化；（4）政策因素，与证券市场密切相关的各种政策出台对市场的影响等。</w:t>
      </w:r>
    </w:p>
    <w:p>
      <w:pPr>
        <w:pStyle w:val="BodyText"/>
        <w:spacing w:line="267" w:lineRule="exact"/>
      </w:pPr>
      <w:r>
        <w:rPr/>
        <w:t>2、股票投资策略</w:t>
      </w:r>
    </w:p>
    <w:p>
      <w:pPr>
        <w:pStyle w:val="BodyText"/>
        <w:spacing w:before="136"/>
      </w:pPr>
      <w:r>
        <w:rPr/>
        <w:t>本基金将综合应用多种投资策略，广泛地分析、研究、比较市场中的各种投资机会，选</w:t>
      </w:r>
    </w:p>
    <w:p>
      <w:pPr>
        <w:spacing w:after="0"/>
        <w:sectPr>
          <w:pgSz w:w="11910" w:h="16840"/>
          <w:pgMar w:header="0" w:footer="910" w:top="1400" w:bottom="1180" w:left="1400" w:right="1380"/>
        </w:sectPr>
      </w:pPr>
    </w:p>
    <w:p>
      <w:pPr>
        <w:pStyle w:val="BodyText"/>
        <w:spacing w:line="364" w:lineRule="auto" w:before="45"/>
        <w:ind w:left="400" w:right="208"/>
      </w:pPr>
      <w:r>
        <w:rPr/>
        <w:t>择收益相对较高、风险可控的投资品种进行投资，以提高本基金相对比较基准的超额收益。一般情况下，本基金以优势企业策略和成长策略为主，辅以行业周期策略、绝对价值策略、突发事件/收购兼并策略以及新兴技术策略。在特定的市场情况下，后四种策略中一种或多 种的资金容量较大、不确定性较小、收益预期较高时，也可成为主策略。</w:t>
      </w:r>
    </w:p>
    <w:p>
      <w:pPr>
        <w:pStyle w:val="ListParagraph"/>
        <w:numPr>
          <w:ilvl w:val="0"/>
          <w:numId w:val="13"/>
        </w:numPr>
        <w:tabs>
          <w:tab w:pos="1346" w:val="left" w:leader="none"/>
        </w:tabs>
        <w:spacing w:line="267" w:lineRule="exact" w:before="0" w:after="0"/>
        <w:ind w:left="1346" w:right="0" w:hanging="526"/>
        <w:jc w:val="left"/>
        <w:rPr>
          <w:sz w:val="21"/>
        </w:rPr>
      </w:pPr>
      <w:r>
        <w:rPr>
          <w:sz w:val="21"/>
        </w:rPr>
        <w:t>优势企业策略</w:t>
      </w:r>
    </w:p>
    <w:p>
      <w:pPr>
        <w:pStyle w:val="BodyText"/>
        <w:spacing w:line="364" w:lineRule="auto" w:before="139"/>
        <w:ind w:left="400" w:right="418" w:firstLine="420"/>
      </w:pPr>
      <w:r>
        <w:rPr>
          <w:spacing w:val="-10"/>
        </w:rPr>
        <w:t>在本策略下，本基金选择具有较强核心竞争力的企业进行投资并长期持有。企业的核心</w:t>
      </w:r>
      <w:r>
        <w:rPr/>
        <w:t>竞争力主要体现在：</w:t>
      </w:r>
    </w:p>
    <w:p>
      <w:pPr>
        <w:pStyle w:val="ListParagraph"/>
        <w:numPr>
          <w:ilvl w:val="0"/>
          <w:numId w:val="14"/>
        </w:numPr>
        <w:tabs>
          <w:tab w:pos="1136" w:val="left" w:leader="none"/>
        </w:tabs>
        <w:spacing w:line="268" w:lineRule="exact" w:before="0" w:after="0"/>
        <w:ind w:left="1136" w:right="0" w:hanging="316"/>
        <w:jc w:val="left"/>
        <w:rPr>
          <w:sz w:val="21"/>
        </w:rPr>
      </w:pPr>
      <w:r>
        <w:rPr>
          <w:sz w:val="21"/>
        </w:rPr>
        <w:t>企业拥有知名品牌，客户忠诚度高；</w:t>
      </w:r>
    </w:p>
    <w:p>
      <w:pPr>
        <w:pStyle w:val="ListParagraph"/>
        <w:numPr>
          <w:ilvl w:val="0"/>
          <w:numId w:val="14"/>
        </w:numPr>
        <w:tabs>
          <w:tab w:pos="1136" w:val="left" w:leader="none"/>
        </w:tabs>
        <w:spacing w:line="240" w:lineRule="auto" w:before="140" w:after="0"/>
        <w:ind w:left="1136" w:right="0" w:hanging="316"/>
        <w:jc w:val="left"/>
        <w:rPr>
          <w:sz w:val="21"/>
        </w:rPr>
      </w:pPr>
      <w:r>
        <w:rPr>
          <w:sz w:val="21"/>
        </w:rPr>
        <w:t>企业的技术领先、创新能力较强；</w:t>
      </w:r>
    </w:p>
    <w:p>
      <w:pPr>
        <w:pStyle w:val="ListParagraph"/>
        <w:numPr>
          <w:ilvl w:val="0"/>
          <w:numId w:val="14"/>
        </w:numPr>
        <w:tabs>
          <w:tab w:pos="1136" w:val="left" w:leader="none"/>
        </w:tabs>
        <w:spacing w:line="240" w:lineRule="auto" w:before="139" w:after="0"/>
        <w:ind w:left="1136" w:right="0" w:hanging="316"/>
        <w:jc w:val="left"/>
        <w:rPr>
          <w:sz w:val="21"/>
        </w:rPr>
      </w:pPr>
      <w:r>
        <w:rPr>
          <w:sz w:val="21"/>
        </w:rPr>
        <w:t>企业的经营成本低于主要的竞争对手；</w:t>
      </w:r>
    </w:p>
    <w:p>
      <w:pPr>
        <w:pStyle w:val="ListParagraph"/>
        <w:numPr>
          <w:ilvl w:val="0"/>
          <w:numId w:val="14"/>
        </w:numPr>
        <w:tabs>
          <w:tab w:pos="1137" w:val="left" w:leader="none"/>
        </w:tabs>
        <w:spacing w:line="364" w:lineRule="auto" w:before="140" w:after="0"/>
        <w:ind w:left="400" w:right="418" w:firstLine="420"/>
        <w:jc w:val="left"/>
        <w:rPr>
          <w:sz w:val="21"/>
        </w:rPr>
      </w:pPr>
      <w:r>
        <w:rPr>
          <w:sz w:val="21"/>
        </w:rPr>
        <w:t>企业由于对稀缺或不可替代资源的占有、拥有特许经营牌照、在规模经济明显的行业中经营规模位居前列、已拥有较广泛的销售网络等原因，在行业中占据垄断地位；</w:t>
      </w:r>
    </w:p>
    <w:p>
      <w:pPr>
        <w:pStyle w:val="ListParagraph"/>
        <w:numPr>
          <w:ilvl w:val="0"/>
          <w:numId w:val="14"/>
        </w:numPr>
        <w:tabs>
          <w:tab w:pos="1137" w:val="left" w:leader="none"/>
        </w:tabs>
        <w:spacing w:line="364" w:lineRule="auto" w:before="0" w:after="0"/>
        <w:ind w:left="400" w:right="418" w:firstLine="420"/>
        <w:jc w:val="left"/>
        <w:rPr>
          <w:sz w:val="21"/>
        </w:rPr>
      </w:pPr>
      <w:r>
        <w:rPr>
          <w:sz w:val="21"/>
        </w:rPr>
        <w:t>企业拥有一只管理能力较强的管理团队，专业、尽职，能正确制定企业发展战略， 并创造较好的企业绩效。</w:t>
      </w:r>
    </w:p>
    <w:p>
      <w:pPr>
        <w:pStyle w:val="BodyText"/>
        <w:spacing w:line="364" w:lineRule="auto"/>
        <w:ind w:left="400" w:right="418" w:firstLine="420"/>
        <w:jc w:val="both"/>
      </w:pPr>
      <w:r>
        <w:rPr>
          <w:spacing w:val="-9"/>
        </w:rPr>
        <w:t>优势企业的主要财务特征是：企业营业利润率、净资产收益率在行业内位居前列，并将</w:t>
      </w:r>
      <w:r>
        <w:rPr>
          <w:spacing w:val="-10"/>
        </w:rPr>
        <w:t>在未来继续保持这一趋势；即使在行业低谷期，优势企业的盈利波动也小于行业内大多数企</w:t>
      </w:r>
      <w:r>
        <w:rPr/>
        <w:t>业。</w:t>
      </w:r>
    </w:p>
    <w:p>
      <w:pPr>
        <w:pStyle w:val="BodyText"/>
        <w:spacing w:line="364" w:lineRule="auto"/>
        <w:ind w:left="400" w:right="418" w:firstLine="420"/>
      </w:pPr>
      <w:r>
        <w:rPr>
          <w:spacing w:val="-6"/>
        </w:rPr>
        <w:t>本基金将以合理价格或股价低估时，买入优势企业，并长期持有，与企业共同成长。当</w:t>
      </w:r>
      <w:r>
        <w:rPr/>
        <w:t>企业的核心竞争力发生实质不利变化时，出售股票。</w:t>
      </w:r>
    </w:p>
    <w:p>
      <w:pPr>
        <w:pStyle w:val="ListParagraph"/>
        <w:numPr>
          <w:ilvl w:val="0"/>
          <w:numId w:val="13"/>
        </w:numPr>
        <w:tabs>
          <w:tab w:pos="1346" w:val="left" w:leader="none"/>
        </w:tabs>
        <w:spacing w:line="268" w:lineRule="exact" w:before="0" w:after="0"/>
        <w:ind w:left="1346" w:right="0" w:hanging="526"/>
        <w:jc w:val="left"/>
        <w:rPr>
          <w:sz w:val="21"/>
        </w:rPr>
      </w:pPr>
      <w:r>
        <w:rPr>
          <w:sz w:val="21"/>
        </w:rPr>
        <w:t>成长企业策略</w:t>
      </w:r>
    </w:p>
    <w:p>
      <w:pPr>
        <w:pStyle w:val="BodyText"/>
        <w:spacing w:line="364" w:lineRule="auto" w:before="136"/>
        <w:ind w:left="400" w:right="418" w:firstLine="420"/>
        <w:jc w:val="both"/>
      </w:pPr>
      <w:r>
        <w:rPr>
          <w:spacing w:val="-5"/>
        </w:rPr>
        <w:t>本基金采取自下而上的方式，重点发掘具有以下特征的企业：企业产品与服务具有较大</w:t>
      </w:r>
      <w:r>
        <w:rPr>
          <w:spacing w:val="-12"/>
        </w:rPr>
        <w:t>的市场空间；生产性企业的生产能力持续扩张或闲置产能不断得到利用，服务类企业营业网</w:t>
      </w:r>
      <w:r>
        <w:rPr>
          <w:spacing w:val="-10"/>
        </w:rPr>
        <w:t>点、业务范围等服务能力持续增加，营业收入不断增长。本基金将对上市公司的产量、在建</w:t>
      </w:r>
      <w:r>
        <w:rPr/>
        <w:t>产能/现有产能、营业网点数量、营业额的数据进行统计，根据行业特征，选取适当的反映</w:t>
      </w:r>
      <w:r>
        <w:rPr>
          <w:spacing w:val="-7"/>
        </w:rPr>
        <w:t>生产能力的指标进行分析，选取在未来一到两年收入与盈利成长速度高于行业平均水平，而</w:t>
      </w:r>
      <w:r>
        <w:rPr/>
        <w:t>且股价未明显高估的公司进行投资。</w:t>
      </w:r>
    </w:p>
    <w:p>
      <w:pPr>
        <w:pStyle w:val="ListParagraph"/>
        <w:numPr>
          <w:ilvl w:val="0"/>
          <w:numId w:val="13"/>
        </w:numPr>
        <w:tabs>
          <w:tab w:pos="1346" w:val="left" w:leader="none"/>
        </w:tabs>
        <w:spacing w:line="266" w:lineRule="exact" w:before="0" w:after="0"/>
        <w:ind w:left="1346" w:right="0" w:hanging="526"/>
        <w:jc w:val="left"/>
        <w:rPr>
          <w:sz w:val="21"/>
        </w:rPr>
      </w:pPr>
      <w:r>
        <w:rPr>
          <w:sz w:val="21"/>
        </w:rPr>
        <w:t>行业周期策略</w:t>
      </w:r>
    </w:p>
    <w:p>
      <w:pPr>
        <w:pStyle w:val="BodyText"/>
        <w:spacing w:line="364" w:lineRule="auto" w:before="139"/>
        <w:ind w:left="400" w:right="208" w:firstLine="420"/>
      </w:pPr>
      <w:r>
        <w:rPr>
          <w:spacing w:val="-9"/>
        </w:rPr>
        <w:t>在本策略下，本基金重点把握两个阶段的投资机会。一个是在行业低谷期，行业景气持 </w:t>
      </w:r>
      <w:r>
        <w:rPr>
          <w:spacing w:val="-11"/>
        </w:rPr>
        <w:t>续低迷，产品价格、产销量和企业效益下滑，已开始有企业退出该行业。本基金预期行业情 </w:t>
      </w:r>
      <w:r>
        <w:rPr>
          <w:spacing w:val="-7"/>
        </w:rPr>
        <w:t>况难以继续大幅恶化，而股价已充分或过度反映了基本面的不利影响，一旦行业景气回升， </w:t>
      </w:r>
      <w:r>
        <w:rPr>
          <w:spacing w:val="-12"/>
        </w:rPr>
        <w:t>企业净利润将会大幅增加。另一投资机会是在行业景气上升周期，行业景气好转已确立，企 业效益、产品价格、产销量出现普遍上升，本基金预期行业景气将会持续。在本策略下，本 基金将重点投资于企业效益对行业景气敏感度较高的公司。</w:t>
      </w:r>
    </w:p>
    <w:p>
      <w:pPr>
        <w:pStyle w:val="ListParagraph"/>
        <w:numPr>
          <w:ilvl w:val="0"/>
          <w:numId w:val="13"/>
        </w:numPr>
        <w:tabs>
          <w:tab w:pos="1346" w:val="left" w:leader="none"/>
        </w:tabs>
        <w:spacing w:line="266" w:lineRule="exact" w:before="0" w:after="0"/>
        <w:ind w:left="1346" w:right="0" w:hanging="526"/>
        <w:jc w:val="left"/>
        <w:rPr>
          <w:sz w:val="21"/>
        </w:rPr>
      </w:pPr>
      <w:r>
        <w:rPr>
          <w:sz w:val="21"/>
        </w:rPr>
        <w:t>绝对价值策略</w:t>
      </w:r>
    </w:p>
    <w:p>
      <w:pPr>
        <w:spacing w:after="0" w:line="266" w:lineRule="exact"/>
        <w:jc w:val="left"/>
        <w:rPr>
          <w:sz w:val="21"/>
        </w:rPr>
        <w:sectPr>
          <w:pgSz w:w="11910" w:h="16840"/>
          <w:pgMar w:header="0" w:footer="910" w:top="1380" w:bottom="1180" w:left="1400" w:right="1380"/>
        </w:sectPr>
      </w:pPr>
    </w:p>
    <w:p>
      <w:pPr>
        <w:pStyle w:val="BodyText"/>
        <w:spacing w:line="364" w:lineRule="auto" w:before="45"/>
        <w:ind w:left="400" w:right="103" w:firstLine="420"/>
      </w:pPr>
      <w:r>
        <w:rPr>
          <w:spacing w:val="-8"/>
        </w:rPr>
        <w:t>绝对价值策略指的是，根据行业和企业特点，寻找对企业的绝对价值进行评估的合理估  </w:t>
      </w:r>
      <w:r>
        <w:rPr>
          <w:spacing w:val="-11"/>
        </w:rPr>
        <w:t>值方法，包括账面价值法、重置成本法和分拆出售法等。当企业的绝对价值高于企业总市值， 而且企业价值重估的诱发性因素有可能出现时，本基金将对此类公司进行投资。</w:t>
      </w:r>
    </w:p>
    <w:p>
      <w:pPr>
        <w:pStyle w:val="ListParagraph"/>
        <w:numPr>
          <w:ilvl w:val="0"/>
          <w:numId w:val="13"/>
        </w:numPr>
        <w:tabs>
          <w:tab w:pos="1346" w:val="left" w:leader="none"/>
        </w:tabs>
        <w:spacing w:line="268" w:lineRule="exact" w:before="0" w:after="0"/>
        <w:ind w:left="1346" w:right="0" w:hanging="526"/>
        <w:jc w:val="left"/>
        <w:rPr>
          <w:sz w:val="21"/>
        </w:rPr>
      </w:pPr>
      <w:r>
        <w:rPr>
          <w:sz w:val="21"/>
        </w:rPr>
        <w:t>突发事件/收购兼并策略</w:t>
      </w:r>
    </w:p>
    <w:p>
      <w:pPr>
        <w:pStyle w:val="BodyText"/>
        <w:spacing w:line="364" w:lineRule="auto" w:before="139"/>
        <w:ind w:left="400" w:right="418" w:firstLine="420"/>
        <w:jc w:val="both"/>
      </w:pPr>
      <w:r>
        <w:rPr>
          <w:spacing w:val="-10"/>
        </w:rPr>
        <w:t>在此策略下，本基金将关注突发事件以及收购兼并信息对公司股价的影响。如果突发事</w:t>
      </w:r>
      <w:r>
        <w:rPr>
          <w:spacing w:val="-6"/>
        </w:rPr>
        <w:t>件对企业盈利能力产生短暂的不利影响，但市场过度反应造成股价大幅下跌，已低于其合理</w:t>
      </w:r>
      <w:r>
        <w:rPr>
          <w:spacing w:val="-10"/>
        </w:rPr>
        <w:t>估值时，本基金可对此类公司进行投资。此外，在公司公告收购兼并信息后，本基金将分析</w:t>
      </w:r>
      <w:r>
        <w:rPr>
          <w:spacing w:val="-6"/>
        </w:rPr>
        <w:t>收购兼并事件对企业盈利能力造成的实质影响。当股票价格未充分反映收购兼并给企业带来</w:t>
      </w:r>
      <w:r>
        <w:rPr/>
        <w:t>的正面效应时，本基金将对此类公司进行投资。</w:t>
      </w:r>
    </w:p>
    <w:p>
      <w:pPr>
        <w:pStyle w:val="ListParagraph"/>
        <w:numPr>
          <w:ilvl w:val="0"/>
          <w:numId w:val="13"/>
        </w:numPr>
        <w:tabs>
          <w:tab w:pos="1346" w:val="left" w:leader="none"/>
        </w:tabs>
        <w:spacing w:line="267" w:lineRule="exact" w:before="0" w:after="0"/>
        <w:ind w:left="1346" w:right="0" w:hanging="526"/>
        <w:jc w:val="left"/>
        <w:rPr>
          <w:sz w:val="21"/>
        </w:rPr>
      </w:pPr>
      <w:r>
        <w:rPr>
          <w:sz w:val="21"/>
        </w:rPr>
        <w:t>新兴技术策略</w:t>
      </w:r>
    </w:p>
    <w:p>
      <w:pPr>
        <w:pStyle w:val="BodyText"/>
        <w:spacing w:line="364" w:lineRule="auto" w:before="140"/>
        <w:ind w:left="400" w:right="208" w:firstLine="420"/>
      </w:pPr>
      <w:r>
        <w:rPr>
          <w:spacing w:val="-7"/>
        </w:rPr>
        <w:t>在此策略下，本基金将重点关注有可能出现重大技术突破的领域，如生物、医药、电子 </w:t>
      </w:r>
      <w:r>
        <w:rPr>
          <w:spacing w:val="-6"/>
        </w:rPr>
        <w:t>通讯、环保、新材料等。这些领域的新技术开发难度大、进入壁垒高，一旦转化为生产力， </w:t>
      </w:r>
      <w:r>
        <w:rPr>
          <w:spacing w:val="-11"/>
        </w:rPr>
        <w:t>将会带来巨大的市场需求和企业效益的高速增长。本基金将密切跟踪这些领域中技术水平处 </w:t>
      </w:r>
      <w:r>
        <w:rPr>
          <w:spacing w:val="-13"/>
        </w:rPr>
        <w:t>于前列的公司，了解其技术开发进度以及采用新技术产能的建设进度，在技术突破即将实现 而股价未充分反映之前，进行投资。</w:t>
      </w:r>
    </w:p>
    <w:p>
      <w:pPr>
        <w:pStyle w:val="BodyText"/>
        <w:spacing w:line="364" w:lineRule="auto"/>
        <w:ind w:left="400" w:right="418" w:firstLine="420"/>
      </w:pPr>
      <w:r>
        <w:rPr>
          <w:spacing w:val="-6"/>
        </w:rPr>
        <w:t>本基金将综合运用以上策略进行股票选择，根据对各种策略的收益与风险的判断、投资</w:t>
      </w:r>
      <w:r>
        <w:rPr/>
        <w:t>品种资金容量的分析，进行组合的构造与调整。</w:t>
      </w:r>
    </w:p>
    <w:p>
      <w:pPr>
        <w:pStyle w:val="BodyText"/>
        <w:spacing w:line="268" w:lineRule="exact"/>
      </w:pPr>
      <w:r>
        <w:rPr/>
        <w:t>3、债券投资策略</w:t>
      </w:r>
    </w:p>
    <w:p>
      <w:pPr>
        <w:pStyle w:val="BodyText"/>
        <w:spacing w:line="364" w:lineRule="auto" w:before="137"/>
        <w:ind w:left="400" w:right="418" w:firstLine="420"/>
        <w:jc w:val="both"/>
      </w:pPr>
      <w:r>
        <w:rPr>
          <w:spacing w:val="-9"/>
        </w:rPr>
        <w:t>在债券投资方面，本基金将主要通过类属配置与券种选择两个层次进行投资管理。在类属配置层次，结合对宏观经济、市场利率、供求变化等因素的综合分析，根据交易所市场与</w:t>
      </w:r>
      <w:r>
        <w:rPr>
          <w:spacing w:val="-6"/>
        </w:rPr>
        <w:t>银行间市场类属资产的风险收益特征，定期对投资组合类属资产进行优化配置和调整，确定</w:t>
      </w:r>
      <w:r>
        <w:rPr/>
        <w:t>类属资产的最优权重。</w:t>
      </w:r>
    </w:p>
    <w:p>
      <w:pPr>
        <w:pStyle w:val="BodyText"/>
        <w:spacing w:line="364" w:lineRule="auto"/>
        <w:ind w:left="400" w:right="417" w:firstLine="420"/>
        <w:jc w:val="both"/>
      </w:pPr>
      <w:r>
        <w:rPr>
          <w:spacing w:val="-9"/>
        </w:rPr>
        <w:t>在券种选择上，本基金以长期利率趋势分析为基础，结合经济变化趋势、货币政策及不</w:t>
      </w:r>
      <w:r>
        <w:rPr>
          <w:spacing w:val="-7"/>
        </w:rPr>
        <w:t>同债券品种的收益率水平、流动性和信用风险等因素，合理运用投资管理策略，实施积极主</w:t>
      </w:r>
      <w:r>
        <w:rPr/>
        <w:t>动的债券投资管理。</w:t>
      </w:r>
    </w:p>
    <w:p>
      <w:pPr>
        <w:pStyle w:val="BodyText"/>
        <w:spacing w:line="364" w:lineRule="auto"/>
        <w:ind w:left="400" w:right="418" w:firstLine="420"/>
        <w:jc w:val="both"/>
      </w:pPr>
      <w:r>
        <w:rPr>
          <w:spacing w:val="-5"/>
        </w:rPr>
        <w:t>在可转债方面，本基金将投资具有较高成长性或正股价格被低估公司发行的可转债；投资折价交易或底价溢价率较低的可转债，在接近强制赎回点时卖出；及时把握可转债与股票</w:t>
      </w:r>
      <w:r>
        <w:rPr>
          <w:spacing w:val="-12"/>
        </w:rPr>
        <w:t>的套利机会；根据中签率预测和模型定价结果，积极参与可转债新券申购等。基金管理人将</w:t>
      </w:r>
      <w:r>
        <w:rPr/>
        <w:t>动态监控可转债发行主体的信用状况，及时抛售主体信用状况有恶化迹象的可转换债券。</w:t>
      </w:r>
    </w:p>
    <w:p>
      <w:pPr>
        <w:pStyle w:val="BodyText"/>
        <w:spacing w:line="364" w:lineRule="auto"/>
        <w:ind w:left="400" w:right="418" w:firstLine="420"/>
        <w:jc w:val="both"/>
      </w:pPr>
      <w:r>
        <w:rPr>
          <w:spacing w:val="-6"/>
        </w:rPr>
        <w:t>随着国内债券市场的深入发展和结构性变迁，更多债券新品种和交易形式将增加债券投</w:t>
      </w:r>
      <w:r>
        <w:rPr/>
        <w:t>资盈利模式，本基金会密切跟踪市场动态变化，选择合适的介入机会,谋求高于市场平均水平的投资回报。</w:t>
      </w:r>
    </w:p>
    <w:p>
      <w:pPr>
        <w:pStyle w:val="BodyText"/>
        <w:spacing w:line="268" w:lineRule="exact"/>
      </w:pPr>
      <w:r>
        <w:rPr/>
        <w:t>4、存托凭证投资策略</w:t>
      </w:r>
    </w:p>
    <w:p>
      <w:pPr>
        <w:pStyle w:val="BodyText"/>
        <w:spacing w:before="134"/>
      </w:pPr>
      <w:r>
        <w:rPr/>
        <w:t>本基金可投资存托凭证，本基金将结合对宏观经济状况、行业景气度、公司竞争优势、</w:t>
      </w:r>
    </w:p>
    <w:p>
      <w:pPr>
        <w:spacing w:after="0"/>
        <w:sectPr>
          <w:pgSz w:w="11910" w:h="16840"/>
          <w:pgMar w:header="0" w:footer="910" w:top="1380" w:bottom="1180" w:left="1400" w:right="1380"/>
        </w:sectPr>
      </w:pPr>
    </w:p>
    <w:p>
      <w:pPr>
        <w:pStyle w:val="BodyText"/>
        <w:spacing w:before="45"/>
        <w:ind w:left="400"/>
      </w:pPr>
      <w:r>
        <w:rPr/>
        <w:t>公司治理结构、估值水平等因素的分析判断，选择投资价值高的存托凭证进行投资。</w:t>
      </w:r>
    </w:p>
    <w:p>
      <w:pPr>
        <w:pStyle w:val="BodyText"/>
        <w:spacing w:before="139"/>
      </w:pPr>
      <w:r>
        <w:rPr/>
        <w:t>5、权证投资策略</w:t>
      </w:r>
    </w:p>
    <w:p>
      <w:pPr>
        <w:pStyle w:val="BodyText"/>
        <w:spacing w:line="364" w:lineRule="auto" w:before="140"/>
        <w:ind w:left="400" w:right="417" w:firstLine="420"/>
      </w:pPr>
      <w:r>
        <w:rPr>
          <w:spacing w:val="-6"/>
        </w:rPr>
        <w:t>权证为本基金辅助性投资工具，投资原则为有利于基金资产增值、控制下跌风险、实现</w:t>
      </w:r>
      <w:r>
        <w:rPr/>
        <w:t>保值和锁定收益。</w:t>
      </w:r>
    </w:p>
    <w:p>
      <w:pPr>
        <w:pStyle w:val="Heading3"/>
      </w:pPr>
      <w:bookmarkStart w:name="_bookmark46" w:id="47"/>
      <w:bookmarkEnd w:id="47"/>
      <w:r>
        <w:rPr/>
      </w:r>
      <w:r>
        <w:rPr/>
        <w:t>（五）业绩比较基准</w:t>
      </w:r>
    </w:p>
    <w:p>
      <w:pPr>
        <w:pStyle w:val="BodyText"/>
        <w:spacing w:before="185"/>
      </w:pPr>
      <w:r>
        <w:rPr/>
        <w:t>沪深 300 指数收益率×80%+中债总指数收益率×20%</w:t>
      </w:r>
    </w:p>
    <w:p>
      <w:pPr>
        <w:pStyle w:val="BodyText"/>
        <w:spacing w:line="364" w:lineRule="auto" w:before="139"/>
        <w:ind w:left="400" w:right="418" w:firstLine="420"/>
      </w:pPr>
      <w:r>
        <w:rPr>
          <w:spacing w:val="-5"/>
        </w:rPr>
        <w:t>如果指数编制单位停止计算编制该指数或更改指数名称、或有更权威的、更能为市场普</w:t>
      </w:r>
      <w:r>
        <w:rPr/>
        <w:t>遍接受的业绩比较基准推出，本基金管理人有权对此基准进行调整并及时公告。</w:t>
      </w:r>
    </w:p>
    <w:p>
      <w:pPr>
        <w:pStyle w:val="BodyText"/>
        <w:spacing w:line="364" w:lineRule="auto"/>
        <w:ind w:left="400" w:right="418" w:firstLine="420"/>
        <w:jc w:val="both"/>
      </w:pPr>
      <w:r>
        <w:rPr>
          <w:spacing w:val="-9"/>
        </w:rPr>
        <w:t>本基金为混合基金，在考虑了基金股票组合的投资标的、构建流程以及市场上各个股票</w:t>
      </w:r>
      <w:r>
        <w:rPr>
          <w:spacing w:val="-7"/>
        </w:rPr>
        <w:t>指数的编制方法和历史情况后，我们选定沪深 </w:t>
      </w:r>
      <w:r>
        <w:rPr/>
        <w:t>300</w:t>
      </w:r>
      <w:r>
        <w:rPr>
          <w:spacing w:val="-12"/>
        </w:rPr>
        <w:t> 指数、中债总指数作为本基金的业绩比较</w:t>
      </w:r>
      <w:r>
        <w:rPr/>
        <w:t>基准。</w:t>
      </w:r>
    </w:p>
    <w:p>
      <w:pPr>
        <w:pStyle w:val="BodyText"/>
        <w:spacing w:line="364" w:lineRule="auto"/>
        <w:ind w:left="400" w:right="418" w:firstLine="420"/>
        <w:jc w:val="both"/>
      </w:pPr>
      <w:r>
        <w:rPr>
          <w:spacing w:val="-5"/>
        </w:rPr>
        <w:t>本基金的股票投资比例为 </w:t>
      </w:r>
      <w:r>
        <w:rPr>
          <w:spacing w:val="-6"/>
        </w:rPr>
        <w:t>60%-95%</w:t>
      </w:r>
      <w:r>
        <w:rPr>
          <w:spacing w:val="-3"/>
        </w:rPr>
        <w:t>，业绩比较基准中的资产配置比例可以反映本基金的</w:t>
      </w:r>
      <w:r>
        <w:rPr/>
        <w:t>风险收益特征。</w:t>
      </w:r>
    </w:p>
    <w:p>
      <w:pPr>
        <w:pStyle w:val="Heading3"/>
      </w:pPr>
      <w:bookmarkStart w:name="_bookmark47" w:id="48"/>
      <w:bookmarkEnd w:id="48"/>
      <w:r>
        <w:rPr/>
      </w:r>
      <w:r>
        <w:rPr/>
        <w:t>（六）风险收益特征</w:t>
      </w:r>
    </w:p>
    <w:p>
      <w:pPr>
        <w:pStyle w:val="BodyText"/>
        <w:spacing w:line="364" w:lineRule="auto" w:before="183"/>
        <w:ind w:left="400" w:right="418" w:firstLine="420"/>
      </w:pPr>
      <w:r>
        <w:rPr>
          <w:spacing w:val="-9"/>
        </w:rPr>
        <w:t>本基金是混合基金，理论上其风险收益水平高于债券基金和货币市场基金，低于股票基</w:t>
      </w:r>
      <w:r>
        <w:rPr/>
        <w:t>金。</w:t>
      </w:r>
    </w:p>
    <w:p>
      <w:pPr>
        <w:pStyle w:val="Heading3"/>
      </w:pPr>
      <w:bookmarkStart w:name="_bookmark48" w:id="49"/>
      <w:bookmarkEnd w:id="49"/>
      <w:r>
        <w:rPr/>
      </w:r>
      <w:r>
        <w:rPr/>
        <w:t>（七）投资决策</w:t>
      </w:r>
    </w:p>
    <w:p>
      <w:pPr>
        <w:pStyle w:val="BodyText"/>
        <w:spacing w:before="185"/>
      </w:pPr>
      <w:r>
        <w:rPr/>
        <w:t>1、投资决策程序</w:t>
      </w:r>
    </w:p>
    <w:p>
      <w:pPr>
        <w:pStyle w:val="ListParagraph"/>
        <w:numPr>
          <w:ilvl w:val="0"/>
          <w:numId w:val="15"/>
        </w:numPr>
        <w:tabs>
          <w:tab w:pos="1346" w:val="left" w:leader="none"/>
        </w:tabs>
        <w:spacing w:line="240" w:lineRule="auto" w:before="139" w:after="0"/>
        <w:ind w:left="1346" w:right="0" w:hanging="526"/>
        <w:jc w:val="left"/>
        <w:rPr>
          <w:sz w:val="21"/>
        </w:rPr>
      </w:pPr>
      <w:r>
        <w:rPr>
          <w:sz w:val="21"/>
        </w:rPr>
        <w:t>投资决策依据</w:t>
      </w:r>
    </w:p>
    <w:p>
      <w:pPr>
        <w:pStyle w:val="ListParagraph"/>
        <w:numPr>
          <w:ilvl w:val="0"/>
          <w:numId w:val="16"/>
        </w:numPr>
        <w:tabs>
          <w:tab w:pos="1136" w:val="left" w:leader="none"/>
        </w:tabs>
        <w:spacing w:line="240" w:lineRule="auto" w:before="140" w:after="0"/>
        <w:ind w:left="1136" w:right="0" w:hanging="316"/>
        <w:jc w:val="left"/>
        <w:rPr>
          <w:sz w:val="21"/>
        </w:rPr>
      </w:pPr>
      <w:r>
        <w:rPr>
          <w:sz w:val="21"/>
        </w:rPr>
        <w:t>国家有关法律、法规和《基金合同》的规定。</w:t>
      </w:r>
    </w:p>
    <w:p>
      <w:pPr>
        <w:pStyle w:val="ListParagraph"/>
        <w:numPr>
          <w:ilvl w:val="0"/>
          <w:numId w:val="16"/>
        </w:numPr>
        <w:tabs>
          <w:tab w:pos="1136" w:val="left" w:leader="none"/>
        </w:tabs>
        <w:spacing w:line="240" w:lineRule="auto" w:before="139" w:after="0"/>
        <w:ind w:left="1136" w:right="0" w:hanging="316"/>
        <w:jc w:val="left"/>
        <w:rPr>
          <w:sz w:val="21"/>
        </w:rPr>
      </w:pPr>
      <w:r>
        <w:rPr>
          <w:sz w:val="21"/>
        </w:rPr>
        <w:t>政治形势、政策趋势和宏观经济形势。</w:t>
      </w:r>
    </w:p>
    <w:p>
      <w:pPr>
        <w:pStyle w:val="ListParagraph"/>
        <w:numPr>
          <w:ilvl w:val="0"/>
          <w:numId w:val="16"/>
        </w:numPr>
        <w:tabs>
          <w:tab w:pos="1136" w:val="left" w:leader="none"/>
        </w:tabs>
        <w:spacing w:line="240" w:lineRule="auto" w:before="140" w:after="0"/>
        <w:ind w:left="1136" w:right="0" w:hanging="316"/>
        <w:jc w:val="left"/>
        <w:rPr>
          <w:sz w:val="21"/>
        </w:rPr>
      </w:pPr>
      <w:r>
        <w:rPr>
          <w:sz w:val="21"/>
        </w:rPr>
        <w:t>行业和上市公司基本面。</w:t>
      </w:r>
    </w:p>
    <w:p>
      <w:pPr>
        <w:pStyle w:val="ListParagraph"/>
        <w:numPr>
          <w:ilvl w:val="0"/>
          <w:numId w:val="16"/>
        </w:numPr>
        <w:tabs>
          <w:tab w:pos="1136" w:val="left" w:leader="none"/>
        </w:tabs>
        <w:spacing w:line="240" w:lineRule="auto" w:before="139" w:after="0"/>
        <w:ind w:left="1136" w:right="0" w:hanging="316"/>
        <w:jc w:val="left"/>
        <w:rPr>
          <w:sz w:val="21"/>
        </w:rPr>
      </w:pPr>
      <w:r>
        <w:rPr>
          <w:sz w:val="21"/>
        </w:rPr>
        <w:t>证券市场发展趋势。</w:t>
      </w:r>
    </w:p>
    <w:p>
      <w:pPr>
        <w:pStyle w:val="ListParagraph"/>
        <w:numPr>
          <w:ilvl w:val="0"/>
          <w:numId w:val="15"/>
        </w:numPr>
        <w:tabs>
          <w:tab w:pos="1346" w:val="left" w:leader="none"/>
        </w:tabs>
        <w:spacing w:line="240" w:lineRule="auto" w:before="139" w:after="0"/>
        <w:ind w:left="1346" w:right="0" w:hanging="526"/>
        <w:jc w:val="left"/>
        <w:rPr>
          <w:sz w:val="21"/>
        </w:rPr>
      </w:pPr>
      <w:r>
        <w:rPr>
          <w:sz w:val="21"/>
        </w:rPr>
        <w:t>投资决策流程</w:t>
      </w:r>
    </w:p>
    <w:p>
      <w:pPr>
        <w:pStyle w:val="ListParagraph"/>
        <w:numPr>
          <w:ilvl w:val="0"/>
          <w:numId w:val="17"/>
        </w:numPr>
        <w:tabs>
          <w:tab w:pos="1136" w:val="left" w:leader="none"/>
        </w:tabs>
        <w:spacing w:line="240" w:lineRule="auto" w:before="140" w:after="0"/>
        <w:ind w:left="1136" w:right="0" w:hanging="316"/>
        <w:jc w:val="left"/>
        <w:rPr>
          <w:sz w:val="21"/>
        </w:rPr>
      </w:pPr>
      <w:r>
        <w:rPr>
          <w:sz w:val="21"/>
        </w:rPr>
        <w:t>基金经理制定资产配置计划，按制度提交审议并实施；</w:t>
      </w:r>
    </w:p>
    <w:p>
      <w:pPr>
        <w:pStyle w:val="ListParagraph"/>
        <w:numPr>
          <w:ilvl w:val="0"/>
          <w:numId w:val="17"/>
        </w:numPr>
        <w:tabs>
          <w:tab w:pos="1136" w:val="left" w:leader="none"/>
        </w:tabs>
        <w:spacing w:line="240" w:lineRule="auto" w:before="139" w:after="0"/>
        <w:ind w:left="1136" w:right="0" w:hanging="316"/>
        <w:jc w:val="left"/>
        <w:rPr>
          <w:sz w:val="21"/>
        </w:rPr>
      </w:pPr>
      <w:r>
        <w:rPr>
          <w:sz w:val="21"/>
        </w:rPr>
        <w:t>研究员为投资运作提供研究支持。</w:t>
      </w:r>
    </w:p>
    <w:p>
      <w:pPr>
        <w:pStyle w:val="BodyText"/>
        <w:spacing w:before="140"/>
      </w:pPr>
      <w:r>
        <w:rPr/>
        <w:t>2、投资交易程序</w:t>
      </w:r>
    </w:p>
    <w:p>
      <w:pPr>
        <w:pStyle w:val="BodyText"/>
        <w:spacing w:line="364" w:lineRule="auto" w:before="139"/>
        <w:ind w:left="400" w:right="418" w:firstLine="420"/>
        <w:jc w:val="both"/>
      </w:pPr>
      <w:r>
        <w:rPr>
          <w:spacing w:val="-6"/>
        </w:rPr>
        <w:t>基金管理人设置独立的集中交易室，基金经理下达的投资指令通过集中交易室实施。集中交易室接到基金经理的投资指令后，根据有关规定对投资指令的合规性、合理性和有效性</w:t>
      </w:r>
      <w:r>
        <w:rPr/>
        <w:t>进行检查，确保投资指令在合法、合规的前提下得到高效的执行。</w:t>
      </w:r>
    </w:p>
    <w:p>
      <w:pPr>
        <w:pStyle w:val="BodyText"/>
        <w:spacing w:line="268" w:lineRule="exact"/>
      </w:pPr>
      <w:r>
        <w:rPr/>
        <w:t>3、投资风险的监控和管理</w:t>
      </w:r>
    </w:p>
    <w:p>
      <w:pPr>
        <w:pStyle w:val="ListParagraph"/>
        <w:numPr>
          <w:ilvl w:val="0"/>
          <w:numId w:val="18"/>
        </w:numPr>
        <w:tabs>
          <w:tab w:pos="1347" w:val="left" w:leader="none"/>
        </w:tabs>
        <w:spacing w:line="364" w:lineRule="auto" w:before="140" w:after="0"/>
        <w:ind w:left="400" w:right="418" w:firstLine="420"/>
        <w:jc w:val="left"/>
        <w:rPr>
          <w:sz w:val="21"/>
        </w:rPr>
      </w:pPr>
      <w:r>
        <w:rPr>
          <w:sz w:val="21"/>
        </w:rPr>
        <w:t>监察合规管理部门对基金的日常投资和交易是否遵守法律法规、基金合同进行独立监督检查。</w:t>
      </w:r>
    </w:p>
    <w:p>
      <w:pPr>
        <w:spacing w:after="0" w:line="364" w:lineRule="auto"/>
        <w:jc w:val="left"/>
        <w:rPr>
          <w:sz w:val="21"/>
        </w:rPr>
        <w:sectPr>
          <w:pgSz w:w="11910" w:h="16840"/>
          <w:pgMar w:header="0" w:footer="910" w:top="1380" w:bottom="1180" w:left="1400" w:right="1380"/>
        </w:sectPr>
      </w:pPr>
    </w:p>
    <w:p>
      <w:pPr>
        <w:pStyle w:val="ListParagraph"/>
        <w:numPr>
          <w:ilvl w:val="0"/>
          <w:numId w:val="18"/>
        </w:numPr>
        <w:tabs>
          <w:tab w:pos="1347" w:val="left" w:leader="none"/>
        </w:tabs>
        <w:spacing w:line="364" w:lineRule="auto" w:before="45" w:after="0"/>
        <w:ind w:left="400" w:right="418" w:firstLine="420"/>
        <w:jc w:val="left"/>
        <w:rPr>
          <w:sz w:val="21"/>
        </w:rPr>
      </w:pPr>
      <w:r>
        <w:rPr>
          <w:sz w:val="21"/>
        </w:rPr>
        <w:t>投资风险管理部定期出具基金绩效评估和风险管理报告，供基金经理调整投资组合时参考。</w:t>
      </w:r>
    </w:p>
    <w:p>
      <w:pPr>
        <w:pStyle w:val="Heading3"/>
      </w:pPr>
      <w:bookmarkStart w:name="_bookmark49" w:id="50"/>
      <w:bookmarkEnd w:id="50"/>
      <w:r>
        <w:rPr/>
      </w:r>
      <w:r>
        <w:rPr/>
        <w:t>（八）投资限制</w:t>
      </w:r>
    </w:p>
    <w:p>
      <w:pPr>
        <w:pStyle w:val="BodyText"/>
        <w:spacing w:before="185"/>
      </w:pPr>
      <w:r>
        <w:rPr/>
        <w:t>根据目前法律法规的规定，以及本基金的投资策略，本基金的投资组合将遵循以下限制：</w:t>
      </w:r>
    </w:p>
    <w:p>
      <w:pPr>
        <w:pStyle w:val="BodyText"/>
        <w:spacing w:before="139"/>
      </w:pPr>
      <w:r>
        <w:rPr/>
        <w:t>1、本基金持有一家上市公司的股票，其市值不超过基金资产净值的 10%；</w:t>
      </w:r>
    </w:p>
    <w:p>
      <w:pPr>
        <w:pStyle w:val="BodyText"/>
        <w:spacing w:line="364" w:lineRule="auto" w:before="140"/>
        <w:ind w:left="400" w:right="418" w:firstLine="420"/>
      </w:pPr>
      <w:r>
        <w:rPr/>
        <w:t>2、本基金与基金管理人管理的其他基金持有一家公司发行的证券总和，不超过该证券的 10%；</w:t>
      </w:r>
    </w:p>
    <w:p>
      <w:pPr>
        <w:pStyle w:val="BodyText"/>
        <w:spacing w:line="364" w:lineRule="auto"/>
        <w:ind w:left="400" w:right="418" w:firstLine="420"/>
      </w:pPr>
      <w:r>
        <w:rPr/>
        <w:t>3</w:t>
      </w:r>
      <w:r>
        <w:rPr>
          <w:spacing w:val="-5"/>
        </w:rPr>
        <w:t>、股票资产占基金资产的 </w:t>
      </w:r>
      <w:r>
        <w:rPr>
          <w:spacing w:val="-6"/>
        </w:rPr>
        <w:t>60%—95%</w:t>
      </w:r>
      <w:r>
        <w:rPr>
          <w:spacing w:val="-3"/>
        </w:rPr>
        <w:t>；债券、资产支持证券、权证、货币市场工具以及中国证监会允许基金投资的其他证券品种占基金资产的 </w:t>
      </w:r>
      <w:r>
        <w:rPr/>
        <w:t>5%-40%；</w:t>
      </w:r>
    </w:p>
    <w:p>
      <w:pPr>
        <w:pStyle w:val="BodyText"/>
        <w:spacing w:line="364" w:lineRule="auto"/>
        <w:ind w:left="400" w:right="418" w:firstLine="420"/>
      </w:pPr>
      <w:r>
        <w:rPr/>
        <w:t>4、本基金财产参与股票发行申购，所申报的金额不超过本基金总资产，本基金所申报的股票数量不超过拟发行股票公司本次发行股票的总量；</w:t>
      </w:r>
    </w:p>
    <w:p>
      <w:pPr>
        <w:pStyle w:val="BodyText"/>
        <w:spacing w:line="268" w:lineRule="exact"/>
      </w:pPr>
      <w:r>
        <w:rPr/>
        <w:t>5、在全国银行间同业市场中的债券回购最长期限为 1 年，债券回购到期后不展期；</w:t>
      </w:r>
    </w:p>
    <w:p>
      <w:pPr>
        <w:pStyle w:val="BodyText"/>
        <w:spacing w:before="137"/>
      </w:pPr>
      <w:r>
        <w:rPr/>
        <w:t>6、在银行间市场进行债券回购融入的资金余额不超过基金资产净值的 40%；</w:t>
      </w:r>
    </w:p>
    <w:p>
      <w:pPr>
        <w:pStyle w:val="BodyText"/>
        <w:spacing w:line="364" w:lineRule="auto" w:before="140"/>
        <w:ind w:left="400" w:right="418" w:firstLine="420"/>
      </w:pPr>
      <w:r>
        <w:rPr/>
        <w:t>7、基金的投资组合中保留的现金或者到期日在一年以内的政府债券的比例合计不低于基金资产净值的 5%，现金不包括结算备付金、存出保证金、应收申购款等；</w:t>
      </w:r>
    </w:p>
    <w:p>
      <w:pPr>
        <w:pStyle w:val="BodyText"/>
        <w:spacing w:line="268" w:lineRule="exact"/>
      </w:pPr>
      <w:r>
        <w:rPr/>
        <w:t>8、权证投资比例遵照《关于股权分置改革中证券投资基金投资权证有关问题的通知》</w:t>
      </w:r>
    </w:p>
    <w:p>
      <w:pPr>
        <w:pStyle w:val="BodyText"/>
        <w:spacing w:before="139"/>
        <w:ind w:left="400"/>
      </w:pPr>
      <w:r>
        <w:rPr/>
        <w:t>（证监基金字[2005]138 号）及相关规定执行；</w:t>
      </w:r>
    </w:p>
    <w:p>
      <w:pPr>
        <w:pStyle w:val="BodyText"/>
        <w:spacing w:before="140"/>
      </w:pPr>
      <w:r>
        <w:rPr/>
        <w:t>9、资产支持证券投资比例遵照《关于证券投资基金投资资产支持证券有关事项的通知》</w:t>
      </w:r>
    </w:p>
    <w:p>
      <w:pPr>
        <w:pStyle w:val="BodyText"/>
        <w:spacing w:before="139"/>
        <w:ind w:left="400"/>
      </w:pPr>
      <w:r>
        <w:rPr/>
        <w:t>（证监基金字[2006]93 号）及相关规定执行；</w:t>
      </w:r>
    </w:p>
    <w:p>
      <w:pPr>
        <w:pStyle w:val="BodyText"/>
        <w:spacing w:line="364" w:lineRule="auto" w:before="140"/>
        <w:ind w:left="400" w:right="418" w:firstLine="420"/>
      </w:pPr>
      <w:r>
        <w:rPr/>
        <w:t>10</w:t>
      </w:r>
      <w:r>
        <w:rPr>
          <w:spacing w:val="-12"/>
        </w:rPr>
        <w:t>、流通受限证券投资遵照《关于基金投资非公开发行股票等流通受限证券有关问题的</w:t>
      </w:r>
      <w:r>
        <w:rPr/>
        <w:t>通知》（证监基金字[2006]141</w:t>
      </w:r>
      <w:r>
        <w:rPr>
          <w:spacing w:val="-27"/>
        </w:rPr>
        <w:t> 号</w:t>
      </w:r>
      <w:r>
        <w:rPr/>
        <w:t>）及相关规定执行；</w:t>
      </w:r>
    </w:p>
    <w:p>
      <w:pPr>
        <w:pStyle w:val="BodyText"/>
        <w:spacing w:line="364" w:lineRule="auto"/>
        <w:ind w:left="400" w:right="418" w:firstLine="424"/>
        <w:jc w:val="both"/>
      </w:pPr>
      <w:r>
        <w:rPr/>
        <w:t>11</w:t>
      </w:r>
      <w:r>
        <w:rPr>
          <w:spacing w:val="-11"/>
        </w:rPr>
        <w:t>、本基金管理人管理的全部开放式基金持有一家上市公司发行的可流通股票，不得超</w:t>
      </w:r>
      <w:r>
        <w:rPr>
          <w:spacing w:val="-4"/>
        </w:rPr>
        <w:t>过该上市公司可流通股票的 </w:t>
      </w:r>
      <w:r>
        <w:rPr>
          <w:spacing w:val="-11"/>
        </w:rPr>
        <w:t>15%</w:t>
      </w:r>
      <w:r>
        <w:rPr>
          <w:spacing w:val="-4"/>
        </w:rPr>
        <w:t>；本基金管理人管理的全部投资组合持有一家上市公司发行</w:t>
      </w:r>
      <w:r>
        <w:rPr>
          <w:spacing w:val="-3"/>
        </w:rPr>
        <w:t>的可流通股票，不得超过该上市公司可流通股票的 </w:t>
      </w:r>
      <w:r>
        <w:rPr/>
        <w:t>30%。</w:t>
      </w:r>
    </w:p>
    <w:p>
      <w:pPr>
        <w:pStyle w:val="BodyText"/>
        <w:spacing w:line="364" w:lineRule="auto"/>
        <w:ind w:left="824" w:right="418"/>
        <w:jc w:val="both"/>
      </w:pPr>
      <w:r>
        <w:rPr/>
        <w:t>12</w:t>
      </w:r>
      <w:r>
        <w:rPr>
          <w:spacing w:val="-2"/>
        </w:rPr>
        <w:t>、本基金主动投资于流动性受限资产的市值合计不得超过该基金资产净值的 </w:t>
      </w:r>
      <w:r>
        <w:rPr/>
        <w:t>15%。</w:t>
      </w:r>
      <w:r>
        <w:rPr>
          <w:spacing w:val="-11"/>
        </w:rPr>
        <w:t>因证券市场波动、上市公司股票停牌、基金规模变动等基金管理人之外的因素致使基金</w:t>
      </w:r>
    </w:p>
    <w:p>
      <w:pPr>
        <w:pStyle w:val="BodyText"/>
        <w:spacing w:line="268" w:lineRule="exact"/>
        <w:ind w:left="400"/>
      </w:pPr>
      <w:r>
        <w:rPr/>
        <w:t>不符合前款所规定比例限制的，基金管理人不得主动新增流动性受限资产的投资。</w:t>
      </w:r>
    </w:p>
    <w:p>
      <w:pPr>
        <w:pStyle w:val="BodyText"/>
        <w:spacing w:line="364" w:lineRule="auto" w:before="137"/>
        <w:ind w:left="400" w:right="418" w:firstLine="424"/>
      </w:pPr>
      <w:r>
        <w:rPr/>
        <w:t>13</w:t>
      </w:r>
      <w:r>
        <w:rPr>
          <w:spacing w:val="-12"/>
        </w:rPr>
        <w:t>、本基金与私募类证券资管产品及中国证监会认定的其他主体为交易对手开展逆回购</w:t>
      </w:r>
      <w:r>
        <w:rPr/>
        <w:t>交易的，可接受质押品的资质要求应当与基金合同约定的投资范围保持一致。</w:t>
      </w:r>
    </w:p>
    <w:p>
      <w:pPr>
        <w:pStyle w:val="BodyText"/>
        <w:spacing w:line="364" w:lineRule="auto"/>
        <w:ind w:left="400" w:right="418" w:firstLine="424"/>
      </w:pPr>
      <w:r>
        <w:rPr/>
        <w:t>14</w:t>
      </w:r>
      <w:r>
        <w:rPr>
          <w:spacing w:val="-11"/>
        </w:rPr>
        <w:t>、本基金投资存托凭证的比例限制依照境内上市交易的股票执行，与境内上市交易的</w:t>
      </w:r>
      <w:r>
        <w:rPr/>
        <w:t>股票合并计算。</w:t>
      </w:r>
    </w:p>
    <w:p>
      <w:pPr>
        <w:pStyle w:val="BodyText"/>
        <w:spacing w:line="268" w:lineRule="exact"/>
        <w:ind w:left="824"/>
      </w:pPr>
      <w:r>
        <w:rPr/>
        <w:t>15、法律法规、基金合同及中国证监会规定的其他比例限制。</w:t>
      </w:r>
    </w:p>
    <w:p>
      <w:pPr>
        <w:pStyle w:val="BodyText"/>
        <w:spacing w:line="364" w:lineRule="auto" w:before="138"/>
        <w:ind w:left="400" w:right="418" w:firstLine="424"/>
      </w:pPr>
      <w:r>
        <w:rPr>
          <w:spacing w:val="-6"/>
        </w:rPr>
        <w:t>如法律法规或监管部门取消上述限制性规定，本基金不受上述规定的限制。法律法规或</w:t>
      </w:r>
      <w:r>
        <w:rPr>
          <w:spacing w:val="-5"/>
        </w:rPr>
        <w:t>监管部门对上述投资限制另有规定的，本基金合同将从其规定；基金管理人可依据法律法规</w:t>
      </w:r>
    </w:p>
    <w:p>
      <w:pPr>
        <w:spacing w:after="0" w:line="364" w:lineRule="auto"/>
        <w:sectPr>
          <w:pgSz w:w="11910" w:h="16840"/>
          <w:pgMar w:header="0" w:footer="910" w:top="1380" w:bottom="1180" w:left="1400" w:right="1380"/>
        </w:sectPr>
      </w:pPr>
    </w:p>
    <w:p>
      <w:pPr>
        <w:pStyle w:val="BodyText"/>
        <w:spacing w:line="364" w:lineRule="auto" w:before="45"/>
        <w:ind w:left="400" w:right="418"/>
      </w:pPr>
      <w:r>
        <w:rPr>
          <w:spacing w:val="-7"/>
        </w:rPr>
        <w:t>或监管部门规定直接进行变更，在变更前 </w:t>
      </w:r>
      <w:r>
        <w:rPr/>
        <w:t>2</w:t>
      </w:r>
      <w:r>
        <w:rPr>
          <w:spacing w:val="-12"/>
        </w:rPr>
        <w:t> 日内在指定媒介上发布公告，此项合同修改无须</w:t>
      </w:r>
      <w:r>
        <w:rPr/>
        <w:t>召开基金份额持有人大会。</w:t>
      </w:r>
    </w:p>
    <w:p>
      <w:pPr>
        <w:pStyle w:val="Heading3"/>
      </w:pPr>
      <w:bookmarkStart w:name="_bookmark50" w:id="51"/>
      <w:bookmarkEnd w:id="51"/>
      <w:r>
        <w:rPr/>
      </w:r>
      <w:r>
        <w:rPr/>
        <w:t>（九）禁止行为</w:t>
      </w:r>
    </w:p>
    <w:p>
      <w:pPr>
        <w:pStyle w:val="BodyText"/>
        <w:spacing w:before="185"/>
        <w:ind w:left="824"/>
      </w:pPr>
      <w:r>
        <w:rPr/>
        <w:t>为维护基金份额持有人的合法权益，本基金禁止从事下列行为：</w:t>
      </w:r>
    </w:p>
    <w:p>
      <w:pPr>
        <w:pStyle w:val="BodyText"/>
        <w:spacing w:before="139"/>
        <w:ind w:left="824"/>
      </w:pPr>
      <w:r>
        <w:rPr/>
        <w:t>1、承销证券；</w:t>
      </w:r>
    </w:p>
    <w:p>
      <w:pPr>
        <w:pStyle w:val="BodyText"/>
        <w:spacing w:before="140"/>
        <w:ind w:left="824"/>
      </w:pPr>
      <w:r>
        <w:rPr/>
        <w:t>2、违反规定向他人贷款或者提供担保；</w:t>
      </w:r>
    </w:p>
    <w:p>
      <w:pPr>
        <w:pStyle w:val="BodyText"/>
        <w:spacing w:before="139"/>
        <w:ind w:left="824"/>
      </w:pPr>
      <w:r>
        <w:rPr/>
        <w:t>3、从事承担无限责任的投资；</w:t>
      </w:r>
    </w:p>
    <w:p>
      <w:pPr>
        <w:pStyle w:val="BodyText"/>
        <w:spacing w:before="140"/>
        <w:ind w:left="824"/>
      </w:pPr>
      <w:r>
        <w:rPr/>
        <w:t>4、买卖其他基金份额，但是中国证监会另有规定的除外；</w:t>
      </w:r>
    </w:p>
    <w:p>
      <w:pPr>
        <w:pStyle w:val="BodyText"/>
        <w:spacing w:before="139"/>
      </w:pPr>
      <w:r>
        <w:rPr/>
        <w:t>5、向本基金的基金管理人、基金托管人出资；</w:t>
      </w:r>
    </w:p>
    <w:p>
      <w:pPr>
        <w:pStyle w:val="BodyText"/>
        <w:spacing w:before="140"/>
        <w:ind w:left="824"/>
      </w:pPr>
      <w:r>
        <w:rPr/>
        <w:t>6、从事内幕交易、操纵证券交易价格及其他不正当的证券交易活动；</w:t>
      </w:r>
    </w:p>
    <w:p>
      <w:pPr>
        <w:pStyle w:val="BodyText"/>
        <w:spacing w:before="139"/>
        <w:ind w:left="824"/>
      </w:pPr>
      <w:r>
        <w:rPr/>
        <w:t>7、法律、行政法规和中国证监会规定禁止的其他活动。</w:t>
      </w:r>
    </w:p>
    <w:p>
      <w:pPr>
        <w:pStyle w:val="BodyText"/>
        <w:spacing w:before="139"/>
        <w:ind w:left="824"/>
      </w:pPr>
      <w:r>
        <w:rPr/>
        <w:t>如法律法规或监管部门取消上述禁止性规定，本基金不受上述规定的限制。</w:t>
      </w:r>
    </w:p>
    <w:p>
      <w:pPr>
        <w:pStyle w:val="Heading3"/>
        <w:spacing w:before="141"/>
      </w:pPr>
      <w:bookmarkStart w:name="_bookmark51" w:id="52"/>
      <w:bookmarkEnd w:id="52"/>
      <w:r>
        <w:rPr/>
      </w:r>
      <w:r>
        <w:rPr/>
        <w:t>（十）基金管理人代表基金行使所投资证券产生权利的处理原则及方法</w:t>
      </w:r>
    </w:p>
    <w:p>
      <w:pPr>
        <w:pStyle w:val="BodyText"/>
        <w:spacing w:before="185"/>
        <w:ind w:left="824"/>
      </w:pPr>
      <w:r>
        <w:rPr/>
        <w:t>1、不谋求对上市公司的控股，不参与所投资上市公司的经营管理；</w:t>
      </w:r>
    </w:p>
    <w:p>
      <w:pPr>
        <w:pStyle w:val="BodyText"/>
        <w:spacing w:before="139"/>
      </w:pPr>
      <w:r>
        <w:rPr/>
        <w:t>2、有利于基金资产的安全与增值；</w:t>
      </w:r>
    </w:p>
    <w:p>
      <w:pPr>
        <w:pStyle w:val="BodyText"/>
        <w:spacing w:line="364" w:lineRule="auto" w:before="140"/>
        <w:ind w:left="400" w:right="418" w:firstLine="424"/>
      </w:pPr>
      <w:r>
        <w:rPr/>
        <w:t>3、基金管理人按照国家有关规定代表基金独立行使股东和债权人权利，保护基金投资者的利益。</w:t>
      </w:r>
    </w:p>
    <w:p>
      <w:pPr>
        <w:pStyle w:val="Heading3"/>
      </w:pPr>
      <w:bookmarkStart w:name="_bookmark52" w:id="53"/>
      <w:bookmarkEnd w:id="53"/>
      <w:r>
        <w:rPr/>
      </w:r>
      <w:r>
        <w:rPr/>
        <w:t>（十一）投资组合比例调整</w:t>
      </w:r>
    </w:p>
    <w:p>
      <w:pPr>
        <w:pStyle w:val="BodyText"/>
        <w:spacing w:line="364" w:lineRule="auto" w:before="185"/>
        <w:ind w:left="400" w:right="418" w:firstLine="420"/>
        <w:jc w:val="both"/>
      </w:pPr>
      <w:r>
        <w:rPr>
          <w:spacing w:val="-10"/>
        </w:rPr>
        <w:t>因证券市场波动、上市公司合并、基金规模变动等基金管理人之外的因素致使基金投资</w:t>
      </w:r>
      <w:r>
        <w:rPr>
          <w:spacing w:val="-2"/>
        </w:rPr>
        <w:t>不符合基金合同约定的投资比例规定的，基金管理人应当在 </w:t>
      </w:r>
      <w:r>
        <w:rPr/>
        <w:t>10</w:t>
      </w:r>
      <w:r>
        <w:rPr>
          <w:spacing w:val="-8"/>
        </w:rPr>
        <w:t> 个交易日内进行调整。法律法规另有规定的从其规定。</w:t>
      </w:r>
    </w:p>
    <w:p>
      <w:pPr>
        <w:pStyle w:val="Heading3"/>
        <w:spacing w:line="358" w:lineRule="exact"/>
      </w:pPr>
      <w:bookmarkStart w:name="_bookmark53" w:id="54"/>
      <w:bookmarkEnd w:id="54"/>
      <w:r>
        <w:rPr/>
      </w:r>
      <w:r>
        <w:rPr/>
        <w:t>（十二）基金的融资融券</w:t>
      </w:r>
    </w:p>
    <w:p>
      <w:pPr>
        <w:pStyle w:val="BodyText"/>
        <w:spacing w:before="185"/>
        <w:ind w:left="400"/>
      </w:pPr>
      <w:r>
        <w:rPr/>
        <w:t>本基金可以根据届时有效的有关法律法规和政策的规定进行融资融券。</w:t>
      </w:r>
    </w:p>
    <w:p>
      <w:pPr>
        <w:pStyle w:val="Heading3"/>
        <w:spacing w:before="140"/>
      </w:pPr>
      <w:bookmarkStart w:name="_bookmark54" w:id="55"/>
      <w:bookmarkEnd w:id="55"/>
      <w:r>
        <w:rPr/>
      </w:r>
      <w:r>
        <w:rPr/>
        <w:t>（十三）基金投资组合报告(未经审计)</w:t>
      </w:r>
    </w:p>
    <w:p>
      <w:pPr>
        <w:pStyle w:val="BodyText"/>
        <w:spacing w:line="364" w:lineRule="auto" w:before="185"/>
        <w:ind w:left="400" w:right="4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400" w:right="208" w:firstLine="420"/>
      </w:pPr>
      <w:r>
        <w:rPr/>
        <w:t>本基金的托管人交通银行股份有限公司根据本基金合同的规定，复核了本报告的内容， 保证复核内容不存在虚假记载、误导性陈述或者重大遗漏。</w:t>
      </w:r>
    </w:p>
    <w:p>
      <w:pPr>
        <w:pStyle w:val="BodyText"/>
        <w:spacing w:line="364" w:lineRule="auto"/>
        <w:ind w:right="1480"/>
      </w:pP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1、报告期末基金资产组合情况</w:t>
      </w: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809" w:hRule="atLeast"/>
        </w:trPr>
        <w:tc>
          <w:tcPr>
            <w:tcW w:w="665" w:type="dxa"/>
          </w:tcPr>
          <w:p>
            <w:pPr>
              <w:pStyle w:val="TableParagraph"/>
              <w:spacing w:before="11"/>
              <w:rPr>
                <w:sz w:val="21"/>
              </w:rPr>
            </w:pPr>
          </w:p>
          <w:p>
            <w:pPr>
              <w:pStyle w:val="TableParagraph"/>
              <w:ind w:left="131"/>
              <w:rPr>
                <w:sz w:val="21"/>
              </w:rPr>
            </w:pPr>
            <w:r>
              <w:rPr>
                <w:sz w:val="21"/>
              </w:rPr>
              <w:t>序号</w:t>
            </w:r>
          </w:p>
        </w:tc>
        <w:tc>
          <w:tcPr>
            <w:tcW w:w="3007" w:type="dxa"/>
          </w:tcPr>
          <w:p>
            <w:pPr>
              <w:pStyle w:val="TableParagraph"/>
              <w:spacing w:before="11"/>
              <w:rPr>
                <w:sz w:val="21"/>
              </w:rPr>
            </w:pPr>
          </w:p>
          <w:p>
            <w:pPr>
              <w:pStyle w:val="TableParagraph"/>
              <w:ind w:left="1281" w:right="1255"/>
              <w:jc w:val="center"/>
              <w:rPr>
                <w:sz w:val="21"/>
              </w:rPr>
            </w:pPr>
            <w:r>
              <w:rPr>
                <w:sz w:val="21"/>
              </w:rPr>
              <w:t>项目</w:t>
            </w:r>
          </w:p>
        </w:tc>
        <w:tc>
          <w:tcPr>
            <w:tcW w:w="2669" w:type="dxa"/>
          </w:tcPr>
          <w:p>
            <w:pPr>
              <w:pStyle w:val="TableParagraph"/>
              <w:spacing w:before="11"/>
              <w:rPr>
                <w:sz w:val="21"/>
              </w:rPr>
            </w:pPr>
          </w:p>
          <w:p>
            <w:pPr>
              <w:pStyle w:val="TableParagraph"/>
              <w:ind w:left="818"/>
              <w:rPr>
                <w:sz w:val="21"/>
              </w:rPr>
            </w:pPr>
            <w:r>
              <w:rPr>
                <w:sz w:val="21"/>
              </w:rPr>
              <w:t>金额（元）</w:t>
            </w:r>
          </w:p>
        </w:tc>
        <w:tc>
          <w:tcPr>
            <w:tcW w:w="1663" w:type="dxa"/>
          </w:tcPr>
          <w:p>
            <w:pPr>
              <w:pStyle w:val="TableParagraph"/>
              <w:spacing w:before="85"/>
              <w:ind w:left="209"/>
              <w:rPr>
                <w:sz w:val="21"/>
              </w:rPr>
            </w:pPr>
            <w:r>
              <w:rPr>
                <w:sz w:val="21"/>
              </w:rPr>
              <w:t>占基金总资产</w:t>
            </w:r>
          </w:p>
          <w:p>
            <w:pPr>
              <w:pStyle w:val="TableParagraph"/>
              <w:spacing w:before="121"/>
              <w:ind w:left="262"/>
              <w:rPr>
                <w:sz w:val="21"/>
              </w:rPr>
            </w:pPr>
            <w:r>
              <w:rPr>
                <w:sz w:val="21"/>
              </w:rPr>
              <w:t>的比例（%）</w:t>
            </w:r>
          </w:p>
        </w:tc>
      </w:tr>
    </w:tbl>
    <w:p>
      <w:pPr>
        <w:spacing w:after="0"/>
        <w:rPr>
          <w:sz w:val="21"/>
        </w:rPr>
        <w:sectPr>
          <w:pgSz w:w="11910" w:h="16840"/>
          <w:pgMar w:header="0" w:footer="910" w:top="1380" w:bottom="1180" w:left="1400" w:right="1380"/>
        </w:sect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419" w:hRule="atLeast"/>
        </w:trPr>
        <w:tc>
          <w:tcPr>
            <w:tcW w:w="665" w:type="dxa"/>
          </w:tcPr>
          <w:p>
            <w:pPr>
              <w:pStyle w:val="TableParagraph"/>
              <w:spacing w:before="91"/>
              <w:ind w:left="27"/>
              <w:jc w:val="center"/>
              <w:rPr>
                <w:sz w:val="21"/>
              </w:rPr>
            </w:pPr>
            <w:r>
              <w:rPr>
                <w:sz w:val="21"/>
              </w:rPr>
              <w:t>1</w:t>
            </w:r>
          </w:p>
        </w:tc>
        <w:tc>
          <w:tcPr>
            <w:tcW w:w="3007" w:type="dxa"/>
          </w:tcPr>
          <w:p>
            <w:pPr>
              <w:pStyle w:val="TableParagraph"/>
              <w:spacing w:before="91"/>
              <w:ind w:left="125"/>
              <w:rPr>
                <w:sz w:val="21"/>
              </w:rPr>
            </w:pPr>
            <w:r>
              <w:rPr>
                <w:sz w:val="21"/>
              </w:rPr>
              <w:t>权益投资</w:t>
            </w:r>
          </w:p>
        </w:tc>
        <w:tc>
          <w:tcPr>
            <w:tcW w:w="2669" w:type="dxa"/>
          </w:tcPr>
          <w:p>
            <w:pPr>
              <w:pStyle w:val="TableParagraph"/>
              <w:spacing w:before="91"/>
              <w:ind w:right="97"/>
              <w:jc w:val="right"/>
              <w:rPr>
                <w:sz w:val="21"/>
              </w:rPr>
            </w:pPr>
            <w:r>
              <w:rPr>
                <w:sz w:val="21"/>
              </w:rPr>
              <w:t>5,097,504,789.55</w:t>
            </w:r>
          </w:p>
        </w:tc>
        <w:tc>
          <w:tcPr>
            <w:tcW w:w="1663" w:type="dxa"/>
          </w:tcPr>
          <w:p>
            <w:pPr>
              <w:pStyle w:val="TableParagraph"/>
              <w:spacing w:before="91"/>
              <w:ind w:right="96"/>
              <w:jc w:val="right"/>
              <w:rPr>
                <w:sz w:val="21"/>
              </w:rPr>
            </w:pPr>
            <w:r>
              <w:rPr>
                <w:sz w:val="21"/>
              </w:rPr>
              <w:t>92.07</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其中：股票</w:t>
            </w:r>
          </w:p>
        </w:tc>
        <w:tc>
          <w:tcPr>
            <w:tcW w:w="2669" w:type="dxa"/>
          </w:tcPr>
          <w:p>
            <w:pPr>
              <w:pStyle w:val="TableParagraph"/>
              <w:spacing w:before="91"/>
              <w:ind w:right="97"/>
              <w:jc w:val="right"/>
              <w:rPr>
                <w:sz w:val="21"/>
              </w:rPr>
            </w:pPr>
            <w:r>
              <w:rPr>
                <w:sz w:val="21"/>
              </w:rPr>
              <w:t>5,097,504,789.55</w:t>
            </w:r>
          </w:p>
        </w:tc>
        <w:tc>
          <w:tcPr>
            <w:tcW w:w="1663" w:type="dxa"/>
          </w:tcPr>
          <w:p>
            <w:pPr>
              <w:pStyle w:val="TableParagraph"/>
              <w:spacing w:before="91"/>
              <w:ind w:right="96"/>
              <w:jc w:val="right"/>
              <w:rPr>
                <w:sz w:val="21"/>
              </w:rPr>
            </w:pPr>
            <w:r>
              <w:rPr>
                <w:sz w:val="21"/>
              </w:rPr>
              <w:t>92.07</w:t>
            </w:r>
          </w:p>
        </w:tc>
      </w:tr>
      <w:tr>
        <w:trPr>
          <w:trHeight w:val="419" w:hRule="atLeast"/>
        </w:trPr>
        <w:tc>
          <w:tcPr>
            <w:tcW w:w="665" w:type="dxa"/>
          </w:tcPr>
          <w:p>
            <w:pPr>
              <w:pStyle w:val="TableParagraph"/>
              <w:spacing w:before="91"/>
              <w:ind w:left="27"/>
              <w:jc w:val="center"/>
              <w:rPr>
                <w:sz w:val="21"/>
              </w:rPr>
            </w:pPr>
            <w:r>
              <w:rPr>
                <w:sz w:val="21"/>
              </w:rPr>
              <w:t>2</w:t>
            </w:r>
          </w:p>
        </w:tc>
        <w:tc>
          <w:tcPr>
            <w:tcW w:w="3007" w:type="dxa"/>
          </w:tcPr>
          <w:p>
            <w:pPr>
              <w:pStyle w:val="TableParagraph"/>
              <w:spacing w:before="91"/>
              <w:ind w:left="125"/>
              <w:rPr>
                <w:sz w:val="21"/>
              </w:rPr>
            </w:pPr>
            <w:r>
              <w:rPr>
                <w:sz w:val="21"/>
              </w:rPr>
              <w:t>固定收益投资</w:t>
            </w:r>
          </w:p>
        </w:tc>
        <w:tc>
          <w:tcPr>
            <w:tcW w:w="2669" w:type="dxa"/>
          </w:tcPr>
          <w:p>
            <w:pPr>
              <w:pStyle w:val="TableParagraph"/>
              <w:spacing w:before="91"/>
              <w:ind w:right="97"/>
              <w:jc w:val="right"/>
              <w:rPr>
                <w:sz w:val="21"/>
              </w:rPr>
            </w:pPr>
            <w:r>
              <w:rPr>
                <w:sz w:val="21"/>
              </w:rPr>
              <w:t>7,360,396.34</w:t>
            </w:r>
          </w:p>
        </w:tc>
        <w:tc>
          <w:tcPr>
            <w:tcW w:w="1663" w:type="dxa"/>
          </w:tcPr>
          <w:p>
            <w:pPr>
              <w:pStyle w:val="TableParagraph"/>
              <w:spacing w:before="91"/>
              <w:ind w:right="96"/>
              <w:jc w:val="right"/>
              <w:rPr>
                <w:sz w:val="21"/>
              </w:rPr>
            </w:pPr>
            <w:r>
              <w:rPr>
                <w:sz w:val="21"/>
              </w:rPr>
              <w:t>0.13</w:t>
            </w:r>
          </w:p>
        </w:tc>
      </w:tr>
      <w:tr>
        <w:trPr>
          <w:trHeight w:val="418"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其中：债券</w:t>
            </w:r>
          </w:p>
        </w:tc>
        <w:tc>
          <w:tcPr>
            <w:tcW w:w="2669" w:type="dxa"/>
          </w:tcPr>
          <w:p>
            <w:pPr>
              <w:pStyle w:val="TableParagraph"/>
              <w:spacing w:before="91"/>
              <w:ind w:right="97"/>
              <w:jc w:val="right"/>
              <w:rPr>
                <w:sz w:val="21"/>
              </w:rPr>
            </w:pPr>
            <w:r>
              <w:rPr>
                <w:sz w:val="21"/>
              </w:rPr>
              <w:t>7,360,396.34</w:t>
            </w:r>
          </w:p>
        </w:tc>
        <w:tc>
          <w:tcPr>
            <w:tcW w:w="1663" w:type="dxa"/>
          </w:tcPr>
          <w:p>
            <w:pPr>
              <w:pStyle w:val="TableParagraph"/>
              <w:spacing w:before="91"/>
              <w:ind w:right="96"/>
              <w:jc w:val="right"/>
              <w:rPr>
                <w:sz w:val="21"/>
              </w:rPr>
            </w:pPr>
            <w:r>
              <w:rPr>
                <w:sz w:val="21"/>
              </w:rPr>
              <w:t>0.13</w:t>
            </w:r>
          </w:p>
        </w:tc>
      </w:tr>
      <w:tr>
        <w:trPr>
          <w:trHeight w:val="418"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资产支持证券</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3</w:t>
            </w:r>
          </w:p>
        </w:tc>
        <w:tc>
          <w:tcPr>
            <w:tcW w:w="3007" w:type="dxa"/>
          </w:tcPr>
          <w:p>
            <w:pPr>
              <w:pStyle w:val="TableParagraph"/>
              <w:spacing w:before="91"/>
              <w:ind w:left="212"/>
              <w:rPr>
                <w:sz w:val="21"/>
              </w:rPr>
            </w:pPr>
            <w:r>
              <w:rPr>
                <w:sz w:val="21"/>
              </w:rPr>
              <w:t>贵金属投资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4</w:t>
            </w:r>
          </w:p>
        </w:tc>
        <w:tc>
          <w:tcPr>
            <w:tcW w:w="3007" w:type="dxa"/>
          </w:tcPr>
          <w:p>
            <w:pPr>
              <w:pStyle w:val="TableParagraph"/>
              <w:spacing w:before="91"/>
              <w:ind w:left="125"/>
              <w:rPr>
                <w:sz w:val="21"/>
              </w:rPr>
            </w:pPr>
            <w:r>
              <w:rPr>
                <w:sz w:val="21"/>
              </w:rPr>
              <w:t>金融衍生品投资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5</w:t>
            </w:r>
          </w:p>
        </w:tc>
        <w:tc>
          <w:tcPr>
            <w:tcW w:w="3007" w:type="dxa"/>
          </w:tcPr>
          <w:p>
            <w:pPr>
              <w:pStyle w:val="TableParagraph"/>
              <w:spacing w:before="91"/>
              <w:ind w:left="125"/>
              <w:rPr>
                <w:sz w:val="21"/>
              </w:rPr>
            </w:pPr>
            <w:r>
              <w:rPr>
                <w:sz w:val="21"/>
              </w:rPr>
              <w:t>买入返售金融资产</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808"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669" w:type="dxa"/>
          </w:tcPr>
          <w:p>
            <w:pPr>
              <w:pStyle w:val="TableParagraph"/>
              <w:spacing w:before="4"/>
              <w:rPr>
                <w:sz w:val="22"/>
              </w:rPr>
            </w:pPr>
          </w:p>
          <w:p>
            <w:pPr>
              <w:pStyle w:val="TableParagraph"/>
              <w:ind w:right="97"/>
              <w:jc w:val="right"/>
              <w:rPr>
                <w:sz w:val="21"/>
              </w:rPr>
            </w:pPr>
            <w:r>
              <w:rPr>
                <w:sz w:val="21"/>
              </w:rPr>
              <w:t>-</w:t>
            </w:r>
          </w:p>
        </w:tc>
        <w:tc>
          <w:tcPr>
            <w:tcW w:w="1663"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6</w:t>
            </w:r>
          </w:p>
        </w:tc>
        <w:tc>
          <w:tcPr>
            <w:tcW w:w="3007" w:type="dxa"/>
          </w:tcPr>
          <w:p>
            <w:pPr>
              <w:pStyle w:val="TableParagraph"/>
              <w:spacing w:before="91"/>
              <w:ind w:left="125"/>
              <w:rPr>
                <w:sz w:val="21"/>
              </w:rPr>
            </w:pPr>
            <w:r>
              <w:rPr>
                <w:sz w:val="21"/>
              </w:rPr>
              <w:t>银行存款和结算备付金合计</w:t>
            </w:r>
          </w:p>
        </w:tc>
        <w:tc>
          <w:tcPr>
            <w:tcW w:w="2669" w:type="dxa"/>
          </w:tcPr>
          <w:p>
            <w:pPr>
              <w:pStyle w:val="TableParagraph"/>
              <w:spacing w:before="91"/>
              <w:ind w:right="97"/>
              <w:jc w:val="right"/>
              <w:rPr>
                <w:sz w:val="21"/>
              </w:rPr>
            </w:pPr>
            <w:r>
              <w:rPr>
                <w:sz w:val="21"/>
              </w:rPr>
              <w:t>400,835,020.81</w:t>
            </w:r>
          </w:p>
        </w:tc>
        <w:tc>
          <w:tcPr>
            <w:tcW w:w="1663" w:type="dxa"/>
          </w:tcPr>
          <w:p>
            <w:pPr>
              <w:pStyle w:val="TableParagraph"/>
              <w:spacing w:before="91"/>
              <w:ind w:right="96"/>
              <w:jc w:val="right"/>
              <w:rPr>
                <w:sz w:val="21"/>
              </w:rPr>
            </w:pPr>
            <w:r>
              <w:rPr>
                <w:sz w:val="21"/>
              </w:rPr>
              <w:t>7.24</w:t>
            </w:r>
          </w:p>
        </w:tc>
      </w:tr>
      <w:tr>
        <w:trPr>
          <w:trHeight w:val="418" w:hRule="atLeast"/>
        </w:trPr>
        <w:tc>
          <w:tcPr>
            <w:tcW w:w="665" w:type="dxa"/>
          </w:tcPr>
          <w:p>
            <w:pPr>
              <w:pStyle w:val="TableParagraph"/>
              <w:spacing w:before="91"/>
              <w:ind w:left="27"/>
              <w:jc w:val="center"/>
              <w:rPr>
                <w:sz w:val="21"/>
              </w:rPr>
            </w:pPr>
            <w:r>
              <w:rPr>
                <w:sz w:val="21"/>
              </w:rPr>
              <w:t>7</w:t>
            </w:r>
          </w:p>
        </w:tc>
        <w:tc>
          <w:tcPr>
            <w:tcW w:w="3007" w:type="dxa"/>
          </w:tcPr>
          <w:p>
            <w:pPr>
              <w:pStyle w:val="TableParagraph"/>
              <w:spacing w:before="76"/>
              <w:ind w:left="108"/>
              <w:rPr>
                <w:sz w:val="21"/>
              </w:rPr>
            </w:pPr>
            <w:r>
              <w:rPr>
                <w:sz w:val="21"/>
              </w:rPr>
              <w:t>其他资产</w:t>
            </w:r>
          </w:p>
        </w:tc>
        <w:tc>
          <w:tcPr>
            <w:tcW w:w="2669" w:type="dxa"/>
          </w:tcPr>
          <w:p>
            <w:pPr>
              <w:pStyle w:val="TableParagraph"/>
              <w:spacing w:before="76"/>
              <w:ind w:right="97"/>
              <w:jc w:val="right"/>
              <w:rPr>
                <w:sz w:val="21"/>
              </w:rPr>
            </w:pPr>
            <w:r>
              <w:rPr>
                <w:sz w:val="21"/>
              </w:rPr>
              <w:t>30,748,718.31</w:t>
            </w:r>
          </w:p>
        </w:tc>
        <w:tc>
          <w:tcPr>
            <w:tcW w:w="1663" w:type="dxa"/>
          </w:tcPr>
          <w:p>
            <w:pPr>
              <w:pStyle w:val="TableParagraph"/>
              <w:spacing w:before="76"/>
              <w:ind w:right="96"/>
              <w:jc w:val="right"/>
              <w:rPr>
                <w:sz w:val="21"/>
              </w:rPr>
            </w:pPr>
            <w:r>
              <w:rPr>
                <w:sz w:val="21"/>
              </w:rPr>
              <w:t>0.56</w:t>
            </w:r>
          </w:p>
        </w:tc>
      </w:tr>
      <w:tr>
        <w:trPr>
          <w:trHeight w:val="419" w:hRule="atLeast"/>
        </w:trPr>
        <w:tc>
          <w:tcPr>
            <w:tcW w:w="665" w:type="dxa"/>
          </w:tcPr>
          <w:p>
            <w:pPr>
              <w:pStyle w:val="TableParagraph"/>
              <w:spacing w:before="91"/>
              <w:ind w:left="27"/>
              <w:jc w:val="center"/>
              <w:rPr>
                <w:sz w:val="21"/>
              </w:rPr>
            </w:pPr>
            <w:r>
              <w:rPr>
                <w:sz w:val="21"/>
              </w:rPr>
              <w:t>8</w:t>
            </w:r>
          </w:p>
        </w:tc>
        <w:tc>
          <w:tcPr>
            <w:tcW w:w="3007" w:type="dxa"/>
          </w:tcPr>
          <w:p>
            <w:pPr>
              <w:pStyle w:val="TableParagraph"/>
              <w:spacing w:before="76"/>
              <w:ind w:left="108"/>
              <w:rPr>
                <w:sz w:val="21"/>
              </w:rPr>
            </w:pPr>
            <w:r>
              <w:rPr>
                <w:sz w:val="21"/>
              </w:rPr>
              <w:t>合计</w:t>
            </w:r>
          </w:p>
        </w:tc>
        <w:tc>
          <w:tcPr>
            <w:tcW w:w="2669" w:type="dxa"/>
          </w:tcPr>
          <w:p>
            <w:pPr>
              <w:pStyle w:val="TableParagraph"/>
              <w:spacing w:before="76"/>
              <w:ind w:right="97"/>
              <w:jc w:val="right"/>
              <w:rPr>
                <w:sz w:val="21"/>
              </w:rPr>
            </w:pPr>
            <w:r>
              <w:rPr>
                <w:sz w:val="21"/>
              </w:rPr>
              <w:t>5,536,448,925.01</w:t>
            </w:r>
          </w:p>
        </w:tc>
        <w:tc>
          <w:tcPr>
            <w:tcW w:w="1663" w:type="dxa"/>
          </w:tcPr>
          <w:p>
            <w:pPr>
              <w:pStyle w:val="TableParagraph"/>
              <w:spacing w:before="76"/>
              <w:ind w:right="96"/>
              <w:jc w:val="right"/>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
        <w:gridCol w:w="3226"/>
        <w:gridCol w:w="2708"/>
        <w:gridCol w:w="1421"/>
      </w:tblGrid>
      <w:tr>
        <w:trPr>
          <w:trHeight w:val="695" w:hRule="atLeast"/>
        </w:trPr>
        <w:tc>
          <w:tcPr>
            <w:tcW w:w="649" w:type="dxa"/>
          </w:tcPr>
          <w:p>
            <w:pPr>
              <w:pStyle w:val="TableParagraph"/>
              <w:spacing w:before="9"/>
              <w:rPr>
                <w:sz w:val="14"/>
              </w:rPr>
            </w:pPr>
          </w:p>
          <w:p>
            <w:pPr>
              <w:pStyle w:val="TableParagraph"/>
              <w:ind w:left="94" w:right="84"/>
              <w:jc w:val="center"/>
              <w:rPr>
                <w:sz w:val="21"/>
              </w:rPr>
            </w:pPr>
            <w:r>
              <w:rPr>
                <w:sz w:val="21"/>
              </w:rPr>
              <w:t>代码</w:t>
            </w:r>
          </w:p>
        </w:tc>
        <w:tc>
          <w:tcPr>
            <w:tcW w:w="3226" w:type="dxa"/>
          </w:tcPr>
          <w:p>
            <w:pPr>
              <w:pStyle w:val="TableParagraph"/>
              <w:spacing w:before="9"/>
              <w:rPr>
                <w:sz w:val="14"/>
              </w:rPr>
            </w:pPr>
          </w:p>
          <w:p>
            <w:pPr>
              <w:pStyle w:val="TableParagraph"/>
              <w:ind w:left="1173" w:right="1163"/>
              <w:jc w:val="center"/>
              <w:rPr>
                <w:sz w:val="21"/>
              </w:rPr>
            </w:pPr>
            <w:r>
              <w:rPr>
                <w:sz w:val="21"/>
              </w:rPr>
              <w:t>行业类别</w:t>
            </w:r>
          </w:p>
        </w:tc>
        <w:tc>
          <w:tcPr>
            <w:tcW w:w="2708" w:type="dxa"/>
          </w:tcPr>
          <w:p>
            <w:pPr>
              <w:pStyle w:val="TableParagraph"/>
              <w:spacing w:before="9"/>
              <w:rPr>
                <w:sz w:val="14"/>
              </w:rPr>
            </w:pPr>
          </w:p>
          <w:p>
            <w:pPr>
              <w:pStyle w:val="TableParagraph"/>
              <w:ind w:left="619"/>
              <w:rPr>
                <w:sz w:val="21"/>
              </w:rPr>
            </w:pPr>
            <w:r>
              <w:rPr>
                <w:sz w:val="21"/>
              </w:rPr>
              <w:t>公允价值（元）</w:t>
            </w:r>
          </w:p>
        </w:tc>
        <w:tc>
          <w:tcPr>
            <w:tcW w:w="1421"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34" w:hRule="atLeast"/>
        </w:trPr>
        <w:tc>
          <w:tcPr>
            <w:tcW w:w="649" w:type="dxa"/>
          </w:tcPr>
          <w:p>
            <w:pPr>
              <w:pStyle w:val="TableParagraph"/>
              <w:spacing w:before="57"/>
              <w:ind w:left="10"/>
              <w:jc w:val="center"/>
              <w:rPr>
                <w:sz w:val="21"/>
              </w:rPr>
            </w:pPr>
            <w:r>
              <w:rPr>
                <w:sz w:val="21"/>
              </w:rPr>
              <w:t>A</w:t>
            </w:r>
          </w:p>
        </w:tc>
        <w:tc>
          <w:tcPr>
            <w:tcW w:w="3226" w:type="dxa"/>
          </w:tcPr>
          <w:p>
            <w:pPr>
              <w:pStyle w:val="TableParagraph"/>
              <w:spacing w:before="57"/>
              <w:ind w:left="15"/>
              <w:rPr>
                <w:sz w:val="21"/>
              </w:rPr>
            </w:pPr>
            <w:r>
              <w:rPr>
                <w:sz w:val="21"/>
              </w:rPr>
              <w:t>农、林、牧、渔业</w:t>
            </w:r>
          </w:p>
        </w:tc>
        <w:tc>
          <w:tcPr>
            <w:tcW w:w="2708" w:type="dxa"/>
          </w:tcPr>
          <w:p>
            <w:pPr>
              <w:pStyle w:val="TableParagraph"/>
              <w:spacing w:before="106"/>
              <w:ind w:right="-15"/>
              <w:jc w:val="right"/>
              <w:rPr>
                <w:sz w:val="21"/>
              </w:rPr>
            </w:pPr>
            <w:r>
              <w:rPr>
                <w:sz w:val="21"/>
              </w:rPr>
              <w:t>-</w:t>
            </w:r>
          </w:p>
        </w:tc>
        <w:tc>
          <w:tcPr>
            <w:tcW w:w="1421" w:type="dxa"/>
          </w:tcPr>
          <w:p>
            <w:pPr>
              <w:pStyle w:val="TableParagraph"/>
              <w:spacing w:before="106"/>
              <w:ind w:right="3"/>
              <w:jc w:val="right"/>
              <w:rPr>
                <w:sz w:val="21"/>
              </w:rPr>
            </w:pPr>
            <w:r>
              <w:rPr>
                <w:sz w:val="21"/>
              </w:rPr>
              <w:t>-</w:t>
            </w:r>
          </w:p>
        </w:tc>
      </w:tr>
      <w:tr>
        <w:trPr>
          <w:trHeight w:val="795" w:hRule="atLeast"/>
        </w:trPr>
        <w:tc>
          <w:tcPr>
            <w:tcW w:w="649" w:type="dxa"/>
          </w:tcPr>
          <w:p>
            <w:pPr>
              <w:pStyle w:val="TableParagraph"/>
              <w:spacing w:before="7"/>
              <w:rPr>
                <w:sz w:val="18"/>
              </w:rPr>
            </w:pPr>
          </w:p>
          <w:p>
            <w:pPr>
              <w:pStyle w:val="TableParagraph"/>
              <w:ind w:left="10"/>
              <w:jc w:val="center"/>
              <w:rPr>
                <w:sz w:val="21"/>
              </w:rPr>
            </w:pPr>
            <w:r>
              <w:rPr>
                <w:sz w:val="21"/>
              </w:rPr>
              <w:t>B</w:t>
            </w:r>
          </w:p>
        </w:tc>
        <w:tc>
          <w:tcPr>
            <w:tcW w:w="3226" w:type="dxa"/>
          </w:tcPr>
          <w:p>
            <w:pPr>
              <w:pStyle w:val="TableParagraph"/>
              <w:spacing w:before="7"/>
              <w:rPr>
                <w:sz w:val="18"/>
              </w:rPr>
            </w:pPr>
          </w:p>
          <w:p>
            <w:pPr>
              <w:pStyle w:val="TableParagraph"/>
              <w:ind w:left="15"/>
              <w:rPr>
                <w:sz w:val="21"/>
              </w:rPr>
            </w:pPr>
            <w:r>
              <w:rPr>
                <w:sz w:val="21"/>
              </w:rPr>
              <w:t>采矿业</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spacing w:before="43"/>
              <w:ind w:left="10"/>
              <w:jc w:val="center"/>
              <w:rPr>
                <w:sz w:val="21"/>
              </w:rPr>
            </w:pPr>
            <w:r>
              <w:rPr>
                <w:sz w:val="21"/>
              </w:rPr>
              <w:t>C</w:t>
            </w:r>
          </w:p>
        </w:tc>
        <w:tc>
          <w:tcPr>
            <w:tcW w:w="3226" w:type="dxa"/>
          </w:tcPr>
          <w:p>
            <w:pPr>
              <w:pStyle w:val="TableParagraph"/>
              <w:spacing w:before="43"/>
              <w:ind w:left="15"/>
              <w:rPr>
                <w:sz w:val="21"/>
              </w:rPr>
            </w:pPr>
            <w:r>
              <w:rPr>
                <w:sz w:val="21"/>
              </w:rPr>
              <w:t>制造业</w:t>
            </w:r>
          </w:p>
        </w:tc>
        <w:tc>
          <w:tcPr>
            <w:tcW w:w="2708" w:type="dxa"/>
          </w:tcPr>
          <w:p>
            <w:pPr>
              <w:pStyle w:val="TableParagraph"/>
              <w:spacing w:before="77"/>
              <w:ind w:right="-15"/>
              <w:jc w:val="right"/>
              <w:rPr>
                <w:sz w:val="21"/>
              </w:rPr>
            </w:pPr>
            <w:r>
              <w:rPr>
                <w:sz w:val="21"/>
              </w:rPr>
              <w:t>3,218,480,379.31</w:t>
            </w:r>
          </w:p>
        </w:tc>
        <w:tc>
          <w:tcPr>
            <w:tcW w:w="1421" w:type="dxa"/>
          </w:tcPr>
          <w:p>
            <w:pPr>
              <w:pStyle w:val="TableParagraph"/>
              <w:spacing w:before="77"/>
              <w:ind w:right="3"/>
              <w:jc w:val="right"/>
              <w:rPr>
                <w:sz w:val="21"/>
              </w:rPr>
            </w:pPr>
            <w:r>
              <w:rPr>
                <w:sz w:val="21"/>
              </w:rPr>
              <w:t>58.66</w:t>
            </w:r>
          </w:p>
        </w:tc>
      </w:tr>
      <w:tr>
        <w:trPr>
          <w:trHeight w:val="695" w:hRule="atLeast"/>
        </w:trPr>
        <w:tc>
          <w:tcPr>
            <w:tcW w:w="649" w:type="dxa"/>
          </w:tcPr>
          <w:p>
            <w:pPr>
              <w:pStyle w:val="TableParagraph"/>
              <w:spacing w:before="9"/>
              <w:rPr>
                <w:sz w:val="14"/>
              </w:rPr>
            </w:pPr>
          </w:p>
          <w:p>
            <w:pPr>
              <w:pStyle w:val="TableParagraph"/>
              <w:ind w:left="10"/>
              <w:jc w:val="center"/>
              <w:rPr>
                <w:sz w:val="21"/>
              </w:rPr>
            </w:pPr>
            <w:r>
              <w:rPr>
                <w:sz w:val="21"/>
              </w:rPr>
              <w:t>D</w:t>
            </w:r>
          </w:p>
        </w:tc>
        <w:tc>
          <w:tcPr>
            <w:tcW w:w="3226"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8" w:type="dxa"/>
          </w:tcPr>
          <w:p>
            <w:pPr>
              <w:pStyle w:val="TableParagraph"/>
              <w:spacing w:before="4"/>
              <w:rPr>
                <w:sz w:val="17"/>
              </w:rPr>
            </w:pPr>
          </w:p>
          <w:p>
            <w:pPr>
              <w:pStyle w:val="TableParagraph"/>
              <w:ind w:right="-15"/>
              <w:jc w:val="right"/>
              <w:rPr>
                <w:sz w:val="21"/>
              </w:rPr>
            </w:pPr>
            <w:r>
              <w:rPr>
                <w:sz w:val="21"/>
              </w:rPr>
              <w:t>15,752,337.72</w:t>
            </w:r>
          </w:p>
        </w:tc>
        <w:tc>
          <w:tcPr>
            <w:tcW w:w="1421" w:type="dxa"/>
          </w:tcPr>
          <w:p>
            <w:pPr>
              <w:pStyle w:val="TableParagraph"/>
              <w:spacing w:before="4"/>
              <w:rPr>
                <w:sz w:val="17"/>
              </w:rPr>
            </w:pPr>
          </w:p>
          <w:p>
            <w:pPr>
              <w:pStyle w:val="TableParagraph"/>
              <w:ind w:right="3"/>
              <w:jc w:val="right"/>
              <w:rPr>
                <w:sz w:val="21"/>
              </w:rPr>
            </w:pPr>
            <w:r>
              <w:rPr>
                <w:sz w:val="21"/>
              </w:rPr>
              <w:t>0.29</w:t>
            </w:r>
          </w:p>
        </w:tc>
      </w:tr>
      <w:tr>
        <w:trPr>
          <w:trHeight w:val="405" w:hRule="atLeast"/>
        </w:trPr>
        <w:tc>
          <w:tcPr>
            <w:tcW w:w="649" w:type="dxa"/>
          </w:tcPr>
          <w:p>
            <w:pPr>
              <w:pStyle w:val="TableParagraph"/>
              <w:spacing w:before="43"/>
              <w:ind w:left="10"/>
              <w:jc w:val="center"/>
              <w:rPr>
                <w:sz w:val="21"/>
              </w:rPr>
            </w:pPr>
            <w:r>
              <w:rPr>
                <w:sz w:val="21"/>
              </w:rPr>
              <w:t>E</w:t>
            </w:r>
          </w:p>
        </w:tc>
        <w:tc>
          <w:tcPr>
            <w:tcW w:w="3226" w:type="dxa"/>
          </w:tcPr>
          <w:p>
            <w:pPr>
              <w:pStyle w:val="TableParagraph"/>
              <w:spacing w:before="43"/>
              <w:ind w:left="15"/>
              <w:rPr>
                <w:sz w:val="21"/>
              </w:rPr>
            </w:pPr>
            <w:r>
              <w:rPr>
                <w:sz w:val="21"/>
              </w:rPr>
              <w:t>建筑业</w:t>
            </w:r>
          </w:p>
        </w:tc>
        <w:tc>
          <w:tcPr>
            <w:tcW w:w="2708" w:type="dxa"/>
          </w:tcPr>
          <w:p>
            <w:pPr>
              <w:pStyle w:val="TableParagraph"/>
              <w:spacing w:before="77"/>
              <w:ind w:right="-15"/>
              <w:jc w:val="right"/>
              <w:rPr>
                <w:sz w:val="21"/>
              </w:rPr>
            </w:pPr>
            <w:r>
              <w:rPr>
                <w:sz w:val="21"/>
              </w:rPr>
              <w:t>42,958,688.80</w:t>
            </w:r>
          </w:p>
        </w:tc>
        <w:tc>
          <w:tcPr>
            <w:tcW w:w="1421" w:type="dxa"/>
          </w:tcPr>
          <w:p>
            <w:pPr>
              <w:pStyle w:val="TableParagraph"/>
              <w:spacing w:before="77"/>
              <w:ind w:right="3"/>
              <w:jc w:val="right"/>
              <w:rPr>
                <w:sz w:val="21"/>
              </w:rPr>
            </w:pPr>
            <w:r>
              <w:rPr>
                <w:sz w:val="21"/>
              </w:rPr>
              <w:t>0.78</w:t>
            </w:r>
          </w:p>
        </w:tc>
      </w:tr>
      <w:tr>
        <w:trPr>
          <w:trHeight w:val="405" w:hRule="atLeast"/>
        </w:trPr>
        <w:tc>
          <w:tcPr>
            <w:tcW w:w="649" w:type="dxa"/>
          </w:tcPr>
          <w:p>
            <w:pPr>
              <w:pStyle w:val="TableParagraph"/>
              <w:spacing w:before="43"/>
              <w:ind w:left="10"/>
              <w:jc w:val="center"/>
              <w:rPr>
                <w:sz w:val="21"/>
              </w:rPr>
            </w:pPr>
            <w:r>
              <w:rPr>
                <w:sz w:val="21"/>
              </w:rPr>
              <w:t>F</w:t>
            </w:r>
          </w:p>
        </w:tc>
        <w:tc>
          <w:tcPr>
            <w:tcW w:w="3226" w:type="dxa"/>
          </w:tcPr>
          <w:p>
            <w:pPr>
              <w:pStyle w:val="TableParagraph"/>
              <w:spacing w:before="43"/>
              <w:ind w:left="15"/>
              <w:rPr>
                <w:sz w:val="21"/>
              </w:rPr>
            </w:pPr>
            <w:r>
              <w:rPr>
                <w:sz w:val="21"/>
              </w:rPr>
              <w:t>批发和零售业</w:t>
            </w:r>
          </w:p>
        </w:tc>
        <w:tc>
          <w:tcPr>
            <w:tcW w:w="2708" w:type="dxa"/>
          </w:tcPr>
          <w:p>
            <w:pPr>
              <w:pStyle w:val="TableParagraph"/>
              <w:spacing w:before="77"/>
              <w:ind w:right="-15"/>
              <w:jc w:val="right"/>
              <w:rPr>
                <w:sz w:val="21"/>
              </w:rPr>
            </w:pPr>
            <w:r>
              <w:rPr>
                <w:sz w:val="21"/>
              </w:rPr>
              <w:t>65,120,583.93</w:t>
            </w:r>
          </w:p>
        </w:tc>
        <w:tc>
          <w:tcPr>
            <w:tcW w:w="1421" w:type="dxa"/>
          </w:tcPr>
          <w:p>
            <w:pPr>
              <w:pStyle w:val="TableParagraph"/>
              <w:spacing w:before="77"/>
              <w:ind w:right="3"/>
              <w:jc w:val="right"/>
              <w:rPr>
                <w:sz w:val="21"/>
              </w:rPr>
            </w:pPr>
            <w:r>
              <w:rPr>
                <w:sz w:val="21"/>
              </w:rPr>
              <w:t>1.19</w:t>
            </w:r>
          </w:p>
        </w:tc>
      </w:tr>
      <w:tr>
        <w:trPr>
          <w:trHeight w:val="405" w:hRule="atLeast"/>
        </w:trPr>
        <w:tc>
          <w:tcPr>
            <w:tcW w:w="649" w:type="dxa"/>
          </w:tcPr>
          <w:p>
            <w:pPr>
              <w:pStyle w:val="TableParagraph"/>
              <w:spacing w:before="43"/>
              <w:ind w:left="10"/>
              <w:jc w:val="center"/>
              <w:rPr>
                <w:sz w:val="21"/>
              </w:rPr>
            </w:pPr>
            <w:r>
              <w:rPr>
                <w:sz w:val="21"/>
              </w:rPr>
              <w:t>G</w:t>
            </w:r>
          </w:p>
        </w:tc>
        <w:tc>
          <w:tcPr>
            <w:tcW w:w="3226" w:type="dxa"/>
          </w:tcPr>
          <w:p>
            <w:pPr>
              <w:pStyle w:val="TableParagraph"/>
              <w:spacing w:before="43"/>
              <w:ind w:left="15"/>
              <w:rPr>
                <w:sz w:val="21"/>
              </w:rPr>
            </w:pPr>
            <w:r>
              <w:rPr>
                <w:sz w:val="21"/>
              </w:rPr>
              <w:t>交通运输、仓储和邮政业</w:t>
            </w:r>
          </w:p>
        </w:tc>
        <w:tc>
          <w:tcPr>
            <w:tcW w:w="2708" w:type="dxa"/>
          </w:tcPr>
          <w:p>
            <w:pPr>
              <w:pStyle w:val="TableParagraph"/>
              <w:spacing w:before="77"/>
              <w:ind w:right="-15"/>
              <w:jc w:val="right"/>
              <w:rPr>
                <w:sz w:val="21"/>
              </w:rPr>
            </w:pPr>
            <w:r>
              <w:rPr>
                <w:sz w:val="21"/>
              </w:rPr>
              <w:t>114,126,203.04</w:t>
            </w:r>
          </w:p>
        </w:tc>
        <w:tc>
          <w:tcPr>
            <w:tcW w:w="1421" w:type="dxa"/>
          </w:tcPr>
          <w:p>
            <w:pPr>
              <w:pStyle w:val="TableParagraph"/>
              <w:spacing w:before="77"/>
              <w:ind w:right="3"/>
              <w:jc w:val="right"/>
              <w:rPr>
                <w:sz w:val="21"/>
              </w:rPr>
            </w:pPr>
            <w:r>
              <w:rPr>
                <w:sz w:val="21"/>
              </w:rPr>
              <w:t>2.08</w:t>
            </w:r>
          </w:p>
        </w:tc>
      </w:tr>
      <w:tr>
        <w:trPr>
          <w:trHeight w:val="405" w:hRule="atLeast"/>
        </w:trPr>
        <w:tc>
          <w:tcPr>
            <w:tcW w:w="649" w:type="dxa"/>
          </w:tcPr>
          <w:p>
            <w:pPr>
              <w:pStyle w:val="TableParagraph"/>
              <w:spacing w:before="43"/>
              <w:ind w:left="10"/>
              <w:jc w:val="center"/>
              <w:rPr>
                <w:sz w:val="21"/>
              </w:rPr>
            </w:pPr>
            <w:r>
              <w:rPr>
                <w:sz w:val="21"/>
              </w:rPr>
              <w:t>H</w:t>
            </w:r>
          </w:p>
        </w:tc>
        <w:tc>
          <w:tcPr>
            <w:tcW w:w="3226" w:type="dxa"/>
          </w:tcPr>
          <w:p>
            <w:pPr>
              <w:pStyle w:val="TableParagraph"/>
              <w:spacing w:before="43"/>
              <w:ind w:left="15"/>
              <w:rPr>
                <w:sz w:val="21"/>
              </w:rPr>
            </w:pPr>
            <w:r>
              <w:rPr>
                <w:sz w:val="21"/>
              </w:rPr>
              <w:t>住宿和餐饮业</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spacing w:before="43"/>
              <w:ind w:left="10"/>
              <w:jc w:val="center"/>
              <w:rPr>
                <w:sz w:val="21"/>
              </w:rPr>
            </w:pPr>
            <w:r>
              <w:rPr>
                <w:sz w:val="21"/>
              </w:rPr>
              <w:t>I</w:t>
            </w:r>
          </w:p>
        </w:tc>
        <w:tc>
          <w:tcPr>
            <w:tcW w:w="3226" w:type="dxa"/>
          </w:tcPr>
          <w:p>
            <w:pPr>
              <w:pStyle w:val="TableParagraph"/>
              <w:spacing w:before="43"/>
              <w:ind w:left="15"/>
              <w:rPr>
                <w:sz w:val="21"/>
              </w:rPr>
            </w:pPr>
            <w:r>
              <w:rPr>
                <w:sz w:val="21"/>
              </w:rPr>
              <w:t>信息传输、软件和信息技术服务业</w:t>
            </w:r>
          </w:p>
        </w:tc>
        <w:tc>
          <w:tcPr>
            <w:tcW w:w="2708" w:type="dxa"/>
          </w:tcPr>
          <w:p>
            <w:pPr>
              <w:pStyle w:val="TableParagraph"/>
              <w:spacing w:before="77"/>
              <w:ind w:right="-15"/>
              <w:jc w:val="right"/>
              <w:rPr>
                <w:sz w:val="21"/>
              </w:rPr>
            </w:pPr>
            <w:r>
              <w:rPr>
                <w:sz w:val="21"/>
              </w:rPr>
              <w:t>1,041,708,604.82</w:t>
            </w:r>
          </w:p>
        </w:tc>
        <w:tc>
          <w:tcPr>
            <w:tcW w:w="1421" w:type="dxa"/>
          </w:tcPr>
          <w:p>
            <w:pPr>
              <w:pStyle w:val="TableParagraph"/>
              <w:spacing w:before="77"/>
              <w:ind w:right="3"/>
              <w:jc w:val="right"/>
              <w:rPr>
                <w:sz w:val="21"/>
              </w:rPr>
            </w:pPr>
            <w:r>
              <w:rPr>
                <w:sz w:val="21"/>
              </w:rPr>
              <w:t>18.99</w:t>
            </w:r>
          </w:p>
        </w:tc>
      </w:tr>
      <w:tr>
        <w:trPr>
          <w:trHeight w:val="405" w:hRule="atLeast"/>
        </w:trPr>
        <w:tc>
          <w:tcPr>
            <w:tcW w:w="649" w:type="dxa"/>
          </w:tcPr>
          <w:p>
            <w:pPr>
              <w:pStyle w:val="TableParagraph"/>
              <w:spacing w:before="43"/>
              <w:ind w:left="10"/>
              <w:jc w:val="center"/>
              <w:rPr>
                <w:sz w:val="21"/>
              </w:rPr>
            </w:pPr>
            <w:r>
              <w:rPr>
                <w:sz w:val="21"/>
              </w:rPr>
              <w:t>J</w:t>
            </w:r>
          </w:p>
        </w:tc>
        <w:tc>
          <w:tcPr>
            <w:tcW w:w="3226" w:type="dxa"/>
          </w:tcPr>
          <w:p>
            <w:pPr>
              <w:pStyle w:val="TableParagraph"/>
              <w:spacing w:before="43"/>
              <w:ind w:left="15"/>
              <w:rPr>
                <w:sz w:val="21"/>
              </w:rPr>
            </w:pPr>
            <w:r>
              <w:rPr>
                <w:sz w:val="21"/>
              </w:rPr>
              <w:t>金融业</w:t>
            </w:r>
          </w:p>
        </w:tc>
        <w:tc>
          <w:tcPr>
            <w:tcW w:w="2708" w:type="dxa"/>
          </w:tcPr>
          <w:p>
            <w:pPr>
              <w:pStyle w:val="TableParagraph"/>
              <w:spacing w:before="77"/>
              <w:ind w:right="-15"/>
              <w:jc w:val="right"/>
              <w:rPr>
                <w:sz w:val="21"/>
              </w:rPr>
            </w:pPr>
            <w:r>
              <w:rPr>
                <w:sz w:val="21"/>
              </w:rPr>
              <w:t>59,603,886.60</w:t>
            </w:r>
          </w:p>
        </w:tc>
        <w:tc>
          <w:tcPr>
            <w:tcW w:w="1421" w:type="dxa"/>
          </w:tcPr>
          <w:p>
            <w:pPr>
              <w:pStyle w:val="TableParagraph"/>
              <w:spacing w:before="77"/>
              <w:ind w:right="3"/>
              <w:jc w:val="right"/>
              <w:rPr>
                <w:sz w:val="21"/>
              </w:rPr>
            </w:pPr>
            <w:r>
              <w:rPr>
                <w:sz w:val="21"/>
              </w:rPr>
              <w:t>1.09</w:t>
            </w:r>
          </w:p>
        </w:tc>
      </w:tr>
      <w:tr>
        <w:trPr>
          <w:trHeight w:val="405" w:hRule="atLeast"/>
        </w:trPr>
        <w:tc>
          <w:tcPr>
            <w:tcW w:w="649" w:type="dxa"/>
          </w:tcPr>
          <w:p>
            <w:pPr>
              <w:pStyle w:val="TableParagraph"/>
              <w:spacing w:before="43"/>
              <w:ind w:left="10"/>
              <w:jc w:val="center"/>
              <w:rPr>
                <w:sz w:val="21"/>
              </w:rPr>
            </w:pPr>
            <w:r>
              <w:rPr>
                <w:sz w:val="21"/>
              </w:rPr>
              <w:t>K</w:t>
            </w:r>
          </w:p>
        </w:tc>
        <w:tc>
          <w:tcPr>
            <w:tcW w:w="3226" w:type="dxa"/>
          </w:tcPr>
          <w:p>
            <w:pPr>
              <w:pStyle w:val="TableParagraph"/>
              <w:spacing w:before="43"/>
              <w:ind w:left="15"/>
              <w:rPr>
                <w:sz w:val="21"/>
              </w:rPr>
            </w:pPr>
            <w:r>
              <w:rPr>
                <w:sz w:val="21"/>
              </w:rPr>
              <w:t>房地产业</w:t>
            </w:r>
          </w:p>
        </w:tc>
        <w:tc>
          <w:tcPr>
            <w:tcW w:w="2708" w:type="dxa"/>
          </w:tcPr>
          <w:p>
            <w:pPr>
              <w:pStyle w:val="TableParagraph"/>
              <w:spacing w:before="77"/>
              <w:ind w:right="-15"/>
              <w:jc w:val="right"/>
              <w:rPr>
                <w:sz w:val="21"/>
              </w:rPr>
            </w:pPr>
            <w:r>
              <w:rPr>
                <w:sz w:val="21"/>
              </w:rPr>
              <w:t>140,533,853.80</w:t>
            </w:r>
          </w:p>
        </w:tc>
        <w:tc>
          <w:tcPr>
            <w:tcW w:w="1421" w:type="dxa"/>
          </w:tcPr>
          <w:p>
            <w:pPr>
              <w:pStyle w:val="TableParagraph"/>
              <w:spacing w:before="77"/>
              <w:ind w:right="3"/>
              <w:jc w:val="right"/>
              <w:rPr>
                <w:sz w:val="21"/>
              </w:rPr>
            </w:pPr>
            <w:r>
              <w:rPr>
                <w:sz w:val="21"/>
              </w:rPr>
              <w:t>2.56</w:t>
            </w:r>
          </w:p>
        </w:tc>
      </w:tr>
      <w:tr>
        <w:trPr>
          <w:trHeight w:val="405" w:hRule="atLeast"/>
        </w:trPr>
        <w:tc>
          <w:tcPr>
            <w:tcW w:w="649" w:type="dxa"/>
          </w:tcPr>
          <w:p>
            <w:pPr>
              <w:pStyle w:val="TableParagraph"/>
              <w:spacing w:before="43"/>
              <w:ind w:left="10"/>
              <w:jc w:val="center"/>
              <w:rPr>
                <w:sz w:val="21"/>
              </w:rPr>
            </w:pPr>
            <w:r>
              <w:rPr>
                <w:sz w:val="21"/>
              </w:rPr>
              <w:t>L</w:t>
            </w:r>
          </w:p>
        </w:tc>
        <w:tc>
          <w:tcPr>
            <w:tcW w:w="3226" w:type="dxa"/>
          </w:tcPr>
          <w:p>
            <w:pPr>
              <w:pStyle w:val="TableParagraph"/>
              <w:spacing w:before="43"/>
              <w:ind w:left="15"/>
              <w:rPr>
                <w:sz w:val="21"/>
              </w:rPr>
            </w:pPr>
            <w:r>
              <w:rPr>
                <w:sz w:val="21"/>
              </w:rPr>
              <w:t>租赁和商务服务业</w:t>
            </w:r>
          </w:p>
        </w:tc>
        <w:tc>
          <w:tcPr>
            <w:tcW w:w="2708" w:type="dxa"/>
          </w:tcPr>
          <w:p>
            <w:pPr>
              <w:pStyle w:val="TableParagraph"/>
              <w:spacing w:before="77"/>
              <w:ind w:right="-15"/>
              <w:jc w:val="right"/>
              <w:rPr>
                <w:sz w:val="21"/>
              </w:rPr>
            </w:pPr>
            <w:r>
              <w:rPr>
                <w:sz w:val="21"/>
              </w:rPr>
              <w:t>126,663,433.69</w:t>
            </w:r>
          </w:p>
        </w:tc>
        <w:tc>
          <w:tcPr>
            <w:tcW w:w="1421" w:type="dxa"/>
          </w:tcPr>
          <w:p>
            <w:pPr>
              <w:pStyle w:val="TableParagraph"/>
              <w:spacing w:before="77"/>
              <w:ind w:right="3"/>
              <w:jc w:val="right"/>
              <w:rPr>
                <w:sz w:val="21"/>
              </w:rPr>
            </w:pPr>
            <w:r>
              <w:rPr>
                <w:sz w:val="21"/>
              </w:rPr>
              <w:t>2.31</w:t>
            </w:r>
          </w:p>
        </w:tc>
      </w:tr>
      <w:tr>
        <w:trPr>
          <w:trHeight w:val="405" w:hRule="atLeast"/>
        </w:trPr>
        <w:tc>
          <w:tcPr>
            <w:tcW w:w="649" w:type="dxa"/>
          </w:tcPr>
          <w:p>
            <w:pPr>
              <w:pStyle w:val="TableParagraph"/>
              <w:spacing w:before="43"/>
              <w:ind w:left="10"/>
              <w:jc w:val="center"/>
              <w:rPr>
                <w:sz w:val="21"/>
              </w:rPr>
            </w:pPr>
            <w:r>
              <w:rPr>
                <w:sz w:val="21"/>
              </w:rPr>
              <w:t>M</w:t>
            </w:r>
          </w:p>
        </w:tc>
        <w:tc>
          <w:tcPr>
            <w:tcW w:w="3226" w:type="dxa"/>
          </w:tcPr>
          <w:p>
            <w:pPr>
              <w:pStyle w:val="TableParagraph"/>
              <w:spacing w:before="43"/>
              <w:ind w:left="15"/>
              <w:rPr>
                <w:sz w:val="21"/>
              </w:rPr>
            </w:pPr>
            <w:r>
              <w:rPr>
                <w:sz w:val="21"/>
              </w:rPr>
              <w:t>科学研究和技术服务业</w:t>
            </w:r>
          </w:p>
        </w:tc>
        <w:tc>
          <w:tcPr>
            <w:tcW w:w="2708" w:type="dxa"/>
          </w:tcPr>
          <w:p>
            <w:pPr>
              <w:pStyle w:val="TableParagraph"/>
              <w:spacing w:before="77"/>
              <w:ind w:right="-15"/>
              <w:jc w:val="right"/>
              <w:rPr>
                <w:sz w:val="21"/>
              </w:rPr>
            </w:pPr>
            <w:r>
              <w:rPr>
                <w:sz w:val="21"/>
              </w:rPr>
              <w:t>221,852,379.30</w:t>
            </w:r>
          </w:p>
        </w:tc>
        <w:tc>
          <w:tcPr>
            <w:tcW w:w="1421" w:type="dxa"/>
          </w:tcPr>
          <w:p>
            <w:pPr>
              <w:pStyle w:val="TableParagraph"/>
              <w:spacing w:before="77"/>
              <w:ind w:right="3"/>
              <w:jc w:val="right"/>
              <w:rPr>
                <w:sz w:val="21"/>
              </w:rPr>
            </w:pPr>
            <w:r>
              <w:rPr>
                <w:sz w:val="21"/>
              </w:rPr>
              <w:t>4.04</w:t>
            </w:r>
          </w:p>
        </w:tc>
      </w:tr>
      <w:tr>
        <w:trPr>
          <w:trHeight w:val="405" w:hRule="atLeast"/>
        </w:trPr>
        <w:tc>
          <w:tcPr>
            <w:tcW w:w="649" w:type="dxa"/>
          </w:tcPr>
          <w:p>
            <w:pPr>
              <w:pStyle w:val="TableParagraph"/>
              <w:spacing w:before="43"/>
              <w:ind w:left="10"/>
              <w:jc w:val="center"/>
              <w:rPr>
                <w:sz w:val="21"/>
              </w:rPr>
            </w:pPr>
            <w:r>
              <w:rPr>
                <w:sz w:val="21"/>
              </w:rPr>
              <w:t>N</w:t>
            </w:r>
          </w:p>
        </w:tc>
        <w:tc>
          <w:tcPr>
            <w:tcW w:w="3226" w:type="dxa"/>
          </w:tcPr>
          <w:p>
            <w:pPr>
              <w:pStyle w:val="TableParagraph"/>
              <w:spacing w:before="43"/>
              <w:ind w:left="15"/>
              <w:rPr>
                <w:sz w:val="21"/>
              </w:rPr>
            </w:pPr>
            <w:r>
              <w:rPr>
                <w:sz w:val="21"/>
              </w:rPr>
              <w:t>水利、环境和公共设施管理业</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bl>
    <w:p>
      <w:pPr>
        <w:spacing w:after="0"/>
        <w:jc w:val="right"/>
        <w:rPr>
          <w:sz w:val="21"/>
        </w:rPr>
        <w:sectPr>
          <w:pgSz w:w="11910" w:h="16840"/>
          <w:pgMar w:header="0" w:footer="910" w:top="1420" w:bottom="1180" w:left="1400" w:right="1380"/>
        </w:sectPr>
      </w:pP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
        <w:gridCol w:w="3226"/>
        <w:gridCol w:w="2708"/>
        <w:gridCol w:w="1421"/>
      </w:tblGrid>
      <w:tr>
        <w:trPr>
          <w:trHeight w:val="405" w:hRule="atLeast"/>
        </w:trPr>
        <w:tc>
          <w:tcPr>
            <w:tcW w:w="649" w:type="dxa"/>
          </w:tcPr>
          <w:p>
            <w:pPr>
              <w:pStyle w:val="TableParagraph"/>
              <w:spacing w:before="43"/>
              <w:ind w:left="272"/>
              <w:rPr>
                <w:sz w:val="21"/>
              </w:rPr>
            </w:pPr>
            <w:r>
              <w:rPr>
                <w:sz w:val="21"/>
              </w:rPr>
              <w:t>O</w:t>
            </w:r>
          </w:p>
        </w:tc>
        <w:tc>
          <w:tcPr>
            <w:tcW w:w="3226" w:type="dxa"/>
          </w:tcPr>
          <w:p>
            <w:pPr>
              <w:pStyle w:val="TableParagraph"/>
              <w:spacing w:before="43"/>
              <w:ind w:left="15"/>
              <w:rPr>
                <w:sz w:val="21"/>
              </w:rPr>
            </w:pPr>
            <w:r>
              <w:rPr>
                <w:sz w:val="21"/>
              </w:rPr>
              <w:t>居民服务、修理和其他服务业</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spacing w:before="43"/>
              <w:ind w:left="272"/>
              <w:rPr>
                <w:sz w:val="21"/>
              </w:rPr>
            </w:pPr>
            <w:r>
              <w:rPr>
                <w:sz w:val="21"/>
              </w:rPr>
              <w:t>P</w:t>
            </w:r>
          </w:p>
        </w:tc>
        <w:tc>
          <w:tcPr>
            <w:tcW w:w="3226" w:type="dxa"/>
          </w:tcPr>
          <w:p>
            <w:pPr>
              <w:pStyle w:val="TableParagraph"/>
              <w:spacing w:before="43"/>
              <w:ind w:left="15"/>
              <w:rPr>
                <w:sz w:val="21"/>
              </w:rPr>
            </w:pPr>
            <w:r>
              <w:rPr>
                <w:sz w:val="21"/>
              </w:rPr>
              <w:t>教育</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spacing w:before="43"/>
              <w:ind w:left="272"/>
              <w:rPr>
                <w:sz w:val="21"/>
              </w:rPr>
            </w:pPr>
            <w:r>
              <w:rPr>
                <w:sz w:val="21"/>
              </w:rPr>
              <w:t>Q</w:t>
            </w:r>
          </w:p>
        </w:tc>
        <w:tc>
          <w:tcPr>
            <w:tcW w:w="3226" w:type="dxa"/>
          </w:tcPr>
          <w:p>
            <w:pPr>
              <w:pStyle w:val="TableParagraph"/>
              <w:spacing w:before="43"/>
              <w:ind w:left="15"/>
              <w:rPr>
                <w:sz w:val="21"/>
              </w:rPr>
            </w:pPr>
            <w:r>
              <w:rPr>
                <w:sz w:val="21"/>
              </w:rPr>
              <w:t>卫生和社会工作</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spacing w:before="43"/>
              <w:ind w:left="272"/>
              <w:rPr>
                <w:sz w:val="21"/>
              </w:rPr>
            </w:pPr>
            <w:r>
              <w:rPr>
                <w:sz w:val="21"/>
              </w:rPr>
              <w:t>R</w:t>
            </w:r>
          </w:p>
        </w:tc>
        <w:tc>
          <w:tcPr>
            <w:tcW w:w="3226" w:type="dxa"/>
          </w:tcPr>
          <w:p>
            <w:pPr>
              <w:pStyle w:val="TableParagraph"/>
              <w:spacing w:before="43"/>
              <w:ind w:left="15"/>
              <w:rPr>
                <w:sz w:val="21"/>
              </w:rPr>
            </w:pPr>
            <w:r>
              <w:rPr>
                <w:sz w:val="21"/>
              </w:rPr>
              <w:t>文化、体育和娱乐业</w:t>
            </w:r>
          </w:p>
        </w:tc>
        <w:tc>
          <w:tcPr>
            <w:tcW w:w="2708" w:type="dxa"/>
          </w:tcPr>
          <w:p>
            <w:pPr>
              <w:pStyle w:val="TableParagraph"/>
              <w:spacing w:before="77"/>
              <w:ind w:right="-15"/>
              <w:jc w:val="right"/>
              <w:rPr>
                <w:sz w:val="21"/>
              </w:rPr>
            </w:pPr>
            <w:r>
              <w:rPr>
                <w:sz w:val="21"/>
              </w:rPr>
              <w:t>50,704,438.54</w:t>
            </w:r>
          </w:p>
        </w:tc>
        <w:tc>
          <w:tcPr>
            <w:tcW w:w="1421" w:type="dxa"/>
          </w:tcPr>
          <w:p>
            <w:pPr>
              <w:pStyle w:val="TableParagraph"/>
              <w:spacing w:before="77"/>
              <w:ind w:right="3"/>
              <w:jc w:val="right"/>
              <w:rPr>
                <w:sz w:val="21"/>
              </w:rPr>
            </w:pPr>
            <w:r>
              <w:rPr>
                <w:sz w:val="21"/>
              </w:rPr>
              <w:t>0.92</w:t>
            </w:r>
          </w:p>
        </w:tc>
      </w:tr>
      <w:tr>
        <w:trPr>
          <w:trHeight w:val="405" w:hRule="atLeast"/>
        </w:trPr>
        <w:tc>
          <w:tcPr>
            <w:tcW w:w="649" w:type="dxa"/>
          </w:tcPr>
          <w:p>
            <w:pPr>
              <w:pStyle w:val="TableParagraph"/>
              <w:spacing w:before="43"/>
              <w:ind w:left="272"/>
              <w:rPr>
                <w:sz w:val="21"/>
              </w:rPr>
            </w:pPr>
            <w:r>
              <w:rPr>
                <w:sz w:val="21"/>
              </w:rPr>
              <w:t>S</w:t>
            </w:r>
          </w:p>
        </w:tc>
        <w:tc>
          <w:tcPr>
            <w:tcW w:w="3226" w:type="dxa"/>
          </w:tcPr>
          <w:p>
            <w:pPr>
              <w:pStyle w:val="TableParagraph"/>
              <w:spacing w:before="43"/>
              <w:ind w:left="15"/>
              <w:rPr>
                <w:sz w:val="21"/>
              </w:rPr>
            </w:pPr>
            <w:r>
              <w:rPr>
                <w:sz w:val="21"/>
              </w:rPr>
              <w:t>综合</w:t>
            </w:r>
          </w:p>
        </w:tc>
        <w:tc>
          <w:tcPr>
            <w:tcW w:w="2708" w:type="dxa"/>
          </w:tcPr>
          <w:p>
            <w:pPr>
              <w:pStyle w:val="TableParagraph"/>
              <w:spacing w:before="77"/>
              <w:ind w:right="-15"/>
              <w:jc w:val="right"/>
              <w:rPr>
                <w:sz w:val="21"/>
              </w:rPr>
            </w:pPr>
            <w:r>
              <w:rPr>
                <w:sz w:val="21"/>
              </w:rPr>
              <w:t>-</w:t>
            </w:r>
          </w:p>
        </w:tc>
        <w:tc>
          <w:tcPr>
            <w:tcW w:w="1421" w:type="dxa"/>
          </w:tcPr>
          <w:p>
            <w:pPr>
              <w:pStyle w:val="TableParagraph"/>
              <w:spacing w:before="77"/>
              <w:ind w:right="3"/>
              <w:jc w:val="right"/>
              <w:rPr>
                <w:sz w:val="21"/>
              </w:rPr>
            </w:pPr>
            <w:r>
              <w:rPr>
                <w:sz w:val="21"/>
              </w:rPr>
              <w:t>-</w:t>
            </w:r>
          </w:p>
        </w:tc>
      </w:tr>
      <w:tr>
        <w:trPr>
          <w:trHeight w:val="405" w:hRule="atLeast"/>
        </w:trPr>
        <w:tc>
          <w:tcPr>
            <w:tcW w:w="649" w:type="dxa"/>
          </w:tcPr>
          <w:p>
            <w:pPr>
              <w:pStyle w:val="TableParagraph"/>
              <w:rPr>
                <w:rFonts w:ascii="Times New Roman"/>
                <w:sz w:val="20"/>
              </w:rPr>
            </w:pPr>
          </w:p>
        </w:tc>
        <w:tc>
          <w:tcPr>
            <w:tcW w:w="3226" w:type="dxa"/>
          </w:tcPr>
          <w:p>
            <w:pPr>
              <w:pStyle w:val="TableParagraph"/>
              <w:spacing w:before="43"/>
              <w:ind w:left="15"/>
              <w:rPr>
                <w:sz w:val="21"/>
              </w:rPr>
            </w:pPr>
            <w:r>
              <w:rPr>
                <w:sz w:val="21"/>
              </w:rPr>
              <w:t>合计</w:t>
            </w:r>
          </w:p>
        </w:tc>
        <w:tc>
          <w:tcPr>
            <w:tcW w:w="2708" w:type="dxa"/>
          </w:tcPr>
          <w:p>
            <w:pPr>
              <w:pStyle w:val="TableParagraph"/>
              <w:spacing w:before="77"/>
              <w:ind w:right="-15"/>
              <w:jc w:val="right"/>
              <w:rPr>
                <w:sz w:val="21"/>
              </w:rPr>
            </w:pPr>
            <w:r>
              <w:rPr>
                <w:sz w:val="21"/>
              </w:rPr>
              <w:t>5,097,504,789.55</w:t>
            </w:r>
          </w:p>
        </w:tc>
        <w:tc>
          <w:tcPr>
            <w:tcW w:w="1421" w:type="dxa"/>
          </w:tcPr>
          <w:p>
            <w:pPr>
              <w:pStyle w:val="TableParagraph"/>
              <w:spacing w:before="77"/>
              <w:ind w:right="3"/>
              <w:jc w:val="right"/>
              <w:rPr>
                <w:sz w:val="21"/>
              </w:rPr>
            </w:pPr>
            <w:r>
              <w:rPr>
                <w:sz w:val="21"/>
              </w:rPr>
              <w:t>92.91</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1199" w:hRule="atLeast"/>
        </w:trPr>
        <w:tc>
          <w:tcPr>
            <w:tcW w:w="786" w:type="dxa"/>
          </w:tcPr>
          <w:p>
            <w:pPr>
              <w:pStyle w:val="TableParagraph"/>
              <w:rPr>
                <w:sz w:val="20"/>
              </w:rPr>
            </w:pPr>
          </w:p>
          <w:p>
            <w:pPr>
              <w:pStyle w:val="TableParagraph"/>
              <w:spacing w:before="7"/>
              <w:rPr>
                <w:sz w:val="17"/>
              </w:rPr>
            </w:pPr>
          </w:p>
          <w:p>
            <w:pPr>
              <w:pStyle w:val="TableParagraph"/>
              <w:ind w:left="171" w:right="144"/>
              <w:jc w:val="center"/>
              <w:rPr>
                <w:sz w:val="21"/>
              </w:rPr>
            </w:pPr>
            <w:r>
              <w:rPr>
                <w:sz w:val="21"/>
              </w:rPr>
              <w:t>序号</w:t>
            </w:r>
          </w:p>
        </w:tc>
        <w:tc>
          <w:tcPr>
            <w:tcW w:w="1165" w:type="dxa"/>
          </w:tcPr>
          <w:p>
            <w:pPr>
              <w:pStyle w:val="TableParagraph"/>
              <w:rPr>
                <w:sz w:val="20"/>
              </w:rPr>
            </w:pPr>
          </w:p>
          <w:p>
            <w:pPr>
              <w:pStyle w:val="TableParagraph"/>
              <w:spacing w:before="7"/>
              <w:rPr>
                <w:sz w:val="17"/>
              </w:rPr>
            </w:pPr>
          </w:p>
          <w:p>
            <w:pPr>
              <w:pStyle w:val="TableParagraph"/>
              <w:ind w:left="151" w:right="124"/>
              <w:jc w:val="center"/>
              <w:rPr>
                <w:sz w:val="21"/>
              </w:rPr>
            </w:pPr>
            <w:r>
              <w:rPr>
                <w:sz w:val="21"/>
              </w:rPr>
              <w:t>股票代码</w:t>
            </w:r>
          </w:p>
        </w:tc>
        <w:tc>
          <w:tcPr>
            <w:tcW w:w="1292" w:type="dxa"/>
          </w:tcPr>
          <w:p>
            <w:pPr>
              <w:pStyle w:val="TableParagraph"/>
              <w:rPr>
                <w:sz w:val="20"/>
              </w:rPr>
            </w:pPr>
          </w:p>
          <w:p>
            <w:pPr>
              <w:pStyle w:val="TableParagraph"/>
              <w:spacing w:before="7"/>
              <w:rPr>
                <w:sz w:val="17"/>
              </w:rPr>
            </w:pPr>
          </w:p>
          <w:p>
            <w:pPr>
              <w:pStyle w:val="TableParagraph"/>
              <w:ind w:left="206" w:right="179"/>
              <w:jc w:val="center"/>
              <w:rPr>
                <w:sz w:val="21"/>
              </w:rPr>
            </w:pPr>
            <w:r>
              <w:rPr>
                <w:sz w:val="21"/>
              </w:rPr>
              <w:t>股票名称</w:t>
            </w:r>
          </w:p>
        </w:tc>
        <w:tc>
          <w:tcPr>
            <w:tcW w:w="1545" w:type="dxa"/>
          </w:tcPr>
          <w:p>
            <w:pPr>
              <w:pStyle w:val="TableParagraph"/>
              <w:rPr>
                <w:sz w:val="20"/>
              </w:rPr>
            </w:pPr>
          </w:p>
          <w:p>
            <w:pPr>
              <w:pStyle w:val="TableParagraph"/>
              <w:spacing w:before="7"/>
              <w:rPr>
                <w:sz w:val="17"/>
              </w:rPr>
            </w:pPr>
          </w:p>
          <w:p>
            <w:pPr>
              <w:pStyle w:val="TableParagraph"/>
              <w:ind w:left="255"/>
              <w:rPr>
                <w:sz w:val="21"/>
              </w:rPr>
            </w:pPr>
            <w:r>
              <w:rPr>
                <w:sz w:val="21"/>
              </w:rPr>
              <w:t>数量（股）</w:t>
            </w:r>
          </w:p>
        </w:tc>
        <w:tc>
          <w:tcPr>
            <w:tcW w:w="1798" w:type="dxa"/>
          </w:tcPr>
          <w:p>
            <w:pPr>
              <w:pStyle w:val="TableParagraph"/>
              <w:rPr>
                <w:sz w:val="20"/>
              </w:rPr>
            </w:pPr>
          </w:p>
          <w:p>
            <w:pPr>
              <w:pStyle w:val="TableParagraph"/>
              <w:spacing w:before="7"/>
              <w:rPr>
                <w:sz w:val="17"/>
              </w:rPr>
            </w:pPr>
          </w:p>
          <w:p>
            <w:pPr>
              <w:pStyle w:val="TableParagraph"/>
              <w:ind w:left="104" w:right="78"/>
              <w:jc w:val="center"/>
              <w:rPr>
                <w:sz w:val="21"/>
              </w:rPr>
            </w:pPr>
            <w:r>
              <w:rPr>
                <w:sz w:val="21"/>
              </w:rPr>
              <w:t>公允价值（元）</w:t>
            </w:r>
          </w:p>
        </w:tc>
        <w:tc>
          <w:tcPr>
            <w:tcW w:w="1418" w:type="dxa"/>
          </w:tcPr>
          <w:p>
            <w:pPr>
              <w:pStyle w:val="TableParagraph"/>
              <w:spacing w:line="348" w:lineRule="auto" w:before="91"/>
              <w:ind w:left="192" w:right="163"/>
              <w:jc w:val="center"/>
              <w:rPr>
                <w:sz w:val="21"/>
              </w:rPr>
            </w:pPr>
            <w:r>
              <w:rPr>
                <w:sz w:val="21"/>
              </w:rPr>
              <w:t>占基金资产净值比例</w:t>
            </w:r>
          </w:p>
          <w:p>
            <w:pPr>
              <w:pStyle w:val="TableParagraph"/>
              <w:spacing w:line="269" w:lineRule="exact"/>
              <w:ind w:left="189" w:right="163"/>
              <w:jc w:val="center"/>
              <w:rPr>
                <w:sz w:val="21"/>
              </w:rPr>
            </w:pPr>
            <w:r>
              <w:rPr>
                <w:sz w:val="21"/>
              </w:rPr>
              <w:t>（％）</w:t>
            </w:r>
          </w:p>
        </w:tc>
      </w:tr>
      <w:tr>
        <w:trPr>
          <w:trHeight w:val="389" w:hRule="atLeast"/>
        </w:trPr>
        <w:tc>
          <w:tcPr>
            <w:tcW w:w="786" w:type="dxa"/>
          </w:tcPr>
          <w:p>
            <w:pPr>
              <w:pStyle w:val="TableParagraph"/>
              <w:spacing w:before="62"/>
              <w:ind w:left="10"/>
              <w:jc w:val="center"/>
              <w:rPr>
                <w:sz w:val="21"/>
              </w:rPr>
            </w:pPr>
            <w:r>
              <w:rPr>
                <w:sz w:val="21"/>
              </w:rPr>
              <w:t>1</w:t>
            </w:r>
          </w:p>
        </w:tc>
        <w:tc>
          <w:tcPr>
            <w:tcW w:w="1165" w:type="dxa"/>
          </w:tcPr>
          <w:p>
            <w:pPr>
              <w:pStyle w:val="TableParagraph"/>
              <w:spacing w:before="62"/>
              <w:ind w:left="133" w:right="124"/>
              <w:jc w:val="center"/>
              <w:rPr>
                <w:sz w:val="21"/>
              </w:rPr>
            </w:pPr>
            <w:r>
              <w:rPr>
                <w:sz w:val="21"/>
              </w:rPr>
              <w:t>300476</w:t>
            </w:r>
          </w:p>
        </w:tc>
        <w:tc>
          <w:tcPr>
            <w:tcW w:w="1292" w:type="dxa"/>
          </w:tcPr>
          <w:p>
            <w:pPr>
              <w:pStyle w:val="TableParagraph"/>
              <w:spacing w:before="62"/>
              <w:ind w:left="197" w:right="187"/>
              <w:jc w:val="center"/>
              <w:rPr>
                <w:sz w:val="21"/>
              </w:rPr>
            </w:pPr>
            <w:r>
              <w:rPr>
                <w:sz w:val="21"/>
              </w:rPr>
              <w:t>胜宏科技</w:t>
            </w:r>
          </w:p>
        </w:tc>
        <w:tc>
          <w:tcPr>
            <w:tcW w:w="1545" w:type="dxa"/>
          </w:tcPr>
          <w:p>
            <w:pPr>
              <w:pStyle w:val="TableParagraph"/>
              <w:spacing w:before="62"/>
              <w:ind w:right="96"/>
              <w:jc w:val="right"/>
              <w:rPr>
                <w:sz w:val="21"/>
              </w:rPr>
            </w:pPr>
            <w:r>
              <w:rPr>
                <w:sz w:val="21"/>
              </w:rPr>
              <w:t>17,900,000</w:t>
            </w:r>
          </w:p>
        </w:tc>
        <w:tc>
          <w:tcPr>
            <w:tcW w:w="1798" w:type="dxa"/>
          </w:tcPr>
          <w:p>
            <w:pPr>
              <w:pStyle w:val="TableParagraph"/>
              <w:spacing w:before="62"/>
              <w:ind w:left="152" w:right="31"/>
              <w:jc w:val="center"/>
              <w:rPr>
                <w:sz w:val="21"/>
              </w:rPr>
            </w:pPr>
            <w:r>
              <w:rPr>
                <w:sz w:val="21"/>
              </w:rPr>
              <w:t>429,991,000.00</w:t>
            </w:r>
          </w:p>
        </w:tc>
        <w:tc>
          <w:tcPr>
            <w:tcW w:w="1418" w:type="dxa"/>
          </w:tcPr>
          <w:p>
            <w:pPr>
              <w:pStyle w:val="TableParagraph"/>
              <w:spacing w:before="62"/>
              <w:ind w:right="96"/>
              <w:jc w:val="right"/>
              <w:rPr>
                <w:sz w:val="21"/>
              </w:rPr>
            </w:pPr>
            <w:r>
              <w:rPr>
                <w:sz w:val="21"/>
              </w:rPr>
              <w:t>7.84</w:t>
            </w:r>
          </w:p>
        </w:tc>
      </w:tr>
      <w:tr>
        <w:trPr>
          <w:trHeight w:val="390" w:hRule="atLeast"/>
        </w:trPr>
        <w:tc>
          <w:tcPr>
            <w:tcW w:w="786" w:type="dxa"/>
          </w:tcPr>
          <w:p>
            <w:pPr>
              <w:pStyle w:val="TableParagraph"/>
              <w:spacing w:before="62"/>
              <w:ind w:left="10"/>
              <w:jc w:val="center"/>
              <w:rPr>
                <w:sz w:val="21"/>
              </w:rPr>
            </w:pPr>
            <w:r>
              <w:rPr>
                <w:sz w:val="21"/>
              </w:rPr>
              <w:t>2</w:t>
            </w:r>
          </w:p>
        </w:tc>
        <w:tc>
          <w:tcPr>
            <w:tcW w:w="1165" w:type="dxa"/>
          </w:tcPr>
          <w:p>
            <w:pPr>
              <w:pStyle w:val="TableParagraph"/>
              <w:spacing w:before="62"/>
              <w:ind w:left="133" w:right="124"/>
              <w:jc w:val="center"/>
              <w:rPr>
                <w:sz w:val="21"/>
              </w:rPr>
            </w:pPr>
            <w:r>
              <w:rPr>
                <w:sz w:val="21"/>
              </w:rPr>
              <w:t>600570</w:t>
            </w:r>
          </w:p>
        </w:tc>
        <w:tc>
          <w:tcPr>
            <w:tcW w:w="1292" w:type="dxa"/>
          </w:tcPr>
          <w:p>
            <w:pPr>
              <w:pStyle w:val="TableParagraph"/>
              <w:spacing w:before="62"/>
              <w:ind w:left="197" w:right="187"/>
              <w:jc w:val="center"/>
              <w:rPr>
                <w:sz w:val="21"/>
              </w:rPr>
            </w:pPr>
            <w:r>
              <w:rPr>
                <w:sz w:val="21"/>
              </w:rPr>
              <w:t>恒生电子</w:t>
            </w:r>
          </w:p>
        </w:tc>
        <w:tc>
          <w:tcPr>
            <w:tcW w:w="1545" w:type="dxa"/>
          </w:tcPr>
          <w:p>
            <w:pPr>
              <w:pStyle w:val="TableParagraph"/>
              <w:spacing w:before="62"/>
              <w:ind w:right="96"/>
              <w:jc w:val="right"/>
              <w:rPr>
                <w:sz w:val="21"/>
              </w:rPr>
            </w:pPr>
            <w:r>
              <w:rPr>
                <w:sz w:val="21"/>
              </w:rPr>
              <w:t>2,542,415</w:t>
            </w:r>
          </w:p>
        </w:tc>
        <w:tc>
          <w:tcPr>
            <w:tcW w:w="1798" w:type="dxa"/>
          </w:tcPr>
          <w:p>
            <w:pPr>
              <w:pStyle w:val="TableParagraph"/>
              <w:spacing w:before="62"/>
              <w:ind w:left="152" w:right="31"/>
              <w:jc w:val="center"/>
              <w:rPr>
                <w:sz w:val="21"/>
              </w:rPr>
            </w:pPr>
            <w:r>
              <w:rPr>
                <w:sz w:val="21"/>
              </w:rPr>
              <w:t>273,818,095.50</w:t>
            </w:r>
          </w:p>
        </w:tc>
        <w:tc>
          <w:tcPr>
            <w:tcW w:w="1418" w:type="dxa"/>
          </w:tcPr>
          <w:p>
            <w:pPr>
              <w:pStyle w:val="TableParagraph"/>
              <w:spacing w:before="62"/>
              <w:ind w:right="96"/>
              <w:jc w:val="right"/>
              <w:rPr>
                <w:sz w:val="21"/>
              </w:rPr>
            </w:pPr>
            <w:r>
              <w:rPr>
                <w:sz w:val="21"/>
              </w:rPr>
              <w:t>4.99</w:t>
            </w:r>
          </w:p>
        </w:tc>
      </w:tr>
      <w:tr>
        <w:trPr>
          <w:trHeight w:val="390" w:hRule="atLeast"/>
        </w:trPr>
        <w:tc>
          <w:tcPr>
            <w:tcW w:w="786" w:type="dxa"/>
          </w:tcPr>
          <w:p>
            <w:pPr>
              <w:pStyle w:val="TableParagraph"/>
              <w:spacing w:before="62"/>
              <w:ind w:left="10"/>
              <w:jc w:val="center"/>
              <w:rPr>
                <w:sz w:val="21"/>
              </w:rPr>
            </w:pPr>
            <w:r>
              <w:rPr>
                <w:sz w:val="21"/>
              </w:rPr>
              <w:t>3</w:t>
            </w:r>
          </w:p>
        </w:tc>
        <w:tc>
          <w:tcPr>
            <w:tcW w:w="1165" w:type="dxa"/>
          </w:tcPr>
          <w:p>
            <w:pPr>
              <w:pStyle w:val="TableParagraph"/>
              <w:spacing w:before="62"/>
              <w:ind w:left="133" w:right="124"/>
              <w:jc w:val="center"/>
              <w:rPr>
                <w:sz w:val="21"/>
              </w:rPr>
            </w:pPr>
            <w:r>
              <w:rPr>
                <w:sz w:val="21"/>
              </w:rPr>
              <w:t>000403</w:t>
            </w:r>
          </w:p>
        </w:tc>
        <w:tc>
          <w:tcPr>
            <w:tcW w:w="1292" w:type="dxa"/>
          </w:tcPr>
          <w:p>
            <w:pPr>
              <w:pStyle w:val="TableParagraph"/>
              <w:spacing w:before="62"/>
              <w:ind w:left="197" w:right="187"/>
              <w:jc w:val="center"/>
              <w:rPr>
                <w:sz w:val="21"/>
              </w:rPr>
            </w:pPr>
            <w:r>
              <w:rPr>
                <w:sz w:val="21"/>
              </w:rPr>
              <w:t>双林生物</w:t>
            </w:r>
          </w:p>
        </w:tc>
        <w:tc>
          <w:tcPr>
            <w:tcW w:w="1545" w:type="dxa"/>
          </w:tcPr>
          <w:p>
            <w:pPr>
              <w:pStyle w:val="TableParagraph"/>
              <w:spacing w:before="62"/>
              <w:ind w:right="96"/>
              <w:jc w:val="right"/>
              <w:rPr>
                <w:sz w:val="21"/>
              </w:rPr>
            </w:pPr>
            <w:r>
              <w:rPr>
                <w:sz w:val="21"/>
              </w:rPr>
              <w:t>2,711,448</w:t>
            </w:r>
          </w:p>
        </w:tc>
        <w:tc>
          <w:tcPr>
            <w:tcW w:w="1798" w:type="dxa"/>
          </w:tcPr>
          <w:p>
            <w:pPr>
              <w:pStyle w:val="TableParagraph"/>
              <w:spacing w:before="62"/>
              <w:ind w:left="152" w:right="31"/>
              <w:jc w:val="center"/>
              <w:rPr>
                <w:sz w:val="21"/>
              </w:rPr>
            </w:pPr>
            <w:r>
              <w:rPr>
                <w:sz w:val="21"/>
              </w:rPr>
              <w:t>200,999,640.24</w:t>
            </w:r>
          </w:p>
        </w:tc>
        <w:tc>
          <w:tcPr>
            <w:tcW w:w="1418" w:type="dxa"/>
          </w:tcPr>
          <w:p>
            <w:pPr>
              <w:pStyle w:val="TableParagraph"/>
              <w:spacing w:before="62"/>
              <w:ind w:right="96"/>
              <w:jc w:val="right"/>
              <w:rPr>
                <w:sz w:val="21"/>
              </w:rPr>
            </w:pPr>
            <w:r>
              <w:rPr>
                <w:sz w:val="21"/>
              </w:rPr>
              <w:t>3.66</w:t>
            </w:r>
          </w:p>
        </w:tc>
      </w:tr>
      <w:tr>
        <w:trPr>
          <w:trHeight w:val="390" w:hRule="atLeast"/>
        </w:trPr>
        <w:tc>
          <w:tcPr>
            <w:tcW w:w="786" w:type="dxa"/>
          </w:tcPr>
          <w:p>
            <w:pPr>
              <w:pStyle w:val="TableParagraph"/>
              <w:spacing w:before="62"/>
              <w:ind w:left="10"/>
              <w:jc w:val="center"/>
              <w:rPr>
                <w:sz w:val="21"/>
              </w:rPr>
            </w:pPr>
            <w:r>
              <w:rPr>
                <w:sz w:val="21"/>
              </w:rPr>
              <w:t>4</w:t>
            </w:r>
          </w:p>
        </w:tc>
        <w:tc>
          <w:tcPr>
            <w:tcW w:w="1165" w:type="dxa"/>
          </w:tcPr>
          <w:p>
            <w:pPr>
              <w:pStyle w:val="TableParagraph"/>
              <w:spacing w:before="62"/>
              <w:ind w:left="133" w:right="124"/>
              <w:jc w:val="center"/>
              <w:rPr>
                <w:sz w:val="21"/>
              </w:rPr>
            </w:pPr>
            <w:r>
              <w:rPr>
                <w:sz w:val="21"/>
              </w:rPr>
              <w:t>000858</w:t>
            </w:r>
          </w:p>
        </w:tc>
        <w:tc>
          <w:tcPr>
            <w:tcW w:w="1292" w:type="dxa"/>
          </w:tcPr>
          <w:p>
            <w:pPr>
              <w:pStyle w:val="TableParagraph"/>
              <w:spacing w:before="62"/>
              <w:ind w:left="197" w:right="187"/>
              <w:jc w:val="center"/>
              <w:rPr>
                <w:sz w:val="21"/>
              </w:rPr>
            </w:pPr>
            <w:r>
              <w:rPr>
                <w:sz w:val="21"/>
              </w:rPr>
              <w:t>五粮液</w:t>
            </w:r>
          </w:p>
        </w:tc>
        <w:tc>
          <w:tcPr>
            <w:tcW w:w="1545" w:type="dxa"/>
          </w:tcPr>
          <w:p>
            <w:pPr>
              <w:pStyle w:val="TableParagraph"/>
              <w:spacing w:before="62"/>
              <w:ind w:right="96"/>
              <w:jc w:val="right"/>
              <w:rPr>
                <w:sz w:val="21"/>
              </w:rPr>
            </w:pPr>
            <w:r>
              <w:rPr>
                <w:sz w:val="21"/>
              </w:rPr>
              <w:t>1,065,625</w:t>
            </w:r>
          </w:p>
        </w:tc>
        <w:tc>
          <w:tcPr>
            <w:tcW w:w="1798" w:type="dxa"/>
          </w:tcPr>
          <w:p>
            <w:pPr>
              <w:pStyle w:val="TableParagraph"/>
              <w:spacing w:before="62"/>
              <w:ind w:left="152" w:right="31"/>
              <w:jc w:val="center"/>
              <w:rPr>
                <w:sz w:val="21"/>
              </w:rPr>
            </w:pPr>
            <w:r>
              <w:rPr>
                <w:sz w:val="21"/>
              </w:rPr>
              <w:t>182,349,750.00</w:t>
            </w:r>
          </w:p>
        </w:tc>
        <w:tc>
          <w:tcPr>
            <w:tcW w:w="1418" w:type="dxa"/>
          </w:tcPr>
          <w:p>
            <w:pPr>
              <w:pStyle w:val="TableParagraph"/>
              <w:spacing w:before="62"/>
              <w:ind w:right="96"/>
              <w:jc w:val="right"/>
              <w:rPr>
                <w:sz w:val="21"/>
              </w:rPr>
            </w:pPr>
            <w:r>
              <w:rPr>
                <w:sz w:val="21"/>
              </w:rPr>
              <w:t>3.32</w:t>
            </w:r>
          </w:p>
        </w:tc>
      </w:tr>
      <w:tr>
        <w:trPr>
          <w:trHeight w:val="390" w:hRule="atLeast"/>
        </w:trPr>
        <w:tc>
          <w:tcPr>
            <w:tcW w:w="786" w:type="dxa"/>
          </w:tcPr>
          <w:p>
            <w:pPr>
              <w:pStyle w:val="TableParagraph"/>
              <w:spacing w:before="62"/>
              <w:ind w:left="10"/>
              <w:jc w:val="center"/>
              <w:rPr>
                <w:sz w:val="21"/>
              </w:rPr>
            </w:pPr>
            <w:r>
              <w:rPr>
                <w:sz w:val="21"/>
              </w:rPr>
              <w:t>5</w:t>
            </w:r>
          </w:p>
        </w:tc>
        <w:tc>
          <w:tcPr>
            <w:tcW w:w="1165" w:type="dxa"/>
          </w:tcPr>
          <w:p>
            <w:pPr>
              <w:pStyle w:val="TableParagraph"/>
              <w:spacing w:before="62"/>
              <w:ind w:left="133" w:right="124"/>
              <w:jc w:val="center"/>
              <w:rPr>
                <w:sz w:val="21"/>
              </w:rPr>
            </w:pPr>
            <w:r>
              <w:rPr>
                <w:sz w:val="21"/>
              </w:rPr>
              <w:t>300014</w:t>
            </w:r>
          </w:p>
        </w:tc>
        <w:tc>
          <w:tcPr>
            <w:tcW w:w="1292" w:type="dxa"/>
          </w:tcPr>
          <w:p>
            <w:pPr>
              <w:pStyle w:val="TableParagraph"/>
              <w:spacing w:before="62"/>
              <w:ind w:left="197" w:right="187"/>
              <w:jc w:val="center"/>
              <w:rPr>
                <w:sz w:val="21"/>
              </w:rPr>
            </w:pPr>
            <w:r>
              <w:rPr>
                <w:sz w:val="21"/>
              </w:rPr>
              <w:t>亿纬锂能</w:t>
            </w:r>
          </w:p>
        </w:tc>
        <w:tc>
          <w:tcPr>
            <w:tcW w:w="1545" w:type="dxa"/>
          </w:tcPr>
          <w:p>
            <w:pPr>
              <w:pStyle w:val="TableParagraph"/>
              <w:spacing w:before="62"/>
              <w:ind w:right="96"/>
              <w:jc w:val="right"/>
              <w:rPr>
                <w:sz w:val="21"/>
              </w:rPr>
            </w:pPr>
            <w:r>
              <w:rPr>
                <w:sz w:val="21"/>
              </w:rPr>
              <w:t>3,631,239</w:t>
            </w:r>
          </w:p>
        </w:tc>
        <w:tc>
          <w:tcPr>
            <w:tcW w:w="1798" w:type="dxa"/>
          </w:tcPr>
          <w:p>
            <w:pPr>
              <w:pStyle w:val="TableParagraph"/>
              <w:spacing w:before="62"/>
              <w:ind w:left="152" w:right="31"/>
              <w:jc w:val="center"/>
              <w:rPr>
                <w:sz w:val="21"/>
              </w:rPr>
            </w:pPr>
            <w:r>
              <w:rPr>
                <w:sz w:val="21"/>
              </w:rPr>
              <w:t>171,835,280.28</w:t>
            </w:r>
          </w:p>
        </w:tc>
        <w:tc>
          <w:tcPr>
            <w:tcW w:w="1418" w:type="dxa"/>
          </w:tcPr>
          <w:p>
            <w:pPr>
              <w:pStyle w:val="TableParagraph"/>
              <w:spacing w:before="62"/>
              <w:ind w:right="96"/>
              <w:jc w:val="right"/>
              <w:rPr>
                <w:sz w:val="21"/>
              </w:rPr>
            </w:pPr>
            <w:r>
              <w:rPr>
                <w:sz w:val="21"/>
              </w:rPr>
              <w:t>3.13</w:t>
            </w:r>
          </w:p>
        </w:tc>
      </w:tr>
      <w:tr>
        <w:trPr>
          <w:trHeight w:val="390" w:hRule="atLeast"/>
        </w:trPr>
        <w:tc>
          <w:tcPr>
            <w:tcW w:w="786" w:type="dxa"/>
          </w:tcPr>
          <w:p>
            <w:pPr>
              <w:pStyle w:val="TableParagraph"/>
              <w:spacing w:before="62"/>
              <w:ind w:left="10"/>
              <w:jc w:val="center"/>
              <w:rPr>
                <w:sz w:val="21"/>
              </w:rPr>
            </w:pPr>
            <w:r>
              <w:rPr>
                <w:sz w:val="21"/>
              </w:rPr>
              <w:t>6</w:t>
            </w:r>
          </w:p>
        </w:tc>
        <w:tc>
          <w:tcPr>
            <w:tcW w:w="1165" w:type="dxa"/>
          </w:tcPr>
          <w:p>
            <w:pPr>
              <w:pStyle w:val="TableParagraph"/>
              <w:spacing w:before="62"/>
              <w:ind w:left="133" w:right="124"/>
              <w:jc w:val="center"/>
              <w:rPr>
                <w:sz w:val="21"/>
              </w:rPr>
            </w:pPr>
            <w:r>
              <w:rPr>
                <w:sz w:val="21"/>
              </w:rPr>
              <w:t>600519</w:t>
            </w:r>
          </w:p>
        </w:tc>
        <w:tc>
          <w:tcPr>
            <w:tcW w:w="1292" w:type="dxa"/>
          </w:tcPr>
          <w:p>
            <w:pPr>
              <w:pStyle w:val="TableParagraph"/>
              <w:spacing w:before="62"/>
              <w:ind w:left="197" w:right="187"/>
              <w:jc w:val="center"/>
              <w:rPr>
                <w:sz w:val="21"/>
              </w:rPr>
            </w:pPr>
            <w:r>
              <w:rPr>
                <w:sz w:val="21"/>
              </w:rPr>
              <w:t>贵州茅台</w:t>
            </w:r>
          </w:p>
        </w:tc>
        <w:tc>
          <w:tcPr>
            <w:tcW w:w="1545" w:type="dxa"/>
          </w:tcPr>
          <w:p>
            <w:pPr>
              <w:pStyle w:val="TableParagraph"/>
              <w:spacing w:before="62"/>
              <w:ind w:right="96"/>
              <w:jc w:val="right"/>
              <w:rPr>
                <w:sz w:val="21"/>
              </w:rPr>
            </w:pPr>
            <w:r>
              <w:rPr>
                <w:sz w:val="21"/>
              </w:rPr>
              <w:t>116,992</w:t>
            </w:r>
          </w:p>
        </w:tc>
        <w:tc>
          <w:tcPr>
            <w:tcW w:w="1798" w:type="dxa"/>
          </w:tcPr>
          <w:p>
            <w:pPr>
              <w:pStyle w:val="TableParagraph"/>
              <w:spacing w:before="62"/>
              <w:ind w:left="152" w:right="31"/>
              <w:jc w:val="center"/>
              <w:rPr>
                <w:sz w:val="21"/>
              </w:rPr>
            </w:pPr>
            <w:r>
              <w:rPr>
                <w:sz w:val="21"/>
              </w:rPr>
              <w:t>171,145,256.96</w:t>
            </w:r>
          </w:p>
        </w:tc>
        <w:tc>
          <w:tcPr>
            <w:tcW w:w="1418" w:type="dxa"/>
          </w:tcPr>
          <w:p>
            <w:pPr>
              <w:pStyle w:val="TableParagraph"/>
              <w:spacing w:before="62"/>
              <w:ind w:right="96"/>
              <w:jc w:val="right"/>
              <w:rPr>
                <w:sz w:val="21"/>
              </w:rPr>
            </w:pPr>
            <w:r>
              <w:rPr>
                <w:sz w:val="21"/>
              </w:rPr>
              <w:t>3.12</w:t>
            </w:r>
          </w:p>
        </w:tc>
      </w:tr>
      <w:tr>
        <w:trPr>
          <w:trHeight w:val="390" w:hRule="atLeast"/>
        </w:trPr>
        <w:tc>
          <w:tcPr>
            <w:tcW w:w="786" w:type="dxa"/>
          </w:tcPr>
          <w:p>
            <w:pPr>
              <w:pStyle w:val="TableParagraph"/>
              <w:spacing w:before="62"/>
              <w:ind w:left="10"/>
              <w:jc w:val="center"/>
              <w:rPr>
                <w:sz w:val="21"/>
              </w:rPr>
            </w:pPr>
            <w:r>
              <w:rPr>
                <w:sz w:val="21"/>
              </w:rPr>
              <w:t>7</w:t>
            </w:r>
          </w:p>
        </w:tc>
        <w:tc>
          <w:tcPr>
            <w:tcW w:w="1165" w:type="dxa"/>
          </w:tcPr>
          <w:p>
            <w:pPr>
              <w:pStyle w:val="TableParagraph"/>
              <w:spacing w:before="62"/>
              <w:ind w:left="133" w:right="124"/>
              <w:jc w:val="center"/>
              <w:rPr>
                <w:sz w:val="21"/>
              </w:rPr>
            </w:pPr>
            <w:r>
              <w:rPr>
                <w:sz w:val="21"/>
              </w:rPr>
              <w:t>603520</w:t>
            </w:r>
          </w:p>
        </w:tc>
        <w:tc>
          <w:tcPr>
            <w:tcW w:w="1292" w:type="dxa"/>
          </w:tcPr>
          <w:p>
            <w:pPr>
              <w:pStyle w:val="TableParagraph"/>
              <w:spacing w:before="62"/>
              <w:ind w:left="197" w:right="187"/>
              <w:jc w:val="center"/>
              <w:rPr>
                <w:sz w:val="21"/>
              </w:rPr>
            </w:pPr>
            <w:r>
              <w:rPr>
                <w:sz w:val="21"/>
              </w:rPr>
              <w:t>司太立</w:t>
            </w:r>
          </w:p>
        </w:tc>
        <w:tc>
          <w:tcPr>
            <w:tcW w:w="1545" w:type="dxa"/>
          </w:tcPr>
          <w:p>
            <w:pPr>
              <w:pStyle w:val="TableParagraph"/>
              <w:spacing w:before="62"/>
              <w:ind w:right="96"/>
              <w:jc w:val="right"/>
              <w:rPr>
                <w:sz w:val="21"/>
              </w:rPr>
            </w:pPr>
            <w:r>
              <w:rPr>
                <w:sz w:val="21"/>
              </w:rPr>
              <w:t>2,010,238</w:t>
            </w:r>
          </w:p>
        </w:tc>
        <w:tc>
          <w:tcPr>
            <w:tcW w:w="1798" w:type="dxa"/>
          </w:tcPr>
          <w:p>
            <w:pPr>
              <w:pStyle w:val="TableParagraph"/>
              <w:spacing w:before="62"/>
              <w:ind w:left="152" w:right="31"/>
              <w:jc w:val="center"/>
              <w:rPr>
                <w:sz w:val="21"/>
              </w:rPr>
            </w:pPr>
            <w:r>
              <w:rPr>
                <w:sz w:val="21"/>
              </w:rPr>
              <w:t>168,980,606.28</w:t>
            </w:r>
          </w:p>
        </w:tc>
        <w:tc>
          <w:tcPr>
            <w:tcW w:w="1418" w:type="dxa"/>
          </w:tcPr>
          <w:p>
            <w:pPr>
              <w:pStyle w:val="TableParagraph"/>
              <w:spacing w:before="62"/>
              <w:ind w:right="96"/>
              <w:jc w:val="right"/>
              <w:rPr>
                <w:sz w:val="21"/>
              </w:rPr>
            </w:pPr>
            <w:r>
              <w:rPr>
                <w:sz w:val="21"/>
              </w:rPr>
              <w:t>3.08</w:t>
            </w:r>
          </w:p>
        </w:tc>
      </w:tr>
      <w:tr>
        <w:trPr>
          <w:trHeight w:val="390" w:hRule="atLeast"/>
        </w:trPr>
        <w:tc>
          <w:tcPr>
            <w:tcW w:w="786" w:type="dxa"/>
          </w:tcPr>
          <w:p>
            <w:pPr>
              <w:pStyle w:val="TableParagraph"/>
              <w:spacing w:before="62"/>
              <w:ind w:left="10"/>
              <w:jc w:val="center"/>
              <w:rPr>
                <w:sz w:val="21"/>
              </w:rPr>
            </w:pPr>
            <w:r>
              <w:rPr>
                <w:sz w:val="21"/>
              </w:rPr>
              <w:t>8</w:t>
            </w:r>
          </w:p>
        </w:tc>
        <w:tc>
          <w:tcPr>
            <w:tcW w:w="1165" w:type="dxa"/>
          </w:tcPr>
          <w:p>
            <w:pPr>
              <w:pStyle w:val="TableParagraph"/>
              <w:spacing w:before="62"/>
              <w:ind w:left="133" w:right="124"/>
              <w:jc w:val="center"/>
              <w:rPr>
                <w:sz w:val="21"/>
              </w:rPr>
            </w:pPr>
            <w:r>
              <w:rPr>
                <w:sz w:val="21"/>
              </w:rPr>
              <w:t>603259</w:t>
            </w:r>
          </w:p>
        </w:tc>
        <w:tc>
          <w:tcPr>
            <w:tcW w:w="1292" w:type="dxa"/>
          </w:tcPr>
          <w:p>
            <w:pPr>
              <w:pStyle w:val="TableParagraph"/>
              <w:spacing w:before="62"/>
              <w:ind w:left="197" w:right="187"/>
              <w:jc w:val="center"/>
              <w:rPr>
                <w:sz w:val="21"/>
              </w:rPr>
            </w:pPr>
            <w:r>
              <w:rPr>
                <w:sz w:val="21"/>
              </w:rPr>
              <w:t>药明康德</w:t>
            </w:r>
          </w:p>
        </w:tc>
        <w:tc>
          <w:tcPr>
            <w:tcW w:w="1545" w:type="dxa"/>
          </w:tcPr>
          <w:p>
            <w:pPr>
              <w:pStyle w:val="TableParagraph"/>
              <w:spacing w:before="62"/>
              <w:ind w:right="96"/>
              <w:jc w:val="right"/>
              <w:rPr>
                <w:sz w:val="21"/>
              </w:rPr>
            </w:pPr>
            <w:r>
              <w:rPr>
                <w:sz w:val="21"/>
              </w:rPr>
              <w:t>1,603,853</w:t>
            </w:r>
          </w:p>
        </w:tc>
        <w:tc>
          <w:tcPr>
            <w:tcW w:w="1798" w:type="dxa"/>
          </w:tcPr>
          <w:p>
            <w:pPr>
              <w:pStyle w:val="TableParagraph"/>
              <w:spacing w:before="62"/>
              <w:ind w:left="152" w:right="31"/>
              <w:jc w:val="center"/>
              <w:rPr>
                <w:sz w:val="21"/>
              </w:rPr>
            </w:pPr>
            <w:r>
              <w:rPr>
                <w:sz w:val="21"/>
              </w:rPr>
              <w:t>154,932,199.80</w:t>
            </w:r>
          </w:p>
        </w:tc>
        <w:tc>
          <w:tcPr>
            <w:tcW w:w="1418" w:type="dxa"/>
          </w:tcPr>
          <w:p>
            <w:pPr>
              <w:pStyle w:val="TableParagraph"/>
              <w:spacing w:before="62"/>
              <w:ind w:right="96"/>
              <w:jc w:val="right"/>
              <w:rPr>
                <w:sz w:val="21"/>
              </w:rPr>
            </w:pPr>
            <w:r>
              <w:rPr>
                <w:sz w:val="21"/>
              </w:rPr>
              <w:t>2.82</w:t>
            </w:r>
          </w:p>
        </w:tc>
      </w:tr>
      <w:tr>
        <w:trPr>
          <w:trHeight w:val="390" w:hRule="atLeast"/>
        </w:trPr>
        <w:tc>
          <w:tcPr>
            <w:tcW w:w="786" w:type="dxa"/>
          </w:tcPr>
          <w:p>
            <w:pPr>
              <w:pStyle w:val="TableParagraph"/>
              <w:spacing w:before="62"/>
              <w:ind w:left="10"/>
              <w:jc w:val="center"/>
              <w:rPr>
                <w:sz w:val="21"/>
              </w:rPr>
            </w:pPr>
            <w:r>
              <w:rPr>
                <w:sz w:val="21"/>
              </w:rPr>
              <w:t>9</w:t>
            </w:r>
          </w:p>
        </w:tc>
        <w:tc>
          <w:tcPr>
            <w:tcW w:w="1165" w:type="dxa"/>
          </w:tcPr>
          <w:p>
            <w:pPr>
              <w:pStyle w:val="TableParagraph"/>
              <w:spacing w:before="62"/>
              <w:ind w:left="133" w:right="124"/>
              <w:jc w:val="center"/>
              <w:rPr>
                <w:sz w:val="21"/>
              </w:rPr>
            </w:pPr>
            <w:r>
              <w:rPr>
                <w:sz w:val="21"/>
              </w:rPr>
              <w:t>002396</w:t>
            </w:r>
          </w:p>
        </w:tc>
        <w:tc>
          <w:tcPr>
            <w:tcW w:w="1292" w:type="dxa"/>
          </w:tcPr>
          <w:p>
            <w:pPr>
              <w:pStyle w:val="TableParagraph"/>
              <w:spacing w:before="62"/>
              <w:ind w:left="197" w:right="187"/>
              <w:jc w:val="center"/>
              <w:rPr>
                <w:sz w:val="21"/>
              </w:rPr>
            </w:pPr>
            <w:r>
              <w:rPr>
                <w:sz w:val="21"/>
              </w:rPr>
              <w:t>星网锐捷</w:t>
            </w:r>
          </w:p>
        </w:tc>
        <w:tc>
          <w:tcPr>
            <w:tcW w:w="1545" w:type="dxa"/>
          </w:tcPr>
          <w:p>
            <w:pPr>
              <w:pStyle w:val="TableParagraph"/>
              <w:spacing w:before="62"/>
              <w:ind w:right="96"/>
              <w:jc w:val="right"/>
              <w:rPr>
                <w:sz w:val="21"/>
              </w:rPr>
            </w:pPr>
            <w:r>
              <w:rPr>
                <w:sz w:val="21"/>
              </w:rPr>
              <w:t>4,053,416</w:t>
            </w:r>
          </w:p>
        </w:tc>
        <w:tc>
          <w:tcPr>
            <w:tcW w:w="1798" w:type="dxa"/>
          </w:tcPr>
          <w:p>
            <w:pPr>
              <w:pStyle w:val="TableParagraph"/>
              <w:spacing w:before="62"/>
              <w:ind w:left="152" w:right="31"/>
              <w:jc w:val="center"/>
              <w:rPr>
                <w:sz w:val="21"/>
              </w:rPr>
            </w:pPr>
            <w:r>
              <w:rPr>
                <w:sz w:val="21"/>
              </w:rPr>
              <w:t>143,207,187.28</w:t>
            </w:r>
          </w:p>
        </w:tc>
        <w:tc>
          <w:tcPr>
            <w:tcW w:w="1418" w:type="dxa"/>
          </w:tcPr>
          <w:p>
            <w:pPr>
              <w:pStyle w:val="TableParagraph"/>
              <w:spacing w:before="62"/>
              <w:ind w:right="96"/>
              <w:jc w:val="right"/>
              <w:rPr>
                <w:sz w:val="21"/>
              </w:rPr>
            </w:pPr>
            <w:r>
              <w:rPr>
                <w:sz w:val="21"/>
              </w:rPr>
              <w:t>2.61</w:t>
            </w:r>
          </w:p>
        </w:tc>
      </w:tr>
      <w:tr>
        <w:trPr>
          <w:trHeight w:val="390" w:hRule="atLeast"/>
        </w:trPr>
        <w:tc>
          <w:tcPr>
            <w:tcW w:w="786" w:type="dxa"/>
          </w:tcPr>
          <w:p>
            <w:pPr>
              <w:pStyle w:val="TableParagraph"/>
              <w:spacing w:before="62"/>
              <w:ind w:left="154" w:right="144"/>
              <w:jc w:val="center"/>
              <w:rPr>
                <w:sz w:val="21"/>
              </w:rPr>
            </w:pPr>
            <w:r>
              <w:rPr>
                <w:sz w:val="21"/>
              </w:rPr>
              <w:t>10</w:t>
            </w:r>
          </w:p>
        </w:tc>
        <w:tc>
          <w:tcPr>
            <w:tcW w:w="1165" w:type="dxa"/>
          </w:tcPr>
          <w:p>
            <w:pPr>
              <w:pStyle w:val="TableParagraph"/>
              <w:spacing w:before="62"/>
              <w:ind w:left="133" w:right="124"/>
              <w:jc w:val="center"/>
              <w:rPr>
                <w:sz w:val="21"/>
              </w:rPr>
            </w:pPr>
            <w:r>
              <w:rPr>
                <w:sz w:val="21"/>
              </w:rPr>
              <w:t>002410</w:t>
            </w:r>
          </w:p>
        </w:tc>
        <w:tc>
          <w:tcPr>
            <w:tcW w:w="1292" w:type="dxa"/>
          </w:tcPr>
          <w:p>
            <w:pPr>
              <w:pStyle w:val="TableParagraph"/>
              <w:spacing w:before="62"/>
              <w:ind w:left="197" w:right="187"/>
              <w:jc w:val="center"/>
              <w:rPr>
                <w:sz w:val="21"/>
              </w:rPr>
            </w:pPr>
            <w:r>
              <w:rPr>
                <w:sz w:val="21"/>
              </w:rPr>
              <w:t>广联达</w:t>
            </w:r>
          </w:p>
        </w:tc>
        <w:tc>
          <w:tcPr>
            <w:tcW w:w="1545" w:type="dxa"/>
          </w:tcPr>
          <w:p>
            <w:pPr>
              <w:pStyle w:val="TableParagraph"/>
              <w:spacing w:before="62"/>
              <w:ind w:right="96"/>
              <w:jc w:val="right"/>
              <w:rPr>
                <w:sz w:val="21"/>
              </w:rPr>
            </w:pPr>
            <w:r>
              <w:rPr>
                <w:sz w:val="21"/>
              </w:rPr>
              <w:t>2,001,857</w:t>
            </w:r>
          </w:p>
        </w:tc>
        <w:tc>
          <w:tcPr>
            <w:tcW w:w="1798" w:type="dxa"/>
          </w:tcPr>
          <w:p>
            <w:pPr>
              <w:pStyle w:val="TableParagraph"/>
              <w:spacing w:before="62"/>
              <w:ind w:left="152" w:right="31"/>
              <w:jc w:val="center"/>
              <w:rPr>
                <w:sz w:val="21"/>
              </w:rPr>
            </w:pPr>
            <w:r>
              <w:rPr>
                <w:sz w:val="21"/>
              </w:rPr>
              <w:t>139,529,432.90</w:t>
            </w:r>
          </w:p>
        </w:tc>
        <w:tc>
          <w:tcPr>
            <w:tcW w:w="1418" w:type="dxa"/>
          </w:tcPr>
          <w:p>
            <w:pPr>
              <w:pStyle w:val="TableParagraph"/>
              <w:spacing w:before="62"/>
              <w:ind w:right="96"/>
              <w:jc w:val="right"/>
              <w:rPr>
                <w:sz w:val="21"/>
              </w:rPr>
            </w:pPr>
            <w:r>
              <w:rPr>
                <w:sz w:val="21"/>
              </w:rPr>
              <w:t>2.54</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
        <w:gridCol w:w="2969"/>
        <w:gridCol w:w="2688"/>
        <w:gridCol w:w="1585"/>
      </w:tblGrid>
      <w:tr>
        <w:trPr>
          <w:trHeight w:val="809" w:hRule="atLeast"/>
        </w:trPr>
        <w:tc>
          <w:tcPr>
            <w:tcW w:w="762" w:type="dxa"/>
          </w:tcPr>
          <w:p>
            <w:pPr>
              <w:pStyle w:val="TableParagraph"/>
              <w:spacing w:before="4"/>
              <w:rPr>
                <w:sz w:val="22"/>
              </w:rPr>
            </w:pPr>
          </w:p>
          <w:p>
            <w:pPr>
              <w:pStyle w:val="TableParagraph"/>
              <w:ind w:left="159" w:right="132"/>
              <w:jc w:val="center"/>
              <w:rPr>
                <w:sz w:val="21"/>
              </w:rPr>
            </w:pPr>
            <w:r>
              <w:rPr>
                <w:sz w:val="21"/>
              </w:rPr>
              <w:t>序号</w:t>
            </w:r>
          </w:p>
        </w:tc>
        <w:tc>
          <w:tcPr>
            <w:tcW w:w="2969" w:type="dxa"/>
          </w:tcPr>
          <w:p>
            <w:pPr>
              <w:pStyle w:val="TableParagraph"/>
              <w:spacing w:before="4"/>
              <w:rPr>
                <w:sz w:val="22"/>
              </w:rPr>
            </w:pPr>
          </w:p>
          <w:p>
            <w:pPr>
              <w:pStyle w:val="TableParagraph"/>
              <w:ind w:left="1053" w:right="1026"/>
              <w:jc w:val="center"/>
              <w:rPr>
                <w:sz w:val="21"/>
              </w:rPr>
            </w:pPr>
            <w:r>
              <w:rPr>
                <w:sz w:val="21"/>
              </w:rPr>
              <w:t>债券品种</w:t>
            </w:r>
          </w:p>
        </w:tc>
        <w:tc>
          <w:tcPr>
            <w:tcW w:w="2688" w:type="dxa"/>
          </w:tcPr>
          <w:p>
            <w:pPr>
              <w:pStyle w:val="TableParagraph"/>
              <w:spacing w:before="4"/>
              <w:rPr>
                <w:sz w:val="22"/>
              </w:rPr>
            </w:pPr>
          </w:p>
          <w:p>
            <w:pPr>
              <w:pStyle w:val="TableParagraph"/>
              <w:ind w:left="722"/>
              <w:rPr>
                <w:sz w:val="21"/>
              </w:rPr>
            </w:pPr>
            <w:r>
              <w:rPr>
                <w:sz w:val="21"/>
              </w:rPr>
              <w:t>公允价值(元)</w:t>
            </w:r>
          </w:p>
        </w:tc>
        <w:tc>
          <w:tcPr>
            <w:tcW w:w="1585" w:type="dxa"/>
          </w:tcPr>
          <w:p>
            <w:pPr>
              <w:pStyle w:val="TableParagraph"/>
              <w:spacing w:before="91"/>
              <w:ind w:left="151" w:right="124"/>
              <w:jc w:val="center"/>
              <w:rPr>
                <w:sz w:val="21"/>
              </w:rPr>
            </w:pPr>
            <w:r>
              <w:rPr>
                <w:sz w:val="21"/>
              </w:rPr>
              <w:t>占基金资产净</w:t>
            </w:r>
          </w:p>
          <w:p>
            <w:pPr>
              <w:pStyle w:val="TableParagraph"/>
              <w:spacing w:before="121"/>
              <w:ind w:left="151" w:right="124"/>
              <w:jc w:val="center"/>
              <w:rPr>
                <w:sz w:val="21"/>
              </w:rPr>
            </w:pPr>
            <w:r>
              <w:rPr>
                <w:sz w:val="21"/>
              </w:rPr>
              <w:t>值比例(％)</w:t>
            </w:r>
          </w:p>
        </w:tc>
      </w:tr>
      <w:tr>
        <w:trPr>
          <w:trHeight w:val="419" w:hRule="atLeast"/>
        </w:trPr>
        <w:tc>
          <w:tcPr>
            <w:tcW w:w="762" w:type="dxa"/>
          </w:tcPr>
          <w:p>
            <w:pPr>
              <w:pStyle w:val="TableParagraph"/>
              <w:spacing w:before="91"/>
              <w:ind w:left="27"/>
              <w:jc w:val="center"/>
              <w:rPr>
                <w:sz w:val="21"/>
              </w:rPr>
            </w:pPr>
            <w:r>
              <w:rPr>
                <w:sz w:val="21"/>
              </w:rPr>
              <w:t>1</w:t>
            </w:r>
          </w:p>
        </w:tc>
        <w:tc>
          <w:tcPr>
            <w:tcW w:w="2969" w:type="dxa"/>
          </w:tcPr>
          <w:p>
            <w:pPr>
              <w:pStyle w:val="TableParagraph"/>
              <w:spacing w:before="91"/>
              <w:ind w:left="124"/>
              <w:rPr>
                <w:sz w:val="21"/>
              </w:rPr>
            </w:pPr>
            <w:r>
              <w:rPr>
                <w:sz w:val="21"/>
              </w:rPr>
              <w:t>国家债券</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9" w:hRule="atLeast"/>
        </w:trPr>
        <w:tc>
          <w:tcPr>
            <w:tcW w:w="762" w:type="dxa"/>
          </w:tcPr>
          <w:p>
            <w:pPr>
              <w:pStyle w:val="TableParagraph"/>
              <w:spacing w:before="91"/>
              <w:ind w:left="27"/>
              <w:jc w:val="center"/>
              <w:rPr>
                <w:sz w:val="21"/>
              </w:rPr>
            </w:pPr>
            <w:r>
              <w:rPr>
                <w:sz w:val="21"/>
              </w:rPr>
              <w:t>2</w:t>
            </w:r>
          </w:p>
        </w:tc>
        <w:tc>
          <w:tcPr>
            <w:tcW w:w="2969" w:type="dxa"/>
          </w:tcPr>
          <w:p>
            <w:pPr>
              <w:pStyle w:val="TableParagraph"/>
              <w:spacing w:before="91"/>
              <w:ind w:left="124"/>
              <w:rPr>
                <w:sz w:val="21"/>
              </w:rPr>
            </w:pPr>
            <w:r>
              <w:rPr>
                <w:sz w:val="21"/>
              </w:rPr>
              <w:t>央行票据</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3</w:t>
            </w:r>
          </w:p>
        </w:tc>
        <w:tc>
          <w:tcPr>
            <w:tcW w:w="2969" w:type="dxa"/>
          </w:tcPr>
          <w:p>
            <w:pPr>
              <w:pStyle w:val="TableParagraph"/>
              <w:spacing w:before="91"/>
              <w:ind w:left="124"/>
              <w:rPr>
                <w:sz w:val="21"/>
              </w:rPr>
            </w:pPr>
            <w:r>
              <w:rPr>
                <w:sz w:val="21"/>
              </w:rPr>
              <w:t>金融债券</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rPr>
                <w:rFonts w:ascii="Times New Roman"/>
                <w:sz w:val="20"/>
              </w:rPr>
            </w:pPr>
          </w:p>
        </w:tc>
        <w:tc>
          <w:tcPr>
            <w:tcW w:w="2969" w:type="dxa"/>
          </w:tcPr>
          <w:p>
            <w:pPr>
              <w:pStyle w:val="TableParagraph"/>
              <w:spacing w:before="91"/>
              <w:ind w:left="124"/>
              <w:rPr>
                <w:sz w:val="21"/>
              </w:rPr>
            </w:pPr>
            <w:r>
              <w:rPr>
                <w:sz w:val="21"/>
              </w:rPr>
              <w:t>其中：政策性金融债</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4</w:t>
            </w:r>
          </w:p>
        </w:tc>
        <w:tc>
          <w:tcPr>
            <w:tcW w:w="2969" w:type="dxa"/>
          </w:tcPr>
          <w:p>
            <w:pPr>
              <w:pStyle w:val="TableParagraph"/>
              <w:spacing w:before="91"/>
              <w:ind w:left="124"/>
              <w:rPr>
                <w:sz w:val="21"/>
              </w:rPr>
            </w:pPr>
            <w:r>
              <w:rPr>
                <w:sz w:val="21"/>
              </w:rPr>
              <w:t>企业债券</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5</w:t>
            </w:r>
          </w:p>
        </w:tc>
        <w:tc>
          <w:tcPr>
            <w:tcW w:w="2969" w:type="dxa"/>
          </w:tcPr>
          <w:p>
            <w:pPr>
              <w:pStyle w:val="TableParagraph"/>
              <w:spacing w:before="91"/>
              <w:ind w:left="124"/>
              <w:rPr>
                <w:sz w:val="21"/>
              </w:rPr>
            </w:pPr>
            <w:r>
              <w:rPr>
                <w:sz w:val="21"/>
              </w:rPr>
              <w:t>企业短期融资券</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6</w:t>
            </w:r>
          </w:p>
        </w:tc>
        <w:tc>
          <w:tcPr>
            <w:tcW w:w="2969" w:type="dxa"/>
          </w:tcPr>
          <w:p>
            <w:pPr>
              <w:pStyle w:val="TableParagraph"/>
              <w:spacing w:before="91"/>
              <w:ind w:left="124"/>
              <w:rPr>
                <w:sz w:val="21"/>
              </w:rPr>
            </w:pPr>
            <w:r>
              <w:rPr>
                <w:sz w:val="21"/>
              </w:rPr>
              <w:t>中期票据</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7</w:t>
            </w:r>
          </w:p>
        </w:tc>
        <w:tc>
          <w:tcPr>
            <w:tcW w:w="2969" w:type="dxa"/>
          </w:tcPr>
          <w:p>
            <w:pPr>
              <w:pStyle w:val="TableParagraph"/>
              <w:spacing w:before="91"/>
              <w:ind w:left="124"/>
              <w:rPr>
                <w:sz w:val="21"/>
              </w:rPr>
            </w:pPr>
            <w:r>
              <w:rPr>
                <w:sz w:val="21"/>
              </w:rPr>
              <w:t>可转债（可交换债）</w:t>
            </w:r>
          </w:p>
        </w:tc>
        <w:tc>
          <w:tcPr>
            <w:tcW w:w="2688" w:type="dxa"/>
          </w:tcPr>
          <w:p>
            <w:pPr>
              <w:pStyle w:val="TableParagraph"/>
              <w:spacing w:before="91"/>
              <w:ind w:right="97"/>
              <w:jc w:val="right"/>
              <w:rPr>
                <w:sz w:val="21"/>
              </w:rPr>
            </w:pPr>
            <w:r>
              <w:rPr>
                <w:sz w:val="21"/>
              </w:rPr>
              <w:t>7,360,396.34</w:t>
            </w:r>
          </w:p>
        </w:tc>
        <w:tc>
          <w:tcPr>
            <w:tcW w:w="1585" w:type="dxa"/>
          </w:tcPr>
          <w:p>
            <w:pPr>
              <w:pStyle w:val="TableParagraph"/>
              <w:spacing w:before="91"/>
              <w:ind w:right="97"/>
              <w:jc w:val="right"/>
              <w:rPr>
                <w:sz w:val="21"/>
              </w:rPr>
            </w:pPr>
            <w:r>
              <w:rPr>
                <w:sz w:val="21"/>
              </w:rPr>
              <w:t>0.13</w:t>
            </w:r>
          </w:p>
        </w:tc>
      </w:tr>
      <w:tr>
        <w:trPr>
          <w:trHeight w:val="418" w:hRule="atLeast"/>
        </w:trPr>
        <w:tc>
          <w:tcPr>
            <w:tcW w:w="762" w:type="dxa"/>
          </w:tcPr>
          <w:p>
            <w:pPr>
              <w:pStyle w:val="TableParagraph"/>
              <w:spacing w:before="91"/>
              <w:ind w:left="27"/>
              <w:jc w:val="center"/>
              <w:rPr>
                <w:sz w:val="21"/>
              </w:rPr>
            </w:pPr>
            <w:r>
              <w:rPr>
                <w:sz w:val="21"/>
              </w:rPr>
              <w:t>8</w:t>
            </w:r>
          </w:p>
        </w:tc>
        <w:tc>
          <w:tcPr>
            <w:tcW w:w="2969" w:type="dxa"/>
          </w:tcPr>
          <w:p>
            <w:pPr>
              <w:pStyle w:val="TableParagraph"/>
              <w:spacing w:before="91"/>
              <w:ind w:left="124"/>
              <w:rPr>
                <w:sz w:val="21"/>
              </w:rPr>
            </w:pPr>
            <w:r>
              <w:rPr>
                <w:sz w:val="21"/>
              </w:rPr>
              <w:t>同业存单</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r>
        <w:trPr>
          <w:trHeight w:val="418" w:hRule="atLeast"/>
        </w:trPr>
        <w:tc>
          <w:tcPr>
            <w:tcW w:w="762" w:type="dxa"/>
          </w:tcPr>
          <w:p>
            <w:pPr>
              <w:pStyle w:val="TableParagraph"/>
              <w:spacing w:before="91"/>
              <w:ind w:left="27"/>
              <w:jc w:val="center"/>
              <w:rPr>
                <w:sz w:val="21"/>
              </w:rPr>
            </w:pPr>
            <w:r>
              <w:rPr>
                <w:sz w:val="21"/>
              </w:rPr>
              <w:t>9</w:t>
            </w:r>
          </w:p>
        </w:tc>
        <w:tc>
          <w:tcPr>
            <w:tcW w:w="2969" w:type="dxa"/>
          </w:tcPr>
          <w:p>
            <w:pPr>
              <w:pStyle w:val="TableParagraph"/>
              <w:spacing w:before="91"/>
              <w:ind w:left="124"/>
              <w:rPr>
                <w:sz w:val="21"/>
              </w:rPr>
            </w:pPr>
            <w:r>
              <w:rPr>
                <w:sz w:val="21"/>
              </w:rPr>
              <w:t>其他</w:t>
            </w:r>
          </w:p>
        </w:tc>
        <w:tc>
          <w:tcPr>
            <w:tcW w:w="2688" w:type="dxa"/>
          </w:tcPr>
          <w:p>
            <w:pPr>
              <w:pStyle w:val="TableParagraph"/>
              <w:spacing w:before="91"/>
              <w:ind w:right="97"/>
              <w:jc w:val="right"/>
              <w:rPr>
                <w:sz w:val="21"/>
              </w:rPr>
            </w:pPr>
            <w:r>
              <w:rPr>
                <w:sz w:val="21"/>
              </w:rPr>
              <w:t>-</w:t>
            </w:r>
          </w:p>
        </w:tc>
        <w:tc>
          <w:tcPr>
            <w:tcW w:w="1585" w:type="dxa"/>
          </w:tcPr>
          <w:p>
            <w:pPr>
              <w:pStyle w:val="TableParagraph"/>
              <w:spacing w:before="91"/>
              <w:ind w:right="97"/>
              <w:jc w:val="right"/>
              <w:rPr>
                <w:sz w:val="21"/>
              </w:rPr>
            </w:pPr>
            <w:r>
              <w:rPr>
                <w:sz w:val="21"/>
              </w:rPr>
              <w:t>-</w:t>
            </w:r>
          </w:p>
        </w:tc>
      </w:tr>
    </w:tbl>
    <w:p>
      <w:pPr>
        <w:spacing w:after="0"/>
        <w:jc w:val="right"/>
        <w:rPr>
          <w:sz w:val="21"/>
        </w:rPr>
        <w:sectPr>
          <w:pgSz w:w="11910" w:h="16840"/>
          <w:pgMar w:header="0" w:footer="910" w:top="1420" w:bottom="1180" w:left="1400" w:right="1380"/>
        </w:sect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
        <w:gridCol w:w="2969"/>
        <w:gridCol w:w="2688"/>
        <w:gridCol w:w="1585"/>
      </w:tblGrid>
      <w:tr>
        <w:trPr>
          <w:trHeight w:val="419" w:hRule="atLeast"/>
        </w:trPr>
        <w:tc>
          <w:tcPr>
            <w:tcW w:w="762" w:type="dxa"/>
          </w:tcPr>
          <w:p>
            <w:pPr>
              <w:pStyle w:val="TableParagraph"/>
              <w:spacing w:before="91"/>
              <w:ind w:left="159" w:right="132"/>
              <w:jc w:val="center"/>
              <w:rPr>
                <w:sz w:val="21"/>
              </w:rPr>
            </w:pPr>
            <w:r>
              <w:rPr>
                <w:sz w:val="21"/>
              </w:rPr>
              <w:t>10</w:t>
            </w:r>
          </w:p>
        </w:tc>
        <w:tc>
          <w:tcPr>
            <w:tcW w:w="2969" w:type="dxa"/>
          </w:tcPr>
          <w:p>
            <w:pPr>
              <w:pStyle w:val="TableParagraph"/>
              <w:spacing w:before="91"/>
              <w:ind w:left="124"/>
              <w:rPr>
                <w:sz w:val="21"/>
              </w:rPr>
            </w:pPr>
            <w:r>
              <w:rPr>
                <w:sz w:val="21"/>
              </w:rPr>
              <w:t>合计</w:t>
            </w:r>
          </w:p>
        </w:tc>
        <w:tc>
          <w:tcPr>
            <w:tcW w:w="2688" w:type="dxa"/>
          </w:tcPr>
          <w:p>
            <w:pPr>
              <w:pStyle w:val="TableParagraph"/>
              <w:spacing w:before="91"/>
              <w:ind w:left="1320"/>
              <w:rPr>
                <w:sz w:val="21"/>
              </w:rPr>
            </w:pPr>
            <w:r>
              <w:rPr>
                <w:sz w:val="21"/>
              </w:rPr>
              <w:t>7,360,396.34</w:t>
            </w:r>
          </w:p>
        </w:tc>
        <w:tc>
          <w:tcPr>
            <w:tcW w:w="1585" w:type="dxa"/>
          </w:tcPr>
          <w:p>
            <w:pPr>
              <w:pStyle w:val="TableParagraph"/>
              <w:spacing w:before="91"/>
              <w:ind w:right="97"/>
              <w:jc w:val="right"/>
              <w:rPr>
                <w:sz w:val="21"/>
              </w:rPr>
            </w:pPr>
            <w:r>
              <w:rPr>
                <w:sz w:val="21"/>
              </w:rPr>
              <w:t>0.13</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
        <w:gridCol w:w="1200"/>
        <w:gridCol w:w="1198"/>
        <w:gridCol w:w="1462"/>
        <w:gridCol w:w="1855"/>
        <w:gridCol w:w="1383"/>
      </w:tblGrid>
      <w:tr>
        <w:trPr>
          <w:trHeight w:val="1199" w:hRule="atLeast"/>
        </w:trPr>
        <w:tc>
          <w:tcPr>
            <w:tcW w:w="906" w:type="dxa"/>
          </w:tcPr>
          <w:p>
            <w:pPr>
              <w:pStyle w:val="TableParagraph"/>
              <w:rPr>
                <w:sz w:val="20"/>
              </w:rPr>
            </w:pPr>
          </w:p>
          <w:p>
            <w:pPr>
              <w:pStyle w:val="TableParagraph"/>
              <w:spacing w:before="7"/>
              <w:rPr>
                <w:sz w:val="17"/>
              </w:rPr>
            </w:pPr>
          </w:p>
          <w:p>
            <w:pPr>
              <w:pStyle w:val="TableParagraph"/>
              <w:ind w:left="231" w:right="204"/>
              <w:jc w:val="center"/>
              <w:rPr>
                <w:sz w:val="21"/>
              </w:rPr>
            </w:pPr>
            <w:r>
              <w:rPr>
                <w:sz w:val="21"/>
              </w:rPr>
              <w:t>序号</w:t>
            </w:r>
          </w:p>
        </w:tc>
        <w:tc>
          <w:tcPr>
            <w:tcW w:w="1200" w:type="dxa"/>
          </w:tcPr>
          <w:p>
            <w:pPr>
              <w:pStyle w:val="TableParagraph"/>
              <w:rPr>
                <w:sz w:val="20"/>
              </w:rPr>
            </w:pPr>
          </w:p>
          <w:p>
            <w:pPr>
              <w:pStyle w:val="TableParagraph"/>
              <w:spacing w:before="7"/>
              <w:rPr>
                <w:sz w:val="17"/>
              </w:rPr>
            </w:pPr>
          </w:p>
          <w:p>
            <w:pPr>
              <w:pStyle w:val="TableParagraph"/>
              <w:ind w:left="168" w:right="141"/>
              <w:jc w:val="center"/>
              <w:rPr>
                <w:sz w:val="21"/>
              </w:rPr>
            </w:pPr>
            <w:r>
              <w:rPr>
                <w:sz w:val="21"/>
              </w:rPr>
              <w:t>债券代码</w:t>
            </w:r>
          </w:p>
        </w:tc>
        <w:tc>
          <w:tcPr>
            <w:tcW w:w="1198" w:type="dxa"/>
          </w:tcPr>
          <w:p>
            <w:pPr>
              <w:pStyle w:val="TableParagraph"/>
              <w:rPr>
                <w:sz w:val="20"/>
              </w:rPr>
            </w:pPr>
          </w:p>
          <w:p>
            <w:pPr>
              <w:pStyle w:val="TableParagraph"/>
              <w:spacing w:before="7"/>
              <w:rPr>
                <w:sz w:val="17"/>
              </w:rPr>
            </w:pPr>
          </w:p>
          <w:p>
            <w:pPr>
              <w:pStyle w:val="TableParagraph"/>
              <w:ind w:right="158"/>
              <w:jc w:val="right"/>
              <w:rPr>
                <w:sz w:val="21"/>
              </w:rPr>
            </w:pPr>
            <w:r>
              <w:rPr>
                <w:sz w:val="21"/>
              </w:rPr>
              <w:t>债券名称</w:t>
            </w:r>
          </w:p>
        </w:tc>
        <w:tc>
          <w:tcPr>
            <w:tcW w:w="1462" w:type="dxa"/>
          </w:tcPr>
          <w:p>
            <w:pPr>
              <w:pStyle w:val="TableParagraph"/>
              <w:rPr>
                <w:sz w:val="20"/>
              </w:rPr>
            </w:pPr>
          </w:p>
          <w:p>
            <w:pPr>
              <w:pStyle w:val="TableParagraph"/>
              <w:spacing w:before="7"/>
              <w:rPr>
                <w:sz w:val="17"/>
              </w:rPr>
            </w:pPr>
          </w:p>
          <w:p>
            <w:pPr>
              <w:pStyle w:val="TableParagraph"/>
              <w:ind w:left="214"/>
              <w:rPr>
                <w:sz w:val="21"/>
              </w:rPr>
            </w:pPr>
            <w:r>
              <w:rPr>
                <w:sz w:val="21"/>
              </w:rPr>
              <w:t>数量（张）</w:t>
            </w:r>
          </w:p>
        </w:tc>
        <w:tc>
          <w:tcPr>
            <w:tcW w:w="1855" w:type="dxa"/>
          </w:tcPr>
          <w:p>
            <w:pPr>
              <w:pStyle w:val="TableParagraph"/>
              <w:rPr>
                <w:sz w:val="20"/>
              </w:rPr>
            </w:pPr>
          </w:p>
          <w:p>
            <w:pPr>
              <w:pStyle w:val="TableParagraph"/>
              <w:spacing w:before="7"/>
              <w:rPr>
                <w:sz w:val="17"/>
              </w:rPr>
            </w:pPr>
          </w:p>
          <w:p>
            <w:pPr>
              <w:pStyle w:val="TableParagraph"/>
              <w:ind w:left="201"/>
              <w:rPr>
                <w:sz w:val="21"/>
              </w:rPr>
            </w:pPr>
            <w:r>
              <w:rPr>
                <w:sz w:val="21"/>
              </w:rPr>
              <w:t>公允价值（元）</w:t>
            </w:r>
          </w:p>
        </w:tc>
        <w:tc>
          <w:tcPr>
            <w:tcW w:w="1383" w:type="dxa"/>
          </w:tcPr>
          <w:p>
            <w:pPr>
              <w:pStyle w:val="TableParagraph"/>
              <w:spacing w:line="348" w:lineRule="auto" w:before="91"/>
              <w:ind w:left="174" w:right="146"/>
              <w:jc w:val="center"/>
              <w:rPr>
                <w:sz w:val="21"/>
              </w:rPr>
            </w:pPr>
            <w:r>
              <w:rPr>
                <w:sz w:val="21"/>
              </w:rPr>
              <w:t>占基金资产净值比例</w:t>
            </w:r>
          </w:p>
          <w:p>
            <w:pPr>
              <w:pStyle w:val="TableParagraph"/>
              <w:spacing w:line="269" w:lineRule="exact"/>
              <w:ind w:left="172" w:right="146"/>
              <w:jc w:val="center"/>
              <w:rPr>
                <w:sz w:val="21"/>
              </w:rPr>
            </w:pPr>
            <w:r>
              <w:rPr>
                <w:sz w:val="21"/>
              </w:rPr>
              <w:t>（％）</w:t>
            </w:r>
          </w:p>
        </w:tc>
      </w:tr>
      <w:tr>
        <w:trPr>
          <w:trHeight w:val="389" w:hRule="atLeast"/>
        </w:trPr>
        <w:tc>
          <w:tcPr>
            <w:tcW w:w="906" w:type="dxa"/>
          </w:tcPr>
          <w:p>
            <w:pPr>
              <w:pStyle w:val="TableParagraph"/>
              <w:spacing w:before="62"/>
              <w:ind w:left="10"/>
              <w:jc w:val="center"/>
              <w:rPr>
                <w:sz w:val="21"/>
              </w:rPr>
            </w:pPr>
            <w:r>
              <w:rPr>
                <w:sz w:val="21"/>
              </w:rPr>
              <w:t>1</w:t>
            </w:r>
          </w:p>
        </w:tc>
        <w:tc>
          <w:tcPr>
            <w:tcW w:w="1200" w:type="dxa"/>
          </w:tcPr>
          <w:p>
            <w:pPr>
              <w:pStyle w:val="TableParagraph"/>
              <w:spacing w:before="62"/>
              <w:ind w:left="151" w:right="141"/>
              <w:jc w:val="center"/>
              <w:rPr>
                <w:sz w:val="21"/>
              </w:rPr>
            </w:pPr>
            <w:r>
              <w:rPr>
                <w:sz w:val="21"/>
              </w:rPr>
              <w:t>113577</w:t>
            </w:r>
          </w:p>
        </w:tc>
        <w:tc>
          <w:tcPr>
            <w:tcW w:w="1198" w:type="dxa"/>
          </w:tcPr>
          <w:p>
            <w:pPr>
              <w:pStyle w:val="TableParagraph"/>
              <w:spacing w:before="62"/>
              <w:ind w:right="168"/>
              <w:jc w:val="right"/>
              <w:rPr>
                <w:sz w:val="21"/>
              </w:rPr>
            </w:pPr>
            <w:r>
              <w:rPr>
                <w:sz w:val="21"/>
              </w:rPr>
              <w:t>春秋转债</w:t>
            </w:r>
          </w:p>
        </w:tc>
        <w:tc>
          <w:tcPr>
            <w:tcW w:w="1462" w:type="dxa"/>
          </w:tcPr>
          <w:p>
            <w:pPr>
              <w:pStyle w:val="TableParagraph"/>
              <w:spacing w:before="62"/>
              <w:ind w:right="96"/>
              <w:jc w:val="right"/>
              <w:rPr>
                <w:sz w:val="21"/>
              </w:rPr>
            </w:pPr>
            <w:r>
              <w:rPr>
                <w:sz w:val="21"/>
              </w:rPr>
              <w:t>29,150</w:t>
            </w:r>
          </w:p>
        </w:tc>
        <w:tc>
          <w:tcPr>
            <w:tcW w:w="1855" w:type="dxa"/>
          </w:tcPr>
          <w:p>
            <w:pPr>
              <w:pStyle w:val="TableParagraph"/>
              <w:spacing w:before="62"/>
              <w:ind w:right="97"/>
              <w:jc w:val="right"/>
              <w:rPr>
                <w:sz w:val="21"/>
              </w:rPr>
            </w:pPr>
            <w:r>
              <w:rPr>
                <w:sz w:val="21"/>
              </w:rPr>
              <w:t>4,529,910.00</w:t>
            </w:r>
          </w:p>
        </w:tc>
        <w:tc>
          <w:tcPr>
            <w:tcW w:w="1383" w:type="dxa"/>
          </w:tcPr>
          <w:p>
            <w:pPr>
              <w:pStyle w:val="TableParagraph"/>
              <w:spacing w:before="62"/>
              <w:ind w:right="96"/>
              <w:jc w:val="right"/>
              <w:rPr>
                <w:sz w:val="21"/>
              </w:rPr>
            </w:pPr>
            <w:r>
              <w:rPr>
                <w:sz w:val="21"/>
              </w:rPr>
              <w:t>0.08</w:t>
            </w:r>
          </w:p>
        </w:tc>
      </w:tr>
      <w:tr>
        <w:trPr>
          <w:trHeight w:val="390" w:hRule="atLeast"/>
        </w:trPr>
        <w:tc>
          <w:tcPr>
            <w:tcW w:w="906" w:type="dxa"/>
          </w:tcPr>
          <w:p>
            <w:pPr>
              <w:pStyle w:val="TableParagraph"/>
              <w:spacing w:before="62"/>
              <w:ind w:left="10"/>
              <w:jc w:val="center"/>
              <w:rPr>
                <w:sz w:val="21"/>
              </w:rPr>
            </w:pPr>
            <w:r>
              <w:rPr>
                <w:sz w:val="21"/>
              </w:rPr>
              <w:t>2</w:t>
            </w:r>
          </w:p>
        </w:tc>
        <w:tc>
          <w:tcPr>
            <w:tcW w:w="1200" w:type="dxa"/>
          </w:tcPr>
          <w:p>
            <w:pPr>
              <w:pStyle w:val="TableParagraph"/>
              <w:spacing w:before="62"/>
              <w:ind w:left="151" w:right="141"/>
              <w:jc w:val="center"/>
              <w:rPr>
                <w:sz w:val="21"/>
              </w:rPr>
            </w:pPr>
            <w:r>
              <w:rPr>
                <w:sz w:val="21"/>
              </w:rPr>
              <w:t>128028</w:t>
            </w:r>
          </w:p>
        </w:tc>
        <w:tc>
          <w:tcPr>
            <w:tcW w:w="1198" w:type="dxa"/>
          </w:tcPr>
          <w:p>
            <w:pPr>
              <w:pStyle w:val="TableParagraph"/>
              <w:spacing w:before="62"/>
              <w:ind w:right="168"/>
              <w:jc w:val="right"/>
              <w:rPr>
                <w:sz w:val="21"/>
              </w:rPr>
            </w:pPr>
            <w:r>
              <w:rPr>
                <w:sz w:val="21"/>
              </w:rPr>
              <w:t>赣锋转债</w:t>
            </w:r>
          </w:p>
        </w:tc>
        <w:tc>
          <w:tcPr>
            <w:tcW w:w="1462" w:type="dxa"/>
          </w:tcPr>
          <w:p>
            <w:pPr>
              <w:pStyle w:val="TableParagraph"/>
              <w:spacing w:before="62"/>
              <w:ind w:right="96"/>
              <w:jc w:val="right"/>
              <w:rPr>
                <w:sz w:val="21"/>
              </w:rPr>
            </w:pPr>
            <w:r>
              <w:rPr>
                <w:sz w:val="21"/>
              </w:rPr>
              <w:t>20,274</w:t>
            </w:r>
          </w:p>
        </w:tc>
        <w:tc>
          <w:tcPr>
            <w:tcW w:w="1855" w:type="dxa"/>
          </w:tcPr>
          <w:p>
            <w:pPr>
              <w:pStyle w:val="TableParagraph"/>
              <w:spacing w:before="62"/>
              <w:ind w:right="97"/>
              <w:jc w:val="right"/>
              <w:rPr>
                <w:sz w:val="21"/>
              </w:rPr>
            </w:pPr>
            <w:r>
              <w:rPr>
                <w:sz w:val="21"/>
              </w:rPr>
              <w:t>2,829,439.44</w:t>
            </w:r>
          </w:p>
        </w:tc>
        <w:tc>
          <w:tcPr>
            <w:tcW w:w="1383" w:type="dxa"/>
          </w:tcPr>
          <w:p>
            <w:pPr>
              <w:pStyle w:val="TableParagraph"/>
              <w:spacing w:before="62"/>
              <w:ind w:right="96"/>
              <w:jc w:val="right"/>
              <w:rPr>
                <w:sz w:val="21"/>
              </w:rPr>
            </w:pPr>
            <w:r>
              <w:rPr>
                <w:sz w:val="21"/>
              </w:rPr>
              <w:t>0.05</w:t>
            </w:r>
          </w:p>
        </w:tc>
      </w:tr>
      <w:tr>
        <w:trPr>
          <w:trHeight w:val="390" w:hRule="atLeast"/>
        </w:trPr>
        <w:tc>
          <w:tcPr>
            <w:tcW w:w="906" w:type="dxa"/>
          </w:tcPr>
          <w:p>
            <w:pPr>
              <w:pStyle w:val="TableParagraph"/>
              <w:spacing w:before="62"/>
              <w:ind w:left="10"/>
              <w:jc w:val="center"/>
              <w:rPr>
                <w:sz w:val="21"/>
              </w:rPr>
            </w:pPr>
            <w:r>
              <w:rPr>
                <w:sz w:val="21"/>
              </w:rPr>
              <w:t>3</w:t>
            </w:r>
          </w:p>
        </w:tc>
        <w:tc>
          <w:tcPr>
            <w:tcW w:w="1200" w:type="dxa"/>
          </w:tcPr>
          <w:p>
            <w:pPr>
              <w:pStyle w:val="TableParagraph"/>
              <w:spacing w:before="62"/>
              <w:ind w:left="151" w:right="141"/>
              <w:jc w:val="center"/>
              <w:rPr>
                <w:sz w:val="21"/>
              </w:rPr>
            </w:pPr>
            <w:r>
              <w:rPr>
                <w:sz w:val="21"/>
              </w:rPr>
              <w:t>113021</w:t>
            </w:r>
          </w:p>
        </w:tc>
        <w:tc>
          <w:tcPr>
            <w:tcW w:w="1198" w:type="dxa"/>
          </w:tcPr>
          <w:p>
            <w:pPr>
              <w:pStyle w:val="TableParagraph"/>
              <w:spacing w:before="62"/>
              <w:ind w:right="168"/>
              <w:jc w:val="right"/>
              <w:rPr>
                <w:sz w:val="21"/>
              </w:rPr>
            </w:pPr>
            <w:r>
              <w:rPr>
                <w:sz w:val="21"/>
              </w:rPr>
              <w:t>中信转债</w:t>
            </w:r>
          </w:p>
        </w:tc>
        <w:tc>
          <w:tcPr>
            <w:tcW w:w="1462" w:type="dxa"/>
          </w:tcPr>
          <w:p>
            <w:pPr>
              <w:pStyle w:val="TableParagraph"/>
              <w:spacing w:before="62"/>
              <w:ind w:right="96"/>
              <w:jc w:val="right"/>
              <w:rPr>
                <w:sz w:val="21"/>
              </w:rPr>
            </w:pPr>
            <w:r>
              <w:rPr>
                <w:sz w:val="21"/>
              </w:rPr>
              <w:t>10</w:t>
            </w:r>
          </w:p>
        </w:tc>
        <w:tc>
          <w:tcPr>
            <w:tcW w:w="1855" w:type="dxa"/>
          </w:tcPr>
          <w:p>
            <w:pPr>
              <w:pStyle w:val="TableParagraph"/>
              <w:spacing w:before="62"/>
              <w:ind w:right="97"/>
              <w:jc w:val="right"/>
              <w:rPr>
                <w:sz w:val="21"/>
              </w:rPr>
            </w:pPr>
            <w:r>
              <w:rPr>
                <w:sz w:val="21"/>
              </w:rPr>
              <w:t>1,046.90</w:t>
            </w:r>
          </w:p>
        </w:tc>
        <w:tc>
          <w:tcPr>
            <w:tcW w:w="1383" w:type="dxa"/>
          </w:tcPr>
          <w:p>
            <w:pPr>
              <w:pStyle w:val="TableParagraph"/>
              <w:spacing w:before="62"/>
              <w:ind w:right="96"/>
              <w:jc w:val="right"/>
              <w:rPr>
                <w:sz w:val="21"/>
              </w:rPr>
            </w:pPr>
            <w:r>
              <w:rPr>
                <w:sz w:val="21"/>
              </w:rPr>
              <w:t>0.00</w:t>
            </w:r>
          </w:p>
        </w:tc>
      </w:tr>
    </w:tbl>
    <w:p>
      <w:pPr>
        <w:pStyle w:val="BodyText"/>
        <w:spacing w:line="364" w:lineRule="auto" w:before="3"/>
        <w:ind w:right="430"/>
      </w:pPr>
      <w:r>
        <w:rPr/>
        <w:t>6、报告期末按公允价值占基金资产净值比例大小排序的前十名资产支持证券投资明细本基金本报告期末未持有资产支持证券。</w:t>
      </w:r>
    </w:p>
    <w:p>
      <w:pPr>
        <w:pStyle w:val="BodyText"/>
        <w:spacing w:line="364" w:lineRule="auto"/>
        <w:ind w:right="1060"/>
      </w:pPr>
      <w:r>
        <w:rPr/>
        <w:t>7、报告期末按公允价值占基金资产净值比例大小排序的前五名贵金属投资明细本基金本报告期末未持有贵金属。</w:t>
      </w:r>
    </w:p>
    <w:p>
      <w:pPr>
        <w:pStyle w:val="BodyText"/>
        <w:spacing w:line="364" w:lineRule="auto"/>
        <w:ind w:right="1270"/>
      </w:pPr>
      <w:r>
        <w:rPr/>
        <w:t>8、报告期末按公允价值占基金资产净值比例大小排序的前五名权证投资明细本基金本报告期末未持有权证。</w:t>
      </w:r>
    </w:p>
    <w:p>
      <w:pPr>
        <w:pStyle w:val="BodyText"/>
        <w:spacing w:line="364" w:lineRule="auto"/>
        <w:ind w:right="3790"/>
      </w:pPr>
      <w:r>
        <w:rPr/>
        <w:t>9</w:t>
      </w:r>
      <w:r>
        <w:rPr>
          <w:spacing w:val="-1"/>
        </w:rPr>
        <w:t>、报告期末本基金投资的股指期货交易情况说明</w:t>
      </w:r>
      <w:r>
        <w:rPr/>
        <w:t>本基金本报告期末未投资股指期货。</w:t>
      </w:r>
    </w:p>
    <w:p>
      <w:pPr>
        <w:pStyle w:val="BodyText"/>
        <w:spacing w:line="364" w:lineRule="auto"/>
        <w:ind w:right="3685"/>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19"/>
        </w:numPr>
        <w:tabs>
          <w:tab w:pos="1347" w:val="left" w:leader="none"/>
        </w:tabs>
        <w:spacing w:line="364" w:lineRule="auto" w:before="136" w:after="0"/>
        <w:ind w:left="400" w:right="418"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19"/>
        </w:numPr>
        <w:tabs>
          <w:tab w:pos="1346" w:val="left" w:leader="none"/>
        </w:tabs>
        <w:spacing w:line="268" w:lineRule="exact" w:before="0" w:after="0"/>
        <w:ind w:left="1346" w:right="0" w:hanging="526"/>
        <w:jc w:val="left"/>
        <w:rPr>
          <w:sz w:val="21"/>
        </w:rPr>
      </w:pPr>
      <w:r>
        <w:rPr>
          <w:sz w:val="21"/>
        </w:rPr>
        <w:t>本基金投资的前十名股票没有超出基金合同规定的备选股票库。</w:t>
      </w:r>
    </w:p>
    <w:p>
      <w:pPr>
        <w:pStyle w:val="ListParagraph"/>
        <w:numPr>
          <w:ilvl w:val="0"/>
          <w:numId w:val="19"/>
        </w:numPr>
        <w:tabs>
          <w:tab w:pos="1346" w:val="left" w:leader="none"/>
        </w:tabs>
        <w:spacing w:line="240" w:lineRule="auto" w:before="139" w:after="0"/>
        <w:ind w:left="1346" w:right="0" w:hanging="526"/>
        <w:jc w:val="left"/>
        <w:rPr>
          <w:sz w:val="21"/>
        </w:rPr>
      </w:pPr>
      <w:r>
        <w:rPr>
          <w:sz w:val="21"/>
        </w:rPr>
        <w:t>其他资产构成</w:t>
      </w:r>
    </w:p>
    <w:p>
      <w:pPr>
        <w:pStyle w:val="BodyText"/>
        <w:spacing w:before="8"/>
        <w:ind w:left="0"/>
        <w:rPr>
          <w:sz w:val="1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2298"/>
        <w:gridCol w:w="4535"/>
      </w:tblGrid>
      <w:tr>
        <w:trPr>
          <w:trHeight w:val="419" w:hRule="atLeast"/>
        </w:trPr>
        <w:tc>
          <w:tcPr>
            <w:tcW w:w="1167" w:type="dxa"/>
          </w:tcPr>
          <w:p>
            <w:pPr>
              <w:pStyle w:val="TableParagraph"/>
              <w:spacing w:before="91"/>
              <w:ind w:left="362" w:right="335"/>
              <w:jc w:val="center"/>
              <w:rPr>
                <w:sz w:val="21"/>
              </w:rPr>
            </w:pPr>
            <w:r>
              <w:rPr>
                <w:sz w:val="21"/>
              </w:rPr>
              <w:t>序号</w:t>
            </w:r>
          </w:p>
        </w:tc>
        <w:tc>
          <w:tcPr>
            <w:tcW w:w="2298" w:type="dxa"/>
          </w:tcPr>
          <w:p>
            <w:pPr>
              <w:pStyle w:val="TableParagraph"/>
              <w:spacing w:before="91"/>
              <w:ind w:left="927" w:right="901"/>
              <w:jc w:val="center"/>
              <w:rPr>
                <w:sz w:val="21"/>
              </w:rPr>
            </w:pPr>
            <w:r>
              <w:rPr>
                <w:sz w:val="21"/>
              </w:rPr>
              <w:t>名称</w:t>
            </w:r>
          </w:p>
        </w:tc>
        <w:tc>
          <w:tcPr>
            <w:tcW w:w="4535" w:type="dxa"/>
          </w:tcPr>
          <w:p>
            <w:pPr>
              <w:pStyle w:val="TableParagraph"/>
              <w:spacing w:before="91"/>
              <w:ind w:left="1731" w:right="1704"/>
              <w:jc w:val="center"/>
              <w:rPr>
                <w:sz w:val="21"/>
              </w:rPr>
            </w:pPr>
            <w:r>
              <w:rPr>
                <w:sz w:val="21"/>
              </w:rPr>
              <w:t>金额（元）</w:t>
            </w:r>
          </w:p>
        </w:tc>
      </w:tr>
      <w:tr>
        <w:trPr>
          <w:trHeight w:val="419" w:hRule="atLeast"/>
        </w:trPr>
        <w:tc>
          <w:tcPr>
            <w:tcW w:w="1167" w:type="dxa"/>
          </w:tcPr>
          <w:p>
            <w:pPr>
              <w:pStyle w:val="TableParagraph"/>
              <w:spacing w:before="91"/>
              <w:ind w:left="24"/>
              <w:jc w:val="center"/>
              <w:rPr>
                <w:sz w:val="21"/>
              </w:rPr>
            </w:pPr>
            <w:r>
              <w:rPr>
                <w:sz w:val="21"/>
              </w:rPr>
              <w:t>1</w:t>
            </w:r>
          </w:p>
        </w:tc>
        <w:tc>
          <w:tcPr>
            <w:tcW w:w="2298" w:type="dxa"/>
          </w:tcPr>
          <w:p>
            <w:pPr>
              <w:pStyle w:val="TableParagraph"/>
              <w:spacing w:before="91"/>
              <w:ind w:left="122"/>
              <w:rPr>
                <w:sz w:val="21"/>
              </w:rPr>
            </w:pPr>
            <w:r>
              <w:rPr>
                <w:sz w:val="21"/>
              </w:rPr>
              <w:t>存出保证金</w:t>
            </w:r>
          </w:p>
        </w:tc>
        <w:tc>
          <w:tcPr>
            <w:tcW w:w="4535" w:type="dxa"/>
          </w:tcPr>
          <w:p>
            <w:pPr>
              <w:pStyle w:val="TableParagraph"/>
              <w:spacing w:before="91"/>
              <w:ind w:right="97"/>
              <w:jc w:val="right"/>
              <w:rPr>
                <w:sz w:val="21"/>
              </w:rPr>
            </w:pPr>
            <w:r>
              <w:rPr>
                <w:sz w:val="21"/>
              </w:rPr>
              <w:t>1,327,719.51</w:t>
            </w:r>
          </w:p>
        </w:tc>
      </w:tr>
      <w:tr>
        <w:trPr>
          <w:trHeight w:val="419" w:hRule="atLeast"/>
        </w:trPr>
        <w:tc>
          <w:tcPr>
            <w:tcW w:w="1167" w:type="dxa"/>
          </w:tcPr>
          <w:p>
            <w:pPr>
              <w:pStyle w:val="TableParagraph"/>
              <w:spacing w:before="91"/>
              <w:ind w:left="24"/>
              <w:jc w:val="center"/>
              <w:rPr>
                <w:sz w:val="21"/>
              </w:rPr>
            </w:pPr>
            <w:r>
              <w:rPr>
                <w:sz w:val="21"/>
              </w:rPr>
              <w:t>2</w:t>
            </w:r>
          </w:p>
        </w:tc>
        <w:tc>
          <w:tcPr>
            <w:tcW w:w="2298" w:type="dxa"/>
          </w:tcPr>
          <w:p>
            <w:pPr>
              <w:pStyle w:val="TableParagraph"/>
              <w:spacing w:before="91"/>
              <w:ind w:left="122"/>
              <w:rPr>
                <w:sz w:val="21"/>
              </w:rPr>
            </w:pPr>
            <w:r>
              <w:rPr>
                <w:sz w:val="21"/>
              </w:rPr>
              <w:t>应收证券清算款</w:t>
            </w:r>
          </w:p>
        </w:tc>
        <w:tc>
          <w:tcPr>
            <w:tcW w:w="4535" w:type="dxa"/>
          </w:tcPr>
          <w:p>
            <w:pPr>
              <w:pStyle w:val="TableParagraph"/>
              <w:spacing w:before="91"/>
              <w:ind w:right="97"/>
              <w:jc w:val="right"/>
              <w:rPr>
                <w:sz w:val="21"/>
              </w:rPr>
            </w:pPr>
            <w:r>
              <w:rPr>
                <w:sz w:val="21"/>
              </w:rPr>
              <w:t>11,482,247.95</w:t>
            </w:r>
          </w:p>
        </w:tc>
      </w:tr>
      <w:tr>
        <w:trPr>
          <w:trHeight w:val="418" w:hRule="atLeast"/>
        </w:trPr>
        <w:tc>
          <w:tcPr>
            <w:tcW w:w="1167" w:type="dxa"/>
          </w:tcPr>
          <w:p>
            <w:pPr>
              <w:pStyle w:val="TableParagraph"/>
              <w:spacing w:before="91"/>
              <w:ind w:left="24"/>
              <w:jc w:val="center"/>
              <w:rPr>
                <w:sz w:val="21"/>
              </w:rPr>
            </w:pPr>
            <w:r>
              <w:rPr>
                <w:sz w:val="21"/>
              </w:rPr>
              <w:t>3</w:t>
            </w:r>
          </w:p>
        </w:tc>
        <w:tc>
          <w:tcPr>
            <w:tcW w:w="2298" w:type="dxa"/>
          </w:tcPr>
          <w:p>
            <w:pPr>
              <w:pStyle w:val="TableParagraph"/>
              <w:spacing w:before="91"/>
              <w:ind w:left="122"/>
              <w:rPr>
                <w:sz w:val="21"/>
              </w:rPr>
            </w:pPr>
            <w:r>
              <w:rPr>
                <w:sz w:val="21"/>
              </w:rPr>
              <w:t>应收股利</w:t>
            </w:r>
          </w:p>
        </w:tc>
        <w:tc>
          <w:tcPr>
            <w:tcW w:w="4535" w:type="dxa"/>
          </w:tcPr>
          <w:p>
            <w:pPr>
              <w:pStyle w:val="TableParagraph"/>
              <w:spacing w:before="91"/>
              <w:ind w:right="96"/>
              <w:jc w:val="right"/>
              <w:rPr>
                <w:sz w:val="21"/>
              </w:rPr>
            </w:pPr>
            <w:r>
              <w:rPr>
                <w:sz w:val="21"/>
              </w:rPr>
              <w:t>-</w:t>
            </w:r>
          </w:p>
        </w:tc>
      </w:tr>
      <w:tr>
        <w:trPr>
          <w:trHeight w:val="418" w:hRule="atLeast"/>
        </w:trPr>
        <w:tc>
          <w:tcPr>
            <w:tcW w:w="1167" w:type="dxa"/>
          </w:tcPr>
          <w:p>
            <w:pPr>
              <w:pStyle w:val="TableParagraph"/>
              <w:spacing w:before="91"/>
              <w:ind w:left="24"/>
              <w:jc w:val="center"/>
              <w:rPr>
                <w:sz w:val="21"/>
              </w:rPr>
            </w:pPr>
            <w:r>
              <w:rPr>
                <w:sz w:val="21"/>
              </w:rPr>
              <w:t>4</w:t>
            </w:r>
          </w:p>
        </w:tc>
        <w:tc>
          <w:tcPr>
            <w:tcW w:w="2298" w:type="dxa"/>
          </w:tcPr>
          <w:p>
            <w:pPr>
              <w:pStyle w:val="TableParagraph"/>
              <w:spacing w:before="91"/>
              <w:ind w:left="122"/>
              <w:rPr>
                <w:sz w:val="21"/>
              </w:rPr>
            </w:pPr>
            <w:r>
              <w:rPr>
                <w:sz w:val="21"/>
              </w:rPr>
              <w:t>应收利息</w:t>
            </w:r>
          </w:p>
        </w:tc>
        <w:tc>
          <w:tcPr>
            <w:tcW w:w="4535" w:type="dxa"/>
          </w:tcPr>
          <w:p>
            <w:pPr>
              <w:pStyle w:val="TableParagraph"/>
              <w:spacing w:before="91"/>
              <w:ind w:right="96"/>
              <w:jc w:val="right"/>
              <w:rPr>
                <w:sz w:val="21"/>
              </w:rPr>
            </w:pPr>
            <w:r>
              <w:rPr>
                <w:sz w:val="21"/>
              </w:rPr>
              <w:t>74,212.56</w:t>
            </w:r>
          </w:p>
        </w:tc>
      </w:tr>
      <w:tr>
        <w:trPr>
          <w:trHeight w:val="418" w:hRule="atLeast"/>
        </w:trPr>
        <w:tc>
          <w:tcPr>
            <w:tcW w:w="1167" w:type="dxa"/>
          </w:tcPr>
          <w:p>
            <w:pPr>
              <w:pStyle w:val="TableParagraph"/>
              <w:spacing w:before="91"/>
              <w:ind w:left="24"/>
              <w:jc w:val="center"/>
              <w:rPr>
                <w:sz w:val="21"/>
              </w:rPr>
            </w:pPr>
            <w:r>
              <w:rPr>
                <w:sz w:val="21"/>
              </w:rPr>
              <w:t>5</w:t>
            </w:r>
          </w:p>
        </w:tc>
        <w:tc>
          <w:tcPr>
            <w:tcW w:w="2298" w:type="dxa"/>
          </w:tcPr>
          <w:p>
            <w:pPr>
              <w:pStyle w:val="TableParagraph"/>
              <w:spacing w:before="91"/>
              <w:ind w:left="122"/>
              <w:rPr>
                <w:sz w:val="21"/>
              </w:rPr>
            </w:pPr>
            <w:r>
              <w:rPr>
                <w:sz w:val="21"/>
              </w:rPr>
              <w:t>应收申购款</w:t>
            </w:r>
          </w:p>
        </w:tc>
        <w:tc>
          <w:tcPr>
            <w:tcW w:w="4535" w:type="dxa"/>
          </w:tcPr>
          <w:p>
            <w:pPr>
              <w:pStyle w:val="TableParagraph"/>
              <w:spacing w:before="91"/>
              <w:ind w:right="97"/>
              <w:jc w:val="right"/>
              <w:rPr>
                <w:sz w:val="21"/>
              </w:rPr>
            </w:pPr>
            <w:r>
              <w:rPr>
                <w:sz w:val="21"/>
              </w:rPr>
              <w:t>17,864,538.29</w:t>
            </w:r>
          </w:p>
        </w:tc>
      </w:tr>
      <w:tr>
        <w:trPr>
          <w:trHeight w:val="418" w:hRule="atLeast"/>
        </w:trPr>
        <w:tc>
          <w:tcPr>
            <w:tcW w:w="1167" w:type="dxa"/>
          </w:tcPr>
          <w:p>
            <w:pPr>
              <w:pStyle w:val="TableParagraph"/>
              <w:spacing w:before="91"/>
              <w:ind w:left="24"/>
              <w:jc w:val="center"/>
              <w:rPr>
                <w:sz w:val="21"/>
              </w:rPr>
            </w:pPr>
            <w:r>
              <w:rPr>
                <w:sz w:val="21"/>
              </w:rPr>
              <w:t>6</w:t>
            </w:r>
          </w:p>
        </w:tc>
        <w:tc>
          <w:tcPr>
            <w:tcW w:w="2298" w:type="dxa"/>
          </w:tcPr>
          <w:p>
            <w:pPr>
              <w:pStyle w:val="TableParagraph"/>
              <w:spacing w:before="91"/>
              <w:ind w:left="122"/>
              <w:rPr>
                <w:sz w:val="21"/>
              </w:rPr>
            </w:pPr>
            <w:r>
              <w:rPr>
                <w:sz w:val="21"/>
              </w:rPr>
              <w:t>其他应收款</w:t>
            </w:r>
          </w:p>
        </w:tc>
        <w:tc>
          <w:tcPr>
            <w:tcW w:w="4535" w:type="dxa"/>
          </w:tcPr>
          <w:p>
            <w:pPr>
              <w:pStyle w:val="TableParagraph"/>
              <w:spacing w:before="91"/>
              <w:ind w:right="96"/>
              <w:jc w:val="right"/>
              <w:rPr>
                <w:sz w:val="21"/>
              </w:rPr>
            </w:pPr>
            <w:r>
              <w:rPr>
                <w:sz w:val="21"/>
              </w:rPr>
              <w:t>-</w:t>
            </w:r>
          </w:p>
        </w:tc>
      </w:tr>
      <w:tr>
        <w:trPr>
          <w:trHeight w:val="418" w:hRule="atLeast"/>
        </w:trPr>
        <w:tc>
          <w:tcPr>
            <w:tcW w:w="1167" w:type="dxa"/>
          </w:tcPr>
          <w:p>
            <w:pPr>
              <w:pStyle w:val="TableParagraph"/>
              <w:spacing w:before="91"/>
              <w:ind w:left="24"/>
              <w:jc w:val="center"/>
              <w:rPr>
                <w:sz w:val="21"/>
              </w:rPr>
            </w:pPr>
            <w:r>
              <w:rPr>
                <w:sz w:val="21"/>
              </w:rPr>
              <w:t>7</w:t>
            </w:r>
          </w:p>
        </w:tc>
        <w:tc>
          <w:tcPr>
            <w:tcW w:w="2298" w:type="dxa"/>
          </w:tcPr>
          <w:p>
            <w:pPr>
              <w:pStyle w:val="TableParagraph"/>
              <w:spacing w:before="91"/>
              <w:ind w:left="122"/>
              <w:rPr>
                <w:sz w:val="21"/>
              </w:rPr>
            </w:pPr>
            <w:r>
              <w:rPr>
                <w:sz w:val="21"/>
              </w:rPr>
              <w:t>待摊费用</w:t>
            </w:r>
          </w:p>
        </w:tc>
        <w:tc>
          <w:tcPr>
            <w:tcW w:w="4535" w:type="dxa"/>
          </w:tcPr>
          <w:p>
            <w:pPr>
              <w:pStyle w:val="TableParagraph"/>
              <w:spacing w:before="91"/>
              <w:ind w:right="96"/>
              <w:jc w:val="right"/>
              <w:rPr>
                <w:sz w:val="21"/>
              </w:rPr>
            </w:pPr>
            <w:r>
              <w:rPr>
                <w:sz w:val="21"/>
              </w:rPr>
              <w:t>-</w:t>
            </w:r>
          </w:p>
        </w:tc>
      </w:tr>
      <w:tr>
        <w:trPr>
          <w:trHeight w:val="418" w:hRule="atLeast"/>
        </w:trPr>
        <w:tc>
          <w:tcPr>
            <w:tcW w:w="1167" w:type="dxa"/>
          </w:tcPr>
          <w:p>
            <w:pPr>
              <w:pStyle w:val="TableParagraph"/>
              <w:spacing w:before="91"/>
              <w:ind w:left="24"/>
              <w:jc w:val="center"/>
              <w:rPr>
                <w:sz w:val="21"/>
              </w:rPr>
            </w:pPr>
            <w:r>
              <w:rPr>
                <w:sz w:val="21"/>
              </w:rPr>
              <w:t>8</w:t>
            </w:r>
          </w:p>
        </w:tc>
        <w:tc>
          <w:tcPr>
            <w:tcW w:w="2298" w:type="dxa"/>
          </w:tcPr>
          <w:p>
            <w:pPr>
              <w:pStyle w:val="TableParagraph"/>
              <w:spacing w:before="91"/>
              <w:ind w:left="122"/>
              <w:rPr>
                <w:sz w:val="21"/>
              </w:rPr>
            </w:pPr>
            <w:r>
              <w:rPr>
                <w:sz w:val="21"/>
              </w:rPr>
              <w:t>其他</w:t>
            </w:r>
          </w:p>
        </w:tc>
        <w:tc>
          <w:tcPr>
            <w:tcW w:w="4535" w:type="dxa"/>
          </w:tcPr>
          <w:p>
            <w:pPr>
              <w:pStyle w:val="TableParagraph"/>
              <w:spacing w:before="91"/>
              <w:ind w:right="96"/>
              <w:jc w:val="right"/>
              <w:rPr>
                <w:sz w:val="21"/>
              </w:rPr>
            </w:pPr>
            <w:r>
              <w:rPr>
                <w:sz w:val="21"/>
              </w:rPr>
              <w:t>-</w:t>
            </w:r>
          </w:p>
        </w:tc>
      </w:tr>
      <w:tr>
        <w:trPr>
          <w:trHeight w:val="418" w:hRule="atLeast"/>
        </w:trPr>
        <w:tc>
          <w:tcPr>
            <w:tcW w:w="1167" w:type="dxa"/>
          </w:tcPr>
          <w:p>
            <w:pPr>
              <w:pStyle w:val="TableParagraph"/>
              <w:spacing w:before="91"/>
              <w:ind w:left="24"/>
              <w:jc w:val="center"/>
              <w:rPr>
                <w:sz w:val="21"/>
              </w:rPr>
            </w:pPr>
            <w:r>
              <w:rPr>
                <w:sz w:val="21"/>
              </w:rPr>
              <w:t>9</w:t>
            </w:r>
          </w:p>
        </w:tc>
        <w:tc>
          <w:tcPr>
            <w:tcW w:w="2298" w:type="dxa"/>
          </w:tcPr>
          <w:p>
            <w:pPr>
              <w:pStyle w:val="TableParagraph"/>
              <w:spacing w:before="91"/>
              <w:ind w:left="122"/>
              <w:rPr>
                <w:sz w:val="21"/>
              </w:rPr>
            </w:pPr>
            <w:r>
              <w:rPr>
                <w:sz w:val="21"/>
              </w:rPr>
              <w:t>合计</w:t>
            </w:r>
          </w:p>
        </w:tc>
        <w:tc>
          <w:tcPr>
            <w:tcW w:w="4535" w:type="dxa"/>
          </w:tcPr>
          <w:p>
            <w:pPr>
              <w:pStyle w:val="TableParagraph"/>
              <w:spacing w:before="91"/>
              <w:ind w:right="97"/>
              <w:jc w:val="right"/>
              <w:rPr>
                <w:sz w:val="21"/>
              </w:rPr>
            </w:pPr>
            <w:r>
              <w:rPr>
                <w:sz w:val="21"/>
              </w:rPr>
              <w:t>30,748,718.31</w:t>
            </w:r>
          </w:p>
        </w:tc>
      </w:tr>
    </w:tbl>
    <w:p>
      <w:pPr>
        <w:spacing w:after="0"/>
        <w:jc w:val="right"/>
        <w:rPr>
          <w:sz w:val="21"/>
        </w:rPr>
        <w:sectPr>
          <w:pgSz w:w="11910" w:h="16840"/>
          <w:pgMar w:header="0" w:footer="910" w:top="1420" w:bottom="1180" w:left="1400" w:right="1380"/>
        </w:sectPr>
      </w:pPr>
    </w:p>
    <w:p>
      <w:pPr>
        <w:pStyle w:val="ListParagraph"/>
        <w:numPr>
          <w:ilvl w:val="0"/>
          <w:numId w:val="19"/>
        </w:numPr>
        <w:tabs>
          <w:tab w:pos="1346" w:val="left" w:leader="none"/>
        </w:tabs>
        <w:spacing w:line="240" w:lineRule="auto" w:before="45" w:after="0"/>
        <w:ind w:left="134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9"/>
        <w:gridCol w:w="1625"/>
        <w:gridCol w:w="1559"/>
        <w:gridCol w:w="1596"/>
        <w:gridCol w:w="1525"/>
      </w:tblGrid>
      <w:tr>
        <w:trPr>
          <w:trHeight w:val="809" w:hRule="atLeast"/>
        </w:trPr>
        <w:tc>
          <w:tcPr>
            <w:tcW w:w="1699" w:type="dxa"/>
          </w:tcPr>
          <w:p>
            <w:pPr>
              <w:pStyle w:val="TableParagraph"/>
              <w:spacing w:before="4"/>
              <w:rPr>
                <w:sz w:val="22"/>
              </w:rPr>
            </w:pPr>
          </w:p>
          <w:p>
            <w:pPr>
              <w:pStyle w:val="TableParagraph"/>
              <w:ind w:left="628" w:right="601"/>
              <w:jc w:val="center"/>
              <w:rPr>
                <w:sz w:val="21"/>
              </w:rPr>
            </w:pPr>
            <w:r>
              <w:rPr>
                <w:sz w:val="21"/>
              </w:rPr>
              <w:t>序号</w:t>
            </w:r>
          </w:p>
        </w:tc>
        <w:tc>
          <w:tcPr>
            <w:tcW w:w="1625" w:type="dxa"/>
          </w:tcPr>
          <w:p>
            <w:pPr>
              <w:pStyle w:val="TableParagraph"/>
              <w:spacing w:before="4"/>
              <w:rPr>
                <w:sz w:val="22"/>
              </w:rPr>
            </w:pPr>
          </w:p>
          <w:p>
            <w:pPr>
              <w:pStyle w:val="TableParagraph"/>
              <w:ind w:left="380" w:right="354"/>
              <w:jc w:val="center"/>
              <w:rPr>
                <w:sz w:val="21"/>
              </w:rPr>
            </w:pPr>
            <w:r>
              <w:rPr>
                <w:sz w:val="21"/>
              </w:rPr>
              <w:t>债券代码</w:t>
            </w:r>
          </w:p>
        </w:tc>
        <w:tc>
          <w:tcPr>
            <w:tcW w:w="1559" w:type="dxa"/>
          </w:tcPr>
          <w:p>
            <w:pPr>
              <w:pStyle w:val="TableParagraph"/>
              <w:spacing w:before="4"/>
              <w:rPr>
                <w:sz w:val="22"/>
              </w:rPr>
            </w:pPr>
          </w:p>
          <w:p>
            <w:pPr>
              <w:pStyle w:val="TableParagraph"/>
              <w:ind w:left="339" w:right="313"/>
              <w:jc w:val="center"/>
              <w:rPr>
                <w:sz w:val="21"/>
              </w:rPr>
            </w:pPr>
            <w:r>
              <w:rPr>
                <w:sz w:val="21"/>
              </w:rPr>
              <w:t>债券名称</w:t>
            </w:r>
          </w:p>
        </w:tc>
        <w:tc>
          <w:tcPr>
            <w:tcW w:w="1596" w:type="dxa"/>
          </w:tcPr>
          <w:p>
            <w:pPr>
              <w:pStyle w:val="TableParagraph"/>
              <w:spacing w:before="4"/>
              <w:rPr>
                <w:sz w:val="22"/>
              </w:rPr>
            </w:pPr>
          </w:p>
          <w:p>
            <w:pPr>
              <w:pStyle w:val="TableParagraph"/>
              <w:ind w:right="-15"/>
              <w:jc w:val="right"/>
              <w:rPr>
                <w:sz w:val="21"/>
              </w:rPr>
            </w:pPr>
            <w:r>
              <w:rPr>
                <w:sz w:val="21"/>
              </w:rPr>
              <w:t>公允价值（元）</w:t>
            </w:r>
          </w:p>
        </w:tc>
        <w:tc>
          <w:tcPr>
            <w:tcW w:w="1525" w:type="dxa"/>
          </w:tcPr>
          <w:p>
            <w:pPr>
              <w:pStyle w:val="TableParagraph"/>
              <w:spacing w:before="91"/>
              <w:ind w:left="141"/>
              <w:rPr>
                <w:sz w:val="21"/>
              </w:rPr>
            </w:pPr>
            <w:r>
              <w:rPr>
                <w:sz w:val="21"/>
              </w:rPr>
              <w:t>占基金资产净</w:t>
            </w:r>
          </w:p>
          <w:p>
            <w:pPr>
              <w:pStyle w:val="TableParagraph"/>
              <w:spacing w:before="121"/>
              <w:ind w:left="193"/>
              <w:rPr>
                <w:sz w:val="21"/>
              </w:rPr>
            </w:pPr>
            <w:r>
              <w:rPr>
                <w:sz w:val="21"/>
              </w:rPr>
              <w:t>值比例（%）</w:t>
            </w:r>
          </w:p>
        </w:tc>
      </w:tr>
      <w:tr>
        <w:trPr>
          <w:trHeight w:val="390" w:hRule="atLeast"/>
        </w:trPr>
        <w:tc>
          <w:tcPr>
            <w:tcW w:w="1699" w:type="dxa"/>
          </w:tcPr>
          <w:p>
            <w:pPr>
              <w:pStyle w:val="TableParagraph"/>
              <w:spacing w:before="62"/>
              <w:ind w:left="10"/>
              <w:jc w:val="center"/>
              <w:rPr>
                <w:sz w:val="21"/>
              </w:rPr>
            </w:pPr>
            <w:r>
              <w:rPr>
                <w:sz w:val="21"/>
              </w:rPr>
              <w:t>1</w:t>
            </w:r>
          </w:p>
        </w:tc>
        <w:tc>
          <w:tcPr>
            <w:tcW w:w="1625" w:type="dxa"/>
          </w:tcPr>
          <w:p>
            <w:pPr>
              <w:pStyle w:val="TableParagraph"/>
              <w:spacing w:before="62"/>
              <w:ind w:left="363" w:right="354"/>
              <w:jc w:val="center"/>
              <w:rPr>
                <w:sz w:val="21"/>
              </w:rPr>
            </w:pPr>
            <w:r>
              <w:rPr>
                <w:sz w:val="21"/>
              </w:rPr>
              <w:t>128028</w:t>
            </w:r>
          </w:p>
        </w:tc>
        <w:tc>
          <w:tcPr>
            <w:tcW w:w="1559" w:type="dxa"/>
          </w:tcPr>
          <w:p>
            <w:pPr>
              <w:pStyle w:val="TableParagraph"/>
              <w:spacing w:before="62"/>
              <w:ind w:left="330" w:right="321"/>
              <w:jc w:val="center"/>
              <w:rPr>
                <w:sz w:val="21"/>
              </w:rPr>
            </w:pPr>
            <w:r>
              <w:rPr>
                <w:sz w:val="21"/>
              </w:rPr>
              <w:t>赣锋转债</w:t>
            </w:r>
          </w:p>
        </w:tc>
        <w:tc>
          <w:tcPr>
            <w:tcW w:w="1596" w:type="dxa"/>
          </w:tcPr>
          <w:p>
            <w:pPr>
              <w:pStyle w:val="TableParagraph"/>
              <w:spacing w:before="62"/>
              <w:ind w:left="227"/>
              <w:rPr>
                <w:sz w:val="21"/>
              </w:rPr>
            </w:pPr>
            <w:r>
              <w:rPr>
                <w:sz w:val="21"/>
              </w:rPr>
              <w:t>2,829,439.44</w:t>
            </w:r>
          </w:p>
        </w:tc>
        <w:tc>
          <w:tcPr>
            <w:tcW w:w="1525" w:type="dxa"/>
          </w:tcPr>
          <w:p>
            <w:pPr>
              <w:pStyle w:val="TableParagraph"/>
              <w:spacing w:before="62"/>
              <w:ind w:right="97"/>
              <w:jc w:val="right"/>
              <w:rPr>
                <w:sz w:val="21"/>
              </w:rPr>
            </w:pPr>
            <w:r>
              <w:rPr>
                <w:sz w:val="21"/>
              </w:rPr>
              <w:t>0.05</w:t>
            </w:r>
          </w:p>
        </w:tc>
      </w:tr>
      <w:tr>
        <w:trPr>
          <w:trHeight w:val="389" w:hRule="atLeast"/>
        </w:trPr>
        <w:tc>
          <w:tcPr>
            <w:tcW w:w="1699" w:type="dxa"/>
          </w:tcPr>
          <w:p>
            <w:pPr>
              <w:pStyle w:val="TableParagraph"/>
              <w:spacing w:before="62"/>
              <w:ind w:left="10"/>
              <w:jc w:val="center"/>
              <w:rPr>
                <w:sz w:val="21"/>
              </w:rPr>
            </w:pPr>
            <w:r>
              <w:rPr>
                <w:sz w:val="21"/>
              </w:rPr>
              <w:t>2</w:t>
            </w:r>
          </w:p>
        </w:tc>
        <w:tc>
          <w:tcPr>
            <w:tcW w:w="1625" w:type="dxa"/>
          </w:tcPr>
          <w:p>
            <w:pPr>
              <w:pStyle w:val="TableParagraph"/>
              <w:spacing w:before="62"/>
              <w:ind w:left="363" w:right="354"/>
              <w:jc w:val="center"/>
              <w:rPr>
                <w:sz w:val="21"/>
              </w:rPr>
            </w:pPr>
            <w:r>
              <w:rPr>
                <w:sz w:val="21"/>
              </w:rPr>
              <w:t>113021</w:t>
            </w:r>
          </w:p>
        </w:tc>
        <w:tc>
          <w:tcPr>
            <w:tcW w:w="1559" w:type="dxa"/>
          </w:tcPr>
          <w:p>
            <w:pPr>
              <w:pStyle w:val="TableParagraph"/>
              <w:spacing w:before="62"/>
              <w:ind w:left="330" w:right="321"/>
              <w:jc w:val="center"/>
              <w:rPr>
                <w:sz w:val="21"/>
              </w:rPr>
            </w:pPr>
            <w:r>
              <w:rPr>
                <w:sz w:val="21"/>
              </w:rPr>
              <w:t>中信转债</w:t>
            </w:r>
          </w:p>
        </w:tc>
        <w:tc>
          <w:tcPr>
            <w:tcW w:w="1596" w:type="dxa"/>
          </w:tcPr>
          <w:p>
            <w:pPr>
              <w:pStyle w:val="TableParagraph"/>
              <w:spacing w:before="62"/>
              <w:ind w:right="96"/>
              <w:jc w:val="right"/>
              <w:rPr>
                <w:sz w:val="21"/>
              </w:rPr>
            </w:pPr>
            <w:r>
              <w:rPr>
                <w:sz w:val="21"/>
              </w:rPr>
              <w:t>1,046.90</w:t>
            </w:r>
          </w:p>
        </w:tc>
        <w:tc>
          <w:tcPr>
            <w:tcW w:w="1525" w:type="dxa"/>
          </w:tcPr>
          <w:p>
            <w:pPr>
              <w:pStyle w:val="TableParagraph"/>
              <w:spacing w:before="62"/>
              <w:ind w:right="97"/>
              <w:jc w:val="right"/>
              <w:rPr>
                <w:sz w:val="21"/>
              </w:rPr>
            </w:pPr>
            <w:r>
              <w:rPr>
                <w:sz w:val="21"/>
              </w:rPr>
              <w:t>0.00</w:t>
            </w:r>
          </w:p>
        </w:tc>
      </w:tr>
    </w:tbl>
    <w:p>
      <w:pPr>
        <w:pStyle w:val="ListParagraph"/>
        <w:numPr>
          <w:ilvl w:val="0"/>
          <w:numId w:val="19"/>
        </w:numPr>
        <w:tabs>
          <w:tab w:pos="1346" w:val="left" w:leader="none"/>
        </w:tabs>
        <w:spacing w:line="240" w:lineRule="auto" w:before="3" w:after="0"/>
        <w:ind w:left="1346" w:right="0" w:hanging="526"/>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6"/>
        <w:gridCol w:w="1225"/>
        <w:gridCol w:w="1692"/>
        <w:gridCol w:w="1553"/>
        <w:gridCol w:w="1286"/>
      </w:tblGrid>
      <w:tr>
        <w:trPr>
          <w:trHeight w:val="809" w:hRule="atLeast"/>
        </w:trPr>
        <w:tc>
          <w:tcPr>
            <w:tcW w:w="1022" w:type="dxa"/>
          </w:tcPr>
          <w:p>
            <w:pPr>
              <w:pStyle w:val="TableParagraph"/>
              <w:spacing w:before="4"/>
              <w:rPr>
                <w:sz w:val="22"/>
              </w:rPr>
            </w:pPr>
          </w:p>
          <w:p>
            <w:pPr>
              <w:pStyle w:val="TableParagraph"/>
              <w:ind w:left="289" w:right="262"/>
              <w:jc w:val="center"/>
              <w:rPr>
                <w:sz w:val="21"/>
              </w:rPr>
            </w:pPr>
            <w:r>
              <w:rPr>
                <w:sz w:val="21"/>
              </w:rPr>
              <w:t>序号</w:t>
            </w:r>
          </w:p>
        </w:tc>
        <w:tc>
          <w:tcPr>
            <w:tcW w:w="1226" w:type="dxa"/>
          </w:tcPr>
          <w:p>
            <w:pPr>
              <w:pStyle w:val="TableParagraph"/>
              <w:spacing w:before="4"/>
              <w:rPr>
                <w:sz w:val="22"/>
              </w:rPr>
            </w:pPr>
          </w:p>
          <w:p>
            <w:pPr>
              <w:pStyle w:val="TableParagraph"/>
              <w:ind w:left="181" w:right="155"/>
              <w:jc w:val="center"/>
              <w:rPr>
                <w:sz w:val="21"/>
              </w:rPr>
            </w:pPr>
            <w:r>
              <w:rPr>
                <w:sz w:val="21"/>
              </w:rPr>
              <w:t>股票代码</w:t>
            </w:r>
          </w:p>
        </w:tc>
        <w:tc>
          <w:tcPr>
            <w:tcW w:w="1225" w:type="dxa"/>
          </w:tcPr>
          <w:p>
            <w:pPr>
              <w:pStyle w:val="TableParagraph"/>
              <w:spacing w:before="4"/>
              <w:rPr>
                <w:sz w:val="22"/>
              </w:rPr>
            </w:pPr>
          </w:p>
          <w:p>
            <w:pPr>
              <w:pStyle w:val="TableParagraph"/>
              <w:ind w:left="172" w:right="145"/>
              <w:jc w:val="center"/>
              <w:rPr>
                <w:sz w:val="21"/>
              </w:rPr>
            </w:pPr>
            <w:r>
              <w:rPr>
                <w:sz w:val="21"/>
              </w:rPr>
              <w:t>股票名称</w:t>
            </w:r>
          </w:p>
        </w:tc>
        <w:tc>
          <w:tcPr>
            <w:tcW w:w="1692" w:type="dxa"/>
          </w:tcPr>
          <w:p>
            <w:pPr>
              <w:pStyle w:val="TableParagraph"/>
              <w:spacing w:before="91"/>
              <w:ind w:left="224"/>
              <w:rPr>
                <w:sz w:val="21"/>
              </w:rPr>
            </w:pPr>
            <w:r>
              <w:rPr>
                <w:sz w:val="21"/>
              </w:rPr>
              <w:t>流通受限部分</w:t>
            </w:r>
          </w:p>
          <w:p>
            <w:pPr>
              <w:pStyle w:val="TableParagraph"/>
              <w:spacing w:before="121"/>
              <w:ind w:left="124" w:right="-29"/>
              <w:rPr>
                <w:sz w:val="21"/>
              </w:rPr>
            </w:pPr>
            <w:r>
              <w:rPr>
                <w:spacing w:val="-21"/>
                <w:sz w:val="21"/>
              </w:rPr>
              <w:t>的公允价值</w:t>
            </w:r>
            <w:r>
              <w:rPr>
                <w:sz w:val="21"/>
              </w:rPr>
              <w:t>（元）</w:t>
            </w:r>
          </w:p>
        </w:tc>
        <w:tc>
          <w:tcPr>
            <w:tcW w:w="1553" w:type="dxa"/>
          </w:tcPr>
          <w:p>
            <w:pPr>
              <w:pStyle w:val="TableParagraph"/>
              <w:spacing w:before="91"/>
              <w:ind w:left="155"/>
              <w:rPr>
                <w:sz w:val="21"/>
              </w:rPr>
            </w:pPr>
            <w:r>
              <w:rPr>
                <w:sz w:val="21"/>
              </w:rPr>
              <w:t>占基金资产净</w:t>
            </w:r>
          </w:p>
          <w:p>
            <w:pPr>
              <w:pStyle w:val="TableParagraph"/>
              <w:spacing w:before="121"/>
              <w:ind w:left="207"/>
              <w:rPr>
                <w:sz w:val="21"/>
              </w:rPr>
            </w:pPr>
            <w:r>
              <w:rPr>
                <w:sz w:val="21"/>
              </w:rPr>
              <w:t>值比例（%）</w:t>
            </w:r>
          </w:p>
        </w:tc>
        <w:tc>
          <w:tcPr>
            <w:tcW w:w="1286" w:type="dxa"/>
          </w:tcPr>
          <w:p>
            <w:pPr>
              <w:pStyle w:val="TableParagraph"/>
              <w:spacing w:before="91"/>
              <w:ind w:left="106" w:right="80"/>
              <w:jc w:val="center"/>
              <w:rPr>
                <w:sz w:val="21"/>
              </w:rPr>
            </w:pPr>
            <w:r>
              <w:rPr>
                <w:sz w:val="21"/>
              </w:rPr>
              <w:t>流通受限情</w:t>
            </w:r>
          </w:p>
          <w:p>
            <w:pPr>
              <w:pStyle w:val="TableParagraph"/>
              <w:spacing w:before="121"/>
              <w:ind w:left="106" w:right="80"/>
              <w:jc w:val="center"/>
              <w:rPr>
                <w:sz w:val="21"/>
              </w:rPr>
            </w:pPr>
            <w:r>
              <w:rPr>
                <w:sz w:val="21"/>
              </w:rPr>
              <w:t>况说明</w:t>
            </w:r>
          </w:p>
        </w:tc>
      </w:tr>
      <w:tr>
        <w:trPr>
          <w:trHeight w:val="779" w:hRule="atLeast"/>
        </w:trPr>
        <w:tc>
          <w:tcPr>
            <w:tcW w:w="1022" w:type="dxa"/>
          </w:tcPr>
          <w:p>
            <w:pPr>
              <w:pStyle w:val="TableParagraph"/>
              <w:rPr>
                <w:sz w:val="20"/>
              </w:rPr>
            </w:pPr>
          </w:p>
          <w:p>
            <w:pPr>
              <w:pStyle w:val="TableParagraph"/>
              <w:spacing w:before="1"/>
              <w:ind w:left="9"/>
              <w:jc w:val="center"/>
              <w:rPr>
                <w:sz w:val="21"/>
              </w:rPr>
            </w:pPr>
            <w:r>
              <w:rPr>
                <w:sz w:val="21"/>
              </w:rPr>
              <w:t>1</w:t>
            </w:r>
          </w:p>
        </w:tc>
        <w:tc>
          <w:tcPr>
            <w:tcW w:w="1226" w:type="dxa"/>
          </w:tcPr>
          <w:p>
            <w:pPr>
              <w:pStyle w:val="TableParagraph"/>
              <w:rPr>
                <w:sz w:val="20"/>
              </w:rPr>
            </w:pPr>
          </w:p>
          <w:p>
            <w:pPr>
              <w:pStyle w:val="TableParagraph"/>
              <w:spacing w:before="1"/>
              <w:ind w:left="164" w:right="155"/>
              <w:jc w:val="center"/>
              <w:rPr>
                <w:sz w:val="21"/>
              </w:rPr>
            </w:pPr>
            <w:r>
              <w:rPr>
                <w:sz w:val="21"/>
              </w:rPr>
              <w:t>300476</w:t>
            </w:r>
          </w:p>
        </w:tc>
        <w:tc>
          <w:tcPr>
            <w:tcW w:w="1225" w:type="dxa"/>
          </w:tcPr>
          <w:p>
            <w:pPr>
              <w:pStyle w:val="TableParagraph"/>
              <w:rPr>
                <w:sz w:val="20"/>
              </w:rPr>
            </w:pPr>
          </w:p>
          <w:p>
            <w:pPr>
              <w:pStyle w:val="TableParagraph"/>
              <w:spacing w:before="1"/>
              <w:ind w:left="164" w:right="154"/>
              <w:jc w:val="center"/>
              <w:rPr>
                <w:sz w:val="21"/>
              </w:rPr>
            </w:pPr>
            <w:r>
              <w:rPr>
                <w:sz w:val="21"/>
              </w:rPr>
              <w:t>胜宏科技</w:t>
            </w:r>
          </w:p>
        </w:tc>
        <w:tc>
          <w:tcPr>
            <w:tcW w:w="1692" w:type="dxa"/>
          </w:tcPr>
          <w:p>
            <w:pPr>
              <w:pStyle w:val="TableParagraph"/>
              <w:rPr>
                <w:sz w:val="20"/>
              </w:rPr>
            </w:pPr>
          </w:p>
          <w:p>
            <w:pPr>
              <w:pStyle w:val="TableParagraph"/>
              <w:spacing w:before="1"/>
              <w:ind w:right="96"/>
              <w:jc w:val="right"/>
              <w:rPr>
                <w:sz w:val="21"/>
              </w:rPr>
            </w:pPr>
            <w:r>
              <w:rPr>
                <w:sz w:val="21"/>
              </w:rPr>
              <w:t>28,356,000.00</w:t>
            </w:r>
          </w:p>
        </w:tc>
        <w:tc>
          <w:tcPr>
            <w:tcW w:w="1553" w:type="dxa"/>
          </w:tcPr>
          <w:p>
            <w:pPr>
              <w:pStyle w:val="TableParagraph"/>
              <w:rPr>
                <w:sz w:val="20"/>
              </w:rPr>
            </w:pPr>
          </w:p>
          <w:p>
            <w:pPr>
              <w:pStyle w:val="TableParagraph"/>
              <w:spacing w:before="1"/>
              <w:ind w:right="96"/>
              <w:jc w:val="right"/>
              <w:rPr>
                <w:sz w:val="21"/>
              </w:rPr>
            </w:pPr>
            <w:r>
              <w:rPr>
                <w:sz w:val="21"/>
              </w:rPr>
              <w:t>0.52</w:t>
            </w:r>
          </w:p>
        </w:tc>
        <w:tc>
          <w:tcPr>
            <w:tcW w:w="1286" w:type="dxa"/>
          </w:tcPr>
          <w:p>
            <w:pPr>
              <w:pStyle w:val="TableParagraph"/>
              <w:spacing w:before="62"/>
              <w:ind w:right="96"/>
              <w:jc w:val="right"/>
              <w:rPr>
                <w:sz w:val="21"/>
              </w:rPr>
            </w:pPr>
            <w:r>
              <w:rPr>
                <w:sz w:val="21"/>
              </w:rPr>
              <w:t>大宗交易流</w:t>
            </w:r>
          </w:p>
          <w:p>
            <w:pPr>
              <w:pStyle w:val="TableParagraph"/>
              <w:spacing w:before="121"/>
              <w:ind w:right="96"/>
              <w:jc w:val="right"/>
              <w:rPr>
                <w:sz w:val="21"/>
              </w:rPr>
            </w:pPr>
            <w:r>
              <w:rPr>
                <w:sz w:val="21"/>
              </w:rPr>
              <w:t>通受限</w:t>
            </w:r>
          </w:p>
        </w:tc>
      </w:tr>
      <w:tr>
        <w:trPr>
          <w:trHeight w:val="780" w:hRule="atLeast"/>
        </w:trPr>
        <w:tc>
          <w:tcPr>
            <w:tcW w:w="1022" w:type="dxa"/>
          </w:tcPr>
          <w:p>
            <w:pPr>
              <w:pStyle w:val="TableParagraph"/>
              <w:rPr>
                <w:sz w:val="20"/>
              </w:rPr>
            </w:pPr>
          </w:p>
          <w:p>
            <w:pPr>
              <w:pStyle w:val="TableParagraph"/>
              <w:spacing w:before="1"/>
              <w:ind w:left="9"/>
              <w:jc w:val="center"/>
              <w:rPr>
                <w:sz w:val="21"/>
              </w:rPr>
            </w:pPr>
            <w:r>
              <w:rPr>
                <w:sz w:val="21"/>
              </w:rPr>
              <w:t>2</w:t>
            </w:r>
          </w:p>
        </w:tc>
        <w:tc>
          <w:tcPr>
            <w:tcW w:w="1226" w:type="dxa"/>
          </w:tcPr>
          <w:p>
            <w:pPr>
              <w:pStyle w:val="TableParagraph"/>
              <w:rPr>
                <w:sz w:val="20"/>
              </w:rPr>
            </w:pPr>
          </w:p>
          <w:p>
            <w:pPr>
              <w:pStyle w:val="TableParagraph"/>
              <w:spacing w:before="1"/>
              <w:ind w:left="164" w:right="155"/>
              <w:jc w:val="center"/>
              <w:rPr>
                <w:sz w:val="21"/>
              </w:rPr>
            </w:pPr>
            <w:r>
              <w:rPr>
                <w:sz w:val="21"/>
              </w:rPr>
              <w:t>300014</w:t>
            </w:r>
          </w:p>
        </w:tc>
        <w:tc>
          <w:tcPr>
            <w:tcW w:w="1225" w:type="dxa"/>
          </w:tcPr>
          <w:p>
            <w:pPr>
              <w:pStyle w:val="TableParagraph"/>
              <w:rPr>
                <w:sz w:val="20"/>
              </w:rPr>
            </w:pPr>
          </w:p>
          <w:p>
            <w:pPr>
              <w:pStyle w:val="TableParagraph"/>
              <w:spacing w:before="1"/>
              <w:ind w:left="164" w:right="154"/>
              <w:jc w:val="center"/>
              <w:rPr>
                <w:sz w:val="21"/>
              </w:rPr>
            </w:pPr>
            <w:r>
              <w:rPr>
                <w:sz w:val="21"/>
              </w:rPr>
              <w:t>亿纬锂能</w:t>
            </w:r>
          </w:p>
        </w:tc>
        <w:tc>
          <w:tcPr>
            <w:tcW w:w="1692" w:type="dxa"/>
          </w:tcPr>
          <w:p>
            <w:pPr>
              <w:pStyle w:val="TableParagraph"/>
              <w:rPr>
                <w:sz w:val="20"/>
              </w:rPr>
            </w:pPr>
          </w:p>
          <w:p>
            <w:pPr>
              <w:pStyle w:val="TableParagraph"/>
              <w:spacing w:before="1"/>
              <w:ind w:right="96"/>
              <w:jc w:val="right"/>
              <w:rPr>
                <w:sz w:val="21"/>
              </w:rPr>
            </w:pPr>
            <w:r>
              <w:rPr>
                <w:sz w:val="21"/>
              </w:rPr>
              <w:t>18,091,029.18</w:t>
            </w:r>
          </w:p>
        </w:tc>
        <w:tc>
          <w:tcPr>
            <w:tcW w:w="1553" w:type="dxa"/>
          </w:tcPr>
          <w:p>
            <w:pPr>
              <w:pStyle w:val="TableParagraph"/>
              <w:rPr>
                <w:sz w:val="20"/>
              </w:rPr>
            </w:pPr>
          </w:p>
          <w:p>
            <w:pPr>
              <w:pStyle w:val="TableParagraph"/>
              <w:spacing w:before="1"/>
              <w:ind w:right="96"/>
              <w:jc w:val="right"/>
              <w:rPr>
                <w:sz w:val="21"/>
              </w:rPr>
            </w:pPr>
            <w:r>
              <w:rPr>
                <w:sz w:val="21"/>
              </w:rPr>
              <w:t>0.33</w:t>
            </w:r>
          </w:p>
        </w:tc>
        <w:tc>
          <w:tcPr>
            <w:tcW w:w="1286" w:type="dxa"/>
          </w:tcPr>
          <w:p>
            <w:pPr>
              <w:pStyle w:val="TableParagraph"/>
              <w:spacing w:before="62"/>
              <w:ind w:right="96"/>
              <w:jc w:val="right"/>
              <w:rPr>
                <w:sz w:val="21"/>
              </w:rPr>
            </w:pPr>
            <w:r>
              <w:rPr>
                <w:sz w:val="21"/>
              </w:rPr>
              <w:t>大宗交易流</w:t>
            </w:r>
          </w:p>
          <w:p>
            <w:pPr>
              <w:pStyle w:val="TableParagraph"/>
              <w:spacing w:before="121"/>
              <w:ind w:right="96"/>
              <w:jc w:val="right"/>
              <w:rPr>
                <w:sz w:val="21"/>
              </w:rPr>
            </w:pPr>
            <w:r>
              <w:rPr>
                <w:sz w:val="21"/>
              </w:rPr>
              <w:t>通受限</w:t>
            </w:r>
          </w:p>
        </w:tc>
      </w:tr>
    </w:tbl>
    <w:p>
      <w:pPr>
        <w:pStyle w:val="BodyText"/>
        <w:spacing w:line="364" w:lineRule="auto" w:before="3"/>
        <w:ind w:left="400" w:right="418" w:firstLine="420"/>
        <w:jc w:val="both"/>
      </w:pPr>
      <w:r>
        <w:rPr/>
        <w:t>注：根据《深圳/上海证券交易所上市公司股东及董事、监事、高级管理人员减持股份</w:t>
      </w:r>
      <w:r>
        <w:rPr>
          <w:spacing w:val="-2"/>
        </w:rPr>
        <w:t>实施细则》，大股东减持或者特定股东减持，采取大宗交易方式的，在任意连续 </w:t>
      </w:r>
      <w:r>
        <w:rPr/>
        <w:t>90</w:t>
      </w:r>
      <w:r>
        <w:rPr>
          <w:spacing w:val="-14"/>
        </w:rPr>
        <w:t> 日内， </w:t>
      </w:r>
      <w:r>
        <w:rPr>
          <w:spacing w:val="-16"/>
        </w:rPr>
        <w:t>减持股份的总数不得超过公司股份总数的 </w:t>
      </w:r>
      <w:r>
        <w:rPr/>
        <w:t>2</w:t>
      </w:r>
      <w:r>
        <w:rPr>
          <w:spacing w:val="-3"/>
        </w:rPr>
        <w:t>%；前款交易的受让方在受让后 </w:t>
      </w:r>
      <w:r>
        <w:rPr/>
        <w:t>6</w:t>
      </w:r>
      <w:r>
        <w:rPr>
          <w:spacing w:val="-7"/>
        </w:rPr>
        <w:t> 个月内，不得转让所受让的股份。</w:t>
      </w:r>
    </w:p>
    <w:p>
      <w:pPr>
        <w:spacing w:after="0" w:line="364" w:lineRule="auto"/>
        <w:jc w:val="both"/>
        <w:sectPr>
          <w:pgSz w:w="11910" w:h="16840"/>
          <w:pgMar w:header="0" w:footer="910" w:top="1380" w:bottom="1180" w:left="1400" w:right="1380"/>
        </w:sectPr>
      </w:pPr>
    </w:p>
    <w:p>
      <w:pPr>
        <w:pStyle w:val="BodyText"/>
        <w:spacing w:before="2"/>
        <w:ind w:left="0"/>
        <w:rPr>
          <w:sz w:val="14"/>
        </w:rPr>
      </w:pPr>
    </w:p>
    <w:p>
      <w:pPr>
        <w:pStyle w:val="Heading1"/>
        <w:spacing w:line="538" w:lineRule="exact"/>
        <w:ind w:right="1353"/>
      </w:pPr>
      <w:bookmarkStart w:name="_bookmark55" w:id="56"/>
      <w:bookmarkEnd w:id="56"/>
      <w:r>
        <w:rPr>
          <w:b w:val="0"/>
        </w:rPr>
      </w:r>
      <w:r>
        <w:rPr/>
        <w:t>十三、基金的业绩</w:t>
      </w:r>
    </w:p>
    <w:p>
      <w:pPr>
        <w:pStyle w:val="BodyText"/>
        <w:spacing w:line="364" w:lineRule="auto" w:before="138"/>
        <w:ind w:left="400" w:right="4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268" w:lineRule="exact"/>
        <w:jc w:val="both"/>
      </w:pPr>
      <w:r>
        <w:rPr/>
        <w:t>自封转开后的 2007 年 12 月 18 日《易方达科讯股票型证券投资基金基金合同》最近 10</w:t>
      </w:r>
    </w:p>
    <w:p>
      <w:pPr>
        <w:pStyle w:val="BodyText"/>
        <w:spacing w:before="139"/>
        <w:ind w:left="400"/>
      </w:pPr>
      <w:r>
        <w:rPr/>
        <w:t>个完整会计年度及截至 2020 年 6 月 30 日的投资业绩及与同期基准的比较如下表所示：</w:t>
      </w:r>
    </w:p>
    <w:p>
      <w:pPr>
        <w:pStyle w:val="BodyText"/>
        <w:ind w:left="0"/>
        <w:rPr>
          <w:sz w:val="20"/>
        </w:rPr>
      </w:pPr>
    </w:p>
    <w:p>
      <w:pPr>
        <w:pStyle w:val="BodyText"/>
        <w:spacing w:before="6"/>
        <w:ind w:left="0"/>
        <w:rPr>
          <w:sz w:val="1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4"/>
        <w:gridCol w:w="1134"/>
        <w:gridCol w:w="1134"/>
        <w:gridCol w:w="1134"/>
        <w:gridCol w:w="1418"/>
        <w:gridCol w:w="992"/>
        <w:gridCol w:w="992"/>
      </w:tblGrid>
      <w:tr>
        <w:trPr>
          <w:trHeight w:val="1225" w:hRule="atLeast"/>
        </w:trPr>
        <w:tc>
          <w:tcPr>
            <w:tcW w:w="1384" w:type="dxa"/>
          </w:tcPr>
          <w:p>
            <w:pPr>
              <w:pStyle w:val="TableParagraph"/>
              <w:spacing w:before="3"/>
              <w:ind w:left="17" w:right="7"/>
              <w:jc w:val="center"/>
              <w:rPr>
                <w:sz w:val="21"/>
              </w:rPr>
            </w:pPr>
            <w:r>
              <w:rPr>
                <w:sz w:val="21"/>
              </w:rPr>
              <w:t>阶段</w:t>
            </w:r>
          </w:p>
        </w:tc>
        <w:tc>
          <w:tcPr>
            <w:tcW w:w="1134" w:type="dxa"/>
          </w:tcPr>
          <w:p>
            <w:pPr>
              <w:pStyle w:val="TableParagraph"/>
              <w:spacing w:line="364" w:lineRule="auto" w:before="3"/>
              <w:ind w:left="356" w:right="135" w:hanging="210"/>
              <w:rPr>
                <w:sz w:val="21"/>
              </w:rPr>
            </w:pPr>
            <w:r>
              <w:rPr>
                <w:sz w:val="21"/>
              </w:rPr>
              <w:t>净值增长率①</w:t>
            </w:r>
          </w:p>
        </w:tc>
        <w:tc>
          <w:tcPr>
            <w:tcW w:w="1134" w:type="dxa"/>
          </w:tcPr>
          <w:p>
            <w:pPr>
              <w:pStyle w:val="TableParagraph"/>
              <w:spacing w:line="364" w:lineRule="auto" w:before="3"/>
              <w:ind w:left="147" w:right="136"/>
              <w:jc w:val="center"/>
              <w:rPr>
                <w:sz w:val="21"/>
              </w:rPr>
            </w:pPr>
            <w:r>
              <w:rPr>
                <w:sz w:val="21"/>
              </w:rPr>
              <w:t>净值增长率标准差</w:t>
            </w:r>
          </w:p>
          <w:p>
            <w:pPr>
              <w:pStyle w:val="TableParagraph"/>
              <w:spacing w:line="268" w:lineRule="exact"/>
              <w:ind w:left="10"/>
              <w:jc w:val="center"/>
              <w:rPr>
                <w:sz w:val="21"/>
              </w:rPr>
            </w:pPr>
            <w:r>
              <w:rPr>
                <w:sz w:val="21"/>
              </w:rPr>
              <w:t>②</w:t>
            </w:r>
          </w:p>
        </w:tc>
        <w:tc>
          <w:tcPr>
            <w:tcW w:w="1134" w:type="dxa"/>
          </w:tcPr>
          <w:p>
            <w:pPr>
              <w:pStyle w:val="TableParagraph"/>
              <w:spacing w:before="3"/>
              <w:ind w:left="147"/>
              <w:rPr>
                <w:sz w:val="21"/>
              </w:rPr>
            </w:pPr>
            <w:r>
              <w:rPr>
                <w:sz w:val="21"/>
              </w:rPr>
              <w:t>业绩比较</w:t>
            </w:r>
          </w:p>
          <w:p>
            <w:pPr>
              <w:pStyle w:val="TableParagraph"/>
              <w:spacing w:line="410" w:lineRule="atLeast"/>
              <w:ind w:left="357" w:right="136" w:hanging="210"/>
              <w:rPr>
                <w:sz w:val="21"/>
              </w:rPr>
            </w:pPr>
            <w:r>
              <w:rPr>
                <w:sz w:val="21"/>
              </w:rPr>
              <w:t>基准收益率③</w:t>
            </w:r>
          </w:p>
        </w:tc>
        <w:tc>
          <w:tcPr>
            <w:tcW w:w="1418" w:type="dxa"/>
          </w:tcPr>
          <w:p>
            <w:pPr>
              <w:pStyle w:val="TableParagraph"/>
              <w:spacing w:before="3"/>
              <w:ind w:left="184"/>
              <w:rPr>
                <w:sz w:val="21"/>
              </w:rPr>
            </w:pPr>
            <w:r>
              <w:rPr>
                <w:sz w:val="21"/>
              </w:rPr>
              <w:t>业绩比较基</w:t>
            </w:r>
          </w:p>
          <w:p>
            <w:pPr>
              <w:pStyle w:val="TableParagraph"/>
              <w:spacing w:line="410" w:lineRule="atLeast"/>
              <w:ind w:left="394" w:right="173" w:hanging="210"/>
              <w:rPr>
                <w:sz w:val="21"/>
              </w:rPr>
            </w:pPr>
            <w:r>
              <w:rPr>
                <w:sz w:val="21"/>
              </w:rPr>
              <w:t>准收益率标准差④</w:t>
            </w:r>
          </w:p>
        </w:tc>
        <w:tc>
          <w:tcPr>
            <w:tcW w:w="992" w:type="dxa"/>
          </w:tcPr>
          <w:p>
            <w:pPr>
              <w:pStyle w:val="TableParagraph"/>
              <w:spacing w:before="3"/>
              <w:ind w:left="233"/>
              <w:rPr>
                <w:sz w:val="21"/>
              </w:rPr>
            </w:pPr>
            <w:r>
              <w:rPr>
                <w:sz w:val="21"/>
              </w:rPr>
              <w:t>①-③</w:t>
            </w:r>
          </w:p>
        </w:tc>
        <w:tc>
          <w:tcPr>
            <w:tcW w:w="992" w:type="dxa"/>
          </w:tcPr>
          <w:p>
            <w:pPr>
              <w:pStyle w:val="TableParagraph"/>
              <w:spacing w:before="3"/>
              <w:ind w:left="233"/>
              <w:rPr>
                <w:sz w:val="21"/>
              </w:rPr>
            </w:pPr>
            <w:r>
              <w:rPr>
                <w:sz w:val="21"/>
              </w:rPr>
              <w:t>②-④</w:t>
            </w:r>
          </w:p>
        </w:tc>
      </w:tr>
      <w:tr>
        <w:trPr>
          <w:trHeight w:val="1225" w:hRule="atLeast"/>
        </w:trPr>
        <w:tc>
          <w:tcPr>
            <w:tcW w:w="1384" w:type="dxa"/>
          </w:tcPr>
          <w:p>
            <w:pPr>
              <w:pStyle w:val="TableParagraph"/>
              <w:spacing w:before="3"/>
              <w:ind w:left="108"/>
              <w:rPr>
                <w:sz w:val="21"/>
              </w:rPr>
            </w:pPr>
            <w:r>
              <w:rPr>
                <w:sz w:val="21"/>
              </w:rPr>
              <w:t>2010</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2010</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-3.54%</w:t>
            </w:r>
          </w:p>
        </w:tc>
        <w:tc>
          <w:tcPr>
            <w:tcW w:w="1134" w:type="dxa"/>
          </w:tcPr>
          <w:p>
            <w:pPr>
              <w:pStyle w:val="TableParagraph"/>
              <w:rPr>
                <w:sz w:val="20"/>
              </w:rPr>
            </w:pPr>
          </w:p>
          <w:p>
            <w:pPr>
              <w:pStyle w:val="TableParagraph"/>
              <w:spacing w:before="155"/>
              <w:ind w:right="97"/>
              <w:jc w:val="right"/>
              <w:rPr>
                <w:sz w:val="21"/>
              </w:rPr>
            </w:pPr>
            <w:r>
              <w:rPr>
                <w:sz w:val="21"/>
              </w:rPr>
              <w:t>1.40%</w:t>
            </w:r>
          </w:p>
        </w:tc>
        <w:tc>
          <w:tcPr>
            <w:tcW w:w="1134" w:type="dxa"/>
          </w:tcPr>
          <w:p>
            <w:pPr>
              <w:pStyle w:val="TableParagraph"/>
              <w:rPr>
                <w:sz w:val="20"/>
              </w:rPr>
            </w:pPr>
          </w:p>
          <w:p>
            <w:pPr>
              <w:pStyle w:val="TableParagraph"/>
              <w:spacing w:before="155"/>
              <w:ind w:right="97"/>
              <w:jc w:val="right"/>
              <w:rPr>
                <w:sz w:val="21"/>
              </w:rPr>
            </w:pPr>
            <w:r>
              <w:rPr>
                <w:sz w:val="21"/>
              </w:rPr>
              <w:t>-10.18%</w:t>
            </w:r>
          </w:p>
        </w:tc>
        <w:tc>
          <w:tcPr>
            <w:tcW w:w="1418" w:type="dxa"/>
          </w:tcPr>
          <w:p>
            <w:pPr>
              <w:pStyle w:val="TableParagraph"/>
              <w:rPr>
                <w:sz w:val="20"/>
              </w:rPr>
            </w:pPr>
          </w:p>
          <w:p>
            <w:pPr>
              <w:pStyle w:val="TableParagraph"/>
              <w:spacing w:before="155"/>
              <w:ind w:right="97"/>
              <w:jc w:val="right"/>
              <w:rPr>
                <w:sz w:val="21"/>
              </w:rPr>
            </w:pPr>
            <w:r>
              <w:rPr>
                <w:sz w:val="21"/>
              </w:rPr>
              <w:t>1.27%</w:t>
            </w:r>
          </w:p>
        </w:tc>
        <w:tc>
          <w:tcPr>
            <w:tcW w:w="992" w:type="dxa"/>
          </w:tcPr>
          <w:p>
            <w:pPr>
              <w:pStyle w:val="TableParagraph"/>
              <w:rPr>
                <w:sz w:val="20"/>
              </w:rPr>
            </w:pPr>
          </w:p>
          <w:p>
            <w:pPr>
              <w:pStyle w:val="TableParagraph"/>
              <w:spacing w:before="155"/>
              <w:ind w:right="97"/>
              <w:jc w:val="right"/>
              <w:rPr>
                <w:sz w:val="21"/>
              </w:rPr>
            </w:pPr>
            <w:r>
              <w:rPr>
                <w:sz w:val="21"/>
              </w:rPr>
              <w:t>6.64%</w:t>
            </w:r>
          </w:p>
        </w:tc>
        <w:tc>
          <w:tcPr>
            <w:tcW w:w="992" w:type="dxa"/>
          </w:tcPr>
          <w:p>
            <w:pPr>
              <w:pStyle w:val="TableParagraph"/>
              <w:rPr>
                <w:sz w:val="20"/>
              </w:rPr>
            </w:pPr>
          </w:p>
          <w:p>
            <w:pPr>
              <w:pStyle w:val="TableParagraph"/>
              <w:spacing w:before="155"/>
              <w:ind w:right="96"/>
              <w:jc w:val="right"/>
              <w:rPr>
                <w:sz w:val="21"/>
              </w:rPr>
            </w:pPr>
            <w:r>
              <w:rPr>
                <w:sz w:val="21"/>
              </w:rPr>
              <w:t>0.13%</w:t>
            </w:r>
          </w:p>
        </w:tc>
      </w:tr>
      <w:tr>
        <w:trPr>
          <w:trHeight w:val="1225" w:hRule="atLeast"/>
        </w:trPr>
        <w:tc>
          <w:tcPr>
            <w:tcW w:w="1384" w:type="dxa"/>
          </w:tcPr>
          <w:p>
            <w:pPr>
              <w:pStyle w:val="TableParagraph"/>
              <w:spacing w:before="3"/>
              <w:ind w:left="108"/>
              <w:rPr>
                <w:sz w:val="21"/>
              </w:rPr>
            </w:pPr>
            <w:r>
              <w:rPr>
                <w:sz w:val="21"/>
              </w:rPr>
              <w:t>2011</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2011</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-24.76%</w:t>
            </w:r>
          </w:p>
        </w:tc>
        <w:tc>
          <w:tcPr>
            <w:tcW w:w="1134" w:type="dxa"/>
          </w:tcPr>
          <w:p>
            <w:pPr>
              <w:pStyle w:val="TableParagraph"/>
              <w:rPr>
                <w:sz w:val="20"/>
              </w:rPr>
            </w:pPr>
          </w:p>
          <w:p>
            <w:pPr>
              <w:pStyle w:val="TableParagraph"/>
              <w:spacing w:before="155"/>
              <w:ind w:right="97"/>
              <w:jc w:val="right"/>
              <w:rPr>
                <w:sz w:val="21"/>
              </w:rPr>
            </w:pPr>
            <w:r>
              <w:rPr>
                <w:sz w:val="21"/>
              </w:rPr>
              <w:t>1.12%</w:t>
            </w:r>
          </w:p>
        </w:tc>
        <w:tc>
          <w:tcPr>
            <w:tcW w:w="1134" w:type="dxa"/>
          </w:tcPr>
          <w:p>
            <w:pPr>
              <w:pStyle w:val="TableParagraph"/>
              <w:rPr>
                <w:sz w:val="20"/>
              </w:rPr>
            </w:pPr>
          </w:p>
          <w:p>
            <w:pPr>
              <w:pStyle w:val="TableParagraph"/>
              <w:spacing w:before="155"/>
              <w:ind w:right="97"/>
              <w:jc w:val="right"/>
              <w:rPr>
                <w:sz w:val="21"/>
              </w:rPr>
            </w:pPr>
            <w:r>
              <w:rPr>
                <w:sz w:val="21"/>
              </w:rPr>
              <w:t>-19.51%</w:t>
            </w:r>
          </w:p>
        </w:tc>
        <w:tc>
          <w:tcPr>
            <w:tcW w:w="1418" w:type="dxa"/>
          </w:tcPr>
          <w:p>
            <w:pPr>
              <w:pStyle w:val="TableParagraph"/>
              <w:rPr>
                <w:sz w:val="20"/>
              </w:rPr>
            </w:pPr>
          </w:p>
          <w:p>
            <w:pPr>
              <w:pStyle w:val="TableParagraph"/>
              <w:spacing w:before="155"/>
              <w:ind w:right="97"/>
              <w:jc w:val="right"/>
              <w:rPr>
                <w:sz w:val="21"/>
              </w:rPr>
            </w:pPr>
            <w:r>
              <w:rPr>
                <w:sz w:val="21"/>
              </w:rPr>
              <w:t>1.04%</w:t>
            </w:r>
          </w:p>
        </w:tc>
        <w:tc>
          <w:tcPr>
            <w:tcW w:w="992" w:type="dxa"/>
          </w:tcPr>
          <w:p>
            <w:pPr>
              <w:pStyle w:val="TableParagraph"/>
              <w:rPr>
                <w:sz w:val="20"/>
              </w:rPr>
            </w:pPr>
          </w:p>
          <w:p>
            <w:pPr>
              <w:pStyle w:val="TableParagraph"/>
              <w:spacing w:before="155"/>
              <w:ind w:right="97"/>
              <w:jc w:val="right"/>
              <w:rPr>
                <w:sz w:val="21"/>
              </w:rPr>
            </w:pPr>
            <w:r>
              <w:rPr>
                <w:sz w:val="21"/>
              </w:rPr>
              <w:t>-5.25%</w:t>
            </w:r>
          </w:p>
        </w:tc>
        <w:tc>
          <w:tcPr>
            <w:tcW w:w="992" w:type="dxa"/>
          </w:tcPr>
          <w:p>
            <w:pPr>
              <w:pStyle w:val="TableParagraph"/>
              <w:rPr>
                <w:sz w:val="20"/>
              </w:rPr>
            </w:pPr>
          </w:p>
          <w:p>
            <w:pPr>
              <w:pStyle w:val="TableParagraph"/>
              <w:spacing w:before="155"/>
              <w:ind w:right="96"/>
              <w:jc w:val="right"/>
              <w:rPr>
                <w:sz w:val="21"/>
              </w:rPr>
            </w:pPr>
            <w:r>
              <w:rPr>
                <w:sz w:val="21"/>
              </w:rPr>
              <w:t>0.08%</w:t>
            </w:r>
          </w:p>
        </w:tc>
      </w:tr>
      <w:tr>
        <w:trPr>
          <w:trHeight w:val="1225" w:hRule="atLeast"/>
        </w:trPr>
        <w:tc>
          <w:tcPr>
            <w:tcW w:w="1384" w:type="dxa"/>
          </w:tcPr>
          <w:p>
            <w:pPr>
              <w:pStyle w:val="TableParagraph"/>
              <w:spacing w:before="3"/>
              <w:ind w:left="108"/>
              <w:rPr>
                <w:sz w:val="21"/>
              </w:rPr>
            </w:pPr>
            <w:r>
              <w:rPr>
                <w:sz w:val="21"/>
              </w:rPr>
              <w:t>2012</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2012</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5.51%</w:t>
            </w:r>
          </w:p>
        </w:tc>
        <w:tc>
          <w:tcPr>
            <w:tcW w:w="1134" w:type="dxa"/>
          </w:tcPr>
          <w:p>
            <w:pPr>
              <w:pStyle w:val="TableParagraph"/>
              <w:rPr>
                <w:sz w:val="20"/>
              </w:rPr>
            </w:pPr>
          </w:p>
          <w:p>
            <w:pPr>
              <w:pStyle w:val="TableParagraph"/>
              <w:spacing w:before="155"/>
              <w:ind w:right="97"/>
              <w:jc w:val="right"/>
              <w:rPr>
                <w:sz w:val="21"/>
              </w:rPr>
            </w:pPr>
            <w:r>
              <w:rPr>
                <w:sz w:val="21"/>
              </w:rPr>
              <w:t>1.08%</w:t>
            </w:r>
          </w:p>
        </w:tc>
        <w:tc>
          <w:tcPr>
            <w:tcW w:w="1134" w:type="dxa"/>
          </w:tcPr>
          <w:p>
            <w:pPr>
              <w:pStyle w:val="TableParagraph"/>
              <w:rPr>
                <w:sz w:val="20"/>
              </w:rPr>
            </w:pPr>
          </w:p>
          <w:p>
            <w:pPr>
              <w:pStyle w:val="TableParagraph"/>
              <w:spacing w:before="155"/>
              <w:ind w:right="97"/>
              <w:jc w:val="right"/>
              <w:rPr>
                <w:sz w:val="21"/>
              </w:rPr>
            </w:pPr>
            <w:r>
              <w:rPr>
                <w:sz w:val="21"/>
              </w:rPr>
              <w:t>5.91%</w:t>
            </w:r>
          </w:p>
        </w:tc>
        <w:tc>
          <w:tcPr>
            <w:tcW w:w="1418" w:type="dxa"/>
          </w:tcPr>
          <w:p>
            <w:pPr>
              <w:pStyle w:val="TableParagraph"/>
              <w:rPr>
                <w:sz w:val="20"/>
              </w:rPr>
            </w:pPr>
          </w:p>
          <w:p>
            <w:pPr>
              <w:pStyle w:val="TableParagraph"/>
              <w:spacing w:before="155"/>
              <w:ind w:right="97"/>
              <w:jc w:val="right"/>
              <w:rPr>
                <w:sz w:val="21"/>
              </w:rPr>
            </w:pPr>
            <w:r>
              <w:rPr>
                <w:sz w:val="21"/>
              </w:rPr>
              <w:t>1.02%</w:t>
            </w:r>
          </w:p>
        </w:tc>
        <w:tc>
          <w:tcPr>
            <w:tcW w:w="992" w:type="dxa"/>
          </w:tcPr>
          <w:p>
            <w:pPr>
              <w:pStyle w:val="TableParagraph"/>
              <w:rPr>
                <w:sz w:val="20"/>
              </w:rPr>
            </w:pPr>
          </w:p>
          <w:p>
            <w:pPr>
              <w:pStyle w:val="TableParagraph"/>
              <w:spacing w:before="155"/>
              <w:ind w:right="97"/>
              <w:jc w:val="right"/>
              <w:rPr>
                <w:sz w:val="21"/>
              </w:rPr>
            </w:pPr>
            <w:r>
              <w:rPr>
                <w:sz w:val="21"/>
              </w:rPr>
              <w:t>-0.40%</w:t>
            </w:r>
          </w:p>
        </w:tc>
        <w:tc>
          <w:tcPr>
            <w:tcW w:w="992" w:type="dxa"/>
          </w:tcPr>
          <w:p>
            <w:pPr>
              <w:pStyle w:val="TableParagraph"/>
              <w:rPr>
                <w:sz w:val="20"/>
              </w:rPr>
            </w:pPr>
          </w:p>
          <w:p>
            <w:pPr>
              <w:pStyle w:val="TableParagraph"/>
              <w:spacing w:before="155"/>
              <w:ind w:right="96"/>
              <w:jc w:val="right"/>
              <w:rPr>
                <w:sz w:val="21"/>
              </w:rPr>
            </w:pPr>
            <w:r>
              <w:rPr>
                <w:sz w:val="21"/>
              </w:rPr>
              <w:t>0.06%</w:t>
            </w:r>
          </w:p>
        </w:tc>
      </w:tr>
      <w:tr>
        <w:trPr>
          <w:trHeight w:val="1225" w:hRule="atLeast"/>
        </w:trPr>
        <w:tc>
          <w:tcPr>
            <w:tcW w:w="1384" w:type="dxa"/>
          </w:tcPr>
          <w:p>
            <w:pPr>
              <w:pStyle w:val="TableParagraph"/>
              <w:spacing w:before="3"/>
              <w:ind w:left="108"/>
              <w:rPr>
                <w:sz w:val="21"/>
              </w:rPr>
            </w:pPr>
            <w:r>
              <w:rPr>
                <w:sz w:val="21"/>
              </w:rPr>
              <w:t>2013</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2013</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51.80%</w:t>
            </w:r>
          </w:p>
        </w:tc>
        <w:tc>
          <w:tcPr>
            <w:tcW w:w="1134" w:type="dxa"/>
          </w:tcPr>
          <w:p>
            <w:pPr>
              <w:pStyle w:val="TableParagraph"/>
              <w:rPr>
                <w:sz w:val="20"/>
              </w:rPr>
            </w:pPr>
          </w:p>
          <w:p>
            <w:pPr>
              <w:pStyle w:val="TableParagraph"/>
              <w:spacing w:before="155"/>
              <w:ind w:right="97"/>
              <w:jc w:val="right"/>
              <w:rPr>
                <w:sz w:val="21"/>
              </w:rPr>
            </w:pPr>
            <w:r>
              <w:rPr>
                <w:sz w:val="21"/>
              </w:rPr>
              <w:t>1.59%</w:t>
            </w:r>
          </w:p>
        </w:tc>
        <w:tc>
          <w:tcPr>
            <w:tcW w:w="1134" w:type="dxa"/>
          </w:tcPr>
          <w:p>
            <w:pPr>
              <w:pStyle w:val="TableParagraph"/>
              <w:rPr>
                <w:sz w:val="20"/>
              </w:rPr>
            </w:pPr>
          </w:p>
          <w:p>
            <w:pPr>
              <w:pStyle w:val="TableParagraph"/>
              <w:spacing w:before="155"/>
              <w:ind w:right="97"/>
              <w:jc w:val="right"/>
              <w:rPr>
                <w:sz w:val="21"/>
              </w:rPr>
            </w:pPr>
            <w:r>
              <w:rPr>
                <w:sz w:val="21"/>
              </w:rPr>
              <w:t>-7.17%</w:t>
            </w:r>
          </w:p>
        </w:tc>
        <w:tc>
          <w:tcPr>
            <w:tcW w:w="1418" w:type="dxa"/>
          </w:tcPr>
          <w:p>
            <w:pPr>
              <w:pStyle w:val="TableParagraph"/>
              <w:rPr>
                <w:sz w:val="20"/>
              </w:rPr>
            </w:pPr>
          </w:p>
          <w:p>
            <w:pPr>
              <w:pStyle w:val="TableParagraph"/>
              <w:spacing w:before="155"/>
              <w:ind w:right="97"/>
              <w:jc w:val="right"/>
              <w:rPr>
                <w:sz w:val="21"/>
              </w:rPr>
            </w:pPr>
            <w:r>
              <w:rPr>
                <w:sz w:val="21"/>
              </w:rPr>
              <w:t>1.12%</w:t>
            </w:r>
          </w:p>
        </w:tc>
        <w:tc>
          <w:tcPr>
            <w:tcW w:w="992" w:type="dxa"/>
          </w:tcPr>
          <w:p>
            <w:pPr>
              <w:pStyle w:val="TableParagraph"/>
              <w:rPr>
                <w:sz w:val="20"/>
              </w:rPr>
            </w:pPr>
          </w:p>
          <w:p>
            <w:pPr>
              <w:pStyle w:val="TableParagraph"/>
              <w:spacing w:before="155"/>
              <w:ind w:right="97"/>
              <w:jc w:val="right"/>
              <w:rPr>
                <w:sz w:val="21"/>
              </w:rPr>
            </w:pPr>
            <w:r>
              <w:rPr>
                <w:sz w:val="21"/>
              </w:rPr>
              <w:t>58.97%</w:t>
            </w:r>
          </w:p>
        </w:tc>
        <w:tc>
          <w:tcPr>
            <w:tcW w:w="992" w:type="dxa"/>
          </w:tcPr>
          <w:p>
            <w:pPr>
              <w:pStyle w:val="TableParagraph"/>
              <w:rPr>
                <w:sz w:val="20"/>
              </w:rPr>
            </w:pPr>
          </w:p>
          <w:p>
            <w:pPr>
              <w:pStyle w:val="TableParagraph"/>
              <w:spacing w:before="155"/>
              <w:ind w:right="96"/>
              <w:jc w:val="right"/>
              <w:rPr>
                <w:sz w:val="21"/>
              </w:rPr>
            </w:pPr>
            <w:r>
              <w:rPr>
                <w:sz w:val="21"/>
              </w:rPr>
              <w:t>0.47%</w:t>
            </w:r>
          </w:p>
        </w:tc>
      </w:tr>
      <w:tr>
        <w:trPr>
          <w:trHeight w:val="1225" w:hRule="atLeast"/>
        </w:trPr>
        <w:tc>
          <w:tcPr>
            <w:tcW w:w="1384" w:type="dxa"/>
          </w:tcPr>
          <w:p>
            <w:pPr>
              <w:pStyle w:val="TableParagraph"/>
              <w:spacing w:before="3"/>
              <w:ind w:left="108"/>
              <w:rPr>
                <w:sz w:val="21"/>
              </w:rPr>
            </w:pPr>
            <w:r>
              <w:rPr>
                <w:sz w:val="21"/>
              </w:rPr>
              <w:t>2014</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2014</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4.53%</w:t>
            </w:r>
          </w:p>
        </w:tc>
        <w:tc>
          <w:tcPr>
            <w:tcW w:w="1134" w:type="dxa"/>
          </w:tcPr>
          <w:p>
            <w:pPr>
              <w:pStyle w:val="TableParagraph"/>
              <w:rPr>
                <w:sz w:val="20"/>
              </w:rPr>
            </w:pPr>
          </w:p>
          <w:p>
            <w:pPr>
              <w:pStyle w:val="TableParagraph"/>
              <w:spacing w:before="155"/>
              <w:ind w:right="97"/>
              <w:jc w:val="right"/>
              <w:rPr>
                <w:sz w:val="21"/>
              </w:rPr>
            </w:pPr>
            <w:r>
              <w:rPr>
                <w:sz w:val="21"/>
              </w:rPr>
              <w:t>1.45%</w:t>
            </w:r>
          </w:p>
        </w:tc>
        <w:tc>
          <w:tcPr>
            <w:tcW w:w="1134" w:type="dxa"/>
          </w:tcPr>
          <w:p>
            <w:pPr>
              <w:pStyle w:val="TableParagraph"/>
              <w:rPr>
                <w:sz w:val="20"/>
              </w:rPr>
            </w:pPr>
          </w:p>
          <w:p>
            <w:pPr>
              <w:pStyle w:val="TableParagraph"/>
              <w:spacing w:before="155"/>
              <w:ind w:right="97"/>
              <w:jc w:val="right"/>
              <w:rPr>
                <w:sz w:val="21"/>
              </w:rPr>
            </w:pPr>
            <w:r>
              <w:rPr>
                <w:sz w:val="21"/>
              </w:rPr>
              <w:t>42.82%</w:t>
            </w:r>
          </w:p>
        </w:tc>
        <w:tc>
          <w:tcPr>
            <w:tcW w:w="1418" w:type="dxa"/>
          </w:tcPr>
          <w:p>
            <w:pPr>
              <w:pStyle w:val="TableParagraph"/>
              <w:rPr>
                <w:sz w:val="20"/>
              </w:rPr>
            </w:pPr>
          </w:p>
          <w:p>
            <w:pPr>
              <w:pStyle w:val="TableParagraph"/>
              <w:spacing w:before="155"/>
              <w:ind w:right="97"/>
              <w:jc w:val="right"/>
              <w:rPr>
                <w:sz w:val="21"/>
              </w:rPr>
            </w:pPr>
            <w:r>
              <w:rPr>
                <w:sz w:val="21"/>
              </w:rPr>
              <w:t>0.97%</w:t>
            </w:r>
          </w:p>
        </w:tc>
        <w:tc>
          <w:tcPr>
            <w:tcW w:w="992" w:type="dxa"/>
          </w:tcPr>
          <w:p>
            <w:pPr>
              <w:pStyle w:val="TableParagraph"/>
              <w:rPr>
                <w:sz w:val="20"/>
              </w:rPr>
            </w:pPr>
          </w:p>
          <w:p>
            <w:pPr>
              <w:pStyle w:val="TableParagraph"/>
              <w:spacing w:before="155"/>
              <w:ind w:right="97"/>
              <w:jc w:val="right"/>
              <w:rPr>
                <w:sz w:val="21"/>
              </w:rPr>
            </w:pPr>
            <w:r>
              <w:rPr>
                <w:sz w:val="21"/>
              </w:rPr>
              <w:t>-38.29%</w:t>
            </w:r>
          </w:p>
        </w:tc>
        <w:tc>
          <w:tcPr>
            <w:tcW w:w="992" w:type="dxa"/>
          </w:tcPr>
          <w:p>
            <w:pPr>
              <w:pStyle w:val="TableParagraph"/>
              <w:rPr>
                <w:sz w:val="20"/>
              </w:rPr>
            </w:pPr>
          </w:p>
          <w:p>
            <w:pPr>
              <w:pStyle w:val="TableParagraph"/>
              <w:spacing w:before="155"/>
              <w:ind w:right="96"/>
              <w:jc w:val="right"/>
              <w:rPr>
                <w:sz w:val="21"/>
              </w:rPr>
            </w:pPr>
            <w:r>
              <w:rPr>
                <w:sz w:val="21"/>
              </w:rPr>
              <w:t>0.48%</w:t>
            </w:r>
          </w:p>
        </w:tc>
      </w:tr>
      <w:tr>
        <w:trPr>
          <w:trHeight w:val="1225" w:hRule="atLeast"/>
        </w:trPr>
        <w:tc>
          <w:tcPr>
            <w:tcW w:w="1384" w:type="dxa"/>
          </w:tcPr>
          <w:p>
            <w:pPr>
              <w:pStyle w:val="TableParagraph"/>
              <w:spacing w:before="3"/>
              <w:ind w:left="108"/>
              <w:rPr>
                <w:sz w:val="21"/>
              </w:rPr>
            </w:pPr>
            <w:r>
              <w:rPr>
                <w:sz w:val="21"/>
              </w:rPr>
              <w:t>2015</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2015</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95.42%</w:t>
            </w:r>
          </w:p>
        </w:tc>
        <w:tc>
          <w:tcPr>
            <w:tcW w:w="1134" w:type="dxa"/>
          </w:tcPr>
          <w:p>
            <w:pPr>
              <w:pStyle w:val="TableParagraph"/>
              <w:rPr>
                <w:sz w:val="20"/>
              </w:rPr>
            </w:pPr>
          </w:p>
          <w:p>
            <w:pPr>
              <w:pStyle w:val="TableParagraph"/>
              <w:spacing w:before="155"/>
              <w:ind w:right="97"/>
              <w:jc w:val="right"/>
              <w:rPr>
                <w:sz w:val="21"/>
              </w:rPr>
            </w:pPr>
            <w:r>
              <w:rPr>
                <w:sz w:val="21"/>
              </w:rPr>
              <w:t>3.44%</w:t>
            </w:r>
          </w:p>
        </w:tc>
        <w:tc>
          <w:tcPr>
            <w:tcW w:w="1134" w:type="dxa"/>
          </w:tcPr>
          <w:p>
            <w:pPr>
              <w:pStyle w:val="TableParagraph"/>
              <w:rPr>
                <w:sz w:val="20"/>
              </w:rPr>
            </w:pPr>
          </w:p>
          <w:p>
            <w:pPr>
              <w:pStyle w:val="TableParagraph"/>
              <w:spacing w:before="155"/>
              <w:ind w:right="97"/>
              <w:jc w:val="right"/>
              <w:rPr>
                <w:sz w:val="21"/>
              </w:rPr>
            </w:pPr>
            <w:r>
              <w:rPr>
                <w:sz w:val="21"/>
              </w:rPr>
              <w:t>5.37%</w:t>
            </w:r>
          </w:p>
        </w:tc>
        <w:tc>
          <w:tcPr>
            <w:tcW w:w="1418" w:type="dxa"/>
          </w:tcPr>
          <w:p>
            <w:pPr>
              <w:pStyle w:val="TableParagraph"/>
              <w:rPr>
                <w:sz w:val="20"/>
              </w:rPr>
            </w:pPr>
          </w:p>
          <w:p>
            <w:pPr>
              <w:pStyle w:val="TableParagraph"/>
              <w:spacing w:before="155"/>
              <w:ind w:right="97"/>
              <w:jc w:val="right"/>
              <w:rPr>
                <w:sz w:val="21"/>
              </w:rPr>
            </w:pPr>
            <w:r>
              <w:rPr>
                <w:sz w:val="21"/>
              </w:rPr>
              <w:t>1.99%</w:t>
            </w:r>
          </w:p>
        </w:tc>
        <w:tc>
          <w:tcPr>
            <w:tcW w:w="992" w:type="dxa"/>
          </w:tcPr>
          <w:p>
            <w:pPr>
              <w:pStyle w:val="TableParagraph"/>
              <w:rPr>
                <w:sz w:val="20"/>
              </w:rPr>
            </w:pPr>
          </w:p>
          <w:p>
            <w:pPr>
              <w:pStyle w:val="TableParagraph"/>
              <w:spacing w:before="155"/>
              <w:ind w:right="97"/>
              <w:jc w:val="right"/>
              <w:rPr>
                <w:sz w:val="21"/>
              </w:rPr>
            </w:pPr>
            <w:r>
              <w:rPr>
                <w:sz w:val="21"/>
              </w:rPr>
              <w:t>90.05%</w:t>
            </w:r>
          </w:p>
        </w:tc>
        <w:tc>
          <w:tcPr>
            <w:tcW w:w="992" w:type="dxa"/>
          </w:tcPr>
          <w:p>
            <w:pPr>
              <w:pStyle w:val="TableParagraph"/>
              <w:rPr>
                <w:sz w:val="20"/>
              </w:rPr>
            </w:pPr>
          </w:p>
          <w:p>
            <w:pPr>
              <w:pStyle w:val="TableParagraph"/>
              <w:spacing w:before="155"/>
              <w:ind w:right="96"/>
              <w:jc w:val="right"/>
              <w:rPr>
                <w:sz w:val="21"/>
              </w:rPr>
            </w:pPr>
            <w:r>
              <w:rPr>
                <w:sz w:val="21"/>
              </w:rPr>
              <w:t>1.45%</w:t>
            </w:r>
          </w:p>
        </w:tc>
      </w:tr>
      <w:tr>
        <w:trPr>
          <w:trHeight w:val="1225" w:hRule="atLeast"/>
        </w:trPr>
        <w:tc>
          <w:tcPr>
            <w:tcW w:w="1384" w:type="dxa"/>
          </w:tcPr>
          <w:p>
            <w:pPr>
              <w:pStyle w:val="TableParagraph"/>
              <w:spacing w:before="3"/>
              <w:ind w:left="108"/>
              <w:rPr>
                <w:sz w:val="21"/>
              </w:rPr>
            </w:pPr>
            <w:r>
              <w:rPr>
                <w:sz w:val="21"/>
              </w:rPr>
              <w:t>2016</w:t>
            </w:r>
            <w:r>
              <w:rPr>
                <w:spacing w:val="-33"/>
                <w:sz w:val="21"/>
              </w:rPr>
              <w:t> 年 </w:t>
            </w:r>
            <w:r>
              <w:rPr>
                <w:sz w:val="21"/>
              </w:rPr>
              <w:t>1</w:t>
            </w:r>
            <w:r>
              <w:rPr>
                <w:spacing w:val="-25"/>
                <w:sz w:val="21"/>
              </w:rPr>
              <w:t> 月</w:t>
            </w:r>
          </w:p>
          <w:p>
            <w:pPr>
              <w:pStyle w:val="TableParagraph"/>
              <w:spacing w:before="139"/>
              <w:ind w:left="108"/>
              <w:rPr>
                <w:sz w:val="21"/>
              </w:rPr>
            </w:pPr>
            <w:r>
              <w:rPr>
                <w:sz w:val="21"/>
              </w:rPr>
              <w:t>1</w:t>
            </w:r>
            <w:r>
              <w:rPr>
                <w:spacing w:val="-11"/>
                <w:sz w:val="21"/>
              </w:rPr>
              <w:t> 日至 </w:t>
            </w:r>
            <w:r>
              <w:rPr>
                <w:sz w:val="21"/>
              </w:rPr>
              <w:t>2016</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-35.87%</w:t>
            </w:r>
          </w:p>
        </w:tc>
        <w:tc>
          <w:tcPr>
            <w:tcW w:w="1134" w:type="dxa"/>
          </w:tcPr>
          <w:p>
            <w:pPr>
              <w:pStyle w:val="TableParagraph"/>
              <w:rPr>
                <w:sz w:val="20"/>
              </w:rPr>
            </w:pPr>
          </w:p>
          <w:p>
            <w:pPr>
              <w:pStyle w:val="TableParagraph"/>
              <w:spacing w:before="155"/>
              <w:ind w:right="97"/>
              <w:jc w:val="right"/>
              <w:rPr>
                <w:sz w:val="21"/>
              </w:rPr>
            </w:pPr>
            <w:r>
              <w:rPr>
                <w:sz w:val="21"/>
              </w:rPr>
              <w:t>2.27%</w:t>
            </w:r>
          </w:p>
        </w:tc>
        <w:tc>
          <w:tcPr>
            <w:tcW w:w="1134" w:type="dxa"/>
          </w:tcPr>
          <w:p>
            <w:pPr>
              <w:pStyle w:val="TableParagraph"/>
              <w:rPr>
                <w:sz w:val="20"/>
              </w:rPr>
            </w:pPr>
          </w:p>
          <w:p>
            <w:pPr>
              <w:pStyle w:val="TableParagraph"/>
              <w:spacing w:before="155"/>
              <w:ind w:right="97"/>
              <w:jc w:val="right"/>
              <w:rPr>
                <w:sz w:val="21"/>
              </w:rPr>
            </w:pPr>
            <w:r>
              <w:rPr>
                <w:sz w:val="21"/>
              </w:rPr>
              <w:t>-9.39%</w:t>
            </w:r>
          </w:p>
        </w:tc>
        <w:tc>
          <w:tcPr>
            <w:tcW w:w="1418" w:type="dxa"/>
          </w:tcPr>
          <w:p>
            <w:pPr>
              <w:pStyle w:val="TableParagraph"/>
              <w:rPr>
                <w:sz w:val="20"/>
              </w:rPr>
            </w:pPr>
          </w:p>
          <w:p>
            <w:pPr>
              <w:pStyle w:val="TableParagraph"/>
              <w:spacing w:before="155"/>
              <w:ind w:right="97"/>
              <w:jc w:val="right"/>
              <w:rPr>
                <w:sz w:val="21"/>
              </w:rPr>
            </w:pPr>
            <w:r>
              <w:rPr>
                <w:sz w:val="21"/>
              </w:rPr>
              <w:t>1.12%</w:t>
            </w:r>
          </w:p>
        </w:tc>
        <w:tc>
          <w:tcPr>
            <w:tcW w:w="992" w:type="dxa"/>
          </w:tcPr>
          <w:p>
            <w:pPr>
              <w:pStyle w:val="TableParagraph"/>
              <w:rPr>
                <w:sz w:val="20"/>
              </w:rPr>
            </w:pPr>
          </w:p>
          <w:p>
            <w:pPr>
              <w:pStyle w:val="TableParagraph"/>
              <w:spacing w:before="155"/>
              <w:ind w:right="97"/>
              <w:jc w:val="right"/>
              <w:rPr>
                <w:sz w:val="21"/>
              </w:rPr>
            </w:pPr>
            <w:r>
              <w:rPr>
                <w:sz w:val="21"/>
              </w:rPr>
              <w:t>-26.48%</w:t>
            </w:r>
          </w:p>
        </w:tc>
        <w:tc>
          <w:tcPr>
            <w:tcW w:w="992" w:type="dxa"/>
          </w:tcPr>
          <w:p>
            <w:pPr>
              <w:pStyle w:val="TableParagraph"/>
              <w:rPr>
                <w:sz w:val="20"/>
              </w:rPr>
            </w:pPr>
          </w:p>
          <w:p>
            <w:pPr>
              <w:pStyle w:val="TableParagraph"/>
              <w:spacing w:before="155"/>
              <w:ind w:right="96"/>
              <w:jc w:val="right"/>
              <w:rPr>
                <w:sz w:val="21"/>
              </w:rPr>
            </w:pPr>
            <w:r>
              <w:rPr>
                <w:sz w:val="21"/>
              </w:rPr>
              <w:t>1.15%</w:t>
            </w:r>
          </w:p>
        </w:tc>
      </w:tr>
      <w:tr>
        <w:trPr>
          <w:trHeight w:val="494" w:hRule="atLeast"/>
        </w:trPr>
        <w:tc>
          <w:tcPr>
            <w:tcW w:w="1384" w:type="dxa"/>
          </w:tcPr>
          <w:p>
            <w:pPr>
              <w:pStyle w:val="TableParagraph"/>
              <w:spacing w:before="3"/>
              <w:ind w:left="17" w:right="57"/>
              <w:jc w:val="center"/>
              <w:rPr>
                <w:sz w:val="21"/>
              </w:rPr>
            </w:pPr>
            <w:r>
              <w:rPr>
                <w:sz w:val="21"/>
              </w:rPr>
              <w:t>2017 年 1 月</w:t>
            </w:r>
          </w:p>
        </w:tc>
        <w:tc>
          <w:tcPr>
            <w:tcW w:w="1134" w:type="dxa"/>
          </w:tcPr>
          <w:p>
            <w:pPr>
              <w:pStyle w:val="TableParagraph"/>
              <w:spacing w:before="3"/>
              <w:ind w:right="96"/>
              <w:jc w:val="right"/>
              <w:rPr>
                <w:sz w:val="21"/>
              </w:rPr>
            </w:pPr>
            <w:r>
              <w:rPr>
                <w:sz w:val="21"/>
              </w:rPr>
              <w:t>4.76%</w:t>
            </w:r>
          </w:p>
        </w:tc>
        <w:tc>
          <w:tcPr>
            <w:tcW w:w="1134" w:type="dxa"/>
          </w:tcPr>
          <w:p>
            <w:pPr>
              <w:pStyle w:val="TableParagraph"/>
              <w:spacing w:before="3"/>
              <w:ind w:right="97"/>
              <w:jc w:val="right"/>
              <w:rPr>
                <w:sz w:val="21"/>
              </w:rPr>
            </w:pPr>
            <w:r>
              <w:rPr>
                <w:sz w:val="21"/>
              </w:rPr>
              <w:t>1.11%</w:t>
            </w:r>
          </w:p>
        </w:tc>
        <w:tc>
          <w:tcPr>
            <w:tcW w:w="1134" w:type="dxa"/>
          </w:tcPr>
          <w:p>
            <w:pPr>
              <w:pStyle w:val="TableParagraph"/>
              <w:spacing w:before="3"/>
              <w:ind w:right="97"/>
              <w:jc w:val="right"/>
              <w:rPr>
                <w:sz w:val="21"/>
              </w:rPr>
            </w:pPr>
            <w:r>
              <w:rPr>
                <w:sz w:val="21"/>
              </w:rPr>
              <w:t>16.57%</w:t>
            </w:r>
          </w:p>
        </w:tc>
        <w:tc>
          <w:tcPr>
            <w:tcW w:w="1418" w:type="dxa"/>
          </w:tcPr>
          <w:p>
            <w:pPr>
              <w:pStyle w:val="TableParagraph"/>
              <w:spacing w:before="3"/>
              <w:ind w:right="97"/>
              <w:jc w:val="right"/>
              <w:rPr>
                <w:sz w:val="21"/>
              </w:rPr>
            </w:pPr>
            <w:r>
              <w:rPr>
                <w:sz w:val="21"/>
              </w:rPr>
              <w:t>0.51%</w:t>
            </w:r>
          </w:p>
        </w:tc>
        <w:tc>
          <w:tcPr>
            <w:tcW w:w="992" w:type="dxa"/>
          </w:tcPr>
          <w:p>
            <w:pPr>
              <w:pStyle w:val="TableParagraph"/>
              <w:spacing w:before="3"/>
              <w:ind w:right="97"/>
              <w:jc w:val="right"/>
              <w:rPr>
                <w:sz w:val="21"/>
              </w:rPr>
            </w:pPr>
            <w:r>
              <w:rPr>
                <w:sz w:val="21"/>
              </w:rPr>
              <w:t>-11.81%</w:t>
            </w:r>
          </w:p>
        </w:tc>
        <w:tc>
          <w:tcPr>
            <w:tcW w:w="992" w:type="dxa"/>
          </w:tcPr>
          <w:p>
            <w:pPr>
              <w:pStyle w:val="TableParagraph"/>
              <w:spacing w:before="3"/>
              <w:ind w:right="96"/>
              <w:jc w:val="right"/>
              <w:rPr>
                <w:sz w:val="21"/>
              </w:rPr>
            </w:pPr>
            <w:r>
              <w:rPr>
                <w:sz w:val="21"/>
              </w:rPr>
              <w:t>0.60%</w:t>
            </w:r>
          </w:p>
        </w:tc>
      </w:tr>
    </w:tbl>
    <w:p>
      <w:pPr>
        <w:spacing w:after="0"/>
        <w:jc w:val="right"/>
        <w:rPr>
          <w:sz w:val="21"/>
        </w:rPr>
        <w:sectPr>
          <w:pgSz w:w="11910" w:h="16840"/>
          <w:pgMar w:header="0" w:footer="910" w:top="1580" w:bottom="1180" w:left="1400" w:right="138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4"/>
        <w:gridCol w:w="1134"/>
        <w:gridCol w:w="1134"/>
        <w:gridCol w:w="1134"/>
        <w:gridCol w:w="1418"/>
        <w:gridCol w:w="992"/>
        <w:gridCol w:w="992"/>
      </w:tblGrid>
      <w:tr>
        <w:trPr>
          <w:trHeight w:val="816" w:hRule="atLeast"/>
        </w:trPr>
        <w:tc>
          <w:tcPr>
            <w:tcW w:w="1384" w:type="dxa"/>
          </w:tcPr>
          <w:p>
            <w:pPr>
              <w:pStyle w:val="TableParagraph"/>
              <w:spacing w:before="3"/>
              <w:ind w:left="108"/>
              <w:rPr>
                <w:sz w:val="21"/>
              </w:rPr>
            </w:pPr>
            <w:r>
              <w:rPr>
                <w:sz w:val="21"/>
              </w:rPr>
              <w:t>1 日至 2017</w:t>
            </w:r>
          </w:p>
          <w:p>
            <w:pPr>
              <w:pStyle w:val="TableParagraph"/>
              <w:spacing w:before="139"/>
              <w:ind w:left="108"/>
              <w:rPr>
                <w:sz w:val="21"/>
              </w:rPr>
            </w:pPr>
            <w:r>
              <w:rPr>
                <w:sz w:val="21"/>
              </w:rPr>
              <w:t>年12 月31 日</w:t>
            </w: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418" w:type="dxa"/>
          </w:tcPr>
          <w:p>
            <w:pPr>
              <w:pStyle w:val="TableParagraph"/>
              <w:rPr>
                <w:rFonts w:ascii="Times New Roman"/>
                <w:sz w:val="20"/>
              </w:rPr>
            </w:pPr>
          </w:p>
        </w:tc>
        <w:tc>
          <w:tcPr>
            <w:tcW w:w="992" w:type="dxa"/>
          </w:tcPr>
          <w:p>
            <w:pPr>
              <w:pStyle w:val="TableParagraph"/>
              <w:rPr>
                <w:rFonts w:ascii="Times New Roman"/>
                <w:sz w:val="20"/>
              </w:rPr>
            </w:pPr>
          </w:p>
        </w:tc>
        <w:tc>
          <w:tcPr>
            <w:tcW w:w="992" w:type="dxa"/>
          </w:tcPr>
          <w:p>
            <w:pPr>
              <w:pStyle w:val="TableParagraph"/>
              <w:rPr>
                <w:rFonts w:ascii="Times New Roman"/>
                <w:sz w:val="20"/>
              </w:rPr>
            </w:pPr>
          </w:p>
        </w:tc>
      </w:tr>
      <w:tr>
        <w:trPr>
          <w:trHeight w:val="1225" w:hRule="atLeast"/>
        </w:trPr>
        <w:tc>
          <w:tcPr>
            <w:tcW w:w="1384" w:type="dxa"/>
          </w:tcPr>
          <w:p>
            <w:pPr>
              <w:pStyle w:val="TableParagraph"/>
              <w:spacing w:before="3"/>
              <w:ind w:left="108"/>
              <w:rPr>
                <w:sz w:val="21"/>
              </w:rPr>
            </w:pPr>
            <w:r>
              <w:rPr>
                <w:sz w:val="21"/>
              </w:rPr>
              <w:t>2018</w:t>
            </w:r>
            <w:r>
              <w:rPr>
                <w:spacing w:val="-34"/>
                <w:sz w:val="21"/>
              </w:rPr>
              <w:t> 年 </w:t>
            </w:r>
            <w:r>
              <w:rPr>
                <w:sz w:val="21"/>
              </w:rPr>
              <w:t>1</w:t>
            </w:r>
            <w:r>
              <w:rPr>
                <w:spacing w:val="-24"/>
                <w:sz w:val="21"/>
              </w:rPr>
              <w:t> 月</w:t>
            </w:r>
          </w:p>
          <w:p>
            <w:pPr>
              <w:pStyle w:val="TableParagraph"/>
              <w:spacing w:before="139"/>
              <w:ind w:left="108"/>
              <w:rPr>
                <w:sz w:val="21"/>
              </w:rPr>
            </w:pPr>
            <w:r>
              <w:rPr>
                <w:sz w:val="21"/>
              </w:rPr>
              <w:t>1</w:t>
            </w:r>
            <w:r>
              <w:rPr>
                <w:spacing w:val="-11"/>
                <w:sz w:val="21"/>
              </w:rPr>
              <w:t> 日至 </w:t>
            </w:r>
            <w:r>
              <w:rPr>
                <w:sz w:val="21"/>
              </w:rPr>
              <w:t>2018</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-29.63%</w:t>
            </w:r>
          </w:p>
        </w:tc>
        <w:tc>
          <w:tcPr>
            <w:tcW w:w="1134" w:type="dxa"/>
          </w:tcPr>
          <w:p>
            <w:pPr>
              <w:pStyle w:val="TableParagraph"/>
              <w:rPr>
                <w:sz w:val="20"/>
              </w:rPr>
            </w:pPr>
          </w:p>
          <w:p>
            <w:pPr>
              <w:pStyle w:val="TableParagraph"/>
              <w:spacing w:before="155"/>
              <w:ind w:right="97"/>
              <w:jc w:val="right"/>
              <w:rPr>
                <w:sz w:val="21"/>
              </w:rPr>
            </w:pPr>
            <w:r>
              <w:rPr>
                <w:sz w:val="21"/>
              </w:rPr>
              <w:t>1.72%</w:t>
            </w:r>
          </w:p>
        </w:tc>
        <w:tc>
          <w:tcPr>
            <w:tcW w:w="1134" w:type="dxa"/>
          </w:tcPr>
          <w:p>
            <w:pPr>
              <w:pStyle w:val="TableParagraph"/>
              <w:rPr>
                <w:sz w:val="20"/>
              </w:rPr>
            </w:pPr>
          </w:p>
          <w:p>
            <w:pPr>
              <w:pStyle w:val="TableParagraph"/>
              <w:spacing w:before="155"/>
              <w:ind w:right="97"/>
              <w:jc w:val="right"/>
              <w:rPr>
                <w:sz w:val="21"/>
              </w:rPr>
            </w:pPr>
            <w:r>
              <w:rPr>
                <w:sz w:val="21"/>
              </w:rPr>
              <w:t>-19.01%</w:t>
            </w:r>
          </w:p>
        </w:tc>
        <w:tc>
          <w:tcPr>
            <w:tcW w:w="1418" w:type="dxa"/>
          </w:tcPr>
          <w:p>
            <w:pPr>
              <w:pStyle w:val="TableParagraph"/>
              <w:rPr>
                <w:sz w:val="20"/>
              </w:rPr>
            </w:pPr>
          </w:p>
          <w:p>
            <w:pPr>
              <w:pStyle w:val="TableParagraph"/>
              <w:spacing w:before="155"/>
              <w:ind w:right="97"/>
              <w:jc w:val="right"/>
              <w:rPr>
                <w:sz w:val="21"/>
              </w:rPr>
            </w:pPr>
            <w:r>
              <w:rPr>
                <w:sz w:val="21"/>
              </w:rPr>
              <w:t>1.07%</w:t>
            </w:r>
          </w:p>
        </w:tc>
        <w:tc>
          <w:tcPr>
            <w:tcW w:w="992" w:type="dxa"/>
          </w:tcPr>
          <w:p>
            <w:pPr>
              <w:pStyle w:val="TableParagraph"/>
              <w:rPr>
                <w:sz w:val="20"/>
              </w:rPr>
            </w:pPr>
          </w:p>
          <w:p>
            <w:pPr>
              <w:pStyle w:val="TableParagraph"/>
              <w:spacing w:before="155"/>
              <w:ind w:right="97"/>
              <w:jc w:val="right"/>
              <w:rPr>
                <w:sz w:val="21"/>
              </w:rPr>
            </w:pPr>
            <w:r>
              <w:rPr>
                <w:sz w:val="21"/>
              </w:rPr>
              <w:t>-10.62%</w:t>
            </w:r>
          </w:p>
        </w:tc>
        <w:tc>
          <w:tcPr>
            <w:tcW w:w="992" w:type="dxa"/>
          </w:tcPr>
          <w:p>
            <w:pPr>
              <w:pStyle w:val="TableParagraph"/>
              <w:rPr>
                <w:sz w:val="20"/>
              </w:rPr>
            </w:pPr>
          </w:p>
          <w:p>
            <w:pPr>
              <w:pStyle w:val="TableParagraph"/>
              <w:spacing w:before="155"/>
              <w:ind w:right="96"/>
              <w:jc w:val="right"/>
              <w:rPr>
                <w:sz w:val="21"/>
              </w:rPr>
            </w:pPr>
            <w:r>
              <w:rPr>
                <w:sz w:val="21"/>
              </w:rPr>
              <w:t>0.65%</w:t>
            </w:r>
          </w:p>
        </w:tc>
      </w:tr>
      <w:tr>
        <w:trPr>
          <w:trHeight w:val="1225" w:hRule="atLeast"/>
        </w:trPr>
        <w:tc>
          <w:tcPr>
            <w:tcW w:w="1384" w:type="dxa"/>
          </w:tcPr>
          <w:p>
            <w:pPr>
              <w:pStyle w:val="TableParagraph"/>
              <w:spacing w:before="3"/>
              <w:ind w:left="108"/>
              <w:rPr>
                <w:sz w:val="21"/>
              </w:rPr>
            </w:pPr>
            <w:r>
              <w:rPr>
                <w:sz w:val="21"/>
              </w:rPr>
              <w:t>2019</w:t>
            </w:r>
            <w:r>
              <w:rPr>
                <w:spacing w:val="-34"/>
                <w:sz w:val="21"/>
              </w:rPr>
              <w:t> 年 </w:t>
            </w:r>
            <w:r>
              <w:rPr>
                <w:sz w:val="21"/>
              </w:rPr>
              <w:t>1</w:t>
            </w:r>
            <w:r>
              <w:rPr>
                <w:spacing w:val="-24"/>
                <w:sz w:val="21"/>
              </w:rPr>
              <w:t> 月</w:t>
            </w:r>
          </w:p>
          <w:p>
            <w:pPr>
              <w:pStyle w:val="TableParagraph"/>
              <w:spacing w:before="139"/>
              <w:ind w:left="108"/>
              <w:rPr>
                <w:sz w:val="21"/>
              </w:rPr>
            </w:pPr>
            <w:r>
              <w:rPr>
                <w:sz w:val="21"/>
              </w:rPr>
              <w:t>1</w:t>
            </w:r>
            <w:r>
              <w:rPr>
                <w:spacing w:val="-11"/>
                <w:sz w:val="21"/>
              </w:rPr>
              <w:t> 日至 </w:t>
            </w:r>
            <w:r>
              <w:rPr>
                <w:sz w:val="21"/>
              </w:rPr>
              <w:t>2019</w:t>
            </w:r>
          </w:p>
          <w:p>
            <w:pPr>
              <w:pStyle w:val="TableParagraph"/>
              <w:spacing w:before="140"/>
              <w:ind w:left="108"/>
              <w:rPr>
                <w:sz w:val="21"/>
              </w:rPr>
            </w:pPr>
            <w:r>
              <w:rPr>
                <w:sz w:val="21"/>
              </w:rPr>
              <w:t>年12 月31 日</w:t>
            </w:r>
          </w:p>
        </w:tc>
        <w:tc>
          <w:tcPr>
            <w:tcW w:w="1134" w:type="dxa"/>
          </w:tcPr>
          <w:p>
            <w:pPr>
              <w:pStyle w:val="TableParagraph"/>
              <w:rPr>
                <w:sz w:val="20"/>
              </w:rPr>
            </w:pPr>
          </w:p>
          <w:p>
            <w:pPr>
              <w:pStyle w:val="TableParagraph"/>
              <w:spacing w:before="155"/>
              <w:ind w:right="96"/>
              <w:jc w:val="right"/>
              <w:rPr>
                <w:sz w:val="21"/>
              </w:rPr>
            </w:pPr>
            <w:r>
              <w:rPr>
                <w:sz w:val="21"/>
              </w:rPr>
              <w:t>55.74%</w:t>
            </w:r>
          </w:p>
        </w:tc>
        <w:tc>
          <w:tcPr>
            <w:tcW w:w="1134" w:type="dxa"/>
          </w:tcPr>
          <w:p>
            <w:pPr>
              <w:pStyle w:val="TableParagraph"/>
              <w:rPr>
                <w:sz w:val="20"/>
              </w:rPr>
            </w:pPr>
          </w:p>
          <w:p>
            <w:pPr>
              <w:pStyle w:val="TableParagraph"/>
              <w:spacing w:before="155"/>
              <w:ind w:right="97"/>
              <w:jc w:val="right"/>
              <w:rPr>
                <w:sz w:val="21"/>
              </w:rPr>
            </w:pPr>
            <w:r>
              <w:rPr>
                <w:sz w:val="21"/>
              </w:rPr>
              <w:t>1.51%</w:t>
            </w:r>
          </w:p>
        </w:tc>
        <w:tc>
          <w:tcPr>
            <w:tcW w:w="1134" w:type="dxa"/>
          </w:tcPr>
          <w:p>
            <w:pPr>
              <w:pStyle w:val="TableParagraph"/>
              <w:rPr>
                <w:sz w:val="20"/>
              </w:rPr>
            </w:pPr>
          </w:p>
          <w:p>
            <w:pPr>
              <w:pStyle w:val="TableParagraph"/>
              <w:spacing w:before="155"/>
              <w:ind w:right="97"/>
              <w:jc w:val="right"/>
              <w:rPr>
                <w:sz w:val="21"/>
              </w:rPr>
            </w:pPr>
            <w:r>
              <w:rPr>
                <w:sz w:val="21"/>
              </w:rPr>
              <w:t>29.07%</w:t>
            </w:r>
          </w:p>
        </w:tc>
        <w:tc>
          <w:tcPr>
            <w:tcW w:w="1418" w:type="dxa"/>
          </w:tcPr>
          <w:p>
            <w:pPr>
              <w:pStyle w:val="TableParagraph"/>
              <w:rPr>
                <w:sz w:val="20"/>
              </w:rPr>
            </w:pPr>
          </w:p>
          <w:p>
            <w:pPr>
              <w:pStyle w:val="TableParagraph"/>
              <w:spacing w:before="155"/>
              <w:ind w:right="97"/>
              <w:jc w:val="right"/>
              <w:rPr>
                <w:sz w:val="21"/>
              </w:rPr>
            </w:pPr>
            <w:r>
              <w:rPr>
                <w:sz w:val="21"/>
              </w:rPr>
              <w:t>0.99%</w:t>
            </w:r>
          </w:p>
        </w:tc>
        <w:tc>
          <w:tcPr>
            <w:tcW w:w="992" w:type="dxa"/>
          </w:tcPr>
          <w:p>
            <w:pPr>
              <w:pStyle w:val="TableParagraph"/>
              <w:rPr>
                <w:sz w:val="20"/>
              </w:rPr>
            </w:pPr>
          </w:p>
          <w:p>
            <w:pPr>
              <w:pStyle w:val="TableParagraph"/>
              <w:spacing w:before="155"/>
              <w:ind w:right="97"/>
              <w:jc w:val="right"/>
              <w:rPr>
                <w:sz w:val="21"/>
              </w:rPr>
            </w:pPr>
            <w:r>
              <w:rPr>
                <w:sz w:val="21"/>
              </w:rPr>
              <w:t>26.67%</w:t>
            </w:r>
          </w:p>
        </w:tc>
        <w:tc>
          <w:tcPr>
            <w:tcW w:w="992" w:type="dxa"/>
          </w:tcPr>
          <w:p>
            <w:pPr>
              <w:pStyle w:val="TableParagraph"/>
              <w:rPr>
                <w:sz w:val="20"/>
              </w:rPr>
            </w:pPr>
          </w:p>
          <w:p>
            <w:pPr>
              <w:pStyle w:val="TableParagraph"/>
              <w:spacing w:before="155"/>
              <w:ind w:right="96"/>
              <w:jc w:val="right"/>
              <w:rPr>
                <w:sz w:val="21"/>
              </w:rPr>
            </w:pPr>
            <w:r>
              <w:rPr>
                <w:sz w:val="21"/>
              </w:rPr>
              <w:t>0.52%</w:t>
            </w:r>
          </w:p>
        </w:tc>
      </w:tr>
      <w:tr>
        <w:trPr>
          <w:trHeight w:val="1225" w:hRule="atLeast"/>
        </w:trPr>
        <w:tc>
          <w:tcPr>
            <w:tcW w:w="1384" w:type="dxa"/>
          </w:tcPr>
          <w:p>
            <w:pPr>
              <w:pStyle w:val="TableParagraph"/>
              <w:spacing w:before="3"/>
              <w:ind w:left="108"/>
              <w:rPr>
                <w:sz w:val="21"/>
              </w:rPr>
            </w:pPr>
            <w:r>
              <w:rPr>
                <w:sz w:val="21"/>
              </w:rPr>
              <w:t>2020</w:t>
            </w:r>
            <w:r>
              <w:rPr>
                <w:spacing w:val="-34"/>
                <w:sz w:val="21"/>
              </w:rPr>
              <w:t> 年 </w:t>
            </w:r>
            <w:r>
              <w:rPr>
                <w:sz w:val="21"/>
              </w:rPr>
              <w:t>1</w:t>
            </w:r>
            <w:r>
              <w:rPr>
                <w:spacing w:val="-24"/>
                <w:sz w:val="21"/>
              </w:rPr>
              <w:t> 月</w:t>
            </w:r>
          </w:p>
          <w:p>
            <w:pPr>
              <w:pStyle w:val="TableParagraph"/>
              <w:spacing w:before="139"/>
              <w:ind w:left="108"/>
              <w:rPr>
                <w:sz w:val="21"/>
              </w:rPr>
            </w:pPr>
            <w:r>
              <w:rPr>
                <w:sz w:val="21"/>
              </w:rPr>
              <w:t>1</w:t>
            </w:r>
            <w:r>
              <w:rPr>
                <w:spacing w:val="-11"/>
                <w:sz w:val="21"/>
              </w:rPr>
              <w:t> 日至 </w:t>
            </w:r>
            <w:r>
              <w:rPr>
                <w:sz w:val="21"/>
              </w:rPr>
              <w:t>2020</w:t>
            </w:r>
          </w:p>
          <w:p>
            <w:pPr>
              <w:pStyle w:val="TableParagraph"/>
              <w:spacing w:before="140"/>
              <w:ind w:left="108"/>
              <w:rPr>
                <w:sz w:val="21"/>
              </w:rPr>
            </w:pPr>
            <w:r>
              <w:rPr>
                <w:spacing w:val="-27"/>
                <w:sz w:val="21"/>
              </w:rPr>
              <w:t>年 </w:t>
            </w:r>
            <w:r>
              <w:rPr>
                <w:sz w:val="21"/>
              </w:rPr>
              <w:t>6</w:t>
            </w:r>
            <w:r>
              <w:rPr>
                <w:spacing w:val="-36"/>
                <w:sz w:val="21"/>
              </w:rPr>
              <w:t> 月 </w:t>
            </w:r>
            <w:r>
              <w:rPr>
                <w:sz w:val="21"/>
              </w:rPr>
              <w:t>30</w:t>
            </w:r>
            <w:r>
              <w:rPr>
                <w:spacing w:val="-27"/>
                <w:sz w:val="21"/>
              </w:rPr>
              <w:t> 日</w:t>
            </w:r>
          </w:p>
        </w:tc>
        <w:tc>
          <w:tcPr>
            <w:tcW w:w="1134" w:type="dxa"/>
          </w:tcPr>
          <w:p>
            <w:pPr>
              <w:pStyle w:val="TableParagraph"/>
              <w:rPr>
                <w:sz w:val="20"/>
              </w:rPr>
            </w:pPr>
          </w:p>
          <w:p>
            <w:pPr>
              <w:pStyle w:val="TableParagraph"/>
              <w:spacing w:before="155"/>
              <w:ind w:right="96"/>
              <w:jc w:val="right"/>
              <w:rPr>
                <w:sz w:val="21"/>
              </w:rPr>
            </w:pPr>
            <w:r>
              <w:rPr>
                <w:sz w:val="21"/>
              </w:rPr>
              <w:t>36.95%</w:t>
            </w:r>
          </w:p>
        </w:tc>
        <w:tc>
          <w:tcPr>
            <w:tcW w:w="1134" w:type="dxa"/>
          </w:tcPr>
          <w:p>
            <w:pPr>
              <w:pStyle w:val="TableParagraph"/>
              <w:rPr>
                <w:sz w:val="20"/>
              </w:rPr>
            </w:pPr>
          </w:p>
          <w:p>
            <w:pPr>
              <w:pStyle w:val="TableParagraph"/>
              <w:spacing w:before="155"/>
              <w:ind w:right="97"/>
              <w:jc w:val="right"/>
              <w:rPr>
                <w:sz w:val="21"/>
              </w:rPr>
            </w:pPr>
            <w:r>
              <w:rPr>
                <w:sz w:val="21"/>
              </w:rPr>
              <w:t>1.73%</w:t>
            </w:r>
          </w:p>
        </w:tc>
        <w:tc>
          <w:tcPr>
            <w:tcW w:w="1134" w:type="dxa"/>
          </w:tcPr>
          <w:p>
            <w:pPr>
              <w:pStyle w:val="TableParagraph"/>
              <w:rPr>
                <w:sz w:val="20"/>
              </w:rPr>
            </w:pPr>
          </w:p>
          <w:p>
            <w:pPr>
              <w:pStyle w:val="TableParagraph"/>
              <w:spacing w:before="155"/>
              <w:ind w:right="97"/>
              <w:jc w:val="right"/>
              <w:rPr>
                <w:sz w:val="21"/>
              </w:rPr>
            </w:pPr>
            <w:r>
              <w:rPr>
                <w:sz w:val="21"/>
              </w:rPr>
              <w:t>1.48%</w:t>
            </w:r>
          </w:p>
        </w:tc>
        <w:tc>
          <w:tcPr>
            <w:tcW w:w="1418" w:type="dxa"/>
          </w:tcPr>
          <w:p>
            <w:pPr>
              <w:pStyle w:val="TableParagraph"/>
              <w:rPr>
                <w:sz w:val="20"/>
              </w:rPr>
            </w:pPr>
          </w:p>
          <w:p>
            <w:pPr>
              <w:pStyle w:val="TableParagraph"/>
              <w:spacing w:before="155"/>
              <w:ind w:right="97"/>
              <w:jc w:val="right"/>
              <w:rPr>
                <w:sz w:val="21"/>
              </w:rPr>
            </w:pPr>
            <w:r>
              <w:rPr>
                <w:sz w:val="21"/>
              </w:rPr>
              <w:t>1.21%</w:t>
            </w:r>
          </w:p>
        </w:tc>
        <w:tc>
          <w:tcPr>
            <w:tcW w:w="992" w:type="dxa"/>
          </w:tcPr>
          <w:p>
            <w:pPr>
              <w:pStyle w:val="TableParagraph"/>
              <w:rPr>
                <w:sz w:val="20"/>
              </w:rPr>
            </w:pPr>
          </w:p>
          <w:p>
            <w:pPr>
              <w:pStyle w:val="TableParagraph"/>
              <w:spacing w:before="155"/>
              <w:ind w:right="97"/>
              <w:jc w:val="right"/>
              <w:rPr>
                <w:sz w:val="21"/>
              </w:rPr>
            </w:pPr>
            <w:r>
              <w:rPr>
                <w:sz w:val="21"/>
              </w:rPr>
              <w:t>35.47%</w:t>
            </w:r>
          </w:p>
        </w:tc>
        <w:tc>
          <w:tcPr>
            <w:tcW w:w="992" w:type="dxa"/>
          </w:tcPr>
          <w:p>
            <w:pPr>
              <w:pStyle w:val="TableParagraph"/>
              <w:rPr>
                <w:sz w:val="20"/>
              </w:rPr>
            </w:pPr>
          </w:p>
          <w:p>
            <w:pPr>
              <w:pStyle w:val="TableParagraph"/>
              <w:spacing w:before="155"/>
              <w:ind w:right="96"/>
              <w:jc w:val="right"/>
              <w:rPr>
                <w:sz w:val="21"/>
              </w:rPr>
            </w:pPr>
            <w:r>
              <w:rPr>
                <w:sz w:val="21"/>
              </w:rPr>
              <w:t>0.52%</w:t>
            </w:r>
          </w:p>
        </w:tc>
      </w:tr>
    </w:tbl>
    <w:p>
      <w:pPr>
        <w:spacing w:after="0"/>
        <w:jc w:val="right"/>
        <w:rPr>
          <w:sz w:val="21"/>
        </w:rPr>
        <w:sectPr>
          <w:pgSz w:w="11910" w:h="16840"/>
          <w:pgMar w:header="0" w:footer="910" w:top="1420" w:bottom="1100" w:left="1400" w:right="1380"/>
        </w:sectPr>
      </w:pPr>
    </w:p>
    <w:p>
      <w:pPr>
        <w:pStyle w:val="Heading1"/>
        <w:ind w:right="1353"/>
      </w:pPr>
      <w:bookmarkStart w:name="_bookmark56" w:id="57"/>
      <w:bookmarkEnd w:id="57"/>
      <w:r>
        <w:rPr>
          <w:b w:val="0"/>
        </w:rPr>
      </w:r>
      <w:r>
        <w:rPr/>
        <w:t>十四、基金的财产</w:t>
      </w:r>
    </w:p>
    <w:p>
      <w:pPr>
        <w:pStyle w:val="Heading3"/>
        <w:spacing w:before="139"/>
      </w:pPr>
      <w:bookmarkStart w:name="_bookmark57" w:id="58"/>
      <w:bookmarkEnd w:id="58"/>
      <w:r>
        <w:rPr/>
      </w:r>
      <w:r>
        <w:rPr/>
        <w:t>（一）基金资产总值</w:t>
      </w:r>
    </w:p>
    <w:p>
      <w:pPr>
        <w:pStyle w:val="BodyText"/>
        <w:spacing w:line="364" w:lineRule="auto" w:before="185"/>
        <w:ind w:left="400" w:right="313" w:firstLine="420"/>
      </w:pPr>
      <w:r>
        <w:rPr>
          <w:spacing w:val="-10"/>
        </w:rPr>
        <w:t>基金资产总值是指本基金拥有的各类证券及票据价值、银行存款本息、债券的应计利息、</w:t>
      </w:r>
      <w:r>
        <w:rPr/>
        <w:t>基金应收的申购基金款、缴存的保证金以及其他投资所形成的价值总和。</w:t>
      </w:r>
    </w:p>
    <w:p>
      <w:pPr>
        <w:pStyle w:val="BodyText"/>
        <w:spacing w:line="268" w:lineRule="exact"/>
      </w:pPr>
      <w:r>
        <w:rPr/>
        <w:t>其构成主要有：</w:t>
      </w:r>
    </w:p>
    <w:p>
      <w:pPr>
        <w:pStyle w:val="BodyText"/>
        <w:spacing w:before="139"/>
      </w:pPr>
      <w:r>
        <w:rPr/>
        <w:t>1、银行存款及其应计利息；</w:t>
      </w:r>
    </w:p>
    <w:p>
      <w:pPr>
        <w:pStyle w:val="BodyText"/>
        <w:spacing w:before="139"/>
      </w:pPr>
      <w:r>
        <w:rPr/>
        <w:t>2、清算备付金及其应计利息；</w:t>
      </w:r>
    </w:p>
    <w:p>
      <w:pPr>
        <w:pStyle w:val="BodyText"/>
        <w:spacing w:before="140"/>
      </w:pPr>
      <w:r>
        <w:rPr/>
        <w:t>3、根据有关规定缴存的保证金；</w:t>
      </w:r>
    </w:p>
    <w:p>
      <w:pPr>
        <w:pStyle w:val="BodyText"/>
        <w:spacing w:before="139"/>
      </w:pPr>
      <w:r>
        <w:rPr/>
        <w:t>4、应收证券交易清算款；</w:t>
      </w:r>
    </w:p>
    <w:p>
      <w:pPr>
        <w:pStyle w:val="BodyText"/>
        <w:spacing w:before="140"/>
      </w:pPr>
      <w:r>
        <w:rPr/>
        <w:t>5、应收申购基金款；</w:t>
      </w:r>
    </w:p>
    <w:p>
      <w:pPr>
        <w:pStyle w:val="BodyText"/>
        <w:spacing w:before="139"/>
      </w:pPr>
      <w:r>
        <w:rPr/>
        <w:t>6、股票投资及其估值调整；</w:t>
      </w:r>
    </w:p>
    <w:p>
      <w:pPr>
        <w:pStyle w:val="BodyText"/>
        <w:spacing w:before="140"/>
      </w:pPr>
      <w:r>
        <w:rPr/>
        <w:t>7、债券投资及其估值调整和应计利息；</w:t>
      </w:r>
    </w:p>
    <w:p>
      <w:pPr>
        <w:pStyle w:val="BodyText"/>
        <w:spacing w:before="139"/>
      </w:pPr>
      <w:r>
        <w:rPr/>
        <w:t>8、其他投资及其估值调整；</w:t>
      </w:r>
    </w:p>
    <w:p>
      <w:pPr>
        <w:pStyle w:val="BodyText"/>
        <w:spacing w:before="140"/>
      </w:pPr>
      <w:r>
        <w:rPr/>
        <w:t>9、其他资产等。</w:t>
      </w:r>
    </w:p>
    <w:p>
      <w:pPr>
        <w:pStyle w:val="Heading3"/>
        <w:spacing w:before="140"/>
      </w:pPr>
      <w:bookmarkStart w:name="_bookmark58" w:id="59"/>
      <w:bookmarkEnd w:id="59"/>
      <w:r>
        <w:rPr/>
      </w:r>
      <w:r>
        <w:rPr/>
        <w:t>（二）基金资产净值</w:t>
      </w:r>
    </w:p>
    <w:p>
      <w:pPr>
        <w:pStyle w:val="BodyText"/>
        <w:spacing w:before="185"/>
      </w:pPr>
      <w:r>
        <w:rPr/>
        <w:t>基金资产净值是指基金资产总值减去基金负债后的价值。</w:t>
      </w:r>
    </w:p>
    <w:p>
      <w:pPr>
        <w:pStyle w:val="Heading3"/>
        <w:spacing w:before="140"/>
      </w:pPr>
      <w:bookmarkStart w:name="_bookmark59" w:id="60"/>
      <w:bookmarkEnd w:id="60"/>
      <w:r>
        <w:rPr/>
      </w:r>
      <w:r>
        <w:rPr/>
        <w:t>（三）基金财产的账户</w:t>
      </w:r>
    </w:p>
    <w:p>
      <w:pPr>
        <w:pStyle w:val="BodyText"/>
        <w:spacing w:line="364" w:lineRule="auto" w:before="185"/>
        <w:ind w:left="400" w:right="417" w:firstLine="420"/>
        <w:jc w:val="both"/>
      </w:pPr>
      <w:r>
        <w:rPr>
          <w:spacing w:val="-5"/>
        </w:rPr>
        <w:t>基金托管人以本基金的名义在其营业机构开立本基金的银行存款托管账户；以基金托管人的名义在中国证券登记结算有限责任公司开立基金结算备付金账户，以本基金的名义在基</w:t>
      </w:r>
      <w:r>
        <w:rPr>
          <w:spacing w:val="-7"/>
        </w:rPr>
        <w:t>金托管人托管系统中开立二级结算备付金账户；以基金托管人和本基金联名的方式在中国证券登记结算有限责任公司开立证券账户，以本基金的名义开立银行间债券托管账户并报中国</w:t>
      </w:r>
      <w:r>
        <w:rPr>
          <w:spacing w:val="-9"/>
        </w:rPr>
        <w:t>人民银行备案。开立的上述基金财产账户与基金管理人、基金托管人、基金销售机构和基金</w:t>
      </w:r>
      <w:r>
        <w:rPr/>
        <w:t>注册登记机构自有的财产账户以及其他基金财产账户相独立。</w:t>
      </w:r>
    </w:p>
    <w:p>
      <w:pPr>
        <w:pStyle w:val="BodyText"/>
        <w:spacing w:line="266" w:lineRule="exact"/>
      </w:pPr>
      <w:r>
        <w:rPr/>
        <w:t>如国家相关法律法规调整，基金管理人和基金托管人有权依据新规定执行。</w:t>
      </w:r>
    </w:p>
    <w:p>
      <w:pPr>
        <w:pStyle w:val="Heading3"/>
        <w:spacing w:before="141"/>
      </w:pPr>
      <w:bookmarkStart w:name="_bookmark60" w:id="61"/>
      <w:bookmarkEnd w:id="61"/>
      <w:r>
        <w:rPr/>
      </w:r>
      <w:r>
        <w:rPr/>
        <w:t>（四）基金财产的保管和处分</w:t>
      </w:r>
    </w:p>
    <w:p>
      <w:pPr>
        <w:pStyle w:val="BodyText"/>
        <w:spacing w:before="185"/>
      </w:pPr>
      <w:r>
        <w:rPr/>
        <w:t>1、本基金财产独立于基金管理人及基金托管人的固有财产，并由基金托管人保管。</w:t>
      </w:r>
    </w:p>
    <w:p>
      <w:pPr>
        <w:pStyle w:val="BodyText"/>
        <w:spacing w:line="364" w:lineRule="auto" w:before="139"/>
        <w:ind w:left="400" w:right="418" w:firstLine="420"/>
      </w:pPr>
      <w:r>
        <w:rPr/>
        <w:t>2、基金管理人、基金托管人因基金财产的管理、运用或者其他情形而取得的财产和收益，归基金财产。</w:t>
      </w:r>
    </w:p>
    <w:p>
      <w:pPr>
        <w:pStyle w:val="BodyText"/>
        <w:spacing w:line="364" w:lineRule="auto"/>
        <w:ind w:left="400" w:right="418" w:firstLine="420"/>
      </w:pPr>
      <w:r>
        <w:rPr/>
        <w:t>3、基金管理人、基金托管人因依法解散、被依法撤销或者被依法宣告破产等原因进行清算的，基金财产不属于其清算范围。</w:t>
      </w:r>
    </w:p>
    <w:p>
      <w:pPr>
        <w:pStyle w:val="BodyText"/>
        <w:spacing w:line="364" w:lineRule="auto"/>
        <w:ind w:left="400" w:right="312" w:firstLine="420"/>
      </w:pPr>
      <w:r>
        <w:rPr/>
        <w:t>4、基金财产的债权不得与基金管理人、基金托管人固有财产的债务相抵销；不同基金</w:t>
      </w:r>
      <w:r>
        <w:rPr>
          <w:spacing w:val="-15"/>
        </w:rPr>
        <w:t>财产的债权债务，不得相互抵销。非因基金财产本身承担的债务，不得对基金财产强制执行。</w:t>
      </w:r>
    </w:p>
    <w:p>
      <w:pPr>
        <w:spacing w:after="0" w:line="364" w:lineRule="auto"/>
        <w:sectPr>
          <w:pgSz w:w="11910" w:h="16840"/>
          <w:pgMar w:header="0" w:footer="910" w:top="1400" w:bottom="1100" w:left="1400" w:right="1380"/>
        </w:sectPr>
      </w:pPr>
    </w:p>
    <w:p>
      <w:pPr>
        <w:pStyle w:val="BodyText"/>
        <w:spacing w:before="8"/>
        <w:ind w:left="0"/>
        <w:rPr>
          <w:sz w:val="15"/>
        </w:rPr>
      </w:pPr>
    </w:p>
    <w:p>
      <w:pPr>
        <w:pStyle w:val="Heading1"/>
        <w:spacing w:line="538" w:lineRule="exact"/>
        <w:ind w:right="1353"/>
      </w:pPr>
      <w:bookmarkStart w:name="_bookmark61" w:id="62"/>
      <w:bookmarkEnd w:id="62"/>
      <w:r>
        <w:rPr>
          <w:b w:val="0"/>
        </w:rPr>
      </w:r>
      <w:r>
        <w:rPr/>
        <w:t>十五、基金资产估值</w:t>
      </w:r>
    </w:p>
    <w:p>
      <w:pPr>
        <w:pStyle w:val="Heading3"/>
        <w:spacing w:before="139"/>
      </w:pPr>
      <w:bookmarkStart w:name="_bookmark62" w:id="63"/>
      <w:bookmarkEnd w:id="63"/>
      <w:r>
        <w:rPr/>
      </w:r>
      <w:r>
        <w:rPr/>
        <w:t>（一）估值目的</w:t>
      </w:r>
    </w:p>
    <w:p>
      <w:pPr>
        <w:pStyle w:val="BodyText"/>
        <w:spacing w:line="364" w:lineRule="auto" w:before="185"/>
        <w:ind w:left="400" w:right="4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Heading3"/>
      </w:pPr>
      <w:bookmarkStart w:name="_bookmark63" w:id="64"/>
      <w:bookmarkEnd w:id="64"/>
      <w:r>
        <w:rPr/>
      </w:r>
      <w:r>
        <w:rPr/>
        <w:t>（二）估值日</w:t>
      </w:r>
    </w:p>
    <w:p>
      <w:pPr>
        <w:pStyle w:val="BodyText"/>
        <w:spacing w:line="364" w:lineRule="auto" w:before="185"/>
        <w:ind w:left="400" w:right="418" w:firstLine="420"/>
      </w:pPr>
      <w:r>
        <w:rPr/>
        <w:t>本基金的估值日为上海和深圳证券交易所的交易日以及国家法律法规规定需要对外披露基金净值的非营业日</w:t>
      </w:r>
    </w:p>
    <w:p>
      <w:pPr>
        <w:pStyle w:val="Heading3"/>
      </w:pPr>
      <w:bookmarkStart w:name="_bookmark64" w:id="65"/>
      <w:bookmarkEnd w:id="65"/>
      <w:r>
        <w:rPr/>
      </w:r>
      <w:r>
        <w:rPr/>
        <w:t>（三）估值对象</w:t>
      </w:r>
    </w:p>
    <w:p>
      <w:pPr>
        <w:pStyle w:val="BodyText"/>
        <w:spacing w:before="185"/>
      </w:pPr>
      <w:r>
        <w:rPr/>
        <w:t>基金所持有的金融资产和金融负债。</w:t>
      </w:r>
    </w:p>
    <w:p>
      <w:pPr>
        <w:pStyle w:val="Heading3"/>
        <w:spacing w:before="140"/>
      </w:pPr>
      <w:bookmarkStart w:name="_bookmark65" w:id="66"/>
      <w:bookmarkEnd w:id="66"/>
      <w:r>
        <w:rPr/>
      </w:r>
      <w:r>
        <w:rPr/>
        <w:t>（四）估值方法</w:t>
      </w:r>
    </w:p>
    <w:p>
      <w:pPr>
        <w:pStyle w:val="BodyText"/>
        <w:spacing w:before="185"/>
      </w:pPr>
      <w:r>
        <w:rPr/>
        <w:t>1、股票估值方法</w:t>
      </w:r>
    </w:p>
    <w:p>
      <w:pPr>
        <w:pStyle w:val="ListParagraph"/>
        <w:numPr>
          <w:ilvl w:val="0"/>
          <w:numId w:val="20"/>
        </w:numPr>
        <w:tabs>
          <w:tab w:pos="1346" w:val="left" w:leader="none"/>
        </w:tabs>
        <w:spacing w:line="240" w:lineRule="auto" w:before="139" w:after="0"/>
        <w:ind w:left="1346" w:right="0" w:hanging="526"/>
        <w:jc w:val="left"/>
        <w:rPr>
          <w:sz w:val="21"/>
        </w:rPr>
      </w:pPr>
      <w:r>
        <w:rPr>
          <w:sz w:val="21"/>
        </w:rPr>
        <w:t>上市流通股票的估值</w:t>
      </w:r>
    </w:p>
    <w:p>
      <w:pPr>
        <w:pStyle w:val="BodyText"/>
        <w:spacing w:line="364" w:lineRule="auto" w:before="140"/>
        <w:ind w:left="400" w:right="418" w:firstLine="420"/>
      </w:pPr>
      <w:r>
        <w:rPr>
          <w:spacing w:val="-5"/>
        </w:rPr>
        <w:t>上市流通股票按估值日其所在证券交易所的收盘价估值；估值日无交易的，以最近交易</w:t>
      </w:r>
      <w:r>
        <w:rPr/>
        <w:t>日的收盘价估值。</w:t>
      </w:r>
    </w:p>
    <w:p>
      <w:pPr>
        <w:pStyle w:val="ListParagraph"/>
        <w:numPr>
          <w:ilvl w:val="0"/>
          <w:numId w:val="20"/>
        </w:numPr>
        <w:tabs>
          <w:tab w:pos="1346" w:val="left" w:leader="none"/>
        </w:tabs>
        <w:spacing w:line="268" w:lineRule="exact" w:before="0" w:after="0"/>
        <w:ind w:left="1346" w:right="0" w:hanging="526"/>
        <w:jc w:val="left"/>
        <w:rPr>
          <w:sz w:val="21"/>
        </w:rPr>
      </w:pPr>
      <w:r>
        <w:rPr>
          <w:sz w:val="21"/>
        </w:rPr>
        <w:t>未上市股票的估值</w:t>
      </w:r>
    </w:p>
    <w:p>
      <w:pPr>
        <w:pStyle w:val="BodyText"/>
        <w:spacing w:line="364" w:lineRule="auto" w:before="139"/>
        <w:ind w:left="400" w:right="4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400" w:right="418" w:firstLine="420"/>
      </w:pPr>
      <w:r>
        <w:rPr>
          <w:spacing w:val="-8"/>
        </w:rPr>
        <w:t>首次发行未上市的股票，采用估值技术确定公允价值，在估值技术难以可靠计量的情况</w:t>
      </w:r>
      <w:r>
        <w:rPr/>
        <w:t>下，按成本估值。</w:t>
      </w:r>
    </w:p>
    <w:p>
      <w:pPr>
        <w:pStyle w:val="ListParagraph"/>
        <w:numPr>
          <w:ilvl w:val="0"/>
          <w:numId w:val="20"/>
        </w:numPr>
        <w:tabs>
          <w:tab w:pos="1346" w:val="left" w:leader="none"/>
        </w:tabs>
        <w:spacing w:line="268" w:lineRule="exact" w:before="0" w:after="0"/>
        <w:ind w:left="1346" w:right="0" w:hanging="526"/>
        <w:jc w:val="left"/>
        <w:rPr>
          <w:sz w:val="21"/>
        </w:rPr>
      </w:pPr>
      <w:r>
        <w:rPr>
          <w:sz w:val="21"/>
        </w:rPr>
        <w:t>有明确锁定期股票的估值</w:t>
      </w:r>
    </w:p>
    <w:p>
      <w:pPr>
        <w:pStyle w:val="BodyText"/>
        <w:spacing w:line="364" w:lineRule="auto" w:before="139"/>
        <w:ind w:left="400" w:right="418" w:firstLine="420"/>
        <w:jc w:val="both"/>
      </w:pPr>
      <w:r>
        <w:rPr>
          <w:spacing w:val="-6"/>
        </w:rPr>
        <w:t>首次公开发行有明确锁定期的股票，同一股票在交易所上市后，按交易所上市的同一股</w:t>
      </w:r>
      <w:r>
        <w:rPr>
          <w:spacing w:val="-5"/>
        </w:rPr>
        <w:t>票的收盘价估值，估值日无交易的，以最近交易日的收盘价估值；非公开发行有明确锁定期</w:t>
      </w:r>
      <w:r>
        <w:rPr/>
        <w:t>的流通受限股票，按监管机构或行业协会的有关规定确定公允价值。</w:t>
      </w:r>
    </w:p>
    <w:p>
      <w:pPr>
        <w:pStyle w:val="BodyText"/>
        <w:spacing w:line="268" w:lineRule="exact"/>
      </w:pPr>
      <w:r>
        <w:rPr/>
        <w:t>2、固定收益证券估值办法</w:t>
      </w:r>
    </w:p>
    <w:p>
      <w:pPr>
        <w:pStyle w:val="ListParagraph"/>
        <w:numPr>
          <w:ilvl w:val="0"/>
          <w:numId w:val="21"/>
        </w:numPr>
        <w:tabs>
          <w:tab w:pos="1347" w:val="left" w:leader="none"/>
        </w:tabs>
        <w:spacing w:line="364" w:lineRule="auto" w:before="139" w:after="0"/>
        <w:ind w:left="400" w:right="418" w:firstLine="420"/>
        <w:jc w:val="left"/>
        <w:rPr>
          <w:sz w:val="21"/>
        </w:rPr>
      </w:pPr>
      <w:r>
        <w:rPr>
          <w:sz w:val="21"/>
        </w:rPr>
        <w:t>证券交易所市场实行净价交易的债券按估值日收盘价估值，估值日没有交易的， 按最近交易日的收盘价估值。</w:t>
      </w:r>
    </w:p>
    <w:p>
      <w:pPr>
        <w:pStyle w:val="ListParagraph"/>
        <w:numPr>
          <w:ilvl w:val="0"/>
          <w:numId w:val="21"/>
        </w:numPr>
        <w:tabs>
          <w:tab w:pos="1347" w:val="left" w:leader="none"/>
        </w:tabs>
        <w:spacing w:line="364" w:lineRule="auto" w:before="0" w:after="0"/>
        <w:ind w:left="400" w:right="418" w:firstLine="420"/>
        <w:jc w:val="both"/>
        <w:rPr>
          <w:sz w:val="21"/>
        </w:rPr>
      </w:pPr>
      <w:r>
        <w:rPr>
          <w:sz w:val="21"/>
        </w:rPr>
        <w:t>证券交易所市场未实行净价交易的债券按估值日收盘价减去债券收盘价中所含的</w:t>
      </w:r>
      <w:r>
        <w:rPr>
          <w:spacing w:val="-6"/>
          <w:sz w:val="21"/>
        </w:rPr>
        <w:t>债券应收利息得到的净价进行估值，估值日没有交易的，按最近交易日债券收盘价计算得到</w:t>
      </w:r>
      <w:r>
        <w:rPr>
          <w:sz w:val="21"/>
        </w:rPr>
        <w:t>的净价估值。</w:t>
      </w:r>
    </w:p>
    <w:p>
      <w:pPr>
        <w:pStyle w:val="ListParagraph"/>
        <w:numPr>
          <w:ilvl w:val="0"/>
          <w:numId w:val="21"/>
        </w:numPr>
        <w:tabs>
          <w:tab w:pos="1347" w:val="left" w:leader="none"/>
        </w:tabs>
        <w:spacing w:line="364" w:lineRule="auto" w:before="0" w:after="0"/>
        <w:ind w:left="400" w:right="418" w:firstLine="420"/>
        <w:jc w:val="left"/>
        <w:rPr>
          <w:sz w:val="21"/>
        </w:rPr>
      </w:pPr>
      <w:r>
        <w:rPr>
          <w:sz w:val="21"/>
        </w:rPr>
        <w:t>未上市债券采用估值技术确定公允价值，在估值技术难以可靠计量的情况下，按成本估值。</w:t>
      </w:r>
    </w:p>
    <w:p>
      <w:pPr>
        <w:spacing w:after="0" w:line="364" w:lineRule="auto"/>
        <w:jc w:val="left"/>
        <w:rPr>
          <w:sz w:val="21"/>
        </w:rPr>
        <w:sectPr>
          <w:pgSz w:w="11910" w:h="16840"/>
          <w:pgMar w:header="0" w:footer="910" w:top="1580" w:bottom="1180" w:left="1400" w:right="1380"/>
        </w:sectPr>
      </w:pPr>
    </w:p>
    <w:p>
      <w:pPr>
        <w:pStyle w:val="ListParagraph"/>
        <w:numPr>
          <w:ilvl w:val="0"/>
          <w:numId w:val="21"/>
        </w:numPr>
        <w:tabs>
          <w:tab w:pos="1347" w:val="left" w:leader="none"/>
        </w:tabs>
        <w:spacing w:line="364" w:lineRule="auto" w:before="45" w:after="0"/>
        <w:ind w:left="400" w:right="418" w:firstLine="420"/>
        <w:jc w:val="left"/>
        <w:rPr>
          <w:sz w:val="21"/>
        </w:rPr>
      </w:pPr>
      <w:r>
        <w:rPr>
          <w:sz w:val="21"/>
        </w:rPr>
        <w:t>在银行间债券市场交易的债券、资产支持证券等固定收益品种，采用估值技术确定公允价值。</w:t>
      </w:r>
    </w:p>
    <w:p>
      <w:pPr>
        <w:pStyle w:val="ListParagraph"/>
        <w:numPr>
          <w:ilvl w:val="0"/>
          <w:numId w:val="21"/>
        </w:numPr>
        <w:tabs>
          <w:tab w:pos="1347" w:val="left" w:leader="none"/>
        </w:tabs>
        <w:spacing w:line="364" w:lineRule="auto" w:before="0" w:after="0"/>
        <w:ind w:left="400" w:right="41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1"/>
        </w:numPr>
        <w:tabs>
          <w:tab w:pos="1346" w:val="left" w:leader="none"/>
        </w:tabs>
        <w:spacing w:line="268" w:lineRule="exact" w:before="0" w:after="0"/>
        <w:ind w:left="1346" w:right="0" w:hanging="526"/>
        <w:jc w:val="left"/>
        <w:rPr>
          <w:sz w:val="21"/>
        </w:rPr>
      </w:pPr>
      <w:r>
        <w:rPr>
          <w:sz w:val="21"/>
        </w:rPr>
        <w:t>同一债券同时在两个或两个以上市场交易的，按债券所处的市场分别估值。</w:t>
      </w:r>
    </w:p>
    <w:p>
      <w:pPr>
        <w:pStyle w:val="BodyText"/>
        <w:spacing w:before="138"/>
      </w:pPr>
      <w:r>
        <w:rPr/>
        <w:t>3、权证估值：</w:t>
      </w:r>
    </w:p>
    <w:p>
      <w:pPr>
        <w:pStyle w:val="ListParagraph"/>
        <w:numPr>
          <w:ilvl w:val="0"/>
          <w:numId w:val="22"/>
        </w:numPr>
        <w:tabs>
          <w:tab w:pos="1346" w:val="left" w:leader="none"/>
        </w:tabs>
        <w:spacing w:line="240" w:lineRule="auto" w:before="140" w:after="0"/>
        <w:ind w:left="1346" w:right="0" w:hanging="526"/>
        <w:jc w:val="left"/>
        <w:rPr>
          <w:sz w:val="21"/>
        </w:rPr>
      </w:pPr>
      <w:r>
        <w:rPr>
          <w:sz w:val="21"/>
        </w:rPr>
        <w:t>配股权证的估值：</w:t>
      </w:r>
    </w:p>
    <w:p>
      <w:pPr>
        <w:pStyle w:val="BodyText"/>
        <w:spacing w:before="139"/>
      </w:pPr>
      <w:r>
        <w:rPr/>
        <w:t>因持有股票而享有的配股权，采用估值技术进行估值。</w:t>
      </w:r>
    </w:p>
    <w:p>
      <w:pPr>
        <w:pStyle w:val="ListParagraph"/>
        <w:numPr>
          <w:ilvl w:val="0"/>
          <w:numId w:val="22"/>
        </w:numPr>
        <w:tabs>
          <w:tab w:pos="1346" w:val="left" w:leader="none"/>
        </w:tabs>
        <w:spacing w:line="240" w:lineRule="auto" w:before="140" w:after="0"/>
        <w:ind w:left="1346" w:right="0" w:hanging="526"/>
        <w:jc w:val="left"/>
        <w:rPr>
          <w:sz w:val="21"/>
        </w:rPr>
      </w:pPr>
      <w:r>
        <w:rPr>
          <w:sz w:val="21"/>
        </w:rPr>
        <w:t>认沽/认购权证的估值：</w:t>
      </w:r>
    </w:p>
    <w:p>
      <w:pPr>
        <w:pStyle w:val="BodyText"/>
        <w:spacing w:line="364" w:lineRule="auto" w:before="139"/>
        <w:ind w:left="400" w:right="41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line="267" w:lineRule="exact"/>
      </w:pPr>
      <w:r>
        <w:rPr/>
        <w:t>4、其他资产按国家有关规定进行估值。</w:t>
      </w:r>
    </w:p>
    <w:p>
      <w:pPr>
        <w:pStyle w:val="BodyText"/>
        <w:spacing w:before="140"/>
      </w:pPr>
      <w:r>
        <w:rPr/>
        <w:t>5、本基金投资存托凭证的估值核算，依照境内上市交易的股票执行。</w:t>
      </w:r>
    </w:p>
    <w:p>
      <w:pPr>
        <w:pStyle w:val="BodyText"/>
        <w:spacing w:line="364" w:lineRule="auto" w:before="139"/>
        <w:ind w:left="400" w:right="313" w:firstLine="420"/>
      </w:pPr>
      <w:r>
        <w:rPr/>
        <w:t>6</w:t>
      </w:r>
      <w:r>
        <w:rPr>
          <w:spacing w:val="-3"/>
        </w:rPr>
        <w:t>、在任何情况下，基金管理人采用上述 </w:t>
      </w:r>
      <w:r>
        <w:rPr/>
        <w:t>1-5</w:t>
      </w:r>
      <w:r>
        <w:rPr>
          <w:spacing w:val="-8"/>
        </w:rPr>
        <w:t> 项规定的方法对基金财产进行估值，均应</w:t>
      </w:r>
      <w:r>
        <w:rPr>
          <w:spacing w:val="-14"/>
        </w:rPr>
        <w:t>被认为采用了适当的估值方法。但是，如果基金管理人有充足的理由认为按上述方法对基金</w:t>
      </w:r>
      <w:r>
        <w:rPr>
          <w:spacing w:val="-22"/>
        </w:rPr>
        <w:t>财产进行估值不能客观反映其公允价值的，基金管理人可在综合考虑市场成交价、市场报价、</w:t>
      </w:r>
      <w:r>
        <w:rPr>
          <w:spacing w:val="-9"/>
        </w:rPr>
        <w:t>流动性、收益率曲线等多种因素的基础上与基金托管人商定后，按最能反映公允价值的价格估值。</w:t>
      </w:r>
    </w:p>
    <w:p>
      <w:pPr>
        <w:pStyle w:val="BodyText"/>
        <w:spacing w:line="267" w:lineRule="exact"/>
      </w:pPr>
      <w:r>
        <w:rPr/>
        <w:t>7、国家有最新规定的，按其规定进行估值。</w:t>
      </w:r>
    </w:p>
    <w:p>
      <w:pPr>
        <w:pStyle w:val="Heading3"/>
        <w:spacing w:before="141"/>
      </w:pPr>
      <w:bookmarkStart w:name="_bookmark66" w:id="67"/>
      <w:bookmarkEnd w:id="67"/>
      <w:r>
        <w:rPr/>
      </w:r>
      <w:r>
        <w:rPr/>
        <w:t>（五）估值程序</w:t>
      </w:r>
    </w:p>
    <w:p>
      <w:pPr>
        <w:pStyle w:val="BodyText"/>
        <w:spacing w:line="364" w:lineRule="auto" w:before="184"/>
        <w:ind w:left="400" w:right="417" w:firstLine="420"/>
        <w:jc w:val="both"/>
      </w:pPr>
      <w:r>
        <w:rPr>
          <w:spacing w:val="-6"/>
        </w:rPr>
        <w:t>基金日常估值由基金管理人同基金托管人一同进行。基金份额净值由基金管理人完成估</w:t>
      </w:r>
      <w:r>
        <w:rPr>
          <w:spacing w:val="-10"/>
        </w:rPr>
        <w:t>值后，将估值结果以书面形式报给基金托管人，基金托管人按基金合同规定的估值方法、时</w:t>
      </w:r>
      <w:r>
        <w:rPr>
          <w:spacing w:val="-11"/>
        </w:rPr>
        <w:t>间、程序进行复核，基金托管人复核无误后签章返回给基金管理人。月末、年中和年末估值</w:t>
      </w:r>
      <w:r>
        <w:rPr/>
        <w:t>复核与基金会计账目的核对同时进行。</w:t>
      </w:r>
    </w:p>
    <w:p>
      <w:pPr>
        <w:pStyle w:val="Heading3"/>
        <w:spacing w:line="358" w:lineRule="exact"/>
      </w:pPr>
      <w:bookmarkStart w:name="_bookmark67" w:id="68"/>
      <w:bookmarkEnd w:id="68"/>
      <w:r>
        <w:rPr/>
      </w:r>
      <w:r>
        <w:rPr/>
        <w:t>（六）暂停估值的情形</w:t>
      </w:r>
    </w:p>
    <w:p>
      <w:pPr>
        <w:pStyle w:val="BodyText"/>
        <w:spacing w:before="185"/>
      </w:pPr>
      <w:r>
        <w:rPr/>
        <w:t>1、基金投资所涉及的证券交易所遇法定节假日或因其他原因暂停营业时；</w:t>
      </w:r>
    </w:p>
    <w:p>
      <w:pPr>
        <w:pStyle w:val="BodyText"/>
        <w:spacing w:before="140"/>
      </w:pPr>
      <w:r>
        <w:rPr/>
        <w:t>2、因不可抗力或其他情形致使基金管理人、托管人无法准确评估基金财产价值时；</w:t>
      </w:r>
    </w:p>
    <w:p>
      <w:pPr>
        <w:pStyle w:val="BodyText"/>
        <w:spacing w:line="364" w:lineRule="auto" w:before="139"/>
        <w:ind w:left="400" w:right="418" w:firstLine="420"/>
        <w:jc w:val="both"/>
      </w:pPr>
      <w:r>
        <w:rPr/>
        <w:t>3</w:t>
      </w:r>
      <w:r>
        <w:rPr>
          <w:spacing w:val="-11"/>
        </w:rPr>
        <w:t>、当前一估值日基金资产净值</w:t>
      </w:r>
      <w:r>
        <w:rPr/>
        <w:t>50%</w:t>
      </w:r>
      <w:r>
        <w:rPr>
          <w:spacing w:val="-1"/>
        </w:rPr>
        <w:t>以上的资产出现无可参考的活跃市场价格且采用估值</w:t>
      </w:r>
      <w:r>
        <w:rPr>
          <w:spacing w:val="-5"/>
        </w:rPr>
        <w:t>技术仍导致公允价值存在重大不确定性时，经与基金托管人协商一致的；法律法规规定、中</w:t>
      </w:r>
      <w:r>
        <w:rPr/>
        <w:t>国证监会和基金合同认定的其他情形。</w:t>
      </w:r>
    </w:p>
    <w:p>
      <w:pPr>
        <w:spacing w:after="0" w:line="364" w:lineRule="auto"/>
        <w:jc w:val="both"/>
        <w:sectPr>
          <w:pgSz w:w="11910" w:h="16840"/>
          <w:pgMar w:header="0" w:footer="910" w:top="1380" w:bottom="1180" w:left="1400" w:right="1380"/>
        </w:sectPr>
      </w:pPr>
    </w:p>
    <w:p>
      <w:pPr>
        <w:pStyle w:val="Heading3"/>
        <w:spacing w:before="46"/>
      </w:pPr>
      <w:bookmarkStart w:name="_bookmark68" w:id="69"/>
      <w:bookmarkEnd w:id="69"/>
      <w:r>
        <w:rPr/>
      </w:r>
      <w:r>
        <w:rPr/>
        <w:t>（七）基金份额净值的计算</w:t>
      </w:r>
    </w:p>
    <w:p>
      <w:pPr>
        <w:pStyle w:val="BodyText"/>
        <w:spacing w:line="364" w:lineRule="auto" w:before="185"/>
        <w:ind w:left="400" w:right="325" w:firstLine="420"/>
        <w:jc w:val="both"/>
      </w:pPr>
      <w:r>
        <w:rPr>
          <w:spacing w:val="-4"/>
        </w:rPr>
        <w:t>用于基金信息披露的基金份额净值由基金管理人负责计算，基金托管人进行复核。基金</w:t>
      </w:r>
      <w:r>
        <w:rPr>
          <w:spacing w:val="-7"/>
        </w:rPr>
        <w:t>管理人应于每个工作日交易结束后计算当日的基金份额净值并发送给基金托管人。基金托管</w:t>
      </w:r>
      <w:r>
        <w:rPr>
          <w:spacing w:val="-8"/>
        </w:rPr>
        <w:t>人对净值计算结果复核确认后发送给基金管理人，由基金管理人对基金份额净值予以公布。</w:t>
      </w:r>
    </w:p>
    <w:p>
      <w:pPr>
        <w:pStyle w:val="BodyText"/>
        <w:spacing w:line="364" w:lineRule="auto"/>
        <w:ind w:left="400" w:right="418" w:firstLine="420"/>
        <w:jc w:val="both"/>
      </w:pPr>
      <w:r>
        <w:rPr>
          <w:spacing w:val="-4"/>
        </w:rPr>
        <w:t>基金份额净值的计算，精确到 </w:t>
      </w:r>
      <w:r>
        <w:rPr/>
        <w:t>0.0001</w:t>
      </w:r>
      <w:r>
        <w:rPr>
          <w:spacing w:val="-8"/>
        </w:rPr>
        <w:t> 元，小数点第五位四舍五入。国家另有规定的， 从其规定。</w:t>
      </w:r>
    </w:p>
    <w:p>
      <w:pPr>
        <w:pStyle w:val="Heading3"/>
      </w:pPr>
      <w:bookmarkStart w:name="_bookmark69" w:id="70"/>
      <w:bookmarkEnd w:id="70"/>
      <w:r>
        <w:rPr/>
      </w:r>
      <w:r>
        <w:rPr/>
        <w:t>（八）估值错误处理</w:t>
      </w:r>
    </w:p>
    <w:p>
      <w:pPr>
        <w:pStyle w:val="BodyText"/>
        <w:spacing w:line="364" w:lineRule="auto" w:before="183"/>
        <w:ind w:left="400" w:right="417" w:firstLine="420"/>
        <w:jc w:val="both"/>
      </w:pPr>
      <w:r>
        <w:rPr/>
        <w:t>1、当基金财产的估值导致基金份额净值小数点后四位内（含第四位）发生差错时，视</w:t>
      </w:r>
      <w:r>
        <w:rPr>
          <w:spacing w:val="-7"/>
        </w:rPr>
        <w:t>为基金份额净值估值错误。基金管理人和基金托管人将采取必要、适当合理的措施确保基金</w:t>
      </w:r>
      <w:r>
        <w:rPr>
          <w:spacing w:val="-9"/>
        </w:rPr>
        <w:t>财产估值的准确性、及时性。当估值或基金份额净值计价出现错误实际发生时，基金管理人</w:t>
      </w:r>
      <w:r>
        <w:rPr>
          <w:spacing w:val="-5"/>
        </w:rPr>
        <w:t>应当立即予以纠正，并采取合理的措施防止损失进一步扩大；计价错误达到或超过基金资产</w:t>
      </w:r>
      <w:r>
        <w:rPr/>
        <w:t>净值的0.25%时，基金管理人应通报基金托管人，并报告中国证监会；计价错误达到基金份额净值的0.5%</w:t>
      </w:r>
      <w:r>
        <w:rPr>
          <w:spacing w:val="-10"/>
        </w:rPr>
        <w:t>时，基金管理人应通报基金托管人，按本基金合同的规定进行公告，并报中国</w:t>
      </w:r>
      <w:r>
        <w:rPr/>
        <w:t>证监会备案。</w:t>
      </w:r>
    </w:p>
    <w:p>
      <w:pPr>
        <w:pStyle w:val="BodyText"/>
        <w:spacing w:line="266" w:lineRule="exact"/>
      </w:pPr>
      <w:r>
        <w:rPr/>
        <w:t>2、差错类型</w:t>
      </w:r>
    </w:p>
    <w:p>
      <w:pPr>
        <w:pStyle w:val="BodyText"/>
        <w:spacing w:line="364" w:lineRule="auto" w:before="140"/>
        <w:ind w:left="400" w:right="418" w:firstLine="420"/>
        <w:jc w:val="both"/>
      </w:pPr>
      <w:r>
        <w:rPr>
          <w:spacing w:val="-8"/>
        </w:rPr>
        <w:t>本基金运作过程中，如果由于基金管理人、基金托管人、注册登记人、销售机构或投资人自身的原因造成差错，导致其他当事人遭受损失的，责任人应当对由于该差错遭受损失的</w:t>
      </w:r>
      <w:r>
        <w:rPr/>
        <w:t>当事人（“受损方”）按下述“差错处理原则”给予赔偿。</w:t>
      </w:r>
    </w:p>
    <w:p>
      <w:pPr>
        <w:pStyle w:val="BodyText"/>
        <w:spacing w:line="364" w:lineRule="auto"/>
        <w:ind w:left="400" w:right="418" w:firstLine="420"/>
        <w:jc w:val="both"/>
      </w:pPr>
      <w:r>
        <w:rPr>
          <w:spacing w:val="-8"/>
        </w:rPr>
        <w:t>上述差错的主要类型包括但不限于：资料申报差错、数据传输差错、数据计算差错、系</w:t>
      </w:r>
      <w:r>
        <w:rPr>
          <w:spacing w:val="-9"/>
        </w:rPr>
        <w:t>统故障差错、下达指令差错等；对于因技术原因引起的差错，若系同行业现有技术水平无法</w:t>
      </w:r>
      <w:r>
        <w:rPr/>
        <w:t>预见、无法避免、无法抗拒，则属不可抗力。</w:t>
      </w:r>
    </w:p>
    <w:p>
      <w:pPr>
        <w:pStyle w:val="BodyText"/>
        <w:spacing w:line="364" w:lineRule="auto"/>
        <w:ind w:left="400" w:right="418" w:firstLine="420"/>
        <w:jc w:val="both"/>
      </w:pPr>
      <w:r>
        <w:rPr>
          <w:spacing w:val="-4"/>
        </w:rPr>
        <w:t>由于不可抗力原因造成投资人的交易资料灭失或被错误处理或造成其他差错，因不可抗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line="268" w:lineRule="exact"/>
      </w:pPr>
      <w:r>
        <w:rPr/>
        <w:t>3、差错处理原则</w:t>
      </w:r>
    </w:p>
    <w:p>
      <w:pPr>
        <w:pStyle w:val="BodyText"/>
        <w:spacing w:line="364" w:lineRule="auto" w:before="136"/>
        <w:ind w:left="400" w:right="417" w:firstLine="420"/>
        <w:jc w:val="both"/>
      </w:pPr>
      <w:r>
        <w:rPr>
          <w:spacing w:val="2"/>
        </w:rPr>
        <w:t>因基金估值错误给投资人造成损失的应由基金管理人和基金托管人依照法律法规的规</w:t>
      </w:r>
      <w:r>
        <w:rPr>
          <w:spacing w:val="-7"/>
        </w:rPr>
        <w:t>定予以承担。基金管理人或基金托管人对不应由其承担的责任，有权向责任人追偿。本基金</w:t>
      </w:r>
      <w:r>
        <w:rPr/>
        <w:t>合同的当事人应将按照以下约定的原则处理基金估值差错。</w:t>
      </w:r>
    </w:p>
    <w:p>
      <w:pPr>
        <w:pStyle w:val="ListParagraph"/>
        <w:numPr>
          <w:ilvl w:val="0"/>
          <w:numId w:val="23"/>
        </w:numPr>
        <w:tabs>
          <w:tab w:pos="1347" w:val="left" w:leader="none"/>
        </w:tabs>
        <w:spacing w:line="364" w:lineRule="auto" w:before="0" w:after="0"/>
        <w:ind w:left="400" w:right="418" w:firstLine="420"/>
        <w:jc w:val="both"/>
        <w:rPr>
          <w:sz w:val="21"/>
        </w:rPr>
      </w:pPr>
      <w:r>
        <w:rPr>
          <w:sz w:val="21"/>
        </w:rPr>
        <w:t>差错已发生，但尚未给当事人造成损失时，差错责任方应及时协调各方，及时进</w:t>
      </w:r>
      <w:r>
        <w:rPr>
          <w:spacing w:val="-6"/>
          <w:sz w:val="21"/>
        </w:rPr>
        <w:t>行更正，因更正差错发生的费用由差错责任方承担；由于差错责任方未及时更正已产生的差</w:t>
      </w:r>
      <w:r>
        <w:rPr>
          <w:spacing w:val="-7"/>
          <w:sz w:val="21"/>
        </w:rPr>
        <w:t>错，给当事人造成损失的由差错责任方承担；若差错责任方已经积极协调，并且有协助义务</w:t>
      </w:r>
      <w:r>
        <w:rPr>
          <w:spacing w:val="-6"/>
          <w:sz w:val="21"/>
        </w:rPr>
        <w:t>的当事人有足够的时间进行更正而未更正，由此造成或扩大的损失有差错责任方和未更正方依法分别各自承担相应的赔偿责任。差错责任方应对更正的情况向有关当事人进行确认，确</w:t>
      </w:r>
    </w:p>
    <w:p>
      <w:pPr>
        <w:spacing w:after="0" w:line="364" w:lineRule="auto"/>
        <w:jc w:val="both"/>
        <w:rPr>
          <w:sz w:val="21"/>
        </w:rPr>
        <w:sectPr>
          <w:pgSz w:w="11910" w:h="16840"/>
          <w:pgMar w:header="0" w:footer="910" w:top="1380" w:bottom="1180" w:left="1400" w:right="1380"/>
        </w:sectPr>
      </w:pPr>
    </w:p>
    <w:p>
      <w:pPr>
        <w:pStyle w:val="BodyText"/>
        <w:spacing w:before="45"/>
        <w:ind w:left="400"/>
      </w:pPr>
      <w:r>
        <w:rPr/>
        <w:t>保差错已得到更正；</w:t>
      </w:r>
    </w:p>
    <w:p>
      <w:pPr>
        <w:pStyle w:val="ListParagraph"/>
        <w:numPr>
          <w:ilvl w:val="0"/>
          <w:numId w:val="23"/>
        </w:numPr>
        <w:tabs>
          <w:tab w:pos="1347" w:val="left" w:leader="none"/>
        </w:tabs>
        <w:spacing w:line="364" w:lineRule="auto" w:before="139" w:after="0"/>
        <w:ind w:left="400" w:right="418" w:firstLine="420"/>
        <w:jc w:val="left"/>
        <w:rPr>
          <w:sz w:val="21"/>
        </w:rPr>
      </w:pPr>
      <w:r>
        <w:rPr>
          <w:sz w:val="21"/>
        </w:rPr>
        <w:t>差错的责任方对可能导致有关当事人的直接损失负责，不对间接损失负责，并且仅对差错的有关直接当事人负责，不对第三方负责；</w:t>
      </w:r>
    </w:p>
    <w:p>
      <w:pPr>
        <w:pStyle w:val="ListParagraph"/>
        <w:numPr>
          <w:ilvl w:val="0"/>
          <w:numId w:val="23"/>
        </w:numPr>
        <w:tabs>
          <w:tab w:pos="1347" w:val="left" w:leader="none"/>
        </w:tabs>
        <w:spacing w:line="364" w:lineRule="auto" w:before="0" w:after="0"/>
        <w:ind w:left="400" w:right="418" w:firstLine="420"/>
        <w:jc w:val="both"/>
        <w:rPr>
          <w:sz w:val="21"/>
        </w:rPr>
      </w:pPr>
      <w:r>
        <w:rPr>
          <w:sz w:val="21"/>
        </w:rPr>
        <w:t>因差错而获得不当得利的当事人负有及时返还不当得利的义务。但差错责任方仍</w:t>
      </w:r>
      <w:r>
        <w:rPr>
          <w:spacing w:val="-11"/>
          <w:sz w:val="21"/>
        </w:rPr>
        <w:t>应对差错负责，如果由于获得不当得利的当事人不返还或不全部返还不当得利造成其他当事</w:t>
      </w:r>
      <w:r>
        <w:rPr>
          <w:spacing w:val="-10"/>
          <w:sz w:val="21"/>
        </w:rPr>
        <w:t>人的利益损失，则差错责任方应赔偿受损方的损失，并在其支付的赔偿金额的范围内对获得</w:t>
      </w:r>
      <w:r>
        <w:rPr>
          <w:spacing w:val="-7"/>
          <w:sz w:val="21"/>
        </w:rPr>
        <w:t>不当得利的当事人享有要求交付不当得利的权利；如果获得不当得利的当事人已经将此部分</w:t>
      </w:r>
      <w:r>
        <w:rPr>
          <w:spacing w:val="-10"/>
          <w:sz w:val="21"/>
        </w:rPr>
        <w:t>不当得利返还给受损方，则受损方应当将其已经获得的赔偿额加上已经获得的不当得利返还</w:t>
      </w:r>
      <w:r>
        <w:rPr>
          <w:sz w:val="21"/>
        </w:rPr>
        <w:t>的总和超过其实际损失的差额部分支付给差错责任方；</w:t>
      </w:r>
    </w:p>
    <w:p>
      <w:pPr>
        <w:pStyle w:val="ListParagraph"/>
        <w:numPr>
          <w:ilvl w:val="0"/>
          <w:numId w:val="23"/>
        </w:numPr>
        <w:tabs>
          <w:tab w:pos="1346" w:val="left" w:leader="none"/>
        </w:tabs>
        <w:spacing w:line="266" w:lineRule="exact" w:before="0" w:after="0"/>
        <w:ind w:left="1346" w:right="0" w:hanging="526"/>
        <w:jc w:val="left"/>
        <w:rPr>
          <w:sz w:val="21"/>
        </w:rPr>
      </w:pPr>
      <w:r>
        <w:rPr>
          <w:sz w:val="21"/>
        </w:rPr>
        <w:t>差错调整采用尽量恢复至假设未发生差错的正确情形的方式；</w:t>
      </w:r>
    </w:p>
    <w:p>
      <w:pPr>
        <w:pStyle w:val="ListParagraph"/>
        <w:numPr>
          <w:ilvl w:val="0"/>
          <w:numId w:val="23"/>
        </w:numPr>
        <w:tabs>
          <w:tab w:pos="1347" w:val="left" w:leader="none"/>
        </w:tabs>
        <w:spacing w:line="364" w:lineRule="auto" w:before="139" w:after="0"/>
        <w:ind w:left="400" w:right="418" w:firstLine="420"/>
        <w:jc w:val="both"/>
        <w:rPr>
          <w:sz w:val="21"/>
        </w:rPr>
      </w:pPr>
      <w:r>
        <w:rPr>
          <w:sz w:val="21"/>
        </w:rPr>
        <w:t>如果因基金管理人原因造成基金财产损失时，基金托管人应为基金的利益向基金</w:t>
      </w:r>
      <w:r>
        <w:rPr>
          <w:spacing w:val="-10"/>
          <w:sz w:val="21"/>
        </w:rPr>
        <w:t>管理人追偿，如果因基金托管人原因造成基金财产损失时，基金管理人应为基金的利益向基金托管人追偿。除基金管理人和托管人之外的第三方造成基金财产的损失，由基金管理人负</w:t>
      </w:r>
      <w:r>
        <w:rPr>
          <w:sz w:val="21"/>
        </w:rPr>
        <w:t>责向差错方追偿；</w:t>
      </w:r>
    </w:p>
    <w:p>
      <w:pPr>
        <w:pStyle w:val="ListParagraph"/>
        <w:numPr>
          <w:ilvl w:val="0"/>
          <w:numId w:val="23"/>
        </w:numPr>
        <w:tabs>
          <w:tab w:pos="1347" w:val="left" w:leader="none"/>
        </w:tabs>
        <w:spacing w:line="364" w:lineRule="auto" w:before="0" w:after="0"/>
        <w:ind w:left="400" w:right="418" w:firstLine="420"/>
        <w:jc w:val="both"/>
        <w:rPr>
          <w:sz w:val="21"/>
        </w:rPr>
      </w:pPr>
      <w:r>
        <w:rPr>
          <w:sz w:val="21"/>
        </w:rPr>
        <w:t>如果出现差错的当事人未按规定对受损方进行赔偿，并且依据法律、行政法规、</w:t>
      </w:r>
      <w:r>
        <w:rPr>
          <w:spacing w:val="-8"/>
          <w:sz w:val="21"/>
        </w:rPr>
        <w:t>本基金合同或其他规定，基金管理人或基金托管人自行或依据法院判决、仲裁裁决对受损方</w:t>
      </w:r>
      <w:r>
        <w:rPr>
          <w:spacing w:val="-9"/>
          <w:sz w:val="21"/>
        </w:rPr>
        <w:t>承担了赔偿责任，则基金管理人或基金托管人有权向出现差错的当事人进行追索，并有权要</w:t>
      </w:r>
      <w:r>
        <w:rPr>
          <w:sz w:val="21"/>
        </w:rPr>
        <w:t>求其赔偿或补偿由此发生的费用和遭受的损失；</w:t>
      </w:r>
    </w:p>
    <w:p>
      <w:pPr>
        <w:pStyle w:val="ListParagraph"/>
        <w:numPr>
          <w:ilvl w:val="0"/>
          <w:numId w:val="23"/>
        </w:numPr>
        <w:tabs>
          <w:tab w:pos="1346" w:val="left" w:leader="none"/>
        </w:tabs>
        <w:spacing w:line="267" w:lineRule="exact" w:before="0" w:after="0"/>
        <w:ind w:left="1346" w:right="0" w:hanging="526"/>
        <w:jc w:val="left"/>
        <w:rPr>
          <w:sz w:val="21"/>
        </w:rPr>
      </w:pPr>
      <w:r>
        <w:rPr>
          <w:sz w:val="21"/>
        </w:rPr>
        <w:t>按法律法规规定的其他原则处理差错。</w:t>
      </w:r>
    </w:p>
    <w:p>
      <w:pPr>
        <w:pStyle w:val="BodyText"/>
        <w:spacing w:before="137"/>
      </w:pPr>
      <w:r>
        <w:rPr/>
        <w:t>4、差错处理程序</w:t>
      </w:r>
    </w:p>
    <w:p>
      <w:pPr>
        <w:pStyle w:val="BodyText"/>
        <w:spacing w:before="140"/>
      </w:pPr>
      <w:r>
        <w:rPr/>
        <w:t>差错被发现后，有关的当事人应当及时进行处理，处理的程序如下：</w:t>
      </w:r>
    </w:p>
    <w:p>
      <w:pPr>
        <w:pStyle w:val="ListParagraph"/>
        <w:numPr>
          <w:ilvl w:val="0"/>
          <w:numId w:val="24"/>
        </w:numPr>
        <w:tabs>
          <w:tab w:pos="1346" w:val="left" w:leader="none"/>
        </w:tabs>
        <w:spacing w:line="240" w:lineRule="auto" w:before="139" w:after="0"/>
        <w:ind w:left="1346" w:right="0" w:hanging="526"/>
        <w:jc w:val="left"/>
        <w:rPr>
          <w:sz w:val="21"/>
        </w:rPr>
      </w:pPr>
      <w:r>
        <w:rPr>
          <w:sz w:val="21"/>
        </w:rPr>
        <w:t>查明差错发生的原因，列明所有当事人，根据差错发生的原因确定差错责任方；</w:t>
      </w:r>
    </w:p>
    <w:p>
      <w:pPr>
        <w:pStyle w:val="ListParagraph"/>
        <w:numPr>
          <w:ilvl w:val="0"/>
          <w:numId w:val="24"/>
        </w:numPr>
        <w:tabs>
          <w:tab w:pos="1346" w:val="left" w:leader="none"/>
        </w:tabs>
        <w:spacing w:line="240" w:lineRule="auto" w:before="140" w:after="0"/>
        <w:ind w:left="1346" w:right="0" w:hanging="526"/>
        <w:jc w:val="left"/>
        <w:rPr>
          <w:sz w:val="21"/>
        </w:rPr>
      </w:pPr>
      <w:r>
        <w:rPr>
          <w:sz w:val="21"/>
        </w:rPr>
        <w:t>根据差错处理原则或当事人协商的方法对因差错造成的损失进行评估；</w:t>
      </w:r>
    </w:p>
    <w:p>
      <w:pPr>
        <w:pStyle w:val="ListParagraph"/>
        <w:numPr>
          <w:ilvl w:val="0"/>
          <w:numId w:val="24"/>
        </w:numPr>
        <w:tabs>
          <w:tab w:pos="1346" w:val="left" w:leader="none"/>
        </w:tabs>
        <w:spacing w:line="240" w:lineRule="auto" w:before="139" w:after="0"/>
        <w:ind w:left="1346" w:right="0" w:hanging="526"/>
        <w:jc w:val="left"/>
        <w:rPr>
          <w:sz w:val="21"/>
        </w:rPr>
      </w:pPr>
      <w:r>
        <w:rPr>
          <w:sz w:val="21"/>
        </w:rPr>
        <w:t>根据差错处理原则或当事人协商的方法由差错的责任方进行更正和赔偿损失；</w:t>
      </w:r>
    </w:p>
    <w:p>
      <w:pPr>
        <w:pStyle w:val="ListParagraph"/>
        <w:numPr>
          <w:ilvl w:val="0"/>
          <w:numId w:val="24"/>
        </w:numPr>
        <w:tabs>
          <w:tab w:pos="1347" w:val="left" w:leader="none"/>
        </w:tabs>
        <w:spacing w:line="364" w:lineRule="auto" w:before="140" w:after="0"/>
        <w:ind w:left="400" w:right="418" w:firstLine="420"/>
        <w:jc w:val="left"/>
        <w:rPr>
          <w:sz w:val="21"/>
        </w:rPr>
      </w:pPr>
      <w:r>
        <w:rPr>
          <w:sz w:val="21"/>
        </w:rPr>
        <w:t>根据差错处理的方法，需要修改基金注册登记人的交易数据的，由基金注册登记人进行更正，并就差错的更正向有关当事人进行确认；</w:t>
      </w:r>
    </w:p>
    <w:p>
      <w:pPr>
        <w:pStyle w:val="ListParagraph"/>
        <w:numPr>
          <w:ilvl w:val="0"/>
          <w:numId w:val="24"/>
        </w:numPr>
        <w:tabs>
          <w:tab w:pos="1347" w:val="left" w:leader="none"/>
        </w:tabs>
        <w:spacing w:line="364" w:lineRule="auto" w:before="0" w:after="0"/>
        <w:ind w:left="400" w:right="418" w:firstLine="420"/>
        <w:jc w:val="left"/>
        <w:rPr>
          <w:sz w:val="21"/>
        </w:rPr>
      </w:pPr>
      <w:r>
        <w:rPr>
          <w:sz w:val="21"/>
        </w:rPr>
        <w:t>基金管理人及基金托管人计价错误达到基金份额净值0.5%时，基金管理人应当公告，并报中国证监会备案。</w:t>
      </w:r>
    </w:p>
    <w:p>
      <w:pPr>
        <w:pStyle w:val="Heading3"/>
      </w:pPr>
      <w:bookmarkStart w:name="_bookmark70" w:id="71"/>
      <w:bookmarkEnd w:id="71"/>
      <w:r>
        <w:rPr/>
      </w:r>
      <w:r>
        <w:rPr/>
        <w:t>（九）特殊情形的处理</w:t>
      </w:r>
    </w:p>
    <w:p>
      <w:pPr>
        <w:pStyle w:val="BodyText"/>
        <w:spacing w:line="364" w:lineRule="auto" w:before="184"/>
        <w:ind w:left="400" w:right="418" w:firstLine="420"/>
        <w:jc w:val="both"/>
      </w:pPr>
      <w:r>
        <w:rPr/>
        <w:t>1、基金管理人按本条第（四）</w:t>
      </w:r>
      <w:r>
        <w:rPr>
          <w:spacing w:val="-18"/>
        </w:rPr>
        <w:t>项第 </w:t>
      </w:r>
      <w:r>
        <w:rPr/>
        <w:t>6</w:t>
      </w:r>
      <w:r>
        <w:rPr>
          <w:spacing w:val="-8"/>
        </w:rPr>
        <w:t> 条款进行估值时，所造成的误差不作为基金份额净值错误处理。</w:t>
      </w:r>
    </w:p>
    <w:p>
      <w:pPr>
        <w:pStyle w:val="BodyText"/>
        <w:spacing w:line="364" w:lineRule="auto"/>
        <w:ind w:left="400" w:right="41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人和基金托管人虽然已经采取必要、适当、合理的措施进行检查，但未能发现错误的，由此造成的基金财产估值错误，基金管理人和基金托管人可以免除赔偿责任。但基金管理人应当</w:t>
      </w:r>
    </w:p>
    <w:p>
      <w:pPr>
        <w:spacing w:after="0" w:line="364" w:lineRule="auto"/>
        <w:jc w:val="both"/>
        <w:sectPr>
          <w:pgSz w:w="11910" w:h="16840"/>
          <w:pgMar w:header="0" w:footer="910" w:top="1380" w:bottom="1180" w:left="1400" w:right="1380"/>
        </w:sectPr>
      </w:pPr>
    </w:p>
    <w:p>
      <w:pPr>
        <w:pStyle w:val="BodyText"/>
        <w:spacing w:before="45"/>
        <w:ind w:left="400"/>
      </w:pPr>
      <w:r>
        <w:rPr/>
        <w:t>积极采取必要的措施消除由此造成的影响。</w:t>
      </w:r>
    </w:p>
    <w:p>
      <w:pPr>
        <w:spacing w:after="0"/>
        <w:sectPr>
          <w:pgSz w:w="11910" w:h="16840"/>
          <w:pgMar w:header="0" w:footer="910" w:top="1380" w:bottom="1180" w:left="1400" w:right="1380"/>
        </w:sectPr>
      </w:pPr>
    </w:p>
    <w:p>
      <w:pPr>
        <w:pStyle w:val="BodyText"/>
        <w:spacing w:before="8"/>
        <w:ind w:left="0"/>
        <w:rPr>
          <w:sz w:val="15"/>
        </w:rPr>
      </w:pPr>
    </w:p>
    <w:p>
      <w:pPr>
        <w:pStyle w:val="Heading1"/>
        <w:spacing w:line="538" w:lineRule="exact"/>
      </w:pPr>
      <w:bookmarkStart w:name="_bookmark71" w:id="72"/>
      <w:bookmarkEnd w:id="72"/>
      <w:r>
        <w:rPr>
          <w:b w:val="0"/>
        </w:rPr>
      </w:r>
      <w:r>
        <w:rPr/>
        <w:t>十六、基金的收益与分配</w:t>
      </w:r>
    </w:p>
    <w:p>
      <w:pPr>
        <w:pStyle w:val="Heading2"/>
        <w:spacing w:before="46"/>
        <w:ind w:left="960"/>
      </w:pPr>
      <w:bookmarkStart w:name="_bookmark72" w:id="73"/>
      <w:bookmarkEnd w:id="73"/>
      <w:r>
        <w:rPr>
          <w:b w:val="0"/>
        </w:rPr>
      </w:r>
      <w:r>
        <w:rPr/>
        <w:t>（一）收益的构成</w:t>
      </w:r>
    </w:p>
    <w:p>
      <w:pPr>
        <w:pStyle w:val="BodyText"/>
        <w:spacing w:line="364" w:lineRule="auto" w:before="121"/>
        <w:ind w:left="400" w:right="418" w:firstLine="420"/>
      </w:pPr>
      <w:r>
        <w:rPr/>
        <w:t>1、基金收益包括：基金投资所得红利、股息、债券利息、买卖证券差价、银行存款利息以及其他收入。</w:t>
      </w:r>
    </w:p>
    <w:p>
      <w:pPr>
        <w:pStyle w:val="BodyText"/>
        <w:spacing w:line="268" w:lineRule="exact"/>
      </w:pPr>
      <w:r>
        <w:rPr/>
        <w:t>2、因运用基金财产带来的成本或费用的节约应计入收益。</w:t>
      </w:r>
    </w:p>
    <w:p>
      <w:pPr>
        <w:pStyle w:val="BodyText"/>
        <w:spacing w:line="364" w:lineRule="auto" w:before="140"/>
        <w:ind w:left="400" w:right="418" w:firstLine="420"/>
      </w:pPr>
      <w:r>
        <w:rPr/>
        <w:t>3、基金净收益为基金收益扣除按照有关规定可以在基金收益中扣除的费用等项目后的余额。</w:t>
      </w:r>
    </w:p>
    <w:p>
      <w:pPr>
        <w:pStyle w:val="Heading2"/>
        <w:spacing w:line="423" w:lineRule="exact"/>
        <w:ind w:left="960"/>
      </w:pPr>
      <w:bookmarkStart w:name="_bookmark73" w:id="74"/>
      <w:bookmarkEnd w:id="74"/>
      <w:r>
        <w:rPr>
          <w:b w:val="0"/>
        </w:rPr>
      </w:r>
      <w:r>
        <w:rPr/>
        <w:t>（二）收益分配原则</w:t>
      </w:r>
    </w:p>
    <w:p>
      <w:pPr>
        <w:pStyle w:val="BodyText"/>
        <w:spacing w:line="364" w:lineRule="auto" w:before="121"/>
        <w:ind w:left="400" w:right="418" w:firstLine="420"/>
        <w:jc w:val="both"/>
      </w:pPr>
      <w:r>
        <w:rPr/>
        <w:t>1、基金收益分配采用现金方式或红利再投资方式（指现金红利按红利发放日前一工作日的基金份额净值自动转为基金份额进行再投资</w:t>
      </w:r>
      <w:r>
        <w:rPr>
          <w:spacing w:val="-48"/>
        </w:rPr>
        <w:t>）</w:t>
      </w:r>
      <w:r>
        <w:rPr>
          <w:spacing w:val="-8"/>
        </w:rPr>
        <w:t>，基金份额持有人可选择现金方式或红利</w:t>
      </w:r>
      <w:r>
        <w:rPr/>
        <w:t>再投资方式；基金份额持有人事先未做出选择的，默认的分红方式为现金红利；</w:t>
      </w:r>
    </w:p>
    <w:p>
      <w:pPr>
        <w:pStyle w:val="BodyText"/>
        <w:spacing w:line="268" w:lineRule="exact"/>
      </w:pPr>
      <w:r>
        <w:rPr/>
        <w:t>2、每一基金份额享有同等分配权；</w:t>
      </w:r>
    </w:p>
    <w:p>
      <w:pPr>
        <w:pStyle w:val="BodyText"/>
        <w:spacing w:before="139"/>
      </w:pPr>
      <w:r>
        <w:rPr/>
        <w:t>3、基金当期收益先弥补上期亏损后，方可进行当期收益分配；</w:t>
      </w:r>
    </w:p>
    <w:p>
      <w:pPr>
        <w:pStyle w:val="BodyText"/>
        <w:spacing w:before="140"/>
      </w:pPr>
      <w:r>
        <w:rPr/>
        <w:t>4、如果基金当期出现亏损，则不进行收益分配；</w:t>
      </w:r>
    </w:p>
    <w:p>
      <w:pPr>
        <w:pStyle w:val="BodyText"/>
        <w:spacing w:before="139"/>
      </w:pPr>
      <w:r>
        <w:rPr/>
        <w:t>5、基金收益分配后每份基金份额的净值不能低于面值；</w:t>
      </w:r>
    </w:p>
    <w:p>
      <w:pPr>
        <w:pStyle w:val="BodyText"/>
        <w:spacing w:line="364" w:lineRule="auto" w:before="140"/>
        <w:ind w:left="400" w:right="417" w:firstLine="420"/>
        <w:jc w:val="both"/>
      </w:pPr>
      <w:r>
        <w:rPr/>
        <w:t>6、在符合有关基金分红条件的前提下，本基金每年收益分配次数最多为十二次，全年</w:t>
      </w:r>
      <w:r>
        <w:rPr>
          <w:spacing w:val="-3"/>
        </w:rPr>
        <w:t>分配比例不得低于年度可供分配收益的 </w:t>
      </w:r>
      <w:r>
        <w:rPr>
          <w:spacing w:val="-4"/>
        </w:rPr>
        <w:t>10%</w:t>
      </w:r>
      <w:r>
        <w:rPr>
          <w:spacing w:val="-10"/>
        </w:rPr>
        <w:t>，若《基金合同》生效不满 </w:t>
      </w:r>
      <w:r>
        <w:rPr/>
        <w:t>3</w:t>
      </w:r>
      <w:r>
        <w:rPr>
          <w:spacing w:val="-9"/>
        </w:rPr>
        <w:t> 个月可不进行收益</w:t>
      </w:r>
      <w:r>
        <w:rPr/>
        <w:t>分配；</w:t>
      </w:r>
    </w:p>
    <w:p>
      <w:pPr>
        <w:pStyle w:val="BodyText"/>
        <w:spacing w:line="364" w:lineRule="auto"/>
        <w:ind w:left="400" w:right="418" w:firstLine="420"/>
        <w:jc w:val="both"/>
      </w:pPr>
      <w:r>
        <w:rPr/>
        <w:t>7</w:t>
      </w:r>
      <w:r>
        <w:rPr>
          <w:spacing w:val="-12"/>
        </w:rPr>
        <w:t>、原基金科讯终止上市后,基金注册登记人由中国证券登记结算有限责任公司更换为易</w:t>
      </w:r>
      <w:r>
        <w:rPr/>
        <w:t>方达基金管理有限公司,基金份额持有人需要对原持有的基金份额进行确认和重新登记,方可通过其办理确权业务的相关销售机构办理赎回等业务。在投资者办理确权登记之前,如本基金进行收益分配,则未办理确权手续的基金份额产生相应的基金权益将以红利再投资方式进行处理,分红后基金份额继续托管在易方达基金管理有限公司登记注册中心,直至投资者办理确权登记。</w:t>
      </w:r>
    </w:p>
    <w:p>
      <w:pPr>
        <w:pStyle w:val="BodyText"/>
        <w:spacing w:line="266" w:lineRule="exact"/>
      </w:pPr>
      <w:r>
        <w:rPr/>
        <w:t>8、法律、法规或监管机构另有规定的，从其规定。</w:t>
      </w:r>
    </w:p>
    <w:p>
      <w:pPr>
        <w:pStyle w:val="Heading2"/>
        <w:spacing w:before="46"/>
        <w:ind w:left="960"/>
      </w:pPr>
      <w:bookmarkStart w:name="_bookmark74" w:id="75"/>
      <w:bookmarkEnd w:id="75"/>
      <w:r>
        <w:rPr>
          <w:b w:val="0"/>
        </w:rPr>
      </w:r>
      <w:r>
        <w:rPr/>
        <w:t>（三）收益分配方案</w:t>
      </w:r>
    </w:p>
    <w:p>
      <w:pPr>
        <w:pStyle w:val="BodyText"/>
        <w:spacing w:before="122"/>
      </w:pPr>
      <w:r>
        <w:rPr/>
        <w:t>基金收益分配方案中载明基金收益分配对象、分配时间、分配数额、分配方式等内容。</w:t>
      </w:r>
    </w:p>
    <w:p>
      <w:pPr>
        <w:pStyle w:val="Heading2"/>
        <w:spacing w:before="48"/>
        <w:ind w:left="960"/>
      </w:pPr>
      <w:bookmarkStart w:name="_bookmark75" w:id="76"/>
      <w:bookmarkEnd w:id="76"/>
      <w:r>
        <w:rPr>
          <w:b w:val="0"/>
        </w:rPr>
      </w:r>
      <w:r>
        <w:rPr/>
        <w:t>（四）收益分配方案的确定与公告</w:t>
      </w:r>
    </w:p>
    <w:p>
      <w:pPr>
        <w:pStyle w:val="BodyText"/>
        <w:spacing w:before="121"/>
      </w:pPr>
      <w:r>
        <w:rPr/>
        <w:t>基金收益分配方案由基金管理人拟定，并由基金托管人核实后确定，基金管理人应在 2</w:t>
      </w:r>
    </w:p>
    <w:p>
      <w:pPr>
        <w:pStyle w:val="BodyText"/>
        <w:spacing w:before="139"/>
        <w:ind w:left="400"/>
      </w:pPr>
      <w:r>
        <w:rPr/>
        <w:t>日内公告。</w:t>
      </w:r>
    </w:p>
    <w:p>
      <w:pPr>
        <w:spacing w:after="0"/>
        <w:sectPr>
          <w:pgSz w:w="11910" w:h="16840"/>
          <w:pgMar w:header="0" w:footer="910" w:top="1580" w:bottom="1180" w:left="1400" w:right="1380"/>
        </w:sectPr>
      </w:pPr>
    </w:p>
    <w:p>
      <w:pPr>
        <w:pStyle w:val="Heading2"/>
        <w:spacing w:line="469" w:lineRule="exact"/>
        <w:ind w:left="960"/>
      </w:pPr>
      <w:bookmarkStart w:name="_bookmark76" w:id="77"/>
      <w:bookmarkEnd w:id="77"/>
      <w:r>
        <w:rPr>
          <w:b w:val="0"/>
        </w:rPr>
      </w:r>
      <w:r>
        <w:rPr/>
        <w:t>（五）收益分配中发生的费用</w:t>
      </w:r>
    </w:p>
    <w:p>
      <w:pPr>
        <w:pStyle w:val="BodyText"/>
        <w:spacing w:line="364" w:lineRule="auto" w:before="121"/>
        <w:ind w:left="400" w:right="418" w:firstLine="420"/>
        <w:jc w:val="both"/>
      </w:pPr>
      <w:r>
        <w:rPr/>
        <w:t>1、收益分配采用红利再投资方式免收再投资的费用；采用现金分红方式，则可从分红</w:t>
      </w:r>
      <w:r>
        <w:rPr>
          <w:spacing w:val="-5"/>
        </w:rPr>
        <w:t>现金中提取一定的数额或者比例用于支付注册登记作业手续费，如收取该项费用，具体提取</w:t>
      </w:r>
      <w:r>
        <w:rPr/>
        <w:t>标准和方法在招募说明书或其他公告中列示。</w:t>
      </w:r>
    </w:p>
    <w:p>
      <w:pPr>
        <w:pStyle w:val="BodyText"/>
        <w:spacing w:line="268" w:lineRule="exact"/>
      </w:pPr>
      <w:r>
        <w:rPr/>
        <w:t>2、收益分配时发生的银行转账等手续费用由基金份额持有人自行承担。</w:t>
      </w:r>
    </w:p>
    <w:p>
      <w:pPr>
        <w:pStyle w:val="BodyText"/>
        <w:spacing w:line="364" w:lineRule="auto" w:before="139"/>
        <w:ind w:left="400" w:right="418" w:firstLine="420"/>
        <w:jc w:val="both"/>
      </w:pPr>
      <w:r>
        <w:rPr/>
        <w:t>3、当投资者的现金红利小于一定金额，不足于支付银行转账或其他手续费用时，基金注册登记机构可将基金份额持有人的现金红利按红利发放日前一工作日的基金份额净值自动转为基金份额。红利再投资的计算方法，依照《业务规则》执行。</w:t>
      </w:r>
    </w:p>
    <w:p>
      <w:pPr>
        <w:spacing w:after="0" w:line="364" w:lineRule="auto"/>
        <w:jc w:val="both"/>
        <w:sectPr>
          <w:pgSz w:w="11910" w:h="16840"/>
          <w:pgMar w:header="0" w:footer="910" w:top="1380" w:bottom="1180" w:left="1400" w:right="1380"/>
        </w:sectPr>
      </w:pPr>
    </w:p>
    <w:p>
      <w:pPr>
        <w:pStyle w:val="Heading1"/>
      </w:pPr>
      <w:bookmarkStart w:name="_bookmark77" w:id="78"/>
      <w:bookmarkEnd w:id="78"/>
      <w:r>
        <w:rPr>
          <w:b w:val="0"/>
        </w:rPr>
      </w:r>
      <w:r>
        <w:rPr/>
        <w:t>十七、基金的费用与税收</w:t>
      </w:r>
    </w:p>
    <w:p>
      <w:pPr>
        <w:pStyle w:val="Heading2"/>
        <w:spacing w:before="46"/>
      </w:pPr>
      <w:bookmarkStart w:name="_bookmark78" w:id="79"/>
      <w:bookmarkEnd w:id="79"/>
      <w:r>
        <w:rPr>
          <w:b w:val="0"/>
        </w:rPr>
      </w:r>
      <w:r>
        <w:rPr/>
        <w:t>（一）与基金运作有关的费用</w:t>
      </w:r>
    </w:p>
    <w:p>
      <w:pPr>
        <w:pStyle w:val="BodyText"/>
        <w:spacing w:before="121"/>
        <w:ind w:left="400"/>
      </w:pPr>
      <w:r>
        <w:rPr/>
        <w:t>1、基金费用的种类</w:t>
      </w:r>
    </w:p>
    <w:p>
      <w:pPr>
        <w:pStyle w:val="ListParagraph"/>
        <w:numPr>
          <w:ilvl w:val="0"/>
          <w:numId w:val="25"/>
        </w:numPr>
        <w:tabs>
          <w:tab w:pos="1240" w:val="left" w:leader="none"/>
        </w:tabs>
        <w:spacing w:line="240" w:lineRule="auto" w:before="140" w:after="0"/>
        <w:ind w:left="1240" w:right="0" w:hanging="420"/>
        <w:jc w:val="left"/>
        <w:rPr>
          <w:sz w:val="21"/>
        </w:rPr>
      </w:pPr>
      <w:r>
        <w:rPr>
          <w:sz w:val="21"/>
        </w:rPr>
        <w:t>基金管理人的管理费；</w:t>
      </w:r>
    </w:p>
    <w:p>
      <w:pPr>
        <w:pStyle w:val="ListParagraph"/>
        <w:numPr>
          <w:ilvl w:val="0"/>
          <w:numId w:val="25"/>
        </w:numPr>
        <w:tabs>
          <w:tab w:pos="1240" w:val="left" w:leader="none"/>
        </w:tabs>
        <w:spacing w:line="240" w:lineRule="auto" w:before="139" w:after="0"/>
        <w:ind w:left="1240" w:right="0" w:hanging="420"/>
        <w:jc w:val="left"/>
        <w:rPr>
          <w:sz w:val="21"/>
        </w:rPr>
      </w:pPr>
      <w:r>
        <w:rPr>
          <w:sz w:val="21"/>
        </w:rPr>
        <w:t>基金托管人的托管费；</w:t>
      </w:r>
    </w:p>
    <w:p>
      <w:pPr>
        <w:pStyle w:val="ListParagraph"/>
        <w:numPr>
          <w:ilvl w:val="0"/>
          <w:numId w:val="25"/>
        </w:numPr>
        <w:tabs>
          <w:tab w:pos="1240" w:val="left" w:leader="none"/>
        </w:tabs>
        <w:spacing w:line="240" w:lineRule="auto" w:before="140" w:after="0"/>
        <w:ind w:left="1240" w:right="0" w:hanging="420"/>
        <w:jc w:val="left"/>
        <w:rPr>
          <w:sz w:val="21"/>
        </w:rPr>
      </w:pPr>
      <w:r>
        <w:rPr>
          <w:sz w:val="21"/>
        </w:rPr>
        <w:t>基金的证券交易费用；</w:t>
      </w:r>
    </w:p>
    <w:p>
      <w:pPr>
        <w:pStyle w:val="ListParagraph"/>
        <w:numPr>
          <w:ilvl w:val="0"/>
          <w:numId w:val="25"/>
        </w:numPr>
        <w:tabs>
          <w:tab w:pos="1240" w:val="left" w:leader="none"/>
        </w:tabs>
        <w:spacing w:line="240" w:lineRule="auto" w:before="139" w:after="0"/>
        <w:ind w:left="1240" w:right="0" w:hanging="420"/>
        <w:jc w:val="left"/>
        <w:rPr>
          <w:sz w:val="21"/>
        </w:rPr>
      </w:pPr>
      <w:r>
        <w:rPr>
          <w:sz w:val="21"/>
        </w:rPr>
        <w:t>信息披露费用；</w:t>
      </w:r>
    </w:p>
    <w:p>
      <w:pPr>
        <w:pStyle w:val="ListParagraph"/>
        <w:numPr>
          <w:ilvl w:val="0"/>
          <w:numId w:val="25"/>
        </w:numPr>
        <w:tabs>
          <w:tab w:pos="1240" w:val="left" w:leader="none"/>
        </w:tabs>
        <w:spacing w:line="240" w:lineRule="auto" w:before="140" w:after="0"/>
        <w:ind w:left="1240" w:right="0" w:hanging="420"/>
        <w:jc w:val="left"/>
        <w:rPr>
          <w:sz w:val="21"/>
        </w:rPr>
      </w:pPr>
      <w:r>
        <w:rPr>
          <w:sz w:val="21"/>
        </w:rPr>
        <w:t>基金份额持有人大会费用；</w:t>
      </w:r>
    </w:p>
    <w:p>
      <w:pPr>
        <w:pStyle w:val="ListParagraph"/>
        <w:numPr>
          <w:ilvl w:val="0"/>
          <w:numId w:val="25"/>
        </w:numPr>
        <w:tabs>
          <w:tab w:pos="1240" w:val="left" w:leader="none"/>
        </w:tabs>
        <w:spacing w:line="240" w:lineRule="auto" w:before="139" w:after="0"/>
        <w:ind w:left="1240" w:right="0" w:hanging="420"/>
        <w:jc w:val="left"/>
        <w:rPr>
          <w:sz w:val="21"/>
        </w:rPr>
      </w:pPr>
      <w:r>
        <w:rPr>
          <w:sz w:val="21"/>
        </w:rPr>
        <w:t>会计师费和律师费；</w:t>
      </w:r>
    </w:p>
    <w:p>
      <w:pPr>
        <w:pStyle w:val="ListParagraph"/>
        <w:numPr>
          <w:ilvl w:val="0"/>
          <w:numId w:val="25"/>
        </w:numPr>
        <w:tabs>
          <w:tab w:pos="1240" w:val="left" w:leader="none"/>
        </w:tabs>
        <w:spacing w:line="364" w:lineRule="auto" w:before="140" w:after="0"/>
        <w:ind w:left="400" w:right="418" w:firstLine="420"/>
        <w:jc w:val="left"/>
        <w:rPr>
          <w:sz w:val="21"/>
        </w:rPr>
      </w:pPr>
      <w:r>
        <w:rPr>
          <w:spacing w:val="-7"/>
          <w:sz w:val="21"/>
        </w:rPr>
        <w:t>在中国证监会有明确规定的情况下，基金管理人按照有关规定收取的基金持续销售</w:t>
      </w:r>
      <w:r>
        <w:rPr>
          <w:sz w:val="21"/>
        </w:rPr>
        <w:t>和服务基金份额持有人的销售服务费；</w:t>
      </w:r>
    </w:p>
    <w:p>
      <w:pPr>
        <w:pStyle w:val="ListParagraph"/>
        <w:numPr>
          <w:ilvl w:val="0"/>
          <w:numId w:val="25"/>
        </w:numPr>
        <w:tabs>
          <w:tab w:pos="1240" w:val="left" w:leader="none"/>
        </w:tabs>
        <w:spacing w:line="268" w:lineRule="exact" w:before="0" w:after="0"/>
        <w:ind w:left="1240" w:right="0" w:hanging="420"/>
        <w:jc w:val="left"/>
        <w:rPr>
          <w:sz w:val="21"/>
        </w:rPr>
      </w:pPr>
      <w:r>
        <w:rPr>
          <w:sz w:val="21"/>
        </w:rPr>
        <w:t>基金银行汇划费用；</w:t>
      </w:r>
    </w:p>
    <w:p>
      <w:pPr>
        <w:pStyle w:val="ListParagraph"/>
        <w:numPr>
          <w:ilvl w:val="0"/>
          <w:numId w:val="25"/>
        </w:numPr>
        <w:tabs>
          <w:tab w:pos="1240" w:val="left" w:leader="none"/>
        </w:tabs>
        <w:spacing w:line="364" w:lineRule="auto" w:before="139" w:after="0"/>
        <w:ind w:left="820" w:right="2635" w:firstLine="0"/>
        <w:jc w:val="left"/>
        <w:rPr>
          <w:sz w:val="21"/>
        </w:rPr>
      </w:pPr>
      <w:r>
        <w:rPr>
          <w:spacing w:val="-1"/>
          <w:sz w:val="21"/>
        </w:rPr>
        <w:t>按照国家有关规定和基金合同约定可以列入的其他费用。</w:t>
      </w:r>
      <w:r>
        <w:rPr>
          <w:sz w:val="21"/>
        </w:rPr>
        <w:t>上述费用从基金财产中支付。</w:t>
      </w:r>
    </w:p>
    <w:p>
      <w:pPr>
        <w:pStyle w:val="BodyText"/>
        <w:spacing w:line="268" w:lineRule="exact"/>
      </w:pPr>
      <w:r>
        <w:rPr/>
        <w:t>本基金终止清算时所发生费用，按实际支出额从基金财产总值中扣除。</w:t>
      </w:r>
    </w:p>
    <w:p>
      <w:pPr>
        <w:pStyle w:val="BodyText"/>
        <w:spacing w:before="139"/>
      </w:pPr>
      <w:r>
        <w:rPr/>
        <w:t>2、基金费用计提方法、计提标准和支付方式</w:t>
      </w:r>
    </w:p>
    <w:p>
      <w:pPr>
        <w:pStyle w:val="ListParagraph"/>
        <w:numPr>
          <w:ilvl w:val="0"/>
          <w:numId w:val="26"/>
        </w:numPr>
        <w:tabs>
          <w:tab w:pos="1240" w:val="left" w:leader="none"/>
        </w:tabs>
        <w:spacing w:line="240" w:lineRule="auto" w:before="140" w:after="0"/>
        <w:ind w:left="1240" w:right="0" w:hanging="420"/>
        <w:jc w:val="left"/>
        <w:rPr>
          <w:sz w:val="21"/>
        </w:rPr>
      </w:pPr>
      <w:r>
        <w:rPr>
          <w:sz w:val="21"/>
        </w:rPr>
        <w:t>基金管理人的管理费</w:t>
      </w:r>
    </w:p>
    <w:p>
      <w:pPr>
        <w:pStyle w:val="BodyText"/>
        <w:spacing w:line="364" w:lineRule="auto" w:before="139"/>
        <w:ind w:right="418"/>
      </w:pPr>
      <w:r>
        <w:rPr/>
        <w:t>本基金的管理费按前一日基金资产净值的 1.5%年费率计提。管理费的计算方法如下： H＝E×1.5%÷当年天数</w:t>
      </w:r>
    </w:p>
    <w:p>
      <w:pPr>
        <w:pStyle w:val="BodyText"/>
        <w:spacing w:line="364" w:lineRule="auto"/>
        <w:ind w:right="5626"/>
      </w:pPr>
      <w:r>
        <w:rPr/>
        <w:t>H</w:t>
      </w:r>
      <w:r>
        <w:rPr>
          <w:spacing w:val="-9"/>
        </w:rPr>
        <w:t> 为每日应计提的基金管理费</w:t>
      </w:r>
      <w:r>
        <w:rPr/>
        <w:t>E</w:t>
      </w:r>
      <w:r>
        <w:rPr>
          <w:spacing w:val="-8"/>
        </w:rPr>
        <w:t> 为前一日的基金资产净值</w:t>
      </w:r>
    </w:p>
    <w:p>
      <w:pPr>
        <w:pStyle w:val="BodyText"/>
        <w:spacing w:line="364" w:lineRule="auto"/>
        <w:ind w:left="400" w:right="417" w:firstLine="420"/>
        <w:jc w:val="both"/>
      </w:pPr>
      <w:r>
        <w:rPr>
          <w:spacing w:val="-9"/>
        </w:rPr>
        <w:t>基金管理费每日计算，逐日累计至每月月末，按月支付，由基金管理人向基金托管人发</w:t>
      </w:r>
      <w:r>
        <w:rPr>
          <w:spacing w:val="-3"/>
        </w:rPr>
        <w:t>送基金管理费划款指令，基金托管人复核后于次月首日起 </w:t>
      </w:r>
      <w:r>
        <w:rPr/>
        <w:t>15</w:t>
      </w:r>
      <w:r>
        <w:rPr>
          <w:spacing w:val="-8"/>
        </w:rPr>
        <w:t> 个工作日内从基金财产中一次性支付给基金管理人。</w:t>
      </w:r>
    </w:p>
    <w:p>
      <w:pPr>
        <w:pStyle w:val="ListParagraph"/>
        <w:numPr>
          <w:ilvl w:val="0"/>
          <w:numId w:val="26"/>
        </w:numPr>
        <w:tabs>
          <w:tab w:pos="1240" w:val="left" w:leader="none"/>
        </w:tabs>
        <w:spacing w:line="268" w:lineRule="exact" w:before="0" w:after="0"/>
        <w:ind w:left="1240" w:right="0" w:hanging="420"/>
        <w:jc w:val="both"/>
        <w:rPr>
          <w:sz w:val="21"/>
        </w:rPr>
      </w:pPr>
      <w:r>
        <w:rPr>
          <w:sz w:val="21"/>
        </w:rPr>
        <w:t>基金托管人的托管费</w:t>
      </w:r>
    </w:p>
    <w:p>
      <w:pPr>
        <w:pStyle w:val="BodyText"/>
        <w:spacing w:line="364" w:lineRule="auto" w:before="138"/>
        <w:ind w:right="313"/>
      </w:pPr>
      <w:r>
        <w:rPr>
          <w:spacing w:val="-3"/>
        </w:rPr>
        <w:t>本基金的托管费按前一日基金资产净值的 </w:t>
      </w:r>
      <w:r>
        <w:rPr/>
        <w:t>2.5‰</w:t>
      </w:r>
      <w:r>
        <w:rPr>
          <w:spacing w:val="-14"/>
        </w:rPr>
        <w:t>的年费率计提。托管费的计算方法如下： </w:t>
      </w:r>
      <w:r>
        <w:rPr/>
        <w:t>H＝E×2.5‰÷当年天数</w:t>
      </w:r>
    </w:p>
    <w:p>
      <w:pPr>
        <w:pStyle w:val="BodyText"/>
        <w:spacing w:line="364" w:lineRule="auto"/>
        <w:ind w:right="5626"/>
      </w:pPr>
      <w:r>
        <w:rPr/>
        <w:t>H</w:t>
      </w:r>
      <w:r>
        <w:rPr>
          <w:spacing w:val="-9"/>
        </w:rPr>
        <w:t> 为每日应计提的基金托管费</w:t>
      </w:r>
      <w:r>
        <w:rPr/>
        <w:t>E</w:t>
      </w:r>
      <w:r>
        <w:rPr>
          <w:spacing w:val="-8"/>
        </w:rPr>
        <w:t> 为前一日的基金资产净值</w:t>
      </w:r>
    </w:p>
    <w:p>
      <w:pPr>
        <w:pStyle w:val="BodyText"/>
        <w:spacing w:line="364" w:lineRule="auto"/>
        <w:ind w:left="400" w:right="417" w:firstLine="420"/>
        <w:jc w:val="both"/>
      </w:pPr>
      <w:r>
        <w:rPr>
          <w:spacing w:val="-9"/>
        </w:rPr>
        <w:t>基金托管费每日计算，逐日累计至每月月末，按月支付，由基金管理人向基金托管人发</w:t>
      </w:r>
      <w:r>
        <w:rPr>
          <w:spacing w:val="-3"/>
        </w:rPr>
        <w:t>送基金托管费划款指令，基金托管人复核后于次月首日起 </w:t>
      </w:r>
      <w:r>
        <w:rPr/>
        <w:t>15</w:t>
      </w:r>
      <w:r>
        <w:rPr>
          <w:spacing w:val="-8"/>
        </w:rPr>
        <w:t> 个工作日内从基金财产中一次性支取。若遇法定节假日、公休日等,支付日期顺延。</w:t>
      </w:r>
    </w:p>
    <w:p>
      <w:pPr>
        <w:pStyle w:val="ListParagraph"/>
        <w:numPr>
          <w:ilvl w:val="0"/>
          <w:numId w:val="26"/>
        </w:numPr>
        <w:tabs>
          <w:tab w:pos="1240" w:val="left" w:leader="none"/>
        </w:tabs>
        <w:spacing w:line="268" w:lineRule="exact" w:before="0" w:after="0"/>
        <w:ind w:left="1240" w:right="0" w:hanging="420"/>
        <w:jc w:val="both"/>
        <w:rPr>
          <w:sz w:val="21"/>
        </w:rPr>
      </w:pPr>
      <w:r>
        <w:rPr>
          <w:spacing w:val="1"/>
          <w:sz w:val="21"/>
        </w:rPr>
        <w:t>上述“</w:t>
      </w:r>
      <w:r>
        <w:rPr>
          <w:sz w:val="21"/>
        </w:rPr>
        <w:t>1</w:t>
      </w:r>
      <w:r>
        <w:rPr>
          <w:spacing w:val="1"/>
          <w:sz w:val="21"/>
        </w:rPr>
        <w:t>.基金费用的种类”中第</w:t>
      </w:r>
      <w:r>
        <w:rPr>
          <w:sz w:val="21"/>
        </w:rPr>
        <w:t>(3)－(9)项费用，根据有关法规及相应协议规定，</w:t>
      </w:r>
    </w:p>
    <w:p>
      <w:pPr>
        <w:spacing w:after="0" w:line="268" w:lineRule="exact"/>
        <w:jc w:val="both"/>
        <w:rPr>
          <w:sz w:val="21"/>
        </w:rPr>
        <w:sectPr>
          <w:pgSz w:w="11910" w:h="16840"/>
          <w:pgMar w:header="0" w:footer="910" w:top="1400" w:bottom="1180" w:left="1400" w:right="1380"/>
        </w:sectPr>
      </w:pPr>
    </w:p>
    <w:p>
      <w:pPr>
        <w:pStyle w:val="BodyText"/>
        <w:spacing w:before="45"/>
        <w:ind w:left="400"/>
      </w:pPr>
      <w:r>
        <w:rPr/>
        <w:t>按费用实际支出金额列入当期费用，由基金托管人从基金财产中支付。</w:t>
      </w:r>
    </w:p>
    <w:p>
      <w:pPr>
        <w:pStyle w:val="BodyText"/>
        <w:spacing w:before="139"/>
        <w:ind w:left="400"/>
      </w:pPr>
      <w:r>
        <w:rPr/>
        <w:t>3、不列入基金费用的项目</w:t>
      </w:r>
    </w:p>
    <w:p>
      <w:pPr>
        <w:pStyle w:val="BodyText"/>
        <w:spacing w:line="364" w:lineRule="auto" w:before="140"/>
        <w:ind w:left="400" w:right="418" w:firstLine="420"/>
        <w:jc w:val="both"/>
      </w:pPr>
      <w:r>
        <w:rPr>
          <w:spacing w:val="2"/>
        </w:rPr>
        <w:t>基金管理人和基金托管人因未履行或未完全履行义务导致的费用支出或基金财产的损</w:t>
      </w:r>
      <w:r>
        <w:rPr>
          <w:spacing w:val="-10"/>
        </w:rPr>
        <w:t>失，以及处理与基金运作无关的事项发生的费用等不列入基金费用。基金合同生效之前的律</w:t>
      </w:r>
      <w:r>
        <w:rPr/>
        <w:t>师费、会计师费和信息披露费用等不得从基金财产中列支。</w:t>
      </w:r>
    </w:p>
    <w:p>
      <w:pPr>
        <w:pStyle w:val="BodyText"/>
        <w:spacing w:line="268" w:lineRule="exact"/>
      </w:pPr>
      <w:r>
        <w:rPr/>
        <w:t>4、基金费用的调整</w:t>
      </w:r>
    </w:p>
    <w:p>
      <w:pPr>
        <w:pStyle w:val="BodyText"/>
        <w:spacing w:line="364" w:lineRule="auto" w:before="139"/>
        <w:ind w:left="400" w:right="418" w:firstLine="420"/>
      </w:pPr>
      <w:r>
        <w:rPr>
          <w:spacing w:val="-5"/>
        </w:rPr>
        <w:t>基金管理人和基金托管人可协商酌情调低基金管理费和基金托管费，无须召开基金份额</w:t>
      </w:r>
      <w:r>
        <w:rPr>
          <w:spacing w:val="-3"/>
        </w:rPr>
        <w:t>持有人大会。基金管理人必须最迟于新的费率实施日前 </w:t>
      </w:r>
      <w:r>
        <w:rPr/>
        <w:t>2</w:t>
      </w:r>
      <w:r>
        <w:rPr>
          <w:spacing w:val="-8"/>
        </w:rPr>
        <w:t> 日在指定媒介上刊登公告。</w:t>
      </w:r>
    </w:p>
    <w:p>
      <w:pPr>
        <w:pStyle w:val="BodyText"/>
        <w:spacing w:line="268" w:lineRule="exact"/>
      </w:pPr>
      <w:r>
        <w:rPr/>
        <w:t>5、其他费用</w:t>
      </w:r>
    </w:p>
    <w:p>
      <w:pPr>
        <w:pStyle w:val="BodyText"/>
        <w:spacing w:line="364" w:lineRule="auto" w:before="140"/>
        <w:ind w:left="400" w:right="418" w:firstLine="420"/>
      </w:pPr>
      <w:r>
        <w:rPr>
          <w:spacing w:val="-6"/>
        </w:rPr>
        <w:t>按照国家有关规定和基金合同约定，基金管理人可以在基金财产中列支其他的费用，并</w:t>
      </w:r>
      <w:r>
        <w:rPr/>
        <w:t>按照相关的法律法规的规定进行公告或备案。</w:t>
      </w:r>
    </w:p>
    <w:p>
      <w:pPr>
        <w:pStyle w:val="BodyText"/>
        <w:spacing w:line="268" w:lineRule="exact"/>
      </w:pPr>
      <w:r>
        <w:rPr/>
        <w:t>6、基金税收</w:t>
      </w:r>
    </w:p>
    <w:p>
      <w:pPr>
        <w:pStyle w:val="BodyText"/>
        <w:spacing w:before="139"/>
      </w:pPr>
      <w:r>
        <w:rPr/>
        <w:t>本基金运作过程中涉及的各纳税主体，应按国家税收法律、法规履行其纳税义务。</w:t>
      </w:r>
    </w:p>
    <w:p>
      <w:pPr>
        <w:pStyle w:val="Heading2"/>
        <w:spacing w:before="48"/>
      </w:pPr>
      <w:bookmarkStart w:name="_bookmark79" w:id="80"/>
      <w:bookmarkEnd w:id="80"/>
      <w:r>
        <w:rPr>
          <w:b w:val="0"/>
        </w:rPr>
      </w:r>
      <w:r>
        <w:rPr/>
        <w:t>（二）与基金销售有关的费用</w:t>
      </w:r>
    </w:p>
    <w:p>
      <w:pPr>
        <w:pStyle w:val="BodyText"/>
        <w:spacing w:line="364" w:lineRule="auto" w:before="121"/>
        <w:ind w:left="400" w:right="417" w:firstLine="420"/>
        <w:jc w:val="both"/>
      </w:pPr>
      <w:r>
        <w:rPr/>
        <w:t>1、本基金申购费、赎回费的费率水平、收取方式和计算公式详见本招募说明书“九、</w:t>
      </w:r>
      <w:r>
        <w:rPr>
          <w:spacing w:val="-4"/>
        </w:rPr>
        <w:t>基金份额的申购、赎回”中的</w:t>
      </w:r>
      <w:r>
        <w:rPr/>
        <w:t>“（六</w:t>
      </w:r>
      <w:r>
        <w:rPr>
          <w:spacing w:val="-11"/>
        </w:rPr>
        <w:t>）</w:t>
      </w:r>
      <w:r>
        <w:rPr>
          <w:spacing w:val="-5"/>
        </w:rPr>
        <w:t>申购、赎回的费率”和</w:t>
      </w:r>
      <w:r>
        <w:rPr/>
        <w:t>“（七</w:t>
      </w:r>
      <w:r>
        <w:rPr>
          <w:spacing w:val="-11"/>
        </w:rPr>
        <w:t>）</w:t>
      </w:r>
      <w:r>
        <w:rPr>
          <w:spacing w:val="-4"/>
        </w:rPr>
        <w:t>申购份额、赎回金额</w:t>
      </w:r>
      <w:r>
        <w:rPr/>
        <w:t>的计算方式”的相关规定。</w:t>
      </w:r>
    </w:p>
    <w:p>
      <w:pPr>
        <w:pStyle w:val="BodyText"/>
        <w:spacing w:line="268" w:lineRule="exact"/>
      </w:pPr>
      <w:r>
        <w:rPr/>
        <w:t>2、转换费率</w:t>
      </w:r>
    </w:p>
    <w:p>
      <w:pPr>
        <w:pStyle w:val="BodyText"/>
        <w:spacing w:line="364" w:lineRule="auto" w:before="140"/>
        <w:ind w:left="400" w:right="220" w:firstLine="420"/>
      </w:pPr>
      <w:r>
        <w:rPr>
          <w:spacing w:val="-9"/>
        </w:rPr>
        <w:t>目前，基金管理人已开通了本基金与旗下部分开放式基金之间的转换业务，具体实施办</w:t>
      </w:r>
      <w:r>
        <w:rPr>
          <w:spacing w:val="-15"/>
        </w:rPr>
        <w:t>法和转换费率详见相关公告。基金转换费用由投资者承担，基金转换费用由转出基金赎回费</w:t>
      </w:r>
      <w:r>
        <w:rPr>
          <w:spacing w:val="-16"/>
        </w:rPr>
        <w:t>用及基金申购补差费用构成，其中转出基金赎回费按照各基金的基金合同、更新的招募说明</w:t>
      </w:r>
      <w:r>
        <w:rPr>
          <w:spacing w:val="-21"/>
        </w:rPr>
        <w:t>书及最新的相关公告约定的比例归入基金财产，其余部分用于支付注册登记费等相关手续费。</w:t>
      </w:r>
      <w:r>
        <w:rPr/>
        <w:t>转换费用以人民币元为单位，计算结果按照四舍五入方法，保留小数点后两位。</w:t>
      </w:r>
    </w:p>
    <w:p>
      <w:pPr>
        <w:pStyle w:val="BodyText"/>
        <w:spacing w:line="364" w:lineRule="auto"/>
        <w:ind w:left="400" w:right="418"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left="400" w:right="418" w:firstLine="420"/>
      </w:pPr>
      <w:r>
        <w:rPr/>
        <w:t>4、基金管理人可以从本基金财产中计提销售服务费，用于基金的持续销售和服务基金份额持有人，具体办法按中国证监会有关规定执行。</w:t>
      </w:r>
    </w:p>
    <w:p>
      <w:pPr>
        <w:pStyle w:val="BodyText"/>
        <w:spacing w:line="364" w:lineRule="auto"/>
        <w:ind w:left="400" w:right="418" w:firstLine="420"/>
      </w:pPr>
      <w:r>
        <w:rPr/>
        <w:t>5、基金管理人可以在基金合同规定的范围内调整上述费率。上述费率如发生变更，基金管理人应最迟于新的费率实施前 2 日在指定媒介公告。</w:t>
      </w:r>
    </w:p>
    <w:p>
      <w:pPr>
        <w:pStyle w:val="BodyText"/>
        <w:spacing w:line="364" w:lineRule="auto"/>
        <w:ind w:left="400" w:right="208" w:firstLine="420"/>
      </w:pPr>
      <w:r>
        <w:rPr/>
        <w:t>6、基金管理人可以在不违反法律法规规定及基金合同约定的情况下根据市场情况制定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spacing w:after="0" w:line="364" w:lineRule="auto"/>
        <w:sectPr>
          <w:pgSz w:w="11910" w:h="16840"/>
          <w:pgMar w:header="0" w:footer="910" w:top="1380" w:bottom="1180" w:left="1400" w:right="1380"/>
        </w:sectPr>
      </w:pPr>
    </w:p>
    <w:p>
      <w:pPr>
        <w:pStyle w:val="BodyText"/>
        <w:ind w:left="0"/>
        <w:rPr>
          <w:sz w:val="20"/>
        </w:rPr>
      </w:pPr>
    </w:p>
    <w:p>
      <w:pPr>
        <w:pStyle w:val="BodyText"/>
        <w:spacing w:before="6"/>
        <w:ind w:left="0"/>
        <w:rPr>
          <w:sz w:val="27"/>
        </w:rPr>
      </w:pPr>
    </w:p>
    <w:p>
      <w:pPr>
        <w:pStyle w:val="Heading1"/>
        <w:spacing w:line="539" w:lineRule="exact"/>
      </w:pPr>
      <w:bookmarkStart w:name="_bookmark80" w:id="81"/>
      <w:bookmarkEnd w:id="81"/>
      <w:r>
        <w:rPr>
          <w:b w:val="0"/>
        </w:rPr>
      </w:r>
      <w:r>
        <w:rPr/>
        <w:t>十八、基金的会计与审计</w:t>
      </w:r>
    </w:p>
    <w:p>
      <w:pPr>
        <w:pStyle w:val="Heading2"/>
        <w:spacing w:before="46"/>
      </w:pPr>
      <w:bookmarkStart w:name="_bookmark81" w:id="82"/>
      <w:bookmarkEnd w:id="82"/>
      <w:r>
        <w:rPr>
          <w:b w:val="0"/>
        </w:rPr>
      </w:r>
      <w:r>
        <w:rPr/>
        <w:t>（一）基金会计政策</w:t>
      </w:r>
    </w:p>
    <w:p>
      <w:pPr>
        <w:pStyle w:val="BodyText"/>
        <w:spacing w:before="121"/>
      </w:pPr>
      <w:r>
        <w:rPr/>
        <w:t>1、基金的会计年度为公历每年 1 月 1 日至 12 月 31 日。</w:t>
      </w:r>
    </w:p>
    <w:p>
      <w:pPr>
        <w:pStyle w:val="BodyText"/>
        <w:spacing w:before="140"/>
      </w:pPr>
      <w:r>
        <w:rPr/>
        <w:t>2、基金核算以人民币为记账本位币，以人民币元为记账单位。</w:t>
      </w:r>
    </w:p>
    <w:p>
      <w:pPr>
        <w:pStyle w:val="BodyText"/>
        <w:spacing w:before="139"/>
      </w:pPr>
      <w:r>
        <w:rPr/>
        <w:t>3、会计制度按国家有关的会计制度执行。</w:t>
      </w:r>
    </w:p>
    <w:p>
      <w:pPr>
        <w:pStyle w:val="BodyText"/>
        <w:spacing w:before="140"/>
      </w:pPr>
      <w:r>
        <w:rPr/>
        <w:t>4、本基金独立建账、独立核算。</w:t>
      </w:r>
    </w:p>
    <w:p>
      <w:pPr>
        <w:pStyle w:val="BodyText"/>
        <w:spacing w:before="139"/>
      </w:pPr>
      <w:r>
        <w:rPr/>
        <w:t>5、本基金会计责任人为基金管理人。</w:t>
      </w:r>
    </w:p>
    <w:p>
      <w:pPr>
        <w:pStyle w:val="BodyText"/>
        <w:spacing w:line="364" w:lineRule="auto" w:before="140"/>
        <w:ind w:left="400" w:right="418" w:firstLine="420"/>
        <w:jc w:val="both"/>
      </w:pPr>
      <w:r>
        <w:rPr/>
        <w:t>6、基金管理人及托管人应各自保留完整的会计账目、凭证并进行日常的会计核算，按</w:t>
      </w:r>
      <w:r>
        <w:rPr>
          <w:spacing w:val="-7"/>
        </w:rPr>
        <w:t>照有关规定编制基金会计报表，基金托管人定期与基金管理人就基金的会计核算、报表编制</w:t>
      </w:r>
      <w:r>
        <w:rPr/>
        <w:t>等进行核对并以书面方式确认。</w:t>
      </w:r>
    </w:p>
    <w:p>
      <w:pPr>
        <w:pStyle w:val="Heading2"/>
        <w:spacing w:line="422" w:lineRule="exact"/>
      </w:pPr>
      <w:bookmarkStart w:name="_bookmark82" w:id="83"/>
      <w:bookmarkEnd w:id="83"/>
      <w:r>
        <w:rPr>
          <w:b w:val="0"/>
        </w:rPr>
      </w:r>
      <w:r>
        <w:rPr/>
        <w:t>（二）基金年度审计</w:t>
      </w:r>
    </w:p>
    <w:p>
      <w:pPr>
        <w:pStyle w:val="BodyText"/>
        <w:spacing w:line="364" w:lineRule="auto" w:before="121"/>
        <w:ind w:left="400" w:right="418" w:firstLine="420"/>
      </w:pPr>
      <w:r>
        <w:rPr/>
        <w:t>1、基金管理人聘请与基金管理人、基金托管人相独立的、具有从事证券、期货相关业务资格的会计师事务所及其注册会计师对基金年度财务报表及其他规定事项进行审计；</w:t>
      </w:r>
    </w:p>
    <w:p>
      <w:pPr>
        <w:pStyle w:val="BodyText"/>
        <w:spacing w:line="268" w:lineRule="exact"/>
      </w:pPr>
      <w:r>
        <w:rPr/>
        <w:t>2、会计师事务所更换经办注册会计师，应事先征得基金管理人和基金托管人同意；</w:t>
      </w:r>
    </w:p>
    <w:p>
      <w:pPr>
        <w:pStyle w:val="BodyText"/>
        <w:spacing w:before="139"/>
      </w:pPr>
      <w:r>
        <w:rPr/>
        <w:t>3、基金管理人（或基金托管人）认为有充足理由更换会计师事务所，须经基金托管人</w:t>
      </w:r>
    </w:p>
    <w:p>
      <w:pPr>
        <w:pStyle w:val="BodyText"/>
        <w:spacing w:before="140"/>
        <w:ind w:left="400"/>
      </w:pPr>
      <w:r>
        <w:rPr/>
        <w:t>（或基金管理人）同意可以更换。基金管理人应在更换会计师事务所后在 2 日内公告。</w:t>
      </w:r>
    </w:p>
    <w:p>
      <w:pPr>
        <w:spacing w:after="0"/>
        <w:sectPr>
          <w:pgSz w:w="11910" w:h="16840"/>
          <w:pgMar w:header="0" w:footer="910" w:top="1580" w:bottom="1180" w:left="1400" w:right="1380"/>
        </w:sectPr>
      </w:pPr>
    </w:p>
    <w:p>
      <w:pPr>
        <w:pStyle w:val="Heading1"/>
      </w:pPr>
      <w:bookmarkStart w:name="_bookmark83" w:id="84"/>
      <w:bookmarkEnd w:id="84"/>
      <w:r>
        <w:rPr>
          <w:b w:val="0"/>
        </w:rPr>
      </w:r>
      <w:r>
        <w:rPr/>
        <w:t>十九、基金的信息披露</w:t>
      </w:r>
    </w:p>
    <w:p>
      <w:pPr>
        <w:pStyle w:val="Heading2"/>
        <w:spacing w:before="46"/>
      </w:pPr>
      <w:bookmarkStart w:name="_bookmark84" w:id="85"/>
      <w:bookmarkEnd w:id="85"/>
      <w:r>
        <w:rPr>
          <w:b w:val="0"/>
        </w:rPr>
      </w:r>
      <w:r>
        <w:rPr/>
        <w:t>（一）披露原则</w:t>
      </w:r>
    </w:p>
    <w:p>
      <w:pPr>
        <w:pStyle w:val="BodyText"/>
        <w:spacing w:line="364" w:lineRule="auto" w:before="121"/>
        <w:ind w:left="400" w:right="417" w:firstLine="420"/>
      </w:pPr>
      <w:r>
        <w:rPr>
          <w:spacing w:val="-7"/>
        </w:rPr>
        <w:t>基金的信息披露应符合《基金法》、《运作办法》、《信息披露办法》、基金合同及其</w:t>
      </w:r>
      <w:r>
        <w:rPr/>
        <w:t>他有关规定。</w:t>
      </w:r>
    </w:p>
    <w:p>
      <w:pPr>
        <w:pStyle w:val="BodyText"/>
        <w:spacing w:line="364" w:lineRule="auto"/>
        <w:ind w:left="400" w:right="418" w:firstLine="420"/>
        <w:jc w:val="both"/>
      </w:pPr>
      <w:r>
        <w:rPr>
          <w:spacing w:val="-6"/>
        </w:rPr>
        <w:t>基金信息披露义务人应当在中国证监会规定时间内，将应予披露的基金信息通过指定媒</w:t>
      </w:r>
      <w:r>
        <w:rPr>
          <w:spacing w:val="-12"/>
        </w:rPr>
        <w:t>介披露，并保证投资人能够按照基金合同约定的时间和方式查阅或者复制公开披露的信息资</w:t>
      </w:r>
      <w:r>
        <w:rPr/>
        <w:t>料。</w:t>
      </w:r>
    </w:p>
    <w:p>
      <w:pPr>
        <w:pStyle w:val="BodyText"/>
        <w:spacing w:line="268" w:lineRule="exact"/>
      </w:pPr>
      <w:r>
        <w:rPr/>
        <w:t>本基金信息披露义务人承诺公开披露的基金信息，不得有下列行为：</w:t>
      </w:r>
    </w:p>
    <w:p>
      <w:pPr>
        <w:pStyle w:val="BodyText"/>
        <w:spacing w:before="139"/>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4、诋毁其他基金管理人、基金托管人或者基金份额发售机构；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BodyText"/>
        <w:spacing w:line="364" w:lineRule="auto" w:before="140"/>
        <w:ind w:left="400" w:right="417" w:firstLine="420"/>
        <w:jc w:val="both"/>
      </w:pPr>
      <w:r>
        <w:rPr>
          <w:spacing w:val="-6"/>
        </w:rPr>
        <w:t>本基金公开披露的信息应采用中文文本。如同时采用外文文本的，基金信息披露义务人</w:t>
      </w:r>
      <w:r>
        <w:rPr>
          <w:spacing w:val="-7"/>
        </w:rPr>
        <w:t>应保证不同文本的内容一致。不同文本之间发生歧义的。两种文本发生歧义的，以中文文本</w:t>
      </w:r>
      <w:r>
        <w:rPr/>
        <w:t>为准。</w:t>
      </w:r>
    </w:p>
    <w:p>
      <w:pPr>
        <w:pStyle w:val="BodyText"/>
        <w:spacing w:line="268" w:lineRule="exact"/>
      </w:pPr>
      <w:r>
        <w:rPr/>
        <w:t>本基金公开披露的信息采用阿拉伯数字；除特别说明外，货币单位为人民币元。</w:t>
      </w:r>
    </w:p>
    <w:p>
      <w:pPr>
        <w:pStyle w:val="Heading2"/>
        <w:spacing w:before="48"/>
      </w:pPr>
      <w:bookmarkStart w:name="_bookmark85" w:id="86"/>
      <w:bookmarkEnd w:id="86"/>
      <w:r>
        <w:rPr>
          <w:b w:val="0"/>
        </w:rPr>
      </w:r>
      <w:r>
        <w:rPr/>
        <w:t>（二）基金相关信息披露</w:t>
      </w:r>
    </w:p>
    <w:p>
      <w:pPr>
        <w:pStyle w:val="BodyText"/>
        <w:spacing w:line="364" w:lineRule="auto" w:before="121"/>
        <w:ind w:left="400" w:right="417" w:firstLine="420"/>
        <w:jc w:val="both"/>
      </w:pPr>
      <w:r>
        <w:rPr>
          <w:spacing w:val="-11"/>
        </w:rPr>
        <w:t>本基金合同、托管协议、招募说明书经中国证监会核准后，基金管理人在基金集中申购</w:t>
      </w:r>
      <w:r>
        <w:rPr/>
        <w:t>期开始3日前，将基金招募说明书、《基金合同》摘要登载在指定媒介上；基金管理人、基金托管人应当将《基金合同》、基金托管协议登载在指定媒介上。</w:t>
      </w:r>
    </w:p>
    <w:p>
      <w:pPr>
        <w:pStyle w:val="BodyText"/>
        <w:spacing w:line="364" w:lineRule="auto"/>
        <w:ind w:left="400" w:right="417" w:firstLine="420"/>
        <w:jc w:val="both"/>
      </w:pPr>
      <w:r>
        <w:rPr/>
        <w:t>1、基金招募说明书应当最大限度地披露影响基金投资者决策的全部事项，说明基金申</w:t>
      </w:r>
      <w:r>
        <w:rPr>
          <w:spacing w:val="-9"/>
        </w:rPr>
        <w:t>购和赎回安排、基金投资、基金产品特性、风险揭示、信息披露及基金份额持有人服务等内</w:t>
      </w:r>
      <w:r>
        <w:rPr>
          <w:spacing w:val="-11"/>
        </w:rPr>
        <w:t>容。基金合同生效后，基金招募说明书的信息发生重大变更的，基金管理人应当在三个工作</w:t>
      </w:r>
      <w:r>
        <w:rPr>
          <w:spacing w:val="-7"/>
        </w:rPr>
        <w:t>日内，更新基金招募说明书并登载在指定网站上；基金招募说明书其他信息发生变更的，基</w:t>
      </w:r>
      <w:r>
        <w:rPr/>
        <w:t>金管理人至少每年更新一次。基金终止运作的，基金管理人不再更新基金招募说明书。</w:t>
      </w:r>
    </w:p>
    <w:p>
      <w:pPr>
        <w:pStyle w:val="BodyText"/>
        <w:spacing w:line="364" w:lineRule="auto"/>
        <w:ind w:left="400" w:right="418" w:firstLine="420"/>
        <w:jc w:val="both"/>
      </w:pPr>
      <w:r>
        <w:rPr/>
        <w:t>2、《基金合同》是界定《基金合同》当事人的各项权利、义务关系，明确基金份额持</w:t>
      </w:r>
      <w:r>
        <w:rPr>
          <w:spacing w:val="-8"/>
        </w:rPr>
        <w:t>有人大会召开的规则及具体程序，说明基金产品的特性等涉及基金投资者重大利益的事项的</w:t>
      </w:r>
      <w:r>
        <w:rPr/>
        <w:t>法律文件。</w:t>
      </w:r>
    </w:p>
    <w:p>
      <w:pPr>
        <w:pStyle w:val="BodyText"/>
        <w:spacing w:line="364" w:lineRule="auto"/>
        <w:ind w:left="400" w:right="418" w:firstLine="420"/>
      </w:pPr>
      <w:r>
        <w:rPr/>
        <w:t>3、基金托管协议是界定基金托管人和基金管理人在基金财产保管及基金运作监督等活动中的权利、义务关系的法律文件。</w:t>
      </w:r>
    </w:p>
    <w:p>
      <w:pPr>
        <w:pStyle w:val="BodyText"/>
        <w:spacing w:line="268" w:lineRule="exact"/>
      </w:pPr>
      <w:r>
        <w:rPr/>
        <w:t>4、基金集中申购公告</w:t>
      </w:r>
    </w:p>
    <w:p>
      <w:pPr>
        <w:spacing w:after="0" w:line="268" w:lineRule="exact"/>
        <w:sectPr>
          <w:pgSz w:w="11910" w:h="16840"/>
          <w:pgMar w:header="0" w:footer="910" w:top="1400" w:bottom="1180" w:left="1400" w:right="1380"/>
        </w:sectPr>
      </w:pPr>
    </w:p>
    <w:p>
      <w:pPr>
        <w:pStyle w:val="BodyText"/>
        <w:spacing w:line="364" w:lineRule="auto" w:before="45"/>
        <w:ind w:left="400" w:right="418" w:firstLine="420"/>
      </w:pPr>
      <w:r>
        <w:rPr>
          <w:spacing w:val="-5"/>
        </w:rPr>
        <w:t>基金管理人应当就基金集中申购的具体事宜编制基金集中申购公告，并在披露招募说明</w:t>
      </w:r>
      <w:r>
        <w:rPr/>
        <w:t>书的当日登载于指定媒介上。</w:t>
      </w:r>
    </w:p>
    <w:p>
      <w:pPr>
        <w:pStyle w:val="BodyText"/>
        <w:spacing w:line="364" w:lineRule="auto"/>
        <w:ind w:left="400" w:right="418" w:firstLine="420"/>
        <w:jc w:val="both"/>
      </w:pPr>
      <w:r>
        <w:rPr/>
        <w:t>5、基金产品资料概要是基金招募说明书的摘要文件，用于向投资者提供简明的基金概</w:t>
      </w:r>
      <w:r>
        <w:rPr>
          <w:spacing w:val="-11"/>
        </w:rPr>
        <w:t>要信息。《基金合同》生效后，基金产品资料概要的信息发生重大变更的，基金管理人应当</w:t>
      </w:r>
      <w:r>
        <w:rPr>
          <w:spacing w:val="-10"/>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spacing w:line="421" w:lineRule="exact" w:before="0"/>
        <w:ind w:left="400" w:right="0" w:firstLine="0"/>
        <w:jc w:val="left"/>
        <w:rPr>
          <w:rFonts w:ascii="Microsoft JhengHei" w:eastAsia="Microsoft JhengHei" w:hint="eastAsia"/>
          <w:b/>
          <w:sz w:val="24"/>
        </w:rPr>
      </w:pPr>
      <w:bookmarkStart w:name="_bookmark86" w:id="87"/>
      <w:bookmarkEnd w:id="87"/>
      <w:r>
        <w:rPr/>
      </w:r>
      <w:r>
        <w:rPr>
          <w:rFonts w:ascii="Microsoft JhengHei" w:eastAsia="Microsoft JhengHei" w:hint="eastAsia"/>
          <w:b/>
          <w:sz w:val="28"/>
        </w:rPr>
        <w:t>（三）</w:t>
      </w:r>
      <w:r>
        <w:rPr>
          <w:rFonts w:ascii="Microsoft JhengHei" w:eastAsia="Microsoft JhengHei" w:hint="eastAsia"/>
          <w:b/>
          <w:sz w:val="24"/>
        </w:rPr>
        <w:t>基金定期报告，包括基金年度报告、基金中期报告和基金季度报告</w:t>
      </w:r>
    </w:p>
    <w:p>
      <w:pPr>
        <w:pStyle w:val="BodyText"/>
        <w:spacing w:line="417" w:lineRule="auto" w:before="218"/>
        <w:ind w:left="400" w:right="41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17" w:lineRule="auto"/>
        <w:ind w:left="400" w:right="4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17" w:lineRule="auto"/>
        <w:ind w:left="400" w:right="418" w:firstLine="420"/>
      </w:pPr>
      <w:r>
        <w:rPr/>
        <w:t>基金管理人应当在季度结束之日起15</w:t>
      </w:r>
      <w:r>
        <w:rPr>
          <w:spacing w:val="-11"/>
        </w:rPr>
        <w:t>个工作日内，编制完成基金季度报告，将季度报告</w:t>
      </w:r>
      <w:r>
        <w:rPr/>
        <w:t>登载在指定网站上，并将季度报告提示性公告登载在指定报刊上。</w:t>
      </w:r>
    </w:p>
    <w:p>
      <w:pPr>
        <w:pStyle w:val="BodyText"/>
        <w:spacing w:line="417" w:lineRule="auto"/>
        <w:ind w:left="400" w:right="418" w:firstLine="420"/>
      </w:pPr>
      <w:r>
        <w:rPr/>
        <w:t>《基金合同》生效不足2个月的，基金管理人可以不编制当期季度报告、中期报告或者年度报告。</w:t>
      </w:r>
    </w:p>
    <w:p>
      <w:pPr>
        <w:pStyle w:val="BodyText"/>
        <w:spacing w:line="417" w:lineRule="auto"/>
        <w:ind w:left="400" w:right="417" w:firstLine="420"/>
        <w:jc w:val="both"/>
      </w:pPr>
      <w:r>
        <w:rPr/>
        <w:t>如报告期内出现单一投资者持有基金份额达到或超过基金总份额20%的情形，为保障其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p>
    <w:p>
      <w:pPr>
        <w:pStyle w:val="BodyText"/>
        <w:spacing w:line="269" w:lineRule="exact"/>
        <w:ind w:left="400"/>
      </w:pPr>
      <w:r>
        <w:rPr/>
        <w:t>有风险，中国证监会认定的特殊情形除外。</w:t>
      </w:r>
    </w:p>
    <w:p>
      <w:pPr>
        <w:pStyle w:val="BodyText"/>
        <w:spacing w:line="364" w:lineRule="auto" w:before="100"/>
        <w:ind w:left="400" w:right="418" w:firstLine="420"/>
      </w:pPr>
      <w:r>
        <w:rPr/>
        <w:t>基金管理人应当在基金年度报告和中期报告中披露基金组合资产情况及其流动性风险分析等。</w:t>
      </w:r>
    </w:p>
    <w:p>
      <w:pPr>
        <w:pStyle w:val="Heading2"/>
        <w:spacing w:line="423" w:lineRule="exact"/>
      </w:pPr>
      <w:bookmarkStart w:name="_bookmark87" w:id="88"/>
      <w:bookmarkEnd w:id="88"/>
      <w:r>
        <w:rPr>
          <w:b w:val="0"/>
        </w:rPr>
      </w:r>
      <w:r>
        <w:rPr/>
        <w:t>（四）基金净值信息</w:t>
      </w:r>
    </w:p>
    <w:p>
      <w:pPr>
        <w:pStyle w:val="BodyText"/>
        <w:spacing w:line="417" w:lineRule="auto" w:before="219"/>
        <w:ind w:left="400" w:right="41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17" w:lineRule="auto"/>
        <w:ind w:left="400" w:right="418" w:firstLine="420"/>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p>
    <w:p>
      <w:pPr>
        <w:pStyle w:val="BodyText"/>
        <w:spacing w:line="269" w:lineRule="exact"/>
        <w:ind w:left="400"/>
      </w:pPr>
      <w:r>
        <w:rPr/>
        <w:t>值。</w:t>
      </w:r>
    </w:p>
    <w:p>
      <w:pPr>
        <w:pStyle w:val="BodyText"/>
        <w:spacing w:line="364" w:lineRule="auto" w:before="100"/>
        <w:ind w:left="400" w:right="418" w:firstLine="420"/>
      </w:pPr>
      <w:r>
        <w:rPr>
          <w:spacing w:val="-5"/>
        </w:rPr>
        <w:t>基金管理人应当在不晚于半年度和年度最后一日的次日，在指定网站披露半年度和年度</w:t>
      </w:r>
      <w:r>
        <w:rPr/>
        <w:t>最后一日的基金份额净值和基金份额累计净值。</w:t>
      </w:r>
    </w:p>
    <w:p>
      <w:pPr>
        <w:spacing w:after="0" w:line="364" w:lineRule="auto"/>
        <w:sectPr>
          <w:pgSz w:w="11910" w:h="16840"/>
          <w:pgMar w:header="0" w:footer="910" w:top="1380" w:bottom="1180" w:left="1400" w:right="1380"/>
        </w:sectPr>
      </w:pPr>
    </w:p>
    <w:p>
      <w:pPr>
        <w:pStyle w:val="Heading2"/>
        <w:spacing w:line="469" w:lineRule="exact"/>
      </w:pPr>
      <w:bookmarkStart w:name="_bookmark88" w:id="89"/>
      <w:bookmarkEnd w:id="89"/>
      <w:r>
        <w:rPr>
          <w:b w:val="0"/>
        </w:rPr>
      </w:r>
      <w:r>
        <w:rPr/>
        <w:t>（五）临时报告</w:t>
      </w:r>
    </w:p>
    <w:p>
      <w:pPr>
        <w:pStyle w:val="BodyText"/>
        <w:spacing w:line="417" w:lineRule="auto" w:before="219"/>
        <w:ind w:left="400" w:right="418" w:firstLine="420"/>
      </w:pPr>
      <w:r>
        <w:rPr/>
        <w:t>本基金发生重大事件，有关信息披露义务人应当在2日内编制临时报告书，并登载在指定报刊和指定网站上。</w:t>
      </w:r>
    </w:p>
    <w:p>
      <w:pPr>
        <w:pStyle w:val="BodyText"/>
        <w:spacing w:line="417" w:lineRule="auto"/>
        <w:ind w:left="400" w:right="418" w:firstLine="420"/>
      </w:pPr>
      <w:r>
        <w:rPr>
          <w:spacing w:val="-11"/>
        </w:rPr>
        <w:t>前款所称重大事件，是指可能对基金份额持有人权益或者基金份额的价格产生重大影响</w:t>
      </w:r>
      <w:r>
        <w:rPr/>
        <w:t>的下列事件：</w:t>
      </w:r>
    </w:p>
    <w:p>
      <w:pPr>
        <w:pStyle w:val="ListParagraph"/>
        <w:numPr>
          <w:ilvl w:val="0"/>
          <w:numId w:val="27"/>
        </w:numPr>
        <w:tabs>
          <w:tab w:pos="1346" w:val="left" w:leader="none"/>
        </w:tabs>
        <w:spacing w:line="269" w:lineRule="exact" w:before="0" w:after="0"/>
        <w:ind w:left="1346" w:right="0" w:hanging="526"/>
        <w:jc w:val="left"/>
        <w:rPr>
          <w:sz w:val="21"/>
        </w:rPr>
      </w:pPr>
      <w:r>
        <w:rPr>
          <w:sz w:val="21"/>
        </w:rPr>
        <w:t>基金份额持有人大会的召开及决定的事项；</w:t>
      </w:r>
    </w:p>
    <w:p>
      <w:pPr>
        <w:pStyle w:val="BodyText"/>
        <w:spacing w:before="6"/>
        <w:ind w:left="0"/>
        <w:rPr>
          <w:sz w:val="15"/>
        </w:rPr>
      </w:pPr>
    </w:p>
    <w:p>
      <w:pPr>
        <w:pStyle w:val="ListParagraph"/>
        <w:numPr>
          <w:ilvl w:val="0"/>
          <w:numId w:val="27"/>
        </w:numPr>
        <w:tabs>
          <w:tab w:pos="1346" w:val="left" w:leader="none"/>
        </w:tabs>
        <w:spacing w:line="240" w:lineRule="auto" w:before="0" w:after="0"/>
        <w:ind w:left="1346" w:right="0" w:hanging="526"/>
        <w:jc w:val="left"/>
        <w:rPr>
          <w:sz w:val="21"/>
        </w:rPr>
      </w:pPr>
      <w:r>
        <w:rPr>
          <w:sz w:val="21"/>
        </w:rPr>
        <w:t>基金合同终止、基金清算；</w:t>
      </w:r>
    </w:p>
    <w:p>
      <w:pPr>
        <w:pStyle w:val="BodyText"/>
        <w:spacing w:before="7"/>
        <w:ind w:left="0"/>
        <w:rPr>
          <w:sz w:val="15"/>
        </w:rPr>
      </w:pPr>
    </w:p>
    <w:p>
      <w:pPr>
        <w:pStyle w:val="ListParagraph"/>
        <w:numPr>
          <w:ilvl w:val="0"/>
          <w:numId w:val="27"/>
        </w:numPr>
        <w:tabs>
          <w:tab w:pos="1346" w:val="left" w:leader="none"/>
        </w:tabs>
        <w:spacing w:line="240" w:lineRule="auto" w:before="0" w:after="0"/>
        <w:ind w:left="1346" w:right="0" w:hanging="526"/>
        <w:jc w:val="left"/>
        <w:rPr>
          <w:sz w:val="21"/>
        </w:rPr>
      </w:pPr>
      <w:r>
        <w:rPr>
          <w:sz w:val="21"/>
        </w:rPr>
        <w:t>转换基金运作方式、基金合并；</w:t>
      </w:r>
    </w:p>
    <w:p>
      <w:pPr>
        <w:pStyle w:val="BodyText"/>
        <w:spacing w:before="6"/>
        <w:ind w:left="0"/>
        <w:rPr>
          <w:sz w:val="15"/>
        </w:rPr>
      </w:pPr>
    </w:p>
    <w:p>
      <w:pPr>
        <w:pStyle w:val="ListParagraph"/>
        <w:numPr>
          <w:ilvl w:val="0"/>
          <w:numId w:val="27"/>
        </w:numPr>
        <w:tabs>
          <w:tab w:pos="1346" w:val="left" w:leader="none"/>
        </w:tabs>
        <w:spacing w:line="240" w:lineRule="auto" w:before="1" w:after="0"/>
        <w:ind w:left="1346" w:right="0" w:hanging="526"/>
        <w:jc w:val="left"/>
        <w:rPr>
          <w:sz w:val="21"/>
        </w:rPr>
      </w:pPr>
      <w:r>
        <w:rPr>
          <w:sz w:val="21"/>
        </w:rPr>
        <w:t>更换基金管理人、基金托管人、基金份额登记机构，基金改聘会计师事务所；</w:t>
      </w:r>
    </w:p>
    <w:p>
      <w:pPr>
        <w:pStyle w:val="BodyText"/>
        <w:spacing w:before="6"/>
        <w:ind w:left="0"/>
        <w:rPr>
          <w:sz w:val="15"/>
        </w:rPr>
      </w:pPr>
    </w:p>
    <w:p>
      <w:pPr>
        <w:pStyle w:val="ListParagraph"/>
        <w:numPr>
          <w:ilvl w:val="0"/>
          <w:numId w:val="27"/>
        </w:numPr>
        <w:tabs>
          <w:tab w:pos="1347" w:val="left" w:leader="none"/>
        </w:tabs>
        <w:spacing w:line="417" w:lineRule="auto" w:before="0" w:after="0"/>
        <w:ind w:left="400" w:right="418"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27"/>
        </w:numPr>
        <w:tabs>
          <w:tab w:pos="1346" w:val="left" w:leader="none"/>
        </w:tabs>
        <w:spacing w:line="269" w:lineRule="exact" w:before="0" w:after="0"/>
        <w:ind w:left="1346" w:right="0" w:hanging="526"/>
        <w:jc w:val="left"/>
        <w:rPr>
          <w:sz w:val="21"/>
        </w:rPr>
      </w:pPr>
      <w:r>
        <w:rPr>
          <w:sz w:val="21"/>
        </w:rPr>
        <w:t>基金管理人、基金托管人的法定名称、住所发生变更；</w:t>
      </w:r>
    </w:p>
    <w:p>
      <w:pPr>
        <w:pStyle w:val="BodyText"/>
        <w:spacing w:before="7"/>
        <w:ind w:left="0"/>
        <w:rPr>
          <w:sz w:val="15"/>
        </w:rPr>
      </w:pPr>
    </w:p>
    <w:p>
      <w:pPr>
        <w:pStyle w:val="ListParagraph"/>
        <w:numPr>
          <w:ilvl w:val="0"/>
          <w:numId w:val="27"/>
        </w:numPr>
        <w:tabs>
          <w:tab w:pos="1346" w:val="left" w:leader="none"/>
        </w:tabs>
        <w:spacing w:line="240" w:lineRule="auto" w:before="0" w:after="0"/>
        <w:ind w:left="1346" w:right="0" w:hanging="526"/>
        <w:jc w:val="left"/>
        <w:rPr>
          <w:sz w:val="21"/>
        </w:rPr>
      </w:pPr>
      <w:r>
        <w:rPr>
          <w:spacing w:val="-3"/>
          <w:sz w:val="21"/>
        </w:rPr>
        <w:t>基金管理公司变更持有百分之五以上股权的股东、基金管理人的实际控制人变更；</w:t>
      </w:r>
    </w:p>
    <w:p>
      <w:pPr>
        <w:pStyle w:val="BodyText"/>
        <w:spacing w:before="7"/>
        <w:ind w:left="0"/>
        <w:rPr>
          <w:sz w:val="15"/>
        </w:rPr>
      </w:pPr>
    </w:p>
    <w:p>
      <w:pPr>
        <w:pStyle w:val="ListParagraph"/>
        <w:numPr>
          <w:ilvl w:val="0"/>
          <w:numId w:val="27"/>
        </w:numPr>
        <w:tabs>
          <w:tab w:pos="1347" w:val="left" w:leader="none"/>
        </w:tabs>
        <w:spacing w:line="417" w:lineRule="auto" w:before="0" w:after="0"/>
        <w:ind w:left="400" w:right="418" w:firstLine="420"/>
        <w:jc w:val="left"/>
        <w:rPr>
          <w:sz w:val="21"/>
        </w:rPr>
      </w:pPr>
      <w:r>
        <w:rPr>
          <w:sz w:val="21"/>
        </w:rPr>
        <w:t>基金管理人的高级管理人员、基金经理和基金托管人专门基金托管部门负责人发生变动；</w:t>
      </w:r>
    </w:p>
    <w:p>
      <w:pPr>
        <w:pStyle w:val="ListParagraph"/>
        <w:numPr>
          <w:ilvl w:val="0"/>
          <w:numId w:val="27"/>
        </w:numPr>
        <w:tabs>
          <w:tab w:pos="1347" w:val="left" w:leader="none"/>
        </w:tabs>
        <w:spacing w:line="417" w:lineRule="auto" w:before="0" w:after="0"/>
        <w:ind w:left="400" w:right="418" w:firstLine="420"/>
        <w:jc w:val="left"/>
        <w:rPr>
          <w:sz w:val="21"/>
        </w:rPr>
      </w:pPr>
      <w:r>
        <w:rPr>
          <w:sz w:val="21"/>
        </w:rPr>
        <w:t>基金管理人的董事在最近12个月内变更超过百分之五十，基金管理人、基金托管人专门基金托管部门的主要业务人员在最近12个月内变动超过百分之三十；</w:t>
      </w:r>
    </w:p>
    <w:p>
      <w:pPr>
        <w:pStyle w:val="ListParagraph"/>
        <w:numPr>
          <w:ilvl w:val="0"/>
          <w:numId w:val="27"/>
        </w:numPr>
        <w:tabs>
          <w:tab w:pos="1451" w:val="left" w:leader="none"/>
        </w:tabs>
        <w:spacing w:line="269" w:lineRule="exact" w:before="0" w:after="0"/>
        <w:ind w:left="1451" w:right="0" w:hanging="631"/>
        <w:jc w:val="left"/>
        <w:rPr>
          <w:sz w:val="21"/>
        </w:rPr>
      </w:pPr>
      <w:r>
        <w:rPr>
          <w:sz w:val="21"/>
        </w:rPr>
        <w:t>涉及基金财产、基金管理业务、基金托管业务的诉讼或仲裁；</w:t>
      </w:r>
    </w:p>
    <w:p>
      <w:pPr>
        <w:pStyle w:val="BodyText"/>
        <w:spacing w:before="6"/>
        <w:ind w:left="0"/>
        <w:rPr>
          <w:sz w:val="15"/>
        </w:rPr>
      </w:pPr>
    </w:p>
    <w:p>
      <w:pPr>
        <w:pStyle w:val="ListParagraph"/>
        <w:numPr>
          <w:ilvl w:val="0"/>
          <w:numId w:val="27"/>
        </w:numPr>
        <w:tabs>
          <w:tab w:pos="1451" w:val="left" w:leader="none"/>
        </w:tabs>
        <w:spacing w:line="417" w:lineRule="auto" w:before="0" w:after="0"/>
        <w:ind w:left="400" w:right="418"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27"/>
        </w:numPr>
        <w:tabs>
          <w:tab w:pos="1451" w:val="left" w:leader="none"/>
        </w:tabs>
        <w:spacing w:line="417" w:lineRule="auto" w:before="0" w:after="0"/>
        <w:ind w:left="400" w:right="417"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27"/>
        </w:numPr>
        <w:tabs>
          <w:tab w:pos="1451" w:val="left" w:leader="none"/>
        </w:tabs>
        <w:spacing w:line="269" w:lineRule="exact" w:before="0" w:after="0"/>
        <w:ind w:left="1451" w:right="0" w:hanging="631"/>
        <w:jc w:val="left"/>
        <w:rPr>
          <w:sz w:val="21"/>
        </w:rPr>
      </w:pPr>
      <w:r>
        <w:rPr>
          <w:sz w:val="21"/>
        </w:rPr>
        <w:t>基金收益分配事项；</w:t>
      </w:r>
    </w:p>
    <w:p>
      <w:pPr>
        <w:pStyle w:val="BodyText"/>
        <w:spacing w:before="6"/>
        <w:ind w:left="0"/>
        <w:rPr>
          <w:sz w:val="15"/>
        </w:rPr>
      </w:pPr>
    </w:p>
    <w:p>
      <w:pPr>
        <w:pStyle w:val="ListParagraph"/>
        <w:numPr>
          <w:ilvl w:val="0"/>
          <w:numId w:val="27"/>
        </w:numPr>
        <w:tabs>
          <w:tab w:pos="1451" w:val="left" w:leader="none"/>
        </w:tabs>
        <w:spacing w:line="240" w:lineRule="auto" w:before="0" w:after="0"/>
        <w:ind w:left="1451" w:right="0" w:hanging="631"/>
        <w:jc w:val="left"/>
        <w:rPr>
          <w:sz w:val="21"/>
        </w:rPr>
      </w:pPr>
      <w:r>
        <w:rPr>
          <w:sz w:val="21"/>
        </w:rPr>
        <w:t>管理费、托管费、申购费、赎回费等费用计提标准、计提方式和费率发生变更；</w:t>
      </w:r>
    </w:p>
    <w:p>
      <w:pPr>
        <w:pStyle w:val="BodyText"/>
        <w:spacing w:before="7"/>
        <w:ind w:left="0"/>
        <w:rPr>
          <w:sz w:val="15"/>
        </w:rPr>
      </w:pPr>
    </w:p>
    <w:p>
      <w:pPr>
        <w:pStyle w:val="ListParagraph"/>
        <w:numPr>
          <w:ilvl w:val="0"/>
          <w:numId w:val="27"/>
        </w:numPr>
        <w:tabs>
          <w:tab w:pos="1451" w:val="left" w:leader="none"/>
        </w:tabs>
        <w:spacing w:line="240" w:lineRule="auto" w:before="0" w:after="0"/>
        <w:ind w:left="1451" w:right="0" w:hanging="631"/>
        <w:jc w:val="left"/>
        <w:rPr>
          <w:sz w:val="21"/>
        </w:rPr>
      </w:pPr>
      <w:r>
        <w:rPr>
          <w:sz w:val="21"/>
        </w:rPr>
        <w:t>基金份额净值计价错误达基金份额净值百分之零点五；</w:t>
      </w:r>
    </w:p>
    <w:p>
      <w:pPr>
        <w:pStyle w:val="BodyText"/>
        <w:spacing w:before="7"/>
        <w:ind w:left="0"/>
        <w:rPr>
          <w:sz w:val="15"/>
        </w:rPr>
      </w:pPr>
    </w:p>
    <w:p>
      <w:pPr>
        <w:pStyle w:val="ListParagraph"/>
        <w:numPr>
          <w:ilvl w:val="0"/>
          <w:numId w:val="27"/>
        </w:numPr>
        <w:tabs>
          <w:tab w:pos="1451" w:val="left" w:leader="none"/>
        </w:tabs>
        <w:spacing w:line="240" w:lineRule="auto" w:before="0" w:after="0"/>
        <w:ind w:left="1451" w:right="0" w:hanging="631"/>
        <w:jc w:val="left"/>
        <w:rPr>
          <w:sz w:val="21"/>
        </w:rPr>
      </w:pPr>
      <w:r>
        <w:rPr>
          <w:sz w:val="21"/>
        </w:rPr>
        <w:t>本基金开始办理申购、赎回；</w:t>
      </w:r>
    </w:p>
    <w:p>
      <w:pPr>
        <w:pStyle w:val="BodyText"/>
        <w:spacing w:before="7"/>
        <w:ind w:left="0"/>
        <w:rPr>
          <w:sz w:val="15"/>
        </w:rPr>
      </w:pPr>
    </w:p>
    <w:p>
      <w:pPr>
        <w:pStyle w:val="ListParagraph"/>
        <w:numPr>
          <w:ilvl w:val="0"/>
          <w:numId w:val="27"/>
        </w:numPr>
        <w:tabs>
          <w:tab w:pos="1451" w:val="left" w:leader="none"/>
        </w:tabs>
        <w:spacing w:line="240" w:lineRule="auto" w:before="0" w:after="0"/>
        <w:ind w:left="1451" w:right="0" w:hanging="631"/>
        <w:jc w:val="left"/>
        <w:rPr>
          <w:sz w:val="21"/>
        </w:rPr>
      </w:pPr>
      <w:r>
        <w:rPr>
          <w:sz w:val="21"/>
        </w:rPr>
        <w:t>本基金暂停接受申购、赎回申请或重新接受申购、赎回申请；</w:t>
      </w:r>
    </w:p>
    <w:p>
      <w:pPr>
        <w:spacing w:after="0" w:line="240" w:lineRule="auto"/>
        <w:jc w:val="left"/>
        <w:rPr>
          <w:sz w:val="21"/>
        </w:rPr>
        <w:sectPr>
          <w:pgSz w:w="11910" w:h="16840"/>
          <w:pgMar w:header="0" w:footer="910" w:top="1380" w:bottom="1180" w:left="1400" w:right="1380"/>
        </w:sectPr>
      </w:pPr>
    </w:p>
    <w:p>
      <w:pPr>
        <w:pStyle w:val="ListParagraph"/>
        <w:numPr>
          <w:ilvl w:val="0"/>
          <w:numId w:val="27"/>
        </w:numPr>
        <w:tabs>
          <w:tab w:pos="1451" w:val="left" w:leader="none"/>
        </w:tabs>
        <w:spacing w:line="240" w:lineRule="auto" w:before="43" w:after="0"/>
        <w:ind w:left="1451" w:right="0" w:hanging="631"/>
        <w:jc w:val="left"/>
        <w:rPr>
          <w:sz w:val="21"/>
        </w:rPr>
      </w:pPr>
      <w:r>
        <w:rPr>
          <w:sz w:val="21"/>
        </w:rPr>
        <w:t>调整基金份额类别的设置；</w:t>
      </w:r>
    </w:p>
    <w:p>
      <w:pPr>
        <w:pStyle w:val="BodyText"/>
        <w:spacing w:before="6"/>
        <w:ind w:left="0"/>
        <w:rPr>
          <w:sz w:val="15"/>
        </w:rPr>
      </w:pPr>
    </w:p>
    <w:p>
      <w:pPr>
        <w:pStyle w:val="ListParagraph"/>
        <w:numPr>
          <w:ilvl w:val="0"/>
          <w:numId w:val="27"/>
        </w:numPr>
        <w:tabs>
          <w:tab w:pos="1451" w:val="left" w:leader="none"/>
        </w:tabs>
        <w:spacing w:line="240" w:lineRule="auto" w:before="1" w:after="0"/>
        <w:ind w:left="1451" w:right="0" w:hanging="631"/>
        <w:jc w:val="left"/>
        <w:rPr>
          <w:sz w:val="21"/>
        </w:rPr>
      </w:pPr>
      <w:r>
        <w:rPr>
          <w:sz w:val="21"/>
        </w:rPr>
        <w:t>基金推出新业务或服务；</w:t>
      </w:r>
    </w:p>
    <w:p>
      <w:pPr>
        <w:pStyle w:val="ListParagraph"/>
        <w:numPr>
          <w:ilvl w:val="0"/>
          <w:numId w:val="27"/>
        </w:numPr>
        <w:tabs>
          <w:tab w:pos="1451" w:val="left" w:leader="none"/>
        </w:tabs>
        <w:spacing w:line="364" w:lineRule="auto" w:before="101" w:after="0"/>
        <w:ind w:left="400" w:right="418"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Heading2"/>
        <w:spacing w:line="423" w:lineRule="exact"/>
      </w:pPr>
      <w:bookmarkStart w:name="_bookmark89" w:id="90"/>
      <w:bookmarkEnd w:id="90"/>
      <w:r>
        <w:rPr>
          <w:b w:val="0"/>
        </w:rPr>
      </w:r>
      <w:r>
        <w:rPr/>
        <w:t>（六）澄清公告</w:t>
      </w:r>
    </w:p>
    <w:p>
      <w:pPr>
        <w:pStyle w:val="BodyText"/>
        <w:spacing w:line="364" w:lineRule="auto" w:before="121"/>
        <w:ind w:left="400" w:right="4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Heading2"/>
        <w:spacing w:line="422" w:lineRule="exact"/>
      </w:pPr>
      <w:bookmarkStart w:name="_bookmark90" w:id="91"/>
      <w:bookmarkEnd w:id="91"/>
      <w:r>
        <w:rPr>
          <w:b w:val="0"/>
        </w:rPr>
      </w:r>
      <w:r>
        <w:rPr/>
        <w:t>（七）清算报告</w:t>
      </w:r>
    </w:p>
    <w:p>
      <w:pPr>
        <w:pStyle w:val="BodyText"/>
        <w:spacing w:line="278" w:lineRule="auto" w:before="141"/>
        <w:ind w:left="400" w:right="4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Heading2"/>
        <w:spacing w:line="403" w:lineRule="exact"/>
      </w:pPr>
      <w:bookmarkStart w:name="_bookmark91" w:id="92"/>
      <w:bookmarkEnd w:id="92"/>
      <w:r>
        <w:rPr>
          <w:b w:val="0"/>
        </w:rPr>
      </w:r>
      <w:r>
        <w:rPr/>
        <w:t>（八）中国证监会规定的其他信息</w:t>
      </w:r>
    </w:p>
    <w:p>
      <w:pPr>
        <w:spacing w:before="30"/>
        <w:ind w:left="400" w:right="0" w:firstLine="0"/>
        <w:jc w:val="left"/>
        <w:rPr>
          <w:rFonts w:ascii="Microsoft JhengHei" w:eastAsia="Microsoft JhengHei" w:hint="eastAsia"/>
          <w:b/>
          <w:sz w:val="28"/>
        </w:rPr>
      </w:pPr>
      <w:bookmarkStart w:name="_bookmark92" w:id="93"/>
      <w:bookmarkEnd w:id="93"/>
      <w:r>
        <w:rPr/>
      </w:r>
      <w:r>
        <w:rPr>
          <w:rFonts w:ascii="Microsoft JhengHei" w:eastAsia="Microsoft JhengHei" w:hint="eastAsia"/>
          <w:b/>
          <w:sz w:val="28"/>
        </w:rPr>
        <w:t>（九）信息披露事务管理</w:t>
      </w:r>
    </w:p>
    <w:p>
      <w:pPr>
        <w:pStyle w:val="BodyText"/>
        <w:spacing w:line="417" w:lineRule="auto" w:before="218"/>
        <w:ind w:left="400" w:right="418" w:firstLine="420"/>
      </w:pPr>
      <w:r>
        <w:rPr>
          <w:spacing w:val="-10"/>
        </w:rPr>
        <w:t>基金管理人、基金托管人应当建立健全信息披露管理制度，指定专门部门及高级管理人</w:t>
      </w:r>
      <w:r>
        <w:rPr/>
        <w:t>员负责管理信息披露事务。</w:t>
      </w:r>
    </w:p>
    <w:p>
      <w:pPr>
        <w:pStyle w:val="BodyText"/>
        <w:spacing w:line="417" w:lineRule="auto"/>
        <w:ind w:left="400" w:right="418" w:firstLine="420"/>
      </w:pPr>
      <w:r>
        <w:rPr>
          <w:spacing w:val="-7"/>
        </w:rPr>
        <w:t>基金信息披露义务人公开披露基金信息，应当符合中国证监会相关基金信息披露内容与</w:t>
      </w:r>
      <w:r>
        <w:rPr/>
        <w:t>格式准则等法规的规定。</w:t>
      </w:r>
    </w:p>
    <w:p>
      <w:pPr>
        <w:pStyle w:val="BodyText"/>
        <w:spacing w:line="417" w:lineRule="auto"/>
        <w:ind w:left="400" w:right="41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417" w:lineRule="auto"/>
        <w:ind w:left="400" w:right="3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417" w:lineRule="auto"/>
        <w:ind w:left="400" w:right="4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17" w:lineRule="auto"/>
        <w:ind w:left="400" w:right="208"/>
      </w:pPr>
      <w:r>
        <w:rPr>
          <w:spacing w:val="-9"/>
        </w:rPr>
        <w:t>基金管理人、基金托管人除按法律法规要求披露信息外，也可着眼于为投资者决策提供有用 </w:t>
      </w:r>
      <w:r>
        <w:rPr>
          <w:spacing w:val="-7"/>
        </w:rPr>
        <w:t>信息的角度，在保证公平对待投资者、不误导投资者、不影响基金正常投资操作的前提下， </w:t>
      </w:r>
      <w:r>
        <w:rPr>
          <w:spacing w:val="-11"/>
        </w:rPr>
        <w:t>自主提升信息披露服务的质量。具体要求应当符合中国证监会及自律规则的相关规定。前述</w:t>
      </w:r>
    </w:p>
    <w:p>
      <w:pPr>
        <w:spacing w:after="0" w:line="417" w:lineRule="auto"/>
        <w:sectPr>
          <w:pgSz w:w="11910" w:h="16840"/>
          <w:pgMar w:header="0" w:footer="910" w:top="1480" w:bottom="1180" w:left="1400" w:right="1380"/>
        </w:sectPr>
      </w:pPr>
    </w:p>
    <w:p>
      <w:pPr>
        <w:pStyle w:val="BodyText"/>
        <w:spacing w:before="43"/>
        <w:ind w:left="400"/>
      </w:pPr>
      <w:r>
        <w:rPr/>
        <w:t>自主披露如产生信息披露费用，该费用不得从基金财产中列支。</w:t>
      </w:r>
    </w:p>
    <w:p>
      <w:pPr>
        <w:pStyle w:val="BodyText"/>
        <w:spacing w:before="1"/>
        <w:ind w:left="0"/>
        <w:rPr>
          <w:sz w:val="25"/>
        </w:rPr>
      </w:pPr>
    </w:p>
    <w:p>
      <w:pPr>
        <w:pStyle w:val="Heading2"/>
      </w:pPr>
      <w:bookmarkStart w:name="_bookmark93" w:id="94"/>
      <w:bookmarkEnd w:id="94"/>
      <w:r>
        <w:rPr>
          <w:b w:val="0"/>
        </w:rPr>
      </w:r>
      <w:r>
        <w:rPr/>
        <w:t>（十）信息披露文件的存放与查阅</w:t>
      </w:r>
    </w:p>
    <w:p>
      <w:pPr>
        <w:pStyle w:val="BodyText"/>
        <w:spacing w:line="364" w:lineRule="auto" w:before="121"/>
        <w:ind w:left="400" w:right="4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910" w:top="1480" w:bottom="1180" w:left="1400" w:right="1380"/>
        </w:sectPr>
      </w:pPr>
    </w:p>
    <w:p>
      <w:pPr>
        <w:pStyle w:val="Heading1"/>
      </w:pPr>
      <w:bookmarkStart w:name="_bookmark94" w:id="95"/>
      <w:bookmarkEnd w:id="95"/>
      <w:r>
        <w:rPr>
          <w:b w:val="0"/>
        </w:rPr>
      </w:r>
      <w:r>
        <w:rPr/>
        <w:t>二十、风险揭示</w:t>
      </w:r>
    </w:p>
    <w:p>
      <w:pPr>
        <w:pStyle w:val="Heading2"/>
        <w:spacing w:before="46"/>
      </w:pPr>
      <w:bookmarkStart w:name="_bookmark95" w:id="96"/>
      <w:bookmarkEnd w:id="96"/>
      <w:r>
        <w:rPr>
          <w:b w:val="0"/>
        </w:rPr>
      </w:r>
      <w:r>
        <w:rPr/>
        <w:t>（一）市场风险</w:t>
      </w:r>
    </w:p>
    <w:p>
      <w:pPr>
        <w:pStyle w:val="BodyText"/>
        <w:spacing w:line="364" w:lineRule="auto" w:before="121"/>
        <w:ind w:left="400" w:right="417"/>
        <w:jc w:val="both"/>
      </w:pPr>
      <w:r>
        <w:rPr>
          <w:spacing w:val="-7"/>
        </w:rPr>
        <w:t>本基金主要投资于证券市场，而证券市场价格因受到经济因素、政治因素、投资者心理和交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8" w:lineRule="exact"/>
      </w:pPr>
      <w:r>
        <w:rPr/>
        <w:t>1、政策风险</w:t>
      </w:r>
    </w:p>
    <w:p>
      <w:pPr>
        <w:pStyle w:val="BodyText"/>
        <w:spacing w:line="364" w:lineRule="auto" w:before="140"/>
        <w:ind w:left="400" w:right="418" w:firstLine="420"/>
      </w:pPr>
      <w:r>
        <w:rPr>
          <w:spacing w:val="-10"/>
        </w:rPr>
        <w:t>因财政政策、货币政策、产业政策、地区发展政策等国家宏观政策发生变化，导致市场</w:t>
      </w:r>
      <w:r>
        <w:rPr/>
        <w:t>价格波动，影响基金收益而产生风险。</w:t>
      </w:r>
    </w:p>
    <w:p>
      <w:pPr>
        <w:pStyle w:val="BodyText"/>
        <w:spacing w:line="268" w:lineRule="exact"/>
      </w:pPr>
      <w:r>
        <w:rPr/>
        <w:t>2、经济周期风险</w:t>
      </w:r>
    </w:p>
    <w:p>
      <w:pPr>
        <w:pStyle w:val="BodyText"/>
        <w:spacing w:line="364" w:lineRule="auto" w:before="139"/>
        <w:ind w:left="400" w:right="418"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3、利率风险</w:t>
      </w:r>
    </w:p>
    <w:p>
      <w:pPr>
        <w:pStyle w:val="BodyText"/>
        <w:spacing w:line="364" w:lineRule="auto" w:before="140"/>
        <w:ind w:left="400" w:right="417" w:firstLine="420"/>
        <w:jc w:val="both"/>
      </w:pPr>
      <w:r>
        <w:rPr>
          <w:spacing w:val="-5"/>
        </w:rPr>
        <w:t>金融市场利率的波动会导致证券市场价格和收益率的变动。利率直接影响着债券的价格</w:t>
      </w:r>
      <w:r>
        <w:rPr>
          <w:spacing w:val="-10"/>
        </w:rPr>
        <w:t>和收益率，影响着企业的融资成本和利润。基金投资于债券和股票，其收益水平可能会受到</w:t>
      </w:r>
      <w:r>
        <w:rPr/>
        <w:t>利率变化的影响。</w:t>
      </w:r>
    </w:p>
    <w:p>
      <w:pPr>
        <w:pStyle w:val="BodyText"/>
        <w:spacing w:line="268" w:lineRule="exact"/>
      </w:pPr>
      <w:r>
        <w:rPr/>
        <w:t>4、上市公司经营风险</w:t>
      </w:r>
    </w:p>
    <w:p>
      <w:pPr>
        <w:pStyle w:val="BodyText"/>
        <w:spacing w:line="364" w:lineRule="auto" w:before="139"/>
        <w:ind w:left="400" w:right="312" w:firstLine="420"/>
      </w:pPr>
      <w:r>
        <w:rPr>
          <w:spacing w:val="-10"/>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7" w:lineRule="exact"/>
      </w:pPr>
      <w:r>
        <w:rPr/>
        <w:t>5、购买力风险</w:t>
      </w:r>
    </w:p>
    <w:p>
      <w:pPr>
        <w:pStyle w:val="BodyText"/>
        <w:spacing w:line="364" w:lineRule="auto" w:before="140"/>
        <w:ind w:left="400" w:right="418"/>
      </w:pPr>
      <w:r>
        <w:rPr>
          <w:spacing w:val="-6"/>
        </w:rPr>
        <w:t>基金份额持有人收益将主要通过现金形式来分配，而现金可能因为通货膨胀因素而使其购买</w:t>
      </w:r>
      <w:r>
        <w:rPr/>
        <w:t>力下降,从而使基金的实际收益下降。</w:t>
      </w:r>
    </w:p>
    <w:p>
      <w:pPr>
        <w:pStyle w:val="Heading2"/>
        <w:spacing w:line="423" w:lineRule="exact"/>
      </w:pPr>
      <w:bookmarkStart w:name="_bookmark96" w:id="97"/>
      <w:bookmarkEnd w:id="97"/>
      <w:r>
        <w:rPr>
          <w:b w:val="0"/>
        </w:rPr>
      </w:r>
      <w:r>
        <w:rPr/>
        <w:t>（二）管理风险</w:t>
      </w:r>
    </w:p>
    <w:p>
      <w:pPr>
        <w:pStyle w:val="BodyText"/>
        <w:spacing w:line="364" w:lineRule="auto" w:before="121"/>
        <w:ind w:left="400" w:right="41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400" w:right="418" w:firstLine="420"/>
      </w:pPr>
      <w:r>
        <w:rPr/>
        <w:t>2、基金管理人和基金托管人的管理手段和管理技术等因素的变化也会影响基金收益水平。</w:t>
      </w:r>
    </w:p>
    <w:p>
      <w:pPr>
        <w:pStyle w:val="Heading2"/>
        <w:spacing w:line="423" w:lineRule="exact"/>
      </w:pPr>
      <w:bookmarkStart w:name="_bookmark97" w:id="98"/>
      <w:bookmarkEnd w:id="98"/>
      <w:r>
        <w:rPr>
          <w:b w:val="0"/>
        </w:rPr>
      </w:r>
      <w:r>
        <w:rPr/>
        <w:t>（三）流动性风险</w:t>
      </w:r>
    </w:p>
    <w:p>
      <w:pPr>
        <w:pStyle w:val="BodyText"/>
        <w:spacing w:before="218"/>
      </w:pPr>
      <w:r>
        <w:rPr/>
        <w:t>1、流动性风险评估</w:t>
      </w:r>
    </w:p>
    <w:p>
      <w:pPr>
        <w:pStyle w:val="BodyText"/>
        <w:spacing w:before="6"/>
        <w:ind w:left="0"/>
        <w:rPr>
          <w:sz w:val="15"/>
        </w:rPr>
      </w:pPr>
    </w:p>
    <w:p>
      <w:pPr>
        <w:pStyle w:val="BodyText"/>
        <w:spacing w:line="417" w:lineRule="auto" w:before="1"/>
        <w:ind w:left="400" w:right="418" w:firstLine="420"/>
      </w:pPr>
      <w:r>
        <w:rPr>
          <w:spacing w:val="-8"/>
        </w:rPr>
        <w:t>本基金为混合型基金，主要投资于股票、债券等，一般情况下，这些资产市场流动性较</w:t>
      </w:r>
      <w:r>
        <w:rPr/>
        <w:t>好。</w:t>
      </w:r>
    </w:p>
    <w:p>
      <w:pPr>
        <w:spacing w:after="0" w:line="417" w:lineRule="auto"/>
        <w:sectPr>
          <w:pgSz w:w="11910" w:h="16840"/>
          <w:pgMar w:header="0" w:footer="910" w:top="1400" w:bottom="1180" w:left="1400" w:right="1380"/>
        </w:sectPr>
      </w:pPr>
    </w:p>
    <w:p>
      <w:pPr>
        <w:pStyle w:val="BodyText"/>
        <w:spacing w:line="417" w:lineRule="auto" w:before="43"/>
        <w:ind w:left="400" w:right="313" w:firstLine="420"/>
      </w:pPr>
      <w:r>
        <w:rPr>
          <w:spacing w:val="-6"/>
        </w:rPr>
        <w:t>但不排除在特定阶段、特定市场环境下特定投资标的出现流动性较差的情况。因此，本</w:t>
      </w:r>
      <w:r>
        <w:rPr>
          <w:spacing w:val="-17"/>
        </w:rPr>
        <w:t>基金投资于上述资产时，可能存在以下流动性风险：一是基金管理人建仓或进行组合调整时， </w:t>
      </w:r>
      <w:r>
        <w:rPr>
          <w:spacing w:val="-4"/>
        </w:rPr>
        <w:t>可能由于特定投资标的流动性相对不足而无法按预期的价格买进或卖出；二是为应付投资者</w:t>
      </w:r>
      <w:r>
        <w:rPr>
          <w:spacing w:val="-10"/>
        </w:rPr>
        <w:t>的赎回，基金被迫以不适当的价格卖出股票或其他资产。两者均可能使基金净值受到不利影响。</w:t>
      </w:r>
    </w:p>
    <w:p>
      <w:pPr>
        <w:pStyle w:val="BodyText"/>
        <w:spacing w:line="268" w:lineRule="exact"/>
      </w:pPr>
      <w:r>
        <w:rPr/>
        <w:t>2、巨额赎回情形下的流动性风险管理措施</w:t>
      </w:r>
    </w:p>
    <w:p>
      <w:pPr>
        <w:pStyle w:val="BodyText"/>
        <w:spacing w:before="6"/>
        <w:ind w:left="0"/>
        <w:rPr>
          <w:sz w:val="15"/>
        </w:rPr>
      </w:pPr>
    </w:p>
    <w:p>
      <w:pPr>
        <w:pStyle w:val="BodyText"/>
        <w:spacing w:line="417" w:lineRule="auto" w:before="1"/>
        <w:ind w:left="400" w:right="418" w:firstLine="420"/>
        <w:jc w:val="both"/>
      </w:pPr>
      <w:r>
        <w:rPr>
          <w:spacing w:val="-9"/>
        </w:rPr>
        <w:t>当本基金发生巨额赎回时，基金管理人可以根据基金当时的资产组合状况决定全额赎回</w:t>
      </w:r>
      <w:r>
        <w:rPr>
          <w:spacing w:val="-13"/>
        </w:rPr>
        <w:t>或部分延期赎回；此外，如本基金连续 </w:t>
      </w:r>
      <w:r>
        <w:rPr/>
        <w:t>2</w:t>
      </w:r>
      <w:r>
        <w:rPr>
          <w:spacing w:val="-9"/>
        </w:rPr>
        <w:t> 个开放日以上发生巨额赎回，可暂停接受投资人的赎回申请或延缓支付赎回款项；当本基金发生巨额赎回且单个基金份额持有人的赎回申请超</w:t>
      </w:r>
      <w:r>
        <w:rPr>
          <w:spacing w:val="-5"/>
        </w:rPr>
        <w:t>过上一开放日基金总份额 </w:t>
      </w:r>
      <w:r>
        <w:rPr/>
        <w:t>10%</w:t>
      </w:r>
      <w:r>
        <w:rPr>
          <w:spacing w:val="-8"/>
        </w:rPr>
        <w:t>的，基金管理人有权对该单个基金份额持有人超出该比例的赎</w:t>
      </w:r>
      <w:r>
        <w:rPr>
          <w:spacing w:val="7"/>
        </w:rPr>
        <w:t>回申请实施延期办理。具体情形、程序见招募说明书“九、基金份额的申购、赎回”之“（九）</w:t>
      </w:r>
      <w:r>
        <w:rPr>
          <w:spacing w:val="-2"/>
        </w:rPr>
        <w:t>巨额赎回的认定及处理方式。”</w:t>
      </w:r>
    </w:p>
    <w:p>
      <w:pPr>
        <w:pStyle w:val="BodyText"/>
        <w:spacing w:line="417" w:lineRule="auto"/>
        <w:ind w:left="400" w:right="4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417" w:lineRule="auto"/>
        <w:ind w:left="400" w:right="418" w:firstLine="420"/>
      </w:pPr>
      <w:r>
        <w:rPr/>
        <w:t>3、除巨额赎回情形外实施备用的流动性风险管理工具的情形、程序及对投资者的潜在影响</w:t>
      </w:r>
    </w:p>
    <w:p>
      <w:pPr>
        <w:pStyle w:val="BodyText"/>
        <w:spacing w:line="417" w:lineRule="auto"/>
        <w:ind w:left="400" w:right="2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17" w:lineRule="auto"/>
        <w:ind w:left="400" w:right="417" w:firstLine="420"/>
        <w:jc w:val="both"/>
      </w:pPr>
      <w:r>
        <w:rPr>
          <w:spacing w:val="-7"/>
        </w:rPr>
        <w:t>暂停接受赎回申请、延缓支付赎回款项等工具的情形、程序见招募说明书“九、基金份</w:t>
      </w:r>
      <w:r>
        <w:rPr>
          <w:spacing w:val="-6"/>
        </w:rPr>
        <w:t>额的申购、赎回”之</w:t>
      </w:r>
      <w:r>
        <w:rPr/>
        <w:t>“（十</w:t>
      </w:r>
      <w:r>
        <w:rPr>
          <w:spacing w:val="-14"/>
        </w:rPr>
        <w:t>）</w:t>
      </w:r>
      <w:r>
        <w:rPr>
          <w:spacing w:val="-5"/>
        </w:rPr>
        <w:t>拒绝或暂停申购、赎回的情形及处理方式”的相关规定。若本</w:t>
      </w:r>
      <w:r>
        <w:rPr>
          <w:spacing w:val="-9"/>
        </w:rPr>
        <w:t>基金暂停赎回申请，投资者在暂停赎回期间将无法赎回其持有的基金份额。若本基金延缓支</w:t>
      </w:r>
      <w:r>
        <w:rPr/>
        <w:t>付赎回款项，赎回款支付时间将后延，可能对投资者的资金安排带来不利影响。</w:t>
      </w:r>
    </w:p>
    <w:p>
      <w:pPr>
        <w:pStyle w:val="BodyText"/>
        <w:spacing w:line="417" w:lineRule="auto"/>
        <w:ind w:left="400" w:right="4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17" w:lineRule="auto"/>
        <w:ind w:left="400" w:right="417" w:firstLine="420"/>
        <w:jc w:val="both"/>
      </w:pPr>
      <w:r>
        <w:rPr>
          <w:spacing w:val="-6"/>
        </w:rPr>
        <w:t>暂停基金估值的情形、程序见招募说明书“十五、基金资产的估值”之</w:t>
      </w:r>
      <w:r>
        <w:rPr/>
        <w:t>“（六</w:t>
      </w:r>
      <w:r>
        <w:rPr>
          <w:spacing w:val="-16"/>
        </w:rPr>
        <w:t>）</w:t>
      </w:r>
      <w:r>
        <w:rPr>
          <w:spacing w:val="-5"/>
        </w:rPr>
        <w:t>暂停估</w:t>
      </w:r>
      <w:r>
        <w:rPr>
          <w:spacing w:val="-12"/>
        </w:rPr>
        <w:t>值的情形”的相关规定。若本基金暂停基金估值，一方面投资者将无法知晓本基金的基金份</w:t>
      </w:r>
      <w:r>
        <w:rPr>
          <w:spacing w:val="-10"/>
        </w:rPr>
        <w:t>额净值，另一方面基金将延缓支付赎回款项或暂停接受基金申购赎回申请，延缓支付赎回款</w:t>
      </w:r>
      <w:r>
        <w:rPr>
          <w:spacing w:val="-8"/>
        </w:rPr>
        <w:t>项可能影响投资者的资金安排，暂停接受基金申购赎回申请将导致投资者无法申购或赎回本</w:t>
      </w:r>
    </w:p>
    <w:p>
      <w:pPr>
        <w:spacing w:after="0" w:line="417" w:lineRule="auto"/>
        <w:jc w:val="both"/>
        <w:sectPr>
          <w:pgSz w:w="11910" w:h="16840"/>
          <w:pgMar w:header="0" w:footer="910" w:top="1480" w:bottom="1180" w:left="1400" w:right="1380"/>
        </w:sectPr>
      </w:pPr>
    </w:p>
    <w:p>
      <w:pPr>
        <w:pStyle w:val="BodyText"/>
        <w:spacing w:before="43"/>
        <w:ind w:left="400"/>
      </w:pPr>
      <w:r>
        <w:rPr/>
        <w:t>基金。</w:t>
      </w:r>
    </w:p>
    <w:p>
      <w:pPr>
        <w:pStyle w:val="Heading2"/>
        <w:spacing w:line="254" w:lineRule="auto" w:before="10"/>
        <w:ind w:right="419"/>
      </w:pPr>
      <w:bookmarkStart w:name="_bookmark98" w:id="99"/>
      <w:bookmarkEnd w:id="99"/>
      <w:r>
        <w:rPr>
          <w:b w:val="0"/>
        </w:rPr>
      </w:r>
      <w:r>
        <w:rPr/>
        <w:t>（四</w:t>
      </w:r>
      <w:r>
        <w:rPr>
          <w:spacing w:val="-127"/>
        </w:rPr>
        <w:t>）</w:t>
      </w:r>
      <w:r>
        <w:rPr>
          <w:spacing w:val="-1"/>
        </w:rPr>
        <w:t>本基金法律文件中涉及基金风险特征的表述与销售机构对基金</w:t>
      </w:r>
      <w:r>
        <w:rPr/>
        <w:t>的风险评级可能不一致的风险</w:t>
      </w:r>
    </w:p>
    <w:p>
      <w:pPr>
        <w:pStyle w:val="BodyText"/>
        <w:spacing w:line="417" w:lineRule="auto" w:before="187"/>
        <w:ind w:left="400" w:right="4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2"/>
        <w:spacing w:line="324" w:lineRule="exact"/>
      </w:pPr>
      <w:bookmarkStart w:name="_bookmark99" w:id="100"/>
      <w:bookmarkEnd w:id="100"/>
      <w:r>
        <w:rPr>
          <w:b w:val="0"/>
        </w:rPr>
      </w:r>
      <w:r>
        <w:rPr/>
        <w:t>（五）本基金特有的风险</w:t>
      </w:r>
    </w:p>
    <w:p>
      <w:pPr>
        <w:pStyle w:val="BodyText"/>
        <w:spacing w:before="121"/>
      </w:pPr>
      <w:r>
        <w:rPr/>
        <w:t>1、资产配置风险</w:t>
      </w:r>
    </w:p>
    <w:p>
      <w:pPr>
        <w:pStyle w:val="BodyText"/>
        <w:spacing w:line="364" w:lineRule="auto" w:before="139"/>
        <w:ind w:left="400" w:right="417" w:firstLine="420"/>
        <w:jc w:val="both"/>
      </w:pPr>
      <w:r>
        <w:rPr>
          <w:spacing w:val="-3"/>
        </w:rPr>
        <w:t>本基金股票资产占基金资产的比例为 </w:t>
      </w:r>
      <w:r>
        <w:rPr>
          <w:spacing w:val="-6"/>
        </w:rPr>
        <w:t>60%-95%</w:t>
      </w:r>
      <w:r>
        <w:rPr>
          <w:spacing w:val="-3"/>
        </w:rPr>
        <w:t>，属于股票仓位偏高且相对稳定的基金品</w:t>
      </w:r>
      <w:r>
        <w:rPr>
          <w:spacing w:val="-10"/>
        </w:rPr>
        <w:t>种，受股票市场系统性风险影响较大，如果股票市场出现整体下跌，本基金的净值表现将受</w:t>
      </w:r>
      <w:r>
        <w:rPr/>
        <w:t>到影响，投资者面临无法获得收益甚至可能发生较大亏损的风险。</w:t>
      </w:r>
    </w:p>
    <w:p>
      <w:pPr>
        <w:pStyle w:val="BodyText"/>
        <w:spacing w:line="268" w:lineRule="exact"/>
      </w:pPr>
      <w:r>
        <w:rPr/>
        <w:t>2、采用多种投资策略的风险</w:t>
      </w:r>
    </w:p>
    <w:p>
      <w:pPr>
        <w:pStyle w:val="BodyText"/>
        <w:spacing w:line="364" w:lineRule="auto" w:before="140"/>
        <w:ind w:left="400" w:right="418" w:firstLine="420"/>
        <w:jc w:val="both"/>
      </w:pPr>
      <w:r>
        <w:rPr>
          <w:spacing w:val="-6"/>
        </w:rPr>
        <w:t>为把握复杂市场出现的多种投资机会，本基金运用多种投资策略进行投资，可能存在由</w:t>
      </w:r>
      <w:r>
        <w:rPr>
          <w:spacing w:val="-9"/>
        </w:rPr>
        <w:t>于研究支持不足、基金经理对投资机会判断失误等方面的问题，导致本基金收益低于采用单</w:t>
      </w:r>
      <w:r>
        <w:rPr/>
        <w:t>一策略的基金。</w:t>
      </w:r>
    </w:p>
    <w:p>
      <w:pPr>
        <w:pStyle w:val="BodyText"/>
        <w:spacing w:line="364" w:lineRule="auto"/>
        <w:ind w:left="400" w:right="208" w:firstLine="420"/>
      </w:pPr>
      <w:r>
        <w:rPr/>
        <w:t>3、本基金可投资科创板股票，可能面临退市风险、市场风险、流动性风险等特有风险， </w:t>
      </w:r>
      <w:r>
        <w:rPr>
          <w:spacing w:val="-5"/>
        </w:rPr>
        <w:t>从而可能给基金净值带来不利影响或损失。本基金根据投资策略需要或市场环境变化，可选 </w:t>
      </w:r>
      <w:r>
        <w:rPr>
          <w:spacing w:val="-8"/>
        </w:rPr>
        <w:t>择将部分基金资产投资于科创板股票或选择不将基金资产投资于科创板股票，基金资产并非 必然投资于科创板股票。</w:t>
      </w:r>
    </w:p>
    <w:p>
      <w:pPr>
        <w:pStyle w:val="BodyText"/>
        <w:spacing w:line="364" w:lineRule="auto"/>
        <w:ind w:left="400" w:right="418"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28"/>
        </w:numPr>
        <w:tabs>
          <w:tab w:pos="1346" w:val="left" w:leader="none"/>
        </w:tabs>
        <w:spacing w:line="268" w:lineRule="exact" w:before="0" w:after="0"/>
        <w:ind w:left="1346" w:right="0" w:hanging="526"/>
        <w:jc w:val="left"/>
        <w:rPr>
          <w:sz w:val="21"/>
        </w:rPr>
      </w:pPr>
      <w:r>
        <w:rPr>
          <w:sz w:val="21"/>
        </w:rPr>
        <w:t>科创板企业退市风险</w:t>
      </w:r>
    </w:p>
    <w:p>
      <w:pPr>
        <w:pStyle w:val="BodyText"/>
        <w:spacing w:line="364" w:lineRule="auto" w:before="136"/>
        <w:ind w:left="400" w:right="417" w:firstLine="420"/>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p>
    <w:p>
      <w:pPr>
        <w:spacing w:after="0" w:line="364" w:lineRule="auto"/>
        <w:sectPr>
          <w:pgSz w:w="11910" w:h="16840"/>
          <w:pgMar w:header="0" w:footer="910" w:top="1480" w:bottom="1180" w:left="1400" w:right="1380"/>
        </w:sectPr>
      </w:pPr>
    </w:p>
    <w:p>
      <w:pPr>
        <w:pStyle w:val="BodyText"/>
        <w:spacing w:before="45"/>
        <w:ind w:left="400"/>
      </w:pPr>
      <w:r>
        <w:rPr/>
        <w:t>临退出难度较大、成本较高的风险。</w:t>
      </w:r>
    </w:p>
    <w:p>
      <w:pPr>
        <w:pStyle w:val="ListParagraph"/>
        <w:numPr>
          <w:ilvl w:val="0"/>
          <w:numId w:val="28"/>
        </w:numPr>
        <w:tabs>
          <w:tab w:pos="1346" w:val="left" w:leader="none"/>
        </w:tabs>
        <w:spacing w:line="240" w:lineRule="auto" w:before="139" w:after="0"/>
        <w:ind w:left="1346" w:right="0" w:hanging="526"/>
        <w:jc w:val="left"/>
        <w:rPr>
          <w:sz w:val="21"/>
        </w:rPr>
      </w:pPr>
      <w:r>
        <w:rPr>
          <w:sz w:val="21"/>
        </w:rPr>
        <w:t>市场风险</w:t>
      </w:r>
    </w:p>
    <w:p>
      <w:pPr>
        <w:pStyle w:val="BodyText"/>
        <w:spacing w:line="364" w:lineRule="auto" w:before="140"/>
        <w:ind w:left="400" w:right="313"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5"/>
        </w:rPr>
        <w:t>企业普遍具有前景不确定、业绩波动大、风险高的特征，市场可比公司较少，估值与发行定</w:t>
      </w:r>
      <w:r>
        <w:rPr>
          <w:spacing w:val="-13"/>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8"/>
        </w:rPr>
        <w:t>、科创板股票上市首日即可作为融资融券标的， </w:t>
      </w:r>
      <w:r>
        <w:rPr/>
        <w:t>可能导致较大的股票价格波动。</w:t>
      </w:r>
    </w:p>
    <w:p>
      <w:pPr>
        <w:pStyle w:val="ListParagraph"/>
        <w:numPr>
          <w:ilvl w:val="0"/>
          <w:numId w:val="28"/>
        </w:numPr>
        <w:tabs>
          <w:tab w:pos="1346" w:val="left" w:leader="none"/>
        </w:tabs>
        <w:spacing w:line="266" w:lineRule="exact" w:before="0" w:after="0"/>
        <w:ind w:left="1346" w:right="0" w:hanging="526"/>
        <w:jc w:val="left"/>
        <w:rPr>
          <w:sz w:val="21"/>
        </w:rPr>
      </w:pPr>
      <w:r>
        <w:rPr>
          <w:sz w:val="21"/>
        </w:rPr>
        <w:t>流动性风险</w:t>
      </w:r>
    </w:p>
    <w:p>
      <w:pPr>
        <w:pStyle w:val="BodyText"/>
        <w:spacing w:line="364" w:lineRule="auto" w:before="139"/>
        <w:ind w:left="400" w:right="417" w:firstLine="420"/>
        <w:jc w:val="both"/>
      </w:pPr>
      <w:r>
        <w:rPr>
          <w:spacing w:val="-8"/>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28"/>
        </w:numPr>
        <w:tabs>
          <w:tab w:pos="1346" w:val="left" w:leader="none"/>
        </w:tabs>
        <w:spacing w:line="268" w:lineRule="exact" w:before="0" w:after="0"/>
        <w:ind w:left="1346" w:right="0" w:hanging="526"/>
        <w:jc w:val="left"/>
        <w:rPr>
          <w:sz w:val="21"/>
        </w:rPr>
      </w:pPr>
      <w:r>
        <w:rPr>
          <w:sz w:val="21"/>
        </w:rPr>
        <w:t>监管规则变化的风险</w:t>
      </w:r>
    </w:p>
    <w:p>
      <w:pPr>
        <w:pStyle w:val="BodyText"/>
        <w:spacing w:line="364" w:lineRule="auto" w:before="140"/>
        <w:ind w:left="400" w:right="418"/>
        <w:jc w:val="both"/>
      </w:pPr>
      <w:r>
        <w:rPr>
          <w:spacing w:val="-8"/>
        </w:rPr>
        <w:t>科创板股票相关法律、行政法规、部门规章、规范性文件和交易所业务规则，可能根据市场</w:t>
      </w:r>
      <w:r>
        <w:rPr>
          <w:spacing w:val="-9"/>
        </w:rPr>
        <w:t>情况进行修改完善，或者补充制定新的法律法规和业务规则，导致基金投资运作产生相应调</w:t>
      </w:r>
      <w:r>
        <w:rPr/>
        <w:t>整变化。</w:t>
      </w:r>
    </w:p>
    <w:p>
      <w:pPr>
        <w:pStyle w:val="BodyText"/>
        <w:spacing w:line="268" w:lineRule="exact"/>
      </w:pPr>
      <w:r>
        <w:rPr/>
        <w:t>4、投资于存托凭证的风险</w:t>
      </w:r>
    </w:p>
    <w:p>
      <w:pPr>
        <w:pStyle w:val="BodyText"/>
        <w:spacing w:line="364" w:lineRule="auto" w:before="139"/>
        <w:ind w:left="400" w:right="417" w:firstLine="420"/>
        <w:jc w:val="both"/>
      </w:pPr>
      <w:r>
        <w:rPr>
          <w:spacing w:val="-8"/>
        </w:rPr>
        <w:t>本基金的投资范围包括存托凭证，除与其他仅投资于沪深市场股票的基金所面临的共同</w:t>
      </w:r>
      <w:r>
        <w:rPr>
          <w:spacing w:val="-10"/>
        </w:rPr>
        <w:t>风险外，本基金还将面临存托凭证价格大幅波动甚至出现较大亏损的风险，以及与存托凭证</w:t>
      </w:r>
      <w:r>
        <w:rPr>
          <w:spacing w:val="-8"/>
        </w:rPr>
        <w:t>发行机制相关的风险，包括存托凭证持有人与境外基础证券发行人的股东在法律地位、享有</w:t>
      </w:r>
      <w:r>
        <w:rPr>
          <w:spacing w:val="-7"/>
        </w:rPr>
        <w:t>权利等方面存在差异可能引发的风险；存托凭证持有人在分红派息、行使表决权等方面的特</w:t>
      </w:r>
      <w:r>
        <w:rPr>
          <w:spacing w:val="-8"/>
        </w:rPr>
        <w:t>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pStyle w:val="Heading2"/>
        <w:spacing w:line="420" w:lineRule="exact"/>
      </w:pPr>
      <w:bookmarkStart w:name="_bookmark100" w:id="101"/>
      <w:bookmarkEnd w:id="101"/>
      <w:r>
        <w:rPr>
          <w:b w:val="0"/>
        </w:rPr>
      </w:r>
      <w:r>
        <w:rPr/>
        <w:t>（六）其他风险</w:t>
      </w:r>
    </w:p>
    <w:p>
      <w:pPr>
        <w:pStyle w:val="BodyText"/>
        <w:spacing w:before="219"/>
      </w:pPr>
      <w:r>
        <w:rPr/>
        <w:t>1、因技术因素而产生的风险，如电脑系统不可靠产生的风险；</w:t>
      </w:r>
    </w:p>
    <w:p>
      <w:pPr>
        <w:pStyle w:val="BodyText"/>
        <w:spacing w:before="7"/>
        <w:ind w:left="0"/>
        <w:rPr>
          <w:sz w:val="15"/>
        </w:rPr>
      </w:pPr>
    </w:p>
    <w:p>
      <w:pPr>
        <w:pStyle w:val="BodyText"/>
        <w:spacing w:line="417" w:lineRule="auto"/>
        <w:ind w:left="400" w:right="418" w:firstLine="420"/>
      </w:pPr>
      <w:r>
        <w:rPr/>
        <w:t>2、因战争、自然灾害等不可抗力导致的基金管理人、基金托管人、基金销售机构等机构无法正常工作，从而影响基金运作的风险；</w:t>
      </w:r>
    </w:p>
    <w:p>
      <w:pPr>
        <w:pStyle w:val="BodyText"/>
        <w:spacing w:line="417" w:lineRule="auto"/>
        <w:ind w:left="400" w:right="418" w:firstLine="420"/>
      </w:pPr>
      <w:r>
        <w:rPr/>
        <w:t>3、因金融市场危机、代理商违约、基金托管人违约等超出基金管理人自身控制能力的因素出现，可能导致基金或者基金份额持有人利益受损的风险。</w:t>
      </w:r>
    </w:p>
    <w:p>
      <w:pPr>
        <w:spacing w:after="0" w:line="417" w:lineRule="auto"/>
        <w:sectPr>
          <w:pgSz w:w="11910" w:h="16840"/>
          <w:pgMar w:header="0" w:footer="910" w:top="1380" w:bottom="1180" w:left="1400" w:right="1380"/>
        </w:sectPr>
      </w:pPr>
    </w:p>
    <w:p>
      <w:pPr>
        <w:pStyle w:val="Heading1"/>
        <w:ind w:left="618" w:right="0"/>
      </w:pPr>
      <w:bookmarkStart w:name="_bookmark101" w:id="102"/>
      <w:bookmarkEnd w:id="102"/>
      <w:r>
        <w:rPr>
          <w:b w:val="0"/>
        </w:rPr>
      </w:r>
      <w:r>
        <w:rPr/>
        <w:t>二十一、基金合同的变更、终止与基金财产的清算</w:t>
      </w:r>
    </w:p>
    <w:p>
      <w:pPr>
        <w:pStyle w:val="Heading2"/>
        <w:spacing w:before="46"/>
        <w:ind w:left="88" w:right="5602"/>
        <w:jc w:val="center"/>
      </w:pPr>
      <w:bookmarkStart w:name="_bookmark102" w:id="103"/>
      <w:bookmarkEnd w:id="103"/>
      <w:r>
        <w:rPr>
          <w:b w:val="0"/>
        </w:rPr>
      </w:r>
      <w:r>
        <w:rPr/>
        <w:t>（一）基金合同的变更</w:t>
      </w:r>
    </w:p>
    <w:p>
      <w:pPr>
        <w:pStyle w:val="BodyText"/>
        <w:spacing w:line="364" w:lineRule="auto" w:before="121"/>
        <w:ind w:left="400" w:right="418" w:firstLine="420"/>
        <w:jc w:val="both"/>
      </w:pPr>
      <w:r>
        <w:rPr/>
        <w:t>1、基金合同变更涉及本基金合同第十节第（二）项规定的对基金合同当事人权利、义</w:t>
      </w:r>
      <w:r>
        <w:rPr>
          <w:spacing w:val="-9"/>
        </w:rPr>
        <w:t>务产生重大影响的，应经基金份额持有人大会决议同意。变更基金合同的基金份额持有人大</w:t>
      </w:r>
      <w:r>
        <w:rPr/>
        <w:t>会决议应报中国证监会备案，并自表决通过之日起生效。</w:t>
      </w:r>
    </w:p>
    <w:p>
      <w:pPr>
        <w:pStyle w:val="BodyText"/>
        <w:spacing w:line="364" w:lineRule="auto"/>
        <w:ind w:left="400" w:right="418" w:firstLine="420"/>
        <w:jc w:val="both"/>
      </w:pPr>
      <w:r>
        <w:rPr/>
        <w:t>2</w:t>
      </w:r>
      <w:r>
        <w:rPr>
          <w:spacing w:val="-9"/>
        </w:rPr>
        <w:t>、除上述第 </w:t>
      </w:r>
      <w:r>
        <w:rPr/>
        <w:t>1</w:t>
      </w:r>
      <w:r>
        <w:rPr>
          <w:spacing w:val="-8"/>
        </w:rPr>
        <w:t> 项规定的情形外，经基金管理人和基金托管人同意可对基金合同的内容</w:t>
      </w:r>
      <w:r>
        <w:rPr>
          <w:spacing w:val="-12"/>
        </w:rPr>
        <w:t>进行变更，该等变更应当在 </w:t>
      </w:r>
      <w:r>
        <w:rPr/>
        <w:t>2</w:t>
      </w:r>
      <w:r>
        <w:rPr>
          <w:spacing w:val="-8"/>
        </w:rPr>
        <w:t> 日内由基金管理人进行公告并报中国证监会备案。</w:t>
      </w:r>
    </w:p>
    <w:p>
      <w:pPr>
        <w:pStyle w:val="Heading2"/>
        <w:spacing w:line="423" w:lineRule="exact"/>
        <w:ind w:left="88" w:right="5602"/>
        <w:jc w:val="center"/>
      </w:pPr>
      <w:bookmarkStart w:name="_bookmark103" w:id="104"/>
      <w:bookmarkEnd w:id="104"/>
      <w:r>
        <w:rPr>
          <w:b w:val="0"/>
        </w:rPr>
      </w:r>
      <w:r>
        <w:rPr/>
        <w:t>（二）基金合同的终止</w:t>
      </w:r>
    </w:p>
    <w:p>
      <w:pPr>
        <w:pStyle w:val="BodyText"/>
        <w:spacing w:before="120"/>
      </w:pPr>
      <w:r>
        <w:rPr/>
        <w:t>出现下列情形之一的，基金合同终止：：</w:t>
      </w:r>
    </w:p>
    <w:p>
      <w:pPr>
        <w:pStyle w:val="BodyText"/>
        <w:spacing w:before="140"/>
      </w:pPr>
      <w:r>
        <w:rPr/>
        <w:t>1、基金份额持有人大会决定终止；</w:t>
      </w:r>
    </w:p>
    <w:p>
      <w:pPr>
        <w:pStyle w:val="BodyText"/>
        <w:spacing w:line="364" w:lineRule="auto" w:before="139"/>
        <w:ind w:left="400" w:right="418" w:firstLine="420"/>
      </w:pPr>
      <w:r>
        <w:rPr/>
        <w:t>2、基金管理人、基金托管人职责终止，在六个月内没有新基金管理人、基金托管人承接的；</w:t>
      </w:r>
    </w:p>
    <w:p>
      <w:pPr>
        <w:pStyle w:val="BodyText"/>
        <w:spacing w:line="268" w:lineRule="exact"/>
      </w:pPr>
      <w:r>
        <w:rPr/>
        <w:t>3、法律法规和基金合同规定的其他情形。</w:t>
      </w:r>
    </w:p>
    <w:p>
      <w:pPr>
        <w:pStyle w:val="Heading2"/>
        <w:spacing w:before="48"/>
        <w:ind w:left="88" w:right="5602"/>
        <w:jc w:val="center"/>
      </w:pPr>
      <w:bookmarkStart w:name="_bookmark104" w:id="105"/>
      <w:bookmarkEnd w:id="105"/>
      <w:r>
        <w:rPr>
          <w:b w:val="0"/>
        </w:rPr>
      </w:r>
      <w:r>
        <w:rPr/>
        <w:t>（三）基金财产的清算</w:t>
      </w:r>
    </w:p>
    <w:p>
      <w:pPr>
        <w:pStyle w:val="BodyText"/>
        <w:spacing w:before="121"/>
      </w:pPr>
      <w:r>
        <w:rPr/>
        <w:t>1、基金合同终止，应当按法律法规和本基金合同的有关规定对基金财产进行清算。</w:t>
      </w:r>
    </w:p>
    <w:p>
      <w:pPr>
        <w:pStyle w:val="BodyText"/>
        <w:spacing w:before="140"/>
      </w:pPr>
      <w:r>
        <w:rPr/>
        <w:t>2、基金财产清算组</w:t>
      </w:r>
    </w:p>
    <w:p>
      <w:pPr>
        <w:pStyle w:val="ListParagraph"/>
        <w:numPr>
          <w:ilvl w:val="0"/>
          <w:numId w:val="29"/>
        </w:numPr>
        <w:tabs>
          <w:tab w:pos="1346" w:val="left" w:leader="none"/>
        </w:tabs>
        <w:spacing w:line="364" w:lineRule="auto" w:before="139" w:after="0"/>
        <w:ind w:left="400" w:right="418" w:firstLine="420"/>
        <w:jc w:val="both"/>
        <w:rPr>
          <w:sz w:val="21"/>
        </w:rPr>
      </w:pPr>
      <w:r>
        <w:rPr>
          <w:spacing w:val="-4"/>
          <w:sz w:val="21"/>
        </w:rPr>
        <w:t>自基金合同终止情形出现之日起 </w:t>
      </w:r>
      <w:r>
        <w:rPr>
          <w:sz w:val="21"/>
        </w:rPr>
        <w:t>30</w:t>
      </w:r>
      <w:r>
        <w:rPr>
          <w:spacing w:val="-8"/>
          <w:sz w:val="21"/>
        </w:rPr>
        <w:t> 个工作日内由基金管理人组织成立基金财产</w:t>
      </w:r>
      <w:r>
        <w:rPr>
          <w:spacing w:val="-11"/>
          <w:sz w:val="21"/>
        </w:rPr>
        <w:t>清算组，在基金财产清算组接管基金财产之前，基金管理人和基金托管人应按照基金合同和</w:t>
      </w:r>
      <w:r>
        <w:rPr>
          <w:spacing w:val="-4"/>
          <w:sz w:val="21"/>
        </w:rPr>
        <w:t>托管协议的规定继续履行保护基金财产安全的职责。</w:t>
      </w:r>
    </w:p>
    <w:p>
      <w:pPr>
        <w:pStyle w:val="ListParagraph"/>
        <w:numPr>
          <w:ilvl w:val="0"/>
          <w:numId w:val="29"/>
        </w:numPr>
        <w:tabs>
          <w:tab w:pos="1347" w:val="left" w:leader="none"/>
        </w:tabs>
        <w:spacing w:line="364" w:lineRule="auto" w:before="0" w:after="0"/>
        <w:ind w:left="400" w:right="418" w:firstLine="420"/>
        <w:jc w:val="both"/>
        <w:rPr>
          <w:sz w:val="21"/>
        </w:rPr>
      </w:pPr>
      <w:r>
        <w:rPr>
          <w:sz w:val="21"/>
        </w:rPr>
        <w:t>基金财产清算组成员由基金管理人、基金托管人、基金注册登记人、具有从事证</w:t>
      </w:r>
      <w:r>
        <w:rPr>
          <w:spacing w:val="-7"/>
          <w:sz w:val="21"/>
        </w:rPr>
        <w:t>券相关业务资格的注册会计师、律师以及中国证监会指定的人员组成。基金财产清算组可以</w:t>
      </w:r>
      <w:r>
        <w:rPr>
          <w:sz w:val="21"/>
        </w:rPr>
        <w:t>聘用必要的工作人员。</w:t>
      </w:r>
    </w:p>
    <w:p>
      <w:pPr>
        <w:pStyle w:val="ListParagraph"/>
        <w:numPr>
          <w:ilvl w:val="0"/>
          <w:numId w:val="29"/>
        </w:numPr>
        <w:tabs>
          <w:tab w:pos="1347" w:val="left" w:leader="none"/>
        </w:tabs>
        <w:spacing w:line="364" w:lineRule="auto" w:before="0" w:after="0"/>
        <w:ind w:left="400" w:right="418" w:firstLine="420"/>
        <w:jc w:val="left"/>
        <w:rPr>
          <w:sz w:val="21"/>
        </w:rPr>
      </w:pPr>
      <w:r>
        <w:rPr>
          <w:sz w:val="21"/>
        </w:rPr>
        <w:t>基金财产清算组负责基金财产的保管、清理、估价、变现和分配。基金财产清算组可以依法进行必要的民事活动。</w:t>
      </w:r>
    </w:p>
    <w:p>
      <w:pPr>
        <w:pStyle w:val="BodyText"/>
        <w:spacing w:line="268" w:lineRule="exact"/>
      </w:pPr>
      <w:r>
        <w:rPr/>
        <w:t>3、清算程序</w:t>
      </w:r>
    </w:p>
    <w:p>
      <w:pPr>
        <w:pStyle w:val="ListParagraph"/>
        <w:numPr>
          <w:ilvl w:val="0"/>
          <w:numId w:val="30"/>
        </w:numPr>
        <w:tabs>
          <w:tab w:pos="1346" w:val="left" w:leader="none"/>
        </w:tabs>
        <w:spacing w:line="240" w:lineRule="auto" w:before="137" w:after="0"/>
        <w:ind w:left="1346" w:right="0" w:hanging="526"/>
        <w:jc w:val="left"/>
        <w:rPr>
          <w:sz w:val="21"/>
        </w:rPr>
      </w:pPr>
      <w:r>
        <w:rPr>
          <w:sz w:val="21"/>
        </w:rPr>
        <w:t>基金合同终止情形出现后，由基金财产清算组统一接管基金财产；</w:t>
      </w:r>
    </w:p>
    <w:p>
      <w:pPr>
        <w:pStyle w:val="ListParagraph"/>
        <w:numPr>
          <w:ilvl w:val="0"/>
          <w:numId w:val="30"/>
        </w:numPr>
        <w:tabs>
          <w:tab w:pos="1346" w:val="left" w:leader="none"/>
        </w:tabs>
        <w:spacing w:line="240" w:lineRule="auto" w:before="139" w:after="0"/>
        <w:ind w:left="1346" w:right="0" w:hanging="526"/>
        <w:jc w:val="left"/>
        <w:rPr>
          <w:sz w:val="21"/>
        </w:rPr>
      </w:pPr>
      <w:r>
        <w:rPr>
          <w:sz w:val="21"/>
        </w:rPr>
        <w:t>基金财产清算组根据基金财产的情况确定清算期限；</w:t>
      </w:r>
    </w:p>
    <w:p>
      <w:pPr>
        <w:pStyle w:val="ListParagraph"/>
        <w:numPr>
          <w:ilvl w:val="0"/>
          <w:numId w:val="30"/>
        </w:numPr>
        <w:tabs>
          <w:tab w:pos="1346" w:val="left" w:leader="none"/>
        </w:tabs>
        <w:spacing w:line="240" w:lineRule="auto" w:before="140" w:after="0"/>
        <w:ind w:left="1346" w:right="0" w:hanging="526"/>
        <w:jc w:val="left"/>
        <w:rPr>
          <w:sz w:val="21"/>
        </w:rPr>
      </w:pPr>
      <w:r>
        <w:rPr>
          <w:sz w:val="21"/>
        </w:rPr>
        <w:t>基金财产清算组对基金财产进行清理和确认；</w:t>
      </w:r>
    </w:p>
    <w:p>
      <w:pPr>
        <w:pStyle w:val="ListParagraph"/>
        <w:numPr>
          <w:ilvl w:val="0"/>
          <w:numId w:val="30"/>
        </w:numPr>
        <w:tabs>
          <w:tab w:pos="1346" w:val="left" w:leader="none"/>
        </w:tabs>
        <w:spacing w:line="240" w:lineRule="auto" w:before="139" w:after="0"/>
        <w:ind w:left="1346" w:right="0" w:hanging="526"/>
        <w:jc w:val="left"/>
        <w:rPr>
          <w:sz w:val="21"/>
        </w:rPr>
      </w:pPr>
      <w:r>
        <w:rPr>
          <w:sz w:val="21"/>
        </w:rPr>
        <w:t>对基金财产进行评估和变现；</w:t>
      </w:r>
    </w:p>
    <w:p>
      <w:pPr>
        <w:pStyle w:val="ListParagraph"/>
        <w:numPr>
          <w:ilvl w:val="0"/>
          <w:numId w:val="30"/>
        </w:numPr>
        <w:tabs>
          <w:tab w:pos="1346" w:val="left" w:leader="none"/>
        </w:tabs>
        <w:spacing w:line="240" w:lineRule="auto" w:before="139" w:after="0"/>
        <w:ind w:left="1346" w:right="0" w:hanging="526"/>
        <w:jc w:val="left"/>
        <w:rPr>
          <w:sz w:val="21"/>
        </w:rPr>
      </w:pPr>
      <w:r>
        <w:rPr>
          <w:sz w:val="21"/>
        </w:rPr>
        <w:t>基金财产清算组作出清算报告；</w:t>
      </w:r>
    </w:p>
    <w:p>
      <w:pPr>
        <w:pStyle w:val="ListParagraph"/>
        <w:numPr>
          <w:ilvl w:val="0"/>
          <w:numId w:val="30"/>
        </w:numPr>
        <w:tabs>
          <w:tab w:pos="1346" w:val="left" w:leader="none"/>
        </w:tabs>
        <w:spacing w:line="240" w:lineRule="auto" w:before="140" w:after="0"/>
        <w:ind w:left="1346" w:right="0" w:hanging="526"/>
        <w:jc w:val="left"/>
        <w:rPr>
          <w:sz w:val="21"/>
        </w:rPr>
      </w:pPr>
      <w:r>
        <w:rPr>
          <w:sz w:val="21"/>
        </w:rPr>
        <w:t>会计师事务所对清算报告进行审计；</w:t>
      </w:r>
    </w:p>
    <w:p>
      <w:pPr>
        <w:pStyle w:val="ListParagraph"/>
        <w:numPr>
          <w:ilvl w:val="0"/>
          <w:numId w:val="30"/>
        </w:numPr>
        <w:tabs>
          <w:tab w:pos="1346" w:val="left" w:leader="none"/>
        </w:tabs>
        <w:spacing w:line="240" w:lineRule="auto" w:before="139" w:after="0"/>
        <w:ind w:left="1346" w:right="0" w:hanging="526"/>
        <w:jc w:val="left"/>
        <w:rPr>
          <w:sz w:val="21"/>
        </w:rPr>
      </w:pPr>
      <w:r>
        <w:rPr>
          <w:sz w:val="21"/>
        </w:rPr>
        <w:t>律师事务所对清算报告出具法律意见书；</w:t>
      </w:r>
    </w:p>
    <w:p>
      <w:pPr>
        <w:spacing w:after="0" w:line="240" w:lineRule="auto"/>
        <w:jc w:val="left"/>
        <w:rPr>
          <w:sz w:val="21"/>
        </w:rPr>
        <w:sectPr>
          <w:pgSz w:w="11910" w:h="16840"/>
          <w:pgMar w:header="0" w:footer="910" w:top="1400" w:bottom="1180" w:left="1400" w:right="1380"/>
        </w:sectPr>
      </w:pPr>
    </w:p>
    <w:p>
      <w:pPr>
        <w:pStyle w:val="ListParagraph"/>
        <w:numPr>
          <w:ilvl w:val="0"/>
          <w:numId w:val="30"/>
        </w:numPr>
        <w:tabs>
          <w:tab w:pos="1346" w:val="left" w:leader="none"/>
        </w:tabs>
        <w:spacing w:line="240" w:lineRule="auto" w:before="45" w:after="0"/>
        <w:ind w:left="1346" w:right="0" w:hanging="526"/>
        <w:jc w:val="left"/>
        <w:rPr>
          <w:sz w:val="21"/>
        </w:rPr>
      </w:pPr>
      <w:r>
        <w:rPr>
          <w:sz w:val="21"/>
        </w:rPr>
        <w:t>将基金财产清算结果报告中国证监会；</w:t>
      </w:r>
    </w:p>
    <w:p>
      <w:pPr>
        <w:pStyle w:val="ListParagraph"/>
        <w:numPr>
          <w:ilvl w:val="0"/>
          <w:numId w:val="30"/>
        </w:numPr>
        <w:tabs>
          <w:tab w:pos="1346" w:val="left" w:leader="none"/>
        </w:tabs>
        <w:spacing w:line="240" w:lineRule="auto" w:before="139" w:after="0"/>
        <w:ind w:left="1346" w:right="0" w:hanging="526"/>
        <w:jc w:val="left"/>
        <w:rPr>
          <w:sz w:val="21"/>
        </w:rPr>
      </w:pPr>
      <w:r>
        <w:rPr>
          <w:sz w:val="21"/>
        </w:rPr>
        <w:t>公布基金财产清算公告；</w:t>
      </w:r>
    </w:p>
    <w:p>
      <w:pPr>
        <w:pStyle w:val="ListParagraph"/>
        <w:numPr>
          <w:ilvl w:val="0"/>
          <w:numId w:val="30"/>
        </w:numPr>
        <w:tabs>
          <w:tab w:pos="1451" w:val="left" w:leader="none"/>
        </w:tabs>
        <w:spacing w:line="240" w:lineRule="auto" w:before="140" w:after="0"/>
        <w:ind w:left="1451" w:right="0" w:hanging="631"/>
        <w:jc w:val="left"/>
        <w:rPr>
          <w:sz w:val="21"/>
        </w:rPr>
      </w:pPr>
      <w:r>
        <w:rPr>
          <w:sz w:val="21"/>
        </w:rPr>
        <w:t>对基金剩余财产进行分配。</w:t>
      </w:r>
    </w:p>
    <w:p>
      <w:pPr>
        <w:pStyle w:val="BodyText"/>
        <w:spacing w:before="139"/>
      </w:pPr>
      <w:r>
        <w:rPr/>
        <w:t>4、清算费用</w:t>
      </w:r>
    </w:p>
    <w:p>
      <w:pPr>
        <w:pStyle w:val="BodyText"/>
        <w:spacing w:line="364" w:lineRule="auto" w:before="140"/>
        <w:ind w:left="400" w:right="418" w:firstLine="420"/>
      </w:pPr>
      <w:r>
        <w:rPr>
          <w:spacing w:val="-4"/>
        </w:rPr>
        <w:t>清算费用是指基金财产清算组在进行基金财产清算过程中发生的所有合理费用，清算费</w:t>
      </w:r>
      <w:r>
        <w:rPr/>
        <w:t>用由基金财产清算组优先从基金财产中支付。</w:t>
      </w:r>
    </w:p>
    <w:p>
      <w:pPr>
        <w:pStyle w:val="BodyText"/>
        <w:spacing w:line="268" w:lineRule="exact"/>
      </w:pPr>
      <w:r>
        <w:rPr/>
        <w:t>5、基金剩余财产的分配</w:t>
      </w:r>
    </w:p>
    <w:p>
      <w:pPr>
        <w:pStyle w:val="BodyText"/>
        <w:spacing w:before="139"/>
      </w:pPr>
      <w:r>
        <w:rPr/>
        <w:t>基金财产按如下顺序进行清偿：</w:t>
      </w:r>
    </w:p>
    <w:p>
      <w:pPr>
        <w:pStyle w:val="ListParagraph"/>
        <w:numPr>
          <w:ilvl w:val="0"/>
          <w:numId w:val="31"/>
        </w:numPr>
        <w:tabs>
          <w:tab w:pos="1346" w:val="left" w:leader="none"/>
        </w:tabs>
        <w:spacing w:line="240" w:lineRule="auto" w:before="140" w:after="0"/>
        <w:ind w:left="1346" w:right="0" w:hanging="526"/>
        <w:jc w:val="left"/>
        <w:rPr>
          <w:sz w:val="21"/>
        </w:rPr>
      </w:pPr>
      <w:r>
        <w:rPr>
          <w:sz w:val="21"/>
        </w:rPr>
        <w:t>支付基金财产清算费用；</w:t>
      </w:r>
    </w:p>
    <w:p>
      <w:pPr>
        <w:pStyle w:val="ListParagraph"/>
        <w:numPr>
          <w:ilvl w:val="0"/>
          <w:numId w:val="31"/>
        </w:numPr>
        <w:tabs>
          <w:tab w:pos="1346" w:val="left" w:leader="none"/>
        </w:tabs>
        <w:spacing w:line="240" w:lineRule="auto" w:before="139" w:after="0"/>
        <w:ind w:left="1346" w:right="0" w:hanging="526"/>
        <w:jc w:val="left"/>
        <w:rPr>
          <w:sz w:val="21"/>
        </w:rPr>
      </w:pPr>
      <w:r>
        <w:rPr>
          <w:sz w:val="21"/>
        </w:rPr>
        <w:t>缴纳基金所欠税款；</w:t>
      </w:r>
    </w:p>
    <w:p>
      <w:pPr>
        <w:pStyle w:val="ListParagraph"/>
        <w:numPr>
          <w:ilvl w:val="0"/>
          <w:numId w:val="31"/>
        </w:numPr>
        <w:tabs>
          <w:tab w:pos="1346" w:val="left" w:leader="none"/>
        </w:tabs>
        <w:spacing w:line="240" w:lineRule="auto" w:before="139" w:after="0"/>
        <w:ind w:left="1346" w:right="0" w:hanging="526"/>
        <w:jc w:val="left"/>
        <w:rPr>
          <w:sz w:val="21"/>
        </w:rPr>
      </w:pPr>
      <w:r>
        <w:rPr>
          <w:sz w:val="21"/>
        </w:rPr>
        <w:t>清偿基金债务；</w:t>
      </w:r>
    </w:p>
    <w:p>
      <w:pPr>
        <w:pStyle w:val="ListParagraph"/>
        <w:numPr>
          <w:ilvl w:val="0"/>
          <w:numId w:val="31"/>
        </w:numPr>
        <w:tabs>
          <w:tab w:pos="1346" w:val="left" w:leader="none"/>
        </w:tabs>
        <w:spacing w:line="240" w:lineRule="auto" w:before="140" w:after="0"/>
        <w:ind w:left="1346" w:right="0" w:hanging="526"/>
        <w:jc w:val="left"/>
        <w:rPr>
          <w:sz w:val="21"/>
        </w:rPr>
      </w:pPr>
      <w:r>
        <w:rPr>
          <w:sz w:val="21"/>
        </w:rPr>
        <w:t>清算后如有余额，按基金份额持有人持有的基金份额比例进行分配。</w:t>
      </w:r>
    </w:p>
    <w:p>
      <w:pPr>
        <w:pStyle w:val="BodyText"/>
        <w:spacing w:before="139"/>
      </w:pPr>
      <w:r>
        <w:rPr/>
        <w:t>6、基金财产清算的公告</w:t>
      </w:r>
    </w:p>
    <w:p>
      <w:pPr>
        <w:pStyle w:val="BodyText"/>
        <w:spacing w:line="364" w:lineRule="auto" w:before="140"/>
        <w:ind w:left="400" w:right="418" w:firstLine="420"/>
      </w:pPr>
      <w:r>
        <w:rPr>
          <w:spacing w:val="-7"/>
        </w:rPr>
        <w:t>清算过程中的有关重大事项须及时公告；基金财产清算组做出的清算报告经会计师事务</w:t>
      </w:r>
      <w:r>
        <w:rPr/>
        <w:t>所审计，律师事务所出具法律意见书后，报中国证监会备案并公告。</w:t>
      </w:r>
    </w:p>
    <w:p>
      <w:pPr>
        <w:pStyle w:val="ListParagraph"/>
        <w:numPr>
          <w:ilvl w:val="0"/>
          <w:numId w:val="32"/>
        </w:numPr>
        <w:tabs>
          <w:tab w:pos="1346" w:val="left" w:leader="none"/>
        </w:tabs>
        <w:spacing w:line="268" w:lineRule="exact" w:before="0" w:after="0"/>
        <w:ind w:left="1346" w:right="0" w:hanging="526"/>
        <w:jc w:val="left"/>
        <w:rPr>
          <w:sz w:val="21"/>
        </w:rPr>
      </w:pPr>
      <w:r>
        <w:rPr>
          <w:spacing w:val="-6"/>
          <w:sz w:val="21"/>
        </w:rPr>
        <w:t>基金财产清算期限为 </w:t>
      </w:r>
      <w:r>
        <w:rPr>
          <w:sz w:val="21"/>
        </w:rPr>
        <w:t>6</w:t>
      </w:r>
      <w:r>
        <w:rPr>
          <w:spacing w:val="-14"/>
          <w:sz w:val="21"/>
        </w:rPr>
        <w:t> 个月。</w:t>
      </w:r>
    </w:p>
    <w:p>
      <w:pPr>
        <w:pStyle w:val="ListParagraph"/>
        <w:numPr>
          <w:ilvl w:val="0"/>
          <w:numId w:val="32"/>
        </w:numPr>
        <w:tabs>
          <w:tab w:pos="1346" w:val="left" w:leader="none"/>
        </w:tabs>
        <w:spacing w:line="240" w:lineRule="auto" w:before="139" w:after="0"/>
        <w:ind w:left="1346" w:right="0" w:hanging="526"/>
        <w:jc w:val="left"/>
        <w:rPr>
          <w:sz w:val="21"/>
        </w:rPr>
      </w:pPr>
      <w:r>
        <w:rPr>
          <w:spacing w:val="-3"/>
          <w:sz w:val="21"/>
        </w:rPr>
        <w:t>基金财产清算账册及文件由基金托管人保存 </w:t>
      </w:r>
      <w:r>
        <w:rPr>
          <w:sz w:val="21"/>
        </w:rPr>
        <w:t>15</w:t>
      </w:r>
      <w:r>
        <w:rPr>
          <w:spacing w:val="-12"/>
          <w:sz w:val="21"/>
        </w:rPr>
        <w:t> 年以上。</w:t>
      </w:r>
    </w:p>
    <w:p>
      <w:pPr>
        <w:spacing w:after="0" w:line="240" w:lineRule="auto"/>
        <w:jc w:val="left"/>
        <w:rPr>
          <w:sz w:val="21"/>
        </w:rPr>
        <w:sectPr>
          <w:pgSz w:w="11910" w:h="16840"/>
          <w:pgMar w:header="0" w:footer="910" w:top="1380" w:bottom="1180" w:left="1400" w:right="1380"/>
        </w:sectPr>
      </w:pPr>
    </w:p>
    <w:p>
      <w:pPr>
        <w:pStyle w:val="Heading1"/>
      </w:pPr>
      <w:bookmarkStart w:name="_bookmark105" w:id="106"/>
      <w:bookmarkEnd w:id="106"/>
      <w:r>
        <w:rPr>
          <w:b w:val="0"/>
        </w:rPr>
      </w:r>
      <w:r>
        <w:rPr/>
        <w:t>二十二、基金合同内容摘要</w:t>
      </w:r>
    </w:p>
    <w:p>
      <w:pPr>
        <w:pStyle w:val="Heading2"/>
        <w:spacing w:before="46"/>
      </w:pPr>
      <w:bookmarkStart w:name="_bookmark106" w:id="107"/>
      <w:bookmarkEnd w:id="107"/>
      <w:r>
        <w:rPr>
          <w:b w:val="0"/>
        </w:rPr>
      </w:r>
      <w:r>
        <w:rPr/>
        <w:t>（一）前言</w:t>
      </w:r>
    </w:p>
    <w:p>
      <w:pPr>
        <w:pStyle w:val="BodyText"/>
        <w:spacing w:line="364" w:lineRule="auto" w:before="121"/>
        <w:ind w:left="400" w:right="418" w:firstLine="420"/>
      </w:pPr>
      <w:r>
        <w:rPr/>
        <w:t>1、订立《易方达科讯混合型证券投资基金基金合同》（以下简称“本基金合同”）的目的、依据和原则。</w:t>
      </w:r>
    </w:p>
    <w:p>
      <w:pPr>
        <w:pStyle w:val="BodyText"/>
        <w:spacing w:line="268" w:lineRule="exact"/>
      </w:pPr>
      <w:r>
        <w:rPr/>
        <w:t>（1)订立本基金合同的目的</w:t>
      </w:r>
    </w:p>
    <w:p>
      <w:pPr>
        <w:pStyle w:val="BodyText"/>
        <w:spacing w:line="364" w:lineRule="auto" w:before="140"/>
        <w:ind w:left="400" w:right="418" w:firstLine="420"/>
      </w:pPr>
      <w:r>
        <w:rPr>
          <w:spacing w:val="-5"/>
        </w:rPr>
        <w:t>订立本基金合同的目的是明确本基金合同当事人的权利义务、规范易方达科讯混合型证</w:t>
      </w:r>
      <w:r>
        <w:rPr/>
        <w:t>券投资基金（以下简称“本基金”）的运作，保护基金合同当事人的合法权益。</w:t>
      </w:r>
    </w:p>
    <w:p>
      <w:pPr>
        <w:pStyle w:val="ListParagraph"/>
        <w:numPr>
          <w:ilvl w:val="0"/>
          <w:numId w:val="33"/>
        </w:numPr>
        <w:tabs>
          <w:tab w:pos="1346" w:val="left" w:leader="none"/>
        </w:tabs>
        <w:spacing w:line="268" w:lineRule="exact" w:before="0" w:after="0"/>
        <w:ind w:left="1346" w:right="0" w:hanging="526"/>
        <w:jc w:val="left"/>
        <w:rPr>
          <w:sz w:val="21"/>
        </w:rPr>
      </w:pPr>
      <w:r>
        <w:rPr>
          <w:sz w:val="21"/>
        </w:rPr>
        <w:t>订立本基金合同的依据</w:t>
      </w:r>
    </w:p>
    <w:p>
      <w:pPr>
        <w:pStyle w:val="BodyText"/>
        <w:spacing w:line="364" w:lineRule="auto" w:before="139"/>
        <w:ind w:left="400" w:right="417" w:firstLine="420"/>
        <w:jc w:val="both"/>
      </w:pPr>
      <w:r>
        <w:rPr>
          <w:spacing w:val="-7"/>
        </w:rPr>
        <w:t>订立本基金合同的依据是《中华人民共和国合同法》、《中华人民共和国证券投资基金</w:t>
      </w:r>
      <w:r>
        <w:rPr>
          <w:spacing w:val="-15"/>
        </w:rPr>
        <w:t>法》(以下简称“《基金法》”)、《公开募集证券投资基金运作管理办法》(以下简称“《运</w:t>
      </w:r>
      <w:r>
        <w:rPr/>
        <w:t>作办法》”)、《证券投资基金销售管理办法》(以下简称“《销售办法》”)、《公开募集</w:t>
      </w:r>
      <w:r>
        <w:rPr>
          <w:spacing w:val="-8"/>
        </w:rPr>
        <w:t>证券投资基金信息披露管理办法》(以下简称“《信息披露办法》”)、证券投资基金信息披</w:t>
      </w:r>
      <w:r>
        <w:rPr>
          <w:spacing w:val="-6"/>
        </w:rPr>
        <w:t>露内容与格式准则第 </w:t>
      </w:r>
      <w:r>
        <w:rPr/>
        <w:t>6</w:t>
      </w:r>
      <w:r>
        <w:rPr>
          <w:spacing w:val="-8"/>
        </w:rPr>
        <w:t> 号《基金合同的内容与格式》及其他有关规定。</w:t>
      </w:r>
    </w:p>
    <w:p>
      <w:pPr>
        <w:pStyle w:val="ListParagraph"/>
        <w:numPr>
          <w:ilvl w:val="0"/>
          <w:numId w:val="33"/>
        </w:numPr>
        <w:tabs>
          <w:tab w:pos="1346" w:val="left" w:leader="none"/>
        </w:tabs>
        <w:spacing w:line="267" w:lineRule="exact" w:before="0" w:after="0"/>
        <w:ind w:left="1346" w:right="0" w:hanging="526"/>
        <w:jc w:val="left"/>
        <w:rPr>
          <w:sz w:val="21"/>
        </w:rPr>
      </w:pPr>
      <w:r>
        <w:rPr>
          <w:sz w:val="21"/>
        </w:rPr>
        <w:t>订立本基金合同的原则</w:t>
      </w:r>
    </w:p>
    <w:p>
      <w:pPr>
        <w:pStyle w:val="BodyText"/>
        <w:spacing w:before="140"/>
      </w:pPr>
      <w:r>
        <w:rPr/>
        <w:t>订立本基金合同的原则是平等自愿、诚实信用、充分保护基金份额持有人的合法权益。</w:t>
      </w:r>
    </w:p>
    <w:p>
      <w:pPr>
        <w:pStyle w:val="BodyText"/>
        <w:spacing w:line="364" w:lineRule="auto" w:before="139"/>
        <w:ind w:left="400" w:right="418" w:firstLine="420"/>
        <w:jc w:val="both"/>
      </w:pPr>
      <w:r>
        <w:rPr/>
        <w:t>2、本基金由基金管理人依照《基金法》、本基金合同和其他有关规定募集，并经中国</w:t>
      </w:r>
      <w:r>
        <w:rPr>
          <w:spacing w:val="-10"/>
        </w:rPr>
        <w:t>证监会核准。中国证监会对本基金募集的核准，并不表明其对本基金的价值和收益作出实质</w:t>
      </w:r>
      <w:r>
        <w:rPr/>
        <w:t>性判断或保证，也不表明投资于本基金没有风险。</w:t>
      </w:r>
    </w:p>
    <w:p>
      <w:pPr>
        <w:pStyle w:val="BodyText"/>
        <w:spacing w:line="364" w:lineRule="auto"/>
        <w:ind w:left="400" w:right="417" w:firstLine="420"/>
        <w:jc w:val="both"/>
      </w:pPr>
      <w:r>
        <w:rPr>
          <w:spacing w:val="-7"/>
        </w:rPr>
        <w:t>基金管理人依照恪尽职守、诚实信用、谨慎勤勉的原则管理和运用基金财产，但由于证</w:t>
      </w:r>
      <w:r>
        <w:rPr>
          <w:spacing w:val="-8"/>
        </w:rPr>
        <w:t>券投资具有一定的风险，因此不保证投资于本基金一定盈利，也不保证基金份额持有人的最</w:t>
      </w:r>
      <w:r>
        <w:rPr/>
        <w:t>低收益。</w:t>
      </w:r>
    </w:p>
    <w:p>
      <w:pPr>
        <w:pStyle w:val="BodyText"/>
        <w:spacing w:line="364" w:lineRule="auto"/>
        <w:ind w:left="400" w:right="417" w:firstLine="420"/>
        <w:jc w:val="both"/>
      </w:pPr>
      <w:r>
        <w:rPr/>
        <w:t>3、本基金合同是约定本基金合同当事人之间基本权利义务的法律文件，其他与本基金</w:t>
      </w:r>
      <w:r>
        <w:rPr>
          <w:spacing w:val="-5"/>
        </w:rPr>
        <w:t>相关的涉及本基金合同当事人之间权利义务关系的任何文件或表述，如与本基金合同不一致</w:t>
      </w:r>
      <w:r>
        <w:rPr>
          <w:spacing w:val="-10"/>
        </w:rPr>
        <w:t>或有冲突，均以本基金合同为准。本基金合同的当事人包括基金管理人、基金托管人和基金份额持有人。基金投资人自依本基金合同取得本基金基金份额，即成为基金份额持有人和本</w:t>
      </w:r>
      <w:r>
        <w:rPr>
          <w:spacing w:val="-9"/>
        </w:rPr>
        <w:t>基金合同的当事人，其持有基金份额的行为本身即表明其对本基金合同的承认和接受。基金</w:t>
      </w:r>
      <w:r>
        <w:rPr>
          <w:spacing w:val="-4"/>
        </w:rPr>
        <w:t>份额持有人作为本基金合同当事人并不以在本基金合同上书面签章为必要条件。本基金合同</w:t>
      </w:r>
      <w:r>
        <w:rPr>
          <w:spacing w:val="-9"/>
        </w:rPr>
        <w:t>的当事人应按照《基金法》、本基金合同及其他有关规定享有权利、承担义务。</w:t>
      </w:r>
    </w:p>
    <w:p>
      <w:pPr>
        <w:pStyle w:val="BodyText"/>
        <w:spacing w:line="364" w:lineRule="auto"/>
        <w:ind w:left="400" w:right="418" w:firstLine="420"/>
      </w:pPr>
      <w:r>
        <w:rPr/>
        <w:t>4、本基金合同约定的基金产品资料概要编制、披露与更新要求，自《信息披露办法》实施之日起一年后开始执行。</w:t>
      </w:r>
    </w:p>
    <w:p>
      <w:pPr>
        <w:pStyle w:val="Heading2"/>
        <w:spacing w:line="423" w:lineRule="exact"/>
      </w:pPr>
      <w:bookmarkStart w:name="_bookmark107" w:id="108"/>
      <w:bookmarkEnd w:id="108"/>
      <w:r>
        <w:rPr>
          <w:b w:val="0"/>
        </w:rPr>
      </w:r>
      <w:r>
        <w:rPr/>
        <w:t>（二）基金管理人的权利与义务</w:t>
      </w:r>
    </w:p>
    <w:p>
      <w:pPr>
        <w:pStyle w:val="BodyText"/>
        <w:spacing w:before="115"/>
      </w:pPr>
      <w:r>
        <w:rPr/>
        <w:t>1、基金管理人的权利</w:t>
      </w:r>
    </w:p>
    <w:p>
      <w:pPr>
        <w:pStyle w:val="ListParagraph"/>
        <w:numPr>
          <w:ilvl w:val="0"/>
          <w:numId w:val="34"/>
        </w:numPr>
        <w:tabs>
          <w:tab w:pos="1346" w:val="left" w:leader="none"/>
        </w:tabs>
        <w:spacing w:line="240" w:lineRule="auto" w:before="140" w:after="0"/>
        <w:ind w:left="1346" w:right="0" w:hanging="526"/>
        <w:jc w:val="left"/>
        <w:rPr>
          <w:sz w:val="21"/>
        </w:rPr>
      </w:pPr>
      <w:r>
        <w:rPr>
          <w:sz w:val="21"/>
        </w:rPr>
        <w:t>依法募集基金；</w:t>
      </w:r>
    </w:p>
    <w:p>
      <w:pPr>
        <w:spacing w:after="0" w:line="240" w:lineRule="auto"/>
        <w:jc w:val="left"/>
        <w:rPr>
          <w:sz w:val="21"/>
        </w:rPr>
        <w:sectPr>
          <w:pgSz w:w="11910" w:h="16840"/>
          <w:pgMar w:header="0" w:footer="910" w:top="1400" w:bottom="1180" w:left="1400" w:right="1380"/>
        </w:sectPr>
      </w:pPr>
    </w:p>
    <w:p>
      <w:pPr>
        <w:pStyle w:val="ListParagraph"/>
        <w:numPr>
          <w:ilvl w:val="0"/>
          <w:numId w:val="34"/>
        </w:numPr>
        <w:tabs>
          <w:tab w:pos="1346" w:val="left" w:leader="none"/>
        </w:tabs>
        <w:spacing w:line="240" w:lineRule="auto" w:before="45" w:after="0"/>
        <w:ind w:left="1346" w:right="0" w:hanging="526"/>
        <w:jc w:val="left"/>
        <w:rPr>
          <w:sz w:val="21"/>
        </w:rPr>
      </w:pPr>
      <w:r>
        <w:rPr>
          <w:spacing w:val="-4"/>
          <w:sz w:val="21"/>
        </w:rPr>
        <w:t>自基金合同生效之日起，基金管理人依照法律法规和基金合同独立管理基金财产；</w:t>
      </w:r>
    </w:p>
    <w:p>
      <w:pPr>
        <w:pStyle w:val="ListParagraph"/>
        <w:numPr>
          <w:ilvl w:val="0"/>
          <w:numId w:val="34"/>
        </w:numPr>
        <w:tabs>
          <w:tab w:pos="1347" w:val="left" w:leader="none"/>
        </w:tabs>
        <w:spacing w:line="364" w:lineRule="auto" w:before="139" w:after="0"/>
        <w:ind w:left="400" w:right="418" w:firstLine="420"/>
        <w:jc w:val="left"/>
        <w:rPr>
          <w:sz w:val="21"/>
        </w:rPr>
      </w:pPr>
      <w:r>
        <w:rPr>
          <w:sz w:val="21"/>
        </w:rPr>
        <w:t>根据法律法规和基金合同的规定，制订、修改并公布有关基金申购、赎回、转托管、基金转换、非交易过户、冻结、收益分配等方面的业务规则；</w:t>
      </w:r>
    </w:p>
    <w:p>
      <w:pPr>
        <w:pStyle w:val="ListParagraph"/>
        <w:numPr>
          <w:ilvl w:val="0"/>
          <w:numId w:val="34"/>
        </w:numPr>
        <w:tabs>
          <w:tab w:pos="1346" w:val="left" w:leader="none"/>
        </w:tabs>
        <w:spacing w:line="268" w:lineRule="exact" w:before="0" w:after="0"/>
        <w:ind w:left="1346" w:right="0" w:hanging="526"/>
        <w:jc w:val="left"/>
        <w:rPr>
          <w:sz w:val="21"/>
        </w:rPr>
      </w:pPr>
      <w:r>
        <w:rPr>
          <w:sz w:val="21"/>
        </w:rPr>
        <w:t>根据法律法规和基金合同的规定获得基金管理费；</w:t>
      </w:r>
    </w:p>
    <w:p>
      <w:pPr>
        <w:pStyle w:val="ListParagraph"/>
        <w:numPr>
          <w:ilvl w:val="0"/>
          <w:numId w:val="34"/>
        </w:numPr>
        <w:tabs>
          <w:tab w:pos="1347" w:val="left" w:leader="none"/>
        </w:tabs>
        <w:spacing w:line="364" w:lineRule="auto" w:before="140" w:after="0"/>
        <w:ind w:left="400" w:right="418" w:firstLine="420"/>
        <w:jc w:val="left"/>
        <w:rPr>
          <w:sz w:val="21"/>
        </w:rPr>
      </w:pPr>
      <w:r>
        <w:rPr>
          <w:sz w:val="21"/>
        </w:rPr>
        <w:t>在符合有关法律法规和基金合同的前提下，决定本基金除调高托管费率和管理费率之外的相关费率结构和收费方式；</w:t>
      </w:r>
    </w:p>
    <w:p>
      <w:pPr>
        <w:pStyle w:val="ListParagraph"/>
        <w:numPr>
          <w:ilvl w:val="0"/>
          <w:numId w:val="34"/>
        </w:numPr>
        <w:tabs>
          <w:tab w:pos="1347" w:val="left" w:leader="none"/>
        </w:tabs>
        <w:spacing w:line="364" w:lineRule="auto" w:before="0" w:after="0"/>
        <w:ind w:left="400" w:right="418" w:firstLine="420"/>
        <w:jc w:val="left"/>
        <w:rPr>
          <w:sz w:val="21"/>
        </w:rPr>
      </w:pPr>
      <w:r>
        <w:rPr>
          <w:sz w:val="21"/>
        </w:rPr>
        <w:t>根据法律法规和基金合同之规定销售基金份额，收取申购费、基金赎回手续费及其它法律法规规定的费用；</w:t>
      </w:r>
    </w:p>
    <w:p>
      <w:pPr>
        <w:pStyle w:val="ListParagraph"/>
        <w:numPr>
          <w:ilvl w:val="0"/>
          <w:numId w:val="34"/>
        </w:numPr>
        <w:tabs>
          <w:tab w:pos="1347" w:val="left" w:leader="none"/>
        </w:tabs>
        <w:spacing w:line="364" w:lineRule="auto" w:before="0" w:after="0"/>
        <w:ind w:left="400" w:right="418" w:firstLine="420"/>
        <w:jc w:val="both"/>
        <w:rPr>
          <w:sz w:val="21"/>
        </w:rPr>
      </w:pPr>
      <w:r>
        <w:rPr>
          <w:sz w:val="21"/>
        </w:rPr>
        <w:t>依据法律法规和基金合同的规定监督基金托管人，如认为基金托管人违反了法律</w:t>
      </w:r>
      <w:r>
        <w:rPr>
          <w:spacing w:val="-7"/>
          <w:sz w:val="21"/>
        </w:rPr>
        <w:t>法规或基金合同规定对基金财产、其它基金合同当事人的利益造成重大损失的，应及时呈报</w:t>
      </w:r>
      <w:r>
        <w:rPr>
          <w:sz w:val="21"/>
        </w:rPr>
        <w:t>中国证监会，以及采取其它必要措施以保护本基金及相关基金合同当事人的利益；</w:t>
      </w:r>
    </w:p>
    <w:p>
      <w:pPr>
        <w:pStyle w:val="ListParagraph"/>
        <w:numPr>
          <w:ilvl w:val="0"/>
          <w:numId w:val="34"/>
        </w:numPr>
        <w:tabs>
          <w:tab w:pos="1347" w:val="left" w:leader="none"/>
        </w:tabs>
        <w:spacing w:line="364" w:lineRule="auto" w:before="0" w:after="0"/>
        <w:ind w:left="400" w:right="418" w:firstLine="420"/>
        <w:jc w:val="left"/>
        <w:rPr>
          <w:sz w:val="21"/>
        </w:rPr>
      </w:pPr>
      <w:r>
        <w:rPr>
          <w:sz w:val="21"/>
        </w:rPr>
        <w:t>根据基金合同的规定选择适当的基金代销机构并有权依照代销协议对基金代销机构行为进行必要的监督和检查；</w:t>
      </w:r>
    </w:p>
    <w:p>
      <w:pPr>
        <w:pStyle w:val="ListParagraph"/>
        <w:numPr>
          <w:ilvl w:val="0"/>
          <w:numId w:val="34"/>
        </w:numPr>
        <w:tabs>
          <w:tab w:pos="1347" w:val="left" w:leader="none"/>
        </w:tabs>
        <w:spacing w:line="364" w:lineRule="auto" w:before="0" w:after="0"/>
        <w:ind w:left="400" w:right="418" w:firstLine="420"/>
        <w:jc w:val="left"/>
        <w:rPr>
          <w:sz w:val="21"/>
        </w:rPr>
      </w:pPr>
      <w:r>
        <w:rPr>
          <w:sz w:val="21"/>
        </w:rPr>
        <w:t>自行担任基金注册登记人或选择、更换基金注册登记代理机构，办理基金注册登记业务，并按照基金合同规定对基金注册登记代理机构进行必要的监督和检查；</w:t>
      </w:r>
    </w:p>
    <w:p>
      <w:pPr>
        <w:pStyle w:val="ListParagraph"/>
        <w:numPr>
          <w:ilvl w:val="0"/>
          <w:numId w:val="34"/>
        </w:numPr>
        <w:tabs>
          <w:tab w:pos="1451" w:val="left" w:leader="none"/>
        </w:tabs>
        <w:spacing w:line="268" w:lineRule="exact" w:before="0" w:after="0"/>
        <w:ind w:left="1451" w:right="0" w:hanging="631"/>
        <w:jc w:val="left"/>
        <w:rPr>
          <w:sz w:val="21"/>
        </w:rPr>
      </w:pPr>
      <w:r>
        <w:rPr>
          <w:sz w:val="21"/>
        </w:rPr>
        <w:t>在基金合同约定的范围内，拒绝或暂停受理申购和赎回的申请；</w:t>
      </w:r>
    </w:p>
    <w:p>
      <w:pPr>
        <w:pStyle w:val="ListParagraph"/>
        <w:numPr>
          <w:ilvl w:val="0"/>
          <w:numId w:val="34"/>
        </w:numPr>
        <w:tabs>
          <w:tab w:pos="1451" w:val="left" w:leader="none"/>
        </w:tabs>
        <w:spacing w:line="240" w:lineRule="auto" w:before="135" w:after="0"/>
        <w:ind w:left="1451" w:right="0" w:hanging="631"/>
        <w:jc w:val="left"/>
        <w:rPr>
          <w:sz w:val="21"/>
        </w:rPr>
      </w:pPr>
      <w:r>
        <w:rPr>
          <w:sz w:val="21"/>
        </w:rPr>
        <w:t>在法律法规允许的前提下，为基金份额持有人的利益依法为基金进行融资融券；</w:t>
      </w:r>
    </w:p>
    <w:p>
      <w:pPr>
        <w:pStyle w:val="ListParagraph"/>
        <w:numPr>
          <w:ilvl w:val="0"/>
          <w:numId w:val="34"/>
        </w:numPr>
        <w:tabs>
          <w:tab w:pos="1451" w:val="left" w:leader="none"/>
        </w:tabs>
        <w:spacing w:line="240" w:lineRule="auto" w:before="139" w:after="0"/>
        <w:ind w:left="1451" w:right="0" w:hanging="631"/>
        <w:jc w:val="left"/>
        <w:rPr>
          <w:sz w:val="21"/>
        </w:rPr>
      </w:pPr>
      <w:r>
        <w:rPr>
          <w:sz w:val="21"/>
        </w:rPr>
        <w:t>依据法律法规和基金合同的规定，制订基金收益的分配方案；</w:t>
      </w:r>
    </w:p>
    <w:p>
      <w:pPr>
        <w:pStyle w:val="ListParagraph"/>
        <w:numPr>
          <w:ilvl w:val="0"/>
          <w:numId w:val="34"/>
        </w:numPr>
        <w:tabs>
          <w:tab w:pos="1451" w:val="left" w:leader="none"/>
        </w:tabs>
        <w:spacing w:line="364" w:lineRule="auto" w:before="140" w:after="0"/>
        <w:ind w:left="400" w:right="417" w:firstLine="420"/>
        <w:jc w:val="left"/>
        <w:rPr>
          <w:sz w:val="21"/>
        </w:rPr>
      </w:pPr>
      <w:r>
        <w:rPr>
          <w:spacing w:val="-7"/>
          <w:sz w:val="21"/>
        </w:rPr>
        <w:t>按照法律法规，代表基金对被投资企业行使股东权利，代表基金行使因投资于</w:t>
      </w:r>
      <w:r>
        <w:rPr>
          <w:spacing w:val="-4"/>
          <w:sz w:val="21"/>
        </w:rPr>
        <w:t>其它证券所产生的权利；</w:t>
      </w:r>
    </w:p>
    <w:p>
      <w:pPr>
        <w:pStyle w:val="ListParagraph"/>
        <w:numPr>
          <w:ilvl w:val="0"/>
          <w:numId w:val="34"/>
        </w:numPr>
        <w:tabs>
          <w:tab w:pos="1451" w:val="left" w:leader="none"/>
        </w:tabs>
        <w:spacing w:line="268" w:lineRule="exact" w:before="0" w:after="0"/>
        <w:ind w:left="1451" w:right="0" w:hanging="631"/>
        <w:jc w:val="left"/>
        <w:rPr>
          <w:sz w:val="21"/>
        </w:rPr>
      </w:pPr>
      <w:r>
        <w:rPr>
          <w:sz w:val="21"/>
        </w:rPr>
        <w:t>在基金托管人职责终止时，提名新的基金托管人；</w:t>
      </w:r>
    </w:p>
    <w:p>
      <w:pPr>
        <w:pStyle w:val="ListParagraph"/>
        <w:numPr>
          <w:ilvl w:val="0"/>
          <w:numId w:val="34"/>
        </w:numPr>
        <w:tabs>
          <w:tab w:pos="1451" w:val="left" w:leader="none"/>
        </w:tabs>
        <w:spacing w:line="240" w:lineRule="auto" w:before="139" w:after="0"/>
        <w:ind w:left="1451" w:right="0" w:hanging="631"/>
        <w:jc w:val="left"/>
        <w:rPr>
          <w:sz w:val="21"/>
        </w:rPr>
      </w:pPr>
      <w:r>
        <w:rPr>
          <w:sz w:val="21"/>
        </w:rPr>
        <w:t>依据法律法规和基金合同的规定，召集基金份额持有人大会；</w:t>
      </w:r>
    </w:p>
    <w:p>
      <w:pPr>
        <w:pStyle w:val="ListParagraph"/>
        <w:numPr>
          <w:ilvl w:val="0"/>
          <w:numId w:val="34"/>
        </w:numPr>
        <w:tabs>
          <w:tab w:pos="1451" w:val="left" w:leader="none"/>
        </w:tabs>
        <w:spacing w:line="364" w:lineRule="auto" w:before="140" w:after="0"/>
        <w:ind w:left="400" w:right="418" w:firstLine="420"/>
        <w:jc w:val="left"/>
        <w:rPr>
          <w:sz w:val="21"/>
        </w:rPr>
      </w:pPr>
      <w:r>
        <w:rPr>
          <w:spacing w:val="-6"/>
          <w:sz w:val="21"/>
        </w:rPr>
        <w:t>以基金管理人名义，代表基金份额持有人利益行使诉讼权利或者实施其他法律行为；</w:t>
      </w:r>
    </w:p>
    <w:p>
      <w:pPr>
        <w:pStyle w:val="ListParagraph"/>
        <w:numPr>
          <w:ilvl w:val="0"/>
          <w:numId w:val="34"/>
        </w:numPr>
        <w:tabs>
          <w:tab w:pos="1451" w:val="left" w:leader="none"/>
        </w:tabs>
        <w:spacing w:line="364" w:lineRule="auto" w:before="0" w:after="0"/>
        <w:ind w:left="400" w:right="418" w:firstLine="420"/>
        <w:jc w:val="left"/>
        <w:rPr>
          <w:sz w:val="21"/>
        </w:rPr>
      </w:pPr>
      <w:r>
        <w:rPr>
          <w:spacing w:val="-10"/>
          <w:sz w:val="21"/>
        </w:rPr>
        <w:t>选择、更换律师、审计师、证券经纪商或其他为基金提供服务的外部机构并确</w:t>
      </w:r>
      <w:r>
        <w:rPr>
          <w:spacing w:val="-4"/>
          <w:sz w:val="21"/>
        </w:rPr>
        <w:t>定有关费率；</w:t>
      </w:r>
    </w:p>
    <w:p>
      <w:pPr>
        <w:pStyle w:val="ListParagraph"/>
        <w:numPr>
          <w:ilvl w:val="0"/>
          <w:numId w:val="34"/>
        </w:numPr>
        <w:tabs>
          <w:tab w:pos="1451" w:val="left" w:leader="none"/>
        </w:tabs>
        <w:spacing w:line="364" w:lineRule="auto" w:before="0" w:after="0"/>
        <w:ind w:left="400" w:right="417" w:firstLine="420"/>
        <w:jc w:val="left"/>
        <w:rPr>
          <w:sz w:val="21"/>
        </w:rPr>
      </w:pPr>
      <w:r>
        <w:rPr>
          <w:spacing w:val="-9"/>
          <w:sz w:val="21"/>
        </w:rPr>
        <w:t>法律法规、中国证监会、基金合同以及依据基金合同制订的其它法律文件所规</w:t>
      </w:r>
      <w:r>
        <w:rPr>
          <w:spacing w:val="-4"/>
          <w:sz w:val="21"/>
        </w:rPr>
        <w:t>定的其它权利。</w:t>
      </w:r>
    </w:p>
    <w:p>
      <w:pPr>
        <w:pStyle w:val="BodyText"/>
        <w:spacing w:line="268" w:lineRule="exact"/>
      </w:pPr>
      <w:r>
        <w:rPr/>
        <w:t>2、基金管理人的义务：</w:t>
      </w:r>
    </w:p>
    <w:p>
      <w:pPr>
        <w:pStyle w:val="ListParagraph"/>
        <w:numPr>
          <w:ilvl w:val="0"/>
          <w:numId w:val="35"/>
        </w:numPr>
        <w:tabs>
          <w:tab w:pos="820" w:val="left" w:leader="none"/>
        </w:tabs>
        <w:spacing w:line="364" w:lineRule="auto" w:before="137" w:after="0"/>
        <w:ind w:left="400" w:right="208" w:firstLine="0"/>
        <w:jc w:val="left"/>
        <w:rPr>
          <w:sz w:val="21"/>
        </w:rPr>
      </w:pPr>
      <w:r>
        <w:rPr>
          <w:sz w:val="21"/>
        </w:rPr>
        <w:t>依法募集基金，办理或者委托经中国证监会认定的其他机构代为办理基金份额的申购、赎回和登记事宜；</w:t>
      </w:r>
    </w:p>
    <w:p>
      <w:pPr>
        <w:pStyle w:val="ListParagraph"/>
        <w:numPr>
          <w:ilvl w:val="0"/>
          <w:numId w:val="35"/>
        </w:numPr>
        <w:tabs>
          <w:tab w:pos="820" w:val="left" w:leader="none"/>
        </w:tabs>
        <w:spacing w:line="268" w:lineRule="exact" w:before="0" w:after="0"/>
        <w:ind w:left="820" w:right="0" w:hanging="420"/>
        <w:jc w:val="left"/>
        <w:rPr>
          <w:sz w:val="21"/>
        </w:rPr>
      </w:pPr>
      <w:r>
        <w:rPr>
          <w:sz w:val="21"/>
        </w:rPr>
        <w:t>办理基金转型手续；</w:t>
      </w:r>
    </w:p>
    <w:p>
      <w:pPr>
        <w:pStyle w:val="ListParagraph"/>
        <w:numPr>
          <w:ilvl w:val="0"/>
          <w:numId w:val="35"/>
        </w:numPr>
        <w:tabs>
          <w:tab w:pos="820" w:val="left" w:leader="none"/>
        </w:tabs>
        <w:spacing w:line="240" w:lineRule="auto" w:before="140" w:after="0"/>
        <w:ind w:left="820" w:right="0" w:hanging="420"/>
        <w:jc w:val="left"/>
        <w:rPr>
          <w:sz w:val="21"/>
        </w:rPr>
      </w:pPr>
      <w:r>
        <w:rPr>
          <w:sz w:val="21"/>
        </w:rPr>
        <w:t>自基金合同生效之日起，以诚实信用、勤勉尽责的原则管理和运用基金财产；</w:t>
      </w:r>
    </w:p>
    <w:p>
      <w:pPr>
        <w:pStyle w:val="ListParagraph"/>
        <w:numPr>
          <w:ilvl w:val="0"/>
          <w:numId w:val="35"/>
        </w:numPr>
        <w:tabs>
          <w:tab w:pos="820" w:val="left" w:leader="none"/>
        </w:tabs>
        <w:spacing w:line="240" w:lineRule="auto" w:before="139" w:after="0"/>
        <w:ind w:left="820" w:right="0" w:hanging="420"/>
        <w:jc w:val="left"/>
        <w:rPr>
          <w:sz w:val="21"/>
        </w:rPr>
      </w:pPr>
      <w:r>
        <w:rPr>
          <w:spacing w:val="-5"/>
          <w:sz w:val="21"/>
        </w:rPr>
        <w:t>配备足够的具有专业资格的人员进行基金投资分析、决策，以专业化的经营方式管理和</w:t>
      </w:r>
    </w:p>
    <w:p>
      <w:pPr>
        <w:spacing w:after="0" w:line="240" w:lineRule="auto"/>
        <w:jc w:val="left"/>
        <w:rPr>
          <w:sz w:val="21"/>
        </w:rPr>
        <w:sectPr>
          <w:pgSz w:w="11910" w:h="16840"/>
          <w:pgMar w:header="0" w:footer="910" w:top="1380" w:bottom="1180" w:left="1400" w:right="1380"/>
        </w:sectPr>
      </w:pPr>
    </w:p>
    <w:p>
      <w:pPr>
        <w:pStyle w:val="BodyText"/>
        <w:spacing w:before="45"/>
        <w:ind w:left="400"/>
      </w:pPr>
      <w:r>
        <w:rPr/>
        <w:t>运作基金财产；</w:t>
      </w:r>
    </w:p>
    <w:p>
      <w:pPr>
        <w:pStyle w:val="ListParagraph"/>
        <w:numPr>
          <w:ilvl w:val="0"/>
          <w:numId w:val="35"/>
        </w:numPr>
        <w:tabs>
          <w:tab w:pos="820" w:val="left" w:leader="none"/>
        </w:tabs>
        <w:spacing w:line="240" w:lineRule="auto" w:before="139" w:after="0"/>
        <w:ind w:left="820" w:right="0" w:hanging="420"/>
        <w:jc w:val="both"/>
        <w:rPr>
          <w:sz w:val="21"/>
        </w:rPr>
      </w:pPr>
      <w:r>
        <w:rPr>
          <w:sz w:val="21"/>
        </w:rPr>
        <w:t>配备足够的专业人员办理基金份额的申购和赎回业务；</w:t>
      </w:r>
    </w:p>
    <w:p>
      <w:pPr>
        <w:pStyle w:val="ListParagraph"/>
        <w:numPr>
          <w:ilvl w:val="0"/>
          <w:numId w:val="35"/>
        </w:numPr>
        <w:tabs>
          <w:tab w:pos="820" w:val="left" w:leader="none"/>
        </w:tabs>
        <w:spacing w:line="364" w:lineRule="auto" w:before="140" w:after="0"/>
        <w:ind w:left="400" w:right="418" w:firstLine="0"/>
        <w:jc w:val="both"/>
        <w:rPr>
          <w:sz w:val="21"/>
        </w:rPr>
      </w:pPr>
      <w:r>
        <w:rPr>
          <w:spacing w:val="2"/>
          <w:sz w:val="21"/>
        </w:rPr>
        <w:t>配备足够的专业人员和相应的技术设施进行基金的注册登记或委托其他机构代理该项</w:t>
      </w:r>
      <w:r>
        <w:rPr>
          <w:sz w:val="21"/>
        </w:rPr>
        <w:t>业务；</w:t>
      </w:r>
    </w:p>
    <w:p>
      <w:pPr>
        <w:pStyle w:val="ListParagraph"/>
        <w:numPr>
          <w:ilvl w:val="0"/>
          <w:numId w:val="35"/>
        </w:numPr>
        <w:tabs>
          <w:tab w:pos="820" w:val="left" w:leader="none"/>
        </w:tabs>
        <w:spacing w:line="364" w:lineRule="auto" w:before="0" w:after="0"/>
        <w:ind w:left="400" w:right="417" w:firstLine="0"/>
        <w:jc w:val="both"/>
        <w:rPr>
          <w:sz w:val="21"/>
        </w:rPr>
      </w:pPr>
      <w:r>
        <w:rPr>
          <w:spacing w:val="-7"/>
          <w:sz w:val="21"/>
        </w:rPr>
        <w:t>建立健全内部风险控制、监察与稽核、财务管理及人事管理等制度，保证所管理的基金</w:t>
      </w:r>
      <w:r>
        <w:rPr>
          <w:spacing w:val="-5"/>
          <w:sz w:val="21"/>
        </w:rPr>
        <w:t>财产和基金管理人的资产相互独立，对所管理的不同基金分别管理、分别记账，进行证券投</w:t>
      </w:r>
      <w:r>
        <w:rPr>
          <w:sz w:val="21"/>
        </w:rPr>
        <w:t>资；</w:t>
      </w:r>
    </w:p>
    <w:p>
      <w:pPr>
        <w:pStyle w:val="ListParagraph"/>
        <w:numPr>
          <w:ilvl w:val="0"/>
          <w:numId w:val="35"/>
        </w:numPr>
        <w:tabs>
          <w:tab w:pos="820" w:val="left" w:leader="none"/>
        </w:tabs>
        <w:spacing w:line="364" w:lineRule="auto" w:before="0" w:after="0"/>
        <w:ind w:left="400" w:right="418" w:firstLine="0"/>
        <w:jc w:val="both"/>
        <w:rPr>
          <w:sz w:val="21"/>
        </w:rPr>
      </w:pPr>
      <w:r>
        <w:rPr>
          <w:spacing w:val="-11"/>
          <w:sz w:val="21"/>
        </w:rPr>
        <w:t>除依据《基金法》、基金合同及其他有关规定外，不得以基金财产为自己及任何第三人谋取非法利益，不得委托第三人运作基金财产；</w:t>
      </w:r>
    </w:p>
    <w:p>
      <w:pPr>
        <w:pStyle w:val="ListParagraph"/>
        <w:numPr>
          <w:ilvl w:val="0"/>
          <w:numId w:val="35"/>
        </w:numPr>
        <w:tabs>
          <w:tab w:pos="820" w:val="left" w:leader="none"/>
        </w:tabs>
        <w:spacing w:line="268" w:lineRule="exact" w:before="0" w:after="0"/>
        <w:ind w:left="820" w:right="0" w:hanging="420"/>
        <w:jc w:val="both"/>
        <w:rPr>
          <w:sz w:val="21"/>
        </w:rPr>
      </w:pPr>
      <w:r>
        <w:rPr>
          <w:sz w:val="21"/>
        </w:rPr>
        <w:t>接受基金托管人依法进行的监督；</w:t>
      </w:r>
    </w:p>
    <w:p>
      <w:pPr>
        <w:pStyle w:val="ListParagraph"/>
        <w:numPr>
          <w:ilvl w:val="0"/>
          <w:numId w:val="35"/>
        </w:numPr>
        <w:tabs>
          <w:tab w:pos="1240" w:val="left" w:leader="none"/>
        </w:tabs>
        <w:spacing w:line="364" w:lineRule="auto" w:before="137" w:after="0"/>
        <w:ind w:left="400" w:right="418" w:firstLine="0"/>
        <w:jc w:val="both"/>
        <w:rPr>
          <w:sz w:val="21"/>
        </w:rPr>
      </w:pPr>
      <w:r>
        <w:rPr>
          <w:spacing w:val="-6"/>
          <w:sz w:val="21"/>
        </w:rPr>
        <w:t>采取适当合理的措施使计算基金份额申购、赎回价格的方法符合基金合同等法律文</w:t>
      </w:r>
      <w:r>
        <w:rPr>
          <w:sz w:val="21"/>
        </w:rPr>
        <w:t>件的规定，按照有关规定计算并公告基金净值信息，确定基金份额申购、赎回的价格；</w:t>
      </w:r>
    </w:p>
    <w:p>
      <w:pPr>
        <w:pStyle w:val="ListParagraph"/>
        <w:numPr>
          <w:ilvl w:val="0"/>
          <w:numId w:val="35"/>
        </w:numPr>
        <w:tabs>
          <w:tab w:pos="1394" w:val="left" w:leader="none"/>
        </w:tabs>
        <w:spacing w:line="268" w:lineRule="exact" w:before="0" w:after="0"/>
        <w:ind w:left="1393" w:right="0" w:hanging="994"/>
        <w:jc w:val="both"/>
        <w:rPr>
          <w:sz w:val="21"/>
        </w:rPr>
      </w:pPr>
      <w:r>
        <w:rPr>
          <w:spacing w:val="-10"/>
          <w:sz w:val="21"/>
        </w:rPr>
        <w:t>严格按照《基金法》、基金合同及其他有关规定，履行信息披露及报告义务；</w:t>
      </w:r>
    </w:p>
    <w:p>
      <w:pPr>
        <w:pStyle w:val="ListParagraph"/>
        <w:numPr>
          <w:ilvl w:val="0"/>
          <w:numId w:val="35"/>
        </w:numPr>
        <w:tabs>
          <w:tab w:pos="1394" w:val="left" w:leader="none"/>
        </w:tabs>
        <w:spacing w:line="364" w:lineRule="auto" w:before="139" w:after="0"/>
        <w:ind w:left="400" w:right="418" w:firstLine="0"/>
        <w:jc w:val="both"/>
        <w:rPr>
          <w:sz w:val="21"/>
        </w:rPr>
      </w:pPr>
      <w:r>
        <w:rPr>
          <w:spacing w:val="-4"/>
          <w:sz w:val="21"/>
        </w:rPr>
        <w:t>保守基金商业秘密，不泄露基金投资计划、投资意向等。除《基金法》、基金合同及其他有关规定另有规定外，在基金信息公开披露前，应予以保密，不得向他人泄露；</w:t>
      </w:r>
    </w:p>
    <w:p>
      <w:pPr>
        <w:pStyle w:val="ListParagraph"/>
        <w:numPr>
          <w:ilvl w:val="0"/>
          <w:numId w:val="35"/>
        </w:numPr>
        <w:tabs>
          <w:tab w:pos="1394" w:val="left" w:leader="none"/>
        </w:tabs>
        <w:spacing w:line="268" w:lineRule="exact" w:before="0" w:after="0"/>
        <w:ind w:left="1393" w:right="0" w:hanging="994"/>
        <w:jc w:val="both"/>
        <w:rPr>
          <w:sz w:val="21"/>
        </w:rPr>
      </w:pPr>
      <w:r>
        <w:rPr>
          <w:sz w:val="21"/>
        </w:rPr>
        <w:t>按基金合同确定基金收益分配方案，及时向基金份额持有人分配基金收益；</w:t>
      </w:r>
    </w:p>
    <w:p>
      <w:pPr>
        <w:pStyle w:val="ListParagraph"/>
        <w:numPr>
          <w:ilvl w:val="0"/>
          <w:numId w:val="35"/>
        </w:numPr>
        <w:tabs>
          <w:tab w:pos="1394" w:val="left" w:leader="none"/>
        </w:tabs>
        <w:spacing w:line="364" w:lineRule="auto" w:before="140" w:after="0"/>
        <w:ind w:left="400" w:right="418" w:firstLine="0"/>
        <w:jc w:val="both"/>
        <w:rPr>
          <w:sz w:val="21"/>
        </w:rPr>
      </w:pPr>
      <w:r>
        <w:rPr>
          <w:spacing w:val="-3"/>
          <w:sz w:val="21"/>
        </w:rPr>
        <w:t>按照法律法规和本基金合同的规定受理申购和赎回等申请，及时、足额支付赎回</w:t>
      </w:r>
      <w:r>
        <w:rPr>
          <w:sz w:val="21"/>
        </w:rPr>
        <w:t>和分红款项；</w:t>
      </w:r>
    </w:p>
    <w:p>
      <w:pPr>
        <w:pStyle w:val="ListParagraph"/>
        <w:numPr>
          <w:ilvl w:val="0"/>
          <w:numId w:val="35"/>
        </w:numPr>
        <w:tabs>
          <w:tab w:pos="1394" w:val="left" w:leader="none"/>
        </w:tabs>
        <w:spacing w:line="268" w:lineRule="exact" w:before="0" w:after="0"/>
        <w:ind w:left="1393" w:right="0" w:hanging="994"/>
        <w:jc w:val="both"/>
        <w:rPr>
          <w:sz w:val="21"/>
        </w:rPr>
      </w:pPr>
      <w:r>
        <w:rPr>
          <w:sz w:val="21"/>
        </w:rPr>
        <w:t>不谋求对上市公司的控股和直接管理；</w:t>
      </w:r>
    </w:p>
    <w:p>
      <w:pPr>
        <w:pStyle w:val="ListParagraph"/>
        <w:numPr>
          <w:ilvl w:val="0"/>
          <w:numId w:val="35"/>
        </w:numPr>
        <w:tabs>
          <w:tab w:pos="1394" w:val="left" w:leader="none"/>
        </w:tabs>
        <w:spacing w:line="364" w:lineRule="auto" w:before="139" w:after="0"/>
        <w:ind w:left="400" w:right="418" w:firstLine="0"/>
        <w:jc w:val="both"/>
        <w:rPr>
          <w:sz w:val="21"/>
        </w:rPr>
      </w:pPr>
      <w:r>
        <w:rPr>
          <w:spacing w:val="-11"/>
          <w:sz w:val="21"/>
        </w:rPr>
        <w:t>依据《基金法》、基金合同及其他有关规定召集基金份额持有人大会，或配合基金托管人、基金份额持有人依法召集基金份额持有人大会；</w:t>
      </w:r>
    </w:p>
    <w:p>
      <w:pPr>
        <w:pStyle w:val="ListParagraph"/>
        <w:numPr>
          <w:ilvl w:val="0"/>
          <w:numId w:val="35"/>
        </w:numPr>
        <w:tabs>
          <w:tab w:pos="1394" w:val="left" w:leader="none"/>
        </w:tabs>
        <w:spacing w:line="268" w:lineRule="exact" w:before="0" w:after="0"/>
        <w:ind w:left="1393" w:right="0" w:hanging="994"/>
        <w:jc w:val="both"/>
        <w:rPr>
          <w:sz w:val="21"/>
        </w:rPr>
      </w:pPr>
      <w:r>
        <w:rPr>
          <w:sz w:val="21"/>
        </w:rPr>
        <w:t>按规定保存基金财产管理业务活动的记录、账册、报表和其他相关资料；</w:t>
      </w:r>
    </w:p>
    <w:p>
      <w:pPr>
        <w:pStyle w:val="ListParagraph"/>
        <w:numPr>
          <w:ilvl w:val="0"/>
          <w:numId w:val="35"/>
        </w:numPr>
        <w:tabs>
          <w:tab w:pos="1394" w:val="left" w:leader="none"/>
        </w:tabs>
        <w:spacing w:line="240" w:lineRule="auto" w:before="140" w:after="0"/>
        <w:ind w:left="1393" w:right="0" w:hanging="994"/>
        <w:jc w:val="both"/>
        <w:rPr>
          <w:sz w:val="21"/>
        </w:rPr>
      </w:pPr>
      <w:r>
        <w:rPr>
          <w:sz w:val="21"/>
        </w:rPr>
        <w:t>进行基金会计核算并编制基金的财务会计报告；</w:t>
      </w:r>
    </w:p>
    <w:p>
      <w:pPr>
        <w:pStyle w:val="ListParagraph"/>
        <w:numPr>
          <w:ilvl w:val="0"/>
          <w:numId w:val="35"/>
        </w:numPr>
        <w:tabs>
          <w:tab w:pos="1240" w:val="left" w:leader="none"/>
        </w:tabs>
        <w:spacing w:line="240" w:lineRule="auto" w:before="139" w:after="0"/>
        <w:ind w:left="1240" w:right="0" w:hanging="840"/>
        <w:jc w:val="both"/>
        <w:rPr>
          <w:sz w:val="21"/>
        </w:rPr>
      </w:pPr>
      <w:r>
        <w:rPr>
          <w:sz w:val="21"/>
        </w:rPr>
        <w:t>编制季度报告、中期报告和年度报告；</w:t>
      </w:r>
    </w:p>
    <w:p>
      <w:pPr>
        <w:pStyle w:val="ListParagraph"/>
        <w:numPr>
          <w:ilvl w:val="0"/>
          <w:numId w:val="35"/>
        </w:numPr>
        <w:tabs>
          <w:tab w:pos="1394" w:val="left" w:leader="none"/>
        </w:tabs>
        <w:spacing w:line="364" w:lineRule="auto" w:before="140" w:after="0"/>
        <w:ind w:left="400" w:right="418" w:firstLine="0"/>
        <w:jc w:val="both"/>
        <w:rPr>
          <w:sz w:val="21"/>
        </w:rPr>
      </w:pPr>
      <w:r>
        <w:rPr>
          <w:spacing w:val="-3"/>
          <w:sz w:val="21"/>
        </w:rPr>
        <w:t>确保需要向基金份额持有人提供的各项文件或资料，能在规定时间内发出；保证</w:t>
      </w:r>
      <w:r>
        <w:rPr>
          <w:spacing w:val="-6"/>
          <w:sz w:val="21"/>
        </w:rPr>
        <w:t>投资人能够按照基金合同约定的时间和方式，随时查阅到与基金有关的公开资料，并得到有</w:t>
      </w:r>
      <w:r>
        <w:rPr>
          <w:sz w:val="21"/>
        </w:rPr>
        <w:t>关资料的复印件；</w:t>
      </w:r>
    </w:p>
    <w:p>
      <w:pPr>
        <w:pStyle w:val="ListParagraph"/>
        <w:numPr>
          <w:ilvl w:val="0"/>
          <w:numId w:val="35"/>
        </w:numPr>
        <w:tabs>
          <w:tab w:pos="1394" w:val="left" w:leader="none"/>
        </w:tabs>
        <w:spacing w:line="268" w:lineRule="exact" w:before="0" w:after="0"/>
        <w:ind w:left="1393" w:right="0" w:hanging="994"/>
        <w:jc w:val="both"/>
        <w:rPr>
          <w:sz w:val="21"/>
        </w:rPr>
      </w:pPr>
      <w:r>
        <w:rPr>
          <w:sz w:val="21"/>
        </w:rPr>
        <w:t>组织并参加基金财产清算组，参与基金财产的保管、清理、估价、变现和分配；</w:t>
      </w:r>
    </w:p>
    <w:p>
      <w:pPr>
        <w:pStyle w:val="ListParagraph"/>
        <w:numPr>
          <w:ilvl w:val="0"/>
          <w:numId w:val="35"/>
        </w:numPr>
        <w:tabs>
          <w:tab w:pos="1393" w:val="left" w:leader="none"/>
          <w:tab w:pos="1394" w:val="left" w:leader="none"/>
        </w:tabs>
        <w:spacing w:line="364" w:lineRule="auto" w:before="139" w:after="0"/>
        <w:ind w:left="400" w:right="417" w:firstLine="0"/>
        <w:jc w:val="left"/>
        <w:rPr>
          <w:sz w:val="21"/>
        </w:rPr>
      </w:pPr>
      <w:r>
        <w:rPr>
          <w:spacing w:val="-6"/>
          <w:sz w:val="21"/>
        </w:rPr>
        <w:t>面临解散、依法被撤销、破产或者由接管人接管其资产时，及时报告中国证监会</w:t>
      </w:r>
      <w:r>
        <w:rPr>
          <w:sz w:val="21"/>
        </w:rPr>
        <w:t>并通知基金托管人；</w:t>
      </w:r>
    </w:p>
    <w:p>
      <w:pPr>
        <w:pStyle w:val="ListParagraph"/>
        <w:numPr>
          <w:ilvl w:val="0"/>
          <w:numId w:val="35"/>
        </w:numPr>
        <w:tabs>
          <w:tab w:pos="1393" w:val="left" w:leader="none"/>
          <w:tab w:pos="1394" w:val="left" w:leader="none"/>
        </w:tabs>
        <w:spacing w:line="364" w:lineRule="auto" w:before="0" w:after="0"/>
        <w:ind w:left="400" w:right="418" w:firstLine="0"/>
        <w:jc w:val="left"/>
        <w:rPr>
          <w:sz w:val="21"/>
        </w:rPr>
      </w:pPr>
      <w:r>
        <w:rPr>
          <w:spacing w:val="-3"/>
          <w:sz w:val="21"/>
        </w:rPr>
        <w:t>因违反基金合同导致基金财产的损失或损害基金份额持有人的合法权益，应承担</w:t>
      </w:r>
      <w:r>
        <w:rPr>
          <w:sz w:val="21"/>
        </w:rPr>
        <w:t>赔偿责任，其赔偿责任不因其退任而免除；</w:t>
      </w:r>
    </w:p>
    <w:p>
      <w:pPr>
        <w:pStyle w:val="ListParagraph"/>
        <w:numPr>
          <w:ilvl w:val="0"/>
          <w:numId w:val="35"/>
        </w:numPr>
        <w:tabs>
          <w:tab w:pos="1393" w:val="left" w:leader="none"/>
          <w:tab w:pos="1394" w:val="left" w:leader="none"/>
        </w:tabs>
        <w:spacing w:line="364" w:lineRule="auto" w:before="0" w:after="0"/>
        <w:ind w:left="400" w:right="418" w:firstLine="0"/>
        <w:jc w:val="left"/>
        <w:rPr>
          <w:sz w:val="21"/>
        </w:rPr>
      </w:pPr>
      <w:r>
        <w:rPr>
          <w:spacing w:val="-3"/>
          <w:sz w:val="21"/>
        </w:rPr>
        <w:t>基金托管人违反基金合同造成基金财产损失时，应为基金份额持有人利益向基金</w:t>
      </w:r>
      <w:r>
        <w:rPr>
          <w:sz w:val="21"/>
        </w:rPr>
        <w:t>托管人追偿；</w:t>
      </w:r>
    </w:p>
    <w:p>
      <w:pPr>
        <w:spacing w:after="0" w:line="364" w:lineRule="auto"/>
        <w:jc w:val="left"/>
        <w:rPr>
          <w:sz w:val="21"/>
        </w:rPr>
        <w:sectPr>
          <w:pgSz w:w="11910" w:h="16840"/>
          <w:pgMar w:header="0" w:footer="910" w:top="1380" w:bottom="1180" w:left="1400" w:right="1380"/>
        </w:sectPr>
      </w:pPr>
    </w:p>
    <w:p>
      <w:pPr>
        <w:pStyle w:val="ListParagraph"/>
        <w:numPr>
          <w:ilvl w:val="0"/>
          <w:numId w:val="35"/>
        </w:numPr>
        <w:tabs>
          <w:tab w:pos="1393" w:val="left" w:leader="none"/>
          <w:tab w:pos="1394" w:val="left" w:leader="none"/>
        </w:tabs>
        <w:spacing w:line="240" w:lineRule="auto" w:before="45" w:after="0"/>
        <w:ind w:left="1393" w:right="0" w:hanging="994"/>
        <w:jc w:val="left"/>
        <w:rPr>
          <w:sz w:val="21"/>
        </w:rPr>
      </w:pPr>
      <w:r>
        <w:rPr>
          <w:sz w:val="21"/>
        </w:rPr>
        <w:t>不从事任何有损基金财产及本基金其他当事人利益的活动；</w:t>
      </w:r>
    </w:p>
    <w:p>
      <w:pPr>
        <w:pStyle w:val="ListParagraph"/>
        <w:numPr>
          <w:ilvl w:val="0"/>
          <w:numId w:val="35"/>
        </w:numPr>
        <w:tabs>
          <w:tab w:pos="1393" w:val="left" w:leader="none"/>
          <w:tab w:pos="1394" w:val="left" w:leader="none"/>
        </w:tabs>
        <w:spacing w:line="364" w:lineRule="auto" w:before="139" w:after="0"/>
        <w:ind w:left="400" w:right="418" w:firstLine="0"/>
        <w:jc w:val="left"/>
        <w:rPr>
          <w:sz w:val="21"/>
        </w:rPr>
      </w:pPr>
      <w:r>
        <w:rPr>
          <w:spacing w:val="-4"/>
          <w:sz w:val="21"/>
        </w:rPr>
        <w:t>公平对待所管理的不同基金，防止在不同基金间进行有损本基金份额持有人的利</w:t>
      </w:r>
      <w:r>
        <w:rPr>
          <w:sz w:val="21"/>
        </w:rPr>
        <w:t>益及资源分配；</w:t>
      </w:r>
    </w:p>
    <w:p>
      <w:pPr>
        <w:pStyle w:val="ListParagraph"/>
        <w:numPr>
          <w:ilvl w:val="0"/>
          <w:numId w:val="35"/>
        </w:numPr>
        <w:tabs>
          <w:tab w:pos="1393" w:val="left" w:leader="none"/>
          <w:tab w:pos="1394" w:val="left" w:leader="none"/>
        </w:tabs>
        <w:spacing w:line="364" w:lineRule="auto" w:before="0" w:after="0"/>
        <w:ind w:left="400" w:right="418" w:firstLine="0"/>
        <w:jc w:val="left"/>
        <w:rPr>
          <w:sz w:val="21"/>
        </w:rPr>
      </w:pPr>
      <w:r>
        <w:rPr>
          <w:spacing w:val="-5"/>
          <w:sz w:val="21"/>
        </w:rPr>
        <w:t>以基金管理人的名义，代表基金份额持有人利益行使诉讼权利或实施其他法律行</w:t>
      </w:r>
      <w:r>
        <w:rPr>
          <w:sz w:val="21"/>
        </w:rPr>
        <w:t>为；</w:t>
      </w:r>
    </w:p>
    <w:p>
      <w:pPr>
        <w:pStyle w:val="ListParagraph"/>
        <w:numPr>
          <w:ilvl w:val="0"/>
          <w:numId w:val="35"/>
        </w:numPr>
        <w:tabs>
          <w:tab w:pos="1393" w:val="left" w:leader="none"/>
          <w:tab w:pos="1394" w:val="left" w:leader="none"/>
        </w:tabs>
        <w:spacing w:line="268" w:lineRule="exact" w:before="0" w:after="0"/>
        <w:ind w:left="1393" w:right="0" w:hanging="994"/>
        <w:jc w:val="left"/>
        <w:rPr>
          <w:sz w:val="21"/>
        </w:rPr>
      </w:pPr>
      <w:r>
        <w:rPr>
          <w:sz w:val="21"/>
        </w:rPr>
        <w:t>法律法规、中国证监会及基金合同规定的其他义务。</w:t>
      </w:r>
    </w:p>
    <w:p>
      <w:pPr>
        <w:pStyle w:val="Heading2"/>
        <w:spacing w:before="48"/>
      </w:pPr>
      <w:bookmarkStart w:name="_bookmark108" w:id="109"/>
      <w:bookmarkEnd w:id="109"/>
      <w:r>
        <w:rPr>
          <w:b w:val="0"/>
        </w:rPr>
      </w:r>
      <w:r>
        <w:rPr/>
        <w:t>（三）基金托管人的权利与义务</w:t>
      </w:r>
    </w:p>
    <w:p>
      <w:pPr>
        <w:pStyle w:val="BodyText"/>
        <w:spacing w:before="121"/>
      </w:pPr>
      <w:r>
        <w:rPr/>
        <w:t>1、基金托管人的权利</w:t>
      </w:r>
    </w:p>
    <w:p>
      <w:pPr>
        <w:pStyle w:val="ListParagraph"/>
        <w:numPr>
          <w:ilvl w:val="0"/>
          <w:numId w:val="36"/>
        </w:numPr>
        <w:tabs>
          <w:tab w:pos="820" w:val="left" w:leader="none"/>
        </w:tabs>
        <w:spacing w:line="240" w:lineRule="auto" w:before="139" w:after="0"/>
        <w:ind w:left="820" w:right="0" w:hanging="420"/>
        <w:jc w:val="left"/>
        <w:rPr>
          <w:sz w:val="21"/>
        </w:rPr>
      </w:pPr>
      <w:r>
        <w:rPr>
          <w:sz w:val="21"/>
        </w:rPr>
        <w:t>依据法律法规和基金合同的规定保管基金财产；</w:t>
      </w:r>
    </w:p>
    <w:p>
      <w:pPr>
        <w:pStyle w:val="ListParagraph"/>
        <w:numPr>
          <w:ilvl w:val="0"/>
          <w:numId w:val="36"/>
        </w:numPr>
        <w:tabs>
          <w:tab w:pos="820" w:val="left" w:leader="none"/>
        </w:tabs>
        <w:spacing w:line="240" w:lineRule="auto" w:before="140" w:after="0"/>
        <w:ind w:left="820" w:right="0" w:hanging="420"/>
        <w:jc w:val="left"/>
        <w:rPr>
          <w:sz w:val="21"/>
        </w:rPr>
      </w:pPr>
      <w:r>
        <w:rPr>
          <w:sz w:val="21"/>
        </w:rPr>
        <w:t>依照基金合同的约定获得基金托管费；</w:t>
      </w:r>
    </w:p>
    <w:p>
      <w:pPr>
        <w:pStyle w:val="ListParagraph"/>
        <w:numPr>
          <w:ilvl w:val="0"/>
          <w:numId w:val="36"/>
        </w:numPr>
        <w:tabs>
          <w:tab w:pos="820" w:val="left" w:leader="none"/>
        </w:tabs>
        <w:spacing w:line="364" w:lineRule="auto" w:before="139" w:after="0"/>
        <w:ind w:left="400" w:right="418" w:firstLine="0"/>
        <w:jc w:val="left"/>
        <w:rPr>
          <w:sz w:val="21"/>
        </w:rPr>
      </w:pPr>
      <w:r>
        <w:rPr>
          <w:spacing w:val="-7"/>
          <w:sz w:val="21"/>
        </w:rPr>
        <w:t>监督基金管理人对本基金的投资运作，如托管人发现基金管理人的投资指令违反基金合</w:t>
      </w:r>
      <w:r>
        <w:rPr>
          <w:sz w:val="21"/>
        </w:rPr>
        <w:t>同或有关法律法规的规定的，不予执行并向中国证监会报告；</w:t>
      </w:r>
    </w:p>
    <w:p>
      <w:pPr>
        <w:pStyle w:val="ListParagraph"/>
        <w:numPr>
          <w:ilvl w:val="0"/>
          <w:numId w:val="36"/>
        </w:numPr>
        <w:tabs>
          <w:tab w:pos="820" w:val="left" w:leader="none"/>
        </w:tabs>
        <w:spacing w:line="268" w:lineRule="exact" w:before="0" w:after="0"/>
        <w:ind w:left="820" w:right="0" w:hanging="420"/>
        <w:jc w:val="left"/>
        <w:rPr>
          <w:sz w:val="21"/>
        </w:rPr>
      </w:pPr>
      <w:r>
        <w:rPr>
          <w:sz w:val="21"/>
        </w:rPr>
        <w:t>在基金管理人职责终止时，提名新的基金管理人；</w:t>
      </w:r>
    </w:p>
    <w:p>
      <w:pPr>
        <w:pStyle w:val="ListParagraph"/>
        <w:numPr>
          <w:ilvl w:val="0"/>
          <w:numId w:val="36"/>
        </w:numPr>
        <w:tabs>
          <w:tab w:pos="820" w:val="left" w:leader="none"/>
        </w:tabs>
        <w:spacing w:line="240" w:lineRule="auto" w:before="139" w:after="0"/>
        <w:ind w:left="820" w:right="0" w:hanging="420"/>
        <w:jc w:val="both"/>
        <w:rPr>
          <w:sz w:val="21"/>
        </w:rPr>
      </w:pPr>
      <w:r>
        <w:rPr>
          <w:sz w:val="21"/>
        </w:rPr>
        <w:t>依据法律法规和基金合同的规定召集基金份额持有人大会；</w:t>
      </w:r>
    </w:p>
    <w:p>
      <w:pPr>
        <w:pStyle w:val="ListParagraph"/>
        <w:numPr>
          <w:ilvl w:val="0"/>
          <w:numId w:val="36"/>
        </w:numPr>
        <w:tabs>
          <w:tab w:pos="820" w:val="left" w:leader="none"/>
        </w:tabs>
        <w:spacing w:line="364" w:lineRule="auto" w:before="140" w:after="0"/>
        <w:ind w:left="400" w:right="418" w:firstLine="0"/>
        <w:jc w:val="both"/>
        <w:rPr>
          <w:sz w:val="21"/>
        </w:rPr>
      </w:pPr>
      <w:r>
        <w:rPr>
          <w:spacing w:val="-6"/>
          <w:sz w:val="21"/>
        </w:rPr>
        <w:t>依据法律法规和基金合同的规定监督基金管理人，如认为基金管理人违反了法律法规或</w:t>
      </w:r>
      <w:r>
        <w:rPr>
          <w:spacing w:val="-7"/>
          <w:sz w:val="21"/>
        </w:rPr>
        <w:t>基金合同规定对基金财产、其它基金合同当事人的利益造成重大损失的，应及时呈报中国证</w:t>
      </w:r>
      <w:r>
        <w:rPr>
          <w:sz w:val="21"/>
        </w:rPr>
        <w:t>监会，以及采取其它必要措施以保护本基金及相关基金合同当事人的利益；</w:t>
      </w:r>
    </w:p>
    <w:p>
      <w:pPr>
        <w:pStyle w:val="ListParagraph"/>
        <w:numPr>
          <w:ilvl w:val="0"/>
          <w:numId w:val="36"/>
        </w:numPr>
        <w:tabs>
          <w:tab w:pos="820" w:val="left" w:leader="none"/>
        </w:tabs>
        <w:spacing w:line="268" w:lineRule="exact" w:before="0" w:after="0"/>
        <w:ind w:left="820" w:right="0" w:hanging="420"/>
        <w:jc w:val="both"/>
        <w:rPr>
          <w:sz w:val="21"/>
        </w:rPr>
      </w:pPr>
      <w:r>
        <w:rPr>
          <w:sz w:val="21"/>
        </w:rPr>
        <w:t>法律法规、基金合同及中国证监会规定的其它权利。</w:t>
      </w:r>
    </w:p>
    <w:p>
      <w:pPr>
        <w:pStyle w:val="BodyText"/>
        <w:spacing w:before="139"/>
      </w:pPr>
      <w:r>
        <w:rPr/>
        <w:t>2、基金托管人的义务</w:t>
      </w:r>
    </w:p>
    <w:p>
      <w:pPr>
        <w:pStyle w:val="ListParagraph"/>
        <w:numPr>
          <w:ilvl w:val="0"/>
          <w:numId w:val="37"/>
        </w:numPr>
        <w:tabs>
          <w:tab w:pos="1240" w:val="left" w:leader="none"/>
        </w:tabs>
        <w:spacing w:line="240" w:lineRule="auto" w:before="140" w:after="0"/>
        <w:ind w:left="1240" w:right="0" w:hanging="840"/>
        <w:jc w:val="both"/>
        <w:rPr>
          <w:sz w:val="21"/>
        </w:rPr>
      </w:pPr>
      <w:r>
        <w:rPr>
          <w:sz w:val="21"/>
        </w:rPr>
        <w:t>以诚实信用、勤勉尽责的原则安全保管基金财产；</w:t>
      </w:r>
    </w:p>
    <w:p>
      <w:pPr>
        <w:pStyle w:val="ListParagraph"/>
        <w:numPr>
          <w:ilvl w:val="0"/>
          <w:numId w:val="37"/>
        </w:numPr>
        <w:tabs>
          <w:tab w:pos="1240" w:val="left" w:leader="none"/>
        </w:tabs>
        <w:spacing w:line="364" w:lineRule="auto" w:before="139" w:after="0"/>
        <w:ind w:left="400" w:right="417" w:firstLine="0"/>
        <w:jc w:val="both"/>
        <w:rPr>
          <w:sz w:val="21"/>
        </w:rPr>
      </w:pPr>
      <w:r>
        <w:rPr>
          <w:spacing w:val="-7"/>
          <w:sz w:val="21"/>
        </w:rPr>
        <w:t>设立专门的基金托管部门，具有符合要求的营业场所，配备足够的、合格的熟悉基</w:t>
      </w:r>
      <w:r>
        <w:rPr>
          <w:sz w:val="21"/>
        </w:rPr>
        <w:t>金托管业务的专职人员，负责基金财产托管事宜；</w:t>
      </w:r>
    </w:p>
    <w:p>
      <w:pPr>
        <w:pStyle w:val="ListParagraph"/>
        <w:numPr>
          <w:ilvl w:val="0"/>
          <w:numId w:val="37"/>
        </w:numPr>
        <w:tabs>
          <w:tab w:pos="1240" w:val="left" w:leader="none"/>
        </w:tabs>
        <w:spacing w:line="364" w:lineRule="auto" w:before="0" w:after="0"/>
        <w:ind w:left="400" w:right="417" w:firstLine="0"/>
        <w:jc w:val="both"/>
        <w:rPr>
          <w:sz w:val="21"/>
        </w:rPr>
      </w:pPr>
      <w:r>
        <w:rPr>
          <w:spacing w:val="-8"/>
          <w:sz w:val="21"/>
        </w:rPr>
        <w:t>建立健全内部控制、监察与稽核、财务管理及人事管理等制度，确保基金财产的安</w:t>
      </w:r>
      <w:r>
        <w:rPr>
          <w:spacing w:val="-5"/>
          <w:sz w:val="21"/>
        </w:rPr>
        <w:t>全，保证其托管的基金财产与基金托管人自有资产以及不同的基金财产相互独立；对所托管</w:t>
      </w:r>
      <w:r>
        <w:rPr>
          <w:spacing w:val="-7"/>
          <w:sz w:val="21"/>
        </w:rPr>
        <w:t>的不同的基金分别设置账户，独立核算，分账管理，保证不同基金之间在名册登记、账户设</w:t>
      </w:r>
      <w:r>
        <w:rPr>
          <w:sz w:val="21"/>
        </w:rPr>
        <w:t>置、资金划拨、账册记录等方面相互独立；</w:t>
      </w:r>
    </w:p>
    <w:p>
      <w:pPr>
        <w:pStyle w:val="ListParagraph"/>
        <w:numPr>
          <w:ilvl w:val="0"/>
          <w:numId w:val="37"/>
        </w:numPr>
        <w:tabs>
          <w:tab w:pos="1240" w:val="left" w:leader="none"/>
        </w:tabs>
        <w:spacing w:line="364" w:lineRule="auto" w:before="0" w:after="0"/>
        <w:ind w:left="400" w:right="418" w:firstLine="0"/>
        <w:jc w:val="both"/>
        <w:rPr>
          <w:sz w:val="21"/>
        </w:rPr>
      </w:pPr>
      <w:r>
        <w:rPr>
          <w:spacing w:val="-11"/>
          <w:sz w:val="21"/>
        </w:rPr>
        <w:t>除依据《基金法》、本基金合同及其他有关规定外，不以基金财产为自己及任何第三人谋取利益，不得委托第三人托管基金财产；</w:t>
      </w:r>
    </w:p>
    <w:p>
      <w:pPr>
        <w:pStyle w:val="ListParagraph"/>
        <w:numPr>
          <w:ilvl w:val="0"/>
          <w:numId w:val="37"/>
        </w:numPr>
        <w:tabs>
          <w:tab w:pos="1240" w:val="left" w:leader="none"/>
        </w:tabs>
        <w:spacing w:line="268" w:lineRule="exact" w:before="0" w:after="0"/>
        <w:ind w:left="1240" w:right="0" w:hanging="840"/>
        <w:jc w:val="both"/>
        <w:rPr>
          <w:sz w:val="21"/>
        </w:rPr>
      </w:pPr>
      <w:r>
        <w:rPr>
          <w:sz w:val="21"/>
        </w:rPr>
        <w:t>按规定保管由基金管理人代表基金签订的与基金有关的重大合同及有关凭证；</w:t>
      </w:r>
    </w:p>
    <w:p>
      <w:pPr>
        <w:pStyle w:val="ListParagraph"/>
        <w:numPr>
          <w:ilvl w:val="0"/>
          <w:numId w:val="37"/>
        </w:numPr>
        <w:tabs>
          <w:tab w:pos="1240" w:val="left" w:leader="none"/>
        </w:tabs>
        <w:spacing w:line="240" w:lineRule="auto" w:before="137" w:after="0"/>
        <w:ind w:left="1240" w:right="0" w:hanging="840"/>
        <w:jc w:val="both"/>
        <w:rPr>
          <w:sz w:val="21"/>
        </w:rPr>
      </w:pPr>
      <w:r>
        <w:rPr>
          <w:sz w:val="21"/>
        </w:rPr>
        <w:t>按规定开设基金财产的资金账户和证券账户；</w:t>
      </w:r>
    </w:p>
    <w:p>
      <w:pPr>
        <w:pStyle w:val="ListParagraph"/>
        <w:numPr>
          <w:ilvl w:val="0"/>
          <w:numId w:val="37"/>
        </w:numPr>
        <w:tabs>
          <w:tab w:pos="1239" w:val="left" w:leader="none"/>
          <w:tab w:pos="1240" w:val="left" w:leader="none"/>
        </w:tabs>
        <w:spacing w:line="240" w:lineRule="auto" w:before="139" w:after="0"/>
        <w:ind w:left="1240" w:right="0" w:hanging="840"/>
        <w:jc w:val="left"/>
        <w:rPr>
          <w:sz w:val="21"/>
        </w:rPr>
      </w:pPr>
      <w:r>
        <w:rPr>
          <w:sz w:val="21"/>
        </w:rPr>
        <w:t>按照基金合同的约定，根据基金管理人的投资指令，及时办理清算、交割事宜；</w:t>
      </w:r>
    </w:p>
    <w:p>
      <w:pPr>
        <w:pStyle w:val="ListParagraph"/>
        <w:numPr>
          <w:ilvl w:val="0"/>
          <w:numId w:val="37"/>
        </w:numPr>
        <w:tabs>
          <w:tab w:pos="1239" w:val="left" w:leader="none"/>
          <w:tab w:pos="1240" w:val="left" w:leader="none"/>
        </w:tabs>
        <w:spacing w:line="364" w:lineRule="auto" w:before="140" w:after="0"/>
        <w:ind w:left="400" w:right="418" w:firstLine="0"/>
        <w:jc w:val="left"/>
        <w:rPr>
          <w:sz w:val="21"/>
        </w:rPr>
      </w:pPr>
      <w:r>
        <w:rPr>
          <w:spacing w:val="-7"/>
          <w:sz w:val="21"/>
        </w:rPr>
        <w:t>保守基金商业秘密。除《基金法》、基金合同及其他有关规定另有规定外，在基金信息公开披露前应予以保密，不得向他人泄露；</w:t>
      </w:r>
    </w:p>
    <w:p>
      <w:pPr>
        <w:pStyle w:val="ListParagraph"/>
        <w:numPr>
          <w:ilvl w:val="0"/>
          <w:numId w:val="37"/>
        </w:numPr>
        <w:tabs>
          <w:tab w:pos="1239" w:val="left" w:leader="none"/>
          <w:tab w:pos="1240" w:val="left" w:leader="none"/>
        </w:tabs>
        <w:spacing w:line="268" w:lineRule="exact" w:before="0" w:after="0"/>
        <w:ind w:left="1240" w:right="0" w:hanging="840"/>
        <w:jc w:val="left"/>
        <w:rPr>
          <w:sz w:val="21"/>
        </w:rPr>
      </w:pPr>
      <w:r>
        <w:rPr>
          <w:spacing w:val="-9"/>
          <w:sz w:val="21"/>
        </w:rPr>
        <w:t>复核、审查基金管理人计算的基金资产净值、基金份额净值及基金份额申购、赎回</w:t>
      </w:r>
    </w:p>
    <w:p>
      <w:pPr>
        <w:spacing w:after="0" w:line="268" w:lineRule="exact"/>
        <w:jc w:val="left"/>
        <w:rPr>
          <w:sz w:val="21"/>
        </w:rPr>
        <w:sectPr>
          <w:pgSz w:w="11910" w:h="16840"/>
          <w:pgMar w:header="0" w:footer="910" w:top="1380" w:bottom="1180" w:left="1400" w:right="1380"/>
        </w:sectPr>
      </w:pPr>
    </w:p>
    <w:p>
      <w:pPr>
        <w:pStyle w:val="BodyText"/>
        <w:spacing w:before="45"/>
        <w:ind w:left="400"/>
      </w:pPr>
      <w:r>
        <w:rPr/>
        <w:t>价格；</w:t>
      </w:r>
    </w:p>
    <w:p>
      <w:pPr>
        <w:pStyle w:val="ListParagraph"/>
        <w:numPr>
          <w:ilvl w:val="0"/>
          <w:numId w:val="37"/>
        </w:numPr>
        <w:tabs>
          <w:tab w:pos="1240" w:val="left" w:leader="none"/>
        </w:tabs>
        <w:spacing w:line="240" w:lineRule="auto" w:before="139" w:after="0"/>
        <w:ind w:left="1240" w:right="0" w:hanging="840"/>
        <w:jc w:val="both"/>
        <w:rPr>
          <w:sz w:val="21"/>
        </w:rPr>
      </w:pPr>
      <w:r>
        <w:rPr>
          <w:sz w:val="21"/>
        </w:rPr>
        <w:t>办理与基金托管业务活动有关的信息披露事项；</w:t>
      </w:r>
    </w:p>
    <w:p>
      <w:pPr>
        <w:pStyle w:val="ListParagraph"/>
        <w:numPr>
          <w:ilvl w:val="0"/>
          <w:numId w:val="37"/>
        </w:numPr>
        <w:tabs>
          <w:tab w:pos="1240" w:val="left" w:leader="none"/>
        </w:tabs>
        <w:spacing w:line="364" w:lineRule="auto" w:before="140" w:after="0"/>
        <w:ind w:left="400" w:right="417" w:firstLine="0"/>
        <w:jc w:val="both"/>
        <w:rPr>
          <w:sz w:val="21"/>
        </w:rPr>
      </w:pPr>
      <w:r>
        <w:rPr>
          <w:spacing w:val="-8"/>
          <w:sz w:val="21"/>
        </w:rPr>
        <w:t>对基金财务会计报告、季度报告、中期报告和年度报告出具意见，说明基金管理人</w:t>
      </w:r>
      <w:r>
        <w:rPr>
          <w:spacing w:val="-5"/>
          <w:sz w:val="21"/>
        </w:rPr>
        <w:t>在各重要方面的运作是否严格按照基金合同的规定进行；如果基金管理人有未执行基金合同</w:t>
      </w:r>
      <w:r>
        <w:rPr>
          <w:sz w:val="21"/>
        </w:rPr>
        <w:t>规定的行为，还应说明基金托管人是否采取了适当的措施；</w:t>
      </w:r>
    </w:p>
    <w:p>
      <w:pPr>
        <w:pStyle w:val="ListParagraph"/>
        <w:numPr>
          <w:ilvl w:val="0"/>
          <w:numId w:val="37"/>
        </w:numPr>
        <w:tabs>
          <w:tab w:pos="1240" w:val="left" w:leader="none"/>
        </w:tabs>
        <w:spacing w:line="268" w:lineRule="exact" w:before="0" w:after="0"/>
        <w:ind w:left="1240" w:right="0" w:hanging="840"/>
        <w:jc w:val="both"/>
        <w:rPr>
          <w:sz w:val="21"/>
        </w:rPr>
      </w:pPr>
      <w:r>
        <w:rPr>
          <w:sz w:val="21"/>
        </w:rPr>
        <w:t>按规定保存有关基金托管业务活动的记录、账册、报表和其他相关资料；</w:t>
      </w:r>
    </w:p>
    <w:p>
      <w:pPr>
        <w:pStyle w:val="ListParagraph"/>
        <w:numPr>
          <w:ilvl w:val="0"/>
          <w:numId w:val="37"/>
        </w:numPr>
        <w:tabs>
          <w:tab w:pos="1240" w:val="left" w:leader="none"/>
        </w:tabs>
        <w:spacing w:line="240" w:lineRule="auto" w:before="139" w:after="0"/>
        <w:ind w:left="1240" w:right="0" w:hanging="840"/>
        <w:jc w:val="both"/>
        <w:rPr>
          <w:sz w:val="21"/>
        </w:rPr>
      </w:pPr>
      <w:r>
        <w:rPr>
          <w:sz w:val="21"/>
        </w:rPr>
        <w:t>根据有关法律法规，建立并保存基金份额持有人名册；</w:t>
      </w:r>
    </w:p>
    <w:p>
      <w:pPr>
        <w:pStyle w:val="ListParagraph"/>
        <w:numPr>
          <w:ilvl w:val="0"/>
          <w:numId w:val="37"/>
        </w:numPr>
        <w:tabs>
          <w:tab w:pos="1239" w:val="left" w:leader="none"/>
          <w:tab w:pos="1240" w:val="left" w:leader="none"/>
        </w:tabs>
        <w:spacing w:line="240" w:lineRule="auto" w:before="140" w:after="0"/>
        <w:ind w:left="1240" w:right="0" w:hanging="840"/>
        <w:jc w:val="left"/>
        <w:rPr>
          <w:sz w:val="21"/>
        </w:rPr>
      </w:pPr>
      <w:r>
        <w:rPr>
          <w:sz w:val="21"/>
        </w:rPr>
        <w:t>按规定制作相关账册并与基金管理人核对；</w:t>
      </w:r>
    </w:p>
    <w:p>
      <w:pPr>
        <w:pStyle w:val="ListParagraph"/>
        <w:numPr>
          <w:ilvl w:val="0"/>
          <w:numId w:val="37"/>
        </w:numPr>
        <w:tabs>
          <w:tab w:pos="1239" w:val="left" w:leader="none"/>
          <w:tab w:pos="1240" w:val="left" w:leader="none"/>
        </w:tabs>
        <w:spacing w:line="364" w:lineRule="auto" w:before="139" w:after="0"/>
        <w:ind w:left="400" w:right="418" w:firstLine="0"/>
        <w:jc w:val="left"/>
        <w:rPr>
          <w:sz w:val="21"/>
        </w:rPr>
      </w:pPr>
      <w:r>
        <w:rPr>
          <w:spacing w:val="-4"/>
          <w:sz w:val="21"/>
        </w:rPr>
        <w:t>依据基金管理人的指令或有关规定向基金份额持有人支付基金收益和赎回、基金转</w:t>
      </w:r>
      <w:r>
        <w:rPr>
          <w:sz w:val="21"/>
        </w:rPr>
        <w:t>换转出款项；</w:t>
      </w:r>
    </w:p>
    <w:p>
      <w:pPr>
        <w:pStyle w:val="ListParagraph"/>
        <w:numPr>
          <w:ilvl w:val="0"/>
          <w:numId w:val="37"/>
        </w:numPr>
        <w:tabs>
          <w:tab w:pos="1239" w:val="left" w:leader="none"/>
          <w:tab w:pos="1240" w:val="left" w:leader="none"/>
        </w:tabs>
        <w:spacing w:line="364" w:lineRule="auto" w:before="0" w:after="0"/>
        <w:ind w:left="400" w:right="418" w:firstLine="0"/>
        <w:jc w:val="left"/>
        <w:rPr>
          <w:sz w:val="21"/>
        </w:rPr>
      </w:pPr>
      <w:r>
        <w:rPr>
          <w:spacing w:val="2"/>
          <w:sz w:val="21"/>
        </w:rPr>
        <w:t>按照规定召集基金份额持有人大会或配合基金份额持有人依法自行召集基金份额持有人大会；</w:t>
      </w:r>
    </w:p>
    <w:p>
      <w:pPr>
        <w:pStyle w:val="ListParagraph"/>
        <w:numPr>
          <w:ilvl w:val="0"/>
          <w:numId w:val="37"/>
        </w:numPr>
        <w:tabs>
          <w:tab w:pos="1239" w:val="left" w:leader="none"/>
          <w:tab w:pos="1240" w:val="left" w:leader="none"/>
        </w:tabs>
        <w:spacing w:line="268" w:lineRule="exact" w:before="0" w:after="0"/>
        <w:ind w:left="1240" w:right="0" w:hanging="840"/>
        <w:jc w:val="left"/>
        <w:rPr>
          <w:sz w:val="21"/>
        </w:rPr>
      </w:pPr>
      <w:r>
        <w:rPr>
          <w:sz w:val="21"/>
        </w:rPr>
        <w:t>按照规定监督基金管理人的投资运作；</w:t>
      </w:r>
    </w:p>
    <w:p>
      <w:pPr>
        <w:pStyle w:val="ListParagraph"/>
        <w:numPr>
          <w:ilvl w:val="0"/>
          <w:numId w:val="37"/>
        </w:numPr>
        <w:tabs>
          <w:tab w:pos="1239" w:val="left" w:leader="none"/>
          <w:tab w:pos="1240" w:val="left" w:leader="none"/>
        </w:tabs>
        <w:spacing w:line="240" w:lineRule="auto" w:before="139" w:after="0"/>
        <w:ind w:left="1240" w:right="0" w:hanging="840"/>
        <w:jc w:val="left"/>
        <w:rPr>
          <w:sz w:val="21"/>
        </w:rPr>
      </w:pPr>
      <w:r>
        <w:rPr>
          <w:sz w:val="21"/>
        </w:rPr>
        <w:t>参加基金财产清算组，参与基金财产的保管、清理、估价、变现和分配；</w:t>
      </w:r>
    </w:p>
    <w:p>
      <w:pPr>
        <w:pStyle w:val="ListParagraph"/>
        <w:numPr>
          <w:ilvl w:val="0"/>
          <w:numId w:val="37"/>
        </w:numPr>
        <w:tabs>
          <w:tab w:pos="1239" w:val="left" w:leader="none"/>
          <w:tab w:pos="1240" w:val="left" w:leader="none"/>
        </w:tabs>
        <w:spacing w:line="364" w:lineRule="auto" w:before="139" w:after="0"/>
        <w:ind w:left="400" w:right="417" w:firstLine="0"/>
        <w:jc w:val="left"/>
        <w:rPr>
          <w:sz w:val="21"/>
        </w:rPr>
      </w:pPr>
      <w:r>
        <w:rPr>
          <w:spacing w:val="-11"/>
          <w:sz w:val="21"/>
        </w:rPr>
        <w:t>面临解散、依法被撤销、破产或者由接管人接管其资产时，及时报告中国证监会和</w:t>
      </w:r>
      <w:r>
        <w:rPr>
          <w:sz w:val="21"/>
        </w:rPr>
        <w:t>中国银监会，并通知基金管理人；</w:t>
      </w:r>
    </w:p>
    <w:p>
      <w:pPr>
        <w:pStyle w:val="ListParagraph"/>
        <w:numPr>
          <w:ilvl w:val="0"/>
          <w:numId w:val="37"/>
        </w:numPr>
        <w:tabs>
          <w:tab w:pos="1239" w:val="left" w:leader="none"/>
          <w:tab w:pos="1240" w:val="left" w:leader="none"/>
        </w:tabs>
        <w:spacing w:line="364" w:lineRule="auto" w:before="0" w:after="0"/>
        <w:ind w:left="400" w:right="418" w:firstLine="0"/>
        <w:jc w:val="left"/>
        <w:rPr>
          <w:sz w:val="21"/>
        </w:rPr>
      </w:pPr>
      <w:r>
        <w:rPr>
          <w:spacing w:val="-6"/>
          <w:sz w:val="21"/>
        </w:rPr>
        <w:t>基金管理人因违反基金合同造成基金财产损失时，基金托管人应为基金向基金管理</w:t>
      </w:r>
      <w:r>
        <w:rPr>
          <w:sz w:val="21"/>
        </w:rPr>
        <w:t>人追偿；</w:t>
      </w:r>
    </w:p>
    <w:p>
      <w:pPr>
        <w:pStyle w:val="ListParagraph"/>
        <w:numPr>
          <w:ilvl w:val="0"/>
          <w:numId w:val="37"/>
        </w:numPr>
        <w:tabs>
          <w:tab w:pos="1239" w:val="left" w:leader="none"/>
          <w:tab w:pos="1240" w:val="left" w:leader="none"/>
        </w:tabs>
        <w:spacing w:line="268" w:lineRule="exact" w:before="0" w:after="0"/>
        <w:ind w:left="1240" w:right="0" w:hanging="840"/>
        <w:jc w:val="left"/>
        <w:rPr>
          <w:sz w:val="21"/>
        </w:rPr>
      </w:pPr>
      <w:r>
        <w:rPr>
          <w:spacing w:val="-10"/>
          <w:sz w:val="21"/>
        </w:rPr>
        <w:t>因违反基金合同导致基金财产的损失，应承担赔偿责任，其责任不因其退任而免除；</w:t>
      </w:r>
    </w:p>
    <w:p>
      <w:pPr>
        <w:pStyle w:val="ListParagraph"/>
        <w:numPr>
          <w:ilvl w:val="0"/>
          <w:numId w:val="37"/>
        </w:numPr>
        <w:tabs>
          <w:tab w:pos="1239" w:val="left" w:leader="none"/>
          <w:tab w:pos="1240" w:val="left" w:leader="none"/>
        </w:tabs>
        <w:spacing w:line="240" w:lineRule="auto" w:before="139" w:after="0"/>
        <w:ind w:left="1240" w:right="0" w:hanging="840"/>
        <w:jc w:val="left"/>
        <w:rPr>
          <w:sz w:val="21"/>
        </w:rPr>
      </w:pPr>
      <w:r>
        <w:rPr>
          <w:sz w:val="21"/>
        </w:rPr>
        <w:t>不从事任何有损基金及基金合同其他当事人利益的活动；</w:t>
      </w:r>
    </w:p>
    <w:p>
      <w:pPr>
        <w:pStyle w:val="ListParagraph"/>
        <w:numPr>
          <w:ilvl w:val="0"/>
          <w:numId w:val="37"/>
        </w:numPr>
        <w:tabs>
          <w:tab w:pos="1239" w:val="left" w:leader="none"/>
          <w:tab w:pos="1240" w:val="left" w:leader="none"/>
        </w:tabs>
        <w:spacing w:line="240" w:lineRule="auto" w:before="139" w:after="0"/>
        <w:ind w:left="1240" w:right="0" w:hanging="840"/>
        <w:jc w:val="left"/>
        <w:rPr>
          <w:sz w:val="21"/>
        </w:rPr>
      </w:pPr>
      <w:r>
        <w:rPr>
          <w:sz w:val="21"/>
        </w:rPr>
        <w:t>法律法规、中国证监会及本基金合同所规定的其他义务。</w:t>
      </w:r>
    </w:p>
    <w:p>
      <w:pPr>
        <w:pStyle w:val="Heading2"/>
        <w:spacing w:before="48"/>
      </w:pPr>
      <w:bookmarkStart w:name="_bookmark109" w:id="110"/>
      <w:bookmarkEnd w:id="110"/>
      <w:r>
        <w:rPr>
          <w:b w:val="0"/>
        </w:rPr>
      </w:r>
      <w:r>
        <w:rPr/>
        <w:t>（四）基金份额持有人的权利与义务</w:t>
      </w:r>
    </w:p>
    <w:p>
      <w:pPr>
        <w:pStyle w:val="BodyText"/>
        <w:spacing w:line="364" w:lineRule="auto" w:before="121"/>
        <w:ind w:left="400" w:right="417" w:firstLine="420"/>
        <w:jc w:val="both"/>
      </w:pPr>
      <w:r>
        <w:rPr>
          <w:spacing w:val="2"/>
        </w:rPr>
        <w:t>基金投资人购买或通过其他合法方式持有本基金基金份额的行为即视为对基金合同的</w:t>
      </w:r>
      <w:r>
        <w:rPr>
          <w:spacing w:val="-8"/>
        </w:rPr>
        <w:t>承认和接受，基金投资人自依据基金合同、招募说明书取得本基金的基金份额，即成为基金</w:t>
      </w:r>
      <w:r>
        <w:rPr>
          <w:spacing w:val="-7"/>
        </w:rPr>
        <w:t>份额持有人和基金合同当事人，直至其不再持有本基金的基金份额。基金份额持有人作为当</w:t>
      </w:r>
      <w:r>
        <w:rPr/>
        <w:t>事人并不以在基金合同上书面签章为必要条件。每份基金份额具有同等的合法权益。</w:t>
      </w:r>
    </w:p>
    <w:p>
      <w:pPr>
        <w:pStyle w:val="BodyText"/>
        <w:spacing w:line="267" w:lineRule="exact"/>
      </w:pPr>
      <w:r>
        <w:rPr/>
        <w:t>1、基金份额持有人的权利</w:t>
      </w:r>
    </w:p>
    <w:p>
      <w:pPr>
        <w:pStyle w:val="ListParagraph"/>
        <w:numPr>
          <w:ilvl w:val="0"/>
          <w:numId w:val="38"/>
        </w:numPr>
        <w:tabs>
          <w:tab w:pos="1239" w:val="left" w:leader="none"/>
          <w:tab w:pos="1240" w:val="left" w:leader="none"/>
        </w:tabs>
        <w:spacing w:line="240" w:lineRule="auto" w:before="140" w:after="0"/>
        <w:ind w:left="1240" w:right="0" w:hanging="840"/>
        <w:jc w:val="left"/>
        <w:rPr>
          <w:sz w:val="21"/>
        </w:rPr>
      </w:pPr>
      <w:r>
        <w:rPr>
          <w:sz w:val="21"/>
        </w:rPr>
        <w:t>分享基金财产收益；</w:t>
      </w:r>
    </w:p>
    <w:p>
      <w:pPr>
        <w:pStyle w:val="ListParagraph"/>
        <w:numPr>
          <w:ilvl w:val="0"/>
          <w:numId w:val="38"/>
        </w:numPr>
        <w:tabs>
          <w:tab w:pos="1239" w:val="left" w:leader="none"/>
          <w:tab w:pos="1240" w:val="left" w:leader="none"/>
        </w:tabs>
        <w:spacing w:line="240" w:lineRule="auto" w:before="139" w:after="0"/>
        <w:ind w:left="1240" w:right="0" w:hanging="840"/>
        <w:jc w:val="left"/>
        <w:rPr>
          <w:sz w:val="21"/>
        </w:rPr>
      </w:pPr>
      <w:r>
        <w:rPr>
          <w:sz w:val="21"/>
        </w:rPr>
        <w:t>参与分配清算后的剩余基金财产；</w:t>
      </w:r>
    </w:p>
    <w:p>
      <w:pPr>
        <w:pStyle w:val="ListParagraph"/>
        <w:numPr>
          <w:ilvl w:val="0"/>
          <w:numId w:val="38"/>
        </w:numPr>
        <w:tabs>
          <w:tab w:pos="1239" w:val="left" w:leader="none"/>
          <w:tab w:pos="1240" w:val="left" w:leader="none"/>
        </w:tabs>
        <w:spacing w:line="240" w:lineRule="auto" w:before="140" w:after="0"/>
        <w:ind w:left="1240" w:right="0" w:hanging="840"/>
        <w:jc w:val="left"/>
        <w:rPr>
          <w:sz w:val="21"/>
        </w:rPr>
      </w:pPr>
      <w:r>
        <w:rPr>
          <w:sz w:val="21"/>
        </w:rPr>
        <w:t>依法申请赎回其持有的基金份额；</w:t>
      </w:r>
    </w:p>
    <w:p>
      <w:pPr>
        <w:pStyle w:val="ListParagraph"/>
        <w:numPr>
          <w:ilvl w:val="0"/>
          <w:numId w:val="38"/>
        </w:numPr>
        <w:tabs>
          <w:tab w:pos="1239" w:val="left" w:leader="none"/>
          <w:tab w:pos="1240" w:val="left" w:leader="none"/>
        </w:tabs>
        <w:spacing w:line="240" w:lineRule="auto" w:before="139" w:after="0"/>
        <w:ind w:left="1240" w:right="0" w:hanging="840"/>
        <w:jc w:val="left"/>
        <w:rPr>
          <w:sz w:val="21"/>
        </w:rPr>
      </w:pPr>
      <w:r>
        <w:rPr>
          <w:sz w:val="21"/>
        </w:rPr>
        <w:t>按照规定要求召开基金份额持有人大会；</w:t>
      </w:r>
    </w:p>
    <w:p>
      <w:pPr>
        <w:pStyle w:val="ListParagraph"/>
        <w:numPr>
          <w:ilvl w:val="0"/>
          <w:numId w:val="38"/>
        </w:numPr>
        <w:tabs>
          <w:tab w:pos="1239" w:val="left" w:leader="none"/>
          <w:tab w:pos="1240" w:val="left" w:leader="none"/>
        </w:tabs>
        <w:spacing w:line="364" w:lineRule="auto" w:before="139" w:after="0"/>
        <w:ind w:left="400" w:right="418" w:firstLine="0"/>
        <w:jc w:val="left"/>
        <w:rPr>
          <w:sz w:val="21"/>
        </w:rPr>
      </w:pPr>
      <w:r>
        <w:rPr>
          <w:spacing w:val="-6"/>
          <w:sz w:val="21"/>
        </w:rPr>
        <w:t>出席或者委派代表出席基金份额持有人大会，对基金份额持有人大会审议事项行使</w:t>
      </w:r>
      <w:r>
        <w:rPr>
          <w:sz w:val="21"/>
        </w:rPr>
        <w:t>表决权；</w:t>
      </w:r>
    </w:p>
    <w:p>
      <w:pPr>
        <w:pStyle w:val="ListParagraph"/>
        <w:numPr>
          <w:ilvl w:val="0"/>
          <w:numId w:val="38"/>
        </w:numPr>
        <w:tabs>
          <w:tab w:pos="1239" w:val="left" w:leader="none"/>
          <w:tab w:pos="1240" w:val="left" w:leader="none"/>
        </w:tabs>
        <w:spacing w:line="268" w:lineRule="exact" w:before="0" w:after="0"/>
        <w:ind w:left="1240" w:right="0" w:hanging="840"/>
        <w:jc w:val="left"/>
        <w:rPr>
          <w:sz w:val="21"/>
        </w:rPr>
      </w:pPr>
      <w:r>
        <w:rPr>
          <w:sz w:val="21"/>
        </w:rPr>
        <w:t>查阅或者复制公开披露的基金信息资料；</w:t>
      </w:r>
    </w:p>
    <w:p>
      <w:pPr>
        <w:spacing w:after="0" w:line="268" w:lineRule="exact"/>
        <w:jc w:val="left"/>
        <w:rPr>
          <w:sz w:val="21"/>
        </w:rPr>
        <w:sectPr>
          <w:pgSz w:w="11910" w:h="16840"/>
          <w:pgMar w:header="0" w:footer="910" w:top="1380" w:bottom="1180" w:left="1400" w:right="1380"/>
        </w:sectPr>
      </w:pPr>
    </w:p>
    <w:p>
      <w:pPr>
        <w:pStyle w:val="ListParagraph"/>
        <w:numPr>
          <w:ilvl w:val="0"/>
          <w:numId w:val="38"/>
        </w:numPr>
        <w:tabs>
          <w:tab w:pos="1239" w:val="left" w:leader="none"/>
          <w:tab w:pos="1240" w:val="left" w:leader="none"/>
        </w:tabs>
        <w:spacing w:line="240" w:lineRule="auto" w:before="45" w:after="0"/>
        <w:ind w:left="1240" w:right="0" w:hanging="840"/>
        <w:jc w:val="left"/>
        <w:rPr>
          <w:sz w:val="21"/>
        </w:rPr>
      </w:pPr>
      <w:r>
        <w:rPr>
          <w:sz w:val="21"/>
        </w:rPr>
        <w:t>监督基金管理人的投资运作；</w:t>
      </w:r>
    </w:p>
    <w:p>
      <w:pPr>
        <w:pStyle w:val="ListParagraph"/>
        <w:numPr>
          <w:ilvl w:val="0"/>
          <w:numId w:val="38"/>
        </w:numPr>
        <w:tabs>
          <w:tab w:pos="1239" w:val="left" w:leader="none"/>
          <w:tab w:pos="1240" w:val="left" w:leader="none"/>
        </w:tabs>
        <w:spacing w:line="364" w:lineRule="auto" w:before="139" w:after="0"/>
        <w:ind w:left="400" w:right="417" w:firstLine="0"/>
        <w:jc w:val="left"/>
        <w:rPr>
          <w:sz w:val="21"/>
        </w:rPr>
      </w:pPr>
      <w:r>
        <w:rPr>
          <w:spacing w:val="-11"/>
          <w:sz w:val="21"/>
        </w:rPr>
        <w:t>对基金管理人、基金托管人、注册登记人、基金份额发售机构损害其合法权益的行</w:t>
      </w:r>
      <w:r>
        <w:rPr>
          <w:sz w:val="21"/>
        </w:rPr>
        <w:t>为依法提起诉讼；</w:t>
      </w:r>
    </w:p>
    <w:p>
      <w:pPr>
        <w:pStyle w:val="ListParagraph"/>
        <w:numPr>
          <w:ilvl w:val="0"/>
          <w:numId w:val="38"/>
        </w:numPr>
        <w:tabs>
          <w:tab w:pos="1239" w:val="left" w:leader="none"/>
          <w:tab w:pos="1240" w:val="left" w:leader="none"/>
        </w:tabs>
        <w:spacing w:line="268" w:lineRule="exact" w:before="0" w:after="0"/>
        <w:ind w:left="1240" w:right="0" w:hanging="840"/>
        <w:jc w:val="left"/>
        <w:rPr>
          <w:sz w:val="21"/>
        </w:rPr>
      </w:pPr>
      <w:r>
        <w:rPr>
          <w:sz w:val="21"/>
        </w:rPr>
        <w:t>法律法规、基金合同规定的其它权利。</w:t>
      </w:r>
    </w:p>
    <w:p>
      <w:pPr>
        <w:pStyle w:val="BodyText"/>
        <w:spacing w:before="140"/>
      </w:pPr>
      <w:r>
        <w:rPr/>
        <w:t>2、基金份额持有人的义务</w:t>
      </w:r>
    </w:p>
    <w:p>
      <w:pPr>
        <w:pStyle w:val="ListParagraph"/>
        <w:numPr>
          <w:ilvl w:val="0"/>
          <w:numId w:val="39"/>
        </w:numPr>
        <w:tabs>
          <w:tab w:pos="1239" w:val="left" w:leader="none"/>
          <w:tab w:pos="1240" w:val="left" w:leader="none"/>
        </w:tabs>
        <w:spacing w:line="240" w:lineRule="auto" w:before="139" w:after="0"/>
        <w:ind w:left="1240" w:right="0" w:hanging="840"/>
        <w:jc w:val="left"/>
        <w:rPr>
          <w:sz w:val="21"/>
        </w:rPr>
      </w:pPr>
      <w:r>
        <w:rPr>
          <w:sz w:val="21"/>
        </w:rPr>
        <w:t>遵守基金合同；</w:t>
      </w:r>
    </w:p>
    <w:p>
      <w:pPr>
        <w:pStyle w:val="ListParagraph"/>
        <w:numPr>
          <w:ilvl w:val="0"/>
          <w:numId w:val="39"/>
        </w:numPr>
        <w:tabs>
          <w:tab w:pos="1239" w:val="left" w:leader="none"/>
          <w:tab w:pos="1240" w:val="left" w:leader="none"/>
        </w:tabs>
        <w:spacing w:line="240" w:lineRule="auto" w:before="140" w:after="0"/>
        <w:ind w:left="1240" w:right="0" w:hanging="840"/>
        <w:jc w:val="left"/>
        <w:rPr>
          <w:sz w:val="21"/>
        </w:rPr>
      </w:pPr>
      <w:r>
        <w:rPr>
          <w:sz w:val="21"/>
        </w:rPr>
        <w:t>缴纳基金申购款项及法律法规和基金合同所规定的其他费用；</w:t>
      </w:r>
    </w:p>
    <w:p>
      <w:pPr>
        <w:pStyle w:val="ListParagraph"/>
        <w:numPr>
          <w:ilvl w:val="0"/>
          <w:numId w:val="39"/>
        </w:numPr>
        <w:tabs>
          <w:tab w:pos="1239" w:val="left" w:leader="none"/>
          <w:tab w:pos="1240" w:val="left" w:leader="none"/>
        </w:tabs>
        <w:spacing w:line="240" w:lineRule="auto" w:before="139" w:after="0"/>
        <w:ind w:left="1240" w:right="0" w:hanging="840"/>
        <w:jc w:val="left"/>
        <w:rPr>
          <w:sz w:val="21"/>
        </w:rPr>
      </w:pPr>
      <w:r>
        <w:rPr>
          <w:sz w:val="21"/>
        </w:rPr>
        <w:t>在持有的基金份额范围内，承担基金亏损或者基金合同终止的有限责任；</w:t>
      </w:r>
    </w:p>
    <w:p>
      <w:pPr>
        <w:pStyle w:val="BodyText"/>
        <w:spacing w:before="140"/>
        <w:ind w:left="400"/>
      </w:pPr>
      <w:r>
        <w:rPr/>
        <w:t>（4）不从事任何有损基金及其他基金合同当事人合法利益的活动；</w:t>
      </w:r>
    </w:p>
    <w:p>
      <w:pPr>
        <w:pStyle w:val="BodyText"/>
        <w:spacing w:before="139"/>
      </w:pPr>
      <w:r>
        <w:rPr/>
        <w:t>（5）执行生效的基金份额持有人大会决议；</w:t>
      </w:r>
    </w:p>
    <w:p>
      <w:pPr>
        <w:pStyle w:val="ListParagraph"/>
        <w:numPr>
          <w:ilvl w:val="0"/>
          <w:numId w:val="40"/>
        </w:numPr>
        <w:tabs>
          <w:tab w:pos="927" w:val="left" w:leader="none"/>
        </w:tabs>
        <w:spacing w:line="364" w:lineRule="auto" w:before="139" w:after="0"/>
        <w:ind w:left="400" w:right="418" w:firstLine="0"/>
        <w:jc w:val="left"/>
        <w:rPr>
          <w:sz w:val="21"/>
        </w:rPr>
      </w:pPr>
      <w:r>
        <w:rPr>
          <w:sz w:val="21"/>
        </w:rPr>
        <w:t>返还在基金交易过程中因任何原因，自基金管理人、基金托管人及代理机构处获得的不当得利；</w:t>
      </w:r>
    </w:p>
    <w:p>
      <w:pPr>
        <w:pStyle w:val="ListParagraph"/>
        <w:numPr>
          <w:ilvl w:val="0"/>
          <w:numId w:val="40"/>
        </w:numPr>
        <w:tabs>
          <w:tab w:pos="926" w:val="left" w:leader="none"/>
        </w:tabs>
        <w:spacing w:line="268" w:lineRule="exact" w:before="0" w:after="0"/>
        <w:ind w:left="926" w:right="0" w:hanging="526"/>
        <w:jc w:val="left"/>
        <w:rPr>
          <w:sz w:val="21"/>
        </w:rPr>
      </w:pPr>
      <w:r>
        <w:rPr>
          <w:sz w:val="21"/>
        </w:rPr>
        <w:t>法律法规及基金合同规定的其他义务。</w:t>
      </w:r>
    </w:p>
    <w:p>
      <w:pPr>
        <w:pStyle w:val="Heading2"/>
        <w:spacing w:before="49"/>
      </w:pPr>
      <w:bookmarkStart w:name="_bookmark110" w:id="111"/>
      <w:bookmarkEnd w:id="111"/>
      <w:r>
        <w:rPr>
          <w:b w:val="0"/>
        </w:rPr>
      </w:r>
      <w:r>
        <w:rPr/>
        <w:t>（五）基金份额持有人大会</w:t>
      </w:r>
    </w:p>
    <w:p>
      <w:pPr>
        <w:pStyle w:val="BodyText"/>
        <w:spacing w:line="364" w:lineRule="auto" w:before="121"/>
        <w:ind w:left="400" w:right="418" w:firstLine="420"/>
      </w:pPr>
      <w:r>
        <w:rPr/>
        <w:t>1、本基金的基金份额持有人大会，由本基金的基金份额持有人组成。基金份额持有人持有的每一基金份额拥有平等的投票权。</w:t>
      </w:r>
    </w:p>
    <w:p>
      <w:pPr>
        <w:pStyle w:val="BodyText"/>
        <w:spacing w:line="268" w:lineRule="exact"/>
      </w:pPr>
      <w:r>
        <w:rPr/>
        <w:t>2、有以下事由情形之一时，应召开基金份额持有人大会：</w:t>
      </w:r>
    </w:p>
    <w:p>
      <w:pPr>
        <w:pStyle w:val="ListParagraph"/>
        <w:numPr>
          <w:ilvl w:val="1"/>
          <w:numId w:val="40"/>
        </w:numPr>
        <w:tabs>
          <w:tab w:pos="1346" w:val="left" w:leader="none"/>
        </w:tabs>
        <w:spacing w:line="240" w:lineRule="auto" w:before="139" w:after="0"/>
        <w:ind w:left="1346" w:right="0" w:hanging="526"/>
        <w:jc w:val="left"/>
        <w:rPr>
          <w:sz w:val="21"/>
        </w:rPr>
      </w:pPr>
      <w:r>
        <w:rPr>
          <w:sz w:val="21"/>
        </w:rPr>
        <w:t>终止基金合同；</w:t>
      </w:r>
    </w:p>
    <w:p>
      <w:pPr>
        <w:pStyle w:val="ListParagraph"/>
        <w:numPr>
          <w:ilvl w:val="1"/>
          <w:numId w:val="40"/>
        </w:numPr>
        <w:tabs>
          <w:tab w:pos="1346" w:val="left" w:leader="none"/>
        </w:tabs>
        <w:spacing w:line="240" w:lineRule="auto" w:before="140" w:after="0"/>
        <w:ind w:left="1346" w:right="0" w:hanging="526"/>
        <w:jc w:val="left"/>
        <w:rPr>
          <w:sz w:val="21"/>
        </w:rPr>
      </w:pPr>
      <w:r>
        <w:rPr>
          <w:sz w:val="21"/>
        </w:rPr>
        <w:t>转换基金运作方式；</w:t>
      </w:r>
    </w:p>
    <w:p>
      <w:pPr>
        <w:pStyle w:val="ListParagraph"/>
        <w:numPr>
          <w:ilvl w:val="1"/>
          <w:numId w:val="40"/>
        </w:numPr>
        <w:tabs>
          <w:tab w:pos="1346" w:val="left" w:leader="none"/>
        </w:tabs>
        <w:spacing w:line="240" w:lineRule="auto" w:before="139" w:after="0"/>
        <w:ind w:left="1346" w:right="0" w:hanging="526"/>
        <w:jc w:val="left"/>
        <w:rPr>
          <w:sz w:val="21"/>
        </w:rPr>
      </w:pPr>
      <w:r>
        <w:rPr>
          <w:sz w:val="21"/>
        </w:rPr>
        <w:t>更换基金托管人；</w:t>
      </w:r>
    </w:p>
    <w:p>
      <w:pPr>
        <w:pStyle w:val="ListParagraph"/>
        <w:numPr>
          <w:ilvl w:val="1"/>
          <w:numId w:val="40"/>
        </w:numPr>
        <w:tabs>
          <w:tab w:pos="1346" w:val="left" w:leader="none"/>
        </w:tabs>
        <w:spacing w:line="240" w:lineRule="auto" w:before="139" w:after="0"/>
        <w:ind w:left="1346" w:right="0" w:hanging="526"/>
        <w:jc w:val="left"/>
        <w:rPr>
          <w:sz w:val="21"/>
        </w:rPr>
      </w:pPr>
      <w:r>
        <w:rPr>
          <w:sz w:val="21"/>
        </w:rPr>
        <w:t>更换基金管理人；</w:t>
      </w:r>
    </w:p>
    <w:p>
      <w:pPr>
        <w:pStyle w:val="ListParagraph"/>
        <w:numPr>
          <w:ilvl w:val="1"/>
          <w:numId w:val="40"/>
        </w:numPr>
        <w:tabs>
          <w:tab w:pos="1347" w:val="left" w:leader="none"/>
        </w:tabs>
        <w:spacing w:line="364" w:lineRule="auto" w:before="140" w:after="0"/>
        <w:ind w:left="400" w:right="418" w:firstLine="420"/>
        <w:jc w:val="left"/>
        <w:rPr>
          <w:sz w:val="21"/>
        </w:rPr>
      </w:pPr>
      <w:r>
        <w:rPr>
          <w:sz w:val="21"/>
        </w:rPr>
        <w:t>提高基金管理人、基金托管人的报酬标准，但根据法律法规的要求提高该等报酬标准的除外；</w:t>
      </w:r>
    </w:p>
    <w:p>
      <w:pPr>
        <w:pStyle w:val="ListParagraph"/>
        <w:numPr>
          <w:ilvl w:val="1"/>
          <w:numId w:val="40"/>
        </w:numPr>
        <w:tabs>
          <w:tab w:pos="1346" w:val="left" w:leader="none"/>
        </w:tabs>
        <w:spacing w:line="268" w:lineRule="exact" w:before="0" w:after="0"/>
        <w:ind w:left="1346" w:right="0" w:hanging="526"/>
        <w:jc w:val="left"/>
        <w:rPr>
          <w:sz w:val="21"/>
        </w:rPr>
      </w:pPr>
      <w:r>
        <w:rPr>
          <w:sz w:val="21"/>
        </w:rPr>
        <w:t>本基金与其它基金的合并；</w:t>
      </w:r>
    </w:p>
    <w:p>
      <w:pPr>
        <w:pStyle w:val="ListParagraph"/>
        <w:numPr>
          <w:ilvl w:val="1"/>
          <w:numId w:val="40"/>
        </w:numPr>
        <w:tabs>
          <w:tab w:pos="1346" w:val="left" w:leader="none"/>
        </w:tabs>
        <w:spacing w:line="240" w:lineRule="auto" w:before="139" w:after="0"/>
        <w:ind w:left="1346" w:right="0" w:hanging="526"/>
        <w:jc w:val="left"/>
        <w:rPr>
          <w:sz w:val="21"/>
        </w:rPr>
      </w:pPr>
      <w:r>
        <w:rPr>
          <w:sz w:val="21"/>
        </w:rPr>
        <w:t>变更基金类别；</w:t>
      </w:r>
    </w:p>
    <w:p>
      <w:pPr>
        <w:pStyle w:val="ListParagraph"/>
        <w:numPr>
          <w:ilvl w:val="1"/>
          <w:numId w:val="40"/>
        </w:numPr>
        <w:tabs>
          <w:tab w:pos="1346" w:val="left" w:leader="none"/>
        </w:tabs>
        <w:spacing w:line="240" w:lineRule="auto" w:before="140" w:after="0"/>
        <w:ind w:left="1346" w:right="0" w:hanging="526"/>
        <w:jc w:val="left"/>
        <w:rPr>
          <w:sz w:val="21"/>
        </w:rPr>
      </w:pPr>
      <w:r>
        <w:rPr>
          <w:sz w:val="21"/>
        </w:rPr>
        <w:t>变更基金投资目标、范围或策略；</w:t>
      </w:r>
    </w:p>
    <w:p>
      <w:pPr>
        <w:pStyle w:val="ListParagraph"/>
        <w:numPr>
          <w:ilvl w:val="1"/>
          <w:numId w:val="40"/>
        </w:numPr>
        <w:tabs>
          <w:tab w:pos="1346" w:val="left" w:leader="none"/>
        </w:tabs>
        <w:spacing w:line="240" w:lineRule="auto" w:before="139" w:after="0"/>
        <w:ind w:left="1346" w:right="0" w:hanging="526"/>
        <w:jc w:val="left"/>
        <w:rPr>
          <w:sz w:val="21"/>
        </w:rPr>
      </w:pPr>
      <w:r>
        <w:rPr>
          <w:sz w:val="21"/>
        </w:rPr>
        <w:t>变更基金份额持有人大会程序；</w:t>
      </w:r>
    </w:p>
    <w:p>
      <w:pPr>
        <w:pStyle w:val="ListParagraph"/>
        <w:numPr>
          <w:ilvl w:val="1"/>
          <w:numId w:val="40"/>
        </w:numPr>
        <w:tabs>
          <w:tab w:pos="1451" w:val="left" w:leader="none"/>
        </w:tabs>
        <w:spacing w:line="240" w:lineRule="auto" w:before="140" w:after="0"/>
        <w:ind w:left="1451" w:right="0" w:hanging="631"/>
        <w:jc w:val="left"/>
        <w:rPr>
          <w:sz w:val="21"/>
        </w:rPr>
      </w:pPr>
      <w:r>
        <w:rPr>
          <w:sz w:val="21"/>
        </w:rPr>
        <w:t>对基金合同当事人权利、义务产生重大影响的其他事项；</w:t>
      </w:r>
    </w:p>
    <w:p>
      <w:pPr>
        <w:pStyle w:val="ListParagraph"/>
        <w:numPr>
          <w:ilvl w:val="1"/>
          <w:numId w:val="40"/>
        </w:numPr>
        <w:tabs>
          <w:tab w:pos="1451" w:val="left" w:leader="none"/>
        </w:tabs>
        <w:spacing w:line="364" w:lineRule="auto" w:before="139" w:after="0"/>
        <w:ind w:left="400" w:right="418" w:firstLine="420"/>
        <w:jc w:val="left"/>
        <w:rPr>
          <w:sz w:val="21"/>
        </w:rPr>
      </w:pPr>
      <w:r>
        <w:rPr>
          <w:spacing w:val="-7"/>
          <w:sz w:val="21"/>
        </w:rPr>
        <w:t>法律法规、基金合同或中国证监会规定的其它应当召开基金份额持有人大会的</w:t>
      </w:r>
      <w:r>
        <w:rPr>
          <w:spacing w:val="-6"/>
          <w:sz w:val="21"/>
        </w:rPr>
        <w:t>事项。</w:t>
      </w:r>
    </w:p>
    <w:p>
      <w:pPr>
        <w:pStyle w:val="BodyText"/>
        <w:spacing w:line="268" w:lineRule="exact"/>
      </w:pPr>
      <w:r>
        <w:rPr/>
        <w:t>3、以下情况不需召开基金份额持有人大会：</w:t>
      </w:r>
    </w:p>
    <w:p>
      <w:pPr>
        <w:pStyle w:val="ListParagraph"/>
        <w:numPr>
          <w:ilvl w:val="0"/>
          <w:numId w:val="41"/>
        </w:numPr>
        <w:tabs>
          <w:tab w:pos="1346" w:val="left" w:leader="none"/>
        </w:tabs>
        <w:spacing w:line="240" w:lineRule="auto" w:before="140" w:after="0"/>
        <w:ind w:left="1346" w:right="0" w:hanging="526"/>
        <w:jc w:val="left"/>
        <w:rPr>
          <w:sz w:val="21"/>
        </w:rPr>
      </w:pPr>
      <w:r>
        <w:rPr>
          <w:sz w:val="21"/>
        </w:rPr>
        <w:t>调低基金管理费、基金托管费；</w:t>
      </w:r>
    </w:p>
    <w:p>
      <w:pPr>
        <w:pStyle w:val="ListParagraph"/>
        <w:numPr>
          <w:ilvl w:val="0"/>
          <w:numId w:val="41"/>
        </w:numPr>
        <w:tabs>
          <w:tab w:pos="1347" w:val="left" w:leader="none"/>
        </w:tabs>
        <w:spacing w:line="364" w:lineRule="auto" w:before="139" w:after="0"/>
        <w:ind w:left="400" w:right="418" w:firstLine="420"/>
        <w:jc w:val="left"/>
        <w:rPr>
          <w:sz w:val="21"/>
        </w:rPr>
      </w:pPr>
      <w:r>
        <w:rPr>
          <w:sz w:val="21"/>
        </w:rPr>
        <w:t>在法律法规和基金合同规定的范围内变更本基金的申购费率、赎回费率或收费方式；</w:t>
      </w:r>
    </w:p>
    <w:p>
      <w:pPr>
        <w:spacing w:after="0" w:line="364" w:lineRule="auto"/>
        <w:jc w:val="left"/>
        <w:rPr>
          <w:sz w:val="21"/>
        </w:rPr>
        <w:sectPr>
          <w:pgSz w:w="11910" w:h="16840"/>
          <w:pgMar w:header="0" w:footer="910" w:top="1380" w:bottom="1180" w:left="1400" w:right="1380"/>
        </w:sectPr>
      </w:pPr>
    </w:p>
    <w:p>
      <w:pPr>
        <w:pStyle w:val="ListParagraph"/>
        <w:numPr>
          <w:ilvl w:val="0"/>
          <w:numId w:val="41"/>
        </w:numPr>
        <w:tabs>
          <w:tab w:pos="1346" w:val="left" w:leader="none"/>
        </w:tabs>
        <w:spacing w:line="240" w:lineRule="auto" w:before="45" w:after="0"/>
        <w:ind w:left="1346" w:right="0" w:hanging="526"/>
        <w:jc w:val="left"/>
        <w:rPr>
          <w:sz w:val="21"/>
        </w:rPr>
      </w:pPr>
      <w:r>
        <w:rPr>
          <w:sz w:val="21"/>
        </w:rPr>
        <w:t>因相应的法律法规发生变动而应当对基金合同进行修改；</w:t>
      </w:r>
    </w:p>
    <w:p>
      <w:pPr>
        <w:pStyle w:val="ListParagraph"/>
        <w:numPr>
          <w:ilvl w:val="0"/>
          <w:numId w:val="41"/>
        </w:numPr>
        <w:tabs>
          <w:tab w:pos="1346" w:val="left" w:leader="none"/>
        </w:tabs>
        <w:spacing w:line="240" w:lineRule="auto" w:before="139" w:after="0"/>
        <w:ind w:left="1346" w:right="0" w:hanging="526"/>
        <w:jc w:val="left"/>
        <w:rPr>
          <w:sz w:val="21"/>
        </w:rPr>
      </w:pPr>
      <w:r>
        <w:rPr>
          <w:sz w:val="21"/>
        </w:rPr>
        <w:t>对基金合同的修改不涉及基金合同当事人权利义务关系发生变化；</w:t>
      </w:r>
    </w:p>
    <w:p>
      <w:pPr>
        <w:pStyle w:val="ListParagraph"/>
        <w:numPr>
          <w:ilvl w:val="0"/>
          <w:numId w:val="41"/>
        </w:numPr>
        <w:tabs>
          <w:tab w:pos="1346" w:val="left" w:leader="none"/>
        </w:tabs>
        <w:spacing w:line="240" w:lineRule="auto" w:before="140" w:after="0"/>
        <w:ind w:left="1346" w:right="0" w:hanging="526"/>
        <w:jc w:val="left"/>
        <w:rPr>
          <w:sz w:val="21"/>
        </w:rPr>
      </w:pPr>
      <w:r>
        <w:rPr>
          <w:sz w:val="21"/>
        </w:rPr>
        <w:t>对基金合同的修改对基金份额持有人利益无实质性不利影响；</w:t>
      </w:r>
    </w:p>
    <w:p>
      <w:pPr>
        <w:pStyle w:val="ListParagraph"/>
        <w:numPr>
          <w:ilvl w:val="0"/>
          <w:numId w:val="41"/>
        </w:numPr>
        <w:tabs>
          <w:tab w:pos="1346" w:val="left" w:leader="none"/>
        </w:tabs>
        <w:spacing w:line="240" w:lineRule="auto" w:before="139" w:after="0"/>
        <w:ind w:left="1346" w:right="0" w:hanging="526"/>
        <w:jc w:val="left"/>
        <w:rPr>
          <w:sz w:val="21"/>
        </w:rPr>
      </w:pPr>
      <w:r>
        <w:rPr>
          <w:sz w:val="21"/>
        </w:rPr>
        <w:t>除按照法律法规和基金合同规定应当召开基金份额持有人大会以外的其它情形。</w:t>
      </w:r>
    </w:p>
    <w:p>
      <w:pPr>
        <w:pStyle w:val="BodyText"/>
        <w:spacing w:before="140"/>
      </w:pPr>
      <w:r>
        <w:rPr/>
        <w:t>4、召集人和召集方式</w:t>
      </w:r>
    </w:p>
    <w:p>
      <w:pPr>
        <w:pStyle w:val="ListParagraph"/>
        <w:numPr>
          <w:ilvl w:val="0"/>
          <w:numId w:val="42"/>
        </w:numPr>
        <w:tabs>
          <w:tab w:pos="1347" w:val="left" w:leader="none"/>
        </w:tabs>
        <w:spacing w:line="364" w:lineRule="auto" w:before="139" w:after="0"/>
        <w:ind w:left="400" w:right="418" w:firstLine="420"/>
        <w:jc w:val="left"/>
        <w:rPr>
          <w:sz w:val="21"/>
        </w:rPr>
      </w:pPr>
      <w:r>
        <w:rPr>
          <w:sz w:val="21"/>
        </w:rPr>
        <w:t>除法律法规或本基金合同另有约定外，基金份额持有人大会由基金管理人召集。基金管理人未按规定召集或者不能召集时，由基金托管人召集。</w:t>
      </w:r>
    </w:p>
    <w:p>
      <w:pPr>
        <w:pStyle w:val="ListParagraph"/>
        <w:numPr>
          <w:ilvl w:val="0"/>
          <w:numId w:val="42"/>
        </w:numPr>
        <w:tabs>
          <w:tab w:pos="1347" w:val="left" w:leader="none"/>
        </w:tabs>
        <w:spacing w:line="364" w:lineRule="auto" w:before="0" w:after="0"/>
        <w:ind w:left="400" w:right="418" w:firstLine="420"/>
        <w:jc w:val="left"/>
        <w:rPr>
          <w:sz w:val="21"/>
        </w:rPr>
      </w:pPr>
      <w:r>
        <w:rPr>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8"/>
          <w:sz w:val="21"/>
        </w:rPr>
        <w:t> 日内决定是否召集，并书面告知基金托管</w:t>
      </w:r>
    </w:p>
    <w:p>
      <w:pPr>
        <w:pStyle w:val="BodyText"/>
        <w:spacing w:line="364" w:lineRule="auto"/>
        <w:ind w:left="400" w:right="417"/>
        <w:jc w:val="both"/>
      </w:pPr>
      <w:r>
        <w:rPr>
          <w:spacing w:val="-3"/>
        </w:rPr>
        <w:t>人。基金管理人决定召集的，应当自出具书面决定之日起 </w:t>
      </w:r>
      <w:r>
        <w:rPr/>
        <w:t>60</w:t>
      </w:r>
      <w:r>
        <w:rPr>
          <w:spacing w:val="-8"/>
        </w:rPr>
        <w:t> 日内召开；基金管理人决定不</w:t>
      </w:r>
      <w:r>
        <w:rPr>
          <w:spacing w:val="-12"/>
        </w:rPr>
        <w:t>召集，基金托管人仍认为有必要召开的，应当自行召集，并自出具书面决定之日起六十日内</w:t>
      </w:r>
      <w:r>
        <w:rPr/>
        <w:t>召开并告知基金管理人，基金管理人应当配合。</w:t>
      </w:r>
    </w:p>
    <w:p>
      <w:pPr>
        <w:pStyle w:val="ListParagraph"/>
        <w:numPr>
          <w:ilvl w:val="0"/>
          <w:numId w:val="42"/>
        </w:numPr>
        <w:tabs>
          <w:tab w:pos="1351" w:val="left" w:leader="none"/>
        </w:tabs>
        <w:spacing w:line="364" w:lineRule="auto" w:before="0" w:after="0"/>
        <w:ind w:left="400" w:right="417" w:firstLine="420"/>
        <w:jc w:val="both"/>
        <w:rPr>
          <w:sz w:val="21"/>
        </w:rPr>
      </w:pPr>
      <w:r>
        <w:rPr>
          <w:spacing w:val="-5"/>
          <w:sz w:val="21"/>
        </w:rPr>
        <w:t>代表基金份额 </w:t>
      </w:r>
      <w:r>
        <w:rPr>
          <w:sz w:val="21"/>
        </w:rPr>
        <w:t>10%以上（“以上”含本数，以基金管理人收到提议当日的基金份</w:t>
      </w:r>
      <w:r>
        <w:rPr>
          <w:spacing w:val="-6"/>
          <w:sz w:val="21"/>
        </w:rPr>
        <w:t>额计算，下同</w:t>
      </w:r>
      <w:r>
        <w:rPr>
          <w:spacing w:val="-32"/>
          <w:sz w:val="21"/>
        </w:rPr>
        <w:t>）</w:t>
      </w:r>
      <w:r>
        <w:rPr>
          <w:spacing w:val="-3"/>
          <w:sz w:val="21"/>
        </w:rPr>
        <w:t>的基金份额持有人认为有必要召开基金份额持有人大会的，应当向基金管理人提出书面提议。基金管理人应当自收到书面提议之日起 </w:t>
      </w:r>
      <w:r>
        <w:rPr>
          <w:sz w:val="21"/>
        </w:rPr>
        <w:t>10</w:t>
      </w:r>
      <w:r>
        <w:rPr>
          <w:spacing w:val="-8"/>
          <w:sz w:val="21"/>
        </w:rPr>
        <w:t> 日内决定是否召集，并书面告</w:t>
      </w:r>
      <w:r>
        <w:rPr>
          <w:spacing w:val="-13"/>
          <w:sz w:val="21"/>
        </w:rPr>
        <w:t>知提出提议的基金份额持有人代表和基金托管人。基金管理人决定召集的，应当自出具书面</w:t>
      </w:r>
      <w:r>
        <w:rPr>
          <w:spacing w:val="-8"/>
          <w:sz w:val="21"/>
        </w:rPr>
        <w:t>决定之日起 </w:t>
      </w:r>
      <w:r>
        <w:rPr>
          <w:sz w:val="21"/>
        </w:rPr>
        <w:t>60</w:t>
      </w:r>
      <w:r>
        <w:rPr>
          <w:spacing w:val="-9"/>
          <w:sz w:val="21"/>
        </w:rPr>
        <w:t> 日内召开；基金管理人决定不召集，代表基金份额 </w:t>
      </w:r>
      <w:r>
        <w:rPr>
          <w:sz w:val="21"/>
        </w:rPr>
        <w:t>10%以上的基金份额持有</w:t>
      </w:r>
      <w:r>
        <w:rPr>
          <w:spacing w:val="-8"/>
          <w:sz w:val="21"/>
        </w:rPr>
        <w:t>人仍认为有必要召开的，应当向基金托管人提出书面提议。基金托管人应当自收到书面提议</w:t>
      </w:r>
      <w:r>
        <w:rPr>
          <w:spacing w:val="-14"/>
          <w:sz w:val="21"/>
        </w:rPr>
        <w:t>之日起 </w:t>
      </w:r>
      <w:r>
        <w:rPr>
          <w:sz w:val="21"/>
        </w:rPr>
        <w:t>10</w:t>
      </w:r>
      <w:r>
        <w:rPr>
          <w:spacing w:val="-8"/>
          <w:sz w:val="21"/>
        </w:rPr>
        <w:t> 日内决定是否召集，并书面告知提出提议的基金份额持有人代表和基金管理人； </w:t>
      </w:r>
      <w:r>
        <w:rPr>
          <w:spacing w:val="-10"/>
          <w:sz w:val="21"/>
        </w:rPr>
        <w:t>基金托管人决定召集的，应当自出具书面决定之日起 </w:t>
      </w:r>
      <w:r>
        <w:rPr>
          <w:sz w:val="21"/>
        </w:rPr>
        <w:t>60</w:t>
      </w:r>
      <w:r>
        <w:rPr>
          <w:spacing w:val="-10"/>
          <w:sz w:val="21"/>
        </w:rPr>
        <w:t> 日内召开。</w:t>
      </w:r>
    </w:p>
    <w:p>
      <w:pPr>
        <w:pStyle w:val="ListParagraph"/>
        <w:numPr>
          <w:ilvl w:val="0"/>
          <w:numId w:val="42"/>
        </w:numPr>
        <w:tabs>
          <w:tab w:pos="1351" w:val="left" w:leader="none"/>
        </w:tabs>
        <w:spacing w:line="364" w:lineRule="auto" w:before="0" w:after="0"/>
        <w:ind w:left="400" w:right="417" w:firstLine="420"/>
        <w:jc w:val="both"/>
        <w:rPr>
          <w:sz w:val="21"/>
        </w:rPr>
      </w:pPr>
      <w:r>
        <w:rPr>
          <w:spacing w:val="-5"/>
          <w:sz w:val="21"/>
        </w:rPr>
        <w:t>代表基金份额 </w:t>
      </w:r>
      <w:r>
        <w:rPr>
          <w:sz w:val="21"/>
        </w:rPr>
        <w:t>10%以上的基金份额持有人就同一事项要求召开基金份额持有人大</w:t>
      </w:r>
      <w:r>
        <w:rPr>
          <w:spacing w:val="-9"/>
          <w:sz w:val="21"/>
        </w:rPr>
        <w:t>会，而基金管理人、基金托管人都不召集的，代表基金份额 </w:t>
      </w:r>
      <w:r>
        <w:rPr>
          <w:sz w:val="21"/>
        </w:rPr>
        <w:t>10%</w:t>
      </w:r>
      <w:r>
        <w:rPr>
          <w:spacing w:val="-2"/>
          <w:sz w:val="21"/>
        </w:rPr>
        <w:t>以上的基金份额持有人有权</w:t>
      </w:r>
      <w:r>
        <w:rPr>
          <w:spacing w:val="-3"/>
          <w:sz w:val="21"/>
        </w:rPr>
        <w:t>自行召集基金份额持有人大会，但应当至少提前 </w:t>
      </w:r>
      <w:r>
        <w:rPr>
          <w:sz w:val="21"/>
        </w:rPr>
        <w:t>30</w:t>
      </w:r>
      <w:r>
        <w:rPr>
          <w:spacing w:val="-8"/>
          <w:sz w:val="21"/>
        </w:rPr>
        <w:t> 日向中国证监会备案。</w:t>
      </w:r>
    </w:p>
    <w:p>
      <w:pPr>
        <w:pStyle w:val="ListParagraph"/>
        <w:numPr>
          <w:ilvl w:val="0"/>
          <w:numId w:val="42"/>
        </w:numPr>
        <w:tabs>
          <w:tab w:pos="1347" w:val="left" w:leader="none"/>
        </w:tabs>
        <w:spacing w:line="364" w:lineRule="auto" w:before="0" w:after="0"/>
        <w:ind w:left="400" w:right="418" w:firstLine="420"/>
        <w:jc w:val="left"/>
        <w:rPr>
          <w:sz w:val="21"/>
        </w:rPr>
      </w:pPr>
      <w:r>
        <w:rPr>
          <w:sz w:val="21"/>
        </w:rPr>
        <w:t>基金份额持有人依法自行召集基金份额持有人大会的，基金管理人、基金托管人应当配合，不得阻碍、干扰。</w:t>
      </w:r>
    </w:p>
    <w:p>
      <w:pPr>
        <w:pStyle w:val="ListParagraph"/>
        <w:numPr>
          <w:ilvl w:val="0"/>
          <w:numId w:val="42"/>
        </w:numPr>
        <w:tabs>
          <w:tab w:pos="1346" w:val="left" w:leader="none"/>
        </w:tabs>
        <w:spacing w:line="268" w:lineRule="exact" w:before="0" w:after="0"/>
        <w:ind w:left="1346" w:right="0" w:hanging="526"/>
        <w:jc w:val="left"/>
        <w:rPr>
          <w:sz w:val="21"/>
        </w:rPr>
      </w:pPr>
      <w:r>
        <w:rPr>
          <w:spacing w:val="-4"/>
          <w:sz w:val="21"/>
        </w:rPr>
        <w:t>基金份额持有人会议的召集人负责选择确定开会时间、地点、方式和权益登记日。</w:t>
      </w:r>
    </w:p>
    <w:p>
      <w:pPr>
        <w:pStyle w:val="BodyText"/>
        <w:spacing w:before="131"/>
      </w:pPr>
      <w:r>
        <w:rPr/>
        <w:t>5、召开基金份额持有人大会的通知时间、通知内容、通知方式</w:t>
      </w:r>
    </w:p>
    <w:p>
      <w:pPr>
        <w:pStyle w:val="ListParagraph"/>
        <w:numPr>
          <w:ilvl w:val="0"/>
          <w:numId w:val="43"/>
        </w:numPr>
        <w:tabs>
          <w:tab w:pos="1347" w:val="left" w:leader="none"/>
        </w:tabs>
        <w:spacing w:line="364" w:lineRule="auto" w:before="139" w:after="0"/>
        <w:ind w:left="400" w:right="418" w:firstLine="420"/>
        <w:jc w:val="left"/>
        <w:rPr>
          <w:sz w:val="21"/>
        </w:rPr>
      </w:pPr>
      <w:r>
        <w:rPr>
          <w:sz w:val="21"/>
        </w:rPr>
        <w:t>召开基金份额持有人大会，召集人应当至少提前三十日通过指定媒介公告会议通知。基金份额持有人大会通知须至少载明以下内容：</w:t>
      </w:r>
    </w:p>
    <w:p>
      <w:pPr>
        <w:pStyle w:val="ListParagraph"/>
        <w:numPr>
          <w:ilvl w:val="0"/>
          <w:numId w:val="44"/>
        </w:numPr>
        <w:tabs>
          <w:tab w:pos="1136" w:val="left" w:leader="none"/>
        </w:tabs>
        <w:spacing w:line="268" w:lineRule="exact" w:before="0" w:after="0"/>
        <w:ind w:left="1136" w:right="0" w:hanging="316"/>
        <w:jc w:val="left"/>
        <w:rPr>
          <w:sz w:val="21"/>
        </w:rPr>
      </w:pPr>
      <w:r>
        <w:rPr>
          <w:sz w:val="21"/>
        </w:rPr>
        <w:t>会议召开的时间、地点和方式；</w:t>
      </w:r>
    </w:p>
    <w:p>
      <w:pPr>
        <w:pStyle w:val="ListParagraph"/>
        <w:numPr>
          <w:ilvl w:val="0"/>
          <w:numId w:val="44"/>
        </w:numPr>
        <w:tabs>
          <w:tab w:pos="1136" w:val="left" w:leader="none"/>
        </w:tabs>
        <w:spacing w:line="240" w:lineRule="auto" w:before="140" w:after="0"/>
        <w:ind w:left="1136" w:right="0" w:hanging="316"/>
        <w:jc w:val="left"/>
        <w:rPr>
          <w:sz w:val="21"/>
        </w:rPr>
      </w:pPr>
      <w:r>
        <w:rPr>
          <w:sz w:val="21"/>
        </w:rPr>
        <w:t>会议拟审议的主要事项；</w:t>
      </w:r>
    </w:p>
    <w:p>
      <w:pPr>
        <w:pStyle w:val="ListParagraph"/>
        <w:numPr>
          <w:ilvl w:val="0"/>
          <w:numId w:val="44"/>
        </w:numPr>
        <w:tabs>
          <w:tab w:pos="1136" w:val="left" w:leader="none"/>
        </w:tabs>
        <w:spacing w:line="240" w:lineRule="auto" w:before="139" w:after="0"/>
        <w:ind w:left="1136" w:right="0" w:hanging="316"/>
        <w:jc w:val="left"/>
        <w:rPr>
          <w:sz w:val="21"/>
        </w:rPr>
      </w:pPr>
      <w:r>
        <w:rPr>
          <w:sz w:val="21"/>
        </w:rPr>
        <w:t>会议形式；</w:t>
      </w:r>
    </w:p>
    <w:p>
      <w:pPr>
        <w:pStyle w:val="ListParagraph"/>
        <w:numPr>
          <w:ilvl w:val="0"/>
          <w:numId w:val="44"/>
        </w:numPr>
        <w:tabs>
          <w:tab w:pos="1136" w:val="left" w:leader="none"/>
        </w:tabs>
        <w:spacing w:line="240" w:lineRule="auto" w:before="140" w:after="0"/>
        <w:ind w:left="1136" w:right="0" w:hanging="316"/>
        <w:jc w:val="left"/>
        <w:rPr>
          <w:sz w:val="21"/>
        </w:rPr>
      </w:pPr>
      <w:r>
        <w:rPr>
          <w:sz w:val="21"/>
        </w:rPr>
        <w:t>议事程序；</w:t>
      </w:r>
    </w:p>
    <w:p>
      <w:pPr>
        <w:pStyle w:val="ListParagraph"/>
        <w:numPr>
          <w:ilvl w:val="0"/>
          <w:numId w:val="44"/>
        </w:numPr>
        <w:tabs>
          <w:tab w:pos="1136" w:val="left" w:leader="none"/>
        </w:tabs>
        <w:spacing w:line="240" w:lineRule="auto" w:before="139" w:after="0"/>
        <w:ind w:left="1136" w:right="0" w:hanging="316"/>
        <w:jc w:val="left"/>
        <w:rPr>
          <w:sz w:val="21"/>
        </w:rPr>
      </w:pPr>
      <w:r>
        <w:rPr>
          <w:sz w:val="21"/>
        </w:rPr>
        <w:t>有权出席基金份额持有人大会的权益登记日；</w:t>
      </w:r>
    </w:p>
    <w:p>
      <w:pPr>
        <w:spacing w:after="0" w:line="240" w:lineRule="auto"/>
        <w:jc w:val="left"/>
        <w:rPr>
          <w:sz w:val="21"/>
        </w:rPr>
        <w:sectPr>
          <w:pgSz w:w="11910" w:h="16840"/>
          <w:pgMar w:header="0" w:footer="910" w:top="1380" w:bottom="1180" w:left="1400" w:right="1380"/>
        </w:sectPr>
      </w:pPr>
    </w:p>
    <w:p>
      <w:pPr>
        <w:pStyle w:val="ListParagraph"/>
        <w:numPr>
          <w:ilvl w:val="0"/>
          <w:numId w:val="44"/>
        </w:numPr>
        <w:tabs>
          <w:tab w:pos="1137" w:val="left" w:leader="none"/>
        </w:tabs>
        <w:spacing w:line="364" w:lineRule="auto" w:before="45" w:after="0"/>
        <w:ind w:left="400" w:right="418" w:firstLine="420"/>
        <w:jc w:val="left"/>
        <w:rPr>
          <w:sz w:val="21"/>
        </w:rPr>
      </w:pPr>
      <w:r>
        <w:rPr>
          <w:sz w:val="21"/>
        </w:rPr>
        <w:t>授权委托书的内容要求(包括但不限于代理人身份、代理权限和代理有效期限等)、送达时间和地点；</w:t>
      </w:r>
    </w:p>
    <w:p>
      <w:pPr>
        <w:pStyle w:val="ListParagraph"/>
        <w:numPr>
          <w:ilvl w:val="0"/>
          <w:numId w:val="44"/>
        </w:numPr>
        <w:tabs>
          <w:tab w:pos="1136" w:val="left" w:leader="none"/>
        </w:tabs>
        <w:spacing w:line="268" w:lineRule="exact" w:before="0" w:after="0"/>
        <w:ind w:left="1136" w:right="0" w:hanging="316"/>
        <w:jc w:val="left"/>
        <w:rPr>
          <w:sz w:val="21"/>
        </w:rPr>
      </w:pPr>
      <w:r>
        <w:rPr>
          <w:sz w:val="21"/>
        </w:rPr>
        <w:t>表决方式；</w:t>
      </w:r>
    </w:p>
    <w:p>
      <w:pPr>
        <w:pStyle w:val="ListParagraph"/>
        <w:numPr>
          <w:ilvl w:val="0"/>
          <w:numId w:val="44"/>
        </w:numPr>
        <w:tabs>
          <w:tab w:pos="1136" w:val="left" w:leader="none"/>
        </w:tabs>
        <w:spacing w:line="240" w:lineRule="auto" w:before="139" w:after="0"/>
        <w:ind w:left="1136" w:right="0" w:hanging="316"/>
        <w:jc w:val="left"/>
        <w:rPr>
          <w:sz w:val="21"/>
        </w:rPr>
      </w:pPr>
      <w:r>
        <w:rPr>
          <w:sz w:val="21"/>
        </w:rPr>
        <w:t>会务常设联系人姓名、电话；</w:t>
      </w:r>
    </w:p>
    <w:p>
      <w:pPr>
        <w:pStyle w:val="ListParagraph"/>
        <w:numPr>
          <w:ilvl w:val="0"/>
          <w:numId w:val="44"/>
        </w:numPr>
        <w:tabs>
          <w:tab w:pos="1136" w:val="left" w:leader="none"/>
        </w:tabs>
        <w:spacing w:line="240" w:lineRule="auto" w:before="140" w:after="0"/>
        <w:ind w:left="1136" w:right="0" w:hanging="316"/>
        <w:jc w:val="left"/>
        <w:rPr>
          <w:sz w:val="21"/>
        </w:rPr>
      </w:pPr>
      <w:r>
        <w:rPr>
          <w:sz w:val="21"/>
        </w:rPr>
        <w:t>出席会议者必须准备的文件和必须履行的手续；</w:t>
      </w:r>
    </w:p>
    <w:p>
      <w:pPr>
        <w:pStyle w:val="ListParagraph"/>
        <w:numPr>
          <w:ilvl w:val="0"/>
          <w:numId w:val="44"/>
        </w:numPr>
        <w:tabs>
          <w:tab w:pos="1241" w:val="left" w:leader="none"/>
        </w:tabs>
        <w:spacing w:line="240" w:lineRule="auto" w:before="139" w:after="0"/>
        <w:ind w:left="1241" w:right="0" w:hanging="421"/>
        <w:jc w:val="left"/>
        <w:rPr>
          <w:sz w:val="21"/>
        </w:rPr>
      </w:pPr>
      <w:r>
        <w:rPr>
          <w:sz w:val="21"/>
        </w:rPr>
        <w:t>召集人需要通知的其他事项。</w:t>
      </w:r>
    </w:p>
    <w:p>
      <w:pPr>
        <w:pStyle w:val="ListParagraph"/>
        <w:numPr>
          <w:ilvl w:val="0"/>
          <w:numId w:val="43"/>
        </w:numPr>
        <w:tabs>
          <w:tab w:pos="1347" w:val="left" w:leader="none"/>
        </w:tabs>
        <w:spacing w:line="364" w:lineRule="auto" w:before="140" w:after="0"/>
        <w:ind w:left="400" w:right="208" w:firstLine="420"/>
        <w:jc w:val="left"/>
        <w:rPr>
          <w:sz w:val="21"/>
        </w:rPr>
      </w:pPr>
      <w:r>
        <w:rPr>
          <w:sz w:val="21"/>
        </w:rPr>
        <w:t>采用通讯方式开会并进行表决的情况下，由召集人决定通讯方式和书面表决方式， </w:t>
      </w:r>
      <w:r>
        <w:rPr>
          <w:spacing w:val="-4"/>
          <w:sz w:val="21"/>
        </w:rPr>
        <w:t>并在会议通知中说明本次基金份额持有人大会所采取的具体通讯方式、委托的公证机关及其 联系方式和联系人、书面表达意见的寄交和收取方式及截止时间。</w:t>
      </w:r>
    </w:p>
    <w:p>
      <w:pPr>
        <w:pStyle w:val="ListParagraph"/>
        <w:numPr>
          <w:ilvl w:val="0"/>
          <w:numId w:val="43"/>
        </w:numPr>
        <w:tabs>
          <w:tab w:pos="1347" w:val="left" w:leader="none"/>
        </w:tabs>
        <w:spacing w:line="364" w:lineRule="auto" w:before="0" w:after="0"/>
        <w:ind w:left="400" w:right="418" w:firstLine="420"/>
        <w:jc w:val="both"/>
        <w:rPr>
          <w:sz w:val="21"/>
        </w:rPr>
      </w:pPr>
      <w:r>
        <w:rPr>
          <w:sz w:val="21"/>
        </w:rPr>
        <w:t>如召集人为基金管理人，还应另行书面通知基金托管人到指定地点对书面表决意</w:t>
      </w:r>
      <w:r>
        <w:rPr>
          <w:spacing w:val="-11"/>
          <w:sz w:val="21"/>
        </w:rPr>
        <w:t>见的计票进行监督；如召集人为基金托管人，则应另行书面通知基金管理人到指定地点对书</w:t>
      </w:r>
      <w:r>
        <w:rPr>
          <w:spacing w:val="-9"/>
          <w:sz w:val="21"/>
        </w:rPr>
        <w:t>面表决意见的计票进行监督；如召集人为基金份额持有人，则应另行书面通知基金管理人和</w:t>
      </w:r>
      <w:r>
        <w:rPr>
          <w:sz w:val="21"/>
        </w:rPr>
        <w:t>基金托管人到指定地点对书面表决意见的计票进行监督。</w:t>
      </w:r>
    </w:p>
    <w:p>
      <w:pPr>
        <w:pStyle w:val="BodyText"/>
        <w:spacing w:line="267" w:lineRule="exact"/>
      </w:pPr>
      <w:r>
        <w:rPr/>
        <w:t>6、基金份额持有人出席会议的方式</w:t>
      </w:r>
    </w:p>
    <w:p>
      <w:pPr>
        <w:pStyle w:val="ListParagraph"/>
        <w:numPr>
          <w:ilvl w:val="0"/>
          <w:numId w:val="45"/>
        </w:numPr>
        <w:tabs>
          <w:tab w:pos="1346" w:val="left" w:leader="none"/>
        </w:tabs>
        <w:spacing w:line="240" w:lineRule="auto" w:before="138" w:after="0"/>
        <w:ind w:left="1346" w:right="0" w:hanging="526"/>
        <w:jc w:val="left"/>
        <w:rPr>
          <w:sz w:val="21"/>
        </w:rPr>
      </w:pPr>
      <w:r>
        <w:rPr>
          <w:sz w:val="21"/>
        </w:rPr>
        <w:t>会议方式</w:t>
      </w:r>
    </w:p>
    <w:p>
      <w:pPr>
        <w:pStyle w:val="BodyText"/>
        <w:spacing w:line="364" w:lineRule="auto" w:before="139"/>
        <w:ind w:left="400" w:right="418" w:firstLine="420"/>
      </w:pPr>
      <w:r>
        <w:rPr>
          <w:spacing w:val="-5"/>
        </w:rPr>
        <w:t>基金份额持有人大会的召开方式包括现场开会和通讯方式开会。会议的召开方式由召集</w:t>
      </w:r>
      <w:r>
        <w:rPr/>
        <w:t>人确定。</w:t>
      </w:r>
    </w:p>
    <w:p>
      <w:pPr>
        <w:pStyle w:val="BodyText"/>
        <w:spacing w:line="364" w:lineRule="auto"/>
        <w:ind w:left="400" w:right="418" w:firstLine="420"/>
      </w:pPr>
      <w:r>
        <w:rPr>
          <w:spacing w:val="-4"/>
        </w:rPr>
        <w:t>现场开会由基金份额持有人本人出席或通过授权委托书委派其代理人出席，现场开会时</w:t>
      </w:r>
      <w:r>
        <w:rPr/>
        <w:t>基金管理人和基金托管人的授权代表应当出席。</w:t>
      </w:r>
    </w:p>
    <w:p>
      <w:pPr>
        <w:pStyle w:val="BodyText"/>
        <w:spacing w:line="268" w:lineRule="exact"/>
      </w:pPr>
      <w:r>
        <w:rPr/>
        <w:t>通讯方式开会指按照本基金合同的相关规定以通讯的书面方式进行表决。</w:t>
      </w:r>
    </w:p>
    <w:p>
      <w:pPr>
        <w:pStyle w:val="ListParagraph"/>
        <w:numPr>
          <w:ilvl w:val="0"/>
          <w:numId w:val="45"/>
        </w:numPr>
        <w:tabs>
          <w:tab w:pos="1346" w:val="left" w:leader="none"/>
        </w:tabs>
        <w:spacing w:line="240" w:lineRule="auto" w:before="139" w:after="0"/>
        <w:ind w:left="1346" w:right="0" w:hanging="526"/>
        <w:jc w:val="left"/>
        <w:rPr>
          <w:sz w:val="21"/>
        </w:rPr>
      </w:pPr>
      <w:r>
        <w:rPr>
          <w:sz w:val="21"/>
        </w:rPr>
        <w:t>召开基金份额持有人大会的条件</w:t>
      </w:r>
    </w:p>
    <w:p>
      <w:pPr>
        <w:pStyle w:val="ListParagraph"/>
        <w:numPr>
          <w:ilvl w:val="0"/>
          <w:numId w:val="46"/>
        </w:numPr>
        <w:tabs>
          <w:tab w:pos="1136" w:val="left" w:leader="none"/>
        </w:tabs>
        <w:spacing w:line="240" w:lineRule="auto" w:before="139" w:after="0"/>
        <w:ind w:left="1136" w:right="0" w:hanging="316"/>
        <w:jc w:val="left"/>
        <w:rPr>
          <w:sz w:val="21"/>
        </w:rPr>
      </w:pPr>
      <w:r>
        <w:rPr>
          <w:sz w:val="21"/>
        </w:rPr>
        <w:t>现场开会方式</w:t>
      </w:r>
    </w:p>
    <w:p>
      <w:pPr>
        <w:pStyle w:val="BodyText"/>
        <w:spacing w:before="140"/>
      </w:pPr>
      <w:r>
        <w:rPr/>
        <w:t>在同时符合以下条件时，现场会议方可举行：</w:t>
      </w:r>
    </w:p>
    <w:p>
      <w:pPr>
        <w:pStyle w:val="BodyText"/>
        <w:spacing w:line="364" w:lineRule="auto" w:before="139"/>
        <w:ind w:left="400" w:right="418" w:firstLine="420"/>
        <w:jc w:val="both"/>
      </w:pPr>
      <w:r>
        <w:rPr>
          <w:spacing w:val="-6"/>
        </w:rPr>
        <w:t>①对到会者在权益登记日持有基金份额的统计显示，有效的基金份额应占权益登记日基</w:t>
      </w:r>
      <w:r>
        <w:rPr>
          <w:spacing w:val="-9"/>
        </w:rPr>
        <w:t>金总份额的 </w:t>
      </w:r>
      <w:r>
        <w:rPr/>
        <w:t>50%以上（“以上”含本数，下同</w:t>
      </w:r>
      <w:r>
        <w:rPr>
          <w:spacing w:val="-105"/>
        </w:rPr>
        <w:t>）</w:t>
      </w:r>
      <w:r>
        <w:rPr/>
        <w:t>；</w:t>
      </w:r>
    </w:p>
    <w:p>
      <w:pPr>
        <w:pStyle w:val="BodyText"/>
        <w:spacing w:line="364" w:lineRule="auto"/>
        <w:ind w:left="400" w:right="418" w:firstLine="420"/>
        <w:jc w:val="both"/>
      </w:pPr>
      <w:r>
        <w:rPr>
          <w:spacing w:val="-5"/>
        </w:rPr>
        <w:t>②到会的基金份额持有人身份证明及持有基金份额的凭证、代理人身份证明、委托人持</w:t>
      </w:r>
      <w:r>
        <w:rPr>
          <w:spacing w:val="-6"/>
        </w:rPr>
        <w:t>有基金份额的凭证及授权委托代理手续完备，到会者出具的相关文件符合有关法律法规和基</w:t>
      </w:r>
      <w:r>
        <w:rPr/>
        <w:t>金合同及会议通知的规定，并且持有基金份额的凭证与基金管理人持有的登记资料相符。</w:t>
      </w:r>
    </w:p>
    <w:p>
      <w:pPr>
        <w:pStyle w:val="BodyText"/>
        <w:spacing w:line="364" w:lineRule="auto"/>
        <w:ind w:left="400" w:right="418" w:firstLine="420"/>
      </w:pPr>
      <w:r>
        <w:rPr>
          <w:spacing w:val="-7"/>
        </w:rPr>
        <w:t>未能满足上述条件的情况下，则召集人可另行确定并公告重新开会的时间和地点，但确</w:t>
      </w:r>
      <w:r>
        <w:rPr/>
        <w:t>定有权出席会议的基金份额持有人资格的权益登记日不变。</w:t>
      </w:r>
    </w:p>
    <w:p>
      <w:pPr>
        <w:pStyle w:val="ListParagraph"/>
        <w:numPr>
          <w:ilvl w:val="0"/>
          <w:numId w:val="46"/>
        </w:numPr>
        <w:tabs>
          <w:tab w:pos="1136" w:val="left" w:leader="none"/>
        </w:tabs>
        <w:spacing w:line="268" w:lineRule="exact" w:before="0" w:after="0"/>
        <w:ind w:left="1136" w:right="0" w:hanging="316"/>
        <w:jc w:val="left"/>
        <w:rPr>
          <w:sz w:val="21"/>
        </w:rPr>
      </w:pPr>
      <w:r>
        <w:rPr>
          <w:sz w:val="21"/>
        </w:rPr>
        <w:t>通讯开会方式</w:t>
      </w:r>
    </w:p>
    <w:p>
      <w:pPr>
        <w:pStyle w:val="BodyText"/>
        <w:spacing w:before="137"/>
      </w:pPr>
      <w:r>
        <w:rPr/>
        <w:t>在同时符合以下条件时，通讯会议方可举行：</w:t>
      </w:r>
    </w:p>
    <w:p>
      <w:pPr>
        <w:pStyle w:val="BodyText"/>
        <w:spacing w:before="139"/>
      </w:pPr>
      <w:r>
        <w:rPr/>
        <w:t>①召集人按本基金合同规定公布会议通知后，在2 个工作日内连续公布相关提示性公告；</w:t>
      </w:r>
    </w:p>
    <w:p>
      <w:pPr>
        <w:pStyle w:val="BodyText"/>
        <w:spacing w:before="140"/>
      </w:pPr>
      <w:r>
        <w:rPr/>
        <w:t>②召集人在基金托管人和公证机关的监督下按照会议通知规定的方式收取和统计基金</w:t>
      </w:r>
    </w:p>
    <w:p>
      <w:pPr>
        <w:spacing w:after="0"/>
        <w:sectPr>
          <w:pgSz w:w="11910" w:h="16840"/>
          <w:pgMar w:header="0" w:footer="910" w:top="1380" w:bottom="1180" w:left="1400" w:right="1380"/>
        </w:sectPr>
      </w:pPr>
    </w:p>
    <w:p>
      <w:pPr>
        <w:pStyle w:val="BodyText"/>
        <w:spacing w:before="45"/>
        <w:ind w:left="400"/>
      </w:pPr>
      <w:r>
        <w:rPr/>
        <w:t>份额持有人的书面表决意见；</w:t>
      </w:r>
    </w:p>
    <w:p>
      <w:pPr>
        <w:pStyle w:val="BodyText"/>
        <w:spacing w:line="364" w:lineRule="auto" w:before="139"/>
        <w:ind w:left="400" w:right="418" w:firstLine="420"/>
        <w:jc w:val="both"/>
      </w:pPr>
      <w:r>
        <w:rPr/>
        <w:t>③本人直接出具书面意见或授权他人代表出具书面意见的基金份额持有人所代表的基金份额应占权益登记日基金总份额的 50%以上；</w:t>
      </w:r>
    </w:p>
    <w:p>
      <w:pPr>
        <w:pStyle w:val="BodyText"/>
        <w:spacing w:line="364" w:lineRule="auto"/>
        <w:ind w:left="400" w:right="418" w:firstLine="420"/>
        <w:jc w:val="both"/>
      </w:pPr>
      <w:r>
        <w:rPr>
          <w:spacing w:val="-4"/>
        </w:rPr>
        <w:t>④直接出具书面意见的基金份额持有人或受托代表他人出具书面意见的其他代表，同时</w:t>
      </w:r>
      <w:r>
        <w:rPr>
          <w:spacing w:val="-6"/>
        </w:rPr>
        <w:t>提交的持有基金份额的凭证符合法律法规、基金合同和会议通知的规定，并与注册登记人记</w:t>
      </w:r>
      <w:r>
        <w:rPr/>
        <w:t>录相符。</w:t>
      </w:r>
    </w:p>
    <w:p>
      <w:pPr>
        <w:pStyle w:val="BodyText"/>
        <w:spacing w:line="364" w:lineRule="auto"/>
        <w:ind w:left="400" w:right="418" w:firstLine="420"/>
      </w:pPr>
      <w:r>
        <w:rPr>
          <w:spacing w:val="-7"/>
        </w:rPr>
        <w:t>如果开会条件达不到上述条件，则召集人可另行确定并公告重新表决的时间，但确定有</w:t>
      </w:r>
      <w:r>
        <w:rPr/>
        <w:t>权出席会议的基金份额持有人资格的权益登记日不变。</w:t>
      </w:r>
    </w:p>
    <w:p>
      <w:pPr>
        <w:pStyle w:val="BodyText"/>
        <w:spacing w:line="364" w:lineRule="auto"/>
        <w:ind w:left="400" w:right="418" w:firstLine="420"/>
        <w:jc w:val="both"/>
      </w:pPr>
      <w:r>
        <w:rPr>
          <w:spacing w:val="-7"/>
        </w:rPr>
        <w:t>采取通讯方式进行表决时，除非在计票时有充分的相反证据证明，否则表面符合法律法</w:t>
      </w:r>
      <w:r>
        <w:rPr>
          <w:spacing w:val="-5"/>
        </w:rPr>
        <w:t>规和会议通知规定的书面表决意见即视为有效的表决，表决意见模糊不清或相互矛盾的视为</w:t>
      </w:r>
      <w:r>
        <w:rPr/>
        <w:t>弃权表决，但应当计入出具书面意见的基金份额持有人所代表的基金份额总数。</w:t>
      </w:r>
    </w:p>
    <w:p>
      <w:pPr>
        <w:pStyle w:val="BodyText"/>
        <w:spacing w:line="268" w:lineRule="exact"/>
      </w:pPr>
      <w:r>
        <w:rPr/>
        <w:t>7、议事内容与程序</w:t>
      </w:r>
    </w:p>
    <w:p>
      <w:pPr>
        <w:pStyle w:val="ListParagraph"/>
        <w:numPr>
          <w:ilvl w:val="0"/>
          <w:numId w:val="47"/>
        </w:numPr>
        <w:tabs>
          <w:tab w:pos="1346" w:val="left" w:leader="none"/>
        </w:tabs>
        <w:spacing w:line="240" w:lineRule="auto" w:before="137" w:after="0"/>
        <w:ind w:left="1346" w:right="0" w:hanging="526"/>
        <w:jc w:val="left"/>
        <w:rPr>
          <w:sz w:val="21"/>
        </w:rPr>
      </w:pPr>
      <w:r>
        <w:rPr>
          <w:sz w:val="21"/>
        </w:rPr>
        <w:t>议事内容及提案权</w:t>
      </w:r>
    </w:p>
    <w:p>
      <w:pPr>
        <w:pStyle w:val="ListParagraph"/>
        <w:numPr>
          <w:ilvl w:val="0"/>
          <w:numId w:val="48"/>
        </w:numPr>
        <w:tabs>
          <w:tab w:pos="1137" w:val="left" w:leader="none"/>
        </w:tabs>
        <w:spacing w:line="364" w:lineRule="auto" w:before="139" w:after="0"/>
        <w:ind w:left="400" w:right="418" w:firstLine="420"/>
        <w:jc w:val="left"/>
        <w:rPr>
          <w:sz w:val="21"/>
        </w:rPr>
      </w:pPr>
      <w:r>
        <w:rPr>
          <w:sz w:val="21"/>
        </w:rPr>
        <w:t>议事内容为本基金合同规定的召开基金份额持有人大会事由所涉及的内容以及召集人认为需提交基金份额持有人大会讨论的其他事项。</w:t>
      </w:r>
    </w:p>
    <w:p>
      <w:pPr>
        <w:pStyle w:val="ListParagraph"/>
        <w:numPr>
          <w:ilvl w:val="0"/>
          <w:numId w:val="48"/>
        </w:numPr>
        <w:tabs>
          <w:tab w:pos="1139" w:val="left" w:leader="none"/>
        </w:tabs>
        <w:spacing w:line="364" w:lineRule="auto" w:before="0" w:after="0"/>
        <w:ind w:left="400" w:right="418" w:firstLine="420"/>
        <w:jc w:val="both"/>
        <w:rPr>
          <w:sz w:val="21"/>
        </w:rPr>
      </w:pPr>
      <w:r>
        <w:rPr>
          <w:spacing w:val="-1"/>
          <w:sz w:val="21"/>
        </w:rPr>
        <w:t>基金管理人、基金托管人、单独或合并持有权益登记日本基金总份额 </w:t>
      </w:r>
      <w:r>
        <w:rPr>
          <w:sz w:val="21"/>
        </w:rPr>
        <w:t>10%以上的基金份额持有人可以在大会召集人发出会议通知前就召开事由向大会召集人提交需由基金份</w:t>
      </w:r>
      <w:r>
        <w:rPr>
          <w:spacing w:val="-9"/>
          <w:sz w:val="21"/>
        </w:rPr>
        <w:t>额持有人大会审议表决的提案；也可以在会议通知发出后向大会召集人提交临时提案。临时</w:t>
      </w:r>
      <w:r>
        <w:rPr>
          <w:spacing w:val="-4"/>
          <w:sz w:val="21"/>
        </w:rPr>
        <w:t>提案应当最迟在大会召开日前 </w:t>
      </w:r>
      <w:r>
        <w:rPr>
          <w:sz w:val="21"/>
        </w:rPr>
        <w:t>30</w:t>
      </w:r>
      <w:r>
        <w:rPr>
          <w:spacing w:val="-8"/>
          <w:sz w:val="21"/>
        </w:rPr>
        <w:t> 天提交召集人。召集人对于临时提案应当最迟在大会召开</w:t>
      </w:r>
      <w:r>
        <w:rPr>
          <w:spacing w:val="-24"/>
          <w:sz w:val="21"/>
        </w:rPr>
        <w:t>日前 </w:t>
      </w:r>
      <w:r>
        <w:rPr>
          <w:sz w:val="21"/>
        </w:rPr>
        <w:t>30</w:t>
      </w:r>
      <w:r>
        <w:rPr>
          <w:spacing w:val="-12"/>
          <w:sz w:val="21"/>
        </w:rPr>
        <w:t> 天公布。</w:t>
      </w:r>
    </w:p>
    <w:p>
      <w:pPr>
        <w:pStyle w:val="ListParagraph"/>
        <w:numPr>
          <w:ilvl w:val="0"/>
          <w:numId w:val="48"/>
        </w:numPr>
        <w:tabs>
          <w:tab w:pos="1137" w:val="left" w:leader="none"/>
        </w:tabs>
        <w:spacing w:line="364" w:lineRule="auto" w:before="0" w:after="0"/>
        <w:ind w:left="400" w:right="418" w:firstLine="420"/>
        <w:jc w:val="left"/>
        <w:rPr>
          <w:sz w:val="21"/>
        </w:rPr>
      </w:pPr>
      <w:r>
        <w:rPr>
          <w:sz w:val="21"/>
        </w:rPr>
        <w:t>对于基金份额持有人提交的提案(包括临时提案)，大会召集人应当按照以下原则对提案进行审核：</w:t>
      </w:r>
    </w:p>
    <w:p>
      <w:pPr>
        <w:pStyle w:val="BodyText"/>
        <w:spacing w:line="364" w:lineRule="auto"/>
        <w:ind w:left="400" w:right="418" w:firstLine="420"/>
        <w:jc w:val="both"/>
      </w:pPr>
      <w:r>
        <w:rPr>
          <w:spacing w:val="-10"/>
        </w:rPr>
        <w:t>①关联性。大会召集人对于基金份额持有人提案涉及事项与基金有直接关系，并且不超</w:t>
      </w:r>
      <w:r>
        <w:rPr>
          <w:spacing w:val="-5"/>
        </w:rPr>
        <w:t>出法律法规和基金合同规定的基金份额持有人大会职权范围的，应提交大会审议；对于不符</w:t>
      </w:r>
      <w:r>
        <w:rPr>
          <w:spacing w:val="-10"/>
        </w:rPr>
        <w:t>合上述要求的，不提交基金份额持有人大会审议。如果召集人决定不将基金份额持有人提案</w:t>
      </w:r>
      <w:r>
        <w:rPr/>
        <w:t>提交大会表决，应当在该次基金份额持有人大会上进行解释和说明。</w:t>
      </w:r>
    </w:p>
    <w:p>
      <w:pPr>
        <w:pStyle w:val="BodyText"/>
        <w:spacing w:line="364" w:lineRule="auto"/>
        <w:ind w:left="400" w:right="418" w:firstLine="420"/>
        <w:jc w:val="both"/>
      </w:pPr>
      <w:r>
        <w:rPr>
          <w:spacing w:val="-10"/>
        </w:rPr>
        <w:t>②程序性。大会召集人可以对基金份额持有人的提案涉及的程序性问题作出决定。如将</w:t>
      </w:r>
      <w:r>
        <w:rPr>
          <w:spacing w:val="-6"/>
        </w:rPr>
        <w:t>其提案进行分拆或合并表决，需征得原提案人同意；原提案人不同意变更的，大会主持人可以就程序性问题提请基金份额持有人大会作出决定，并按照基金份额持有人大会决定的程序</w:t>
      </w:r>
      <w:r>
        <w:rPr/>
        <w:t>进行审议。</w:t>
      </w:r>
    </w:p>
    <w:p>
      <w:pPr>
        <w:pStyle w:val="ListParagraph"/>
        <w:numPr>
          <w:ilvl w:val="0"/>
          <w:numId w:val="48"/>
        </w:numPr>
        <w:tabs>
          <w:tab w:pos="1137" w:val="left" w:leader="none"/>
        </w:tabs>
        <w:spacing w:line="364" w:lineRule="auto" w:before="0" w:after="0"/>
        <w:ind w:left="400" w:right="418" w:firstLine="420"/>
        <w:jc w:val="both"/>
        <w:rPr>
          <w:sz w:val="21"/>
        </w:rPr>
      </w:pPr>
      <w:r>
        <w:rPr>
          <w:spacing w:val="-3"/>
          <w:sz w:val="21"/>
        </w:rPr>
        <w:t>单独或合并持有权利登记日基金总份额 </w:t>
      </w:r>
      <w:r>
        <w:rPr>
          <w:sz w:val="21"/>
        </w:rPr>
        <w:t>10%以上（</w:t>
      </w:r>
      <w:r>
        <w:rPr>
          <w:spacing w:val="-27"/>
          <w:sz w:val="21"/>
        </w:rPr>
        <w:t>含 </w:t>
      </w:r>
      <w:r>
        <w:rPr>
          <w:sz w:val="21"/>
        </w:rPr>
        <w:t>10％）的基金份额持有人提交</w:t>
      </w:r>
      <w:r>
        <w:rPr>
          <w:spacing w:val="-7"/>
          <w:sz w:val="21"/>
        </w:rPr>
        <w:t>基金份额持有人大会审议表决的提案、基金管理人或基金托管人提交基金份额持有人大会审</w:t>
      </w:r>
      <w:r>
        <w:rPr>
          <w:spacing w:val="-10"/>
          <w:sz w:val="21"/>
        </w:rPr>
        <w:t>议表决的提案，未获基金份额持有人大会审议通过，就同一提案再次提请基金份额持有人大</w:t>
      </w:r>
      <w:r>
        <w:rPr>
          <w:spacing w:val="-5"/>
          <w:sz w:val="21"/>
        </w:rPr>
        <w:t>会审议，其时间间隔不少于 </w:t>
      </w:r>
      <w:r>
        <w:rPr>
          <w:sz w:val="21"/>
        </w:rPr>
        <w:t>6</w:t>
      </w:r>
      <w:r>
        <w:rPr>
          <w:spacing w:val="-8"/>
          <w:sz w:val="21"/>
        </w:rPr>
        <w:t> 个月。法律法规另有规定除外。</w:t>
      </w:r>
    </w:p>
    <w:p>
      <w:pPr>
        <w:spacing w:after="0" w:line="364" w:lineRule="auto"/>
        <w:jc w:val="both"/>
        <w:rPr>
          <w:sz w:val="21"/>
        </w:rPr>
        <w:sectPr>
          <w:pgSz w:w="11910" w:h="16840"/>
          <w:pgMar w:header="0" w:footer="910" w:top="1380" w:bottom="1180" w:left="1400" w:right="1380"/>
        </w:sectPr>
      </w:pPr>
    </w:p>
    <w:p>
      <w:pPr>
        <w:pStyle w:val="ListParagraph"/>
        <w:numPr>
          <w:ilvl w:val="0"/>
          <w:numId w:val="48"/>
        </w:numPr>
        <w:tabs>
          <w:tab w:pos="1137" w:val="left" w:leader="none"/>
        </w:tabs>
        <w:spacing w:line="364" w:lineRule="auto" w:before="45" w:after="0"/>
        <w:ind w:left="400" w:right="418" w:firstLine="420"/>
        <w:jc w:val="both"/>
        <w:rPr>
          <w:sz w:val="21"/>
        </w:rPr>
      </w:pPr>
      <w:r>
        <w:rPr>
          <w:sz w:val="21"/>
        </w:rPr>
        <w:t>基金份额持有人大会的召集人发出召集会议的通知后，对原有提案的修改应当在基</w:t>
      </w:r>
      <w:r>
        <w:rPr>
          <w:spacing w:val="-5"/>
          <w:sz w:val="21"/>
        </w:rPr>
        <w:t>金份额持有人大会召开日前 </w:t>
      </w:r>
      <w:r>
        <w:rPr>
          <w:sz w:val="21"/>
        </w:rPr>
        <w:t>10</w:t>
      </w:r>
      <w:r>
        <w:rPr>
          <w:spacing w:val="-16"/>
          <w:sz w:val="21"/>
        </w:rPr>
        <w:t> 日公告，否则会议的召开日期应当顺延并保证至少有 </w:t>
      </w:r>
      <w:r>
        <w:rPr>
          <w:sz w:val="21"/>
        </w:rPr>
        <w:t>10</w:t>
      </w:r>
      <w:r>
        <w:rPr>
          <w:spacing w:val="-23"/>
          <w:sz w:val="21"/>
        </w:rPr>
        <w:t> 日的</w:t>
      </w:r>
      <w:r>
        <w:rPr>
          <w:sz w:val="21"/>
        </w:rPr>
        <w:t>间隔期。</w:t>
      </w:r>
    </w:p>
    <w:p>
      <w:pPr>
        <w:pStyle w:val="ListParagraph"/>
        <w:numPr>
          <w:ilvl w:val="0"/>
          <w:numId w:val="47"/>
        </w:numPr>
        <w:tabs>
          <w:tab w:pos="1346" w:val="left" w:leader="none"/>
        </w:tabs>
        <w:spacing w:line="268" w:lineRule="exact" w:before="0" w:after="0"/>
        <w:ind w:left="1346" w:right="0" w:hanging="526"/>
        <w:jc w:val="left"/>
        <w:rPr>
          <w:sz w:val="21"/>
        </w:rPr>
      </w:pPr>
      <w:r>
        <w:rPr>
          <w:sz w:val="21"/>
        </w:rPr>
        <w:t>议事程序</w:t>
      </w:r>
    </w:p>
    <w:p>
      <w:pPr>
        <w:pStyle w:val="ListParagraph"/>
        <w:numPr>
          <w:ilvl w:val="0"/>
          <w:numId w:val="49"/>
        </w:numPr>
        <w:tabs>
          <w:tab w:pos="1136" w:val="left" w:leader="none"/>
        </w:tabs>
        <w:spacing w:line="240" w:lineRule="auto" w:before="139" w:after="0"/>
        <w:ind w:left="1136" w:right="0" w:hanging="316"/>
        <w:jc w:val="left"/>
        <w:rPr>
          <w:sz w:val="21"/>
        </w:rPr>
      </w:pPr>
      <w:r>
        <w:rPr>
          <w:sz w:val="21"/>
        </w:rPr>
        <w:t>现场开会</w:t>
      </w:r>
    </w:p>
    <w:p>
      <w:pPr>
        <w:pStyle w:val="BodyText"/>
        <w:spacing w:line="364" w:lineRule="auto" w:before="140"/>
        <w:ind w:left="400" w:right="208" w:firstLine="420"/>
      </w:pPr>
      <w:r>
        <w:rPr/>
        <w:t>在现场开会的方式下，首先由大会主持人按照规定程序宣布会议议事程序及注意事项， </w:t>
      </w:r>
      <w:r>
        <w:rPr>
          <w:spacing w:val="-7"/>
        </w:rPr>
        <w:t>确定和公布监票人，然后由大会主持人宣读提案，经讨论后在公证机关监督下进行表决，经 合法执业的律师见证后形成大会决议。</w:t>
      </w:r>
    </w:p>
    <w:p>
      <w:pPr>
        <w:pStyle w:val="BodyText"/>
        <w:spacing w:line="364" w:lineRule="auto"/>
        <w:ind w:left="400" w:right="418" w:firstLine="420"/>
        <w:jc w:val="both"/>
      </w:pPr>
      <w:r>
        <w:rPr>
          <w:spacing w:val="-7"/>
        </w:rPr>
        <w:t>大会由基金管理人授权代表主持。在基金管理人授权代表未能主持大会的情况下，由基</w:t>
      </w:r>
      <w:r>
        <w:rPr>
          <w:spacing w:val="-10"/>
        </w:rPr>
        <w:t>金托管人授权代表主持；如果基金管理人和基金托管人授权代表均未能主持大会，则由出席</w:t>
      </w:r>
      <w:r>
        <w:rPr/>
        <w:t>大会的基金份额持有人和代理人以所代表的基金份额 50</w:t>
      </w:r>
      <w:r>
        <w:rPr>
          <w:spacing w:val="1"/>
        </w:rPr>
        <w:t>%以上多数选举产生一名代表作为该次基金份额持有人大会的主持人。</w:t>
      </w:r>
    </w:p>
    <w:p>
      <w:pPr>
        <w:pStyle w:val="BodyText"/>
        <w:spacing w:line="364" w:lineRule="auto"/>
        <w:ind w:left="400" w:right="208" w:firstLine="420"/>
      </w:pPr>
      <w:r>
        <w:rPr/>
        <w:t>召集人应当制作出席会议人员的签名册。签名册载明参加会议人员姓名(或单位名称)、</w:t>
      </w:r>
      <w:r>
        <w:rPr>
          <w:spacing w:val="-16"/>
        </w:rPr>
        <w:t>身份证号码、住所地址、持有或代表有表决权的基金份额、委托人姓名(或单位名称)等事项。</w:t>
      </w:r>
    </w:p>
    <w:p>
      <w:pPr>
        <w:pStyle w:val="ListParagraph"/>
        <w:numPr>
          <w:ilvl w:val="0"/>
          <w:numId w:val="49"/>
        </w:numPr>
        <w:tabs>
          <w:tab w:pos="1136" w:val="left" w:leader="none"/>
        </w:tabs>
        <w:spacing w:line="268" w:lineRule="exact" w:before="0" w:after="0"/>
        <w:ind w:left="1136" w:right="0" w:hanging="316"/>
        <w:jc w:val="left"/>
        <w:rPr>
          <w:sz w:val="21"/>
        </w:rPr>
      </w:pPr>
      <w:r>
        <w:rPr>
          <w:sz w:val="21"/>
        </w:rPr>
        <w:t>通讯方式开会</w:t>
      </w:r>
    </w:p>
    <w:p>
      <w:pPr>
        <w:pStyle w:val="BodyText"/>
        <w:spacing w:line="364" w:lineRule="auto" w:before="136"/>
        <w:ind w:left="400" w:right="418" w:firstLine="420"/>
      </w:pPr>
      <w:r>
        <w:rPr>
          <w:spacing w:val="-3"/>
        </w:rPr>
        <w:t>在通讯表决开会的方式下，首先由召集人提前 </w:t>
      </w:r>
      <w:r>
        <w:rPr/>
        <w:t>30</w:t>
      </w:r>
      <w:r>
        <w:rPr>
          <w:spacing w:val="-8"/>
        </w:rPr>
        <w:t> 日公布提案，在所通知的表决截止日</w:t>
      </w:r>
      <w:r>
        <w:rPr>
          <w:spacing w:val="-24"/>
        </w:rPr>
        <w:t>期第 </w:t>
      </w:r>
      <w:r>
        <w:rPr/>
        <w:t>2</w:t>
      </w:r>
      <w:r>
        <w:rPr>
          <w:spacing w:val="-8"/>
        </w:rPr>
        <w:t> 日在公证机构监督下由召集人统计全部有效表决并形成决议。</w:t>
      </w:r>
    </w:p>
    <w:p>
      <w:pPr>
        <w:pStyle w:val="ListParagraph"/>
        <w:numPr>
          <w:ilvl w:val="0"/>
          <w:numId w:val="47"/>
        </w:numPr>
        <w:tabs>
          <w:tab w:pos="1346" w:val="left" w:leader="none"/>
        </w:tabs>
        <w:spacing w:line="268" w:lineRule="exact" w:before="0" w:after="0"/>
        <w:ind w:left="1346" w:right="0" w:hanging="526"/>
        <w:jc w:val="left"/>
        <w:rPr>
          <w:sz w:val="21"/>
        </w:rPr>
      </w:pPr>
      <w:r>
        <w:rPr>
          <w:sz w:val="21"/>
        </w:rPr>
        <w:t>基金份额持有人大会不得对未事先公告的议事内容进行表决。</w:t>
      </w:r>
    </w:p>
    <w:p>
      <w:pPr>
        <w:pStyle w:val="BodyText"/>
        <w:spacing w:before="139"/>
      </w:pPr>
      <w:r>
        <w:rPr/>
        <w:t>8、决议形成的条件、表决方式、程序</w:t>
      </w:r>
    </w:p>
    <w:p>
      <w:pPr>
        <w:pStyle w:val="ListParagraph"/>
        <w:numPr>
          <w:ilvl w:val="0"/>
          <w:numId w:val="50"/>
        </w:numPr>
        <w:tabs>
          <w:tab w:pos="1346" w:val="left" w:leader="none"/>
        </w:tabs>
        <w:spacing w:line="240" w:lineRule="auto" w:before="140" w:after="0"/>
        <w:ind w:left="1346" w:right="0" w:hanging="526"/>
        <w:jc w:val="left"/>
        <w:rPr>
          <w:sz w:val="21"/>
        </w:rPr>
      </w:pPr>
      <w:r>
        <w:rPr>
          <w:sz w:val="21"/>
        </w:rPr>
        <w:t>基金份额持有人所持每一基金份额享有平等的表决权。</w:t>
      </w:r>
    </w:p>
    <w:p>
      <w:pPr>
        <w:pStyle w:val="ListParagraph"/>
        <w:numPr>
          <w:ilvl w:val="0"/>
          <w:numId w:val="50"/>
        </w:numPr>
        <w:tabs>
          <w:tab w:pos="1346" w:val="left" w:leader="none"/>
        </w:tabs>
        <w:spacing w:line="240" w:lineRule="auto" w:before="139" w:after="0"/>
        <w:ind w:left="1346" w:right="0" w:hanging="526"/>
        <w:jc w:val="left"/>
        <w:rPr>
          <w:sz w:val="21"/>
        </w:rPr>
      </w:pPr>
      <w:r>
        <w:rPr>
          <w:sz w:val="21"/>
        </w:rPr>
        <w:t>基金份额持有人大会决议分为一般决议和特别决议：</w:t>
      </w:r>
    </w:p>
    <w:p>
      <w:pPr>
        <w:pStyle w:val="ListParagraph"/>
        <w:numPr>
          <w:ilvl w:val="0"/>
          <w:numId w:val="51"/>
        </w:numPr>
        <w:tabs>
          <w:tab w:pos="1136" w:val="left" w:leader="none"/>
        </w:tabs>
        <w:spacing w:line="240" w:lineRule="auto" w:before="140" w:after="0"/>
        <w:ind w:left="1136" w:right="0" w:hanging="316"/>
        <w:jc w:val="left"/>
        <w:rPr>
          <w:sz w:val="21"/>
        </w:rPr>
      </w:pPr>
      <w:r>
        <w:rPr>
          <w:sz w:val="21"/>
        </w:rPr>
        <w:t>一般决议</w:t>
      </w:r>
    </w:p>
    <w:p>
      <w:pPr>
        <w:pStyle w:val="BodyText"/>
        <w:spacing w:line="364" w:lineRule="auto" w:before="139"/>
        <w:ind w:left="400" w:right="418" w:firstLine="420"/>
        <w:jc w:val="both"/>
      </w:pPr>
      <w:r>
        <w:rPr>
          <w:spacing w:val="1"/>
        </w:rPr>
        <w:t>一般决议须经出席会议的基金份额持有人及其代理人所持表决权的 </w:t>
      </w:r>
      <w:r>
        <w:rPr/>
        <w:t>50</w:t>
      </w:r>
      <w:r>
        <w:rPr>
          <w:spacing w:val="1"/>
        </w:rPr>
        <w:t>%以上通过方为</w:t>
      </w:r>
      <w:r>
        <w:rPr>
          <w:spacing w:val="-11"/>
        </w:rPr>
        <w:t>有效，除下列第 2）</w:t>
      </w:r>
      <w:r>
        <w:rPr>
          <w:spacing w:val="-1"/>
        </w:rPr>
        <w:t>项规定的须以特别决议通过事项以外的其他事项均以一般决议的方式通</w:t>
      </w:r>
      <w:r>
        <w:rPr/>
        <w:t>过；</w:t>
      </w:r>
    </w:p>
    <w:p>
      <w:pPr>
        <w:pStyle w:val="ListParagraph"/>
        <w:numPr>
          <w:ilvl w:val="0"/>
          <w:numId w:val="51"/>
        </w:numPr>
        <w:tabs>
          <w:tab w:pos="1136" w:val="left" w:leader="none"/>
        </w:tabs>
        <w:spacing w:line="268" w:lineRule="exact" w:before="0" w:after="0"/>
        <w:ind w:left="1136" w:right="0" w:hanging="316"/>
        <w:jc w:val="left"/>
        <w:rPr>
          <w:sz w:val="21"/>
        </w:rPr>
      </w:pPr>
      <w:r>
        <w:rPr>
          <w:sz w:val="21"/>
        </w:rPr>
        <w:t>特别决议</w:t>
      </w:r>
    </w:p>
    <w:p>
      <w:pPr>
        <w:pStyle w:val="BodyText"/>
        <w:spacing w:line="364" w:lineRule="auto" w:before="140"/>
        <w:ind w:left="400" w:right="418" w:firstLine="420"/>
        <w:jc w:val="both"/>
      </w:pPr>
      <w:r>
        <w:rPr>
          <w:spacing w:val="2"/>
        </w:rPr>
        <w:t>特别决议须经出席会议的基金份额持有人及其代理人所持表决权的三分之二以上通过</w:t>
      </w:r>
      <w:r>
        <w:rPr>
          <w:spacing w:val="-12"/>
        </w:rPr>
        <w:t>方为有效；更换基金管理人、更换基金托管人、转换基金运作方式、终止基金合同、本基金</w:t>
      </w:r>
      <w:r>
        <w:rPr/>
        <w:t>与其他基金合并必须以特别决议方式通过。</w:t>
      </w:r>
    </w:p>
    <w:p>
      <w:pPr>
        <w:pStyle w:val="ListParagraph"/>
        <w:numPr>
          <w:ilvl w:val="0"/>
          <w:numId w:val="50"/>
        </w:numPr>
        <w:tabs>
          <w:tab w:pos="1346" w:val="left" w:leader="none"/>
        </w:tabs>
        <w:spacing w:line="268" w:lineRule="exact" w:before="0" w:after="0"/>
        <w:ind w:left="1346" w:right="0" w:hanging="526"/>
        <w:jc w:val="left"/>
        <w:rPr>
          <w:sz w:val="21"/>
        </w:rPr>
      </w:pPr>
      <w:r>
        <w:rPr>
          <w:sz w:val="21"/>
        </w:rPr>
        <w:t>基金份额持有人大会决定的事项，应当依法报中国证监会备案，并予以公告。</w:t>
      </w:r>
    </w:p>
    <w:p>
      <w:pPr>
        <w:pStyle w:val="ListParagraph"/>
        <w:numPr>
          <w:ilvl w:val="0"/>
          <w:numId w:val="50"/>
        </w:numPr>
        <w:tabs>
          <w:tab w:pos="1346" w:val="left" w:leader="none"/>
        </w:tabs>
        <w:spacing w:line="240" w:lineRule="auto" w:before="139" w:after="0"/>
        <w:ind w:left="1346" w:right="0" w:hanging="526"/>
        <w:jc w:val="left"/>
        <w:rPr>
          <w:sz w:val="21"/>
        </w:rPr>
      </w:pPr>
      <w:r>
        <w:rPr>
          <w:sz w:val="21"/>
        </w:rPr>
        <w:t>基金份额持有人大会采取记名方式进行投票表决。</w:t>
      </w:r>
    </w:p>
    <w:p>
      <w:pPr>
        <w:pStyle w:val="ListParagraph"/>
        <w:numPr>
          <w:ilvl w:val="0"/>
          <w:numId w:val="50"/>
        </w:numPr>
        <w:tabs>
          <w:tab w:pos="1347" w:val="left" w:leader="none"/>
        </w:tabs>
        <w:spacing w:line="364" w:lineRule="auto" w:before="139" w:after="0"/>
        <w:ind w:left="400" w:right="418" w:firstLine="420"/>
        <w:jc w:val="left"/>
        <w:rPr>
          <w:sz w:val="21"/>
        </w:rPr>
      </w:pPr>
      <w:r>
        <w:rPr>
          <w:sz w:val="21"/>
        </w:rPr>
        <w:t>基金份额持有人大会的各项提案或同一项提案内并列的各项议题应当分开审议、逐项表决。</w:t>
      </w:r>
    </w:p>
    <w:p>
      <w:pPr>
        <w:pStyle w:val="BodyText"/>
        <w:spacing w:line="268" w:lineRule="exact"/>
      </w:pPr>
      <w:r>
        <w:rPr/>
        <w:t>9、计票</w:t>
      </w:r>
    </w:p>
    <w:p>
      <w:pPr>
        <w:spacing w:after="0" w:line="268" w:lineRule="exact"/>
        <w:sectPr>
          <w:pgSz w:w="11910" w:h="16840"/>
          <w:pgMar w:header="0" w:footer="910" w:top="1380" w:bottom="1180" w:left="1400" w:right="1380"/>
        </w:sectPr>
      </w:pPr>
    </w:p>
    <w:p>
      <w:pPr>
        <w:pStyle w:val="ListParagraph"/>
        <w:numPr>
          <w:ilvl w:val="0"/>
          <w:numId w:val="52"/>
        </w:numPr>
        <w:tabs>
          <w:tab w:pos="1346" w:val="left" w:leader="none"/>
        </w:tabs>
        <w:spacing w:line="240" w:lineRule="auto" w:before="45" w:after="0"/>
        <w:ind w:left="1346" w:right="0" w:hanging="526"/>
        <w:jc w:val="left"/>
        <w:rPr>
          <w:sz w:val="21"/>
        </w:rPr>
      </w:pPr>
      <w:r>
        <w:rPr>
          <w:sz w:val="21"/>
        </w:rPr>
        <w:t>现场开会</w:t>
      </w:r>
    </w:p>
    <w:p>
      <w:pPr>
        <w:pStyle w:val="ListParagraph"/>
        <w:numPr>
          <w:ilvl w:val="0"/>
          <w:numId w:val="53"/>
        </w:numPr>
        <w:tabs>
          <w:tab w:pos="1137" w:val="left" w:leader="none"/>
        </w:tabs>
        <w:spacing w:line="364" w:lineRule="auto" w:before="139" w:after="0"/>
        <w:ind w:left="400" w:right="418" w:firstLine="420"/>
        <w:jc w:val="both"/>
        <w:rPr>
          <w:sz w:val="21"/>
        </w:rPr>
      </w:pPr>
      <w:r>
        <w:rPr>
          <w:sz w:val="21"/>
        </w:rPr>
        <w:t>如基金份额持有人大会由基金管理人或基金托管人召集，则基金份额持有人大会的主持人应当在会议开始后宣布在出席会议的基金份额持有人和代理人中推举两名基金份额</w:t>
      </w:r>
      <w:r>
        <w:rPr>
          <w:spacing w:val="-5"/>
          <w:sz w:val="21"/>
        </w:rPr>
        <w:t>持有人代表与大会召集人授权的一名监督员共同担任监票人；如大会由基金份额持有人自行</w:t>
      </w:r>
      <w:r>
        <w:rPr>
          <w:spacing w:val="-12"/>
          <w:sz w:val="21"/>
        </w:rPr>
        <w:t>召集，基金份额持有人大会的主持人应当在会议开始后宣布在出席会议的基金份额持有人和</w:t>
      </w:r>
      <w:r>
        <w:rPr>
          <w:spacing w:val="-8"/>
          <w:sz w:val="21"/>
        </w:rPr>
        <w:t>代理人中推举 </w:t>
      </w:r>
      <w:r>
        <w:rPr>
          <w:sz w:val="21"/>
        </w:rPr>
        <w:t>3</w:t>
      </w:r>
      <w:r>
        <w:rPr>
          <w:spacing w:val="-8"/>
          <w:sz w:val="21"/>
        </w:rPr>
        <w:t> 名基金份额持有人担任监票人。</w:t>
      </w:r>
    </w:p>
    <w:p>
      <w:pPr>
        <w:pStyle w:val="ListParagraph"/>
        <w:numPr>
          <w:ilvl w:val="0"/>
          <w:numId w:val="53"/>
        </w:numPr>
        <w:tabs>
          <w:tab w:pos="1137" w:val="left" w:leader="none"/>
        </w:tabs>
        <w:spacing w:line="364" w:lineRule="auto" w:before="0" w:after="0"/>
        <w:ind w:left="400" w:right="418" w:firstLine="420"/>
        <w:jc w:val="left"/>
        <w:rPr>
          <w:sz w:val="21"/>
        </w:rPr>
      </w:pPr>
      <w:r>
        <w:rPr>
          <w:sz w:val="21"/>
        </w:rPr>
        <w:t>监票人应当在基金份额持有人表决后立即进行清点，由大会主持人当场公布计票结果。</w:t>
      </w:r>
    </w:p>
    <w:p>
      <w:pPr>
        <w:pStyle w:val="ListParagraph"/>
        <w:numPr>
          <w:ilvl w:val="0"/>
          <w:numId w:val="53"/>
        </w:numPr>
        <w:tabs>
          <w:tab w:pos="1137" w:val="left" w:leader="none"/>
        </w:tabs>
        <w:spacing w:line="364" w:lineRule="auto" w:before="0" w:after="0"/>
        <w:ind w:left="400" w:right="418" w:firstLine="420"/>
        <w:jc w:val="both"/>
        <w:rPr>
          <w:sz w:val="21"/>
        </w:rPr>
      </w:pPr>
      <w:r>
        <w:rPr>
          <w:sz w:val="21"/>
        </w:rPr>
        <w:t>如会议主持人对于提交的表决结果有怀疑，可以对投票数进行重新清点；如会议主</w:t>
      </w:r>
      <w:r>
        <w:rPr>
          <w:spacing w:val="-11"/>
          <w:sz w:val="21"/>
        </w:rPr>
        <w:t>持人未进行重新清点，而出席会议的基金份额持有人或代理人对会议主持人宣布的表决结果</w:t>
      </w:r>
      <w:r>
        <w:rPr>
          <w:spacing w:val="-10"/>
          <w:sz w:val="21"/>
        </w:rPr>
        <w:t>有异议，其有权在宣布表决结果后立即要求重新清点，会议主持人应当立即重新清点并公布</w:t>
      </w:r>
      <w:r>
        <w:rPr>
          <w:sz w:val="21"/>
        </w:rPr>
        <w:t>重新清点结果。重新清点仅限一次。</w:t>
      </w:r>
    </w:p>
    <w:p>
      <w:pPr>
        <w:pStyle w:val="ListParagraph"/>
        <w:numPr>
          <w:ilvl w:val="0"/>
          <w:numId w:val="53"/>
        </w:numPr>
        <w:tabs>
          <w:tab w:pos="1137" w:val="left" w:leader="none"/>
        </w:tabs>
        <w:spacing w:line="364" w:lineRule="auto" w:before="0" w:after="0"/>
        <w:ind w:left="400" w:right="418" w:firstLine="420"/>
        <w:jc w:val="left"/>
        <w:rPr>
          <w:sz w:val="21"/>
        </w:rPr>
      </w:pPr>
      <w:r>
        <w:rPr>
          <w:sz w:val="21"/>
        </w:rPr>
        <w:t>计票过程应由公证机关予以公证，基金管理人或基金托管人拒不参加基金份额持有人大会或拒不配合计票的，不影响计票的效力。</w:t>
      </w:r>
    </w:p>
    <w:p>
      <w:pPr>
        <w:pStyle w:val="ListParagraph"/>
        <w:numPr>
          <w:ilvl w:val="0"/>
          <w:numId w:val="52"/>
        </w:numPr>
        <w:tabs>
          <w:tab w:pos="1346" w:val="left" w:leader="none"/>
        </w:tabs>
        <w:spacing w:line="268" w:lineRule="exact" w:before="0" w:after="0"/>
        <w:ind w:left="1346" w:right="0" w:hanging="526"/>
        <w:jc w:val="left"/>
        <w:rPr>
          <w:sz w:val="21"/>
        </w:rPr>
      </w:pPr>
      <w:r>
        <w:rPr>
          <w:sz w:val="21"/>
        </w:rPr>
        <w:t>通讯方式开会</w:t>
      </w:r>
    </w:p>
    <w:p>
      <w:pPr>
        <w:pStyle w:val="BodyText"/>
        <w:spacing w:line="364" w:lineRule="auto" w:before="135"/>
        <w:ind w:left="400" w:right="418" w:firstLine="420"/>
        <w:jc w:val="both"/>
      </w:pPr>
      <w:r>
        <w:rPr>
          <w:spacing w:val="-7"/>
        </w:rPr>
        <w:t>在通讯方式开会的情况下，计票方式为：由大会召集人授权的两名监督员在基金托管人</w:t>
      </w:r>
      <w:r>
        <w:rPr>
          <w:spacing w:val="-6"/>
        </w:rPr>
        <w:t>授权代表(如果基金托管人为召集人，则为基金管理人授权代表)的监督下进行计票，由公证</w:t>
      </w:r>
      <w:r>
        <w:rPr>
          <w:spacing w:val="-9"/>
        </w:rPr>
        <w:t>机关对其计票过程予以公证。基金管理人或基金托管人拒派代表对书面表决意见的计票进行</w:t>
      </w:r>
      <w:r>
        <w:rPr/>
        <w:t>监督的，不影响计票和表决结果。</w:t>
      </w:r>
    </w:p>
    <w:p>
      <w:pPr>
        <w:pStyle w:val="BodyText"/>
        <w:spacing w:line="267" w:lineRule="exact"/>
      </w:pPr>
      <w:r>
        <w:rPr/>
        <w:t>10、基金份额持有人大会决议的生效与公告</w:t>
      </w:r>
    </w:p>
    <w:p>
      <w:pPr>
        <w:pStyle w:val="ListParagraph"/>
        <w:numPr>
          <w:ilvl w:val="0"/>
          <w:numId w:val="54"/>
        </w:numPr>
        <w:tabs>
          <w:tab w:pos="1347" w:val="left" w:leader="none"/>
        </w:tabs>
        <w:spacing w:line="364" w:lineRule="auto" w:before="139" w:after="0"/>
        <w:ind w:left="400" w:right="418" w:firstLine="420"/>
        <w:jc w:val="both"/>
        <w:rPr>
          <w:sz w:val="21"/>
        </w:rPr>
      </w:pPr>
      <w:r>
        <w:rPr>
          <w:spacing w:val="-2"/>
          <w:sz w:val="21"/>
        </w:rPr>
        <w:t>基金份额持有人大会通过的一般决议和特别决议，召集人应当自通过之日起 </w:t>
      </w:r>
      <w:r>
        <w:rPr>
          <w:sz w:val="21"/>
        </w:rPr>
        <w:t>5</w:t>
      </w:r>
      <w:r>
        <w:rPr>
          <w:spacing w:val="-27"/>
          <w:sz w:val="21"/>
        </w:rPr>
        <w:t> 日内报中国证监会备案。基金份额持有人大会决定的事项自表决通过之日起生效。</w:t>
      </w:r>
    </w:p>
    <w:p>
      <w:pPr>
        <w:pStyle w:val="ListParagraph"/>
        <w:numPr>
          <w:ilvl w:val="0"/>
          <w:numId w:val="54"/>
        </w:numPr>
        <w:tabs>
          <w:tab w:pos="1347" w:val="left" w:leader="none"/>
        </w:tabs>
        <w:spacing w:line="364" w:lineRule="auto" w:before="0" w:after="0"/>
        <w:ind w:left="400" w:right="418" w:firstLine="420"/>
        <w:jc w:val="both"/>
        <w:rPr>
          <w:sz w:val="21"/>
        </w:rPr>
      </w:pPr>
      <w:r>
        <w:rPr>
          <w:sz w:val="21"/>
        </w:rPr>
        <w:t>生效的基金份额持有人大会决议对全体基金份额持有人、基金管理人、基金托管</w:t>
      </w:r>
      <w:r>
        <w:rPr>
          <w:spacing w:val="-12"/>
          <w:sz w:val="21"/>
        </w:rPr>
        <w:t>人均有约束力。基金管理人、基金托管人和基金份额持有人应当执行生效的基金份额持有人</w:t>
      </w:r>
      <w:r>
        <w:rPr>
          <w:sz w:val="21"/>
        </w:rPr>
        <w:t>大会的决定。</w:t>
      </w:r>
    </w:p>
    <w:p>
      <w:pPr>
        <w:pStyle w:val="ListParagraph"/>
        <w:numPr>
          <w:ilvl w:val="0"/>
          <w:numId w:val="54"/>
        </w:numPr>
        <w:tabs>
          <w:tab w:pos="1347" w:val="left" w:leader="none"/>
        </w:tabs>
        <w:spacing w:line="364" w:lineRule="auto" w:before="0" w:after="0"/>
        <w:ind w:left="400" w:right="418" w:firstLine="420"/>
        <w:jc w:val="both"/>
        <w:rPr>
          <w:sz w:val="21"/>
        </w:rPr>
      </w:pPr>
      <w:r>
        <w:rPr>
          <w:spacing w:val="-3"/>
          <w:sz w:val="21"/>
        </w:rPr>
        <w:t>基金份额持有人大会决议应自生效之日起 </w:t>
      </w:r>
      <w:r>
        <w:rPr>
          <w:sz w:val="21"/>
        </w:rPr>
        <w:t>2</w:t>
      </w:r>
      <w:r>
        <w:rPr>
          <w:spacing w:val="-8"/>
          <w:sz w:val="21"/>
        </w:rPr>
        <w:t> 日内由相关信息披露义务人在指定媒介公告。</w:t>
      </w:r>
    </w:p>
    <w:p>
      <w:pPr>
        <w:pStyle w:val="Heading2"/>
        <w:spacing w:line="423" w:lineRule="exact"/>
      </w:pPr>
      <w:bookmarkStart w:name="_bookmark111" w:id="112"/>
      <w:bookmarkEnd w:id="112"/>
      <w:r>
        <w:rPr>
          <w:b w:val="0"/>
        </w:rPr>
      </w:r>
      <w:r>
        <w:rPr/>
        <w:t>（六）基金合同的变更、终止与基金财产的清算</w:t>
      </w:r>
    </w:p>
    <w:p>
      <w:pPr>
        <w:pStyle w:val="BodyText"/>
        <w:spacing w:before="119"/>
      </w:pPr>
      <w:r>
        <w:rPr/>
        <w:t>1、《基金合同》的变更</w:t>
      </w:r>
    </w:p>
    <w:p>
      <w:pPr>
        <w:pStyle w:val="ListParagraph"/>
        <w:numPr>
          <w:ilvl w:val="0"/>
          <w:numId w:val="55"/>
        </w:numPr>
        <w:tabs>
          <w:tab w:pos="1347" w:val="left" w:leader="none"/>
        </w:tabs>
        <w:spacing w:line="364" w:lineRule="auto" w:before="139" w:after="0"/>
        <w:ind w:left="400" w:right="418" w:firstLine="420"/>
        <w:jc w:val="both"/>
        <w:rPr>
          <w:sz w:val="21"/>
        </w:rPr>
      </w:pPr>
      <w:r>
        <w:rPr>
          <w:sz w:val="21"/>
        </w:rPr>
        <w:t>基金合同变更涉及本基金合同第十节第（二）项规定的对基金合同当事人权利、</w:t>
      </w:r>
      <w:r>
        <w:rPr>
          <w:spacing w:val="-8"/>
          <w:sz w:val="21"/>
        </w:rPr>
        <w:t>义务产生重大影响的，应经基金份额持有人大会决议同意。变更基金合同的基金份额持有人</w:t>
      </w:r>
      <w:r>
        <w:rPr>
          <w:sz w:val="21"/>
        </w:rPr>
        <w:t>大会决议应报中国证监会备案，并自表决通过之日起生效。</w:t>
      </w:r>
    </w:p>
    <w:p>
      <w:pPr>
        <w:pStyle w:val="ListParagraph"/>
        <w:numPr>
          <w:ilvl w:val="0"/>
          <w:numId w:val="55"/>
        </w:numPr>
        <w:tabs>
          <w:tab w:pos="1346" w:val="left" w:leader="none"/>
        </w:tabs>
        <w:spacing w:line="364" w:lineRule="auto" w:before="0" w:after="0"/>
        <w:ind w:left="400" w:right="418" w:firstLine="420"/>
        <w:jc w:val="both"/>
        <w:rPr>
          <w:sz w:val="21"/>
        </w:rPr>
      </w:pPr>
      <w:r>
        <w:rPr>
          <w:spacing w:val="-6"/>
          <w:sz w:val="21"/>
        </w:rPr>
        <w:t>除上述第</w:t>
      </w:r>
      <w:r>
        <w:rPr>
          <w:spacing w:val="-8"/>
          <w:sz w:val="21"/>
        </w:rPr>
        <w:t>（1）</w:t>
      </w:r>
      <w:r>
        <w:rPr>
          <w:spacing w:val="-3"/>
          <w:sz w:val="21"/>
        </w:rPr>
        <w:t>项规定的情形外，经基金管理人和基金托管人同意可对基金合同</w:t>
      </w:r>
      <w:r>
        <w:rPr>
          <w:spacing w:val="-8"/>
          <w:sz w:val="21"/>
        </w:rPr>
        <w:t>的内容进行变更，该等变更应当在 </w:t>
      </w:r>
      <w:r>
        <w:rPr>
          <w:sz w:val="21"/>
        </w:rPr>
        <w:t>2</w:t>
      </w:r>
      <w:r>
        <w:rPr>
          <w:spacing w:val="-8"/>
          <w:sz w:val="21"/>
        </w:rPr>
        <w:t> 日内由基金管理人进行公告并报中国证监会备案。</w:t>
      </w:r>
    </w:p>
    <w:p>
      <w:pPr>
        <w:spacing w:after="0" w:line="364" w:lineRule="auto"/>
        <w:jc w:val="both"/>
        <w:rPr>
          <w:sz w:val="21"/>
        </w:rPr>
        <w:sectPr>
          <w:pgSz w:w="11910" w:h="16840"/>
          <w:pgMar w:header="0" w:footer="910" w:top="1380" w:bottom="1180" w:left="1400" w:right="1380"/>
        </w:sectPr>
      </w:pPr>
    </w:p>
    <w:p>
      <w:pPr>
        <w:pStyle w:val="BodyText"/>
        <w:spacing w:before="45"/>
      </w:pPr>
      <w:r>
        <w:rPr/>
        <w:t>2、《基金合同》的终止</w:t>
      </w:r>
    </w:p>
    <w:p>
      <w:pPr>
        <w:pStyle w:val="BodyText"/>
        <w:spacing w:before="139"/>
      </w:pPr>
      <w:r>
        <w:rPr/>
        <w:t>有下列情形之一的，本基金合同终止：</w:t>
      </w:r>
    </w:p>
    <w:p>
      <w:pPr>
        <w:pStyle w:val="ListParagraph"/>
        <w:numPr>
          <w:ilvl w:val="0"/>
          <w:numId w:val="56"/>
        </w:numPr>
        <w:tabs>
          <w:tab w:pos="1346" w:val="left" w:leader="none"/>
        </w:tabs>
        <w:spacing w:line="240" w:lineRule="auto" w:before="140" w:after="0"/>
        <w:ind w:left="1346" w:right="0" w:hanging="526"/>
        <w:jc w:val="left"/>
        <w:rPr>
          <w:sz w:val="21"/>
        </w:rPr>
      </w:pPr>
      <w:r>
        <w:rPr>
          <w:sz w:val="21"/>
        </w:rPr>
        <w:t>基金份额持有人大会决定终止；</w:t>
      </w:r>
    </w:p>
    <w:p>
      <w:pPr>
        <w:pStyle w:val="ListParagraph"/>
        <w:numPr>
          <w:ilvl w:val="0"/>
          <w:numId w:val="56"/>
        </w:numPr>
        <w:tabs>
          <w:tab w:pos="1347" w:val="left" w:leader="none"/>
        </w:tabs>
        <w:spacing w:line="364" w:lineRule="auto" w:before="139" w:after="0"/>
        <w:ind w:left="400" w:right="418" w:firstLine="420"/>
        <w:jc w:val="left"/>
        <w:rPr>
          <w:sz w:val="21"/>
        </w:rPr>
      </w:pPr>
      <w:r>
        <w:rPr>
          <w:sz w:val="21"/>
        </w:rPr>
        <w:t>基金管理人、基金托管人职责终止，在六个月内没有新基金管理人、基金托管人承接的；</w:t>
      </w:r>
    </w:p>
    <w:p>
      <w:pPr>
        <w:pStyle w:val="ListParagraph"/>
        <w:numPr>
          <w:ilvl w:val="0"/>
          <w:numId w:val="56"/>
        </w:numPr>
        <w:tabs>
          <w:tab w:pos="1346" w:val="left" w:leader="none"/>
        </w:tabs>
        <w:spacing w:line="268" w:lineRule="exact" w:before="0" w:after="0"/>
        <w:ind w:left="1346" w:right="0" w:hanging="526"/>
        <w:jc w:val="left"/>
        <w:rPr>
          <w:sz w:val="21"/>
        </w:rPr>
      </w:pPr>
      <w:r>
        <w:rPr>
          <w:sz w:val="21"/>
        </w:rPr>
        <w:t>法律法规和基金合同规定的其他情形。</w:t>
      </w:r>
    </w:p>
    <w:p>
      <w:pPr>
        <w:pStyle w:val="BodyText"/>
        <w:spacing w:before="140"/>
      </w:pPr>
      <w:r>
        <w:rPr/>
        <w:t>3、基金财产的清算</w:t>
      </w:r>
    </w:p>
    <w:p>
      <w:pPr>
        <w:pStyle w:val="ListParagraph"/>
        <w:numPr>
          <w:ilvl w:val="0"/>
          <w:numId w:val="57"/>
        </w:numPr>
        <w:tabs>
          <w:tab w:pos="1346" w:val="left" w:leader="none"/>
        </w:tabs>
        <w:spacing w:line="240" w:lineRule="auto" w:before="139" w:after="0"/>
        <w:ind w:left="1346" w:right="0" w:hanging="526"/>
        <w:jc w:val="left"/>
        <w:rPr>
          <w:sz w:val="21"/>
        </w:rPr>
      </w:pPr>
      <w:r>
        <w:rPr>
          <w:sz w:val="21"/>
        </w:rPr>
        <w:t>基金合同终止，应当按法律法规和本基金合同的有关规定对基金财产进行清算。</w:t>
      </w:r>
    </w:p>
    <w:p>
      <w:pPr>
        <w:pStyle w:val="ListParagraph"/>
        <w:numPr>
          <w:ilvl w:val="0"/>
          <w:numId w:val="57"/>
        </w:numPr>
        <w:tabs>
          <w:tab w:pos="1346" w:val="left" w:leader="none"/>
        </w:tabs>
        <w:spacing w:line="240" w:lineRule="auto" w:before="140" w:after="0"/>
        <w:ind w:left="1346" w:right="0" w:hanging="526"/>
        <w:jc w:val="left"/>
        <w:rPr>
          <w:sz w:val="21"/>
        </w:rPr>
      </w:pPr>
      <w:r>
        <w:rPr>
          <w:sz w:val="21"/>
        </w:rPr>
        <w:t>基金财产清算组</w:t>
      </w:r>
    </w:p>
    <w:p>
      <w:pPr>
        <w:pStyle w:val="ListParagraph"/>
        <w:numPr>
          <w:ilvl w:val="0"/>
          <w:numId w:val="58"/>
        </w:numPr>
        <w:tabs>
          <w:tab w:pos="1136" w:val="left" w:leader="none"/>
        </w:tabs>
        <w:spacing w:line="364" w:lineRule="auto" w:before="139" w:after="0"/>
        <w:ind w:left="400" w:right="418" w:firstLine="420"/>
        <w:jc w:val="both"/>
        <w:rPr>
          <w:sz w:val="21"/>
        </w:rPr>
      </w:pPr>
      <w:r>
        <w:rPr>
          <w:spacing w:val="-4"/>
          <w:sz w:val="21"/>
        </w:rPr>
        <w:t>自基金合同终止情形出现之日起 </w:t>
      </w:r>
      <w:r>
        <w:rPr>
          <w:sz w:val="21"/>
        </w:rPr>
        <w:t>30</w:t>
      </w:r>
      <w:r>
        <w:rPr>
          <w:spacing w:val="-8"/>
          <w:sz w:val="21"/>
        </w:rPr>
        <w:t> 个工作日内由基金管理人组织成立基金财产清</w:t>
      </w:r>
      <w:r>
        <w:rPr>
          <w:spacing w:val="-11"/>
          <w:sz w:val="21"/>
        </w:rPr>
        <w:t>算组，在基金财产清算组接管基金财产之前，基金管理人和基金托管人应按照基金合同和托</w:t>
      </w:r>
      <w:r>
        <w:rPr>
          <w:spacing w:val="-4"/>
          <w:sz w:val="21"/>
        </w:rPr>
        <w:t>管协议的规定继续履行保护基金财产安全的职责。</w:t>
      </w:r>
    </w:p>
    <w:p>
      <w:pPr>
        <w:pStyle w:val="ListParagraph"/>
        <w:numPr>
          <w:ilvl w:val="0"/>
          <w:numId w:val="58"/>
        </w:numPr>
        <w:tabs>
          <w:tab w:pos="1137" w:val="left" w:leader="none"/>
        </w:tabs>
        <w:spacing w:line="364" w:lineRule="auto" w:before="0" w:after="0"/>
        <w:ind w:left="400" w:right="418" w:firstLine="420"/>
        <w:jc w:val="both"/>
        <w:rPr>
          <w:sz w:val="21"/>
        </w:rPr>
      </w:pPr>
      <w:r>
        <w:rPr>
          <w:sz w:val="21"/>
        </w:rPr>
        <w:t>基金财产清算组成员由基金管理人、基金托管人、基金注册登记人、具有从事证券</w:t>
      </w:r>
      <w:r>
        <w:rPr>
          <w:spacing w:val="-7"/>
          <w:sz w:val="21"/>
        </w:rPr>
        <w:t>相关业务资格的注册会计师、律师以及中国证监会指定的人员组成。基金财产清算组可以聘</w:t>
      </w:r>
      <w:r>
        <w:rPr>
          <w:sz w:val="21"/>
        </w:rPr>
        <w:t>用必要的工作人员。</w:t>
      </w:r>
    </w:p>
    <w:p>
      <w:pPr>
        <w:pStyle w:val="ListParagraph"/>
        <w:numPr>
          <w:ilvl w:val="0"/>
          <w:numId w:val="58"/>
        </w:numPr>
        <w:tabs>
          <w:tab w:pos="1137" w:val="left" w:leader="none"/>
        </w:tabs>
        <w:spacing w:line="364" w:lineRule="auto" w:before="0" w:after="0"/>
        <w:ind w:left="400" w:right="418" w:firstLine="420"/>
        <w:jc w:val="left"/>
        <w:rPr>
          <w:sz w:val="21"/>
        </w:rPr>
      </w:pPr>
      <w:r>
        <w:rPr>
          <w:sz w:val="21"/>
        </w:rPr>
        <w:t>基金财产清算组负责基金财产的保管、清理、估价、变现和分配。基金财产清算组可以依法进行必要的民事活动。</w:t>
      </w:r>
    </w:p>
    <w:p>
      <w:pPr>
        <w:pStyle w:val="ListParagraph"/>
        <w:numPr>
          <w:ilvl w:val="0"/>
          <w:numId w:val="57"/>
        </w:numPr>
        <w:tabs>
          <w:tab w:pos="1346" w:val="left" w:leader="none"/>
        </w:tabs>
        <w:spacing w:line="268" w:lineRule="exact" w:before="0" w:after="0"/>
        <w:ind w:left="1346" w:right="0" w:hanging="526"/>
        <w:jc w:val="left"/>
        <w:rPr>
          <w:sz w:val="21"/>
        </w:rPr>
      </w:pPr>
      <w:r>
        <w:rPr>
          <w:sz w:val="21"/>
        </w:rPr>
        <w:t>清算程序</w:t>
      </w:r>
    </w:p>
    <w:p>
      <w:pPr>
        <w:pStyle w:val="ListParagraph"/>
        <w:numPr>
          <w:ilvl w:val="0"/>
          <w:numId w:val="59"/>
        </w:numPr>
        <w:tabs>
          <w:tab w:pos="1136" w:val="left" w:leader="none"/>
        </w:tabs>
        <w:spacing w:line="240" w:lineRule="auto" w:before="137" w:after="0"/>
        <w:ind w:left="1136" w:right="0" w:hanging="316"/>
        <w:jc w:val="left"/>
        <w:rPr>
          <w:sz w:val="21"/>
        </w:rPr>
      </w:pPr>
      <w:r>
        <w:rPr>
          <w:sz w:val="21"/>
        </w:rPr>
        <w:t>基金合同终止情形出现后，由基金财产清算组统一接管基金财产；</w:t>
      </w:r>
    </w:p>
    <w:p>
      <w:pPr>
        <w:pStyle w:val="ListParagraph"/>
        <w:numPr>
          <w:ilvl w:val="0"/>
          <w:numId w:val="59"/>
        </w:numPr>
        <w:tabs>
          <w:tab w:pos="1136" w:val="left" w:leader="none"/>
        </w:tabs>
        <w:spacing w:line="240" w:lineRule="auto" w:before="139" w:after="0"/>
        <w:ind w:left="1136" w:right="0" w:hanging="316"/>
        <w:jc w:val="left"/>
        <w:rPr>
          <w:sz w:val="21"/>
        </w:rPr>
      </w:pPr>
      <w:r>
        <w:rPr>
          <w:sz w:val="21"/>
        </w:rPr>
        <w:t>基金财产清算组根据基金财产的情况确定清算期限；</w:t>
      </w:r>
    </w:p>
    <w:p>
      <w:pPr>
        <w:pStyle w:val="ListParagraph"/>
        <w:numPr>
          <w:ilvl w:val="0"/>
          <w:numId w:val="59"/>
        </w:numPr>
        <w:tabs>
          <w:tab w:pos="1136" w:val="left" w:leader="none"/>
        </w:tabs>
        <w:spacing w:line="240" w:lineRule="auto" w:before="140" w:after="0"/>
        <w:ind w:left="1136" w:right="0" w:hanging="316"/>
        <w:jc w:val="left"/>
        <w:rPr>
          <w:sz w:val="21"/>
        </w:rPr>
      </w:pPr>
      <w:r>
        <w:rPr>
          <w:sz w:val="21"/>
        </w:rPr>
        <w:t>基金财产清算组对基金财产进行清理和确认；</w:t>
      </w:r>
    </w:p>
    <w:p>
      <w:pPr>
        <w:pStyle w:val="ListParagraph"/>
        <w:numPr>
          <w:ilvl w:val="0"/>
          <w:numId w:val="59"/>
        </w:numPr>
        <w:tabs>
          <w:tab w:pos="1136" w:val="left" w:leader="none"/>
        </w:tabs>
        <w:spacing w:line="240" w:lineRule="auto" w:before="139" w:after="0"/>
        <w:ind w:left="1136" w:right="0" w:hanging="316"/>
        <w:jc w:val="left"/>
        <w:rPr>
          <w:sz w:val="21"/>
        </w:rPr>
      </w:pPr>
      <w:r>
        <w:rPr>
          <w:sz w:val="21"/>
        </w:rPr>
        <w:t>对基金财产进行评估和变现；</w:t>
      </w:r>
    </w:p>
    <w:p>
      <w:pPr>
        <w:pStyle w:val="ListParagraph"/>
        <w:numPr>
          <w:ilvl w:val="0"/>
          <w:numId w:val="59"/>
        </w:numPr>
        <w:tabs>
          <w:tab w:pos="1136" w:val="left" w:leader="none"/>
        </w:tabs>
        <w:spacing w:line="240" w:lineRule="auto" w:before="139" w:after="0"/>
        <w:ind w:left="1136" w:right="0" w:hanging="316"/>
        <w:jc w:val="left"/>
        <w:rPr>
          <w:sz w:val="21"/>
        </w:rPr>
      </w:pPr>
      <w:r>
        <w:rPr>
          <w:sz w:val="21"/>
        </w:rPr>
        <w:t>基金财产清算组作出清算报告；</w:t>
      </w:r>
    </w:p>
    <w:p>
      <w:pPr>
        <w:pStyle w:val="ListParagraph"/>
        <w:numPr>
          <w:ilvl w:val="0"/>
          <w:numId w:val="59"/>
        </w:numPr>
        <w:tabs>
          <w:tab w:pos="1136" w:val="left" w:leader="none"/>
        </w:tabs>
        <w:spacing w:line="240" w:lineRule="auto" w:before="140" w:after="0"/>
        <w:ind w:left="1136" w:right="0" w:hanging="316"/>
        <w:jc w:val="left"/>
        <w:rPr>
          <w:sz w:val="21"/>
        </w:rPr>
      </w:pPr>
      <w:r>
        <w:rPr>
          <w:sz w:val="21"/>
        </w:rPr>
        <w:t>会计师事务所对清算报告进行审计；</w:t>
      </w:r>
    </w:p>
    <w:p>
      <w:pPr>
        <w:pStyle w:val="ListParagraph"/>
        <w:numPr>
          <w:ilvl w:val="0"/>
          <w:numId w:val="59"/>
        </w:numPr>
        <w:tabs>
          <w:tab w:pos="1136" w:val="left" w:leader="none"/>
        </w:tabs>
        <w:spacing w:line="240" w:lineRule="auto" w:before="139" w:after="0"/>
        <w:ind w:left="1136" w:right="0" w:hanging="316"/>
        <w:jc w:val="left"/>
        <w:rPr>
          <w:sz w:val="21"/>
        </w:rPr>
      </w:pPr>
      <w:r>
        <w:rPr>
          <w:sz w:val="21"/>
        </w:rPr>
        <w:t>律师事务所对清算报告出具法律意见书；</w:t>
      </w:r>
    </w:p>
    <w:p>
      <w:pPr>
        <w:pStyle w:val="ListParagraph"/>
        <w:numPr>
          <w:ilvl w:val="0"/>
          <w:numId w:val="59"/>
        </w:numPr>
        <w:tabs>
          <w:tab w:pos="1136" w:val="left" w:leader="none"/>
        </w:tabs>
        <w:spacing w:line="240" w:lineRule="auto" w:before="140" w:after="0"/>
        <w:ind w:left="1136" w:right="0" w:hanging="316"/>
        <w:jc w:val="left"/>
        <w:rPr>
          <w:sz w:val="21"/>
        </w:rPr>
      </w:pPr>
      <w:r>
        <w:rPr>
          <w:sz w:val="21"/>
        </w:rPr>
        <w:t>将基金财产清算结果报告中国证监会；</w:t>
      </w:r>
    </w:p>
    <w:p>
      <w:pPr>
        <w:pStyle w:val="ListParagraph"/>
        <w:numPr>
          <w:ilvl w:val="0"/>
          <w:numId w:val="59"/>
        </w:numPr>
        <w:tabs>
          <w:tab w:pos="1136" w:val="left" w:leader="none"/>
        </w:tabs>
        <w:spacing w:line="240" w:lineRule="auto" w:before="139" w:after="0"/>
        <w:ind w:left="1136" w:right="0" w:hanging="316"/>
        <w:jc w:val="left"/>
        <w:rPr>
          <w:sz w:val="21"/>
        </w:rPr>
      </w:pPr>
      <w:r>
        <w:rPr>
          <w:sz w:val="21"/>
        </w:rPr>
        <w:t>公布基金财产清算公告；</w:t>
      </w:r>
    </w:p>
    <w:p>
      <w:pPr>
        <w:pStyle w:val="ListParagraph"/>
        <w:numPr>
          <w:ilvl w:val="0"/>
          <w:numId w:val="59"/>
        </w:numPr>
        <w:tabs>
          <w:tab w:pos="1241" w:val="left" w:leader="none"/>
        </w:tabs>
        <w:spacing w:line="240" w:lineRule="auto" w:before="140" w:after="0"/>
        <w:ind w:left="1241" w:right="0" w:hanging="421"/>
        <w:jc w:val="left"/>
        <w:rPr>
          <w:sz w:val="21"/>
        </w:rPr>
      </w:pPr>
      <w:r>
        <w:rPr>
          <w:sz w:val="21"/>
        </w:rPr>
        <w:t>对基金剩余财产进行分配。</w:t>
      </w:r>
    </w:p>
    <w:p>
      <w:pPr>
        <w:pStyle w:val="ListParagraph"/>
        <w:numPr>
          <w:ilvl w:val="0"/>
          <w:numId w:val="57"/>
        </w:numPr>
        <w:tabs>
          <w:tab w:pos="1346" w:val="left" w:leader="none"/>
        </w:tabs>
        <w:spacing w:line="240" w:lineRule="auto" w:before="139" w:after="0"/>
        <w:ind w:left="1346" w:right="0" w:hanging="526"/>
        <w:jc w:val="left"/>
        <w:rPr>
          <w:sz w:val="21"/>
        </w:rPr>
      </w:pPr>
      <w:r>
        <w:rPr>
          <w:sz w:val="21"/>
        </w:rPr>
        <w:t>清算费用</w:t>
      </w:r>
    </w:p>
    <w:p>
      <w:pPr>
        <w:pStyle w:val="BodyText"/>
        <w:spacing w:line="364" w:lineRule="auto" w:before="139"/>
        <w:ind w:left="400" w:right="418" w:firstLine="420"/>
      </w:pPr>
      <w:r>
        <w:rPr>
          <w:spacing w:val="-4"/>
        </w:rPr>
        <w:t>清算费用是指基金财产清算组在进行基金财产清算过程中发生的所有合理费用，清算费</w:t>
      </w:r>
      <w:r>
        <w:rPr/>
        <w:t>用由基金财产清算组优先从基金财产中支付。</w:t>
      </w:r>
    </w:p>
    <w:p>
      <w:pPr>
        <w:pStyle w:val="ListParagraph"/>
        <w:numPr>
          <w:ilvl w:val="0"/>
          <w:numId w:val="57"/>
        </w:numPr>
        <w:tabs>
          <w:tab w:pos="1346" w:val="left" w:leader="none"/>
        </w:tabs>
        <w:spacing w:line="268" w:lineRule="exact" w:before="0" w:after="0"/>
        <w:ind w:left="1346" w:right="0" w:hanging="526"/>
        <w:jc w:val="left"/>
        <w:rPr>
          <w:sz w:val="21"/>
        </w:rPr>
      </w:pPr>
      <w:r>
        <w:rPr>
          <w:sz w:val="21"/>
        </w:rPr>
        <w:t>基金剩余财产的分配</w:t>
      </w:r>
    </w:p>
    <w:p>
      <w:pPr>
        <w:pStyle w:val="BodyText"/>
        <w:spacing w:before="140"/>
      </w:pPr>
      <w:r>
        <w:rPr/>
        <w:t>基金财产按如下顺序进行清偿：</w:t>
      </w:r>
    </w:p>
    <w:p>
      <w:pPr>
        <w:pStyle w:val="ListParagraph"/>
        <w:numPr>
          <w:ilvl w:val="0"/>
          <w:numId w:val="60"/>
        </w:numPr>
        <w:tabs>
          <w:tab w:pos="1136" w:val="left" w:leader="none"/>
        </w:tabs>
        <w:spacing w:line="240" w:lineRule="auto" w:before="139" w:after="0"/>
        <w:ind w:left="1136" w:right="0" w:hanging="316"/>
        <w:jc w:val="left"/>
        <w:rPr>
          <w:sz w:val="21"/>
        </w:rPr>
      </w:pPr>
      <w:r>
        <w:rPr>
          <w:sz w:val="21"/>
        </w:rPr>
        <w:t>支付基金财产清算费用；</w:t>
      </w:r>
    </w:p>
    <w:p>
      <w:pPr>
        <w:spacing w:after="0" w:line="240" w:lineRule="auto"/>
        <w:jc w:val="left"/>
        <w:rPr>
          <w:sz w:val="21"/>
        </w:rPr>
        <w:sectPr>
          <w:pgSz w:w="11910" w:h="16840"/>
          <w:pgMar w:header="0" w:footer="910" w:top="1380" w:bottom="1180" w:left="1400" w:right="1380"/>
        </w:sectPr>
      </w:pPr>
    </w:p>
    <w:p>
      <w:pPr>
        <w:pStyle w:val="ListParagraph"/>
        <w:numPr>
          <w:ilvl w:val="0"/>
          <w:numId w:val="60"/>
        </w:numPr>
        <w:tabs>
          <w:tab w:pos="1136" w:val="left" w:leader="none"/>
        </w:tabs>
        <w:spacing w:line="240" w:lineRule="auto" w:before="45" w:after="0"/>
        <w:ind w:left="1136" w:right="0" w:hanging="316"/>
        <w:jc w:val="left"/>
        <w:rPr>
          <w:sz w:val="21"/>
        </w:rPr>
      </w:pPr>
      <w:r>
        <w:rPr>
          <w:sz w:val="21"/>
        </w:rPr>
        <w:t>缴纳基金所欠税款；</w:t>
      </w:r>
    </w:p>
    <w:p>
      <w:pPr>
        <w:pStyle w:val="ListParagraph"/>
        <w:numPr>
          <w:ilvl w:val="0"/>
          <w:numId w:val="60"/>
        </w:numPr>
        <w:tabs>
          <w:tab w:pos="1136" w:val="left" w:leader="none"/>
        </w:tabs>
        <w:spacing w:line="240" w:lineRule="auto" w:before="139" w:after="0"/>
        <w:ind w:left="1136" w:right="0" w:hanging="316"/>
        <w:jc w:val="left"/>
        <w:rPr>
          <w:sz w:val="21"/>
        </w:rPr>
      </w:pPr>
      <w:r>
        <w:rPr>
          <w:sz w:val="21"/>
        </w:rPr>
        <w:t>清偿基金债务；</w:t>
      </w:r>
    </w:p>
    <w:p>
      <w:pPr>
        <w:pStyle w:val="ListParagraph"/>
        <w:numPr>
          <w:ilvl w:val="0"/>
          <w:numId w:val="60"/>
        </w:numPr>
        <w:tabs>
          <w:tab w:pos="1136" w:val="left" w:leader="none"/>
        </w:tabs>
        <w:spacing w:line="240" w:lineRule="auto" w:before="140" w:after="0"/>
        <w:ind w:left="1136" w:right="0" w:hanging="316"/>
        <w:jc w:val="left"/>
        <w:rPr>
          <w:sz w:val="21"/>
        </w:rPr>
      </w:pPr>
      <w:r>
        <w:rPr>
          <w:sz w:val="21"/>
        </w:rPr>
        <w:t>清算后如有余额，按基金份额持有人持有的基金份额比例进行分配。</w:t>
      </w:r>
    </w:p>
    <w:p>
      <w:pPr>
        <w:pStyle w:val="ListParagraph"/>
        <w:numPr>
          <w:ilvl w:val="0"/>
          <w:numId w:val="57"/>
        </w:numPr>
        <w:tabs>
          <w:tab w:pos="1346" w:val="left" w:leader="none"/>
        </w:tabs>
        <w:spacing w:line="240" w:lineRule="auto" w:before="139" w:after="0"/>
        <w:ind w:left="1346" w:right="0" w:hanging="526"/>
        <w:jc w:val="left"/>
        <w:rPr>
          <w:sz w:val="21"/>
        </w:rPr>
      </w:pPr>
      <w:r>
        <w:rPr>
          <w:sz w:val="21"/>
        </w:rPr>
        <w:t>基金财产清算的公告</w:t>
      </w:r>
    </w:p>
    <w:p>
      <w:pPr>
        <w:pStyle w:val="BodyText"/>
        <w:spacing w:line="364" w:lineRule="auto" w:before="140"/>
        <w:ind w:left="400" w:right="418" w:firstLine="420"/>
      </w:pPr>
      <w:r>
        <w:rPr>
          <w:spacing w:val="-7"/>
        </w:rPr>
        <w:t>清算过程中的有关重大事项须及时公告；基金财产清算组做出的清算报告经会计师事务</w:t>
      </w:r>
      <w:r>
        <w:rPr/>
        <w:t>所审计，律师事务所出具法律意见书后，报中国证监会备案并公告。</w:t>
      </w:r>
    </w:p>
    <w:p>
      <w:pPr>
        <w:pStyle w:val="ListParagraph"/>
        <w:numPr>
          <w:ilvl w:val="0"/>
          <w:numId w:val="57"/>
        </w:numPr>
        <w:tabs>
          <w:tab w:pos="1346" w:val="left" w:leader="none"/>
        </w:tabs>
        <w:spacing w:line="268" w:lineRule="exact" w:before="0" w:after="0"/>
        <w:ind w:left="1346" w:right="0" w:hanging="526"/>
        <w:jc w:val="left"/>
        <w:rPr>
          <w:sz w:val="21"/>
        </w:rPr>
      </w:pPr>
      <w:r>
        <w:rPr>
          <w:spacing w:val="-6"/>
          <w:sz w:val="21"/>
        </w:rPr>
        <w:t>基金财产清算期限为 </w:t>
      </w:r>
      <w:r>
        <w:rPr>
          <w:sz w:val="21"/>
        </w:rPr>
        <w:t>6</w:t>
      </w:r>
      <w:r>
        <w:rPr>
          <w:spacing w:val="-14"/>
          <w:sz w:val="21"/>
        </w:rPr>
        <w:t> 个月。</w:t>
      </w:r>
    </w:p>
    <w:p>
      <w:pPr>
        <w:pStyle w:val="ListParagraph"/>
        <w:numPr>
          <w:ilvl w:val="0"/>
          <w:numId w:val="57"/>
        </w:numPr>
        <w:tabs>
          <w:tab w:pos="1346" w:val="left" w:leader="none"/>
        </w:tabs>
        <w:spacing w:line="240" w:lineRule="auto" w:before="139" w:after="0"/>
        <w:ind w:left="1346" w:right="0" w:hanging="526"/>
        <w:jc w:val="left"/>
        <w:rPr>
          <w:sz w:val="21"/>
        </w:rPr>
      </w:pPr>
      <w:r>
        <w:rPr>
          <w:spacing w:val="-3"/>
          <w:sz w:val="21"/>
        </w:rPr>
        <w:t>基金财产清算账册及文件由基金托管人保存 </w:t>
      </w:r>
      <w:r>
        <w:rPr>
          <w:sz w:val="21"/>
        </w:rPr>
        <w:t>15</w:t>
      </w:r>
      <w:r>
        <w:rPr>
          <w:spacing w:val="-12"/>
          <w:sz w:val="21"/>
        </w:rPr>
        <w:t> 年以上。</w:t>
      </w:r>
    </w:p>
    <w:p>
      <w:pPr>
        <w:pStyle w:val="Heading2"/>
        <w:spacing w:before="48"/>
      </w:pPr>
      <w:bookmarkStart w:name="_bookmark112" w:id="113"/>
      <w:bookmarkEnd w:id="113"/>
      <w:r>
        <w:rPr>
          <w:b w:val="0"/>
        </w:rPr>
      </w:r>
      <w:r>
        <w:rPr/>
        <w:t>（七）争议的处理和适用的法律</w:t>
      </w:r>
    </w:p>
    <w:p>
      <w:pPr>
        <w:pStyle w:val="BodyText"/>
        <w:spacing w:before="121"/>
      </w:pPr>
      <w:r>
        <w:rPr/>
        <w:t>1、本基金合同适用中华人民共和国法律并从其解释。</w:t>
      </w:r>
    </w:p>
    <w:p>
      <w:pPr>
        <w:pStyle w:val="BodyText"/>
        <w:spacing w:line="364" w:lineRule="auto" w:before="140"/>
        <w:ind w:left="400" w:right="417" w:firstLine="420"/>
        <w:jc w:val="both"/>
      </w:pPr>
      <w:r>
        <w:rPr/>
        <w:t>2、本基金合同的当事人之间因本基金合同产生的或与本基金合同有关的争议可首先通</w:t>
      </w:r>
      <w:r>
        <w:rPr>
          <w:spacing w:val="-10"/>
        </w:rPr>
        <w:t>过友好协商或调解解决。自一方书面要求协商解决争议之日起六十日内如果争议未能以协商</w:t>
      </w:r>
      <w:r>
        <w:rPr>
          <w:spacing w:val="-11"/>
        </w:rPr>
        <w:t>或调解方式解决，则任何一方有权将争议提交设在上海的中国国际经济贸易仲裁委员会上海</w:t>
      </w:r>
      <w:r>
        <w:rPr>
          <w:spacing w:val="-10"/>
        </w:rPr>
        <w:t>分会，根据提交仲裁时有效的仲裁规则进行仲裁。仲裁裁决是终局的，对仲裁各方当事人均</w:t>
      </w:r>
      <w:r>
        <w:rPr/>
        <w:t>具有约束力。</w:t>
      </w:r>
    </w:p>
    <w:p>
      <w:pPr>
        <w:pStyle w:val="BodyText"/>
        <w:spacing w:line="267" w:lineRule="exact"/>
      </w:pPr>
      <w:r>
        <w:rPr/>
        <w:t>3、除争议所涉内容之外，本基金合同的其他部分应当由本基金合同当事人继续履行。</w:t>
      </w:r>
    </w:p>
    <w:p>
      <w:pPr>
        <w:pStyle w:val="Heading2"/>
        <w:spacing w:before="48"/>
      </w:pPr>
      <w:bookmarkStart w:name="_bookmark113" w:id="114"/>
      <w:bookmarkEnd w:id="114"/>
      <w:r>
        <w:rPr>
          <w:b w:val="0"/>
        </w:rPr>
      </w:r>
      <w:r>
        <w:rPr/>
        <w:t>（八）基金合同的存放及查阅方式</w:t>
      </w:r>
    </w:p>
    <w:p>
      <w:pPr>
        <w:pStyle w:val="BodyText"/>
        <w:spacing w:line="364" w:lineRule="auto" w:before="121"/>
        <w:ind w:left="400" w:right="417" w:firstLine="420"/>
      </w:pPr>
      <w:r>
        <w:rPr>
          <w:spacing w:val="-8"/>
        </w:rPr>
        <w:t>基金合同可印制成册，存放在基金管理人和基金托管人住所，供投资人查阅，基金合同</w:t>
      </w:r>
      <w:r>
        <w:rPr/>
        <w:t>条款及内容应以基金合同正本为准。</w:t>
      </w:r>
    </w:p>
    <w:p>
      <w:pPr>
        <w:spacing w:after="0" w:line="364" w:lineRule="auto"/>
        <w:sectPr>
          <w:pgSz w:w="11910" w:h="16840"/>
          <w:pgMar w:header="0" w:footer="910" w:top="1380" w:bottom="1180" w:left="1400" w:right="1380"/>
        </w:sectPr>
      </w:pPr>
    </w:p>
    <w:p>
      <w:pPr>
        <w:pStyle w:val="Heading1"/>
      </w:pPr>
      <w:bookmarkStart w:name="_bookmark114" w:id="115"/>
      <w:bookmarkEnd w:id="115"/>
      <w:r>
        <w:rPr>
          <w:b w:val="0"/>
        </w:rPr>
      </w:r>
      <w:r>
        <w:rPr/>
        <w:t>二十三、基金托管协议的内容摘要</w:t>
      </w:r>
    </w:p>
    <w:p>
      <w:pPr>
        <w:pStyle w:val="Heading2"/>
        <w:spacing w:before="46"/>
      </w:pPr>
      <w:bookmarkStart w:name="_bookmark115" w:id="116"/>
      <w:bookmarkEnd w:id="116"/>
      <w:r>
        <w:rPr>
          <w:b w:val="0"/>
        </w:rPr>
      </w:r>
      <w:r>
        <w:rPr/>
        <w:t>（一）托管协议当事人</w:t>
      </w:r>
    </w:p>
    <w:p>
      <w:pPr>
        <w:pStyle w:val="BodyText"/>
        <w:spacing w:before="121"/>
      </w:pPr>
      <w:r>
        <w:rPr/>
        <w:t>1、基金管理人</w:t>
      </w:r>
    </w:p>
    <w:p>
      <w:pPr>
        <w:pStyle w:val="BodyText"/>
        <w:spacing w:before="140"/>
      </w:pPr>
      <w:r>
        <w:rPr/>
        <w:t>名称：易方达基金管理有限公司</w:t>
      </w:r>
    </w:p>
    <w:p>
      <w:pPr>
        <w:pStyle w:val="BodyText"/>
        <w:spacing w:line="364" w:lineRule="auto" w:before="139"/>
        <w:ind w:right="1690"/>
        <w:jc w:val="both"/>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35"/>
        </w:rPr>
        <w:t> 楼</w:t>
      </w:r>
      <w:r>
        <w:rPr/>
        <w:t>法定代表人：刘晓艳</w:t>
      </w:r>
    </w:p>
    <w:p>
      <w:pPr>
        <w:pStyle w:val="BodyText"/>
        <w:spacing w:line="268" w:lineRule="exact"/>
        <w:jc w:val="both"/>
      </w:pPr>
      <w:r>
        <w:rPr/>
        <w:t>成立日期：2001 年 4 月 17 日</w:t>
      </w:r>
    </w:p>
    <w:p>
      <w:pPr>
        <w:pStyle w:val="BodyText"/>
        <w:spacing w:line="364" w:lineRule="auto" w:before="140"/>
        <w:ind w:right="4525"/>
      </w:pPr>
      <w:r>
        <w:rPr/>
        <w:t>批准设立机关：中国证券监督管理委员会批准设立文号：证监基金字[2001]4 号</w:t>
      </w:r>
    </w:p>
    <w:p>
      <w:pPr>
        <w:pStyle w:val="BodyText"/>
        <w:spacing w:line="364" w:lineRule="auto"/>
        <w:ind w:right="1795"/>
      </w:pPr>
      <w:r>
        <w:rPr/>
        <w:t>经营范围：公开募集证券投资基金管理、基金销售、特定客户资产管理组织形式：有限责任公司</w:t>
      </w:r>
    </w:p>
    <w:p>
      <w:pPr>
        <w:pStyle w:val="BodyText"/>
        <w:spacing w:line="364" w:lineRule="auto"/>
        <w:ind w:right="5248"/>
      </w:pPr>
      <w:r>
        <w:rPr/>
        <w:t>注册资本：13,244.2 万元人民币存续期限：持续经营</w:t>
      </w:r>
    </w:p>
    <w:p>
      <w:pPr>
        <w:pStyle w:val="BodyText"/>
        <w:spacing w:line="268" w:lineRule="exact"/>
      </w:pPr>
      <w:r>
        <w:rPr/>
        <w:t>2、基金托管人</w:t>
      </w:r>
    </w:p>
    <w:p>
      <w:pPr>
        <w:pStyle w:val="BodyText"/>
        <w:spacing w:line="364" w:lineRule="auto" w:before="137"/>
        <w:ind w:right="3475"/>
      </w:pPr>
      <w:r>
        <w:rPr/>
        <w:t>名称：交通银行股份有限公司（简称：交通银行） 住所：中国（上海）</w:t>
      </w:r>
      <w:r>
        <w:rPr>
          <w:spacing w:val="-5"/>
        </w:rPr>
        <w:t>自由贸易试验区银城中路 </w:t>
      </w:r>
      <w:r>
        <w:rPr/>
        <w:t>188</w:t>
      </w:r>
      <w:r>
        <w:rPr>
          <w:spacing w:val="-36"/>
        </w:rPr>
        <w:t> 号</w:t>
      </w:r>
    </w:p>
    <w:p>
      <w:pPr>
        <w:pStyle w:val="BodyText"/>
        <w:spacing w:line="364" w:lineRule="auto"/>
        <w:ind w:right="2740"/>
      </w:pPr>
      <w:r>
        <w:rPr>
          <w:spacing w:val="-4"/>
        </w:rPr>
        <w:t>办公地址：上海市长宁区仙霞路 </w:t>
      </w:r>
      <w:r>
        <w:rPr/>
        <w:t>18</w:t>
      </w:r>
      <w:r>
        <w:rPr>
          <w:spacing w:val="-26"/>
        </w:rPr>
        <w:t> 号</w:t>
      </w:r>
      <w:r>
        <w:rPr/>
        <w:t>（邮政编码</w:t>
      </w:r>
      <w:r>
        <w:rPr>
          <w:spacing w:val="-3"/>
        </w:rPr>
        <w:t>：200336） </w:t>
      </w:r>
      <w:r>
        <w:rPr/>
        <w:t>法定代表人：任德奇</w:t>
      </w:r>
    </w:p>
    <w:p>
      <w:pPr>
        <w:pStyle w:val="BodyText"/>
        <w:spacing w:line="268" w:lineRule="exact"/>
      </w:pPr>
      <w:r>
        <w:rPr/>
        <w:t>成立时间：1987 年 3 月 30 日</w:t>
      </w:r>
    </w:p>
    <w:p>
      <w:pPr>
        <w:pStyle w:val="BodyText"/>
        <w:spacing w:before="139"/>
      </w:pPr>
      <w:r>
        <w:rPr/>
        <w:t>批准设立机关及批准设立文号：国务院国发(1986)字第 81 号文和中国人民银行银发</w:t>
      </w:r>
    </w:p>
    <w:p>
      <w:pPr>
        <w:pStyle w:val="BodyText"/>
        <w:spacing w:before="139"/>
        <w:ind w:left="400"/>
      </w:pPr>
      <w:r>
        <w:rPr/>
        <w:t>［1987］40 号文</w:t>
      </w:r>
    </w:p>
    <w:p>
      <w:pPr>
        <w:pStyle w:val="BodyText"/>
        <w:spacing w:before="140"/>
      </w:pPr>
      <w:r>
        <w:rPr/>
        <w:t>基金托管业务批准文号：中国证监会证监基字［1998］25 号</w:t>
      </w:r>
    </w:p>
    <w:p>
      <w:pPr>
        <w:pStyle w:val="BodyText"/>
        <w:spacing w:line="364" w:lineRule="auto" w:before="139"/>
        <w:ind w:left="400" w:right="312" w:firstLine="420"/>
      </w:pPr>
      <w:r>
        <w:rPr>
          <w:spacing w:val="-11"/>
        </w:rPr>
        <w:t>经营范围：吸收公众存款；发放短期、中期和长期贷款；办理国内外结算；办理票据承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2"/>
        </w:rPr>
        <w:t>款项业务；提供保管箱服务；经国务院银行业监督管理机构批准的其他业务；经营结汇、售汇业务。</w:t>
      </w:r>
    </w:p>
    <w:p>
      <w:pPr>
        <w:pStyle w:val="BodyText"/>
        <w:spacing w:line="364" w:lineRule="auto"/>
        <w:ind w:right="5995"/>
      </w:pPr>
      <w:r>
        <w:rPr/>
        <w:t>注册资本：742.63</w:t>
      </w:r>
      <w:r>
        <w:rPr>
          <w:spacing w:val="-18"/>
        </w:rPr>
        <w:t> 亿元</w:t>
      </w:r>
      <w:r>
        <w:rPr>
          <w:spacing w:val="-19"/>
        </w:rPr>
        <w:t>组织形式：股份有限公司</w:t>
      </w:r>
      <w:r>
        <w:rPr/>
        <w:t>存续期间：持续经营</w:t>
      </w:r>
    </w:p>
    <w:p>
      <w:pPr>
        <w:pStyle w:val="Heading2"/>
        <w:spacing w:line="422" w:lineRule="exact"/>
      </w:pPr>
      <w:bookmarkStart w:name="_bookmark116" w:id="117"/>
      <w:bookmarkEnd w:id="117"/>
      <w:r>
        <w:rPr>
          <w:b w:val="0"/>
        </w:rPr>
      </w:r>
      <w:r>
        <w:rPr/>
        <w:t>（二）基金托管人对基金管理人的业务监督和核查</w:t>
      </w:r>
    </w:p>
    <w:p>
      <w:pPr>
        <w:pStyle w:val="BodyText"/>
        <w:spacing w:before="119"/>
      </w:pPr>
      <w:r>
        <w:rPr/>
        <w:t>1、基金托管人根据有关法律法规的规定及《基金合同》的约定，对基金的投资范围、</w:t>
      </w:r>
    </w:p>
    <w:p>
      <w:pPr>
        <w:spacing w:after="0"/>
        <w:sectPr>
          <w:pgSz w:w="11910" w:h="16840"/>
          <w:pgMar w:header="0" w:footer="910" w:top="1400" w:bottom="1180" w:left="1400" w:right="1380"/>
        </w:sectPr>
      </w:pPr>
    </w:p>
    <w:p>
      <w:pPr>
        <w:pStyle w:val="BodyText"/>
        <w:spacing w:before="45"/>
        <w:ind w:left="400"/>
      </w:pPr>
      <w:r>
        <w:rPr/>
        <w:t>投资对象进行监督。</w:t>
      </w:r>
    </w:p>
    <w:p>
      <w:pPr>
        <w:pStyle w:val="BodyText"/>
        <w:spacing w:line="364" w:lineRule="auto" w:before="139"/>
        <w:ind w:left="400" w:right="446" w:firstLine="420"/>
        <w:jc w:val="both"/>
      </w:pPr>
      <w:r>
        <w:rPr/>
        <w:t>根据《基金合同》的约定，本基金的投资范围为具有良好流动性的金融工具，包括国</w:t>
      </w:r>
      <w:r>
        <w:rPr>
          <w:spacing w:val="-2"/>
        </w:rPr>
        <w:t>内依法发行、上市的股票</w:t>
      </w:r>
      <w:r>
        <w:rPr/>
        <w:t>（含存托凭证</w:t>
      </w:r>
      <w:r>
        <w:rPr>
          <w:spacing w:val="-105"/>
        </w:rPr>
        <w:t>）</w:t>
      </w:r>
      <w:r>
        <w:rPr>
          <w:spacing w:val="-4"/>
        </w:rPr>
        <w:t>、债券、权证、资产支持证券、货币市场工具及法</w:t>
      </w:r>
      <w:r>
        <w:rPr/>
        <w:t>律法规或中国证监会允许基金投资的其他金融工具。如法律法规或监管机构以后允许基金投资其它品种，基金管理人在履行适当程序后，可以将其纳入投资范围。</w:t>
      </w:r>
    </w:p>
    <w:p>
      <w:pPr>
        <w:pStyle w:val="BodyText"/>
        <w:spacing w:line="364" w:lineRule="auto"/>
        <w:ind w:left="400" w:right="446" w:firstLine="420"/>
      </w:pPr>
      <w:r>
        <w:rPr/>
        <w:t>基金托管人运用相关技术系统，对基金实际投资是否符合基金合同的相关约定进行监督，对存在疑义的事项进行核查。</w:t>
      </w:r>
    </w:p>
    <w:p>
      <w:pPr>
        <w:pStyle w:val="BodyText"/>
        <w:spacing w:line="364" w:lineRule="auto"/>
        <w:ind w:left="400" w:right="446" w:firstLine="420"/>
        <w:jc w:val="both"/>
      </w:pPr>
      <w:r>
        <w:rPr/>
        <w:t>基金托管人发现基金管理人的投资有超出以上范围的行为，应及时以书面形式通知基</w:t>
      </w:r>
      <w:r>
        <w:rPr>
          <w:spacing w:val="-7"/>
        </w:rPr>
        <w:t>金管理人在 </w:t>
      </w:r>
      <w:r>
        <w:rPr/>
        <w:t>10</w:t>
      </w:r>
      <w:r>
        <w:rPr>
          <w:spacing w:val="-7"/>
        </w:rPr>
        <w:t> 个交易日内纠正。基金管理人对基金托管人通知的违规事项未能在 </w:t>
      </w:r>
      <w:r>
        <w:rPr/>
        <w:t>10</w:t>
      </w:r>
      <w:r>
        <w:rPr>
          <w:spacing w:val="-12"/>
        </w:rPr>
        <w:t> 个交易日内纠正的，基金托管人应报告中国证监会。基金托管人发现基金管理人有重大违规行</w:t>
      </w:r>
      <w:r>
        <w:rPr>
          <w:spacing w:val="-14"/>
        </w:rPr>
        <w:t>为，应立即报告中国证监会，同时通知基金管理人在 </w:t>
      </w:r>
      <w:r>
        <w:rPr/>
        <w:t>10</w:t>
      </w:r>
      <w:r>
        <w:rPr>
          <w:spacing w:val="-8"/>
        </w:rPr>
        <w:t> 个交易日内纠正。</w:t>
      </w:r>
    </w:p>
    <w:p>
      <w:pPr>
        <w:pStyle w:val="BodyText"/>
        <w:spacing w:line="364" w:lineRule="auto"/>
        <w:ind w:left="400" w:right="418" w:firstLine="420"/>
      </w:pPr>
      <w:r>
        <w:rPr/>
        <w:t>2、基金托管人根据有关法律法规的规定及《基金合同》的约定，对基金投资、融资比例进行监督。</w:t>
      </w:r>
    </w:p>
    <w:p>
      <w:pPr>
        <w:pStyle w:val="BodyText"/>
        <w:spacing w:line="268" w:lineRule="exact"/>
      </w:pPr>
      <w:r>
        <w:rPr/>
        <w:t>根据《基金合同》的约定，本基金投资组合比例应符合以下规定：</w:t>
      </w:r>
    </w:p>
    <w:p>
      <w:pPr>
        <w:pStyle w:val="ListParagraph"/>
        <w:numPr>
          <w:ilvl w:val="0"/>
          <w:numId w:val="61"/>
        </w:numPr>
        <w:tabs>
          <w:tab w:pos="1346" w:val="left" w:leader="none"/>
        </w:tabs>
        <w:spacing w:line="240" w:lineRule="auto" w:before="135" w:after="0"/>
        <w:ind w:left="1346" w:right="0" w:hanging="526"/>
        <w:jc w:val="left"/>
        <w:rPr>
          <w:sz w:val="21"/>
        </w:rPr>
      </w:pPr>
      <w:r>
        <w:rPr>
          <w:spacing w:val="-2"/>
          <w:sz w:val="21"/>
        </w:rPr>
        <w:t>本基金持有一家上市公司的股票，其市值不超过基金资产净值的 </w:t>
      </w:r>
      <w:r>
        <w:rPr>
          <w:sz w:val="21"/>
        </w:rPr>
        <w:t>10%；</w:t>
      </w:r>
    </w:p>
    <w:p>
      <w:pPr>
        <w:pStyle w:val="ListParagraph"/>
        <w:numPr>
          <w:ilvl w:val="0"/>
          <w:numId w:val="61"/>
        </w:numPr>
        <w:tabs>
          <w:tab w:pos="1346" w:val="left" w:leader="none"/>
        </w:tabs>
        <w:spacing w:line="364" w:lineRule="auto" w:before="140" w:after="0"/>
        <w:ind w:left="400" w:right="446" w:firstLine="420"/>
        <w:jc w:val="left"/>
        <w:rPr>
          <w:sz w:val="21"/>
        </w:rPr>
      </w:pPr>
      <w:r>
        <w:rPr>
          <w:spacing w:val="-2"/>
          <w:sz w:val="21"/>
        </w:rPr>
        <w:t>本基金与基金管理人管理的其他基金持有一家公司发行的证券总和，不超过该证</w:t>
      </w:r>
      <w:r>
        <w:rPr>
          <w:spacing w:val="-18"/>
          <w:sz w:val="21"/>
        </w:rPr>
        <w:t>券的 </w:t>
      </w:r>
      <w:r>
        <w:rPr>
          <w:sz w:val="21"/>
        </w:rPr>
        <w:t>10%；</w:t>
      </w:r>
    </w:p>
    <w:p>
      <w:pPr>
        <w:pStyle w:val="ListParagraph"/>
        <w:numPr>
          <w:ilvl w:val="0"/>
          <w:numId w:val="61"/>
        </w:numPr>
        <w:tabs>
          <w:tab w:pos="1346" w:val="left" w:leader="none"/>
        </w:tabs>
        <w:spacing w:line="364" w:lineRule="auto" w:before="0" w:after="0"/>
        <w:ind w:left="400" w:right="446" w:firstLine="420"/>
        <w:jc w:val="left"/>
        <w:rPr>
          <w:sz w:val="21"/>
        </w:rPr>
      </w:pPr>
      <w:r>
        <w:rPr>
          <w:spacing w:val="-5"/>
          <w:sz w:val="21"/>
        </w:rPr>
        <w:t>股票资产占基金资产的 </w:t>
      </w:r>
      <w:r>
        <w:rPr>
          <w:spacing w:val="-7"/>
          <w:sz w:val="21"/>
        </w:rPr>
        <w:t>60%—95%</w:t>
      </w:r>
      <w:r>
        <w:rPr>
          <w:spacing w:val="-6"/>
          <w:sz w:val="21"/>
        </w:rPr>
        <w:t>；债券、资产支持证券、权证、货币市场工具以</w:t>
      </w:r>
      <w:r>
        <w:rPr>
          <w:spacing w:val="-3"/>
          <w:sz w:val="21"/>
        </w:rPr>
        <w:t>及中国证监会允许基金投资的其他证券品种占基金资产的 </w:t>
      </w:r>
      <w:r>
        <w:rPr>
          <w:sz w:val="21"/>
        </w:rPr>
        <w:t>5%-40%；</w:t>
      </w:r>
    </w:p>
    <w:p>
      <w:pPr>
        <w:pStyle w:val="ListParagraph"/>
        <w:numPr>
          <w:ilvl w:val="0"/>
          <w:numId w:val="61"/>
        </w:numPr>
        <w:tabs>
          <w:tab w:pos="1346" w:val="left" w:leader="none"/>
        </w:tabs>
        <w:spacing w:line="364" w:lineRule="auto" w:before="0" w:after="0"/>
        <w:ind w:left="400" w:right="446" w:firstLine="420"/>
        <w:jc w:val="left"/>
        <w:rPr>
          <w:sz w:val="21"/>
        </w:rPr>
      </w:pPr>
      <w:r>
        <w:rPr>
          <w:spacing w:val="-3"/>
          <w:sz w:val="21"/>
        </w:rPr>
        <w:t>本基金财产参与股票发行申购，所申报的金额不超过本基金总资产，本基金所申</w:t>
      </w:r>
      <w:r>
        <w:rPr>
          <w:sz w:val="21"/>
        </w:rPr>
        <w:t>报的股票数量不超过拟发行股票公司本次发行股票的总量；</w:t>
      </w:r>
    </w:p>
    <w:p>
      <w:pPr>
        <w:pStyle w:val="ListParagraph"/>
        <w:numPr>
          <w:ilvl w:val="0"/>
          <w:numId w:val="61"/>
        </w:numPr>
        <w:tabs>
          <w:tab w:pos="1346" w:val="left" w:leader="none"/>
        </w:tabs>
        <w:spacing w:line="268" w:lineRule="exact" w:before="0" w:after="0"/>
        <w:ind w:left="1346" w:right="0" w:hanging="526"/>
        <w:jc w:val="left"/>
        <w:rPr>
          <w:sz w:val="21"/>
        </w:rPr>
      </w:pPr>
      <w:r>
        <w:rPr>
          <w:spacing w:val="-3"/>
          <w:sz w:val="21"/>
        </w:rPr>
        <w:t>在全国银行间同业市场中的债券回购最长期限为 </w:t>
      </w:r>
      <w:r>
        <w:rPr>
          <w:sz w:val="21"/>
        </w:rPr>
        <w:t>1</w:t>
      </w:r>
      <w:r>
        <w:rPr>
          <w:spacing w:val="-8"/>
          <w:sz w:val="21"/>
        </w:rPr>
        <w:t> 年，债券回购到期后不展期；</w:t>
      </w:r>
    </w:p>
    <w:p>
      <w:pPr>
        <w:pStyle w:val="ListParagraph"/>
        <w:numPr>
          <w:ilvl w:val="0"/>
          <w:numId w:val="61"/>
        </w:numPr>
        <w:tabs>
          <w:tab w:pos="1346" w:val="left" w:leader="none"/>
        </w:tabs>
        <w:spacing w:line="240" w:lineRule="auto" w:before="137" w:after="0"/>
        <w:ind w:left="1346" w:right="0" w:hanging="526"/>
        <w:jc w:val="left"/>
        <w:rPr>
          <w:sz w:val="21"/>
        </w:rPr>
      </w:pPr>
      <w:r>
        <w:rPr>
          <w:spacing w:val="-2"/>
          <w:sz w:val="21"/>
        </w:rPr>
        <w:t>在银行间市场进行债券回购融入的资金余额不超过基金资产净值的 </w:t>
      </w:r>
      <w:r>
        <w:rPr>
          <w:sz w:val="21"/>
        </w:rPr>
        <w:t>40%；</w:t>
      </w:r>
    </w:p>
    <w:p>
      <w:pPr>
        <w:pStyle w:val="ListParagraph"/>
        <w:numPr>
          <w:ilvl w:val="0"/>
          <w:numId w:val="61"/>
        </w:numPr>
        <w:tabs>
          <w:tab w:pos="1346" w:val="left" w:leader="none"/>
        </w:tabs>
        <w:spacing w:line="364" w:lineRule="auto" w:before="140" w:after="0"/>
        <w:ind w:left="400" w:right="446" w:firstLine="420"/>
        <w:jc w:val="left"/>
        <w:rPr>
          <w:sz w:val="21"/>
        </w:rPr>
      </w:pPr>
      <w:r>
        <w:rPr>
          <w:spacing w:val="-1"/>
          <w:sz w:val="21"/>
        </w:rPr>
        <w:t>基金的投资组合中保留的现金或者到期日在一年以内的政府债券的比例合计不低</w:t>
      </w:r>
      <w:r>
        <w:rPr>
          <w:spacing w:val="-6"/>
          <w:sz w:val="21"/>
        </w:rPr>
        <w:t>于基金资产净值的 </w:t>
      </w:r>
      <w:r>
        <w:rPr>
          <w:sz w:val="21"/>
        </w:rPr>
        <w:t>5%，现金不包括结算备付金、存出保证金、应收申购款等；</w:t>
      </w:r>
    </w:p>
    <w:p>
      <w:pPr>
        <w:pStyle w:val="ListParagraph"/>
        <w:numPr>
          <w:ilvl w:val="0"/>
          <w:numId w:val="61"/>
        </w:numPr>
        <w:tabs>
          <w:tab w:pos="1346" w:val="left" w:leader="none"/>
        </w:tabs>
        <w:spacing w:line="268" w:lineRule="exact" w:before="0" w:after="0"/>
        <w:ind w:left="1346" w:right="0" w:hanging="526"/>
        <w:jc w:val="left"/>
        <w:rPr>
          <w:sz w:val="21"/>
        </w:rPr>
      </w:pPr>
      <w:r>
        <w:rPr>
          <w:spacing w:val="-8"/>
          <w:sz w:val="21"/>
        </w:rPr>
        <w:t>权证投资比例遵照《关于股权分置改革中证券投资基金投资权证有关问题的通知》</w:t>
      </w:r>
    </w:p>
    <w:p>
      <w:pPr>
        <w:pStyle w:val="BodyText"/>
        <w:spacing w:before="139"/>
        <w:ind w:left="400"/>
      </w:pPr>
      <w:r>
        <w:rPr/>
        <w:t>（证监基金字[2005]138 号）及相关规定执行；</w:t>
      </w:r>
    </w:p>
    <w:p>
      <w:pPr>
        <w:pStyle w:val="ListParagraph"/>
        <w:numPr>
          <w:ilvl w:val="0"/>
          <w:numId w:val="61"/>
        </w:numPr>
        <w:tabs>
          <w:tab w:pos="1346" w:val="left" w:leader="none"/>
        </w:tabs>
        <w:spacing w:line="364" w:lineRule="auto" w:before="139" w:after="0"/>
        <w:ind w:left="400" w:right="446" w:firstLine="420"/>
        <w:jc w:val="left"/>
        <w:rPr>
          <w:sz w:val="21"/>
        </w:rPr>
      </w:pPr>
      <w:r>
        <w:rPr>
          <w:spacing w:val="-2"/>
          <w:sz w:val="21"/>
        </w:rPr>
        <w:t>资产支持证券投资比例遵照《关于证券投资基金投资资产支持证券有关事项的通</w:t>
      </w:r>
      <w:r>
        <w:rPr>
          <w:spacing w:val="-53"/>
          <w:sz w:val="21"/>
        </w:rPr>
        <w:t>知》</w:t>
      </w:r>
      <w:r>
        <w:rPr>
          <w:sz w:val="21"/>
        </w:rPr>
        <w:t>（证监基金字[2006]93</w:t>
      </w:r>
      <w:r>
        <w:rPr>
          <w:spacing w:val="-27"/>
          <w:sz w:val="21"/>
        </w:rPr>
        <w:t> 号</w:t>
      </w:r>
      <w:r>
        <w:rPr>
          <w:sz w:val="21"/>
        </w:rPr>
        <w:t>）及相关规定执行；</w:t>
      </w:r>
    </w:p>
    <w:p>
      <w:pPr>
        <w:pStyle w:val="BodyText"/>
        <w:spacing w:line="364" w:lineRule="auto"/>
        <w:ind w:left="400" w:right="446" w:firstLine="420"/>
      </w:pPr>
      <w:r>
        <w:rPr/>
        <w:t>(10)流通受限证券投资遵照《关于基金投资非公开发行股票等流通受限证券有关问题的通知》（证监基金字[2006]141 号）及相关规定执行；</w:t>
      </w:r>
    </w:p>
    <w:p>
      <w:pPr>
        <w:pStyle w:val="BodyText"/>
        <w:spacing w:line="364" w:lineRule="auto"/>
        <w:ind w:left="400" w:right="446" w:firstLine="420"/>
        <w:jc w:val="both"/>
      </w:pPr>
      <w:r>
        <w:rPr>
          <w:spacing w:val="-3"/>
        </w:rPr>
        <w:t>(11）</w:t>
      </w:r>
      <w:r>
        <w:rPr>
          <w:spacing w:val="-2"/>
        </w:rPr>
        <w:t>本基金管理人管理的全部开放式基金持有一家上市公司发行的可流通股票，不得</w:t>
      </w:r>
      <w:r>
        <w:rPr>
          <w:spacing w:val="2"/>
        </w:rPr>
        <w:t>超过该上市公司可流通股票的</w:t>
      </w:r>
      <w:r>
        <w:rPr>
          <w:spacing w:val="-14"/>
        </w:rPr>
        <w:t>15%</w:t>
      </w:r>
      <w:r>
        <w:rPr>
          <w:spacing w:val="-5"/>
        </w:rPr>
        <w:t>；本基金管理人管理的全部投资组合持有一家上市公司发</w:t>
      </w:r>
      <w:r>
        <w:rPr>
          <w:spacing w:val="-3"/>
        </w:rPr>
        <w:t>行的可流通股票，不得超过该上市公司可流通股票的 </w:t>
      </w:r>
      <w:r>
        <w:rPr/>
        <w:t>30%。</w:t>
      </w:r>
    </w:p>
    <w:p>
      <w:pPr>
        <w:spacing w:after="0" w:line="364" w:lineRule="auto"/>
        <w:jc w:val="both"/>
        <w:sectPr>
          <w:pgSz w:w="11910" w:h="16840"/>
          <w:pgMar w:header="0" w:footer="910" w:top="1380" w:bottom="1180" w:left="1400" w:right="1380"/>
        </w:sectPr>
      </w:pPr>
    </w:p>
    <w:p>
      <w:pPr>
        <w:pStyle w:val="ListParagraph"/>
        <w:numPr>
          <w:ilvl w:val="0"/>
          <w:numId w:val="62"/>
        </w:numPr>
        <w:tabs>
          <w:tab w:pos="1451" w:val="left" w:leader="none"/>
        </w:tabs>
        <w:spacing w:line="364" w:lineRule="auto" w:before="45" w:after="0"/>
        <w:ind w:left="820" w:right="376" w:firstLine="0"/>
        <w:jc w:val="left"/>
        <w:rPr>
          <w:sz w:val="21"/>
        </w:rPr>
      </w:pPr>
      <w:r>
        <w:rPr>
          <w:spacing w:val="-2"/>
          <w:sz w:val="21"/>
        </w:rPr>
        <w:t>本基金主动投资于流动性受限资产的市值合计不得超过该基金资产净值的 </w:t>
      </w:r>
      <w:r>
        <w:rPr>
          <w:sz w:val="21"/>
        </w:rPr>
        <w:t>15%</w:t>
      </w:r>
      <w:r>
        <w:rPr>
          <w:spacing w:val="-17"/>
          <w:sz w:val="21"/>
        </w:rPr>
        <w:t>。</w:t>
      </w:r>
      <w:r>
        <w:rPr>
          <w:sz w:val="21"/>
        </w:rPr>
        <w:t>因证券市场波动、上市公司股票停牌、基金规模变动等基金管理人之外的因素致使基</w:t>
      </w:r>
    </w:p>
    <w:p>
      <w:pPr>
        <w:pStyle w:val="BodyText"/>
        <w:spacing w:line="268" w:lineRule="exact"/>
        <w:ind w:left="400"/>
      </w:pPr>
      <w:r>
        <w:rPr/>
        <w:t>金不符合前款所规定比例限制的，基金管理人不得主动新增流动性受限资产的投资。</w:t>
      </w:r>
    </w:p>
    <w:p>
      <w:pPr>
        <w:pStyle w:val="ListParagraph"/>
        <w:numPr>
          <w:ilvl w:val="0"/>
          <w:numId w:val="62"/>
        </w:numPr>
        <w:tabs>
          <w:tab w:pos="1458" w:val="left" w:leader="none"/>
        </w:tabs>
        <w:spacing w:line="364" w:lineRule="auto" w:before="139" w:after="0"/>
        <w:ind w:left="400" w:right="446"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62"/>
        </w:numPr>
        <w:tabs>
          <w:tab w:pos="1458" w:val="left" w:leader="none"/>
        </w:tabs>
        <w:spacing w:line="364" w:lineRule="auto" w:before="0" w:after="0"/>
        <w:ind w:left="400" w:right="446" w:firstLine="420"/>
        <w:jc w:val="left"/>
        <w:rPr>
          <w:sz w:val="21"/>
        </w:rPr>
      </w:pPr>
      <w:r>
        <w:rPr>
          <w:sz w:val="21"/>
        </w:rPr>
        <w:t>本基金投资存托凭证的比例限制依照境内上市交易的股票执行，与境内上市交易的股票合并计算。</w:t>
      </w:r>
    </w:p>
    <w:p>
      <w:pPr>
        <w:pStyle w:val="ListParagraph"/>
        <w:numPr>
          <w:ilvl w:val="0"/>
          <w:numId w:val="62"/>
        </w:numPr>
        <w:tabs>
          <w:tab w:pos="1451" w:val="left" w:leader="none"/>
        </w:tabs>
        <w:spacing w:line="268" w:lineRule="exact" w:before="0" w:after="0"/>
        <w:ind w:left="1451" w:right="0" w:hanging="631"/>
        <w:jc w:val="left"/>
        <w:rPr>
          <w:sz w:val="21"/>
        </w:rPr>
      </w:pPr>
      <w:r>
        <w:rPr>
          <w:spacing w:val="-11"/>
          <w:sz w:val="21"/>
        </w:rPr>
        <w:t>法律法规、《基金合同》及中国证监会规定的其他比例限制。</w:t>
      </w:r>
    </w:p>
    <w:p>
      <w:pPr>
        <w:pStyle w:val="BodyText"/>
        <w:spacing w:line="364" w:lineRule="auto" w:before="139"/>
        <w:ind w:left="400" w:right="446" w:firstLine="420"/>
        <w:jc w:val="both"/>
      </w:pPr>
      <w:r>
        <w:rPr>
          <w:spacing w:val="2"/>
        </w:rPr>
        <w:t>除上述（4</w:t>
      </w:r>
      <w:r>
        <w:rPr>
          <w:spacing w:val="-103"/>
        </w:rPr>
        <w:t>）、</w:t>
      </w:r>
      <w:r>
        <w:rPr>
          <w:spacing w:val="2"/>
        </w:rPr>
        <w:t>（7</w:t>
      </w:r>
      <w:r>
        <w:rPr>
          <w:spacing w:val="-103"/>
        </w:rPr>
        <w:t>）、</w:t>
      </w:r>
      <w:r>
        <w:rPr>
          <w:spacing w:val="2"/>
        </w:rPr>
        <w:t>（</w:t>
      </w:r>
      <w:r>
        <w:rPr/>
        <w:t>1</w:t>
      </w:r>
      <w:r>
        <w:rPr>
          <w:spacing w:val="2"/>
        </w:rPr>
        <w:t>2</w:t>
      </w:r>
      <w:r>
        <w:rPr>
          <w:spacing w:val="-103"/>
        </w:rPr>
        <w:t>）、</w:t>
      </w:r>
      <w:r>
        <w:rPr>
          <w:spacing w:val="2"/>
        </w:rPr>
        <w:t>（</w:t>
      </w:r>
      <w:r>
        <w:rPr/>
        <w:t>1</w:t>
      </w:r>
      <w:r>
        <w:rPr>
          <w:spacing w:val="2"/>
        </w:rPr>
        <w:t>3）</w:t>
      </w:r>
      <w:r>
        <w:rPr>
          <w:spacing w:val="1"/>
        </w:rPr>
        <w:t>以外，因证券市场波动、上市公司合并、基金规模变</w:t>
      </w:r>
      <w:r>
        <w:rPr/>
        <w:t>动等基金管理人之外的因素致使基金投资不符合基金合同约定的投资比例规定的，基金管</w:t>
      </w:r>
      <w:r>
        <w:rPr>
          <w:spacing w:val="-9"/>
        </w:rPr>
        <w:t>理人应当在 </w:t>
      </w:r>
      <w:r>
        <w:rPr/>
        <w:t>10</w:t>
      </w:r>
      <w:r>
        <w:rPr>
          <w:spacing w:val="-10"/>
        </w:rPr>
        <w:t> 个交易日内进行调整。法律法规另有规定的从其规定。法律法规或监管部门</w:t>
      </w:r>
      <w:r>
        <w:rPr/>
        <w:t>修改或取消上述限制规定时，本基金不受上述投资组合限制并相应修改其投资组合限制规定。</w:t>
      </w:r>
    </w:p>
    <w:p>
      <w:pPr>
        <w:pStyle w:val="BodyText"/>
        <w:spacing w:line="267" w:lineRule="exact"/>
      </w:pPr>
      <w:r>
        <w:rPr/>
        <w:t>基金托管人依照上述规定对本基金的投资组合限制及调整期限进行监督。</w:t>
      </w:r>
    </w:p>
    <w:p>
      <w:pPr>
        <w:pStyle w:val="BodyText"/>
        <w:spacing w:line="364" w:lineRule="auto" w:before="139"/>
        <w:ind w:left="400" w:right="236" w:firstLine="420"/>
      </w:pPr>
      <w:r>
        <w:rPr/>
        <w:t>基金托管人发现基金管理人的投资有超出有关法律法规的规定及《基金合同》的约定 </w:t>
      </w:r>
      <w:r>
        <w:rPr>
          <w:spacing w:val="2"/>
        </w:rPr>
        <w:t>的基金投融资比例限制的行为，应及时以书面形式通知基金管理人在 </w:t>
      </w:r>
      <w:r>
        <w:rPr/>
        <w:t>10</w:t>
      </w:r>
      <w:r>
        <w:rPr>
          <w:spacing w:val="-5"/>
        </w:rPr>
        <w:t> 个交易日内纠正。</w:t>
      </w:r>
      <w:r>
        <w:rPr>
          <w:spacing w:val="-3"/>
        </w:rPr>
        <w:t>基金管理人对基金托管人通知的违规事项未能在 </w:t>
      </w:r>
      <w:r>
        <w:rPr/>
        <w:t>10</w:t>
      </w:r>
      <w:r>
        <w:rPr>
          <w:spacing w:val="-9"/>
        </w:rPr>
        <w:t> 个交易日内纠正的，基金托管人应报告中国证监会。基金托管人发现基金管理人有重大违规行为，应立即报告中国证监会，同时 通</w:t>
      </w:r>
      <w:r>
        <w:rPr>
          <w:spacing w:val="-15"/>
        </w:rPr>
        <w:t>知基金管理人在 </w:t>
      </w:r>
      <w:r>
        <w:rPr/>
        <w:t>10</w:t>
      </w:r>
      <w:r>
        <w:rPr>
          <w:spacing w:val="-8"/>
        </w:rPr>
        <w:t> 个交易日内纠正。</w:t>
      </w:r>
    </w:p>
    <w:p>
      <w:pPr>
        <w:pStyle w:val="BodyText"/>
        <w:spacing w:line="364" w:lineRule="auto"/>
        <w:ind w:left="400" w:right="418" w:firstLine="420"/>
      </w:pPr>
      <w:r>
        <w:rPr/>
        <w:t>3、基金托管人根据有关法律法规的规定及《基金合同》的约定，对基金投资禁止行为进行监督。基金财产不得用于下列投资或者活动。</w:t>
      </w:r>
    </w:p>
    <w:p>
      <w:pPr>
        <w:pStyle w:val="ListParagraph"/>
        <w:numPr>
          <w:ilvl w:val="0"/>
          <w:numId w:val="63"/>
        </w:numPr>
        <w:tabs>
          <w:tab w:pos="1346" w:val="left" w:leader="none"/>
        </w:tabs>
        <w:spacing w:line="268" w:lineRule="exact" w:before="0" w:after="0"/>
        <w:ind w:left="1346" w:right="0" w:hanging="526"/>
        <w:jc w:val="left"/>
        <w:rPr>
          <w:sz w:val="21"/>
        </w:rPr>
      </w:pPr>
      <w:r>
        <w:rPr>
          <w:sz w:val="21"/>
        </w:rPr>
        <w:t>承销证券；</w:t>
      </w:r>
    </w:p>
    <w:p>
      <w:pPr>
        <w:pStyle w:val="ListParagraph"/>
        <w:numPr>
          <w:ilvl w:val="0"/>
          <w:numId w:val="63"/>
        </w:numPr>
        <w:tabs>
          <w:tab w:pos="1346" w:val="left" w:leader="none"/>
        </w:tabs>
        <w:spacing w:line="240" w:lineRule="auto" w:before="137" w:after="0"/>
        <w:ind w:left="1346" w:right="0" w:hanging="526"/>
        <w:jc w:val="left"/>
        <w:rPr>
          <w:sz w:val="21"/>
        </w:rPr>
      </w:pPr>
      <w:r>
        <w:rPr>
          <w:sz w:val="21"/>
        </w:rPr>
        <w:t>违反规定向他人贷款或者提供担保；</w:t>
      </w:r>
    </w:p>
    <w:p>
      <w:pPr>
        <w:pStyle w:val="ListParagraph"/>
        <w:numPr>
          <w:ilvl w:val="0"/>
          <w:numId w:val="63"/>
        </w:numPr>
        <w:tabs>
          <w:tab w:pos="1346" w:val="left" w:leader="none"/>
        </w:tabs>
        <w:spacing w:line="240" w:lineRule="auto" w:before="140" w:after="0"/>
        <w:ind w:left="1346" w:right="0" w:hanging="526"/>
        <w:jc w:val="left"/>
        <w:rPr>
          <w:sz w:val="21"/>
        </w:rPr>
      </w:pPr>
      <w:r>
        <w:rPr>
          <w:sz w:val="21"/>
        </w:rPr>
        <w:t>从事承担无限责任的投资；</w:t>
      </w:r>
    </w:p>
    <w:p>
      <w:pPr>
        <w:pStyle w:val="ListParagraph"/>
        <w:numPr>
          <w:ilvl w:val="0"/>
          <w:numId w:val="63"/>
        </w:numPr>
        <w:tabs>
          <w:tab w:pos="1346" w:val="left" w:leader="none"/>
        </w:tabs>
        <w:spacing w:line="240" w:lineRule="auto" w:before="139" w:after="0"/>
        <w:ind w:left="1346" w:right="0" w:hanging="526"/>
        <w:jc w:val="left"/>
        <w:rPr>
          <w:sz w:val="21"/>
        </w:rPr>
      </w:pPr>
      <w:r>
        <w:rPr>
          <w:sz w:val="21"/>
        </w:rPr>
        <w:t>买卖其他基金份额，但是中国证监会另有规定的除外；</w:t>
      </w:r>
    </w:p>
    <w:p>
      <w:pPr>
        <w:pStyle w:val="ListParagraph"/>
        <w:numPr>
          <w:ilvl w:val="0"/>
          <w:numId w:val="63"/>
        </w:numPr>
        <w:tabs>
          <w:tab w:pos="1346" w:val="left" w:leader="none"/>
        </w:tabs>
        <w:spacing w:line="240" w:lineRule="auto" w:before="140" w:after="0"/>
        <w:ind w:left="1346" w:right="0" w:hanging="526"/>
        <w:jc w:val="left"/>
        <w:rPr>
          <w:sz w:val="21"/>
        </w:rPr>
      </w:pPr>
      <w:r>
        <w:rPr>
          <w:sz w:val="21"/>
        </w:rPr>
        <w:t>向本基金的基金管理人、基金托管人出资；</w:t>
      </w:r>
    </w:p>
    <w:p>
      <w:pPr>
        <w:pStyle w:val="ListParagraph"/>
        <w:numPr>
          <w:ilvl w:val="0"/>
          <w:numId w:val="63"/>
        </w:numPr>
        <w:tabs>
          <w:tab w:pos="1346" w:val="left" w:leader="none"/>
        </w:tabs>
        <w:spacing w:line="240" w:lineRule="auto" w:before="139" w:after="0"/>
        <w:ind w:left="1346" w:right="0" w:hanging="526"/>
        <w:jc w:val="left"/>
        <w:rPr>
          <w:sz w:val="21"/>
        </w:rPr>
      </w:pPr>
      <w:r>
        <w:rPr>
          <w:sz w:val="21"/>
        </w:rPr>
        <w:t>从事内幕交易、操纵证券交易价格及其他不正当的证券交易活动；</w:t>
      </w:r>
    </w:p>
    <w:p>
      <w:pPr>
        <w:pStyle w:val="ListParagraph"/>
        <w:numPr>
          <w:ilvl w:val="0"/>
          <w:numId w:val="63"/>
        </w:numPr>
        <w:tabs>
          <w:tab w:pos="1346" w:val="left" w:leader="none"/>
        </w:tabs>
        <w:spacing w:line="240" w:lineRule="auto" w:before="140" w:after="0"/>
        <w:ind w:left="1346" w:right="0" w:hanging="526"/>
        <w:jc w:val="left"/>
        <w:rPr>
          <w:sz w:val="21"/>
        </w:rPr>
      </w:pPr>
      <w:r>
        <w:rPr>
          <w:sz w:val="21"/>
        </w:rPr>
        <w:t>法律、行政法规和中国证监会规定禁止的其他活动。</w:t>
      </w:r>
    </w:p>
    <w:p>
      <w:pPr>
        <w:pStyle w:val="BodyText"/>
        <w:spacing w:line="364" w:lineRule="auto" w:before="139"/>
        <w:ind w:left="400" w:right="446" w:firstLine="420"/>
        <w:jc w:val="both"/>
      </w:pPr>
      <w:r>
        <w:rPr>
          <w:spacing w:val="-8"/>
        </w:rPr>
        <w:t>根据法律法规有关基金从事的关联交易的规定，《基金合同》生效后 </w:t>
      </w:r>
      <w:r>
        <w:rPr/>
        <w:t>2</w:t>
      </w:r>
      <w:r>
        <w:rPr>
          <w:spacing w:val="-11"/>
        </w:rPr>
        <w:t> 个工作日内，基</w:t>
      </w:r>
      <w:r>
        <w:rPr/>
        <w:t>金管理人和基金托管人应相互提供与本机构有控股关系的股东或者与本机构有其他重大利害关系的公司名单，以上名单发生变化的，应及时予以更新并通知对方。</w:t>
      </w:r>
    </w:p>
    <w:p>
      <w:pPr>
        <w:pStyle w:val="BodyText"/>
        <w:spacing w:line="364" w:lineRule="auto"/>
        <w:ind w:left="400" w:right="446" w:firstLine="420"/>
        <w:jc w:val="both"/>
      </w:pPr>
      <w:r>
        <w:rPr/>
        <w:t>基金托管人发现基金管理人有以上投资禁止行为的，应及时以书面形式通知基金管理</w:t>
      </w:r>
      <w:r>
        <w:rPr>
          <w:spacing w:val="-13"/>
        </w:rPr>
        <w:t>人在 </w:t>
      </w:r>
      <w:r>
        <w:rPr/>
        <w:t>10</w:t>
      </w:r>
      <w:r>
        <w:rPr>
          <w:spacing w:val="-7"/>
        </w:rPr>
        <w:t> 个交易日内纠正。基金管理人对基金托管人通知的违规事项未能在 </w:t>
      </w:r>
      <w:r>
        <w:rPr/>
        <w:t>10</w:t>
      </w:r>
      <w:r>
        <w:rPr>
          <w:spacing w:val="-7"/>
        </w:rPr>
        <w:t> 个交易日内纠正的，基金托管人应报告中国证监会。基金托管人发现基金管理人有重大违规行为，应</w:t>
      </w:r>
    </w:p>
    <w:p>
      <w:pPr>
        <w:spacing w:after="0" w:line="364" w:lineRule="auto"/>
        <w:jc w:val="both"/>
        <w:sectPr>
          <w:pgSz w:w="11910" w:h="16840"/>
          <w:pgMar w:header="0" w:footer="910" w:top="1380" w:bottom="1180" w:left="1400" w:right="1380"/>
        </w:sectPr>
      </w:pPr>
    </w:p>
    <w:p>
      <w:pPr>
        <w:pStyle w:val="BodyText"/>
        <w:spacing w:before="45"/>
        <w:ind w:left="400"/>
      </w:pPr>
      <w:r>
        <w:rPr/>
        <w:t>立即报告中国证监会，同时通知基金管理人在 10 个交易日内纠正。</w:t>
      </w:r>
    </w:p>
    <w:p>
      <w:pPr>
        <w:pStyle w:val="BodyText"/>
        <w:spacing w:line="364" w:lineRule="auto" w:before="139"/>
        <w:ind w:left="400" w:right="418" w:firstLine="420"/>
      </w:pPr>
      <w:r>
        <w:rPr/>
        <w:t>4、基金托管人根据有关法律法规的规定及基金合同的约定，对基金管理人参与银行间债券市场进行监督。</w:t>
      </w:r>
    </w:p>
    <w:p>
      <w:pPr>
        <w:pStyle w:val="ListParagraph"/>
        <w:numPr>
          <w:ilvl w:val="0"/>
          <w:numId w:val="64"/>
        </w:numPr>
        <w:tabs>
          <w:tab w:pos="1346" w:val="left" w:leader="none"/>
        </w:tabs>
        <w:spacing w:line="364" w:lineRule="auto" w:before="0" w:after="0"/>
        <w:ind w:left="400" w:right="446" w:firstLine="420"/>
        <w:jc w:val="left"/>
        <w:rPr>
          <w:sz w:val="21"/>
        </w:rPr>
      </w:pPr>
      <w:r>
        <w:rPr>
          <w:spacing w:val="-3"/>
          <w:sz w:val="21"/>
        </w:rPr>
        <w:t>基金托管人依据有关法律法规的规定和《基金合同》的约定对于基金管理人参与</w:t>
      </w:r>
      <w:r>
        <w:rPr>
          <w:sz w:val="21"/>
        </w:rPr>
        <w:t>银行间市场交易时面临的交易对手资信风险进行监督。</w:t>
      </w:r>
    </w:p>
    <w:p>
      <w:pPr>
        <w:pStyle w:val="BodyText"/>
        <w:spacing w:line="364" w:lineRule="auto"/>
        <w:ind w:left="400" w:right="236" w:firstLine="420"/>
      </w:pPr>
      <w:r>
        <w:rPr/>
        <w:t>基金管理人向基金托管人提供符合法律法规及行业标准的银行间市场交易对手的名单。基金管理人应定期或不定期对银行间市场现券及回购交易对手的名单进行更新。基金托管 人在收到名单后电话或书面回函确认，新名单自基金托管人确认当日生效。新名单生效前 已与本次剔除的交易对手所进行但尚未结算的交易，仍应按照协议进行结算。</w:t>
      </w:r>
    </w:p>
    <w:p>
      <w:pPr>
        <w:pStyle w:val="ListParagraph"/>
        <w:numPr>
          <w:ilvl w:val="0"/>
          <w:numId w:val="64"/>
        </w:numPr>
        <w:tabs>
          <w:tab w:pos="1346" w:val="left" w:leader="none"/>
        </w:tabs>
        <w:spacing w:line="364" w:lineRule="auto" w:before="0" w:after="0"/>
        <w:ind w:left="400" w:right="446" w:firstLine="420"/>
        <w:jc w:val="left"/>
        <w:rPr>
          <w:sz w:val="21"/>
        </w:rPr>
      </w:pPr>
      <w:r>
        <w:rPr>
          <w:spacing w:val="-3"/>
          <w:sz w:val="21"/>
        </w:rPr>
        <w:t>基金管理人参与银行间市场交易时，有责任控制交易对手的资信风险，由于交易</w:t>
      </w:r>
      <w:r>
        <w:rPr>
          <w:sz w:val="21"/>
        </w:rPr>
        <w:t>对手资信风险引起的损失,基金管理人应当负责向相关责任人追偿。</w:t>
      </w:r>
    </w:p>
    <w:p>
      <w:pPr>
        <w:pStyle w:val="BodyText"/>
        <w:spacing w:line="364" w:lineRule="auto"/>
        <w:ind w:left="400" w:right="418" w:firstLine="420"/>
      </w:pPr>
      <w:r>
        <w:rPr/>
        <w:t>5、基金托管人根据有关法律法规的规定及《基金合同》的约定，对基金管理人选择存款银行进行监督。</w:t>
      </w:r>
    </w:p>
    <w:p>
      <w:pPr>
        <w:pStyle w:val="BodyText"/>
        <w:spacing w:line="364" w:lineRule="auto"/>
        <w:ind w:left="400" w:right="236" w:firstLine="420"/>
      </w:pPr>
      <w:r>
        <w:rPr/>
        <w:t>基金投资银行定期存款的，基金管理人应根据法律法规的规定及《基金合同》的约定， 确定符合条件的存款银行的名单，并及时提供给基金托管人，基金托管人应据以对基金投 资银行存款的交易对手是否符合有关规定进行监督。</w:t>
      </w:r>
    </w:p>
    <w:p>
      <w:pPr>
        <w:pStyle w:val="BodyText"/>
        <w:spacing w:line="268" w:lineRule="exact"/>
      </w:pPr>
      <w:r>
        <w:rPr/>
        <w:t>本基金投资银行存款应符合如下规定：</w:t>
      </w:r>
    </w:p>
    <w:p>
      <w:pPr>
        <w:pStyle w:val="ListParagraph"/>
        <w:numPr>
          <w:ilvl w:val="0"/>
          <w:numId w:val="65"/>
        </w:numPr>
        <w:tabs>
          <w:tab w:pos="1346" w:val="left" w:leader="none"/>
        </w:tabs>
        <w:spacing w:line="364" w:lineRule="auto" w:before="134" w:after="0"/>
        <w:ind w:left="400" w:right="446" w:firstLine="420"/>
        <w:jc w:val="left"/>
        <w:rPr>
          <w:sz w:val="21"/>
        </w:rPr>
      </w:pPr>
      <w:r>
        <w:rPr>
          <w:spacing w:val="-3"/>
          <w:sz w:val="21"/>
        </w:rPr>
        <w:t>基金管理人、基金托管人应当与存款银行建立定期对账机制，确保基金银行存款</w:t>
      </w:r>
      <w:r>
        <w:rPr>
          <w:sz w:val="21"/>
        </w:rPr>
        <w:t>业务账目及核算的真实、准确。</w:t>
      </w:r>
    </w:p>
    <w:p>
      <w:pPr>
        <w:pStyle w:val="ListParagraph"/>
        <w:numPr>
          <w:ilvl w:val="0"/>
          <w:numId w:val="65"/>
        </w:numPr>
        <w:tabs>
          <w:tab w:pos="1346" w:val="left" w:leader="none"/>
        </w:tabs>
        <w:spacing w:line="364" w:lineRule="auto" w:before="0" w:after="0"/>
        <w:ind w:left="400" w:right="446" w:firstLine="420"/>
        <w:jc w:val="both"/>
        <w:rPr>
          <w:sz w:val="21"/>
        </w:rPr>
      </w:pPr>
      <w:r>
        <w:rPr>
          <w:spacing w:val="-2"/>
          <w:sz w:val="21"/>
        </w:rPr>
        <w:t>基金管理人与基金托管人应根据相关规定，就本基金银行存款业务另行签订书面</w:t>
      </w:r>
      <w:r>
        <w:rPr>
          <w:sz w:val="21"/>
        </w:rPr>
        <w:t>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pStyle w:val="ListParagraph"/>
        <w:numPr>
          <w:ilvl w:val="0"/>
          <w:numId w:val="65"/>
        </w:numPr>
        <w:tabs>
          <w:tab w:pos="1346" w:val="left" w:leader="none"/>
        </w:tabs>
        <w:spacing w:line="364" w:lineRule="auto" w:before="0" w:after="0"/>
        <w:ind w:left="400" w:right="341" w:firstLine="420"/>
        <w:jc w:val="left"/>
        <w:rPr>
          <w:sz w:val="21"/>
        </w:rPr>
      </w:pPr>
      <w:r>
        <w:rPr>
          <w:spacing w:val="-4"/>
          <w:sz w:val="21"/>
        </w:rPr>
        <w:t>基金托管人应加强对基金银行存款业务的监督与核查，严格审查、复核相关协议、账户资料、投资指令、存款证实书等有关文件，切实履行托管职责。</w:t>
      </w:r>
    </w:p>
    <w:p>
      <w:pPr>
        <w:pStyle w:val="ListParagraph"/>
        <w:numPr>
          <w:ilvl w:val="0"/>
          <w:numId w:val="65"/>
        </w:numPr>
        <w:tabs>
          <w:tab w:pos="1346" w:val="left" w:leader="none"/>
        </w:tabs>
        <w:spacing w:line="364" w:lineRule="auto" w:before="0" w:after="0"/>
        <w:ind w:left="400" w:right="446" w:firstLine="420"/>
        <w:jc w:val="left"/>
        <w:rPr>
          <w:sz w:val="21"/>
        </w:rPr>
      </w:pPr>
      <w:r>
        <w:rPr>
          <w:spacing w:val="-10"/>
          <w:sz w:val="21"/>
        </w:rPr>
        <w:t>基金管理人与基金托管人在开展基金存款业务时，应严格遵守《基金法》、《运作</w:t>
      </w:r>
      <w:r>
        <w:rPr>
          <w:sz w:val="21"/>
        </w:rPr>
        <w:t>办法》等有关法律法规，以及国家有关账户管理、利率管理、支付结算等的各项规定。</w:t>
      </w:r>
    </w:p>
    <w:p>
      <w:pPr>
        <w:pStyle w:val="BodyText"/>
        <w:spacing w:line="364" w:lineRule="auto"/>
        <w:ind w:left="400" w:right="446" w:firstLine="420"/>
        <w:jc w:val="both"/>
      </w:pPr>
      <w:r>
        <w:rPr/>
        <w:t>基金托管人发现基金管理人在选择存款银行时有违反有关法律法规的规定及基金合同</w:t>
      </w:r>
      <w:r>
        <w:rPr>
          <w:spacing w:val="-5"/>
        </w:rPr>
        <w:t>的约定的行为，应及时以书面形式通知基金管理人在 </w:t>
      </w:r>
      <w:r>
        <w:rPr/>
        <w:t>10</w:t>
      </w:r>
      <w:r>
        <w:rPr>
          <w:spacing w:val="-10"/>
        </w:rPr>
        <w:t> 个工作日内纠正。基金管理人对基</w:t>
      </w:r>
      <w:r>
        <w:rPr>
          <w:spacing w:val="-4"/>
        </w:rPr>
        <w:t>金托管人通知的违规事项未能在 </w:t>
      </w:r>
      <w:r>
        <w:rPr/>
        <w:t>10</w:t>
      </w:r>
      <w:r>
        <w:rPr>
          <w:spacing w:val="-10"/>
        </w:rPr>
        <w:t> 个工作日内纠正的，基金托管人应报告中国证监会。基</w:t>
      </w:r>
      <w:r>
        <w:rPr/>
        <w:t>金托管人发现基金管理人有重大违规行为，应立即报告中国证监会，同时通知基金管理人</w:t>
      </w:r>
      <w:r>
        <w:rPr>
          <w:spacing w:val="-27"/>
        </w:rPr>
        <w:t>在 </w:t>
      </w:r>
      <w:r>
        <w:rPr/>
        <w:t>10</w:t>
      </w:r>
      <w:r>
        <w:rPr>
          <w:spacing w:val="-8"/>
        </w:rPr>
        <w:t> 个工作日内纠正或拒绝结算。</w:t>
      </w:r>
    </w:p>
    <w:p>
      <w:pPr>
        <w:pStyle w:val="BodyText"/>
        <w:spacing w:line="364" w:lineRule="auto"/>
        <w:ind w:left="400" w:right="418" w:firstLine="420"/>
      </w:pPr>
      <w:r>
        <w:rPr/>
        <w:t>1、基金托管人根据法律法规的规定及《基金合同》的约定，对基金投资其他方面进行监督。</w:t>
      </w:r>
    </w:p>
    <w:p>
      <w:pPr>
        <w:spacing w:after="0" w:line="364" w:lineRule="auto"/>
        <w:sectPr>
          <w:pgSz w:w="11910" w:h="16840"/>
          <w:pgMar w:header="0" w:footer="910" w:top="1380" w:bottom="1180" w:left="1400" w:right="1380"/>
        </w:sectPr>
      </w:pPr>
    </w:p>
    <w:p>
      <w:pPr>
        <w:pStyle w:val="BodyText"/>
        <w:spacing w:line="364" w:lineRule="auto" w:before="45"/>
        <w:ind w:left="400" w:right="418" w:firstLine="420"/>
        <w:jc w:val="both"/>
      </w:pPr>
      <w:r>
        <w:rPr/>
        <w:t>2、基金托管人应根据有关法律法规的规定及《基金合同》的约定，对基金资产净值计</w:t>
      </w:r>
      <w:r>
        <w:rPr>
          <w:spacing w:val="-11"/>
        </w:rPr>
        <w:t>算、基金份额净值计算、应收资金到账、基金费用开支及收入确认、基金收益分配、相关信</w:t>
      </w:r>
      <w:r>
        <w:rPr/>
        <w:t>息披露、基金宣传推介材料中登载基金业绩表现数据等行为进行监督和核查。</w:t>
      </w:r>
    </w:p>
    <w:p>
      <w:pPr>
        <w:pStyle w:val="BodyText"/>
        <w:spacing w:line="364" w:lineRule="auto"/>
        <w:ind w:left="400" w:right="208" w:firstLine="420"/>
      </w:pPr>
      <w:r>
        <w:rPr/>
        <w:t>3、基金管理人应积极配合和协助基金托管人的监督和核查，在规定时间内答复并改正， </w:t>
      </w:r>
      <w:r>
        <w:rPr>
          <w:spacing w:val="-6"/>
        </w:rPr>
        <w:t>就基金托管人的疑义进行解释或说明。对基金托管人按照法律法规要求需向中国证监会报送 基金监督报告的，基金管理人应积极配合提供相关数据资料和制度等。</w:t>
      </w:r>
    </w:p>
    <w:p>
      <w:pPr>
        <w:pStyle w:val="BodyText"/>
        <w:spacing w:line="364" w:lineRule="auto"/>
        <w:ind w:left="400" w:right="446" w:firstLine="420"/>
        <w:jc w:val="both"/>
      </w:pPr>
      <w:r>
        <w:rPr/>
        <w:t>基金托管人发现基金管理人的投资指令或实际投资运作违反《基金法》及其他有关法</w:t>
      </w:r>
      <w:r>
        <w:rPr>
          <w:spacing w:val="-12"/>
        </w:rPr>
        <w:t>律法规、《基金合同》和本协议规定的行为，应及时以书面形式通知基金管理人在 </w:t>
      </w:r>
      <w:r>
        <w:rPr/>
        <w:t>10</w:t>
      </w:r>
      <w:r>
        <w:rPr>
          <w:spacing w:val="-8"/>
        </w:rPr>
        <w:t> 个交易日内纠正，并通知基金管理人收到通知后应及时核对，并以电话或书面形式向基金托管人反馈，说明违规原因及纠正期限，并保证在规定期限内及时改正。在 </w:t>
      </w:r>
      <w:r>
        <w:rPr/>
        <w:t>10</w:t>
      </w:r>
      <w:r>
        <w:rPr>
          <w:spacing w:val="-11"/>
        </w:rPr>
        <w:t> 个交易日内，基</w:t>
      </w:r>
      <w:r>
        <w:rPr/>
        <w:t>金托管人有权随时对通知事项进行复查，督促基金管理人改正。基金管理人对基金托管人</w:t>
      </w:r>
      <w:r>
        <w:rPr>
          <w:spacing w:val="-5"/>
        </w:rPr>
        <w:t>通知的违规事项未能在 </w:t>
      </w:r>
      <w:r>
        <w:rPr/>
        <w:t>10</w:t>
      </w:r>
      <w:r>
        <w:rPr>
          <w:spacing w:val="-8"/>
        </w:rPr>
        <w:t> 个交易日内纠正的，基金托管人有权报告中国证监会。</w:t>
      </w:r>
    </w:p>
    <w:p>
      <w:pPr>
        <w:pStyle w:val="BodyText"/>
        <w:spacing w:line="364" w:lineRule="auto"/>
        <w:ind w:left="400" w:right="446" w:firstLine="420"/>
        <w:jc w:val="both"/>
      </w:pPr>
      <w:r>
        <w:rPr/>
        <w:t>基金托管人发现基金管理人有重大违规行为，应立即报告中国证监会，同时通知基金管理人在 10 个交易日内纠正。</w:t>
      </w:r>
    </w:p>
    <w:p>
      <w:pPr>
        <w:pStyle w:val="BodyText"/>
        <w:spacing w:line="364" w:lineRule="auto"/>
        <w:ind w:left="400" w:right="446" w:firstLine="420"/>
      </w:pPr>
      <w:r>
        <w:rPr>
          <w:spacing w:val="-7"/>
        </w:rPr>
        <w:t>基金托管人发现基金管理人的指令违反法律、行政法规和其他有关规定，或者违反《基</w:t>
      </w:r>
      <w:r>
        <w:rPr/>
        <w:t>金合同》约定的，应当拒绝执行，立即通知基金管理人，并及时向中国证监会报告。</w:t>
      </w:r>
    </w:p>
    <w:p>
      <w:pPr>
        <w:pStyle w:val="BodyText"/>
        <w:spacing w:line="364" w:lineRule="auto"/>
        <w:ind w:left="400" w:right="446" w:firstLine="420"/>
        <w:jc w:val="both"/>
      </w:pPr>
      <w:r>
        <w:rPr/>
        <w:t>基金托管人发现基金管理人依据交易程序已经生效的指令违反法律、行政法规和其他有关规定，或者违反《基金合同》约定的，应当立即通知基金管理人，并及时向中国证监会报告。</w:t>
      </w:r>
    </w:p>
    <w:p>
      <w:pPr>
        <w:pStyle w:val="Heading2"/>
        <w:spacing w:line="422" w:lineRule="exact"/>
      </w:pPr>
      <w:bookmarkStart w:name="_bookmark117" w:id="118"/>
      <w:bookmarkEnd w:id="118"/>
      <w:r>
        <w:rPr>
          <w:b w:val="0"/>
        </w:rPr>
      </w:r>
      <w:r>
        <w:rPr/>
        <w:t>（三）基金管理人对基金托管人的业务核查</w:t>
      </w:r>
    </w:p>
    <w:p>
      <w:pPr>
        <w:pStyle w:val="BodyText"/>
        <w:spacing w:line="364" w:lineRule="auto" w:before="113"/>
        <w:ind w:left="400" w:right="417" w:firstLine="420"/>
        <w:jc w:val="both"/>
      </w:pPr>
      <w:r>
        <w:rPr>
          <w:spacing w:val="-7"/>
        </w:rPr>
        <w:t>根据《基金法》及其他有关法律法规、《基金合同》和本协议规定，基金管理人对基金</w:t>
      </w:r>
      <w:r>
        <w:rPr>
          <w:spacing w:val="-14"/>
        </w:rPr>
        <w:t>托管人履行托管职责的情况进行核查，核查事项包括但不限于基金托管人是否安全保管基金</w:t>
      </w:r>
      <w:r>
        <w:rPr/>
        <w:t>财产、开立基金财产的资金账户/证券账户和债券托管账户，是否及时、准确复核基金管理</w:t>
      </w:r>
      <w:r>
        <w:rPr>
          <w:spacing w:val="-6"/>
        </w:rPr>
        <w:t>人计算的基金资产净值和基金份额净值，是否根据基金管理人指令办理清算交收，如遇到问</w:t>
      </w:r>
      <w:r>
        <w:rPr>
          <w:spacing w:val="-9"/>
        </w:rPr>
        <w:t>题是否及时反馈，是否按照法律法规规定和《基金合同》规定进行相关信息披露和监督基金</w:t>
      </w:r>
      <w:r>
        <w:rPr/>
        <w:t>投资运作等行为，是否对非公开信息保密。</w:t>
      </w:r>
    </w:p>
    <w:p>
      <w:pPr>
        <w:pStyle w:val="BodyText"/>
        <w:spacing w:line="364" w:lineRule="auto"/>
        <w:ind w:left="400" w:right="418" w:firstLine="420"/>
        <w:jc w:val="both"/>
      </w:pPr>
      <w:r>
        <w:rPr>
          <w:spacing w:val="-5"/>
        </w:rPr>
        <w:t>基金管理人定期或不定期地对基金托管人保管的基金资产进行核查。基金托管人应积极</w:t>
      </w:r>
      <w:r>
        <w:rPr>
          <w:spacing w:val="-7"/>
        </w:rPr>
        <w:t>配合基金管理人的核查行为，包括但不限于：提交相关资料以供基金管理人核查托管财产的</w:t>
      </w:r>
      <w:r>
        <w:rPr/>
        <w:t>完整性和真实性，在规定时间内答复并改正。</w:t>
      </w:r>
    </w:p>
    <w:p>
      <w:pPr>
        <w:pStyle w:val="BodyText"/>
        <w:spacing w:line="364" w:lineRule="auto"/>
        <w:ind w:left="400" w:right="208" w:firstLine="420"/>
      </w:pPr>
      <w:r>
        <w:rPr>
          <w:spacing w:val="-4"/>
        </w:rPr>
        <w:t>基金管理人发现基金托管人未对基金财产实行分账管理、擅自挪用基金财产、未执行或 </w:t>
      </w:r>
      <w:r>
        <w:rPr>
          <w:spacing w:val="-13"/>
        </w:rPr>
        <w:t>无故延迟执行基金管理人资金划拨指令、泄露基金投资信息等违反《基金法》、《基金合同》、</w:t>
      </w:r>
      <w:r>
        <w:rPr>
          <w:spacing w:val="-15"/>
        </w:rPr>
        <w:t>本协议及其他有关规定的，应及时以书面形式通知基金托管人在 </w:t>
      </w:r>
      <w:r>
        <w:rPr/>
        <w:t>10</w:t>
      </w:r>
      <w:r>
        <w:rPr>
          <w:spacing w:val="-8"/>
        </w:rPr>
        <w:t> 个工作日内纠正，基金</w:t>
      </w:r>
    </w:p>
    <w:p>
      <w:pPr>
        <w:pStyle w:val="BodyText"/>
        <w:spacing w:line="364" w:lineRule="auto"/>
        <w:ind w:left="400" w:right="418"/>
      </w:pPr>
      <w:r>
        <w:rPr>
          <w:spacing w:val="-2"/>
        </w:rPr>
        <w:t>托管人收到通知后应及时核对并以书面形式对基金管理人发出回函。在 </w:t>
      </w:r>
      <w:r>
        <w:rPr/>
        <w:t>10</w:t>
      </w:r>
      <w:r>
        <w:rPr>
          <w:spacing w:val="-8"/>
        </w:rPr>
        <w:t> 个工作日内，基</w:t>
      </w:r>
      <w:r>
        <w:rPr>
          <w:spacing w:val="-14"/>
        </w:rPr>
        <w:t>金管理人有权随时对通知事项进行复查，督促基金托管人改正。基金托管人对基金管理人通</w:t>
      </w:r>
    </w:p>
    <w:p>
      <w:pPr>
        <w:spacing w:after="0" w:line="364" w:lineRule="auto"/>
        <w:sectPr>
          <w:pgSz w:w="11910" w:h="16840"/>
          <w:pgMar w:header="0" w:footer="910" w:top="1380" w:bottom="1180" w:left="1400" w:right="1380"/>
        </w:sectPr>
      </w:pPr>
    </w:p>
    <w:p>
      <w:pPr>
        <w:pStyle w:val="BodyText"/>
        <w:spacing w:line="364" w:lineRule="auto" w:before="45"/>
        <w:ind w:left="400" w:right="418"/>
        <w:jc w:val="both"/>
      </w:pPr>
      <w:r>
        <w:rPr>
          <w:spacing w:val="-6"/>
        </w:rPr>
        <w:t>知的违规事项未能在 </w:t>
      </w:r>
      <w:r>
        <w:rPr/>
        <w:t>10</w:t>
      </w:r>
      <w:r>
        <w:rPr>
          <w:spacing w:val="-8"/>
        </w:rPr>
        <w:t> 个工作日内纠正的，基金管理人应报告中国证监会。对基金管理人</w:t>
      </w:r>
      <w:r>
        <w:rPr>
          <w:spacing w:val="-13"/>
        </w:rPr>
        <w:t>按照法律法规要求需向中国证监会报送基金监督报告的，基金托管人应积极配合提供相关数</w:t>
      </w:r>
      <w:r>
        <w:rPr/>
        <w:t>据资料和制度等。</w:t>
      </w:r>
    </w:p>
    <w:p>
      <w:pPr>
        <w:pStyle w:val="BodyText"/>
        <w:spacing w:line="364" w:lineRule="auto"/>
        <w:ind w:left="400" w:right="418" w:firstLine="420"/>
        <w:jc w:val="both"/>
      </w:pPr>
      <w:r>
        <w:rPr>
          <w:spacing w:val="-6"/>
        </w:rPr>
        <w:t>基金管理人发现基金托管人有重大违规行为，应立即报告中国证监会，同时通知基金托</w:t>
      </w:r>
      <w:r>
        <w:rPr>
          <w:spacing w:val="-14"/>
        </w:rPr>
        <w:t>管人在 </w:t>
      </w:r>
      <w:r>
        <w:rPr/>
        <w:t>10</w:t>
      </w:r>
      <w:r>
        <w:rPr>
          <w:spacing w:val="-8"/>
        </w:rPr>
        <w:t> 个工作日内纠正。</w:t>
      </w:r>
    </w:p>
    <w:p>
      <w:pPr>
        <w:pStyle w:val="Heading2"/>
        <w:spacing w:line="423" w:lineRule="exact"/>
      </w:pPr>
      <w:bookmarkStart w:name="_bookmark118" w:id="119"/>
      <w:bookmarkEnd w:id="119"/>
      <w:r>
        <w:rPr>
          <w:b w:val="0"/>
        </w:rPr>
      </w:r>
      <w:r>
        <w:rPr/>
        <w:t>（四）基金财产保管</w:t>
      </w:r>
    </w:p>
    <w:p>
      <w:pPr>
        <w:pStyle w:val="BodyText"/>
        <w:spacing w:before="120"/>
      </w:pPr>
      <w:r>
        <w:rPr/>
        <w:t>1、基金财产保管的原则</w:t>
      </w:r>
    </w:p>
    <w:p>
      <w:pPr>
        <w:pStyle w:val="ListParagraph"/>
        <w:numPr>
          <w:ilvl w:val="0"/>
          <w:numId w:val="66"/>
        </w:numPr>
        <w:tabs>
          <w:tab w:pos="1346" w:val="left" w:leader="none"/>
        </w:tabs>
        <w:spacing w:line="240" w:lineRule="auto" w:before="139" w:after="0"/>
        <w:ind w:left="1346" w:right="0" w:hanging="526"/>
        <w:jc w:val="left"/>
        <w:rPr>
          <w:sz w:val="21"/>
        </w:rPr>
      </w:pPr>
      <w:r>
        <w:rPr>
          <w:sz w:val="21"/>
        </w:rPr>
        <w:t>基金托管人应安全保管基金财产。</w:t>
      </w:r>
    </w:p>
    <w:p>
      <w:pPr>
        <w:pStyle w:val="ListParagraph"/>
        <w:numPr>
          <w:ilvl w:val="0"/>
          <w:numId w:val="66"/>
        </w:numPr>
        <w:tabs>
          <w:tab w:pos="1346" w:val="left" w:leader="none"/>
        </w:tabs>
        <w:spacing w:line="240" w:lineRule="auto" w:before="140" w:after="0"/>
        <w:ind w:left="1346" w:right="0" w:hanging="526"/>
        <w:jc w:val="left"/>
        <w:rPr>
          <w:sz w:val="21"/>
        </w:rPr>
      </w:pPr>
      <w:r>
        <w:rPr>
          <w:sz w:val="21"/>
        </w:rPr>
        <w:t>基金财产应独立于基金管理人、基金托管人的固有财产。</w:t>
      </w:r>
    </w:p>
    <w:p>
      <w:pPr>
        <w:pStyle w:val="ListParagraph"/>
        <w:numPr>
          <w:ilvl w:val="0"/>
          <w:numId w:val="66"/>
        </w:numPr>
        <w:tabs>
          <w:tab w:pos="1346" w:val="left" w:leader="none"/>
        </w:tabs>
        <w:spacing w:line="240" w:lineRule="auto" w:before="139" w:after="0"/>
        <w:ind w:left="1346" w:right="0" w:hanging="526"/>
        <w:jc w:val="left"/>
        <w:rPr>
          <w:sz w:val="21"/>
        </w:rPr>
      </w:pPr>
      <w:r>
        <w:rPr>
          <w:sz w:val="21"/>
        </w:rPr>
        <w:t>基金托管人按照规定开立基金财产的资金账户、证券账户和债券托管账户。</w:t>
      </w:r>
    </w:p>
    <w:p>
      <w:pPr>
        <w:pStyle w:val="ListParagraph"/>
        <w:numPr>
          <w:ilvl w:val="0"/>
          <w:numId w:val="66"/>
        </w:numPr>
        <w:tabs>
          <w:tab w:pos="1346" w:val="left" w:leader="none"/>
        </w:tabs>
        <w:spacing w:line="364" w:lineRule="auto" w:before="139" w:after="0"/>
        <w:ind w:left="820" w:right="313" w:firstLine="0"/>
        <w:jc w:val="left"/>
        <w:rPr>
          <w:sz w:val="21"/>
        </w:rPr>
      </w:pPr>
      <w:r>
        <w:rPr>
          <w:spacing w:val="-3"/>
          <w:sz w:val="21"/>
        </w:rPr>
        <w:t>基金托管人对所托管的不同基金财产分别设置账户，确保基金财产的完整和独立</w:t>
      </w:r>
      <w:r>
        <w:rPr>
          <w:spacing w:val="-10"/>
          <w:sz w:val="21"/>
        </w:rPr>
        <w:t>。基金托管人应安全、完整地保管基金财产；未经基金管理人的指令，不得自行运用、处</w:t>
      </w:r>
    </w:p>
    <w:p>
      <w:pPr>
        <w:pStyle w:val="BodyText"/>
        <w:spacing w:line="268" w:lineRule="exact"/>
        <w:ind w:left="400"/>
      </w:pPr>
      <w:r>
        <w:rPr/>
        <w:t>分、分配基金的任何资产。</w:t>
      </w:r>
    </w:p>
    <w:p>
      <w:pPr>
        <w:pStyle w:val="BodyText"/>
        <w:spacing w:line="364" w:lineRule="auto" w:before="140"/>
        <w:ind w:left="400" w:right="417" w:firstLine="420"/>
        <w:jc w:val="both"/>
      </w:pPr>
      <w:r>
        <w:rPr>
          <w:spacing w:val="-5"/>
        </w:rPr>
        <w:t>对于因为基金投资产生的应收资产和基金申购过程中产生的应收资产，应由基金管理人</w:t>
      </w:r>
      <w:r>
        <w:rPr>
          <w:spacing w:val="-6"/>
        </w:rPr>
        <w:t>负责与有关当事人确定到账日期并通知基金托管人，到账日基金财产没有到达基金托管人处</w:t>
      </w:r>
      <w:r>
        <w:rPr>
          <w:spacing w:val="-9"/>
        </w:rPr>
        <w:t>的，基金托管人应及时通知基金管理人采取措施进行催收。由此给基金造成损失的，基金管</w:t>
      </w:r>
      <w:r>
        <w:rPr>
          <w:spacing w:val="-6"/>
        </w:rPr>
        <w:t>理人应负责向有关当事人追偿基金的损失。基金托管人对此不承担任何责任。基金托管人对</w:t>
      </w:r>
      <w:r>
        <w:rPr/>
        <w:t>由基金托管人以外机构实际有效控制的资产不承担保管责任。</w:t>
      </w:r>
    </w:p>
    <w:p>
      <w:pPr>
        <w:pStyle w:val="BodyText"/>
        <w:spacing w:line="267" w:lineRule="exact"/>
      </w:pPr>
      <w:r>
        <w:rPr/>
        <w:t>2、集中申购资金的验证</w:t>
      </w:r>
    </w:p>
    <w:p>
      <w:pPr>
        <w:pStyle w:val="BodyText"/>
        <w:spacing w:line="364" w:lineRule="auto" w:before="139"/>
        <w:ind w:left="400" w:right="208" w:firstLine="420"/>
      </w:pPr>
      <w:r>
        <w:rPr>
          <w:spacing w:val="-4"/>
        </w:rPr>
        <w:t>集中申购期内销售机构按销售与服务代理协议的约定，将集中申购资金划入基金管理人 </w:t>
      </w:r>
      <w:r>
        <w:rPr>
          <w:spacing w:val="-8"/>
        </w:rPr>
        <w:t>在具有托管资格的商业银行开设的基金集中申购专户。该账户由基金管理人开立并管理。基 </w:t>
      </w:r>
      <w:r>
        <w:rPr>
          <w:spacing w:val="-6"/>
        </w:rPr>
        <w:t>金集中申购期满，由基金管理人聘请具有从事证券相关业务资格的会计师事务所进行验资， </w:t>
      </w:r>
      <w:r>
        <w:rPr>
          <w:spacing w:val="-10"/>
        </w:rPr>
        <w:t>出具验资报告，出具的验资报告应由参加验资的 </w:t>
      </w:r>
      <w:r>
        <w:rPr/>
        <w:t>2</w:t>
      </w:r>
      <w:r>
        <w:rPr>
          <w:spacing w:val="-21"/>
        </w:rPr>
        <w:t> 名以上</w:t>
      </w:r>
      <w:r>
        <w:rPr/>
        <w:t>（</w:t>
      </w:r>
      <w:r>
        <w:rPr>
          <w:spacing w:val="-26"/>
        </w:rPr>
        <w:t>含 </w:t>
      </w:r>
      <w:r>
        <w:rPr/>
        <w:t>2</w:t>
      </w:r>
      <w:r>
        <w:rPr>
          <w:spacing w:val="-25"/>
        </w:rPr>
        <w:t> 名</w:t>
      </w:r>
      <w:r>
        <w:rPr>
          <w:spacing w:val="-32"/>
        </w:rPr>
        <w:t>）</w:t>
      </w:r>
      <w:r>
        <w:rPr/>
        <w:t>中国注册会计师签字有效</w:t>
      </w:r>
      <w:r>
        <w:rPr>
          <w:spacing w:val="-11"/>
        </w:rPr>
        <w:t>。验资完成，基金管理人应将集中申购的属于本基金财产的全部资金存入基金托管人为基 金开立的资产托管专户中，基金托管人在收到资金当日出具相关证明文件。</w:t>
      </w:r>
    </w:p>
    <w:p>
      <w:pPr>
        <w:pStyle w:val="BodyText"/>
        <w:spacing w:line="266" w:lineRule="exact"/>
      </w:pPr>
      <w:r>
        <w:rPr/>
        <w:t>3、基金的银行存款账户的开立和管理</w:t>
      </w:r>
    </w:p>
    <w:p>
      <w:pPr>
        <w:pStyle w:val="ListParagraph"/>
        <w:numPr>
          <w:ilvl w:val="0"/>
          <w:numId w:val="67"/>
        </w:numPr>
        <w:tabs>
          <w:tab w:pos="1346" w:val="left" w:leader="none"/>
        </w:tabs>
        <w:spacing w:line="240" w:lineRule="auto" w:before="140" w:after="0"/>
        <w:ind w:left="1346" w:right="0" w:hanging="526"/>
        <w:jc w:val="left"/>
        <w:rPr>
          <w:sz w:val="21"/>
        </w:rPr>
      </w:pPr>
      <w:r>
        <w:rPr>
          <w:sz w:val="21"/>
        </w:rPr>
        <w:t>基金托管人应负责本基金银行存款账户的开立和管理。</w:t>
      </w:r>
    </w:p>
    <w:p>
      <w:pPr>
        <w:pStyle w:val="ListParagraph"/>
        <w:numPr>
          <w:ilvl w:val="0"/>
          <w:numId w:val="67"/>
        </w:numPr>
        <w:tabs>
          <w:tab w:pos="1347" w:val="left" w:leader="none"/>
        </w:tabs>
        <w:spacing w:line="364" w:lineRule="auto" w:before="139" w:after="0"/>
        <w:ind w:left="400" w:right="417" w:firstLine="420"/>
        <w:jc w:val="both"/>
        <w:rPr>
          <w:sz w:val="21"/>
        </w:rPr>
      </w:pPr>
      <w:r>
        <w:rPr>
          <w:sz w:val="21"/>
        </w:rPr>
        <w:t>基金托管人以本基金的名义在其营业机构开立基金的银行存款账户，并根据中国</w:t>
      </w:r>
      <w:r>
        <w:rPr>
          <w:spacing w:val="-7"/>
          <w:sz w:val="21"/>
        </w:rPr>
        <w:t>人民银行规定计息。本基金的银行预留印鉴由基金托管人制作、保管和使用。本基金的一切</w:t>
      </w:r>
      <w:r>
        <w:rPr>
          <w:spacing w:val="-9"/>
          <w:sz w:val="21"/>
        </w:rPr>
        <w:t>货币收支活动，包括但不限于投资、支付赎回金额、支付基金收益，均需通过本基金的银行</w:t>
      </w:r>
      <w:r>
        <w:rPr>
          <w:sz w:val="21"/>
        </w:rPr>
        <w:t>存款账户进行。</w:t>
      </w:r>
    </w:p>
    <w:p>
      <w:pPr>
        <w:pStyle w:val="ListParagraph"/>
        <w:numPr>
          <w:ilvl w:val="0"/>
          <w:numId w:val="67"/>
        </w:numPr>
        <w:tabs>
          <w:tab w:pos="1347" w:val="left" w:leader="none"/>
        </w:tabs>
        <w:spacing w:line="364" w:lineRule="auto" w:before="0" w:after="0"/>
        <w:ind w:left="400" w:right="418" w:firstLine="420"/>
        <w:jc w:val="both"/>
        <w:rPr>
          <w:sz w:val="21"/>
        </w:rPr>
      </w:pPr>
      <w:r>
        <w:rPr>
          <w:sz w:val="21"/>
        </w:rPr>
        <w:t>本基金银行存款账户的开立和使用，限于满足开展本基金业务的需要。基金托管</w:t>
      </w:r>
      <w:r>
        <w:rPr>
          <w:spacing w:val="-5"/>
          <w:sz w:val="21"/>
        </w:rPr>
        <w:t>人和基金管理人不得假借基金的名义开立其他任何银行存款账户；亦不得使用基金的任何银</w:t>
      </w:r>
      <w:r>
        <w:rPr>
          <w:sz w:val="21"/>
        </w:rPr>
        <w:t>行存款账户进行基金业务以外的活动。</w:t>
      </w:r>
    </w:p>
    <w:p>
      <w:pPr>
        <w:spacing w:after="0" w:line="364" w:lineRule="auto"/>
        <w:jc w:val="both"/>
        <w:rPr>
          <w:sz w:val="21"/>
        </w:rPr>
        <w:sectPr>
          <w:pgSz w:w="11910" w:h="16840"/>
          <w:pgMar w:header="0" w:footer="910" w:top="1380" w:bottom="1180" w:left="1400" w:right="1380"/>
        </w:sectPr>
      </w:pPr>
    </w:p>
    <w:p>
      <w:pPr>
        <w:pStyle w:val="ListParagraph"/>
        <w:numPr>
          <w:ilvl w:val="0"/>
          <w:numId w:val="67"/>
        </w:numPr>
        <w:tabs>
          <w:tab w:pos="1347" w:val="left" w:leader="none"/>
        </w:tabs>
        <w:spacing w:line="364" w:lineRule="auto" w:before="45" w:after="0"/>
        <w:ind w:left="400" w:right="208" w:firstLine="420"/>
        <w:jc w:val="left"/>
        <w:rPr>
          <w:sz w:val="21"/>
        </w:rPr>
      </w:pPr>
      <w:r>
        <w:rPr>
          <w:sz w:val="21"/>
        </w:rPr>
        <w:t>基金托管人可以通过申请开通本基金银行账户的企业网上银行业务进行资金支付， </w:t>
      </w:r>
      <w:r>
        <w:rPr>
          <w:spacing w:val="-3"/>
          <w:sz w:val="21"/>
        </w:rPr>
        <w:t>并使用交通银行企业网上银行</w:t>
      </w:r>
      <w:r>
        <w:rPr>
          <w:sz w:val="21"/>
        </w:rPr>
        <w:t>（</w:t>
      </w:r>
      <w:r>
        <w:rPr>
          <w:spacing w:val="-13"/>
          <w:sz w:val="21"/>
        </w:rPr>
        <w:t>简称“交通银行网银”</w:t>
      </w:r>
      <w:r>
        <w:rPr>
          <w:spacing w:val="-69"/>
          <w:sz w:val="21"/>
        </w:rPr>
        <w:t>）</w:t>
      </w:r>
      <w:r>
        <w:rPr>
          <w:sz w:val="21"/>
        </w:rPr>
        <w:t>办理托管资产的资金结算汇划业务。</w:t>
      </w:r>
    </w:p>
    <w:p>
      <w:pPr>
        <w:pStyle w:val="ListParagraph"/>
        <w:numPr>
          <w:ilvl w:val="0"/>
          <w:numId w:val="67"/>
        </w:numPr>
        <w:tabs>
          <w:tab w:pos="1347" w:val="left" w:leader="none"/>
        </w:tabs>
        <w:spacing w:line="364" w:lineRule="auto" w:before="0" w:after="0"/>
        <w:ind w:left="400" w:right="418" w:firstLine="420"/>
        <w:jc w:val="both"/>
        <w:rPr>
          <w:sz w:val="21"/>
        </w:rPr>
      </w:pPr>
      <w:r>
        <w:rPr>
          <w:spacing w:val="-9"/>
          <w:sz w:val="21"/>
        </w:rPr>
        <w:t>基金银行存款账户的管理应符合《中华人民共和国票据法》、《人民币银行账户结</w:t>
      </w:r>
      <w:r>
        <w:rPr>
          <w:spacing w:val="-30"/>
          <w:sz w:val="21"/>
        </w:rPr>
        <w:t>算管理办法》、《现金管理条例》、《中国人民银行利率管理的有关规定》、《关于大额现金支</w:t>
      </w:r>
      <w:r>
        <w:rPr>
          <w:spacing w:val="-21"/>
          <w:sz w:val="21"/>
        </w:rPr>
        <w:t>付管理的通知》、《支付结算办法》以及其他有关规定。</w:t>
      </w:r>
    </w:p>
    <w:p>
      <w:pPr>
        <w:pStyle w:val="ListParagraph"/>
        <w:numPr>
          <w:ilvl w:val="0"/>
          <w:numId w:val="67"/>
        </w:numPr>
        <w:tabs>
          <w:tab w:pos="1347" w:val="left" w:leader="none"/>
        </w:tabs>
        <w:spacing w:line="364" w:lineRule="auto" w:before="0" w:after="0"/>
        <w:ind w:left="400" w:right="418" w:firstLine="420"/>
        <w:jc w:val="left"/>
        <w:rPr>
          <w:sz w:val="21"/>
        </w:rPr>
      </w:pPr>
      <w:r>
        <w:rPr>
          <w:sz w:val="21"/>
        </w:rPr>
        <w:t>基金托管人应严格管理基金在基金托管人处开立的银行存款账户、及时核查基金银行存款账户余额。</w:t>
      </w:r>
    </w:p>
    <w:p>
      <w:pPr>
        <w:pStyle w:val="BodyText"/>
        <w:spacing w:line="268" w:lineRule="exact"/>
      </w:pPr>
      <w:r>
        <w:rPr/>
        <w:t>4、基金证券交收账户、资金交收账户的开立和管理</w:t>
      </w:r>
    </w:p>
    <w:p>
      <w:pPr>
        <w:pStyle w:val="BodyText"/>
        <w:spacing w:line="364" w:lineRule="auto" w:before="137"/>
        <w:ind w:left="400" w:right="418" w:firstLine="420"/>
      </w:pPr>
      <w:r>
        <w:rPr/>
        <w:t>基金托管人以基金托管人和本基金联名的方式在中国证券登记结算有限责任公司开立证券账户。</w:t>
      </w:r>
    </w:p>
    <w:p>
      <w:pPr>
        <w:pStyle w:val="BodyText"/>
        <w:spacing w:line="364" w:lineRule="auto"/>
        <w:ind w:left="400" w:right="418"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364" w:lineRule="auto"/>
        <w:ind w:left="400" w:right="418" w:firstLine="420"/>
      </w:pPr>
      <w:r>
        <w:rPr>
          <w:spacing w:val="-7"/>
        </w:rPr>
        <w:t>除届时有效的法律法规允许，基金管理人不得对基金证券交收账户、资金交收账户进行</w:t>
      </w:r>
      <w:r>
        <w:rPr/>
        <w:t>证券的超卖或超买。</w:t>
      </w:r>
    </w:p>
    <w:p>
      <w:pPr>
        <w:pStyle w:val="BodyText"/>
        <w:spacing w:line="364" w:lineRule="auto"/>
        <w:ind w:left="400" w:right="418" w:firstLine="420"/>
        <w:jc w:val="both"/>
      </w:pPr>
      <w:r>
        <w:rPr>
          <w:spacing w:val="2"/>
        </w:rPr>
        <w:t>若中国证监会或其他监管机构在本托管协议订立日之后允许基金从事其他投资品种的</w:t>
      </w:r>
      <w:r>
        <w:rPr>
          <w:spacing w:val="-10"/>
        </w:rPr>
        <w:t>投资业务，涉及相关账户的开立、使用的，若无相关规定，则基金托管人比照并遵守上述关</w:t>
      </w:r>
      <w:r>
        <w:rPr/>
        <w:t>于账户开立、使用的规定。</w:t>
      </w:r>
    </w:p>
    <w:p>
      <w:pPr>
        <w:pStyle w:val="BodyText"/>
        <w:spacing w:line="364" w:lineRule="auto"/>
        <w:ind w:left="400" w:right="418" w:firstLine="420"/>
        <w:jc w:val="both"/>
      </w:pPr>
      <w:r>
        <w:rPr>
          <w:spacing w:val="2"/>
        </w:rPr>
        <w:t>基金托管人以基金托管人的名义在中国证券登记结算有限责任公司开立结算备付金账</w:t>
      </w:r>
      <w:r>
        <w:rPr>
          <w:spacing w:val="-11"/>
        </w:rPr>
        <w:t>户，用于证券交易资金的结算。基金托管人以本基金的名义在托管人处开立基金的证券交易</w:t>
      </w:r>
      <w:r>
        <w:rPr/>
        <w:t>资金结算的二级结算备付金账户。</w:t>
      </w:r>
    </w:p>
    <w:p>
      <w:pPr>
        <w:pStyle w:val="BodyText"/>
        <w:spacing w:line="268" w:lineRule="exact"/>
      </w:pPr>
      <w:r>
        <w:rPr/>
        <w:t>5、债券托管账户的开立和管理</w:t>
      </w:r>
    </w:p>
    <w:p>
      <w:pPr>
        <w:pStyle w:val="ListParagraph"/>
        <w:numPr>
          <w:ilvl w:val="0"/>
          <w:numId w:val="68"/>
        </w:numPr>
        <w:tabs>
          <w:tab w:pos="1347" w:val="left" w:leader="none"/>
        </w:tabs>
        <w:spacing w:line="364" w:lineRule="auto" w:before="135" w:after="0"/>
        <w:ind w:left="400" w:right="417" w:firstLine="420"/>
        <w:jc w:val="both"/>
        <w:rPr>
          <w:sz w:val="21"/>
        </w:rPr>
      </w:pPr>
      <w:r>
        <w:rPr>
          <w:sz w:val="21"/>
        </w:rPr>
        <w:t>基金托管人负责在中央国债登记结算有限责任公司以本基金的名义开立债券托管</w:t>
      </w:r>
      <w:r>
        <w:rPr>
          <w:spacing w:val="-10"/>
          <w:sz w:val="21"/>
        </w:rPr>
        <w:t>账户，并由基金托管人负责基金的债券及资金的清算。在上述手续办理完毕后，由基金托管</w:t>
      </w:r>
      <w:r>
        <w:rPr>
          <w:sz w:val="21"/>
        </w:rPr>
        <w:t>人向人民银行进行报备。</w:t>
      </w:r>
    </w:p>
    <w:p>
      <w:pPr>
        <w:pStyle w:val="ListParagraph"/>
        <w:numPr>
          <w:ilvl w:val="0"/>
          <w:numId w:val="68"/>
        </w:numPr>
        <w:tabs>
          <w:tab w:pos="1347" w:val="left" w:leader="none"/>
        </w:tabs>
        <w:spacing w:line="364" w:lineRule="auto" w:before="0" w:after="0"/>
        <w:ind w:left="400" w:right="208" w:firstLine="420"/>
        <w:jc w:val="left"/>
        <w:rPr>
          <w:sz w:val="21"/>
        </w:rPr>
      </w:pPr>
      <w:r>
        <w:rPr>
          <w:sz w:val="21"/>
        </w:rPr>
        <w:t>基金管理人和基金托管人共同代表基金签订全国银行间债券市场债券回购主协议， 协议正本由基金托管人保管，协议副本由基金管理人保存。</w:t>
      </w:r>
    </w:p>
    <w:p>
      <w:pPr>
        <w:pStyle w:val="BodyText"/>
        <w:spacing w:line="268" w:lineRule="exact"/>
      </w:pPr>
      <w:r>
        <w:rPr/>
        <w:t>6、基金实物证券、银行存款定期存单等有价凭证的保管</w:t>
      </w:r>
    </w:p>
    <w:p>
      <w:pPr>
        <w:pStyle w:val="BodyText"/>
        <w:spacing w:line="364" w:lineRule="auto" w:before="138"/>
        <w:ind w:left="400" w:right="418" w:firstLine="420"/>
        <w:jc w:val="both"/>
      </w:pPr>
      <w:r>
        <w:rPr>
          <w:spacing w:val="-6"/>
        </w:rPr>
        <w:t>实物证券由基金托管人存放于托管银行的保管库，应与非本基金的其他实物证券分开保</w:t>
      </w:r>
      <w:r>
        <w:rPr>
          <w:spacing w:val="-12"/>
        </w:rPr>
        <w:t>管；也可存入登记结算机构的代保管库，保管凭证由基金托管人持有。实物证券的购买和转</w:t>
      </w:r>
      <w:r>
        <w:rPr>
          <w:spacing w:val="-10"/>
        </w:rPr>
        <w:t>让，由基金托管人根据基金管理人的指令办理。基金托管人对由基金托管人以外机构实际有</w:t>
      </w:r>
      <w:r>
        <w:rPr/>
        <w:t>效控制的证券不承担保管责任。</w:t>
      </w:r>
    </w:p>
    <w:p>
      <w:pPr>
        <w:pStyle w:val="BodyText"/>
        <w:spacing w:line="267" w:lineRule="exact"/>
      </w:pPr>
      <w:r>
        <w:rPr/>
        <w:t>银行存款定期存单等有价凭证由基金托管人负责保管。</w:t>
      </w:r>
    </w:p>
    <w:p>
      <w:pPr>
        <w:pStyle w:val="BodyText"/>
        <w:spacing w:before="139"/>
      </w:pPr>
      <w:r>
        <w:rPr/>
        <w:t>7、与基金财产有关的重大合同的保管</w:t>
      </w:r>
    </w:p>
    <w:p>
      <w:pPr>
        <w:spacing w:after="0"/>
        <w:sectPr>
          <w:pgSz w:w="11910" w:h="16840"/>
          <w:pgMar w:header="0" w:footer="910" w:top="1380" w:bottom="1180" w:left="1400" w:right="1380"/>
        </w:sectPr>
      </w:pPr>
    </w:p>
    <w:p>
      <w:pPr>
        <w:pStyle w:val="BodyText"/>
        <w:spacing w:line="364" w:lineRule="auto" w:before="45"/>
        <w:ind w:left="400" w:right="417" w:firstLine="420"/>
        <w:jc w:val="both"/>
      </w:pPr>
      <w:r>
        <w:rPr>
          <w:spacing w:val="-4"/>
        </w:rPr>
        <w:t>由基金管理人代表基金签署的与基金有关的重大合同的原件分别由基金托管人、基金管</w:t>
      </w:r>
      <w:r>
        <w:rPr>
          <w:spacing w:val="-10"/>
        </w:rPr>
        <w:t>理人保管，相关业务程序另有限制除外。除本协议另有规定外，基金管理人在代基金签署与</w:t>
      </w:r>
      <w:r>
        <w:rPr>
          <w:spacing w:val="-5"/>
        </w:rPr>
        <w:t>基金有关的重大合同时应尽可能保证持有二份以上的正本，以便基金管理人和基金托管人至</w:t>
      </w:r>
      <w:r>
        <w:rPr>
          <w:spacing w:val="-7"/>
        </w:rPr>
        <w:t>少各持有一份正本的原件，基金管理人应及时将正本送达基金托管人处。合同的保管期限按</w:t>
      </w:r>
      <w:r>
        <w:rPr/>
        <w:t>照国家有关规定执行。</w:t>
      </w:r>
    </w:p>
    <w:p>
      <w:pPr>
        <w:pStyle w:val="BodyText"/>
        <w:spacing w:line="364" w:lineRule="auto"/>
        <w:ind w:left="400" w:right="418" w:firstLine="420"/>
      </w:pPr>
      <w:r>
        <w:rPr>
          <w:spacing w:val="-8"/>
        </w:rPr>
        <w:t>对于无法取得二份以上的正本的，基金管理人应向基金托管人提供加盖授权业务章的合</w:t>
      </w:r>
      <w:r>
        <w:rPr/>
        <w:t>同传真件，未经双方协商或未在合同约定范围内，合同原件不得转移。</w:t>
      </w:r>
    </w:p>
    <w:p>
      <w:pPr>
        <w:pStyle w:val="Heading2"/>
        <w:spacing w:line="423" w:lineRule="exact"/>
      </w:pPr>
      <w:bookmarkStart w:name="_bookmark119" w:id="120"/>
      <w:bookmarkEnd w:id="120"/>
      <w:r>
        <w:rPr>
          <w:b w:val="0"/>
        </w:rPr>
      </w:r>
      <w:r>
        <w:rPr/>
        <w:t>（五）基金资产净值计算与复核</w:t>
      </w:r>
    </w:p>
    <w:p>
      <w:pPr>
        <w:pStyle w:val="BodyText"/>
        <w:spacing w:line="364" w:lineRule="auto" w:before="119"/>
        <w:ind w:left="400" w:right="446" w:firstLine="420"/>
      </w:pPr>
      <w:r>
        <w:rPr/>
        <w:t>基金资产净值是指基金资产总值减去负债后的价值。基金份额净值是指计算日基金资产净值除以计算日基金总份额后的价值。</w:t>
      </w:r>
    </w:p>
    <w:p>
      <w:pPr>
        <w:pStyle w:val="BodyText"/>
        <w:spacing w:line="364" w:lineRule="auto"/>
        <w:ind w:left="400" w:right="446" w:firstLine="420"/>
        <w:jc w:val="both"/>
      </w:pPr>
      <w:r>
        <w:rPr/>
        <w:t>基金管理人应每工作日对基金资产估值。用于基金信息披露的基金资产净值和基金份额净值由基金管理人负责计算，基金托管人复核。基金管理人应于每个工作日交易结束后计算当日的基金资产净值，盖章后以加密传真方式发送给基金托管人。基金托管人对净值计算结果复核盖章后，将复核结果以加密传真通知基金管理人，由基金管理人对基金份额净值予以公布。待条件成熟后，双方可协商采用电子对账方式。</w:t>
      </w:r>
    </w:p>
    <w:p>
      <w:pPr>
        <w:pStyle w:val="BodyText"/>
        <w:spacing w:line="267" w:lineRule="exact"/>
      </w:pPr>
      <w:r>
        <w:rPr/>
        <w:t>本基金按以下方法估值：</w:t>
      </w:r>
    </w:p>
    <w:p>
      <w:pPr>
        <w:pStyle w:val="BodyText"/>
        <w:spacing w:before="138"/>
      </w:pPr>
      <w:r>
        <w:rPr/>
        <w:t>1、股票估值方法</w:t>
      </w:r>
    </w:p>
    <w:p>
      <w:pPr>
        <w:pStyle w:val="ListParagraph"/>
        <w:numPr>
          <w:ilvl w:val="0"/>
          <w:numId w:val="69"/>
        </w:numPr>
        <w:tabs>
          <w:tab w:pos="1346" w:val="left" w:leader="none"/>
        </w:tabs>
        <w:spacing w:line="240" w:lineRule="auto" w:before="140" w:after="0"/>
        <w:ind w:left="1346" w:right="0" w:hanging="526"/>
        <w:jc w:val="left"/>
        <w:rPr>
          <w:sz w:val="21"/>
        </w:rPr>
      </w:pPr>
      <w:r>
        <w:rPr>
          <w:sz w:val="21"/>
        </w:rPr>
        <w:t>上市流通股票的估值</w:t>
      </w:r>
    </w:p>
    <w:p>
      <w:pPr>
        <w:pStyle w:val="BodyText"/>
        <w:spacing w:line="364" w:lineRule="auto" w:before="139"/>
        <w:ind w:left="400" w:right="446" w:firstLine="420"/>
      </w:pPr>
      <w:r>
        <w:rPr/>
        <w:t>上市流通股票按估值日其所在证券交易所的收盘价估值；估值日无交易的，以最近交易日的收盘价估值。</w:t>
      </w:r>
    </w:p>
    <w:p>
      <w:pPr>
        <w:pStyle w:val="ListParagraph"/>
        <w:numPr>
          <w:ilvl w:val="0"/>
          <w:numId w:val="69"/>
        </w:numPr>
        <w:tabs>
          <w:tab w:pos="1346" w:val="left" w:leader="none"/>
        </w:tabs>
        <w:spacing w:line="268" w:lineRule="exact" w:before="0" w:after="0"/>
        <w:ind w:left="1346" w:right="0" w:hanging="526"/>
        <w:jc w:val="left"/>
        <w:rPr>
          <w:sz w:val="21"/>
        </w:rPr>
      </w:pPr>
      <w:r>
        <w:rPr>
          <w:sz w:val="21"/>
        </w:rPr>
        <w:t>未上市股票的估值</w:t>
      </w:r>
    </w:p>
    <w:p>
      <w:pPr>
        <w:pStyle w:val="BodyText"/>
        <w:spacing w:line="364" w:lineRule="auto" w:before="140"/>
        <w:ind w:left="400" w:right="4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400" w:right="418" w:firstLine="420"/>
      </w:pPr>
      <w:r>
        <w:rPr>
          <w:spacing w:val="-8"/>
        </w:rPr>
        <w:t>首次发行未上市的股票，采用估值技术确定公允价值，在估值技术难以可靠计量的情况</w:t>
      </w:r>
      <w:r>
        <w:rPr/>
        <w:t>下，按成本估值。</w:t>
      </w:r>
    </w:p>
    <w:p>
      <w:pPr>
        <w:pStyle w:val="ListParagraph"/>
        <w:numPr>
          <w:ilvl w:val="0"/>
          <w:numId w:val="69"/>
        </w:numPr>
        <w:tabs>
          <w:tab w:pos="1346" w:val="left" w:leader="none"/>
        </w:tabs>
        <w:spacing w:line="268" w:lineRule="exact" w:before="0" w:after="0"/>
        <w:ind w:left="1346" w:right="0" w:hanging="526"/>
        <w:jc w:val="left"/>
        <w:rPr>
          <w:sz w:val="21"/>
        </w:rPr>
      </w:pPr>
      <w:r>
        <w:rPr>
          <w:sz w:val="21"/>
        </w:rPr>
        <w:t>有明确锁定期股票的估值</w:t>
      </w:r>
    </w:p>
    <w:p>
      <w:pPr>
        <w:pStyle w:val="BodyText"/>
        <w:spacing w:line="364" w:lineRule="auto" w:before="138"/>
        <w:ind w:left="400" w:right="418" w:firstLine="420"/>
        <w:jc w:val="both"/>
      </w:pPr>
      <w:r>
        <w:rPr>
          <w:spacing w:val="-6"/>
        </w:rPr>
        <w:t>首次公开发行有明确锁定期的股票，同一股票在交易所上市后，按交易所上市的同一股</w:t>
      </w:r>
      <w:r>
        <w:rPr>
          <w:spacing w:val="-11"/>
        </w:rPr>
        <w:t>票的收盘价估值；非公开发行有明确锁定期的流通受限股票，按监管机构或行业协会的有关</w:t>
      </w:r>
      <w:r>
        <w:rPr/>
        <w:t>规定确定公允价值。</w:t>
      </w:r>
    </w:p>
    <w:p>
      <w:pPr>
        <w:pStyle w:val="BodyText"/>
        <w:spacing w:line="268" w:lineRule="exact"/>
      </w:pPr>
      <w:r>
        <w:rPr/>
        <w:t>2、固定收益证券的估值办法</w:t>
      </w:r>
    </w:p>
    <w:p>
      <w:pPr>
        <w:pStyle w:val="ListParagraph"/>
        <w:numPr>
          <w:ilvl w:val="0"/>
          <w:numId w:val="70"/>
        </w:numPr>
        <w:tabs>
          <w:tab w:pos="1347" w:val="left" w:leader="none"/>
        </w:tabs>
        <w:spacing w:line="364" w:lineRule="auto" w:before="139" w:after="0"/>
        <w:ind w:left="400" w:right="418" w:firstLine="420"/>
        <w:jc w:val="left"/>
        <w:rPr>
          <w:sz w:val="21"/>
        </w:rPr>
      </w:pPr>
      <w:r>
        <w:rPr>
          <w:sz w:val="21"/>
        </w:rPr>
        <w:t>证券交易所市场实行净价交易的债券按估值日收盘价估值，估值日没有交易的， 按最近交易日的收盘价估值。</w:t>
      </w:r>
    </w:p>
    <w:p>
      <w:pPr>
        <w:pStyle w:val="ListParagraph"/>
        <w:numPr>
          <w:ilvl w:val="0"/>
          <w:numId w:val="70"/>
        </w:numPr>
        <w:tabs>
          <w:tab w:pos="1347" w:val="left" w:leader="none"/>
        </w:tabs>
        <w:spacing w:line="364" w:lineRule="auto" w:before="0" w:after="0"/>
        <w:ind w:left="400" w:right="418" w:firstLine="420"/>
        <w:jc w:val="left"/>
        <w:rPr>
          <w:sz w:val="21"/>
        </w:rPr>
      </w:pPr>
      <w:r>
        <w:rPr>
          <w:sz w:val="21"/>
        </w:rPr>
        <w:t>证券交易所市场未实行净价交易的债券按估值日收盘价减去债券收盘价中所含的</w:t>
      </w:r>
      <w:r>
        <w:rPr>
          <w:spacing w:val="-6"/>
          <w:sz w:val="21"/>
        </w:rPr>
        <w:t>债券应收利息得到的净价进行估值，估值日没有交易的，按最近交易日债券收盘价计算得到</w:t>
      </w:r>
    </w:p>
    <w:p>
      <w:pPr>
        <w:spacing w:after="0" w:line="364" w:lineRule="auto"/>
        <w:jc w:val="left"/>
        <w:rPr>
          <w:sz w:val="21"/>
        </w:rPr>
        <w:sectPr>
          <w:pgSz w:w="11910" w:h="16840"/>
          <w:pgMar w:header="0" w:footer="910" w:top="1380" w:bottom="1180" w:left="1400" w:right="1380"/>
        </w:sectPr>
      </w:pPr>
    </w:p>
    <w:p>
      <w:pPr>
        <w:pStyle w:val="BodyText"/>
        <w:spacing w:before="45"/>
        <w:ind w:left="400"/>
      </w:pPr>
      <w:r>
        <w:rPr/>
        <w:t>的净价估值。</w:t>
      </w:r>
    </w:p>
    <w:p>
      <w:pPr>
        <w:pStyle w:val="ListParagraph"/>
        <w:numPr>
          <w:ilvl w:val="0"/>
          <w:numId w:val="70"/>
        </w:numPr>
        <w:tabs>
          <w:tab w:pos="1346" w:val="left" w:leader="none"/>
        </w:tabs>
        <w:spacing w:line="364" w:lineRule="auto" w:before="139" w:after="0"/>
        <w:ind w:left="400" w:right="446" w:firstLine="420"/>
        <w:jc w:val="left"/>
        <w:rPr>
          <w:sz w:val="21"/>
        </w:rPr>
      </w:pPr>
      <w:r>
        <w:rPr>
          <w:spacing w:val="-3"/>
          <w:sz w:val="21"/>
        </w:rPr>
        <w:t>未上市债券采用估值技术确定公允价值，在估值技术难以可靠计量的情况下，按</w:t>
      </w:r>
      <w:r>
        <w:rPr>
          <w:sz w:val="21"/>
        </w:rPr>
        <w:t>成本估值。</w:t>
      </w:r>
    </w:p>
    <w:p>
      <w:pPr>
        <w:pStyle w:val="ListParagraph"/>
        <w:numPr>
          <w:ilvl w:val="0"/>
          <w:numId w:val="70"/>
        </w:numPr>
        <w:tabs>
          <w:tab w:pos="1346" w:val="left" w:leader="none"/>
        </w:tabs>
        <w:spacing w:line="364" w:lineRule="auto" w:before="0" w:after="0"/>
        <w:ind w:left="400" w:right="446" w:firstLine="420"/>
        <w:jc w:val="left"/>
        <w:rPr>
          <w:sz w:val="21"/>
        </w:rPr>
      </w:pPr>
      <w:r>
        <w:rPr>
          <w:spacing w:val="-3"/>
          <w:sz w:val="21"/>
        </w:rPr>
        <w:t>在银行间债券市场交易的债券、资产支持证券等固定收益品种，采用估值技术确</w:t>
      </w:r>
      <w:r>
        <w:rPr>
          <w:sz w:val="21"/>
        </w:rPr>
        <w:t>定公允价值。</w:t>
      </w:r>
    </w:p>
    <w:p>
      <w:pPr>
        <w:pStyle w:val="ListParagraph"/>
        <w:numPr>
          <w:ilvl w:val="0"/>
          <w:numId w:val="70"/>
        </w:numPr>
        <w:tabs>
          <w:tab w:pos="1346" w:val="left" w:leader="none"/>
        </w:tabs>
        <w:spacing w:line="364" w:lineRule="auto" w:before="0" w:after="0"/>
        <w:ind w:left="400" w:right="446" w:firstLine="420"/>
        <w:jc w:val="left"/>
        <w:rPr>
          <w:sz w:val="21"/>
        </w:rPr>
      </w:pPr>
      <w:r>
        <w:rPr>
          <w:spacing w:val="-3"/>
          <w:sz w:val="21"/>
        </w:rPr>
        <w:t>交易所以大宗交易方式转让的资产支持证券，采用估值技术确定公允价值，在估</w:t>
      </w:r>
      <w:r>
        <w:rPr>
          <w:sz w:val="21"/>
        </w:rPr>
        <w:t>值技术难以可靠计量公允价值的情况下，按成本进行后续计量。</w:t>
      </w:r>
    </w:p>
    <w:p>
      <w:pPr>
        <w:pStyle w:val="ListParagraph"/>
        <w:numPr>
          <w:ilvl w:val="0"/>
          <w:numId w:val="70"/>
        </w:numPr>
        <w:tabs>
          <w:tab w:pos="1346" w:val="left" w:leader="none"/>
        </w:tabs>
        <w:spacing w:line="268" w:lineRule="exact" w:before="0" w:after="0"/>
        <w:ind w:left="1346" w:right="0" w:hanging="526"/>
        <w:jc w:val="left"/>
        <w:rPr>
          <w:sz w:val="21"/>
        </w:rPr>
      </w:pPr>
      <w:r>
        <w:rPr>
          <w:sz w:val="21"/>
        </w:rPr>
        <w:t>同一债券同时在两个或两个以上市场交易的，按债券所处的市场分别估值。</w:t>
      </w:r>
    </w:p>
    <w:p>
      <w:pPr>
        <w:pStyle w:val="BodyText"/>
        <w:spacing w:before="138"/>
      </w:pPr>
      <w:r>
        <w:rPr/>
        <w:t>3、权证估值</w:t>
      </w:r>
    </w:p>
    <w:p>
      <w:pPr>
        <w:pStyle w:val="ListParagraph"/>
        <w:numPr>
          <w:ilvl w:val="0"/>
          <w:numId w:val="71"/>
        </w:numPr>
        <w:tabs>
          <w:tab w:pos="1346" w:val="left" w:leader="none"/>
        </w:tabs>
        <w:spacing w:line="240" w:lineRule="auto" w:before="139" w:after="0"/>
        <w:ind w:left="1346" w:right="0" w:hanging="526"/>
        <w:jc w:val="left"/>
        <w:rPr>
          <w:sz w:val="21"/>
        </w:rPr>
      </w:pPr>
      <w:r>
        <w:rPr>
          <w:sz w:val="21"/>
        </w:rPr>
        <w:t>配股权证的估值：</w:t>
      </w:r>
    </w:p>
    <w:p>
      <w:pPr>
        <w:pStyle w:val="BodyText"/>
        <w:spacing w:before="140"/>
      </w:pPr>
      <w:r>
        <w:rPr/>
        <w:t>因持有股票而享有的配股权，采用估值技术进行估值。</w:t>
      </w:r>
    </w:p>
    <w:p>
      <w:pPr>
        <w:pStyle w:val="ListParagraph"/>
        <w:numPr>
          <w:ilvl w:val="0"/>
          <w:numId w:val="71"/>
        </w:numPr>
        <w:tabs>
          <w:tab w:pos="1346" w:val="left" w:leader="none"/>
        </w:tabs>
        <w:spacing w:line="240" w:lineRule="auto" w:before="139" w:after="0"/>
        <w:ind w:left="1346" w:right="0" w:hanging="526"/>
        <w:jc w:val="left"/>
        <w:rPr>
          <w:sz w:val="21"/>
        </w:rPr>
      </w:pPr>
      <w:r>
        <w:rPr>
          <w:sz w:val="21"/>
        </w:rPr>
        <w:t>认沽/认购权证的估值：</w:t>
      </w:r>
    </w:p>
    <w:p>
      <w:pPr>
        <w:pStyle w:val="BodyText"/>
        <w:spacing w:line="364" w:lineRule="auto" w:before="140"/>
        <w:ind w:left="400" w:right="446" w:firstLine="420"/>
        <w:jc w:val="both"/>
      </w:pPr>
      <w:r>
        <w:rPr>
          <w:spacing w:val="-2"/>
        </w:rPr>
        <w:t>从持有确认日起到卖出日或行权日止，上市交易的认沽</w:t>
      </w:r>
      <w:r>
        <w:rPr/>
        <w:t>/</w:t>
      </w:r>
      <w:r>
        <w:rPr>
          <w:spacing w:val="-2"/>
        </w:rPr>
        <w:t>认购权证按估值日的收盘价估值，估值日没有交易的，按最近交易日的收盘价估值；未上市交易的认沽</w:t>
      </w:r>
      <w:r>
        <w:rPr/>
        <w:t>/</w:t>
      </w:r>
      <w:r>
        <w:rPr>
          <w:spacing w:val="-3"/>
        </w:rPr>
        <w:t>认购权证采用估</w:t>
      </w:r>
      <w:r>
        <w:rPr/>
        <w:t>值技术确定公允价值，在估值技术难以可靠计量的情况下，按成本估值；停止交易、但未行权的权证，采用估值技术确定公允价值。</w:t>
      </w:r>
    </w:p>
    <w:p>
      <w:pPr>
        <w:pStyle w:val="BodyText"/>
        <w:spacing w:line="267" w:lineRule="exact"/>
      </w:pPr>
      <w:r>
        <w:rPr/>
        <w:t>4、其他资产按国家有关规定进行估值。</w:t>
      </w:r>
    </w:p>
    <w:p>
      <w:pPr>
        <w:pStyle w:val="BodyText"/>
        <w:spacing w:before="139"/>
      </w:pPr>
      <w:r>
        <w:rPr/>
        <w:t>5、本基金投资存托凭证的估值核算，依照境内上市交易的股票执行。</w:t>
      </w:r>
    </w:p>
    <w:p>
      <w:pPr>
        <w:pStyle w:val="BodyText"/>
        <w:spacing w:line="364" w:lineRule="auto" w:before="140"/>
        <w:ind w:left="400" w:right="446" w:firstLine="420"/>
        <w:jc w:val="both"/>
      </w:pPr>
      <w:r>
        <w:rPr/>
        <w:t>6</w:t>
      </w:r>
      <w:r>
        <w:rPr>
          <w:spacing w:val="-6"/>
        </w:rPr>
        <w:t>、在任何情况下，基金管理人采用上述 </w:t>
      </w:r>
      <w:r>
        <w:rPr/>
        <w:t>1-4</w:t>
      </w:r>
      <w:r>
        <w:rPr>
          <w:spacing w:val="-9"/>
        </w:rPr>
        <w:t> 项规定的方法对基金财产进行估值，均应</w:t>
      </w:r>
      <w:r>
        <w:rPr/>
        <w:t>被认为采用了适当的估值方法。但是，如果由于最近交易日后经济环境发生了重大变化等原因导致基金管理人认为按上述方法对基金财产进行估值不能客观反映其公允价值的，基金管理人可在综合考虑市场成交价、市场报价、流动性、收益率曲线等多种因素的基础上与基金托管人商定后，按最能反映公允价值的价格估值。</w:t>
      </w:r>
    </w:p>
    <w:p>
      <w:pPr>
        <w:pStyle w:val="BodyText"/>
        <w:spacing w:line="267" w:lineRule="exact"/>
      </w:pPr>
      <w:r>
        <w:rPr/>
        <w:t>7、国家有最新规定的，按其规定进行估值。</w:t>
      </w:r>
    </w:p>
    <w:p>
      <w:pPr>
        <w:pStyle w:val="BodyText"/>
        <w:spacing w:line="364" w:lineRule="auto" w:before="139"/>
        <w:ind w:left="400" w:right="446" w:firstLine="420"/>
        <w:jc w:val="both"/>
      </w:pPr>
      <w:r>
        <w:rPr/>
        <w:t>基金管理人、基金托管人发现基金估值违反基金合同订明的估值方法、程序以及相关法律法规的规定或者未能充分维护基金份额持有人利益时，发现方应及时通知对方，以约定的方法、程序和相关法律法规的规定进行估值，以维护基金份额持有人的利益。</w:t>
      </w:r>
    </w:p>
    <w:p>
      <w:pPr>
        <w:pStyle w:val="Heading2"/>
        <w:spacing w:line="422" w:lineRule="exact"/>
      </w:pPr>
      <w:bookmarkStart w:name="_bookmark120" w:id="121"/>
      <w:bookmarkEnd w:id="121"/>
      <w:r>
        <w:rPr>
          <w:b w:val="0"/>
        </w:rPr>
      </w:r>
      <w:r>
        <w:rPr/>
        <w:t>（六）基金份额持有人名册的保管</w:t>
      </w:r>
    </w:p>
    <w:p>
      <w:pPr>
        <w:pStyle w:val="BodyText"/>
        <w:spacing w:line="364" w:lineRule="auto" w:before="121"/>
        <w:ind w:left="400" w:right="446" w:firstLine="420"/>
      </w:pPr>
      <w:r>
        <w:rPr/>
        <w:t>基金管理人可委托基金注册登记人登记和保管基金份额持有人名册。基金份额持有人名册的内容包括但不限于基金份额持有人的名称和持有的基金份额。</w:t>
      </w:r>
    </w:p>
    <w:p>
      <w:pPr>
        <w:pStyle w:val="BodyText"/>
        <w:spacing w:line="364" w:lineRule="auto"/>
        <w:ind w:left="400" w:right="446" w:firstLine="420"/>
        <w:jc w:val="both"/>
      </w:pPr>
      <w:r>
        <w:rPr/>
        <w:t>基金份额持有人名册，包括基金募集期结束时的基金份额持有人名册、基金权益登记日的基金份额持有人名册、基金份额持有人大会登记日的基金份额持有人名册、每年最后一个交易日的基金份额持有人名册，由基金注册登记人负责编制和保管，并对基金份额持有人名册的真实性、完整性和准确性负责。</w:t>
      </w:r>
    </w:p>
    <w:p>
      <w:pPr>
        <w:spacing w:after="0" w:line="364" w:lineRule="auto"/>
        <w:jc w:val="both"/>
        <w:sectPr>
          <w:pgSz w:w="11910" w:h="16840"/>
          <w:pgMar w:header="0" w:footer="910" w:top="1380" w:bottom="1180" w:left="1400" w:right="1380"/>
        </w:sectPr>
      </w:pPr>
    </w:p>
    <w:p>
      <w:pPr>
        <w:pStyle w:val="BodyText"/>
        <w:spacing w:line="364" w:lineRule="auto" w:before="45"/>
        <w:ind w:left="400" w:right="400" w:firstLine="420"/>
      </w:pPr>
      <w:r>
        <w:rPr/>
        <w:t>1、基金管理人于《基金合同》生效日及《基金合同》终止日后 10 个工作日内向基金托管人提供由注册登记人编制的基金份额持有人名册；</w:t>
      </w:r>
    </w:p>
    <w:p>
      <w:pPr>
        <w:pStyle w:val="BodyText"/>
        <w:spacing w:line="364" w:lineRule="auto"/>
        <w:ind w:left="400" w:right="446" w:firstLine="420"/>
      </w:pPr>
      <w:r>
        <w:rPr/>
        <w:t>2</w:t>
      </w:r>
      <w:r>
        <w:rPr>
          <w:spacing w:val="-7"/>
        </w:rPr>
        <w:t>、基金管理人于基金份额持有人大会权益登记日后 </w:t>
      </w:r>
      <w:r>
        <w:rPr/>
        <w:t>5</w:t>
      </w:r>
      <w:r>
        <w:rPr>
          <w:spacing w:val="-9"/>
        </w:rPr>
        <w:t> 个工作日内向基金托管人提供由</w:t>
      </w:r>
      <w:r>
        <w:rPr/>
        <w:t>注册登记人编制的基金份额持有人名册；</w:t>
      </w:r>
    </w:p>
    <w:p>
      <w:pPr>
        <w:pStyle w:val="BodyText"/>
        <w:spacing w:line="364" w:lineRule="auto"/>
        <w:ind w:left="400" w:right="400" w:firstLine="420"/>
      </w:pPr>
      <w:r>
        <w:rPr/>
        <w:t>3、基金管理人于每年最后一个交易日后 10 个工作日内向基金托管人提供由注册登记人编制的基金份额持有人名册；</w:t>
      </w:r>
    </w:p>
    <w:p>
      <w:pPr>
        <w:pStyle w:val="BodyText"/>
        <w:spacing w:line="364" w:lineRule="auto"/>
        <w:ind w:left="400" w:right="446" w:firstLine="420"/>
      </w:pPr>
      <w:r>
        <w:rPr/>
        <w:t>4</w:t>
      </w:r>
      <w:r>
        <w:rPr>
          <w:spacing w:val="-6"/>
        </w:rPr>
        <w:t>、除上述约定时间外，如果确因业务需要，基金托管人与基金管理人商议一致后，由</w:t>
      </w:r>
      <w:r>
        <w:rPr/>
        <w:t>基金管理人向基金托管人提供由注册登记人编制的基金份额持有人名册。</w:t>
      </w:r>
    </w:p>
    <w:p>
      <w:pPr>
        <w:pStyle w:val="BodyText"/>
        <w:spacing w:line="364" w:lineRule="auto"/>
        <w:ind w:left="400" w:right="446" w:firstLine="420"/>
        <w:jc w:val="both"/>
      </w:pPr>
      <w:r>
        <w:rPr/>
        <w:t>基金托管人以电子版形式妥善保管基金份额持有人名册，并定期刻成光盘备份，保存</w:t>
      </w:r>
      <w:r>
        <w:rPr>
          <w:spacing w:val="-14"/>
        </w:rPr>
        <w:t>期限为 </w:t>
      </w:r>
      <w:r>
        <w:rPr/>
        <w:t>15</w:t>
      </w:r>
      <w:r>
        <w:rPr>
          <w:spacing w:val="-10"/>
        </w:rPr>
        <w:t> 年。基金托管人不得将所保管的基金份额持有人名册用于基金托管业务以外的其</w:t>
      </w:r>
      <w:r>
        <w:rPr/>
        <w:t>他用途，并应遵守保密义务。</w:t>
      </w:r>
    </w:p>
    <w:p>
      <w:pPr>
        <w:pStyle w:val="Heading2"/>
        <w:spacing w:line="422" w:lineRule="exact"/>
      </w:pPr>
      <w:bookmarkStart w:name="_bookmark121" w:id="122"/>
      <w:bookmarkEnd w:id="122"/>
      <w:r>
        <w:rPr>
          <w:b w:val="0"/>
        </w:rPr>
      </w:r>
      <w:r>
        <w:rPr/>
        <w:t>（七）争议解决方式</w:t>
      </w:r>
    </w:p>
    <w:p>
      <w:pPr>
        <w:pStyle w:val="BodyText"/>
        <w:spacing w:line="364" w:lineRule="auto" w:before="117"/>
        <w:ind w:left="400" w:right="341" w:firstLine="420"/>
        <w:jc w:val="both"/>
      </w:pPr>
      <w:r>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上海分会，根据该会当时有效</w:t>
      </w:r>
      <w:r>
        <w:rPr>
          <w:spacing w:val="-3"/>
        </w:rPr>
        <w:t>的仲裁规则进行仲裁，仲裁的地点在上海，仲裁裁决是终局性的并对相关各方均有约束力。</w:t>
      </w:r>
    </w:p>
    <w:p>
      <w:pPr>
        <w:pStyle w:val="BodyText"/>
        <w:spacing w:line="364" w:lineRule="auto"/>
        <w:ind w:left="400" w:right="446" w:firstLine="420"/>
      </w:pPr>
      <w:r>
        <w:rPr/>
        <w:t>争议处理期间，相关各方当事人应恪守基金管理人和基金托管人职责，继续忠实、勤勉、尽责地履行《基金合同》和本协议规定的义务，维护基金份额持有人的合法权益。</w:t>
      </w:r>
    </w:p>
    <w:p>
      <w:pPr>
        <w:pStyle w:val="BodyText"/>
        <w:spacing w:line="268" w:lineRule="exact"/>
      </w:pPr>
      <w:r>
        <w:rPr/>
        <w:t>本协议受中华人民共和国法律管辖。</w:t>
      </w:r>
    </w:p>
    <w:p>
      <w:pPr>
        <w:pStyle w:val="Heading2"/>
        <w:spacing w:before="47"/>
      </w:pPr>
      <w:bookmarkStart w:name="_bookmark122" w:id="123"/>
      <w:bookmarkEnd w:id="123"/>
      <w:r>
        <w:rPr>
          <w:b w:val="0"/>
        </w:rPr>
      </w:r>
      <w:r>
        <w:rPr/>
        <w:t>（八）托管协议的变更与终止</w:t>
      </w:r>
    </w:p>
    <w:p>
      <w:pPr>
        <w:pStyle w:val="BodyText"/>
        <w:spacing w:before="121"/>
      </w:pPr>
      <w:r>
        <w:rPr/>
        <w:t>1、基金托管协议的变更</w:t>
      </w:r>
    </w:p>
    <w:p>
      <w:pPr>
        <w:pStyle w:val="BodyText"/>
        <w:spacing w:line="364" w:lineRule="auto" w:before="139"/>
        <w:ind w:left="400" w:right="446" w:firstLine="420"/>
      </w:pPr>
      <w:r>
        <w:rPr/>
        <w:t>本协议相关各方当事人经协商一致，可以对协议进行修改。修改后的新协议，其内容不得与《基金合同》的规定有任何冲突。修改后的新协议，应报中国证监会备案。</w:t>
      </w:r>
    </w:p>
    <w:p>
      <w:pPr>
        <w:pStyle w:val="BodyText"/>
        <w:spacing w:line="268" w:lineRule="exact"/>
      </w:pPr>
      <w:r>
        <w:rPr/>
        <w:t>2、基金托管协议的终止</w:t>
      </w:r>
    </w:p>
    <w:p>
      <w:pPr>
        <w:pStyle w:val="ListParagraph"/>
        <w:numPr>
          <w:ilvl w:val="0"/>
          <w:numId w:val="72"/>
        </w:numPr>
        <w:tabs>
          <w:tab w:pos="1346" w:val="left" w:leader="none"/>
        </w:tabs>
        <w:spacing w:line="240" w:lineRule="auto" w:before="140" w:after="0"/>
        <w:ind w:left="1346" w:right="0" w:hanging="526"/>
        <w:jc w:val="left"/>
        <w:rPr>
          <w:sz w:val="21"/>
        </w:rPr>
      </w:pPr>
      <w:r>
        <w:rPr>
          <w:sz w:val="21"/>
        </w:rPr>
        <w:t>《基金合同》终止；</w:t>
      </w:r>
    </w:p>
    <w:p>
      <w:pPr>
        <w:pStyle w:val="ListParagraph"/>
        <w:numPr>
          <w:ilvl w:val="0"/>
          <w:numId w:val="72"/>
        </w:numPr>
        <w:tabs>
          <w:tab w:pos="1346" w:val="left" w:leader="none"/>
        </w:tabs>
        <w:spacing w:line="364" w:lineRule="auto" w:before="139" w:after="0"/>
        <w:ind w:left="400" w:right="446" w:firstLine="420"/>
        <w:jc w:val="left"/>
        <w:rPr>
          <w:sz w:val="21"/>
        </w:rPr>
      </w:pPr>
      <w:r>
        <w:rPr>
          <w:spacing w:val="-4"/>
          <w:sz w:val="21"/>
        </w:rPr>
        <w:t>基金托管人解散、依法被撤销、破产，被依法取消基金托管资格或因其他事由造</w:t>
      </w:r>
      <w:r>
        <w:rPr>
          <w:sz w:val="21"/>
        </w:rPr>
        <w:t>成其他基金托管人接管基金财产；</w:t>
      </w:r>
    </w:p>
    <w:p>
      <w:pPr>
        <w:pStyle w:val="ListParagraph"/>
        <w:numPr>
          <w:ilvl w:val="0"/>
          <w:numId w:val="72"/>
        </w:numPr>
        <w:tabs>
          <w:tab w:pos="1346" w:val="left" w:leader="none"/>
        </w:tabs>
        <w:spacing w:line="364" w:lineRule="auto" w:before="0" w:after="0"/>
        <w:ind w:left="400" w:right="446" w:firstLine="420"/>
        <w:jc w:val="left"/>
        <w:rPr>
          <w:sz w:val="21"/>
        </w:rPr>
      </w:pPr>
      <w:r>
        <w:rPr>
          <w:spacing w:val="-4"/>
          <w:sz w:val="21"/>
        </w:rPr>
        <w:t>基金管理人解散、依法被撤销、破产，被依法取消基金管理资格或因其他事由造</w:t>
      </w:r>
      <w:r>
        <w:rPr>
          <w:sz w:val="21"/>
        </w:rPr>
        <w:t>成其他基金管理人接管基金管理权。</w:t>
      </w:r>
    </w:p>
    <w:p>
      <w:pPr>
        <w:pStyle w:val="ListParagraph"/>
        <w:numPr>
          <w:ilvl w:val="0"/>
          <w:numId w:val="72"/>
        </w:numPr>
        <w:tabs>
          <w:tab w:pos="1346" w:val="left" w:leader="none"/>
        </w:tabs>
        <w:spacing w:line="268" w:lineRule="exact" w:before="0" w:after="0"/>
        <w:ind w:left="1346" w:right="0" w:hanging="526"/>
        <w:jc w:val="left"/>
        <w:rPr>
          <w:sz w:val="21"/>
        </w:rPr>
      </w:pPr>
      <w:r>
        <w:rPr>
          <w:spacing w:val="-23"/>
          <w:sz w:val="21"/>
        </w:rPr>
        <w:t>发生《基金法》、《销售办法》、《运作办法》或其他法律法规规定的终止事项。</w:t>
      </w:r>
    </w:p>
    <w:p>
      <w:pPr>
        <w:spacing w:after="0" w:line="268" w:lineRule="exact"/>
        <w:jc w:val="left"/>
        <w:rPr>
          <w:sz w:val="21"/>
        </w:rPr>
        <w:sectPr>
          <w:pgSz w:w="11910" w:h="16840"/>
          <w:pgMar w:header="0" w:footer="910" w:top="1380" w:bottom="1180" w:left="1400" w:right="1380"/>
        </w:sectPr>
      </w:pPr>
    </w:p>
    <w:p>
      <w:pPr>
        <w:pStyle w:val="Heading1"/>
      </w:pPr>
      <w:bookmarkStart w:name="_bookmark123" w:id="124"/>
      <w:bookmarkEnd w:id="124"/>
      <w:r>
        <w:rPr>
          <w:b w:val="0"/>
        </w:rPr>
      </w:r>
      <w:r>
        <w:rPr/>
        <w:t>二十四、对基金份额持有人的服务</w:t>
      </w:r>
    </w:p>
    <w:p>
      <w:pPr>
        <w:pStyle w:val="BodyText"/>
        <w:spacing w:line="364" w:lineRule="auto" w:before="138"/>
        <w:ind w:left="400" w:right="4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Heading2"/>
        <w:spacing w:line="423" w:lineRule="exact"/>
      </w:pPr>
      <w:bookmarkStart w:name="_bookmark124" w:id="125"/>
      <w:bookmarkEnd w:id="125"/>
      <w:r>
        <w:rPr>
          <w:b w:val="0"/>
        </w:rPr>
      </w:r>
      <w:r>
        <w:rPr/>
        <w:t>（一）基金份额持有人投资交易确认服务</w:t>
      </w:r>
    </w:p>
    <w:p>
      <w:pPr>
        <w:pStyle w:val="BodyText"/>
        <w:spacing w:line="364" w:lineRule="auto" w:before="121"/>
        <w:ind w:right="325"/>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00"/>
      </w:pPr>
      <w:r>
        <w:rPr/>
        <w:t>确认单。基金非直销销售机构应根据在销售网点进行交易的投资者的要求提供成交确认单。</w:t>
      </w:r>
    </w:p>
    <w:p>
      <w:pPr>
        <w:pStyle w:val="Heading2"/>
        <w:spacing w:before="48"/>
      </w:pPr>
      <w:bookmarkStart w:name="_bookmark125" w:id="126"/>
      <w:bookmarkEnd w:id="126"/>
      <w:r>
        <w:rPr>
          <w:b w:val="0"/>
        </w:rPr>
      </w:r>
      <w:r>
        <w:rPr/>
        <w:t>（二）基金份额持有人交易记录查询服务</w:t>
      </w:r>
    </w:p>
    <w:p>
      <w:pPr>
        <w:pStyle w:val="BodyText"/>
        <w:spacing w:before="121"/>
      </w:pPr>
      <w:r>
        <w:rPr/>
        <w:t>本基金份额持有人可通过基金管理人的客户服务中心查询历史交易记录。</w:t>
      </w:r>
    </w:p>
    <w:p>
      <w:pPr>
        <w:pStyle w:val="Heading2"/>
        <w:spacing w:before="48"/>
      </w:pPr>
      <w:bookmarkStart w:name="_bookmark126" w:id="127"/>
      <w:bookmarkEnd w:id="127"/>
      <w:r>
        <w:rPr>
          <w:b w:val="0"/>
        </w:rPr>
      </w:r>
      <w:r>
        <w:rPr/>
        <w:t>（三）基金份额持有人的对账单服务</w:t>
      </w:r>
    </w:p>
    <w:p>
      <w:pPr>
        <w:pStyle w:val="BodyText"/>
        <w:spacing w:before="121"/>
      </w:pPr>
      <w:hyperlink r:id="rId8">
        <w:r>
          <w:rPr/>
          <w:t>1、基金份额持有人可登录本公司网站（http://www.efunds.com.cn</w:t>
        </w:r>
      </w:hyperlink>
      <w:r>
        <w:rPr/>
        <w:t>）查阅对账单。</w:t>
      </w:r>
    </w:p>
    <w:p>
      <w:pPr>
        <w:pStyle w:val="BodyText"/>
        <w:spacing w:line="364" w:lineRule="auto" w:before="140"/>
        <w:ind w:left="400" w:right="418" w:firstLine="420"/>
      </w:pPr>
      <w:r>
        <w:rPr/>
        <w:t>2、本公司至少每年度以电子邮件、短信或其他形式向有联系方式的基金份额持有人提供基金保有情况信息，基金份额持有人也可以向本公司定制电子邮件形式的月度对账单。</w:t>
      </w:r>
    </w:p>
    <w:p>
      <w:pPr>
        <w:pStyle w:val="BodyText"/>
        <w:spacing w:line="268" w:lineRule="exact"/>
      </w:pPr>
      <w:r>
        <w:rPr/>
        <w:t>具体查阅和定制账单的方法可参见本公司网站或拨打客服热线咨询。</w:t>
      </w:r>
    </w:p>
    <w:p>
      <w:pPr>
        <w:pStyle w:val="Heading2"/>
        <w:spacing w:before="48"/>
      </w:pPr>
      <w:bookmarkStart w:name="_bookmark127" w:id="128"/>
      <w:bookmarkEnd w:id="128"/>
      <w:r>
        <w:rPr>
          <w:b w:val="0"/>
        </w:rPr>
      </w:r>
      <w:r>
        <w:rPr/>
        <w:t>（四）定期定额投资计划</w:t>
      </w:r>
    </w:p>
    <w:p>
      <w:pPr>
        <w:pStyle w:val="BodyText"/>
        <w:spacing w:line="364" w:lineRule="auto" w:before="121"/>
        <w:ind w:left="400" w:right="4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期定额投资计划，投资者可以通过固定的渠道，定期定额申购基金份额，具体实施方法见有</w:t>
      </w:r>
      <w:r>
        <w:rPr/>
        <w:t>关公告。</w:t>
      </w:r>
    </w:p>
    <w:p>
      <w:pPr>
        <w:pStyle w:val="Heading2"/>
        <w:spacing w:line="422" w:lineRule="exact"/>
      </w:pPr>
      <w:bookmarkStart w:name="_bookmark128" w:id="129"/>
      <w:bookmarkEnd w:id="129"/>
      <w:r>
        <w:rPr>
          <w:b w:val="0"/>
        </w:rPr>
      </w:r>
      <w:r>
        <w:rPr/>
        <w:t>（五）资讯服务</w:t>
      </w:r>
    </w:p>
    <w:p>
      <w:pPr>
        <w:pStyle w:val="BodyText"/>
        <w:spacing w:before="121"/>
      </w:pPr>
      <w:r>
        <w:rPr/>
        <w:t>1、客户服务电话</w:t>
      </w:r>
    </w:p>
    <w:p>
      <w:pPr>
        <w:pStyle w:val="BodyText"/>
        <w:spacing w:line="364" w:lineRule="auto" w:before="139"/>
        <w:ind w:left="400" w:right="313" w:firstLine="420"/>
        <w:jc w:val="both"/>
      </w:pPr>
      <w:r>
        <w:rPr>
          <w:spacing w:val="-5"/>
        </w:rPr>
        <w:t>投资者如果想了解申购与赎回的交易情况、基金账户余额、基金产品与服务等信息，或</w:t>
      </w:r>
      <w:r>
        <w:rPr>
          <w:spacing w:val="-7"/>
        </w:rPr>
        <w:t>反馈投资过程中需要投诉与建议的情况，可拨打如下电话：</w:t>
      </w:r>
      <w:r>
        <w:rPr>
          <w:spacing w:val="-5"/>
        </w:rPr>
        <w:t>4008818088</w:t>
      </w:r>
      <w:r>
        <w:rPr/>
        <w:t>。投资者如果认为自</w:t>
      </w:r>
      <w:r>
        <w:rPr>
          <w:spacing w:val="-13"/>
        </w:rPr>
        <w:t>己不能准确理解本基金《招募说明书》、《基金合同》的具体内容，也可拨打上述电话详询。</w:t>
      </w:r>
    </w:p>
    <w:p>
      <w:pPr>
        <w:pStyle w:val="BodyText"/>
        <w:spacing w:line="268" w:lineRule="exact"/>
      </w:pPr>
      <w:r>
        <w:rPr/>
        <w:t>2、互联网站及电子信箱</w:t>
      </w:r>
    </w:p>
    <w:p>
      <w:pPr>
        <w:pStyle w:val="BodyText"/>
        <w:spacing w:line="364" w:lineRule="auto" w:before="140"/>
        <w:ind w:right="5050"/>
      </w:pPr>
      <w:hyperlink r:id="rId8">
        <w:r>
          <w:rPr/>
          <w:t>网址：http://www.efunds.com.cn </w:t>
        </w:r>
      </w:hyperlink>
      <w:r>
        <w:rPr/>
        <w:t>电子信箱：</w:t>
      </w:r>
      <w:hyperlink r:id="rId247">
        <w:r>
          <w:rPr/>
          <w:t>service@efunds.com.cn</w:t>
        </w:r>
      </w:hyperlink>
    </w:p>
    <w:p>
      <w:pPr>
        <w:spacing w:after="0" w:line="364" w:lineRule="auto"/>
        <w:sectPr>
          <w:pgSz w:w="11910" w:h="16840"/>
          <w:pgMar w:header="0" w:footer="910" w:top="1400" w:bottom="1180" w:left="1400" w:right="1380"/>
        </w:sectPr>
      </w:pPr>
    </w:p>
    <w:p>
      <w:pPr>
        <w:pStyle w:val="Heading1"/>
      </w:pPr>
      <w:bookmarkStart w:name="_bookmark129" w:id="130"/>
      <w:bookmarkEnd w:id="130"/>
      <w:r>
        <w:rPr>
          <w:b w:val="0"/>
        </w:rPr>
      </w:r>
      <w:r>
        <w:rPr/>
        <w:t>二十五、其他应披露事项</w:t>
      </w:r>
    </w:p>
    <w:p>
      <w:pPr>
        <w:pStyle w:val="BodyText"/>
        <w:spacing w:before="5" w:after="1"/>
        <w:ind w:left="0"/>
        <w:rPr>
          <w:rFonts w:ascii="Microsoft JhengHei"/>
          <w:b/>
          <w:sz w:val="7"/>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7"/>
        <w:gridCol w:w="1701"/>
      </w:tblGrid>
      <w:tr>
        <w:trPr>
          <w:trHeight w:val="410" w:hRule="atLeast"/>
        </w:trPr>
        <w:tc>
          <w:tcPr>
            <w:tcW w:w="6237" w:type="dxa"/>
          </w:tcPr>
          <w:p>
            <w:pPr>
              <w:pStyle w:val="TableParagraph"/>
              <w:spacing w:before="72"/>
              <w:ind w:left="2609" w:right="2738"/>
              <w:jc w:val="center"/>
              <w:rPr>
                <w:sz w:val="21"/>
              </w:rPr>
            </w:pPr>
            <w:r>
              <w:rPr>
                <w:sz w:val="21"/>
              </w:rPr>
              <w:t>公告事项</w:t>
            </w:r>
          </w:p>
        </w:tc>
        <w:tc>
          <w:tcPr>
            <w:tcW w:w="1701" w:type="dxa"/>
          </w:tcPr>
          <w:p>
            <w:pPr>
              <w:pStyle w:val="TableParagraph"/>
              <w:spacing w:before="72"/>
              <w:ind w:left="305" w:right="295"/>
              <w:jc w:val="center"/>
              <w:rPr>
                <w:sz w:val="21"/>
              </w:rPr>
            </w:pPr>
            <w:r>
              <w:rPr>
                <w:sz w:val="21"/>
              </w:rPr>
              <w:t>披露日期</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易方达基金管理有限公司旗下部分开放式基金参加中金公司费率优惠活动的公告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2020-03-05</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易方达基金管理有限公司旗下部分开放式基金参加百度百盈费率优惠活动的公告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2020-03-10</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易方达基金管理有限公司关于旗下部分开放式基金参加腾安基金费率优惠活动的公告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2020-03-17</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易方达基金管理有限公司关于公司旗下部分基金估值调整情况的公告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2020-03-18</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易方达基金管理有限公司旗下部分开放式基金增加华瑞保险销售为销售机构、参加华瑞保险销售费率优惠活动的公告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2020-03-23</w:t>
            </w:r>
          </w:p>
        </w:tc>
      </w:tr>
      <w:tr>
        <w:trPr>
          <w:trHeight w:val="495" w:hRule="atLeast"/>
        </w:trPr>
        <w:tc>
          <w:tcPr>
            <w:tcW w:w="6237" w:type="dxa"/>
          </w:tcPr>
          <w:p>
            <w:pPr>
              <w:pStyle w:val="TableParagraph"/>
              <w:spacing w:before="114"/>
              <w:ind w:left="108"/>
              <w:rPr>
                <w:sz w:val="21"/>
              </w:rPr>
            </w:pPr>
            <w:r>
              <w:rPr>
                <w:sz w:val="21"/>
              </w:rPr>
              <w:t>易方达基金管理有限公司旗下基金 2019 年年度报告提示性公告</w:t>
            </w:r>
          </w:p>
        </w:tc>
        <w:tc>
          <w:tcPr>
            <w:tcW w:w="1701" w:type="dxa"/>
          </w:tcPr>
          <w:p>
            <w:pPr>
              <w:pStyle w:val="TableParagraph"/>
              <w:spacing w:before="114"/>
              <w:ind w:left="305" w:right="295"/>
              <w:jc w:val="center"/>
              <w:rPr>
                <w:sz w:val="21"/>
              </w:rPr>
            </w:pPr>
            <w:r>
              <w:rPr>
                <w:sz w:val="21"/>
              </w:rPr>
              <w:t>2020-03-31</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易方达基金管理有限公司关于提醒投资者及时提供或更新身份信息资料的公告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2020-04-10</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易方达基金管理有限公司旗下部分开放式基金参加诺亚正行费率优惠活动的公告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2020-04-17</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易方达基金管理有限公司旗下部分开放式基金参加中国国际期货费率优惠活动的公告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2020-04-17</w:t>
            </w:r>
          </w:p>
        </w:tc>
      </w:tr>
      <w:tr>
        <w:trPr>
          <w:trHeight w:val="775" w:hRule="atLeast"/>
        </w:trPr>
        <w:tc>
          <w:tcPr>
            <w:tcW w:w="6237" w:type="dxa"/>
          </w:tcPr>
          <w:p>
            <w:pPr>
              <w:pStyle w:val="TableParagraph"/>
              <w:spacing w:line="278" w:lineRule="auto" w:before="99"/>
              <w:ind w:left="108" w:right="133"/>
              <w:rPr>
                <w:sz w:val="21"/>
              </w:rPr>
            </w:pPr>
            <w:r>
              <w:rPr>
                <w:spacing w:val="-4"/>
                <w:sz w:val="21"/>
              </w:rPr>
              <w:t>易方达基金管理有限公司旗下基金 </w:t>
            </w:r>
            <w:r>
              <w:rPr>
                <w:sz w:val="21"/>
              </w:rPr>
              <w:t>2020</w:t>
            </w:r>
            <w:r>
              <w:rPr>
                <w:spacing w:val="-27"/>
                <w:sz w:val="21"/>
              </w:rPr>
              <w:t> 年第 </w:t>
            </w:r>
            <w:r>
              <w:rPr>
                <w:sz w:val="21"/>
              </w:rPr>
              <w:t>1</w:t>
            </w:r>
            <w:r>
              <w:rPr>
                <w:spacing w:val="-9"/>
                <w:sz w:val="21"/>
              </w:rPr>
              <w:t> 季度报告提示性公</w:t>
            </w:r>
            <w:r>
              <w:rPr>
                <w:sz w:val="21"/>
              </w:rPr>
              <w:t>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2020-04-21</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易方达基金管理有限公司旗下部分开放式基金参加国联证券费率优惠活动的公告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2020-04-22</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易方达基金管理有限公司旗下部分开放式基金参加中金公司申购费率优惠活动的公告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2020-05-14</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易方达基金管理有限公司旗下部分开放式基金参加万联证券费率优惠活动的公告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2020-05-18</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易方达基金管理有限公司旗下部分开放式基金参加华夏财富费率优惠活动的公告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2020-05-23</w:t>
            </w:r>
          </w:p>
        </w:tc>
      </w:tr>
      <w:tr>
        <w:trPr>
          <w:trHeight w:val="780" w:hRule="atLeast"/>
        </w:trPr>
        <w:tc>
          <w:tcPr>
            <w:tcW w:w="6237" w:type="dxa"/>
          </w:tcPr>
          <w:p>
            <w:pPr>
              <w:pStyle w:val="TableParagraph"/>
              <w:spacing w:line="278" w:lineRule="auto" w:before="101"/>
              <w:ind w:left="108" w:right="238"/>
              <w:rPr>
                <w:sz w:val="21"/>
              </w:rPr>
            </w:pPr>
            <w:r>
              <w:rPr>
                <w:sz w:val="21"/>
              </w:rPr>
              <w:t>易方达基金管理有限公司关于旗下基金在包商银行股份有限公司相关业务安排的提示性公告</w:t>
            </w:r>
          </w:p>
        </w:tc>
        <w:tc>
          <w:tcPr>
            <w:tcW w:w="1701" w:type="dxa"/>
          </w:tcPr>
          <w:p>
            <w:pPr>
              <w:pStyle w:val="TableParagraph"/>
              <w:spacing w:before="18"/>
              <w:rPr>
                <w:rFonts w:ascii="Microsoft JhengHei"/>
                <w:b/>
                <w:sz w:val="13"/>
              </w:rPr>
            </w:pPr>
          </w:p>
          <w:p>
            <w:pPr>
              <w:pStyle w:val="TableParagraph"/>
              <w:ind w:left="305" w:right="295"/>
              <w:jc w:val="center"/>
              <w:rPr>
                <w:sz w:val="21"/>
              </w:rPr>
            </w:pPr>
            <w:r>
              <w:rPr>
                <w:sz w:val="21"/>
              </w:rPr>
              <w:t>2020-05-29</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易方达基金管理有限公司关于暂停上海朝阳永续基金销售有限公司办理旗下基金相关销售业务的公告</w:t>
            </w:r>
          </w:p>
        </w:tc>
        <w:tc>
          <w:tcPr>
            <w:tcW w:w="1701" w:type="dxa"/>
          </w:tcPr>
          <w:p>
            <w:pPr>
              <w:pStyle w:val="TableParagraph"/>
              <w:spacing w:before="16"/>
              <w:rPr>
                <w:rFonts w:ascii="Microsoft JhengHei"/>
                <w:b/>
                <w:sz w:val="13"/>
              </w:rPr>
            </w:pPr>
          </w:p>
          <w:p>
            <w:pPr>
              <w:pStyle w:val="TableParagraph"/>
              <w:ind w:left="305" w:right="295"/>
              <w:jc w:val="center"/>
              <w:rPr>
                <w:sz w:val="21"/>
              </w:rPr>
            </w:pPr>
            <w:r>
              <w:rPr>
                <w:sz w:val="21"/>
              </w:rPr>
              <w:t>2020-06-03</w:t>
            </w:r>
          </w:p>
        </w:tc>
      </w:tr>
      <w:tr>
        <w:trPr>
          <w:trHeight w:val="410" w:hRule="atLeast"/>
        </w:trPr>
        <w:tc>
          <w:tcPr>
            <w:tcW w:w="6237" w:type="dxa"/>
          </w:tcPr>
          <w:p>
            <w:pPr>
              <w:pStyle w:val="TableParagraph"/>
              <w:spacing w:before="72"/>
              <w:ind w:left="108"/>
              <w:rPr>
                <w:sz w:val="21"/>
              </w:rPr>
            </w:pPr>
            <w:r>
              <w:rPr>
                <w:sz w:val="21"/>
              </w:rPr>
              <w:t>易方达基金管理有限公司关于调整旗下部分开放式基金在招商银</w:t>
            </w:r>
          </w:p>
        </w:tc>
        <w:tc>
          <w:tcPr>
            <w:tcW w:w="1701" w:type="dxa"/>
          </w:tcPr>
          <w:p>
            <w:pPr>
              <w:pStyle w:val="TableParagraph"/>
              <w:spacing w:before="72"/>
              <w:ind w:left="305" w:right="295"/>
              <w:jc w:val="center"/>
              <w:rPr>
                <w:sz w:val="21"/>
              </w:rPr>
            </w:pPr>
            <w:r>
              <w:rPr>
                <w:sz w:val="21"/>
              </w:rPr>
              <w:t>2020-06-04</w:t>
            </w:r>
          </w:p>
        </w:tc>
      </w:tr>
    </w:tbl>
    <w:p>
      <w:pPr>
        <w:spacing w:after="0"/>
        <w:jc w:val="center"/>
        <w:rPr>
          <w:sz w:val="21"/>
        </w:rPr>
        <w:sectPr>
          <w:pgSz w:w="11910" w:h="16840"/>
          <w:pgMar w:header="0" w:footer="910" w:top="1400" w:bottom="1180" w:left="1400" w:right="1380"/>
        </w:sect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7"/>
        <w:gridCol w:w="1701"/>
      </w:tblGrid>
      <w:tr>
        <w:trPr>
          <w:trHeight w:val="410" w:hRule="atLeast"/>
        </w:trPr>
        <w:tc>
          <w:tcPr>
            <w:tcW w:w="6237" w:type="dxa"/>
          </w:tcPr>
          <w:p>
            <w:pPr>
              <w:pStyle w:val="TableParagraph"/>
              <w:spacing w:before="23"/>
              <w:ind w:left="108"/>
              <w:rPr>
                <w:sz w:val="21"/>
              </w:rPr>
            </w:pPr>
            <w:r>
              <w:rPr>
                <w:sz w:val="21"/>
              </w:rPr>
              <w:t>行最低定期定额投资金额限制的公告</w:t>
            </w:r>
          </w:p>
        </w:tc>
        <w:tc>
          <w:tcPr>
            <w:tcW w:w="1701" w:type="dxa"/>
          </w:tcPr>
          <w:p>
            <w:pPr>
              <w:pStyle w:val="TableParagraph"/>
              <w:rPr>
                <w:rFonts w:ascii="Times New Roman"/>
                <w:sz w:val="20"/>
              </w:rPr>
            </w:pPr>
          </w:p>
        </w:tc>
      </w:tr>
      <w:tr>
        <w:trPr>
          <w:trHeight w:val="549" w:hRule="atLeast"/>
        </w:trPr>
        <w:tc>
          <w:tcPr>
            <w:tcW w:w="6237" w:type="dxa"/>
          </w:tcPr>
          <w:p>
            <w:pPr>
              <w:pStyle w:val="TableParagraph"/>
              <w:spacing w:before="141"/>
              <w:ind w:left="108"/>
              <w:rPr>
                <w:sz w:val="21"/>
              </w:rPr>
            </w:pPr>
            <w:r>
              <w:rPr>
                <w:sz w:val="21"/>
              </w:rPr>
              <w:t>易方达基金管理有限公司高级管理人员变更公告</w:t>
            </w:r>
          </w:p>
        </w:tc>
        <w:tc>
          <w:tcPr>
            <w:tcW w:w="1701" w:type="dxa"/>
          </w:tcPr>
          <w:p>
            <w:pPr>
              <w:pStyle w:val="TableParagraph"/>
              <w:spacing w:before="141"/>
              <w:ind w:right="313"/>
              <w:jc w:val="right"/>
              <w:rPr>
                <w:sz w:val="21"/>
              </w:rPr>
            </w:pPr>
            <w:r>
              <w:rPr>
                <w:sz w:val="21"/>
              </w:rPr>
              <w:t>2020-06-22</w:t>
            </w:r>
          </w:p>
        </w:tc>
      </w:tr>
      <w:tr>
        <w:trPr>
          <w:trHeight w:val="776" w:hRule="atLeast"/>
        </w:trPr>
        <w:tc>
          <w:tcPr>
            <w:tcW w:w="6237" w:type="dxa"/>
          </w:tcPr>
          <w:p>
            <w:pPr>
              <w:pStyle w:val="TableParagraph"/>
              <w:spacing w:line="278" w:lineRule="auto" w:before="99"/>
              <w:ind w:left="108" w:right="133"/>
              <w:rPr>
                <w:sz w:val="21"/>
              </w:rPr>
            </w:pPr>
            <w:r>
              <w:rPr>
                <w:spacing w:val="-4"/>
                <w:sz w:val="21"/>
              </w:rPr>
              <w:t>易方达基金管理有限公司旗下基金 </w:t>
            </w:r>
            <w:r>
              <w:rPr>
                <w:sz w:val="21"/>
              </w:rPr>
              <w:t>2020</w:t>
            </w:r>
            <w:r>
              <w:rPr>
                <w:spacing w:val="-27"/>
                <w:sz w:val="21"/>
              </w:rPr>
              <w:t> 年第 </w:t>
            </w:r>
            <w:r>
              <w:rPr>
                <w:sz w:val="21"/>
              </w:rPr>
              <w:t>2</w:t>
            </w:r>
            <w:r>
              <w:rPr>
                <w:spacing w:val="-9"/>
                <w:sz w:val="21"/>
              </w:rPr>
              <w:t> 季度报告提示性公</w:t>
            </w:r>
            <w:r>
              <w:rPr>
                <w:sz w:val="21"/>
              </w:rPr>
              <w:t>告</w:t>
            </w:r>
          </w:p>
        </w:tc>
        <w:tc>
          <w:tcPr>
            <w:tcW w:w="1701" w:type="dxa"/>
          </w:tcPr>
          <w:p>
            <w:pPr>
              <w:pStyle w:val="TableParagraph"/>
              <w:spacing w:before="16"/>
              <w:rPr>
                <w:rFonts w:ascii="Microsoft JhengHei"/>
                <w:b/>
                <w:sz w:val="13"/>
              </w:rPr>
            </w:pPr>
          </w:p>
          <w:p>
            <w:pPr>
              <w:pStyle w:val="TableParagraph"/>
              <w:ind w:right="313"/>
              <w:jc w:val="right"/>
              <w:rPr>
                <w:sz w:val="21"/>
              </w:rPr>
            </w:pPr>
            <w:r>
              <w:rPr>
                <w:sz w:val="21"/>
              </w:rPr>
              <w:t>2020-07-21</w:t>
            </w:r>
          </w:p>
        </w:tc>
      </w:tr>
      <w:tr>
        <w:trPr>
          <w:trHeight w:val="496" w:hRule="atLeast"/>
        </w:trPr>
        <w:tc>
          <w:tcPr>
            <w:tcW w:w="6237" w:type="dxa"/>
          </w:tcPr>
          <w:p>
            <w:pPr>
              <w:pStyle w:val="TableParagraph"/>
              <w:spacing w:before="115"/>
              <w:ind w:left="108"/>
              <w:rPr>
                <w:sz w:val="21"/>
              </w:rPr>
            </w:pPr>
            <w:r>
              <w:rPr>
                <w:sz w:val="21"/>
              </w:rPr>
              <w:t>易方达基金管理有限公司高级管理人员变更公告</w:t>
            </w:r>
          </w:p>
        </w:tc>
        <w:tc>
          <w:tcPr>
            <w:tcW w:w="1701" w:type="dxa"/>
          </w:tcPr>
          <w:p>
            <w:pPr>
              <w:pStyle w:val="TableParagraph"/>
              <w:spacing w:before="115"/>
              <w:ind w:right="313"/>
              <w:jc w:val="right"/>
              <w:rPr>
                <w:sz w:val="21"/>
              </w:rPr>
            </w:pPr>
            <w:r>
              <w:rPr>
                <w:sz w:val="21"/>
              </w:rPr>
              <w:t>2020-07-24</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易方达基金管理有限公司旗下部分开放式基金增加中国人寿为销售机构、参加中国人寿费率优惠活动的公告</w:t>
            </w:r>
          </w:p>
        </w:tc>
        <w:tc>
          <w:tcPr>
            <w:tcW w:w="1701" w:type="dxa"/>
          </w:tcPr>
          <w:p>
            <w:pPr>
              <w:pStyle w:val="TableParagraph"/>
              <w:spacing w:before="16"/>
              <w:rPr>
                <w:rFonts w:ascii="Microsoft JhengHei"/>
                <w:b/>
                <w:sz w:val="13"/>
              </w:rPr>
            </w:pPr>
          </w:p>
          <w:p>
            <w:pPr>
              <w:pStyle w:val="TableParagraph"/>
              <w:ind w:right="313"/>
              <w:jc w:val="right"/>
              <w:rPr>
                <w:sz w:val="21"/>
              </w:rPr>
            </w:pPr>
            <w:r>
              <w:rPr>
                <w:sz w:val="21"/>
              </w:rPr>
              <w:t>2020-08-24</w:t>
            </w:r>
          </w:p>
        </w:tc>
      </w:tr>
      <w:tr>
        <w:trPr>
          <w:trHeight w:val="776" w:hRule="atLeast"/>
        </w:trPr>
        <w:tc>
          <w:tcPr>
            <w:tcW w:w="6237" w:type="dxa"/>
          </w:tcPr>
          <w:p>
            <w:pPr>
              <w:pStyle w:val="TableParagraph"/>
              <w:spacing w:line="278" w:lineRule="auto" w:before="99"/>
              <w:ind w:left="108" w:right="238"/>
              <w:rPr>
                <w:sz w:val="21"/>
              </w:rPr>
            </w:pPr>
            <w:r>
              <w:rPr>
                <w:sz w:val="21"/>
              </w:rPr>
              <w:t>易方达基金管理有限公司旗下部分开放式基金增加苏州农村商业银行为销售机构的公告</w:t>
            </w:r>
          </w:p>
        </w:tc>
        <w:tc>
          <w:tcPr>
            <w:tcW w:w="1701" w:type="dxa"/>
          </w:tcPr>
          <w:p>
            <w:pPr>
              <w:pStyle w:val="TableParagraph"/>
              <w:spacing w:before="16"/>
              <w:rPr>
                <w:rFonts w:ascii="Microsoft JhengHei"/>
                <w:b/>
                <w:sz w:val="13"/>
              </w:rPr>
            </w:pPr>
          </w:p>
          <w:p>
            <w:pPr>
              <w:pStyle w:val="TableParagraph"/>
              <w:ind w:right="313"/>
              <w:jc w:val="right"/>
              <w:rPr>
                <w:sz w:val="21"/>
              </w:rPr>
            </w:pPr>
            <w:r>
              <w:rPr>
                <w:sz w:val="21"/>
              </w:rPr>
              <w:t>2020-08-25</w:t>
            </w:r>
          </w:p>
        </w:tc>
      </w:tr>
      <w:tr>
        <w:trPr>
          <w:trHeight w:val="527" w:hRule="atLeast"/>
        </w:trPr>
        <w:tc>
          <w:tcPr>
            <w:tcW w:w="6237" w:type="dxa"/>
          </w:tcPr>
          <w:p>
            <w:pPr>
              <w:pStyle w:val="TableParagraph"/>
              <w:spacing w:before="130"/>
              <w:ind w:left="108"/>
              <w:rPr>
                <w:sz w:val="21"/>
              </w:rPr>
            </w:pPr>
            <w:r>
              <w:rPr>
                <w:sz w:val="21"/>
              </w:rPr>
              <w:t>易方达基金管理有限公司旗下基金 2020 年中期报告提示性公告</w:t>
            </w:r>
          </w:p>
        </w:tc>
        <w:tc>
          <w:tcPr>
            <w:tcW w:w="1701" w:type="dxa"/>
          </w:tcPr>
          <w:p>
            <w:pPr>
              <w:pStyle w:val="TableParagraph"/>
              <w:spacing w:before="130"/>
              <w:ind w:right="313"/>
              <w:jc w:val="right"/>
              <w:rPr>
                <w:sz w:val="21"/>
              </w:rPr>
            </w:pPr>
            <w:r>
              <w:rPr>
                <w:sz w:val="21"/>
              </w:rPr>
              <w:t>2020-08-28</w:t>
            </w:r>
          </w:p>
        </w:tc>
      </w:tr>
      <w:tr>
        <w:trPr>
          <w:trHeight w:val="775" w:hRule="atLeast"/>
        </w:trPr>
        <w:tc>
          <w:tcPr>
            <w:tcW w:w="6237" w:type="dxa"/>
          </w:tcPr>
          <w:p>
            <w:pPr>
              <w:pStyle w:val="TableParagraph"/>
              <w:spacing w:line="278" w:lineRule="auto" w:before="99"/>
              <w:ind w:left="108" w:right="133"/>
              <w:rPr>
                <w:sz w:val="21"/>
              </w:rPr>
            </w:pPr>
            <w:r>
              <w:rPr>
                <w:spacing w:val="-5"/>
                <w:sz w:val="21"/>
              </w:rPr>
              <w:t>易方达基金管理有限公司关于旗下部分基金获配格尔软件</w:t>
            </w:r>
            <w:r>
              <w:rPr>
                <w:spacing w:val="-3"/>
                <w:sz w:val="21"/>
              </w:rPr>
              <w:t>（603232 </w:t>
            </w:r>
            <w:r>
              <w:rPr>
                <w:spacing w:val="-9"/>
                <w:sz w:val="21"/>
              </w:rPr>
              <w:t>非公开发行 </w:t>
            </w:r>
            <w:r>
              <w:rPr>
                <w:sz w:val="21"/>
              </w:rPr>
              <w:t>A</w:t>
            </w:r>
            <w:r>
              <w:rPr>
                <w:spacing w:val="-12"/>
                <w:sz w:val="21"/>
              </w:rPr>
              <w:t> 股的公告</w:t>
            </w:r>
          </w:p>
        </w:tc>
        <w:tc>
          <w:tcPr>
            <w:tcW w:w="1701" w:type="dxa"/>
          </w:tcPr>
          <w:p>
            <w:pPr>
              <w:pStyle w:val="TableParagraph"/>
              <w:spacing w:line="213" w:lineRule="exact" w:before="99"/>
              <w:ind w:left="-144"/>
              <w:rPr>
                <w:sz w:val="21"/>
              </w:rPr>
            </w:pPr>
            <w:r>
              <w:rPr>
                <w:sz w:val="21"/>
              </w:rPr>
              <w:t>）</w:t>
            </w:r>
          </w:p>
          <w:p>
            <w:pPr>
              <w:pStyle w:val="TableParagraph"/>
              <w:spacing w:line="213" w:lineRule="exact"/>
              <w:ind w:left="325"/>
              <w:rPr>
                <w:sz w:val="21"/>
              </w:rPr>
            </w:pPr>
            <w:r>
              <w:rPr>
                <w:sz w:val="21"/>
              </w:rPr>
              <w:t>2020-09-04</w:t>
            </w:r>
          </w:p>
        </w:tc>
      </w:tr>
      <w:tr>
        <w:trPr>
          <w:trHeight w:val="775" w:hRule="atLeast"/>
        </w:trPr>
        <w:tc>
          <w:tcPr>
            <w:tcW w:w="6237" w:type="dxa"/>
          </w:tcPr>
          <w:p>
            <w:pPr>
              <w:pStyle w:val="TableParagraph"/>
              <w:spacing w:line="278" w:lineRule="auto" w:before="99"/>
              <w:ind w:left="108" w:right="238"/>
              <w:rPr>
                <w:sz w:val="21"/>
              </w:rPr>
            </w:pPr>
            <w:r>
              <w:rPr>
                <w:sz w:val="21"/>
              </w:rPr>
              <w:t>易方达基金管理有限公司旗下部分开放式基金参加中金财富申购费率优惠活动的公告</w:t>
            </w:r>
          </w:p>
        </w:tc>
        <w:tc>
          <w:tcPr>
            <w:tcW w:w="1701" w:type="dxa"/>
          </w:tcPr>
          <w:p>
            <w:pPr>
              <w:pStyle w:val="TableParagraph"/>
              <w:spacing w:before="16"/>
              <w:rPr>
                <w:rFonts w:ascii="Microsoft JhengHei"/>
                <w:b/>
                <w:sz w:val="13"/>
              </w:rPr>
            </w:pPr>
          </w:p>
          <w:p>
            <w:pPr>
              <w:pStyle w:val="TableParagraph"/>
              <w:ind w:right="313"/>
              <w:jc w:val="right"/>
              <w:rPr>
                <w:sz w:val="21"/>
              </w:rPr>
            </w:pPr>
            <w:r>
              <w:rPr>
                <w:sz w:val="21"/>
              </w:rPr>
              <w:t>2020-09-08</w:t>
            </w:r>
          </w:p>
        </w:tc>
      </w:tr>
    </w:tbl>
    <w:p>
      <w:pPr>
        <w:pStyle w:val="BodyText"/>
        <w:spacing w:before="3"/>
        <w:ind w:left="400"/>
      </w:pPr>
      <w:r>
        <w:rPr/>
        <w:t>注：以上公告事项披露在指定媒介及基金管理人网站上。</w:t>
      </w:r>
    </w:p>
    <w:p>
      <w:pPr>
        <w:spacing w:after="0"/>
        <w:sectPr>
          <w:pgSz w:w="11910" w:h="16840"/>
          <w:pgMar w:header="0" w:footer="910" w:top="1420" w:bottom="1180" w:left="1400" w:right="1380"/>
        </w:sectPr>
      </w:pPr>
    </w:p>
    <w:p>
      <w:pPr>
        <w:pStyle w:val="Heading1"/>
      </w:pPr>
      <w:bookmarkStart w:name="_bookmark130" w:id="131"/>
      <w:bookmarkEnd w:id="131"/>
      <w:r>
        <w:rPr>
          <w:b w:val="0"/>
        </w:rPr>
      </w:r>
      <w:r>
        <w:rPr/>
        <w:t>二十六、招募说明书存放及查阅方式</w:t>
      </w:r>
    </w:p>
    <w:p>
      <w:pPr>
        <w:pStyle w:val="BodyText"/>
        <w:spacing w:line="364" w:lineRule="auto" w:before="138"/>
        <w:ind w:left="400" w:right="418" w:firstLine="420"/>
        <w:jc w:val="both"/>
      </w:pPr>
      <w:r>
        <w:rPr>
          <w:spacing w:val="-11"/>
        </w:rPr>
        <w:t>本《招募说明书》存放在基金管理人、基金托管人及基金销售机构处，投资者可在营业时间免费查阅，也可按工本费购买复印件。基金管理人和基金托管人保证其所提供的文本的</w:t>
      </w:r>
      <w:r>
        <w:rPr/>
        <w:t>内容与所公告的内容完全一致。</w:t>
      </w:r>
    </w:p>
    <w:p>
      <w:pPr>
        <w:spacing w:after="0" w:line="364" w:lineRule="auto"/>
        <w:jc w:val="both"/>
        <w:sectPr>
          <w:pgSz w:w="11910" w:h="16840"/>
          <w:pgMar w:header="0" w:footer="910" w:top="1400" w:bottom="1180" w:left="1400" w:right="1380"/>
        </w:sectPr>
      </w:pPr>
    </w:p>
    <w:p>
      <w:pPr>
        <w:pStyle w:val="Heading1"/>
      </w:pPr>
      <w:bookmarkStart w:name="_bookmark131" w:id="132"/>
      <w:bookmarkEnd w:id="132"/>
      <w:r>
        <w:rPr>
          <w:b w:val="0"/>
        </w:rPr>
      </w:r>
      <w:r>
        <w:rPr/>
        <w:t>二十七、备查文件</w:t>
      </w:r>
    </w:p>
    <w:p>
      <w:pPr>
        <w:pStyle w:val="BodyText"/>
        <w:spacing w:before="138"/>
        <w:ind w:left="400"/>
      </w:pPr>
      <w:r>
        <w:rPr/>
        <w:t>1、中国证监会核准科讯证券投资基金基金份额持有人大会决议的文件；</w:t>
      </w:r>
    </w:p>
    <w:p>
      <w:pPr>
        <w:pStyle w:val="BodyText"/>
        <w:spacing w:before="139"/>
        <w:ind w:left="400"/>
      </w:pPr>
      <w:r>
        <w:rPr/>
        <w:t>2、《易方达科讯混合型证券投资基金基金合同》；</w:t>
      </w:r>
    </w:p>
    <w:p>
      <w:pPr>
        <w:pStyle w:val="BodyText"/>
        <w:spacing w:before="140"/>
        <w:ind w:left="400"/>
      </w:pPr>
      <w:r>
        <w:rPr/>
        <w:t>3、《易方达基金管理有限公司开放式基金业务规则》；</w:t>
      </w:r>
    </w:p>
    <w:p>
      <w:pPr>
        <w:pStyle w:val="BodyText"/>
        <w:spacing w:before="139"/>
        <w:ind w:left="400"/>
      </w:pPr>
      <w:r>
        <w:rPr/>
        <w:t>4、《易方达科讯混合型证券投资基金托管协议》；</w:t>
      </w:r>
    </w:p>
    <w:p>
      <w:pPr>
        <w:pStyle w:val="BodyText"/>
        <w:spacing w:before="139"/>
        <w:ind w:left="400"/>
      </w:pPr>
      <w:r>
        <w:rPr/>
        <w:t>5、法律意见书；</w:t>
      </w:r>
    </w:p>
    <w:p>
      <w:pPr>
        <w:pStyle w:val="BodyText"/>
        <w:spacing w:before="140"/>
        <w:ind w:left="400"/>
      </w:pPr>
      <w:r>
        <w:rPr/>
        <w:t>6、基金管理人业务资格批件和营业执照；</w:t>
      </w:r>
    </w:p>
    <w:p>
      <w:pPr>
        <w:pStyle w:val="BodyText"/>
        <w:spacing w:line="364" w:lineRule="auto" w:before="139"/>
        <w:ind w:left="400" w:right="4840"/>
      </w:pPr>
      <w:r>
        <w:rPr/>
        <w:t>7、基金托管人业务资格批件和营业执照。存放地点：基金管理人、基金托管人处</w:t>
      </w:r>
    </w:p>
    <w:p>
      <w:pPr>
        <w:pStyle w:val="BodyText"/>
        <w:spacing w:line="268" w:lineRule="exact"/>
        <w:ind w:left="40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spacing w:before="1"/>
        <w:ind w:left="5975"/>
        <w:jc w:val="center"/>
      </w:pPr>
      <w:r>
        <w:rPr/>
        <w:t>易方达基金管理有限公司</w:t>
      </w:r>
    </w:p>
    <w:p>
      <w:pPr>
        <w:pStyle w:val="BodyText"/>
        <w:spacing w:before="139"/>
        <w:ind w:left="5923"/>
        <w:jc w:val="center"/>
      </w:pPr>
      <w:r>
        <w:rPr/>
        <w:t>2020 年 10 月 29 日</w:t>
      </w:r>
    </w:p>
    <w:sectPr>
      <w:pgSz w:w="11910" w:h="16840"/>
      <w:pgMar w:header="0" w:footer="910" w:top="1400" w:bottom="11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仿宋">
    <w:altName w:val="仿宋"/>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653015pt;margin-top:781.382935pt;width:10pt;height:12pt;mso-position-horizontal-relative:page;mso-position-vertical-relative:page;z-index:-2583060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88.899994pt;margin-top:781.382935pt;width:17.5pt;height:12pt;mso-position-horizontal-relative:page;mso-position-vertical-relative:page;z-index:-2583040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70">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9">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8">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7">
    <w:multiLevelType w:val="hybridMultilevel"/>
    <w:lvl w:ilvl="0">
      <w:start w:val="1"/>
      <w:numFmt w:val="decimal"/>
      <w:lvlText w:val="（%1）"/>
      <w:lvlJc w:val="left"/>
      <w:pPr>
        <w:ind w:left="40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5">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4">
    <w:multiLevelType w:val="hybridMultilevel"/>
    <w:lvl w:ilvl="0">
      <w:start w:val="1"/>
      <w:numFmt w:val="decimal"/>
      <w:lvlText w:val="（%1）"/>
      <w:lvlJc w:val="left"/>
      <w:pPr>
        <w:ind w:left="400"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63">
    <w:multiLevelType w:val="hybridMultilevel"/>
    <w:lvl w:ilvl="0">
      <w:start w:val="1"/>
      <w:numFmt w:val="decimal"/>
      <w:lvlText w:val="（%1）"/>
      <w:lvlJc w:val="left"/>
      <w:pPr>
        <w:ind w:left="400"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62">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1">
    <w:multiLevelType w:val="hybridMultilevel"/>
    <w:lvl w:ilvl="0">
      <w:start w:val="12"/>
      <w:numFmt w:val="decimal"/>
      <w:lvlText w:val="（%1）"/>
      <w:lvlJc w:val="left"/>
      <w:pPr>
        <w:ind w:left="820" w:hanging="63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650" w:hanging="631"/>
      </w:pPr>
      <w:rPr>
        <w:rFonts w:hint="default"/>
        <w:lang w:val="zh-CN" w:eastAsia="zh-CN" w:bidi="zh-CN"/>
      </w:rPr>
    </w:lvl>
    <w:lvl w:ilvl="2">
      <w:start w:val="0"/>
      <w:numFmt w:val="bullet"/>
      <w:lvlText w:val="•"/>
      <w:lvlJc w:val="left"/>
      <w:pPr>
        <w:ind w:left="2481" w:hanging="631"/>
      </w:pPr>
      <w:rPr>
        <w:rFonts w:hint="default"/>
        <w:lang w:val="zh-CN" w:eastAsia="zh-CN" w:bidi="zh-CN"/>
      </w:rPr>
    </w:lvl>
    <w:lvl w:ilvl="3">
      <w:start w:val="0"/>
      <w:numFmt w:val="bullet"/>
      <w:lvlText w:val="•"/>
      <w:lvlJc w:val="left"/>
      <w:pPr>
        <w:ind w:left="3311" w:hanging="631"/>
      </w:pPr>
      <w:rPr>
        <w:rFonts w:hint="default"/>
        <w:lang w:val="zh-CN" w:eastAsia="zh-CN" w:bidi="zh-CN"/>
      </w:rPr>
    </w:lvl>
    <w:lvl w:ilvl="4">
      <w:start w:val="0"/>
      <w:numFmt w:val="bullet"/>
      <w:lvlText w:val="•"/>
      <w:lvlJc w:val="left"/>
      <w:pPr>
        <w:ind w:left="4142" w:hanging="631"/>
      </w:pPr>
      <w:rPr>
        <w:rFonts w:hint="default"/>
        <w:lang w:val="zh-CN" w:eastAsia="zh-CN" w:bidi="zh-CN"/>
      </w:rPr>
    </w:lvl>
    <w:lvl w:ilvl="5">
      <w:start w:val="0"/>
      <w:numFmt w:val="bullet"/>
      <w:lvlText w:val="•"/>
      <w:lvlJc w:val="left"/>
      <w:pPr>
        <w:ind w:left="4973" w:hanging="631"/>
      </w:pPr>
      <w:rPr>
        <w:rFonts w:hint="default"/>
        <w:lang w:val="zh-CN" w:eastAsia="zh-CN" w:bidi="zh-CN"/>
      </w:rPr>
    </w:lvl>
    <w:lvl w:ilvl="6">
      <w:start w:val="0"/>
      <w:numFmt w:val="bullet"/>
      <w:lvlText w:val="•"/>
      <w:lvlJc w:val="left"/>
      <w:pPr>
        <w:ind w:left="5803" w:hanging="631"/>
      </w:pPr>
      <w:rPr>
        <w:rFonts w:hint="default"/>
        <w:lang w:val="zh-CN" w:eastAsia="zh-CN" w:bidi="zh-CN"/>
      </w:rPr>
    </w:lvl>
    <w:lvl w:ilvl="7">
      <w:start w:val="0"/>
      <w:numFmt w:val="bullet"/>
      <w:lvlText w:val="•"/>
      <w:lvlJc w:val="left"/>
      <w:pPr>
        <w:ind w:left="6634" w:hanging="631"/>
      </w:pPr>
      <w:rPr>
        <w:rFonts w:hint="default"/>
        <w:lang w:val="zh-CN" w:eastAsia="zh-CN" w:bidi="zh-CN"/>
      </w:rPr>
    </w:lvl>
    <w:lvl w:ilvl="8">
      <w:start w:val="0"/>
      <w:numFmt w:val="bullet"/>
      <w:lvlText w:val="•"/>
      <w:lvlJc w:val="left"/>
      <w:pPr>
        <w:ind w:left="7464" w:hanging="631"/>
      </w:pPr>
      <w:rPr>
        <w:rFonts w:hint="default"/>
        <w:lang w:val="zh-CN" w:eastAsia="zh-CN" w:bidi="zh-CN"/>
      </w:rPr>
    </w:lvl>
  </w:abstractNum>
  <w:abstractNum w:abstractNumId="60">
    <w:multiLevelType w:val="hybridMultilevel"/>
    <w:lvl w:ilvl="0">
      <w:start w:val="1"/>
      <w:numFmt w:val="decimal"/>
      <w:lvlText w:val="（%1）"/>
      <w:lvlJc w:val="left"/>
      <w:pPr>
        <w:ind w:left="134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9">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8">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7">
    <w:multiLevelType w:val="hybridMultilevel"/>
    <w:lvl w:ilvl="0">
      <w:start w:val="1"/>
      <w:numFmt w:val="decimal"/>
      <w:lvlText w:val="%1）"/>
      <w:lvlJc w:val="left"/>
      <w:pPr>
        <w:ind w:left="40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5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5">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4">
    <w:multiLevelType w:val="hybridMultilevel"/>
    <w:lvl w:ilvl="0">
      <w:start w:val="1"/>
      <w:numFmt w:val="decimal"/>
      <w:lvlText w:val="（%1）"/>
      <w:lvlJc w:val="left"/>
      <w:pPr>
        <w:ind w:left="40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3">
    <w:multiLevelType w:val="hybridMultilevel"/>
    <w:lvl w:ilvl="0">
      <w:start w:val="1"/>
      <w:numFmt w:val="decimal"/>
      <w:lvlText w:val="（%1）"/>
      <w:lvlJc w:val="left"/>
      <w:pPr>
        <w:ind w:left="40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2">
    <w:multiLevelType w:val="hybridMultilevel"/>
    <w:lvl w:ilvl="0">
      <w:start w:val="1"/>
      <w:numFmt w:val="decimal"/>
      <w:lvlText w:val="%1）"/>
      <w:lvlJc w:val="left"/>
      <w:pPr>
        <w:ind w:left="400" w:hanging="31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51">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0">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4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8">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47">
    <w:multiLevelType w:val="hybridMultilevel"/>
    <w:lvl w:ilvl="0">
      <w:start w:val="1"/>
      <w:numFmt w:val="decimal"/>
      <w:lvlText w:val="%1）"/>
      <w:lvlJc w:val="left"/>
      <w:pPr>
        <w:ind w:left="40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4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5">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44">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3">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42">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1">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0">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9">
    <w:multiLevelType w:val="hybridMultilevel"/>
    <w:lvl w:ilvl="0">
      <w:start w:val="6"/>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1"/>
      <w:numFmt w:val="decimal"/>
      <w:lvlText w:val="（%2）"/>
      <w:lvlJc w:val="left"/>
      <w:pPr>
        <w:ind w:left="1346" w:hanging="526"/>
        <w:jc w:val="left"/>
      </w:pPr>
      <w:rPr>
        <w:rFonts w:hint="default" w:ascii="宋体" w:hAnsi="宋体" w:eastAsia="宋体" w:cs="宋体"/>
        <w:w w:val="100"/>
        <w:sz w:val="19"/>
        <w:szCs w:val="19"/>
        <w:lang w:val="zh-CN" w:eastAsia="zh-CN" w:bidi="zh-CN"/>
      </w:rPr>
    </w:lvl>
    <w:lvl w:ilvl="2">
      <w:start w:val="0"/>
      <w:numFmt w:val="bullet"/>
      <w:lvlText w:val="•"/>
      <w:lvlJc w:val="left"/>
      <w:pPr>
        <w:ind w:left="2205" w:hanging="526"/>
      </w:pPr>
      <w:rPr>
        <w:rFonts w:hint="default"/>
        <w:lang w:val="zh-CN" w:eastAsia="zh-CN" w:bidi="zh-CN"/>
      </w:rPr>
    </w:lvl>
    <w:lvl w:ilvl="3">
      <w:start w:val="0"/>
      <w:numFmt w:val="bullet"/>
      <w:lvlText w:val="•"/>
      <w:lvlJc w:val="left"/>
      <w:pPr>
        <w:ind w:left="3070" w:hanging="526"/>
      </w:pPr>
      <w:rPr>
        <w:rFonts w:hint="default"/>
        <w:lang w:val="zh-CN" w:eastAsia="zh-CN" w:bidi="zh-CN"/>
      </w:rPr>
    </w:lvl>
    <w:lvl w:ilvl="4">
      <w:start w:val="0"/>
      <w:numFmt w:val="bullet"/>
      <w:lvlText w:val="•"/>
      <w:lvlJc w:val="left"/>
      <w:pPr>
        <w:ind w:left="3935" w:hanging="526"/>
      </w:pPr>
      <w:rPr>
        <w:rFonts w:hint="default"/>
        <w:lang w:val="zh-CN" w:eastAsia="zh-CN" w:bidi="zh-CN"/>
      </w:rPr>
    </w:lvl>
    <w:lvl w:ilvl="5">
      <w:start w:val="0"/>
      <w:numFmt w:val="bullet"/>
      <w:lvlText w:val="•"/>
      <w:lvlJc w:val="left"/>
      <w:pPr>
        <w:ind w:left="4800" w:hanging="526"/>
      </w:pPr>
      <w:rPr>
        <w:rFonts w:hint="default"/>
        <w:lang w:val="zh-CN" w:eastAsia="zh-CN" w:bidi="zh-CN"/>
      </w:rPr>
    </w:lvl>
    <w:lvl w:ilvl="6">
      <w:start w:val="0"/>
      <w:numFmt w:val="bullet"/>
      <w:lvlText w:val="•"/>
      <w:lvlJc w:val="left"/>
      <w:pPr>
        <w:ind w:left="5665" w:hanging="526"/>
      </w:pPr>
      <w:rPr>
        <w:rFonts w:hint="default"/>
        <w:lang w:val="zh-CN" w:eastAsia="zh-CN" w:bidi="zh-CN"/>
      </w:rPr>
    </w:lvl>
    <w:lvl w:ilvl="7">
      <w:start w:val="0"/>
      <w:numFmt w:val="bullet"/>
      <w:lvlText w:val="•"/>
      <w:lvlJc w:val="left"/>
      <w:pPr>
        <w:ind w:left="6530" w:hanging="526"/>
      </w:pPr>
      <w:rPr>
        <w:rFonts w:hint="default"/>
        <w:lang w:val="zh-CN" w:eastAsia="zh-CN" w:bidi="zh-CN"/>
      </w:rPr>
    </w:lvl>
    <w:lvl w:ilvl="8">
      <w:start w:val="0"/>
      <w:numFmt w:val="bullet"/>
      <w:lvlText w:val="•"/>
      <w:lvlJc w:val="left"/>
      <w:pPr>
        <w:ind w:left="7395" w:hanging="526"/>
      </w:pPr>
      <w:rPr>
        <w:rFonts w:hint="default"/>
        <w:lang w:val="zh-CN" w:eastAsia="zh-CN" w:bidi="zh-CN"/>
      </w:rPr>
    </w:lvl>
  </w:abstractNum>
  <w:abstractNum w:abstractNumId="38">
    <w:multiLevelType w:val="hybridMultilevel"/>
    <w:lvl w:ilvl="0">
      <w:start w:val="1"/>
      <w:numFmt w:val="decimal"/>
      <w:lvlText w:val="(%1)"/>
      <w:lvlJc w:val="left"/>
      <w:pPr>
        <w:ind w:left="124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1240" w:hanging="840"/>
      </w:pPr>
      <w:rPr>
        <w:rFonts w:hint="default"/>
        <w:lang w:val="zh-CN" w:eastAsia="zh-CN" w:bidi="zh-CN"/>
      </w:rPr>
    </w:lvl>
    <w:lvl w:ilvl="2">
      <w:start w:val="0"/>
      <w:numFmt w:val="bullet"/>
      <w:lvlText w:val="•"/>
      <w:lvlJc w:val="left"/>
      <w:pPr>
        <w:ind w:left="2116" w:hanging="840"/>
      </w:pPr>
      <w:rPr>
        <w:rFonts w:hint="default"/>
        <w:lang w:val="zh-CN" w:eastAsia="zh-CN" w:bidi="zh-CN"/>
      </w:rPr>
    </w:lvl>
    <w:lvl w:ilvl="3">
      <w:start w:val="0"/>
      <w:numFmt w:val="bullet"/>
      <w:lvlText w:val="•"/>
      <w:lvlJc w:val="left"/>
      <w:pPr>
        <w:ind w:left="2992" w:hanging="840"/>
      </w:pPr>
      <w:rPr>
        <w:rFonts w:hint="default"/>
        <w:lang w:val="zh-CN" w:eastAsia="zh-CN" w:bidi="zh-CN"/>
      </w:rPr>
    </w:lvl>
    <w:lvl w:ilvl="4">
      <w:start w:val="0"/>
      <w:numFmt w:val="bullet"/>
      <w:lvlText w:val="•"/>
      <w:lvlJc w:val="left"/>
      <w:pPr>
        <w:ind w:left="3868" w:hanging="840"/>
      </w:pPr>
      <w:rPr>
        <w:rFonts w:hint="default"/>
        <w:lang w:val="zh-CN" w:eastAsia="zh-CN" w:bidi="zh-CN"/>
      </w:rPr>
    </w:lvl>
    <w:lvl w:ilvl="5">
      <w:start w:val="0"/>
      <w:numFmt w:val="bullet"/>
      <w:lvlText w:val="•"/>
      <w:lvlJc w:val="left"/>
      <w:pPr>
        <w:ind w:left="4744" w:hanging="840"/>
      </w:pPr>
      <w:rPr>
        <w:rFonts w:hint="default"/>
        <w:lang w:val="zh-CN" w:eastAsia="zh-CN" w:bidi="zh-CN"/>
      </w:rPr>
    </w:lvl>
    <w:lvl w:ilvl="6">
      <w:start w:val="0"/>
      <w:numFmt w:val="bullet"/>
      <w:lvlText w:val="•"/>
      <w:lvlJc w:val="left"/>
      <w:pPr>
        <w:ind w:left="5621" w:hanging="840"/>
      </w:pPr>
      <w:rPr>
        <w:rFonts w:hint="default"/>
        <w:lang w:val="zh-CN" w:eastAsia="zh-CN" w:bidi="zh-CN"/>
      </w:rPr>
    </w:lvl>
    <w:lvl w:ilvl="7">
      <w:start w:val="0"/>
      <w:numFmt w:val="bullet"/>
      <w:lvlText w:val="•"/>
      <w:lvlJc w:val="left"/>
      <w:pPr>
        <w:ind w:left="6497" w:hanging="840"/>
      </w:pPr>
      <w:rPr>
        <w:rFonts w:hint="default"/>
        <w:lang w:val="zh-CN" w:eastAsia="zh-CN" w:bidi="zh-CN"/>
      </w:rPr>
    </w:lvl>
    <w:lvl w:ilvl="8">
      <w:start w:val="0"/>
      <w:numFmt w:val="bullet"/>
      <w:lvlText w:val="•"/>
      <w:lvlJc w:val="left"/>
      <w:pPr>
        <w:ind w:left="7373" w:hanging="840"/>
      </w:pPr>
      <w:rPr>
        <w:rFonts w:hint="default"/>
        <w:lang w:val="zh-CN" w:eastAsia="zh-CN" w:bidi="zh-CN"/>
      </w:rPr>
    </w:lvl>
  </w:abstractNum>
  <w:abstractNum w:abstractNumId="37">
    <w:multiLevelType w:val="hybridMultilevel"/>
    <w:lvl w:ilvl="0">
      <w:start w:val="1"/>
      <w:numFmt w:val="decimal"/>
      <w:lvlText w:val="(%1)"/>
      <w:lvlJc w:val="left"/>
      <w:pPr>
        <w:ind w:left="124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840"/>
      </w:pPr>
      <w:rPr>
        <w:rFonts w:hint="default"/>
        <w:lang w:val="zh-CN" w:eastAsia="zh-CN" w:bidi="zh-CN"/>
      </w:rPr>
    </w:lvl>
    <w:lvl w:ilvl="2">
      <w:start w:val="0"/>
      <w:numFmt w:val="bullet"/>
      <w:lvlText w:val="•"/>
      <w:lvlJc w:val="left"/>
      <w:pPr>
        <w:ind w:left="2817" w:hanging="840"/>
      </w:pPr>
      <w:rPr>
        <w:rFonts w:hint="default"/>
        <w:lang w:val="zh-CN" w:eastAsia="zh-CN" w:bidi="zh-CN"/>
      </w:rPr>
    </w:lvl>
    <w:lvl w:ilvl="3">
      <w:start w:val="0"/>
      <w:numFmt w:val="bullet"/>
      <w:lvlText w:val="•"/>
      <w:lvlJc w:val="left"/>
      <w:pPr>
        <w:ind w:left="3605" w:hanging="840"/>
      </w:pPr>
      <w:rPr>
        <w:rFonts w:hint="default"/>
        <w:lang w:val="zh-CN" w:eastAsia="zh-CN" w:bidi="zh-CN"/>
      </w:rPr>
    </w:lvl>
    <w:lvl w:ilvl="4">
      <w:start w:val="0"/>
      <w:numFmt w:val="bullet"/>
      <w:lvlText w:val="•"/>
      <w:lvlJc w:val="left"/>
      <w:pPr>
        <w:ind w:left="4394" w:hanging="840"/>
      </w:pPr>
      <w:rPr>
        <w:rFonts w:hint="default"/>
        <w:lang w:val="zh-CN" w:eastAsia="zh-CN" w:bidi="zh-CN"/>
      </w:rPr>
    </w:lvl>
    <w:lvl w:ilvl="5">
      <w:start w:val="0"/>
      <w:numFmt w:val="bullet"/>
      <w:lvlText w:val="•"/>
      <w:lvlJc w:val="left"/>
      <w:pPr>
        <w:ind w:left="5183" w:hanging="840"/>
      </w:pPr>
      <w:rPr>
        <w:rFonts w:hint="default"/>
        <w:lang w:val="zh-CN" w:eastAsia="zh-CN" w:bidi="zh-CN"/>
      </w:rPr>
    </w:lvl>
    <w:lvl w:ilvl="6">
      <w:start w:val="0"/>
      <w:numFmt w:val="bullet"/>
      <w:lvlText w:val="•"/>
      <w:lvlJc w:val="left"/>
      <w:pPr>
        <w:ind w:left="5971" w:hanging="840"/>
      </w:pPr>
      <w:rPr>
        <w:rFonts w:hint="default"/>
        <w:lang w:val="zh-CN" w:eastAsia="zh-CN" w:bidi="zh-CN"/>
      </w:rPr>
    </w:lvl>
    <w:lvl w:ilvl="7">
      <w:start w:val="0"/>
      <w:numFmt w:val="bullet"/>
      <w:lvlText w:val="•"/>
      <w:lvlJc w:val="left"/>
      <w:pPr>
        <w:ind w:left="6760" w:hanging="840"/>
      </w:pPr>
      <w:rPr>
        <w:rFonts w:hint="default"/>
        <w:lang w:val="zh-CN" w:eastAsia="zh-CN" w:bidi="zh-CN"/>
      </w:rPr>
    </w:lvl>
    <w:lvl w:ilvl="8">
      <w:start w:val="0"/>
      <w:numFmt w:val="bullet"/>
      <w:lvlText w:val="•"/>
      <w:lvlJc w:val="left"/>
      <w:pPr>
        <w:ind w:left="7548" w:hanging="840"/>
      </w:pPr>
      <w:rPr>
        <w:rFonts w:hint="default"/>
        <w:lang w:val="zh-CN" w:eastAsia="zh-CN" w:bidi="zh-CN"/>
      </w:rPr>
    </w:lvl>
  </w:abstractNum>
  <w:abstractNum w:abstractNumId="36">
    <w:multiLevelType w:val="hybridMultilevel"/>
    <w:lvl w:ilvl="0">
      <w:start w:val="1"/>
      <w:numFmt w:val="decimal"/>
      <w:lvlText w:val="(%1)"/>
      <w:lvlJc w:val="left"/>
      <w:pPr>
        <w:ind w:left="124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840"/>
      </w:pPr>
      <w:rPr>
        <w:rFonts w:hint="default"/>
        <w:lang w:val="zh-CN" w:eastAsia="zh-CN" w:bidi="zh-CN"/>
      </w:rPr>
    </w:lvl>
    <w:lvl w:ilvl="2">
      <w:start w:val="0"/>
      <w:numFmt w:val="bullet"/>
      <w:lvlText w:val="•"/>
      <w:lvlJc w:val="left"/>
      <w:pPr>
        <w:ind w:left="2817" w:hanging="840"/>
      </w:pPr>
      <w:rPr>
        <w:rFonts w:hint="default"/>
        <w:lang w:val="zh-CN" w:eastAsia="zh-CN" w:bidi="zh-CN"/>
      </w:rPr>
    </w:lvl>
    <w:lvl w:ilvl="3">
      <w:start w:val="0"/>
      <w:numFmt w:val="bullet"/>
      <w:lvlText w:val="•"/>
      <w:lvlJc w:val="left"/>
      <w:pPr>
        <w:ind w:left="3605" w:hanging="840"/>
      </w:pPr>
      <w:rPr>
        <w:rFonts w:hint="default"/>
        <w:lang w:val="zh-CN" w:eastAsia="zh-CN" w:bidi="zh-CN"/>
      </w:rPr>
    </w:lvl>
    <w:lvl w:ilvl="4">
      <w:start w:val="0"/>
      <w:numFmt w:val="bullet"/>
      <w:lvlText w:val="•"/>
      <w:lvlJc w:val="left"/>
      <w:pPr>
        <w:ind w:left="4394" w:hanging="840"/>
      </w:pPr>
      <w:rPr>
        <w:rFonts w:hint="default"/>
        <w:lang w:val="zh-CN" w:eastAsia="zh-CN" w:bidi="zh-CN"/>
      </w:rPr>
    </w:lvl>
    <w:lvl w:ilvl="5">
      <w:start w:val="0"/>
      <w:numFmt w:val="bullet"/>
      <w:lvlText w:val="•"/>
      <w:lvlJc w:val="left"/>
      <w:pPr>
        <w:ind w:left="5183" w:hanging="840"/>
      </w:pPr>
      <w:rPr>
        <w:rFonts w:hint="default"/>
        <w:lang w:val="zh-CN" w:eastAsia="zh-CN" w:bidi="zh-CN"/>
      </w:rPr>
    </w:lvl>
    <w:lvl w:ilvl="6">
      <w:start w:val="0"/>
      <w:numFmt w:val="bullet"/>
      <w:lvlText w:val="•"/>
      <w:lvlJc w:val="left"/>
      <w:pPr>
        <w:ind w:left="5971" w:hanging="840"/>
      </w:pPr>
      <w:rPr>
        <w:rFonts w:hint="default"/>
        <w:lang w:val="zh-CN" w:eastAsia="zh-CN" w:bidi="zh-CN"/>
      </w:rPr>
    </w:lvl>
    <w:lvl w:ilvl="7">
      <w:start w:val="0"/>
      <w:numFmt w:val="bullet"/>
      <w:lvlText w:val="•"/>
      <w:lvlJc w:val="left"/>
      <w:pPr>
        <w:ind w:left="6760" w:hanging="840"/>
      </w:pPr>
      <w:rPr>
        <w:rFonts w:hint="default"/>
        <w:lang w:val="zh-CN" w:eastAsia="zh-CN" w:bidi="zh-CN"/>
      </w:rPr>
    </w:lvl>
    <w:lvl w:ilvl="8">
      <w:start w:val="0"/>
      <w:numFmt w:val="bullet"/>
      <w:lvlText w:val="•"/>
      <w:lvlJc w:val="left"/>
      <w:pPr>
        <w:ind w:left="7548" w:hanging="840"/>
      </w:pPr>
      <w:rPr>
        <w:rFonts w:hint="default"/>
        <w:lang w:val="zh-CN" w:eastAsia="zh-CN" w:bidi="zh-CN"/>
      </w:rPr>
    </w:lvl>
  </w:abstractNum>
  <w:abstractNum w:abstractNumId="35">
    <w:multiLevelType w:val="hybridMultilevel"/>
    <w:lvl w:ilvl="0">
      <w:start w:val="1"/>
      <w:numFmt w:val="decimal"/>
      <w:lvlText w:val="(%1)"/>
      <w:lvlJc w:val="left"/>
      <w:pPr>
        <w:ind w:left="8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650" w:hanging="420"/>
      </w:pPr>
      <w:rPr>
        <w:rFonts w:hint="default"/>
        <w:lang w:val="zh-CN" w:eastAsia="zh-CN" w:bidi="zh-CN"/>
      </w:rPr>
    </w:lvl>
    <w:lvl w:ilvl="2">
      <w:start w:val="0"/>
      <w:numFmt w:val="bullet"/>
      <w:lvlText w:val="•"/>
      <w:lvlJc w:val="left"/>
      <w:pPr>
        <w:ind w:left="2481" w:hanging="420"/>
      </w:pPr>
      <w:rPr>
        <w:rFonts w:hint="default"/>
        <w:lang w:val="zh-CN" w:eastAsia="zh-CN" w:bidi="zh-CN"/>
      </w:rPr>
    </w:lvl>
    <w:lvl w:ilvl="3">
      <w:start w:val="0"/>
      <w:numFmt w:val="bullet"/>
      <w:lvlText w:val="•"/>
      <w:lvlJc w:val="left"/>
      <w:pPr>
        <w:ind w:left="3311" w:hanging="420"/>
      </w:pPr>
      <w:rPr>
        <w:rFonts w:hint="default"/>
        <w:lang w:val="zh-CN" w:eastAsia="zh-CN" w:bidi="zh-CN"/>
      </w:rPr>
    </w:lvl>
    <w:lvl w:ilvl="4">
      <w:start w:val="0"/>
      <w:numFmt w:val="bullet"/>
      <w:lvlText w:val="•"/>
      <w:lvlJc w:val="left"/>
      <w:pPr>
        <w:ind w:left="4142" w:hanging="420"/>
      </w:pPr>
      <w:rPr>
        <w:rFonts w:hint="default"/>
        <w:lang w:val="zh-CN" w:eastAsia="zh-CN" w:bidi="zh-CN"/>
      </w:rPr>
    </w:lvl>
    <w:lvl w:ilvl="5">
      <w:start w:val="0"/>
      <w:numFmt w:val="bullet"/>
      <w:lvlText w:val="•"/>
      <w:lvlJc w:val="left"/>
      <w:pPr>
        <w:ind w:left="4973" w:hanging="420"/>
      </w:pPr>
      <w:rPr>
        <w:rFonts w:hint="default"/>
        <w:lang w:val="zh-CN" w:eastAsia="zh-CN" w:bidi="zh-CN"/>
      </w:rPr>
    </w:lvl>
    <w:lvl w:ilvl="6">
      <w:start w:val="0"/>
      <w:numFmt w:val="bullet"/>
      <w:lvlText w:val="•"/>
      <w:lvlJc w:val="left"/>
      <w:pPr>
        <w:ind w:left="5803" w:hanging="420"/>
      </w:pPr>
      <w:rPr>
        <w:rFonts w:hint="default"/>
        <w:lang w:val="zh-CN" w:eastAsia="zh-CN" w:bidi="zh-CN"/>
      </w:rPr>
    </w:lvl>
    <w:lvl w:ilvl="7">
      <w:start w:val="0"/>
      <w:numFmt w:val="bullet"/>
      <w:lvlText w:val="•"/>
      <w:lvlJc w:val="left"/>
      <w:pPr>
        <w:ind w:left="6634" w:hanging="420"/>
      </w:pPr>
      <w:rPr>
        <w:rFonts w:hint="default"/>
        <w:lang w:val="zh-CN" w:eastAsia="zh-CN" w:bidi="zh-CN"/>
      </w:rPr>
    </w:lvl>
    <w:lvl w:ilvl="8">
      <w:start w:val="0"/>
      <w:numFmt w:val="bullet"/>
      <w:lvlText w:val="•"/>
      <w:lvlJc w:val="left"/>
      <w:pPr>
        <w:ind w:left="7464" w:hanging="420"/>
      </w:pPr>
      <w:rPr>
        <w:rFonts w:hint="default"/>
        <w:lang w:val="zh-CN" w:eastAsia="zh-CN" w:bidi="zh-CN"/>
      </w:rPr>
    </w:lvl>
  </w:abstractNum>
  <w:abstractNum w:abstractNumId="34">
    <w:multiLevelType w:val="hybridMultilevel"/>
    <w:lvl w:ilvl="0">
      <w:start w:val="1"/>
      <w:numFmt w:val="decimal"/>
      <w:lvlText w:val="(%1)"/>
      <w:lvlJc w:val="left"/>
      <w:pPr>
        <w:ind w:left="40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272" w:hanging="420"/>
      </w:pPr>
      <w:rPr>
        <w:rFonts w:hint="default"/>
        <w:lang w:val="zh-CN" w:eastAsia="zh-CN" w:bidi="zh-CN"/>
      </w:rPr>
    </w:lvl>
    <w:lvl w:ilvl="2">
      <w:start w:val="0"/>
      <w:numFmt w:val="bullet"/>
      <w:lvlText w:val="•"/>
      <w:lvlJc w:val="left"/>
      <w:pPr>
        <w:ind w:left="2145" w:hanging="420"/>
      </w:pPr>
      <w:rPr>
        <w:rFonts w:hint="default"/>
        <w:lang w:val="zh-CN" w:eastAsia="zh-CN" w:bidi="zh-CN"/>
      </w:rPr>
    </w:lvl>
    <w:lvl w:ilvl="3">
      <w:start w:val="0"/>
      <w:numFmt w:val="bullet"/>
      <w:lvlText w:val="•"/>
      <w:lvlJc w:val="left"/>
      <w:pPr>
        <w:ind w:left="3017" w:hanging="420"/>
      </w:pPr>
      <w:rPr>
        <w:rFonts w:hint="default"/>
        <w:lang w:val="zh-CN" w:eastAsia="zh-CN" w:bidi="zh-CN"/>
      </w:rPr>
    </w:lvl>
    <w:lvl w:ilvl="4">
      <w:start w:val="0"/>
      <w:numFmt w:val="bullet"/>
      <w:lvlText w:val="•"/>
      <w:lvlJc w:val="left"/>
      <w:pPr>
        <w:ind w:left="3890" w:hanging="420"/>
      </w:pPr>
      <w:rPr>
        <w:rFonts w:hint="default"/>
        <w:lang w:val="zh-CN" w:eastAsia="zh-CN" w:bidi="zh-CN"/>
      </w:rPr>
    </w:lvl>
    <w:lvl w:ilvl="5">
      <w:start w:val="0"/>
      <w:numFmt w:val="bullet"/>
      <w:lvlText w:val="•"/>
      <w:lvlJc w:val="left"/>
      <w:pPr>
        <w:ind w:left="4763" w:hanging="420"/>
      </w:pPr>
      <w:rPr>
        <w:rFonts w:hint="default"/>
        <w:lang w:val="zh-CN" w:eastAsia="zh-CN" w:bidi="zh-CN"/>
      </w:rPr>
    </w:lvl>
    <w:lvl w:ilvl="6">
      <w:start w:val="0"/>
      <w:numFmt w:val="bullet"/>
      <w:lvlText w:val="•"/>
      <w:lvlJc w:val="left"/>
      <w:pPr>
        <w:ind w:left="563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80" w:hanging="420"/>
      </w:pPr>
      <w:rPr>
        <w:rFonts w:hint="default"/>
        <w:lang w:val="zh-CN" w:eastAsia="zh-CN" w:bidi="zh-CN"/>
      </w:rPr>
    </w:lvl>
  </w:abstractNum>
  <w:abstractNum w:abstractNumId="33">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2">
    <w:multiLevelType w:val="hybridMultilevel"/>
    <w:lvl w:ilvl="0">
      <w:start w:val="2"/>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1">
    <w:multiLevelType w:val="hybridMultilevel"/>
    <w:lvl w:ilvl="0">
      <w:start w:val="1"/>
      <w:numFmt w:val="decimal"/>
      <w:lvlText w:val="（%1）"/>
      <w:lvlJc w:val="left"/>
      <w:pPr>
        <w:ind w:left="134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0">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8">
    <w:multiLevelType w:val="hybridMultilevel"/>
    <w:lvl w:ilvl="0">
      <w:start w:val="1"/>
      <w:numFmt w:val="decimal"/>
      <w:lvlText w:val="（%1）"/>
      <w:lvlJc w:val="left"/>
      <w:pPr>
        <w:ind w:left="400" w:hanging="52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7">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5">
    <w:multiLevelType w:val="hybridMultilevel"/>
    <w:lvl w:ilvl="0">
      <w:start w:val="1"/>
      <w:numFmt w:val="decimal"/>
      <w:lvlText w:val="(%1)"/>
      <w:lvlJc w:val="left"/>
      <w:pPr>
        <w:ind w:left="124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4">
    <w:multiLevelType w:val="hybridMultilevel"/>
    <w:lvl w:ilvl="0">
      <w:start w:val="1"/>
      <w:numFmt w:val="decimal"/>
      <w:lvlText w:val="(%1)"/>
      <w:lvlJc w:val="left"/>
      <w:pPr>
        <w:ind w:left="124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3">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2">
    <w:multiLevelType w:val="hybridMultilevel"/>
    <w:lvl w:ilvl="0">
      <w:start w:val="1"/>
      <w:numFmt w:val="decimal"/>
      <w:lvlText w:val="（%1）"/>
      <w:lvlJc w:val="left"/>
      <w:pPr>
        <w:ind w:left="40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1">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0">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8">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7">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6">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5">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4">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3">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2">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1">
    <w:multiLevelType w:val="hybridMultilevel"/>
    <w:lvl w:ilvl="0">
      <w:start w:val="1"/>
      <w:numFmt w:val="decimal"/>
      <w:lvlText w:val="（%1）"/>
      <w:lvlJc w:val="left"/>
      <w:pPr>
        <w:ind w:left="40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0">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8">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7">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2"/>
      <w:numFmt w:val="decimal"/>
      <w:lvlText w:val="(%2)"/>
      <w:lvlJc w:val="left"/>
      <w:pPr>
        <w:ind w:left="1345" w:hanging="420"/>
        <w:jc w:val="right"/>
      </w:pPr>
      <w:rPr>
        <w:rFonts w:hint="default" w:ascii="宋体" w:hAnsi="宋体" w:eastAsia="宋体" w:cs="宋体"/>
        <w:w w:val="100"/>
        <w:sz w:val="21"/>
        <w:szCs w:val="21"/>
        <w:lang w:val="zh-CN" w:eastAsia="zh-CN" w:bidi="zh-CN"/>
      </w:rPr>
    </w:lvl>
    <w:lvl w:ilvl="2">
      <w:start w:val="0"/>
      <w:numFmt w:val="bullet"/>
      <w:lvlText w:val="•"/>
      <w:lvlJc w:val="left"/>
      <w:pPr>
        <w:ind w:left="2897" w:hanging="420"/>
      </w:pPr>
      <w:rPr>
        <w:rFonts w:hint="default"/>
        <w:lang w:val="zh-CN" w:eastAsia="zh-CN" w:bidi="zh-CN"/>
      </w:rPr>
    </w:lvl>
    <w:lvl w:ilvl="3">
      <w:start w:val="0"/>
      <w:numFmt w:val="bullet"/>
      <w:lvlText w:val="•"/>
      <w:lvlJc w:val="left"/>
      <w:pPr>
        <w:ind w:left="3675" w:hanging="420"/>
      </w:pPr>
      <w:rPr>
        <w:rFonts w:hint="default"/>
        <w:lang w:val="zh-CN" w:eastAsia="zh-CN" w:bidi="zh-CN"/>
      </w:rPr>
    </w:lvl>
    <w:lvl w:ilvl="4">
      <w:start w:val="0"/>
      <w:numFmt w:val="bullet"/>
      <w:lvlText w:val="•"/>
      <w:lvlJc w:val="left"/>
      <w:pPr>
        <w:ind w:left="4454" w:hanging="420"/>
      </w:pPr>
      <w:rPr>
        <w:rFonts w:hint="default"/>
        <w:lang w:val="zh-CN" w:eastAsia="zh-CN" w:bidi="zh-CN"/>
      </w:rPr>
    </w:lvl>
    <w:lvl w:ilvl="5">
      <w:start w:val="0"/>
      <w:numFmt w:val="bullet"/>
      <w:lvlText w:val="•"/>
      <w:lvlJc w:val="left"/>
      <w:pPr>
        <w:ind w:left="5233" w:hanging="420"/>
      </w:pPr>
      <w:rPr>
        <w:rFonts w:hint="default"/>
        <w:lang w:val="zh-CN" w:eastAsia="zh-CN" w:bidi="zh-CN"/>
      </w:rPr>
    </w:lvl>
    <w:lvl w:ilvl="6">
      <w:start w:val="0"/>
      <w:numFmt w:val="bullet"/>
      <w:lvlText w:val="•"/>
      <w:lvlJc w:val="left"/>
      <w:pPr>
        <w:ind w:left="6011" w:hanging="420"/>
      </w:pPr>
      <w:rPr>
        <w:rFonts w:hint="default"/>
        <w:lang w:val="zh-CN" w:eastAsia="zh-CN" w:bidi="zh-CN"/>
      </w:rPr>
    </w:lvl>
    <w:lvl w:ilvl="7">
      <w:start w:val="0"/>
      <w:numFmt w:val="bullet"/>
      <w:lvlText w:val="•"/>
      <w:lvlJc w:val="left"/>
      <w:pPr>
        <w:ind w:left="6790" w:hanging="420"/>
      </w:pPr>
      <w:rPr>
        <w:rFonts w:hint="default"/>
        <w:lang w:val="zh-CN" w:eastAsia="zh-CN" w:bidi="zh-CN"/>
      </w:rPr>
    </w:lvl>
    <w:lvl w:ilvl="8">
      <w:start w:val="0"/>
      <w:numFmt w:val="bullet"/>
      <w:lvlText w:val="•"/>
      <w:lvlJc w:val="left"/>
      <w:pPr>
        <w:ind w:left="7568" w:hanging="420"/>
      </w:pPr>
      <w:rPr>
        <w:rFonts w:hint="default"/>
        <w:lang w:val="zh-CN" w:eastAsia="zh-CN" w:bidi="zh-CN"/>
      </w:rPr>
    </w:lvl>
  </w:abstractNum>
  <w:abstractNum w:abstractNumId="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
    <w:multiLevelType w:val="hybridMultilevel"/>
    <w:lvl w:ilvl="0">
      <w:start w:val="1"/>
      <w:numFmt w:val="decimal"/>
      <w:lvlText w:val="（%1）"/>
      <w:lvlJc w:val="left"/>
      <w:pPr>
        <w:ind w:left="1135" w:hanging="735"/>
        <w:jc w:val="left"/>
      </w:pPr>
      <w:rPr>
        <w:rFonts w:hint="default" w:ascii="宋体" w:hAnsi="宋体" w:eastAsia="宋体" w:cs="宋体"/>
        <w:w w:val="100"/>
        <w:sz w:val="21"/>
        <w:szCs w:val="21"/>
        <w:lang w:val="zh-CN" w:eastAsia="zh-CN" w:bidi="zh-CN"/>
      </w:rPr>
    </w:lvl>
    <w:lvl w:ilvl="1">
      <w:start w:val="1"/>
      <w:numFmt w:val="decimal"/>
      <w:lvlText w:val="%2）"/>
      <w:lvlJc w:val="left"/>
      <w:pPr>
        <w:ind w:left="400" w:hanging="317"/>
        <w:jc w:val="left"/>
      </w:pPr>
      <w:rPr>
        <w:rFonts w:hint="default" w:ascii="宋体" w:hAnsi="宋体" w:eastAsia="宋体" w:cs="宋体"/>
        <w:w w:val="100"/>
        <w:sz w:val="19"/>
        <w:szCs w:val="19"/>
        <w:lang w:val="zh-CN" w:eastAsia="zh-CN" w:bidi="zh-CN"/>
      </w:rPr>
    </w:lvl>
    <w:lvl w:ilvl="2">
      <w:start w:val="0"/>
      <w:numFmt w:val="bullet"/>
      <w:lvlText w:val="•"/>
      <w:lvlJc w:val="left"/>
      <w:pPr>
        <w:ind w:left="2027" w:hanging="317"/>
      </w:pPr>
      <w:rPr>
        <w:rFonts w:hint="default"/>
        <w:lang w:val="zh-CN" w:eastAsia="zh-CN" w:bidi="zh-CN"/>
      </w:rPr>
    </w:lvl>
    <w:lvl w:ilvl="3">
      <w:start w:val="0"/>
      <w:numFmt w:val="bullet"/>
      <w:lvlText w:val="•"/>
      <w:lvlJc w:val="left"/>
      <w:pPr>
        <w:ind w:left="2914" w:hanging="317"/>
      </w:pPr>
      <w:rPr>
        <w:rFonts w:hint="default"/>
        <w:lang w:val="zh-CN" w:eastAsia="zh-CN" w:bidi="zh-CN"/>
      </w:rPr>
    </w:lvl>
    <w:lvl w:ilvl="4">
      <w:start w:val="0"/>
      <w:numFmt w:val="bullet"/>
      <w:lvlText w:val="•"/>
      <w:lvlJc w:val="left"/>
      <w:pPr>
        <w:ind w:left="3802" w:hanging="317"/>
      </w:pPr>
      <w:rPr>
        <w:rFonts w:hint="default"/>
        <w:lang w:val="zh-CN" w:eastAsia="zh-CN" w:bidi="zh-CN"/>
      </w:rPr>
    </w:lvl>
    <w:lvl w:ilvl="5">
      <w:start w:val="0"/>
      <w:numFmt w:val="bullet"/>
      <w:lvlText w:val="•"/>
      <w:lvlJc w:val="left"/>
      <w:pPr>
        <w:ind w:left="4689" w:hanging="317"/>
      </w:pPr>
      <w:rPr>
        <w:rFonts w:hint="default"/>
        <w:lang w:val="zh-CN" w:eastAsia="zh-CN" w:bidi="zh-CN"/>
      </w:rPr>
    </w:lvl>
    <w:lvl w:ilvl="6">
      <w:start w:val="0"/>
      <w:numFmt w:val="bullet"/>
      <w:lvlText w:val="•"/>
      <w:lvlJc w:val="left"/>
      <w:pPr>
        <w:ind w:left="5576" w:hanging="317"/>
      </w:pPr>
      <w:rPr>
        <w:rFonts w:hint="default"/>
        <w:lang w:val="zh-CN" w:eastAsia="zh-CN" w:bidi="zh-CN"/>
      </w:rPr>
    </w:lvl>
    <w:lvl w:ilvl="7">
      <w:start w:val="0"/>
      <w:numFmt w:val="bullet"/>
      <w:lvlText w:val="•"/>
      <w:lvlJc w:val="left"/>
      <w:pPr>
        <w:ind w:left="6464" w:hanging="317"/>
      </w:pPr>
      <w:rPr>
        <w:rFonts w:hint="default"/>
        <w:lang w:val="zh-CN" w:eastAsia="zh-CN" w:bidi="zh-CN"/>
      </w:rPr>
    </w:lvl>
    <w:lvl w:ilvl="8">
      <w:start w:val="0"/>
      <w:numFmt w:val="bullet"/>
      <w:lvlText w:val="•"/>
      <w:lvlJc w:val="left"/>
      <w:pPr>
        <w:ind w:left="7351" w:hanging="317"/>
      </w:pPr>
      <w:rPr>
        <w:rFonts w:hint="default"/>
        <w:lang w:val="zh-CN" w:eastAsia="zh-CN" w:bidi="zh-CN"/>
      </w:rPr>
    </w:lvl>
  </w:abstractNum>
  <w:abstractNum w:abstractNumId="4">
    <w:multiLevelType w:val="hybridMultilevel"/>
    <w:lvl w:ilvl="0">
      <w:start w:val="1"/>
      <w:numFmt w:val="decimal"/>
      <w:lvlText w:val="（%1）"/>
      <w:lvlJc w:val="left"/>
      <w:pPr>
        <w:ind w:left="1135" w:hanging="735"/>
        <w:jc w:val="left"/>
      </w:pPr>
      <w:rPr>
        <w:rFonts w:hint="default" w:ascii="宋体" w:hAnsi="宋体" w:eastAsia="宋体" w:cs="宋体"/>
        <w:w w:val="100"/>
        <w:sz w:val="21"/>
        <w:szCs w:val="21"/>
        <w:lang w:val="zh-CN" w:eastAsia="zh-CN" w:bidi="zh-CN"/>
      </w:rPr>
    </w:lvl>
    <w:lvl w:ilvl="1">
      <w:start w:val="0"/>
      <w:numFmt w:val="bullet"/>
      <w:lvlText w:val="•"/>
      <w:lvlJc w:val="left"/>
      <w:pPr>
        <w:ind w:left="1938" w:hanging="735"/>
      </w:pPr>
      <w:rPr>
        <w:rFonts w:hint="default"/>
        <w:lang w:val="zh-CN" w:eastAsia="zh-CN" w:bidi="zh-CN"/>
      </w:rPr>
    </w:lvl>
    <w:lvl w:ilvl="2">
      <w:start w:val="0"/>
      <w:numFmt w:val="bullet"/>
      <w:lvlText w:val="•"/>
      <w:lvlJc w:val="left"/>
      <w:pPr>
        <w:ind w:left="2737" w:hanging="735"/>
      </w:pPr>
      <w:rPr>
        <w:rFonts w:hint="default"/>
        <w:lang w:val="zh-CN" w:eastAsia="zh-CN" w:bidi="zh-CN"/>
      </w:rPr>
    </w:lvl>
    <w:lvl w:ilvl="3">
      <w:start w:val="0"/>
      <w:numFmt w:val="bullet"/>
      <w:lvlText w:val="•"/>
      <w:lvlJc w:val="left"/>
      <w:pPr>
        <w:ind w:left="3535" w:hanging="735"/>
      </w:pPr>
      <w:rPr>
        <w:rFonts w:hint="default"/>
        <w:lang w:val="zh-CN" w:eastAsia="zh-CN" w:bidi="zh-CN"/>
      </w:rPr>
    </w:lvl>
    <w:lvl w:ilvl="4">
      <w:start w:val="0"/>
      <w:numFmt w:val="bullet"/>
      <w:lvlText w:val="•"/>
      <w:lvlJc w:val="left"/>
      <w:pPr>
        <w:ind w:left="4334" w:hanging="735"/>
      </w:pPr>
      <w:rPr>
        <w:rFonts w:hint="default"/>
        <w:lang w:val="zh-CN" w:eastAsia="zh-CN" w:bidi="zh-CN"/>
      </w:rPr>
    </w:lvl>
    <w:lvl w:ilvl="5">
      <w:start w:val="0"/>
      <w:numFmt w:val="bullet"/>
      <w:lvlText w:val="•"/>
      <w:lvlJc w:val="left"/>
      <w:pPr>
        <w:ind w:left="5133" w:hanging="735"/>
      </w:pPr>
      <w:rPr>
        <w:rFonts w:hint="default"/>
        <w:lang w:val="zh-CN" w:eastAsia="zh-CN" w:bidi="zh-CN"/>
      </w:rPr>
    </w:lvl>
    <w:lvl w:ilvl="6">
      <w:start w:val="0"/>
      <w:numFmt w:val="bullet"/>
      <w:lvlText w:val="•"/>
      <w:lvlJc w:val="left"/>
      <w:pPr>
        <w:ind w:left="5931" w:hanging="735"/>
      </w:pPr>
      <w:rPr>
        <w:rFonts w:hint="default"/>
        <w:lang w:val="zh-CN" w:eastAsia="zh-CN" w:bidi="zh-CN"/>
      </w:rPr>
    </w:lvl>
    <w:lvl w:ilvl="7">
      <w:start w:val="0"/>
      <w:numFmt w:val="bullet"/>
      <w:lvlText w:val="•"/>
      <w:lvlJc w:val="left"/>
      <w:pPr>
        <w:ind w:left="6730" w:hanging="735"/>
      </w:pPr>
      <w:rPr>
        <w:rFonts w:hint="default"/>
        <w:lang w:val="zh-CN" w:eastAsia="zh-CN" w:bidi="zh-CN"/>
      </w:rPr>
    </w:lvl>
    <w:lvl w:ilvl="8">
      <w:start w:val="0"/>
      <w:numFmt w:val="bullet"/>
      <w:lvlText w:val="•"/>
      <w:lvlJc w:val="left"/>
      <w:pPr>
        <w:ind w:left="7528" w:hanging="735"/>
      </w:pPr>
      <w:rPr>
        <w:rFonts w:hint="default"/>
        <w:lang w:val="zh-CN" w:eastAsia="zh-CN" w:bidi="zh-CN"/>
      </w:rPr>
    </w:lvl>
  </w:abstractNum>
  <w:abstractNum w:abstractNumId="3">
    <w:multiLevelType w:val="hybridMultilevel"/>
    <w:lvl w:ilvl="0">
      <w:start w:val="1"/>
      <w:numFmt w:val="decimal"/>
      <w:lvlText w:val="（%1）"/>
      <w:lvlJc w:val="left"/>
      <w:pPr>
        <w:ind w:left="400" w:hanging="994"/>
        <w:jc w:val="left"/>
      </w:pPr>
      <w:rPr>
        <w:rFonts w:hint="default" w:ascii="宋体" w:hAnsi="宋体" w:eastAsia="宋体" w:cs="宋体"/>
        <w:spacing w:val="-19"/>
        <w:w w:val="100"/>
        <w:sz w:val="21"/>
        <w:szCs w:val="21"/>
        <w:lang w:val="zh-CN" w:eastAsia="zh-CN" w:bidi="zh-CN"/>
      </w:rPr>
    </w:lvl>
    <w:lvl w:ilvl="1">
      <w:start w:val="0"/>
      <w:numFmt w:val="bullet"/>
      <w:lvlText w:val="•"/>
      <w:lvlJc w:val="left"/>
      <w:pPr>
        <w:ind w:left="1272" w:hanging="994"/>
      </w:pPr>
      <w:rPr>
        <w:rFonts w:hint="default"/>
        <w:lang w:val="zh-CN" w:eastAsia="zh-CN" w:bidi="zh-CN"/>
      </w:rPr>
    </w:lvl>
    <w:lvl w:ilvl="2">
      <w:start w:val="0"/>
      <w:numFmt w:val="bullet"/>
      <w:lvlText w:val="•"/>
      <w:lvlJc w:val="left"/>
      <w:pPr>
        <w:ind w:left="2145" w:hanging="994"/>
      </w:pPr>
      <w:rPr>
        <w:rFonts w:hint="default"/>
        <w:lang w:val="zh-CN" w:eastAsia="zh-CN" w:bidi="zh-CN"/>
      </w:rPr>
    </w:lvl>
    <w:lvl w:ilvl="3">
      <w:start w:val="0"/>
      <w:numFmt w:val="bullet"/>
      <w:lvlText w:val="•"/>
      <w:lvlJc w:val="left"/>
      <w:pPr>
        <w:ind w:left="3017" w:hanging="994"/>
      </w:pPr>
      <w:rPr>
        <w:rFonts w:hint="default"/>
        <w:lang w:val="zh-CN" w:eastAsia="zh-CN" w:bidi="zh-CN"/>
      </w:rPr>
    </w:lvl>
    <w:lvl w:ilvl="4">
      <w:start w:val="0"/>
      <w:numFmt w:val="bullet"/>
      <w:lvlText w:val="•"/>
      <w:lvlJc w:val="left"/>
      <w:pPr>
        <w:ind w:left="3890" w:hanging="994"/>
      </w:pPr>
      <w:rPr>
        <w:rFonts w:hint="default"/>
        <w:lang w:val="zh-CN" w:eastAsia="zh-CN" w:bidi="zh-CN"/>
      </w:rPr>
    </w:lvl>
    <w:lvl w:ilvl="5">
      <w:start w:val="0"/>
      <w:numFmt w:val="bullet"/>
      <w:lvlText w:val="•"/>
      <w:lvlJc w:val="left"/>
      <w:pPr>
        <w:ind w:left="4763" w:hanging="994"/>
      </w:pPr>
      <w:rPr>
        <w:rFonts w:hint="default"/>
        <w:lang w:val="zh-CN" w:eastAsia="zh-CN" w:bidi="zh-CN"/>
      </w:rPr>
    </w:lvl>
    <w:lvl w:ilvl="6">
      <w:start w:val="0"/>
      <w:numFmt w:val="bullet"/>
      <w:lvlText w:val="•"/>
      <w:lvlJc w:val="left"/>
      <w:pPr>
        <w:ind w:left="5635" w:hanging="994"/>
      </w:pPr>
      <w:rPr>
        <w:rFonts w:hint="default"/>
        <w:lang w:val="zh-CN" w:eastAsia="zh-CN" w:bidi="zh-CN"/>
      </w:rPr>
    </w:lvl>
    <w:lvl w:ilvl="7">
      <w:start w:val="0"/>
      <w:numFmt w:val="bullet"/>
      <w:lvlText w:val="•"/>
      <w:lvlJc w:val="left"/>
      <w:pPr>
        <w:ind w:left="6508" w:hanging="994"/>
      </w:pPr>
      <w:rPr>
        <w:rFonts w:hint="default"/>
        <w:lang w:val="zh-CN" w:eastAsia="zh-CN" w:bidi="zh-CN"/>
      </w:rPr>
    </w:lvl>
    <w:lvl w:ilvl="8">
      <w:start w:val="0"/>
      <w:numFmt w:val="bullet"/>
      <w:lvlText w:val="•"/>
      <w:lvlJc w:val="left"/>
      <w:pPr>
        <w:ind w:left="7380" w:hanging="994"/>
      </w:pPr>
      <w:rPr>
        <w:rFonts w:hint="default"/>
        <w:lang w:val="zh-CN" w:eastAsia="zh-CN" w:bidi="zh-CN"/>
      </w:rPr>
    </w:lvl>
  </w:abstractNum>
  <w:abstractNum w:abstractNumId="2">
    <w:multiLevelType w:val="hybridMultilevel"/>
    <w:lvl w:ilvl="0">
      <w:start w:val="1"/>
      <w:numFmt w:val="decimal"/>
      <w:lvlText w:val="（%1）"/>
      <w:lvlJc w:val="left"/>
      <w:pPr>
        <w:ind w:left="1393" w:hanging="994"/>
        <w:jc w:val="left"/>
      </w:pPr>
      <w:rPr>
        <w:rFonts w:hint="default" w:ascii="宋体" w:hAnsi="宋体" w:eastAsia="宋体" w:cs="宋体"/>
        <w:w w:val="100"/>
        <w:sz w:val="21"/>
        <w:szCs w:val="21"/>
        <w:lang w:val="zh-CN" w:eastAsia="zh-CN" w:bidi="zh-CN"/>
      </w:rPr>
    </w:lvl>
    <w:lvl w:ilvl="1">
      <w:start w:val="0"/>
      <w:numFmt w:val="bullet"/>
      <w:lvlText w:val="•"/>
      <w:lvlJc w:val="left"/>
      <w:pPr>
        <w:ind w:left="2172" w:hanging="994"/>
      </w:pPr>
      <w:rPr>
        <w:rFonts w:hint="default"/>
        <w:lang w:val="zh-CN" w:eastAsia="zh-CN" w:bidi="zh-CN"/>
      </w:rPr>
    </w:lvl>
    <w:lvl w:ilvl="2">
      <w:start w:val="0"/>
      <w:numFmt w:val="bullet"/>
      <w:lvlText w:val="•"/>
      <w:lvlJc w:val="left"/>
      <w:pPr>
        <w:ind w:left="2945" w:hanging="994"/>
      </w:pPr>
      <w:rPr>
        <w:rFonts w:hint="default"/>
        <w:lang w:val="zh-CN" w:eastAsia="zh-CN" w:bidi="zh-CN"/>
      </w:rPr>
    </w:lvl>
    <w:lvl w:ilvl="3">
      <w:start w:val="0"/>
      <w:numFmt w:val="bullet"/>
      <w:lvlText w:val="•"/>
      <w:lvlJc w:val="left"/>
      <w:pPr>
        <w:ind w:left="3717" w:hanging="994"/>
      </w:pPr>
      <w:rPr>
        <w:rFonts w:hint="default"/>
        <w:lang w:val="zh-CN" w:eastAsia="zh-CN" w:bidi="zh-CN"/>
      </w:rPr>
    </w:lvl>
    <w:lvl w:ilvl="4">
      <w:start w:val="0"/>
      <w:numFmt w:val="bullet"/>
      <w:lvlText w:val="•"/>
      <w:lvlJc w:val="left"/>
      <w:pPr>
        <w:ind w:left="4490" w:hanging="994"/>
      </w:pPr>
      <w:rPr>
        <w:rFonts w:hint="default"/>
        <w:lang w:val="zh-CN" w:eastAsia="zh-CN" w:bidi="zh-CN"/>
      </w:rPr>
    </w:lvl>
    <w:lvl w:ilvl="5">
      <w:start w:val="0"/>
      <w:numFmt w:val="bullet"/>
      <w:lvlText w:val="•"/>
      <w:lvlJc w:val="left"/>
      <w:pPr>
        <w:ind w:left="5263" w:hanging="994"/>
      </w:pPr>
      <w:rPr>
        <w:rFonts w:hint="default"/>
        <w:lang w:val="zh-CN" w:eastAsia="zh-CN" w:bidi="zh-CN"/>
      </w:rPr>
    </w:lvl>
    <w:lvl w:ilvl="6">
      <w:start w:val="0"/>
      <w:numFmt w:val="bullet"/>
      <w:lvlText w:val="•"/>
      <w:lvlJc w:val="left"/>
      <w:pPr>
        <w:ind w:left="6035" w:hanging="994"/>
      </w:pPr>
      <w:rPr>
        <w:rFonts w:hint="default"/>
        <w:lang w:val="zh-CN" w:eastAsia="zh-CN" w:bidi="zh-CN"/>
      </w:rPr>
    </w:lvl>
    <w:lvl w:ilvl="7">
      <w:start w:val="0"/>
      <w:numFmt w:val="bullet"/>
      <w:lvlText w:val="•"/>
      <w:lvlJc w:val="left"/>
      <w:pPr>
        <w:ind w:left="6808" w:hanging="994"/>
      </w:pPr>
      <w:rPr>
        <w:rFonts w:hint="default"/>
        <w:lang w:val="zh-CN" w:eastAsia="zh-CN" w:bidi="zh-CN"/>
      </w:rPr>
    </w:lvl>
    <w:lvl w:ilvl="8">
      <w:start w:val="0"/>
      <w:numFmt w:val="bullet"/>
      <w:lvlText w:val="•"/>
      <w:lvlJc w:val="left"/>
      <w:pPr>
        <w:ind w:left="7580" w:hanging="994"/>
      </w:pPr>
      <w:rPr>
        <w:rFonts w:hint="default"/>
        <w:lang w:val="zh-CN" w:eastAsia="zh-CN" w:bidi="zh-CN"/>
      </w:rPr>
    </w:lvl>
  </w:abstractNum>
  <w:abstractNum w:abstractNumId="1">
    <w:multiLevelType w:val="hybridMultilevel"/>
    <w:lvl w:ilvl="0">
      <w:start w:val="1"/>
      <w:numFmt w:val="decimal"/>
      <w:lvlText w:val="（%1）"/>
      <w:lvlJc w:val="left"/>
      <w:pPr>
        <w:ind w:left="40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0">
    <w:multiLevelType w:val="hybridMultilevel"/>
    <w:lvl w:ilvl="0">
      <w:start w:val="1"/>
      <w:numFmt w:val="decimal"/>
      <w:lvlText w:val="（%1）"/>
      <w:lvlJc w:val="left"/>
      <w:pPr>
        <w:ind w:left="1135" w:hanging="735"/>
        <w:jc w:val="left"/>
      </w:pPr>
      <w:rPr>
        <w:rFonts w:hint="default" w:ascii="宋体" w:hAnsi="宋体" w:eastAsia="宋体" w:cs="宋体"/>
        <w:w w:val="100"/>
        <w:sz w:val="21"/>
        <w:szCs w:val="21"/>
        <w:lang w:val="zh-CN" w:eastAsia="zh-CN" w:bidi="zh-CN"/>
      </w:rPr>
    </w:lvl>
    <w:lvl w:ilvl="1">
      <w:start w:val="1"/>
      <w:numFmt w:val="decimal"/>
      <w:lvlText w:val="（%2）"/>
      <w:lvlJc w:val="left"/>
      <w:pPr>
        <w:ind w:left="1136" w:hanging="526"/>
        <w:jc w:val="right"/>
      </w:pPr>
      <w:rPr>
        <w:rFonts w:hint="default" w:ascii="宋体" w:hAnsi="宋体" w:eastAsia="宋体" w:cs="宋体"/>
        <w:w w:val="100"/>
        <w:sz w:val="19"/>
        <w:szCs w:val="19"/>
        <w:lang w:val="zh-CN" w:eastAsia="zh-CN" w:bidi="zh-CN"/>
      </w:rPr>
    </w:lvl>
    <w:lvl w:ilvl="2">
      <w:start w:val="0"/>
      <w:numFmt w:val="bullet"/>
      <w:lvlText w:val="•"/>
      <w:lvlJc w:val="left"/>
      <w:pPr>
        <w:ind w:left="273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34" w:hanging="526"/>
      </w:pPr>
      <w:rPr>
        <w:rFonts w:hint="default"/>
        <w:lang w:val="zh-CN" w:eastAsia="zh-CN" w:bidi="zh-CN"/>
      </w:rPr>
    </w:lvl>
    <w:lvl w:ilvl="5">
      <w:start w:val="0"/>
      <w:numFmt w:val="bullet"/>
      <w:lvlText w:val="•"/>
      <w:lvlJc w:val="left"/>
      <w:pPr>
        <w:ind w:left="5133" w:hanging="526"/>
      </w:pPr>
      <w:rPr>
        <w:rFonts w:hint="default"/>
        <w:lang w:val="zh-CN" w:eastAsia="zh-CN" w:bidi="zh-CN"/>
      </w:rPr>
    </w:lvl>
    <w:lvl w:ilvl="6">
      <w:start w:val="0"/>
      <w:numFmt w:val="bullet"/>
      <w:lvlText w:val="•"/>
      <w:lvlJc w:val="left"/>
      <w:pPr>
        <w:ind w:left="5931" w:hanging="526"/>
      </w:pPr>
      <w:rPr>
        <w:rFonts w:hint="default"/>
        <w:lang w:val="zh-CN" w:eastAsia="zh-CN" w:bidi="zh-CN"/>
      </w:rPr>
    </w:lvl>
    <w:lvl w:ilvl="7">
      <w:start w:val="0"/>
      <w:numFmt w:val="bullet"/>
      <w:lvlText w:val="•"/>
      <w:lvlJc w:val="left"/>
      <w:pPr>
        <w:ind w:left="6730" w:hanging="526"/>
      </w:pPr>
      <w:rPr>
        <w:rFonts w:hint="default"/>
        <w:lang w:val="zh-CN" w:eastAsia="zh-CN" w:bidi="zh-CN"/>
      </w:rPr>
    </w:lvl>
    <w:lvl w:ilvl="8">
      <w:start w:val="0"/>
      <w:numFmt w:val="bullet"/>
      <w:lvlText w:val="•"/>
      <w:lvlJc w:val="left"/>
      <w:pPr>
        <w:ind w:left="7528" w:hanging="526"/>
      </w:pPr>
      <w:rPr>
        <w:rFonts w:hint="default"/>
        <w:lang w:val="zh-CN" w:eastAsia="zh-CN" w:bidi="zh-CN"/>
      </w:r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01"/>
      <w:ind w:left="610"/>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before="101"/>
      <w:ind w:left="610"/>
    </w:pPr>
    <w:rPr>
      <w:rFonts w:ascii="Microsoft JhengHei" w:hAnsi="Microsoft JhengHei" w:eastAsia="Microsoft JhengHei" w:cs="Microsoft JhengHei"/>
      <w:b/>
      <w:bCs/>
      <w:i/>
      <w:lang w:val="zh-CN" w:eastAsia="zh-CN" w:bidi="zh-CN"/>
    </w:rPr>
  </w:style>
  <w:style w:styleId="TOC3" w:type="paragraph">
    <w:name w:val="TOC 3"/>
    <w:basedOn w:val="Normal"/>
    <w:uiPriority w:val="1"/>
    <w:qFormat/>
    <w:pPr>
      <w:spacing w:before="199"/>
      <w:ind w:left="1030"/>
    </w:pPr>
    <w:rPr>
      <w:rFonts w:ascii="宋体" w:hAnsi="宋体" w:eastAsia="宋体" w:cs="宋体"/>
      <w:sz w:val="21"/>
      <w:szCs w:val="21"/>
      <w:lang w:val="zh-CN" w:eastAsia="zh-CN" w:bidi="zh-CN"/>
    </w:rPr>
  </w:style>
  <w:style w:styleId="BodyText" w:type="paragraph">
    <w:name w:val="Body Text"/>
    <w:basedOn w:val="Normal"/>
    <w:uiPriority w:val="1"/>
    <w:qFormat/>
    <w:pPr>
      <w:ind w:left="820"/>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left="1334" w:right="716"/>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ind w:left="400"/>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400"/>
      <w:outlineLvl w:val="3"/>
    </w:pPr>
    <w:rPr>
      <w:rFonts w:ascii="宋体" w:hAnsi="宋体" w:eastAsia="宋体" w:cs="宋体"/>
      <w:sz w:val="28"/>
      <w:szCs w:val="28"/>
      <w:lang w:val="zh-CN" w:eastAsia="zh-CN" w:bidi="zh-CN"/>
    </w:rPr>
  </w:style>
  <w:style w:styleId="Heading4" w:type="paragraph">
    <w:name w:val="Heading 4"/>
    <w:basedOn w:val="Normal"/>
    <w:uiPriority w:val="1"/>
    <w:qFormat/>
    <w:pPr>
      <w:ind w:left="820"/>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spacing w:before="139"/>
      <w:ind w:left="400" w:hanging="63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bankcomm.com/"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hfbank.com.cn/" TargetMode="External"/><Relationship Id="rId13" Type="http://schemas.openxmlformats.org/officeDocument/2006/relationships/hyperlink" Target="http://www.hxb.com.cn/" TargetMode="External"/><Relationship Id="rId14" Type="http://schemas.openxmlformats.org/officeDocument/2006/relationships/hyperlink" Target="http://www.spd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boc.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ankofbeijing.com.cn/" TargetMode="External"/><Relationship Id="rId26" Type="http://schemas.openxmlformats.org/officeDocument/2006/relationships/hyperlink" Target="http://www.ccabchina.com/" TargetMode="External"/><Relationship Id="rId27" Type="http://schemas.openxmlformats.org/officeDocument/2006/relationships/hyperlink" Target="http://www.gwbank.com.cn/" TargetMode="External"/><Relationship Id="rId28" Type="http://schemas.openxmlformats.org/officeDocument/2006/relationships/hyperlink" Target="http://www.cccb.cn/" TargetMode="External"/><Relationship Id="rId29" Type="http://schemas.openxmlformats.org/officeDocument/2006/relationships/hyperlink" Target="http://www.cdrcb.com/" TargetMode="External"/><Relationship Id="rId30" Type="http://schemas.openxmlformats.org/officeDocument/2006/relationships/hyperlink" Target="http://www.bankofdl.com/" TargetMode="External"/><Relationship Id="rId31" Type="http://schemas.openxmlformats.org/officeDocument/2006/relationships/hyperlink" Target="http://www.dzbchina.com/" TargetMode="External"/><Relationship Id="rId32" Type="http://schemas.openxmlformats.org/officeDocument/2006/relationships/hyperlink" Target="http://www.drcbank.com/" TargetMode="External"/><Relationship Id="rId33" Type="http://schemas.openxmlformats.org/officeDocument/2006/relationships/hyperlink" Target="http://www.dongguanbank.cn/" TargetMode="External"/><Relationship Id="rId34" Type="http://schemas.openxmlformats.org/officeDocument/2006/relationships/hyperlink" Target="http://www.foshanbank.cn/" TargetMode="External"/><Relationship Id="rId35" Type="http://schemas.openxmlformats.org/officeDocument/2006/relationships/hyperlink" Target="http://www.fjhxbank.com/" TargetMode="External"/><Relationship Id="rId36" Type="http://schemas.openxmlformats.org/officeDocument/2006/relationships/hyperlink" Target="http://www.fudian-bank.com/" TargetMode="External"/><Relationship Id="rId37" Type="http://schemas.openxmlformats.org/officeDocument/2006/relationships/hyperlink" Target="http://www.fyrcbk.com/" TargetMode="External"/><Relationship Id="rId38" Type="http://schemas.openxmlformats.org/officeDocument/2006/relationships/hyperlink" Target="http://www.ghbank.com.cn/" TargetMode="External"/><Relationship Id="rId39" Type="http://schemas.openxmlformats.org/officeDocument/2006/relationships/hyperlink" Target="http://www.gdnybank.com/" TargetMode="External"/><Relationship Id="rId40" Type="http://schemas.openxmlformats.org/officeDocument/2006/relationships/hyperlink" Target="http://www.grcbank.com/" TargetMode="External"/><Relationship Id="rId41" Type="http://schemas.openxmlformats.org/officeDocument/2006/relationships/hyperlink" Target="http://www.gzcb.com.cn/" TargetMode="External"/><Relationship Id="rId42" Type="http://schemas.openxmlformats.org/officeDocument/2006/relationships/hyperlink" Target="http://www.96033.cn/" TargetMode="External"/><Relationship Id="rId43" Type="http://schemas.openxmlformats.org/officeDocument/2006/relationships/hyperlink" Target="http://www.hrbb.com.cn/" TargetMode="External"/><Relationship Id="rId44" Type="http://schemas.openxmlformats.org/officeDocument/2006/relationships/hyperlink" Target="http://www.hkbchina.com/" TargetMode="External"/><Relationship Id="rId45" Type="http://schemas.openxmlformats.org/officeDocument/2006/relationships/hyperlink" Target="http://www.urcb.com/" TargetMode="External"/><Relationship Id="rId46" Type="http://schemas.openxmlformats.org/officeDocument/2006/relationships/hyperlink" Target="http://www.hzbank.com.cn/" TargetMode="External"/><Relationship Id="rId47" Type="http://schemas.openxmlformats.org/officeDocument/2006/relationships/hyperlink" Target="http://www.hebbank.com/" TargetMode="External"/><Relationship Id="rId48" Type="http://schemas.openxmlformats.org/officeDocument/2006/relationships/hyperlink" Target="http://www.hrxjbank.com.cn/" TargetMode="External"/><Relationship Id="rId49" Type="http://schemas.openxmlformats.org/officeDocument/2006/relationships/hyperlink" Target="http://www.jlbank.com.cn/" TargetMode="External"/><Relationship Id="rId50" Type="http://schemas.openxmlformats.org/officeDocument/2006/relationships/hyperlink" Target="http://www.bojx.com/" TargetMode="External"/><Relationship Id="rId51" Type="http://schemas.openxmlformats.org/officeDocument/2006/relationships/hyperlink" Target="http://www.jnbank.com.cn/" TargetMode="External"/><Relationship Id="rId52" Type="http://schemas.openxmlformats.org/officeDocument/2006/relationships/hyperlink" Target="http://www.jsbchina.cn/" TargetMode="External"/><Relationship Id="rId53" Type="http://schemas.openxmlformats.org/officeDocument/2006/relationships/hyperlink" Target="http://www.jx-bank.com/" TargetMode="External"/><Relationship Id="rId54" Type="http://schemas.openxmlformats.org/officeDocument/2006/relationships/hyperlink" Target="http://www.jhccb.com.cn/" TargetMode="External"/><Relationship Id="rId55" Type="http://schemas.openxmlformats.org/officeDocument/2006/relationships/hyperlink" Target="http://www.jinzhoubank.com/" TargetMode="External"/><Relationship Id="rId56" Type="http://schemas.openxmlformats.org/officeDocument/2006/relationships/hyperlink" Target="http://www.jshbank.com/" TargetMode="External"/><Relationship Id="rId57" Type="http://schemas.openxmlformats.org/officeDocument/2006/relationships/hyperlink" Target="http://www.jtnsh.com/" TargetMode="External"/><Relationship Id="rId58" Type="http://schemas.openxmlformats.org/officeDocument/2006/relationships/hyperlink" Target="http://www.klb.cn/" TargetMode="External"/><Relationship Id="rId59" Type="http://schemas.openxmlformats.org/officeDocument/2006/relationships/hyperlink" Target="http://www.ksrcb.com/" TargetMode="External"/><Relationship Id="rId60" Type="http://schemas.openxmlformats.org/officeDocument/2006/relationships/hyperlink" Target="http://www.yqbank.com/" TargetMode="External"/><Relationship Id="rId61" Type="http://schemas.openxmlformats.org/officeDocument/2006/relationships/hyperlink" Target="http://www.lj-bank.com/" TargetMode="External"/><Relationship Id="rId62" Type="http://schemas.openxmlformats.org/officeDocument/2006/relationships/hyperlink" Target="http://www.lwrcb.com/" TargetMode="External"/><Relationship Id="rId63" Type="http://schemas.openxmlformats.org/officeDocument/2006/relationships/hyperlink" Target="http://www.lcrcbank.com/" TargetMode="External"/><Relationship Id="rId64" Type="http://schemas.openxmlformats.org/officeDocument/2006/relationships/hyperlink" Target="http://www.bankofluoyang.com.cn/" TargetMode="External"/><Relationship Id="rId65" Type="http://schemas.openxmlformats.org/officeDocument/2006/relationships/hyperlink" Target="http://www.nanhaibank.com/" TargetMode="External"/><Relationship Id="rId66" Type="http://schemas.openxmlformats.org/officeDocument/2006/relationships/hyperlink" Target="http://www.ncbchina.cn/cn/index.html" TargetMode="External"/><Relationship Id="rId67" Type="http://schemas.openxmlformats.org/officeDocument/2006/relationships/hyperlink" Target="http://www.nbcb.com.cn/" TargetMode="External"/><Relationship Id="rId68" Type="http://schemas.openxmlformats.org/officeDocument/2006/relationships/hyperlink" Target="http://www.qsbank.cc/" TargetMode="External"/><Relationship Id="rId69" Type="http://schemas.openxmlformats.org/officeDocument/2006/relationships/hyperlink" Target="http://www.qrcb.com.cn/" TargetMode="External"/><Relationship Id="rId70" Type="http://schemas.openxmlformats.org/officeDocument/2006/relationships/hyperlink" Target="http://www.qdccb.com/" TargetMode="External"/><Relationship Id="rId71" Type="http://schemas.openxmlformats.org/officeDocument/2006/relationships/hyperlink" Target="http://www.bankqh.com/" TargetMode="External"/><Relationship Id="rId72" Type="http://schemas.openxmlformats.org/officeDocument/2006/relationships/hyperlink" Target="http://www.qzccbank.com/" TargetMode="External"/><Relationship Id="rId73" Type="http://schemas.openxmlformats.org/officeDocument/2006/relationships/hyperlink" Target="http://www.bankofrizhao.com.cn/" TargetMode="External"/><Relationship Id="rId74" Type="http://schemas.openxmlformats.org/officeDocument/2006/relationships/hyperlink" Target="http://www.borf.cn/" TargetMode="External"/><Relationship Id="rId75" Type="http://schemas.openxmlformats.org/officeDocument/2006/relationships/hyperlink" Target="http://www.srcb.com/" TargetMode="External"/><Relationship Id="rId76" Type="http://schemas.openxmlformats.org/officeDocument/2006/relationships/hyperlink" Target="http://www.bosc.cn/" TargetMode="External"/><Relationship Id="rId77" Type="http://schemas.openxmlformats.org/officeDocument/2006/relationships/hyperlink" Target="http://www.sdebank.com/" TargetMode="External"/><Relationship Id="rId78" Type="http://schemas.openxmlformats.org/officeDocument/2006/relationships/hyperlink" Target="http://www.szrcb.com/" TargetMode="External"/><Relationship Id="rId79" Type="http://schemas.openxmlformats.org/officeDocument/2006/relationships/hyperlink" Target="http://www.suzhoubank.com/" TargetMode="External"/><Relationship Id="rId80" Type="http://schemas.openxmlformats.org/officeDocument/2006/relationships/hyperlink" Target="http://www.bank-of-tianjin.com.cn/" TargetMode="External"/><Relationship Id="rId81" Type="http://schemas.openxmlformats.org/officeDocument/2006/relationships/hyperlink" Target="http://www.whccb.com/" TargetMode="External"/><Relationship Id="rId82" Type="http://schemas.openxmlformats.org/officeDocument/2006/relationships/hyperlink" Target="http://www.whccb.com.cn/" TargetMode="External"/><Relationship Id="rId83" Type="http://schemas.openxmlformats.org/officeDocument/2006/relationships/hyperlink" Target="http://www.webank.com/" TargetMode="External"/><Relationship Id="rId84" Type="http://schemas.openxmlformats.org/officeDocument/2006/relationships/hyperlink" Target="http://www.wfccb.com/" TargetMode="External"/><Relationship Id="rId85" Type="http://schemas.openxmlformats.org/officeDocument/2006/relationships/hyperlink" Target="http://www.whrcbank.com/" TargetMode="External"/><Relationship Id="rId86" Type="http://schemas.openxmlformats.org/officeDocument/2006/relationships/hyperlink" Target="http://www.zjxsbank.com/" TargetMode="External"/><Relationship Id="rId87" Type="http://schemas.openxmlformats.org/officeDocument/2006/relationships/hyperlink" Target="http://xcbank.com/" TargetMode="External"/><Relationship Id="rId88" Type="http://schemas.openxmlformats.org/officeDocument/2006/relationships/hyperlink" Target="http://www.yantaibank.net/" TargetMode="External"/><Relationship Id="rId89" Type="http://schemas.openxmlformats.org/officeDocument/2006/relationships/hyperlink" Target="http://www.beeb.com.cn/" TargetMode="External"/><Relationship Id="rId90" Type="http://schemas.openxmlformats.org/officeDocument/2006/relationships/hyperlink" Target="http://www.yhrcb.com/" TargetMode="External"/><Relationship Id="rId91" Type="http://schemas.openxmlformats.org/officeDocument/2006/relationships/hyperlink" Target="http://www.ynhtbank.com/" TargetMode="External"/><Relationship Id="rId92" Type="http://schemas.openxmlformats.org/officeDocument/2006/relationships/hyperlink" Target="http://www.sc.com/cn" TargetMode="External"/><Relationship Id="rId93" Type="http://schemas.openxmlformats.org/officeDocument/2006/relationships/hyperlink" Target="http://www.czcb.com.cn/" TargetMode="External"/><Relationship Id="rId94" Type="http://schemas.openxmlformats.org/officeDocument/2006/relationships/hyperlink" Target="http://www.zjtlcb.com/" TargetMode="External"/><Relationship Id="rId95" Type="http://schemas.openxmlformats.org/officeDocument/2006/relationships/hyperlink" Target="http://www.zzbank.cn/" TargetMode="External"/><Relationship Id="rId96" Type="http://schemas.openxmlformats.org/officeDocument/2006/relationships/hyperlink" Target="http://www.zybank.com.cn/" TargetMode="External"/><Relationship Id="rId97" Type="http://schemas.openxmlformats.org/officeDocument/2006/relationships/hyperlink" Target="http://www.cqrcb.com/" TargetMode="External"/><Relationship Id="rId98" Type="http://schemas.openxmlformats.org/officeDocument/2006/relationships/hyperlink" Target="http://www.crbank.com.cn/" TargetMode="External"/><Relationship Id="rId99" Type="http://schemas.openxmlformats.org/officeDocument/2006/relationships/hyperlink" Target="http://www.essence.com.cn/" TargetMode="External"/><Relationship Id="rId100" Type="http://schemas.openxmlformats.org/officeDocument/2006/relationships/hyperlink" Target="http://www.ewww.com.cn/" TargetMode="External"/><Relationship Id="rId101" Type="http://schemas.openxmlformats.org/officeDocument/2006/relationships/hyperlink" Target="http://www.s10000.com/" TargetMode="External"/><Relationship Id="rId102" Type="http://schemas.openxmlformats.org/officeDocument/2006/relationships/hyperlink" Target="http://www.ctsec.com/" TargetMode="External"/><Relationship Id="rId103" Type="http://schemas.openxmlformats.org/officeDocument/2006/relationships/hyperlink" Target="http://www.cfzq.com/" TargetMode="External"/><Relationship Id="rId104" Type="http://schemas.openxmlformats.org/officeDocument/2006/relationships/hyperlink" Target="http://www.gwgsc.com/" TargetMode="External"/><Relationship Id="rId105" Type="http://schemas.openxmlformats.org/officeDocument/2006/relationships/hyperlink" Target="http://www.cgws.com/" TargetMode="External"/><Relationship Id="rId106" Type="http://schemas.openxmlformats.org/officeDocument/2006/relationships/hyperlink" Target="http://www.95579.com/" TargetMode="External"/><Relationship Id="rId107" Type="http://schemas.openxmlformats.org/officeDocument/2006/relationships/hyperlink" Target="http://www.cczq.com/" TargetMode="External"/><Relationship Id="rId108" Type="http://schemas.openxmlformats.org/officeDocument/2006/relationships/hyperlink" Target="http://www.daton.com.cn/" TargetMode="External"/><Relationship Id="rId109" Type="http://schemas.openxmlformats.org/officeDocument/2006/relationships/hyperlink" Target="http://www.dtsbc.com.cn/" TargetMode="External"/><Relationship Id="rId110" Type="http://schemas.openxmlformats.org/officeDocument/2006/relationships/hyperlink" Target="http://www.tebon.com.cn/" TargetMode="External"/><Relationship Id="rId111" Type="http://schemas.openxmlformats.org/officeDocument/2006/relationships/hyperlink" Target="http://www.firstcapital.com.cn/" TargetMode="External"/><Relationship Id="rId112" Type="http://schemas.openxmlformats.org/officeDocument/2006/relationships/hyperlink" Target="http://www.nesc.cn/" TargetMode="External"/><Relationship Id="rId113" Type="http://schemas.openxmlformats.org/officeDocument/2006/relationships/hyperlink" Target="http://www.dfzq.com.cn/" TargetMode="External"/><Relationship Id="rId114" Type="http://schemas.openxmlformats.org/officeDocument/2006/relationships/hyperlink" Target="http://www.dgzq.com.cn/" TargetMode="External"/><Relationship Id="rId115" Type="http://schemas.openxmlformats.org/officeDocument/2006/relationships/hyperlink" Target="http://www.longone.com.cn/" TargetMode="External"/><Relationship Id="rId116" Type="http://schemas.openxmlformats.org/officeDocument/2006/relationships/hyperlink" Target="http://www.dwzq.com.cn/" TargetMode="External"/><Relationship Id="rId117" Type="http://schemas.openxmlformats.org/officeDocument/2006/relationships/hyperlink" Target="http://www.dxzq.net/" TargetMode="External"/><Relationship Id="rId118" Type="http://schemas.openxmlformats.org/officeDocument/2006/relationships/hyperlink" Target="http://www.foundersc.com/" TargetMode="External"/><Relationship Id="rId119" Type="http://schemas.openxmlformats.org/officeDocument/2006/relationships/hyperlink" Target="http://www.ebscn.com/" TargetMode="External"/><Relationship Id="rId120" Type="http://schemas.openxmlformats.org/officeDocument/2006/relationships/hyperlink" Target="http://www.gf.com.cn/" TargetMode="External"/><Relationship Id="rId121" Type="http://schemas.openxmlformats.org/officeDocument/2006/relationships/hyperlink" Target="http://www.guodu.com/" TargetMode="External"/><Relationship Id="rId122" Type="http://schemas.openxmlformats.org/officeDocument/2006/relationships/hyperlink" Target="http://www.ghzq.com.cn/" TargetMode="External"/><Relationship Id="rId123" Type="http://schemas.openxmlformats.org/officeDocument/2006/relationships/hyperlink" Target="http://www.gjzq.com.cn/" TargetMode="External"/><Relationship Id="rId124" Type="http://schemas.openxmlformats.org/officeDocument/2006/relationships/hyperlink" Target="http://www.glsc.com.cn/" TargetMode="External"/><Relationship Id="rId125" Type="http://schemas.openxmlformats.org/officeDocument/2006/relationships/hyperlink" Target="http://www.grzq.com/" TargetMode="External"/><Relationship Id="rId126" Type="http://schemas.openxmlformats.org/officeDocument/2006/relationships/hyperlink" Target="http://www.gszq.com/" TargetMode="External"/><Relationship Id="rId127" Type="http://schemas.openxmlformats.org/officeDocument/2006/relationships/hyperlink" Target="http://www.gtja.com/" TargetMode="External"/><Relationship Id="rId128" Type="http://schemas.openxmlformats.org/officeDocument/2006/relationships/hyperlink" Target="http://www.guosen.com.cn/" TargetMode="External"/><Relationship Id="rId129" Type="http://schemas.openxmlformats.org/officeDocument/2006/relationships/hyperlink" Target="http://www.gyzq.com.cn/" TargetMode="External"/><Relationship Id="rId130" Type="http://schemas.openxmlformats.org/officeDocument/2006/relationships/hyperlink" Target="http://www.htsec.com/" TargetMode="External"/><Relationship Id="rId131" Type="http://schemas.openxmlformats.org/officeDocument/2006/relationships/hyperlink" Target="http://www.hongtastock.com/" TargetMode="External"/><Relationship Id="rId132" Type="http://schemas.openxmlformats.org/officeDocument/2006/relationships/hyperlink" Target="http://www.hazq.com/" TargetMode="External"/><Relationship Id="rId133" Type="http://schemas.openxmlformats.org/officeDocument/2006/relationships/hyperlink" Target="http://www.cnhbstock.com/" TargetMode="External"/><Relationship Id="rId134" Type="http://schemas.openxmlformats.org/officeDocument/2006/relationships/hyperlink" Target="http://www.hfzq.com.cn/" TargetMode="External"/><Relationship Id="rId135" Type="http://schemas.openxmlformats.org/officeDocument/2006/relationships/hyperlink" Target="http://www.chinalin.com/" TargetMode="External"/><Relationship Id="rId136" Type="http://schemas.openxmlformats.org/officeDocument/2006/relationships/hyperlink" Target="http://www.hlzq.com/" TargetMode="External"/><Relationship Id="rId137" Type="http://schemas.openxmlformats.org/officeDocument/2006/relationships/hyperlink" Target="http://www.hrsec.com.cn/" TargetMode="External"/><Relationship Id="rId138" Type="http://schemas.openxmlformats.org/officeDocument/2006/relationships/hyperlink" Target="http://www.htsc.com.cn/" TargetMode="External"/><Relationship Id="rId139" Type="http://schemas.openxmlformats.org/officeDocument/2006/relationships/hyperlink" Target="http://www.hx168.com.cn/" TargetMode="External"/><Relationship Id="rId140" Type="http://schemas.openxmlformats.org/officeDocument/2006/relationships/hyperlink" Target="http://www.cfsc.com.cn/" TargetMode="External"/><Relationship Id="rId141" Type="http://schemas.openxmlformats.org/officeDocument/2006/relationships/hyperlink" Target="http://www.shhxzq.com/" TargetMode="External"/><Relationship Id="rId142" Type="http://schemas.openxmlformats.org/officeDocument/2006/relationships/hyperlink" Target="http://www.jhzq.com.cn/" TargetMode="External"/><Relationship Id="rId143" Type="http://schemas.openxmlformats.org/officeDocument/2006/relationships/hyperlink" Target="http://www.jyzq.cn/" TargetMode="External"/><Relationship Id="rId144" Type="http://schemas.openxmlformats.org/officeDocument/2006/relationships/hyperlink" Target="http://www.jzsec.com/" TargetMode="External"/><Relationship Id="rId145" Type="http://schemas.openxmlformats.org/officeDocument/2006/relationships/hyperlink" Target="http://www.kysec.cn/" TargetMode="External"/><Relationship Id="rId146" Type="http://schemas.openxmlformats.org/officeDocument/2006/relationships/hyperlink" Target="http://www.lczq.com/" TargetMode="External"/><Relationship Id="rId147" Type="http://schemas.openxmlformats.org/officeDocument/2006/relationships/hyperlink" Target="http://www.njzq.com.cn/" TargetMode="External"/><Relationship Id="rId148" Type="http://schemas.openxmlformats.org/officeDocument/2006/relationships/hyperlink" Target="http://www.ubs.com/ubssecurities" TargetMode="External"/><Relationship Id="rId149" Type="http://schemas.openxmlformats.org/officeDocument/2006/relationships/hyperlink" Target="http://www.i618.com.cn/" TargetMode="External"/><Relationship Id="rId150" Type="http://schemas.openxmlformats.org/officeDocument/2006/relationships/hyperlink" Target="http://www.shzq.com/" TargetMode="External"/><Relationship Id="rId151" Type="http://schemas.openxmlformats.org/officeDocument/2006/relationships/hyperlink" Target="http://www.hysec.com/" TargetMode="External"/><Relationship Id="rId152" Type="http://schemas.openxmlformats.org/officeDocument/2006/relationships/hyperlink" Target="http://www.swhysc.com/" TargetMode="External"/><Relationship Id="rId153" Type="http://schemas.openxmlformats.org/officeDocument/2006/relationships/hyperlink" Target="http://www.csco.com.cn/" TargetMode="External"/><Relationship Id="rId154" Type="http://schemas.openxmlformats.org/officeDocument/2006/relationships/hyperlink" Target="http://www.sczq.com.cn/" TargetMode="External"/><Relationship Id="rId155" Type="http://schemas.openxmlformats.org/officeDocument/2006/relationships/hyperlink" Target="http://www.tfzq.com/" TargetMode="External"/><Relationship Id="rId156" Type="http://schemas.openxmlformats.org/officeDocument/2006/relationships/hyperlink" Target="http://www.wlzq.cn/" TargetMode="External"/><Relationship Id="rId157" Type="http://schemas.openxmlformats.org/officeDocument/2006/relationships/hyperlink" Target="http://www.westsecu.com/" TargetMode="External"/><Relationship Id="rId158" Type="http://schemas.openxmlformats.org/officeDocument/2006/relationships/hyperlink" Target="http://www.swsc.com.cn/" TargetMode="External"/><Relationship Id="rId159" Type="http://schemas.openxmlformats.org/officeDocument/2006/relationships/hyperlink" Target="http://www.xcsc.com/" TargetMode="External"/><Relationship Id="rId160" Type="http://schemas.openxmlformats.org/officeDocument/2006/relationships/hyperlink" Target="http://www.xsdzq.cn/" TargetMode="External"/><Relationship Id="rId161" Type="http://schemas.openxmlformats.org/officeDocument/2006/relationships/hyperlink" Target="http://www.cindasc.com/" TargetMode="External"/><Relationship Id="rId162" Type="http://schemas.openxmlformats.org/officeDocument/2006/relationships/hyperlink" Target="http://www.xyzq.com.cn/" TargetMode="External"/><Relationship Id="rId163" Type="http://schemas.openxmlformats.org/officeDocument/2006/relationships/hyperlink" Target="http://www.chinastock.com.cn/" TargetMode="External"/><Relationship Id="rId164" Type="http://schemas.openxmlformats.org/officeDocument/2006/relationships/hyperlink" Target="http://www.ykzq.com/" TargetMode="External"/><Relationship Id="rId165" Type="http://schemas.openxmlformats.org/officeDocument/2006/relationships/hyperlink" Target="http://www.newone.com.cn/" TargetMode="External"/><Relationship Id="rId166" Type="http://schemas.openxmlformats.org/officeDocument/2006/relationships/hyperlink" Target="http://www.stocke.com.cn/" TargetMode="External"/><Relationship Id="rId167" Type="http://schemas.openxmlformats.org/officeDocument/2006/relationships/hyperlink" Target="http://www.avicsec.com/" TargetMode="External"/><Relationship Id="rId168" Type="http://schemas.openxmlformats.org/officeDocument/2006/relationships/hyperlink" Target="http://www.ciccwm.com/" TargetMode="External"/><Relationship Id="rId169" Type="http://schemas.openxmlformats.org/officeDocument/2006/relationships/hyperlink" Target="http://www.cicc.com.cn/" TargetMode="External"/><Relationship Id="rId170" Type="http://schemas.openxmlformats.org/officeDocument/2006/relationships/hyperlink" Target="http://www.zszq.com/" TargetMode="External"/><Relationship Id="rId171" Type="http://schemas.openxmlformats.org/officeDocument/2006/relationships/hyperlink" Target="http://www.zts.com.cn/" TargetMode="External"/><Relationship Id="rId172" Type="http://schemas.openxmlformats.org/officeDocument/2006/relationships/hyperlink" Target="http://www.iztzq.com/" TargetMode="External"/><Relationship Id="rId173" Type="http://schemas.openxmlformats.org/officeDocument/2006/relationships/hyperlink" Target="http://www.csc108.com/" TargetMode="External"/><Relationship Id="rId174" Type="http://schemas.openxmlformats.org/officeDocument/2006/relationships/hyperlink" Target="http://www.cs.ecitic.com/" TargetMode="External"/><Relationship Id="rId175" Type="http://schemas.openxmlformats.org/officeDocument/2006/relationships/hyperlink" Target="http://www.gzs.com.cn/" TargetMode="External"/><Relationship Id="rId176" Type="http://schemas.openxmlformats.org/officeDocument/2006/relationships/hyperlink" Target="http://sd.citics.com/" TargetMode="External"/><Relationship Id="rId177" Type="http://schemas.openxmlformats.org/officeDocument/2006/relationships/hyperlink" Target="http://www.bocichina.com/" TargetMode="External"/><Relationship Id="rId178" Type="http://schemas.openxmlformats.org/officeDocument/2006/relationships/hyperlink" Target="http://www.cnpsec.com/" TargetMode="External"/><Relationship Id="rId179" Type="http://schemas.openxmlformats.org/officeDocument/2006/relationships/hyperlink" Target="http://www.ccnew.com/" TargetMode="External"/><Relationship Id="rId180" Type="http://schemas.openxmlformats.org/officeDocument/2006/relationships/hyperlink" Target="http://www.erichfund.com/" TargetMode="External"/><Relationship Id="rId181" Type="http://schemas.openxmlformats.org/officeDocument/2006/relationships/hyperlink" Target="http://www.998fund.com/" TargetMode="External"/><Relationship Id="rId182" Type="http://schemas.openxmlformats.org/officeDocument/2006/relationships/hyperlink" Target="http://www.5irich.com/" TargetMode="External"/><Relationship Id="rId183" Type="http://schemas.openxmlformats.org/officeDocument/2006/relationships/hyperlink" Target="http://www.dtfunds.com/" TargetMode="External"/><Relationship Id="rId184" Type="http://schemas.openxmlformats.org/officeDocument/2006/relationships/hyperlink" Target="http://www.wg.com.cn/" TargetMode="External"/><Relationship Id="rId185" Type="http://schemas.openxmlformats.org/officeDocument/2006/relationships/hyperlink" Target="http://www.9ifund.com/" TargetMode="External"/><Relationship Id="rId186" Type="http://schemas.openxmlformats.org/officeDocument/2006/relationships/hyperlink" Target="http://www.dzqh.com.cn/" TargetMode="External"/><Relationship Id="rId187" Type="http://schemas.openxmlformats.org/officeDocument/2006/relationships/hyperlink" Target="http://www.baiyingfund.com/" TargetMode="External"/><Relationship Id="rId188" Type="http://schemas.openxmlformats.org/officeDocument/2006/relationships/hyperlink" Target="http://www.puyifund.com/" TargetMode="External"/><Relationship Id="rId189" Type="http://schemas.openxmlformats.org/officeDocument/2006/relationships/hyperlink" Target="http://www.fujifund.cn/" TargetMode="External"/><Relationship Id="rId190" Type="http://schemas.openxmlformats.org/officeDocument/2006/relationships/hyperlink" Target="http://www.fundhaiyin.com/" TargetMode="External"/><Relationship Id="rId191" Type="http://schemas.openxmlformats.org/officeDocument/2006/relationships/hyperlink" Target="http://www.ehowbuy.com/" TargetMode="External"/><Relationship Id="rId192" Type="http://schemas.openxmlformats.org/officeDocument/2006/relationships/hyperlink" Target="http://licaike.hexun.com/" TargetMode="External"/><Relationship Id="rId193" Type="http://schemas.openxmlformats.org/officeDocument/2006/relationships/hyperlink" Target="http://www.chtwm.com/" TargetMode="External"/><Relationship Id="rId194" Type="http://schemas.openxmlformats.org/officeDocument/2006/relationships/hyperlink" Target="http://www.ftol.com.cn/" TargetMode="External"/><Relationship Id="rId195" Type="http://schemas.openxmlformats.org/officeDocument/2006/relationships/hyperlink" Target="http://www.hongdianfund.com/" TargetMode="External"/><Relationship Id="rId196" Type="http://schemas.openxmlformats.org/officeDocument/2006/relationships/hyperlink" Target="http://www.huaruisales.com/" TargetMode="External"/><Relationship Id="rId197" Type="http://schemas.openxmlformats.org/officeDocument/2006/relationships/hyperlink" Target="http://www.amcfortune.com/" TargetMode="External"/><Relationship Id="rId198" Type="http://schemas.openxmlformats.org/officeDocument/2006/relationships/hyperlink" Target="http://www.hsqh.net/" TargetMode="External"/><Relationship Id="rId199" Type="http://schemas.openxmlformats.org/officeDocument/2006/relationships/hyperlink" Target="http://www.hcfunds.com/" TargetMode="External"/><Relationship Id="rId200" Type="http://schemas.openxmlformats.org/officeDocument/2006/relationships/hyperlink" Target="http://www.hotjijin.com/" TargetMode="External"/><Relationship Id="rId201" Type="http://schemas.openxmlformats.org/officeDocument/2006/relationships/hyperlink" Target="http://www.jianfortune.com/" TargetMode="External"/><Relationship Id="rId202" Type="http://schemas.openxmlformats.org/officeDocument/2006/relationships/hyperlink" Target="http://www.bzfunds.com/" TargetMode="External"/><Relationship Id="rId203" Type="http://schemas.openxmlformats.org/officeDocument/2006/relationships/hyperlink" Target="http://www.harvestwm.cn/" TargetMode="External"/><Relationship Id="rId204" Type="http://schemas.openxmlformats.org/officeDocument/2006/relationships/hyperlink" Target="http://www.jsjbl.com/" TargetMode="External"/><Relationship Id="rId205" Type="http://schemas.openxmlformats.org/officeDocument/2006/relationships/hyperlink" Target="http://www.jincheng-fund.com/" TargetMode="External"/><Relationship Id="rId206" Type="http://schemas.openxmlformats.org/officeDocument/2006/relationships/hyperlink" Target="http://www.jfcta.com/" TargetMode="External"/><Relationship Id="rId207" Type="http://schemas.openxmlformats.org/officeDocument/2006/relationships/hyperlink" Target="http://www.vstonewealth.com/" TargetMode="External"/><Relationship Id="rId208" Type="http://schemas.openxmlformats.org/officeDocument/2006/relationships/hyperlink" Target="http://www.leadfund.com.cn/" TargetMode="External"/><Relationship Id="rId209" Type="http://schemas.openxmlformats.org/officeDocument/2006/relationships/hyperlink" Target="http://www.66zichan.com/" TargetMode="External"/><Relationship Id="rId210" Type="http://schemas.openxmlformats.org/officeDocument/2006/relationships/hyperlink" Target="http://www.lufunds.com/" TargetMode="External"/><Relationship Id="rId211" Type="http://schemas.openxmlformats.org/officeDocument/2006/relationships/hyperlink" Target="http://www.fund123.cn/" TargetMode="External"/><Relationship Id="rId212" Type="http://schemas.openxmlformats.org/officeDocument/2006/relationships/hyperlink" Target="http://www.msftec.com/" TargetMode="External"/><Relationship Id="rId213" Type="http://schemas.openxmlformats.org/officeDocument/2006/relationships/hyperlink" Target="http://www.noah-fund.com/" TargetMode="External"/><Relationship Id="rId214" Type="http://schemas.openxmlformats.org/officeDocument/2006/relationships/hyperlink" Target="http://www.zscffund.com/" TargetMode="External"/><Relationship Id="rId215" Type="http://schemas.openxmlformats.org/officeDocument/2006/relationships/hyperlink" Target="http://www.qianjing.com/" TargetMode="External"/><Relationship Id="rId216" Type="http://schemas.openxmlformats.org/officeDocument/2006/relationships/hyperlink" Target="http://8.jrj.com.cn/" TargetMode="External"/><Relationship Id="rId217" Type="http://schemas.openxmlformats.org/officeDocument/2006/relationships/hyperlink" Target="http://www.shengshiview.com/" TargetMode="External"/><Relationship Id="rId218" Type="http://schemas.openxmlformats.org/officeDocument/2006/relationships/hyperlink" Target="http://www.snjijin.com/" TargetMode="External"/><Relationship Id="rId219" Type="http://schemas.openxmlformats.org/officeDocument/2006/relationships/hyperlink" Target="http://www.txfund.com/" TargetMode="External"/><Relationship Id="rId220" Type="http://schemas.openxmlformats.org/officeDocument/2006/relationships/hyperlink" Target="http://www.1234567.com.cn/" TargetMode="External"/><Relationship Id="rId221" Type="http://schemas.openxmlformats.org/officeDocument/2006/relationships/hyperlink" Target="http://www.tonghuafund.com/" TargetMode="External"/><Relationship Id="rId222" Type="http://schemas.openxmlformats.org/officeDocument/2006/relationships/hyperlink" Target="http://www.5ifund.com/" TargetMode="External"/><Relationship Id="rId223" Type="http://schemas.openxmlformats.org/officeDocument/2006/relationships/hyperlink" Target="http://jr.tuniu.com/" TargetMode="External"/><Relationship Id="rId224" Type="http://schemas.openxmlformats.org/officeDocument/2006/relationships/hyperlink" Target="http://www.wacaijijin.com/" TargetMode="External"/><Relationship Id="rId225" Type="http://schemas.openxmlformats.org/officeDocument/2006/relationships/hyperlink" Target="http://www.520fund.com.cn/" TargetMode="External"/><Relationship Id="rId226" Type="http://schemas.openxmlformats.org/officeDocument/2006/relationships/hyperlink" Target="http://www.wanjiawealth.com/" TargetMode="External"/><Relationship Id="rId227" Type="http://schemas.openxmlformats.org/officeDocument/2006/relationships/hyperlink" Target="http://www.xincai.com/" TargetMode="External"/><Relationship Id="rId228" Type="http://schemas.openxmlformats.org/officeDocument/2006/relationships/hyperlink" Target="http://www.xds.com.cn/" TargetMode="External"/><Relationship Id="rId229" Type="http://schemas.openxmlformats.org/officeDocument/2006/relationships/hyperlink" Target="http://fund.sinosig.com/" TargetMode="External"/><Relationship Id="rId230" Type="http://schemas.openxmlformats.org/officeDocument/2006/relationships/hyperlink" Target="http://www.yilucaifu.com/" TargetMode="External"/><Relationship Id="rId231" Type="http://schemas.openxmlformats.org/officeDocument/2006/relationships/hyperlink" Target="http://www.yitfund.com/" TargetMode="External"/><Relationship Id="rId232" Type="http://schemas.openxmlformats.org/officeDocument/2006/relationships/hyperlink" Target="http://www.yixinfund.com/" TargetMode="External"/><Relationship Id="rId233" Type="http://schemas.openxmlformats.org/officeDocument/2006/relationships/hyperlink" Target="http://www.ifastps.com.cn/" TargetMode="External"/><Relationship Id="rId234" Type="http://schemas.openxmlformats.org/officeDocument/2006/relationships/hyperlink" Target="http://www.yingmi.cn/" TargetMode="External"/><Relationship Id="rId235" Type="http://schemas.openxmlformats.org/officeDocument/2006/relationships/hyperlink" Target="http://www.zhengtongfunds.com/" TargetMode="External"/><Relationship Id="rId236" Type="http://schemas.openxmlformats.org/officeDocument/2006/relationships/hyperlink" Target="http://www.zcvc.com.cn/" TargetMode="External"/><Relationship Id="rId237" Type="http://schemas.openxmlformats.org/officeDocument/2006/relationships/hyperlink" Target="http://www.myfund.com/" TargetMode="External"/><Relationship Id="rId238" Type="http://schemas.openxmlformats.org/officeDocument/2006/relationships/hyperlink" Target="http://www.cifco.net/" TargetMode="External"/><Relationship Id="rId239" Type="http://schemas.openxmlformats.org/officeDocument/2006/relationships/hyperlink" Target="http://www.e-chinalife.com/" TargetMode="External"/><Relationship Id="rId240" Type="http://schemas.openxmlformats.org/officeDocument/2006/relationships/hyperlink" Target="http://www.jrtoo.com/" TargetMode="External"/><Relationship Id="rId241" Type="http://schemas.openxmlformats.org/officeDocument/2006/relationships/hyperlink" Target="http://www.cfc108.com/" TargetMode="External"/><Relationship Id="rId242" Type="http://schemas.openxmlformats.org/officeDocument/2006/relationships/hyperlink" Target="http://www.citicsf.com/" TargetMode="External"/><Relationship Id="rId243" Type="http://schemas.openxmlformats.org/officeDocument/2006/relationships/hyperlink" Target="http://www.zhongzhengfund.com/" TargetMode="External"/><Relationship Id="rId244" Type="http://schemas.openxmlformats.org/officeDocument/2006/relationships/hyperlink" Target="http://www.jnlc.com/" TargetMode="External"/><Relationship Id="rId245" Type="http://schemas.openxmlformats.org/officeDocument/2006/relationships/hyperlink" Target="http://www.zlfund.cn/" TargetMode="External"/><Relationship Id="rId246" Type="http://schemas.openxmlformats.org/officeDocument/2006/relationships/hyperlink" Target="http://www.jjmmw.com/" TargetMode="External"/><Relationship Id="rId247" Type="http://schemas.openxmlformats.org/officeDocument/2006/relationships/hyperlink" Target="mailto:service@efunds.com.cn" TargetMode="External"/><Relationship Id="rId2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2020-11-18T05:54:53Z</dcterms:created>
  <dcterms:modified xsi:type="dcterms:W3CDTF">2020-11-18T05:54:53Z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Aspose Ltd.</vt:lpwstr>
  </property>
  <property fmtid="{D5CDD505-2E9C-101B-9397-08002B2CF9AE}" pid="4" name="LastSaved">
    <vt:filetime>2020-11-18T00:00:00Z</vt:filetime>
  </property>
</Properties>
</file>